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352EB">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56BB1B7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547AAAE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新疆维吾尔自治区公路管理局</w:t>
      </w:r>
    </w:p>
    <w:p w14:paraId="5964803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沥青储运总站</w:t>
      </w:r>
    </w:p>
    <w:p w14:paraId="0B014A6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667AE46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216C0069">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B82E4E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01D4989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181E6C1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2304F34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65D21E9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33488AF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04EDD0B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1B2309A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5C4E95E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7A4626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048A355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B230F7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233D7E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68734877">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2A243EB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105AD83">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7AD55DFF">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F876B2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0740762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5AF5934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09F9547E">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15F01D46">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2A41854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D2FF27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46D1873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012BF87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22CC9F1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4DC723B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461C743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25E551E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751C8E3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241D7C84">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1358FDB">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5CC7EE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4EDC240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133347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新疆维吾尔自治区公路管理局沥青储运总站主要负责公路养护施工所需沥青的采购、储存、调运和供应管理工作，为全疆公路建设、大中修养护提供优质沥青材料，在新疆公路建设中发挥基础物资的应急保障作用。</w:t>
      </w:r>
    </w:p>
    <w:p w14:paraId="0CDBAA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47793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新疆维吾尔自治区公路管理局沥青储运总站</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133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57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76</w:t>
      </w:r>
      <w:r>
        <w:rPr>
          <w:rFonts w:hint="eastAsia" w:ascii="仿宋_GB2312" w:eastAsia="仿宋_GB2312"/>
          <w:color w:val="auto"/>
          <w:sz w:val="32"/>
          <w:szCs w:val="32"/>
          <w:highlight w:val="none"/>
        </w:rPr>
        <w:t>人。</w:t>
      </w:r>
    </w:p>
    <w:p w14:paraId="6B72C3C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单位无下属预算单位，下设8个科室，分别是：管理一科、管理二科、管理三科、管理四科、综合科、财务科、采购科、供应科。</w:t>
      </w:r>
    </w:p>
    <w:p w14:paraId="17D6D4F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73B5F0B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79C63D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1,473.65万元，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1,452.43万元，使用非财政拨款结余21.22万元，年初结转和结余0.00万元。</w:t>
      </w:r>
    </w:p>
    <w:p w14:paraId="1FBF25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1,473.65万元，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1,473.65万元，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2B80A5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增加157.13万元</w:t>
      </w:r>
      <w:r>
        <w:rPr>
          <w:rFonts w:hint="eastAsia" w:ascii="仿宋_GB2312" w:eastAsia="仿宋_GB2312"/>
          <w:color w:val="auto"/>
          <w:spacing w:val="0"/>
          <w:sz w:val="32"/>
          <w:szCs w:val="32"/>
          <w:highlight w:val="none"/>
          <w:lang w:eastAsia="zh-CN"/>
        </w:rPr>
        <w:t>，增长11.94%，主要原因是：</w:t>
      </w:r>
      <w:r>
        <w:rPr>
          <w:rFonts w:hint="eastAsia" w:ascii="仿宋_GB2312" w:eastAsia="仿宋_GB2312"/>
          <w:color w:val="auto"/>
          <w:spacing w:val="0"/>
          <w:sz w:val="32"/>
          <w:szCs w:val="32"/>
          <w:highlight w:val="none"/>
          <w:lang w:val="en-US" w:eastAsia="zh-CN"/>
        </w:rPr>
        <w:t>2023年度工资调整，职工工资、社会保险费及住房公积金较上年有所增长</w:t>
      </w:r>
      <w:r>
        <w:rPr>
          <w:rFonts w:hint="eastAsia" w:ascii="仿宋_GB2312" w:eastAsia="仿宋_GB2312"/>
          <w:color w:val="auto"/>
          <w:spacing w:val="0"/>
          <w:sz w:val="32"/>
          <w:szCs w:val="32"/>
          <w:highlight w:val="none"/>
          <w:lang w:eastAsia="zh-CN"/>
        </w:rPr>
        <w:t>。</w:t>
      </w:r>
    </w:p>
    <w:p w14:paraId="4ECE52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0A077C7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1,452.43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1,451.08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99.91</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1.34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3E1B43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732253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本年支出1,473.65万元，其中：基本支出1,342.05万元，占91.07%；项目支出131.60万元，占8.93%；上缴上级支出0.00万元，占0.00%；经营支出0.00万元，占0.00%；对附属单位补助支出0.00万元，占0.00%。</w:t>
      </w:r>
    </w:p>
    <w:p w14:paraId="7097AB4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1F4B8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1,451.08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1,451.08</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1,451.08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1,451.08</w:t>
      </w:r>
      <w:r>
        <w:rPr>
          <w:rFonts w:hint="eastAsia" w:ascii="仿宋_GB2312" w:eastAsia="仿宋_GB2312"/>
          <w:color w:val="auto"/>
          <w:spacing w:val="0"/>
          <w:sz w:val="32"/>
          <w:szCs w:val="32"/>
          <w:highlight w:val="none"/>
          <w:lang w:eastAsia="zh-CN"/>
        </w:rPr>
        <w:t>万元。</w:t>
      </w:r>
    </w:p>
    <w:p w14:paraId="26E514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增加134.93万元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增长10.25%,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2023年度工资调整，职工工资、社会保险费及住房公积金较上年有所增长</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1,355.52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1,451.08</w:t>
      </w:r>
      <w:r>
        <w:rPr>
          <w:rFonts w:hint="eastAsia" w:ascii="仿宋_GB2312" w:eastAsia="仿宋_GB2312"/>
          <w:color w:val="auto"/>
          <w:spacing w:val="0"/>
          <w:sz w:val="32"/>
          <w:szCs w:val="32"/>
          <w:highlight w:val="none"/>
          <w:lang w:eastAsia="zh-CN"/>
        </w:rPr>
        <w:t>万元，预决算差异率7.05%，主要原因是：</w:t>
      </w:r>
      <w:r>
        <w:rPr>
          <w:rFonts w:hint="eastAsia" w:ascii="仿宋_GB2312" w:eastAsia="仿宋_GB2312"/>
          <w:color w:val="auto"/>
          <w:spacing w:val="0"/>
          <w:sz w:val="32"/>
          <w:szCs w:val="32"/>
          <w:highlight w:val="none"/>
          <w:lang w:val="en-US" w:eastAsia="zh-CN"/>
        </w:rPr>
        <w:t>2023年期间根据年终考核追加2022年度年终一次性奖金，根据单位退休及死亡人数追加职业年金及丧葬抚恤金</w:t>
      </w:r>
      <w:r>
        <w:rPr>
          <w:rFonts w:hint="eastAsia" w:ascii="仿宋_GB2312" w:eastAsia="仿宋_GB2312"/>
          <w:color w:val="auto"/>
          <w:spacing w:val="0"/>
          <w:sz w:val="32"/>
          <w:szCs w:val="32"/>
          <w:highlight w:val="none"/>
          <w:lang w:eastAsia="zh-CN"/>
        </w:rPr>
        <w:t>。</w:t>
      </w:r>
    </w:p>
    <w:p w14:paraId="5FF8C4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01893C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146107F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2023年度一般公共预算财政拨款支出1,451.08万元，占本年支出合计的</w:t>
      </w:r>
      <w:r>
        <w:rPr>
          <w:rFonts w:hint="eastAsia" w:ascii="仿宋_GB2312" w:eastAsia="仿宋_GB2312"/>
          <w:color w:val="auto"/>
          <w:spacing w:val="0"/>
          <w:sz w:val="32"/>
          <w:szCs w:val="32"/>
          <w:highlight w:val="none"/>
          <w:lang w:val="zh-CN" w:eastAsia="zh-CN"/>
        </w:rPr>
        <w:t>98.47%</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增加134.93万元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增长10.25%,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工资调整，职工工资及社会保险费较上年有所增长；</w:t>
      </w:r>
      <w:r>
        <w:rPr>
          <w:rFonts w:hint="eastAsia" w:ascii="仿宋" w:hAnsi="仿宋" w:eastAsia="仿宋"/>
          <w:color w:val="auto"/>
          <w:sz w:val="32"/>
          <w:szCs w:val="32"/>
          <w:highlight w:val="none"/>
        </w:rPr>
        <w:t>项目资金</w:t>
      </w:r>
      <w:r>
        <w:rPr>
          <w:rFonts w:hint="eastAsia" w:ascii="仿宋" w:hAnsi="仿宋" w:eastAsia="仿宋"/>
          <w:color w:val="auto"/>
          <w:sz w:val="32"/>
          <w:szCs w:val="32"/>
          <w:highlight w:val="none"/>
          <w:lang w:val="en-US" w:eastAsia="zh-CN"/>
        </w:rPr>
        <w:t>较上年</w:t>
      </w:r>
      <w:r>
        <w:rPr>
          <w:rFonts w:hint="eastAsia" w:ascii="仿宋" w:hAnsi="仿宋" w:eastAsia="仿宋"/>
          <w:color w:val="auto"/>
          <w:sz w:val="32"/>
          <w:szCs w:val="32"/>
          <w:highlight w:val="none"/>
        </w:rPr>
        <w:t>增加</w:t>
      </w:r>
      <w:r>
        <w:rPr>
          <w:rFonts w:hint="eastAsia" w:ascii="仿宋" w:hAnsi="仿宋" w:eastAsia="仿宋"/>
          <w:color w:val="auto"/>
          <w:sz w:val="32"/>
          <w:szCs w:val="32"/>
          <w:highlight w:val="none"/>
          <w:lang w:val="en-US" w:eastAsia="zh-CN"/>
        </w:rPr>
        <w:t>108万元</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1,355.52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1,451.08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7.05%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根据2023年预算追加情况，支付2022年度年终一次性奖金、职业年金及丧葬抚恤金</w:t>
      </w:r>
      <w:r>
        <w:rPr>
          <w:rFonts w:hint="eastAsia" w:ascii="仿宋_GB2312" w:eastAsia="仿宋_GB2312"/>
          <w:color w:val="auto"/>
          <w:spacing w:val="0"/>
          <w:sz w:val="32"/>
          <w:szCs w:val="32"/>
          <w:highlight w:val="none"/>
          <w:lang w:eastAsia="zh-CN"/>
        </w:rPr>
        <w:t>。</w:t>
      </w:r>
    </w:p>
    <w:p w14:paraId="53D6A97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7E0410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299.95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20.67</w:t>
      </w:r>
      <w:r>
        <w:rPr>
          <w:rFonts w:hint="default" w:ascii="仿宋_GB2312" w:hAnsi="Times New Roman" w:eastAsia="仿宋_GB2312" w:cs="Times New Roman"/>
          <w:color w:val="auto"/>
          <w:spacing w:val="0"/>
          <w:kern w:val="2"/>
          <w:sz w:val="32"/>
          <w:szCs w:val="32"/>
          <w:highlight w:val="none"/>
          <w:lang w:val="zh-CN" w:eastAsia="zh-CN" w:bidi="ar-SA"/>
        </w:rPr>
        <w:t>%；</w:t>
      </w:r>
    </w:p>
    <w:p w14:paraId="1DBEA10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79.54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5.48</w:t>
      </w:r>
      <w:r>
        <w:rPr>
          <w:rFonts w:hint="default" w:ascii="仿宋_GB2312" w:hAnsi="Times New Roman" w:eastAsia="仿宋_GB2312" w:cs="Times New Roman"/>
          <w:color w:val="auto"/>
          <w:spacing w:val="0"/>
          <w:kern w:val="2"/>
          <w:sz w:val="32"/>
          <w:szCs w:val="32"/>
          <w:highlight w:val="none"/>
          <w:lang w:val="zh-CN" w:eastAsia="zh-CN" w:bidi="ar-SA"/>
        </w:rPr>
        <w:t>%；</w:t>
      </w:r>
    </w:p>
    <w:p w14:paraId="3E727B0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3.交通运输支出（类）</w:t>
      </w:r>
      <w:r>
        <w:rPr>
          <w:rFonts w:hint="eastAsia" w:ascii="仿宋_GB2312" w:hAnsi="Times New Roman" w:eastAsia="仿宋_GB2312" w:cs="Times New Roman"/>
          <w:color w:val="auto"/>
          <w:spacing w:val="0"/>
          <w:kern w:val="2"/>
          <w:sz w:val="32"/>
          <w:szCs w:val="32"/>
          <w:highlight w:val="none"/>
          <w:lang w:val="zh-CN" w:eastAsia="zh-CN" w:bidi="ar-SA"/>
        </w:rPr>
        <w:t>1,005.77</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69.31</w:t>
      </w:r>
      <w:r>
        <w:rPr>
          <w:rFonts w:hint="default" w:ascii="仿宋_GB2312" w:hAnsi="Times New Roman" w:eastAsia="仿宋_GB2312" w:cs="Times New Roman"/>
          <w:color w:val="auto"/>
          <w:spacing w:val="0"/>
          <w:kern w:val="2"/>
          <w:sz w:val="32"/>
          <w:szCs w:val="32"/>
          <w:highlight w:val="none"/>
          <w:lang w:val="zh-CN" w:eastAsia="zh-CN" w:bidi="ar-SA"/>
        </w:rPr>
        <w:t>%；</w:t>
      </w:r>
    </w:p>
    <w:p w14:paraId="3FAA4BF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65.82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4.54</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4838DA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7924F6E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1.卫生健康支出（类）行政事业单位医疗（款）事业单位医疗（项）:支出决算数为41.14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0.63%，主要原因是：</w:t>
      </w:r>
      <w:r>
        <w:rPr>
          <w:rFonts w:hint="eastAsia" w:ascii="仿宋_GB2312" w:eastAsia="仿宋_GB2312"/>
          <w:color w:val="auto"/>
          <w:spacing w:val="0"/>
          <w:sz w:val="32"/>
          <w:szCs w:val="32"/>
          <w:highlight w:val="none"/>
          <w:lang w:val="en-US" w:eastAsia="zh-CN"/>
        </w:rPr>
        <w:t>2023年度工资调整，</w:t>
      </w:r>
      <w:r>
        <w:rPr>
          <w:rFonts w:hint="eastAsia" w:ascii="Times New Roman" w:hAnsi="Times New Roman" w:eastAsia="仿宋_GB2312" w:cs="Times New Roman"/>
          <w:color w:val="auto"/>
          <w:kern w:val="2"/>
          <w:sz w:val="32"/>
          <w:szCs w:val="32"/>
          <w:highlight w:val="none"/>
          <w:lang w:val="en-US" w:eastAsia="zh-CN" w:bidi="ar-SA"/>
        </w:rPr>
        <w:t>事业单位医疗</w:t>
      </w:r>
      <w:r>
        <w:rPr>
          <w:rFonts w:hint="eastAsia" w:ascii="仿宋_GB2312" w:eastAsia="仿宋_GB2312"/>
          <w:color w:val="auto"/>
          <w:spacing w:val="0"/>
          <w:sz w:val="32"/>
          <w:szCs w:val="32"/>
          <w:highlight w:val="none"/>
          <w:lang w:val="en-US" w:eastAsia="zh-CN"/>
        </w:rPr>
        <w:t>保险缴费基数较上年有所增长。</w:t>
      </w:r>
    </w:p>
    <w:p w14:paraId="6A8A5D5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2.卫生健康支出（类）行政事业单位医疗（款）公务员医疗补助（项）:支出决算数为38.40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20.75%，主要原因是：</w:t>
      </w:r>
      <w:r>
        <w:rPr>
          <w:rFonts w:hint="eastAsia" w:ascii="仿宋_GB2312" w:eastAsia="仿宋_GB2312"/>
          <w:color w:val="auto"/>
          <w:spacing w:val="0"/>
          <w:sz w:val="32"/>
          <w:szCs w:val="32"/>
          <w:highlight w:val="none"/>
          <w:lang w:val="en-US" w:eastAsia="zh-CN"/>
        </w:rPr>
        <w:t>2023年度工资调整，</w:t>
      </w:r>
      <w:r>
        <w:rPr>
          <w:rFonts w:hint="eastAsia" w:ascii="Times New Roman" w:hAnsi="Times New Roman" w:eastAsia="仿宋_GB2312" w:cs="Times New Roman"/>
          <w:color w:val="auto"/>
          <w:kern w:val="2"/>
          <w:sz w:val="32"/>
          <w:szCs w:val="32"/>
          <w:highlight w:val="none"/>
          <w:lang w:val="en-US" w:eastAsia="zh-CN" w:bidi="ar-SA"/>
        </w:rPr>
        <w:t>公务员医疗补助</w:t>
      </w:r>
      <w:r>
        <w:rPr>
          <w:rFonts w:hint="eastAsia" w:ascii="仿宋_GB2312" w:eastAsia="仿宋_GB2312"/>
          <w:color w:val="auto"/>
          <w:spacing w:val="0"/>
          <w:sz w:val="32"/>
          <w:szCs w:val="32"/>
          <w:highlight w:val="none"/>
          <w:lang w:val="en-US" w:eastAsia="zh-CN"/>
        </w:rPr>
        <w:t>缴费基数</w:t>
      </w:r>
      <w:r>
        <w:rPr>
          <w:rFonts w:hint="eastAsia" w:eastAsia="仿宋_GB2312" w:cs="Times New Roman"/>
          <w:color w:val="auto"/>
          <w:kern w:val="2"/>
          <w:sz w:val="32"/>
          <w:szCs w:val="32"/>
          <w:highlight w:val="none"/>
          <w:lang w:val="en-US" w:eastAsia="zh-CN" w:bidi="ar-SA"/>
        </w:rPr>
        <w:t>较</w:t>
      </w:r>
      <w:r>
        <w:rPr>
          <w:rFonts w:hint="eastAsia" w:ascii="仿宋_GB2312" w:eastAsia="仿宋_GB2312"/>
          <w:color w:val="auto"/>
          <w:spacing w:val="0"/>
          <w:sz w:val="32"/>
          <w:szCs w:val="32"/>
          <w:highlight w:val="none"/>
          <w:lang w:val="en-US" w:eastAsia="zh-CN"/>
        </w:rPr>
        <w:t>上年有所增长。</w:t>
      </w:r>
    </w:p>
    <w:p w14:paraId="2FA05BD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3.交通运输支出（类）公路水路运输（款）公路养护（项）:支出决算数为1,005.77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82.69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8.96%，主要原因是：</w:t>
      </w:r>
      <w:r>
        <w:rPr>
          <w:rFonts w:hint="eastAsia" w:eastAsia="仿宋_GB2312" w:cs="Times New Roman"/>
          <w:color w:val="auto"/>
          <w:kern w:val="2"/>
          <w:sz w:val="32"/>
          <w:szCs w:val="32"/>
          <w:highlight w:val="none"/>
          <w:lang w:val="en-US" w:eastAsia="zh-CN" w:bidi="ar-SA"/>
        </w:rPr>
        <w:t>2023年度</w:t>
      </w:r>
      <w:r>
        <w:rPr>
          <w:rFonts w:hint="eastAsia" w:ascii="仿宋" w:hAnsi="仿宋" w:eastAsia="仿宋"/>
          <w:color w:val="auto"/>
          <w:sz w:val="32"/>
          <w:szCs w:val="32"/>
          <w:highlight w:val="none"/>
        </w:rPr>
        <w:t>项目资金</w:t>
      </w:r>
      <w:r>
        <w:rPr>
          <w:rFonts w:hint="eastAsia" w:ascii="仿宋" w:hAnsi="仿宋" w:eastAsia="仿宋"/>
          <w:color w:val="auto"/>
          <w:sz w:val="32"/>
          <w:szCs w:val="32"/>
          <w:highlight w:val="none"/>
          <w:lang w:val="en-US" w:eastAsia="zh-CN"/>
        </w:rPr>
        <w:t>较上年</w:t>
      </w:r>
      <w:r>
        <w:rPr>
          <w:rFonts w:hint="eastAsia" w:ascii="仿宋" w:hAnsi="仿宋" w:eastAsia="仿宋"/>
          <w:color w:val="auto"/>
          <w:sz w:val="32"/>
          <w:szCs w:val="32"/>
          <w:highlight w:val="none"/>
        </w:rPr>
        <w:t>增加</w:t>
      </w:r>
      <w:r>
        <w:rPr>
          <w:rFonts w:hint="eastAsia" w:eastAsia="仿宋_GB2312" w:cs="Times New Roman"/>
          <w:color w:val="auto"/>
          <w:kern w:val="2"/>
          <w:sz w:val="32"/>
          <w:szCs w:val="32"/>
          <w:highlight w:val="none"/>
          <w:lang w:val="zh-CN" w:eastAsia="zh-CN" w:bidi="ar-SA"/>
        </w:rPr>
        <w:t>。</w:t>
      </w:r>
    </w:p>
    <w:p w14:paraId="5E27175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4.住房保障支出（类）住房改革支出（款）住房公积金（项）:支出决算数为65.82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16.47%，主要原因是：</w:t>
      </w:r>
      <w:r>
        <w:rPr>
          <w:rFonts w:hint="eastAsia" w:ascii="仿宋_GB2312" w:eastAsia="仿宋_GB2312"/>
          <w:color w:val="auto"/>
          <w:spacing w:val="0"/>
          <w:sz w:val="32"/>
          <w:szCs w:val="32"/>
          <w:highlight w:val="none"/>
          <w:lang w:val="en-US" w:eastAsia="zh-CN"/>
        </w:rPr>
        <w:t>2023年度工资调整，</w:t>
      </w:r>
      <w:r>
        <w:rPr>
          <w:rFonts w:hint="eastAsia" w:ascii="Times New Roman" w:hAnsi="Times New Roman" w:eastAsia="仿宋_GB2312" w:cs="Times New Roman"/>
          <w:color w:val="auto"/>
          <w:kern w:val="2"/>
          <w:sz w:val="32"/>
          <w:szCs w:val="32"/>
          <w:highlight w:val="none"/>
          <w:lang w:val="en-US" w:eastAsia="zh-CN" w:bidi="ar-SA"/>
        </w:rPr>
        <w:t>住房公积金</w:t>
      </w:r>
      <w:r>
        <w:rPr>
          <w:rFonts w:hint="eastAsia" w:ascii="仿宋_GB2312" w:eastAsia="仿宋_GB2312"/>
          <w:color w:val="auto"/>
          <w:spacing w:val="0"/>
          <w:sz w:val="32"/>
          <w:szCs w:val="32"/>
          <w:highlight w:val="none"/>
          <w:lang w:val="en-US" w:eastAsia="zh-CN"/>
        </w:rPr>
        <w:t>缴费基数</w:t>
      </w:r>
      <w:r>
        <w:rPr>
          <w:rFonts w:hint="eastAsia" w:eastAsia="仿宋_GB2312" w:cs="Times New Roman"/>
          <w:color w:val="auto"/>
          <w:kern w:val="2"/>
          <w:sz w:val="32"/>
          <w:szCs w:val="32"/>
          <w:highlight w:val="none"/>
          <w:lang w:val="en-US" w:eastAsia="zh-CN" w:bidi="ar-SA"/>
        </w:rPr>
        <w:t>较</w:t>
      </w:r>
      <w:r>
        <w:rPr>
          <w:rFonts w:hint="eastAsia" w:ascii="仿宋_GB2312" w:eastAsia="仿宋_GB2312"/>
          <w:color w:val="auto"/>
          <w:spacing w:val="0"/>
          <w:sz w:val="32"/>
          <w:szCs w:val="32"/>
          <w:highlight w:val="none"/>
          <w:lang w:val="en-US" w:eastAsia="zh-CN"/>
        </w:rPr>
        <w:t>上年有所增长。</w:t>
      </w:r>
    </w:p>
    <w:p w14:paraId="1CD41A2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5.社会保障和就业支出（类）行政事业单位养老支出（款）事业单位离退休（项）:支出决算数为205.29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21.06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11.43%，主要原因是：</w:t>
      </w:r>
      <w:r>
        <w:rPr>
          <w:rFonts w:hint="eastAsia" w:eastAsia="仿宋_GB2312" w:cs="Times New Roman"/>
          <w:color w:val="auto"/>
          <w:kern w:val="2"/>
          <w:sz w:val="32"/>
          <w:szCs w:val="32"/>
          <w:highlight w:val="none"/>
          <w:lang w:val="en-US" w:eastAsia="zh-CN" w:bidi="ar-SA"/>
        </w:rPr>
        <w:t>2023年追加丧葬抚恤金，2022年未申请丧葬抚恤金</w:t>
      </w:r>
      <w:r>
        <w:rPr>
          <w:rFonts w:hint="eastAsia" w:eastAsia="仿宋_GB2312" w:cs="Times New Roman"/>
          <w:color w:val="auto"/>
          <w:kern w:val="2"/>
          <w:sz w:val="32"/>
          <w:szCs w:val="32"/>
          <w:highlight w:val="none"/>
          <w:lang w:val="zh-CN" w:eastAsia="zh-CN" w:bidi="ar-SA"/>
        </w:rPr>
        <w:t>。</w:t>
      </w:r>
    </w:p>
    <w:p w14:paraId="75A65EA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6.社会保障和就业支出（类）行政事业单位养老支出（款）机关事业单位职业年金缴费支出（项）:支出决算数为6.89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60.6</w:t>
      </w: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缴纳2022年度4名辞职调转交投公司职工职业年金。</w:t>
      </w:r>
    </w:p>
    <w:p w14:paraId="5D25699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7.社会保障和就业支出（类）行政事业单位养老支出（款）机关事业单位基本养老保险缴费支出（项）:支出决算数为87.76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12.41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16.47%，主要原因是：</w:t>
      </w:r>
      <w:r>
        <w:rPr>
          <w:rFonts w:hint="eastAsia" w:ascii="仿宋_GB2312" w:eastAsia="仿宋_GB2312"/>
          <w:color w:val="auto"/>
          <w:spacing w:val="0"/>
          <w:sz w:val="32"/>
          <w:szCs w:val="32"/>
          <w:highlight w:val="none"/>
          <w:lang w:val="en-US" w:eastAsia="zh-CN"/>
        </w:rPr>
        <w:t>2023年度工资调整，</w:t>
      </w:r>
      <w:r>
        <w:rPr>
          <w:rFonts w:hint="eastAsia" w:ascii="Times New Roman" w:hAnsi="Times New Roman" w:eastAsia="仿宋_GB2312" w:cs="Times New Roman"/>
          <w:color w:val="auto"/>
          <w:kern w:val="2"/>
          <w:sz w:val="32"/>
          <w:szCs w:val="32"/>
          <w:highlight w:val="none"/>
          <w:lang w:val="en-US" w:eastAsia="zh-CN" w:bidi="ar-SA"/>
        </w:rPr>
        <w:t>机关事业单位基本养老保险</w:t>
      </w:r>
      <w:r>
        <w:rPr>
          <w:rFonts w:hint="eastAsia" w:ascii="仿宋_GB2312" w:eastAsia="仿宋_GB2312"/>
          <w:color w:val="auto"/>
          <w:spacing w:val="0"/>
          <w:sz w:val="32"/>
          <w:szCs w:val="32"/>
          <w:highlight w:val="none"/>
          <w:lang w:val="en-US" w:eastAsia="zh-CN"/>
        </w:rPr>
        <w:t>缴费基数</w:t>
      </w:r>
      <w:r>
        <w:rPr>
          <w:rFonts w:hint="eastAsia" w:eastAsia="仿宋_GB2312" w:cs="Times New Roman"/>
          <w:color w:val="auto"/>
          <w:kern w:val="2"/>
          <w:sz w:val="32"/>
          <w:szCs w:val="32"/>
          <w:highlight w:val="none"/>
          <w:lang w:val="en-US" w:eastAsia="zh-CN" w:bidi="ar-SA"/>
        </w:rPr>
        <w:t>较</w:t>
      </w:r>
      <w:r>
        <w:rPr>
          <w:rFonts w:hint="eastAsia" w:ascii="仿宋_GB2312" w:eastAsia="仿宋_GB2312"/>
          <w:color w:val="auto"/>
          <w:spacing w:val="0"/>
          <w:sz w:val="32"/>
          <w:szCs w:val="32"/>
          <w:highlight w:val="none"/>
          <w:lang w:val="en-US" w:eastAsia="zh-CN"/>
        </w:rPr>
        <w:t>上年有所增长</w:t>
      </w:r>
      <w:r>
        <w:rPr>
          <w:rFonts w:hint="eastAsia" w:eastAsia="仿宋_GB2312" w:cs="Times New Roman"/>
          <w:color w:val="auto"/>
          <w:kern w:val="2"/>
          <w:sz w:val="32"/>
          <w:szCs w:val="32"/>
          <w:highlight w:val="none"/>
          <w:lang w:val="zh-CN" w:eastAsia="zh-CN" w:bidi="ar-SA"/>
        </w:rPr>
        <w:t>。</w:t>
      </w:r>
    </w:p>
    <w:p w14:paraId="1AE313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A3827B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1,333.08</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1,272.14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抚恤金、生活补助、医疗费补助、奖励金、其他对个人和家庭的补助。</w:t>
      </w:r>
    </w:p>
    <w:p w14:paraId="3DAE2ED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60.94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办公费、水费、电费、邮电费、取暖费、差旅费、劳务费、工会经费、福利费、公务用车运行维护费、其他商品和服务支出</w:t>
      </w:r>
      <w:r>
        <w:rPr>
          <w:rFonts w:hint="eastAsia" w:ascii="仿宋_GB2312" w:eastAsia="仿宋_GB2312"/>
          <w:color w:val="auto"/>
          <w:sz w:val="32"/>
          <w:szCs w:val="32"/>
          <w:highlight w:val="none"/>
          <w:lang w:eastAsia="zh-CN"/>
        </w:rPr>
        <w:t>。</w:t>
      </w:r>
    </w:p>
    <w:p w14:paraId="0DD8D0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025700B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“三公”经费支出5.66万元，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减少0.05万元，</w:t>
      </w:r>
      <w:r>
        <w:rPr>
          <w:rFonts w:hint="eastAsia" w:ascii="仿宋_GB2312" w:eastAsia="仿宋_GB2312"/>
          <w:color w:val="auto"/>
          <w:spacing w:val="0"/>
          <w:sz w:val="32"/>
          <w:szCs w:val="32"/>
          <w:highlight w:val="none"/>
          <w:lang w:val="en-US" w:eastAsia="zh-CN"/>
        </w:rPr>
        <w:t>下降0.88%,</w:t>
      </w:r>
      <w:r>
        <w:rPr>
          <w:rFonts w:hint="eastAsia" w:ascii="仿宋_GB2312" w:eastAsia="仿宋_GB2312"/>
          <w:color w:val="auto"/>
          <w:sz w:val="32"/>
          <w:szCs w:val="32"/>
          <w:highlight w:val="none"/>
          <w:lang w:val="zh-CN" w:eastAsia="zh-CN"/>
        </w:rPr>
        <w:t>主要原因是：是严格落实“过紧日子”要求，控制单位一般性支出，压减“</w:t>
      </w:r>
      <w:r>
        <w:rPr>
          <w:rFonts w:hint="eastAsia" w:ascii="仿宋_GB2312" w:eastAsia="仿宋_GB2312"/>
          <w:color w:val="auto"/>
          <w:sz w:val="32"/>
          <w:szCs w:val="32"/>
          <w:highlight w:val="none"/>
          <w:lang w:val="en-US" w:eastAsia="zh-CN"/>
        </w:rPr>
        <w:t>三公”</w:t>
      </w:r>
      <w:r>
        <w:rPr>
          <w:rFonts w:hint="eastAsia" w:ascii="仿宋_GB2312" w:eastAsia="仿宋_GB2312"/>
          <w:color w:val="auto"/>
          <w:sz w:val="32"/>
          <w:szCs w:val="32"/>
          <w:highlight w:val="none"/>
          <w:lang w:val="zh-CN" w:eastAsia="zh-CN"/>
        </w:rPr>
        <w:t>经费开支。其中：因公出国（境）费支出0.00万元，占0.00%，比上年增加0.00万元，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主要原因是：根据单位实际情况202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年度和202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年度均未安排因公出国（境）预算；公务用车购置及运行维护费支出5.66万元，占100.00%，比上年减少0.05万元，</w:t>
      </w:r>
      <w:r>
        <w:rPr>
          <w:rFonts w:hint="eastAsia" w:ascii="仿宋_GB2312" w:eastAsia="仿宋_GB2312"/>
          <w:color w:val="auto"/>
          <w:spacing w:val="0"/>
          <w:sz w:val="32"/>
          <w:szCs w:val="32"/>
          <w:highlight w:val="none"/>
          <w:lang w:val="en-US" w:eastAsia="zh-CN"/>
        </w:rPr>
        <w:t>下降0.88%,</w:t>
      </w:r>
      <w:r>
        <w:rPr>
          <w:rFonts w:hint="eastAsia" w:ascii="仿宋_GB2312" w:eastAsia="仿宋_GB2312"/>
          <w:color w:val="auto"/>
          <w:sz w:val="32"/>
          <w:szCs w:val="32"/>
          <w:highlight w:val="none"/>
          <w:lang w:val="zh-CN" w:eastAsia="zh-CN"/>
        </w:rPr>
        <w:t>主要原因是：严格落实“过紧日子”要求，控制单位一般性支出，压减</w:t>
      </w:r>
      <w:r>
        <w:rPr>
          <w:rFonts w:hint="eastAsia" w:ascii="仿宋_GB2312" w:eastAsia="仿宋_GB2312"/>
          <w:color w:val="auto"/>
          <w:sz w:val="32"/>
          <w:szCs w:val="32"/>
          <w:highlight w:val="none"/>
          <w:lang w:val="en-US" w:eastAsia="zh-CN"/>
        </w:rPr>
        <w:t>公务用车运行维护费</w:t>
      </w:r>
      <w:r>
        <w:rPr>
          <w:rFonts w:hint="eastAsia" w:ascii="仿宋_GB2312" w:eastAsia="仿宋_GB2312"/>
          <w:color w:val="auto"/>
          <w:sz w:val="32"/>
          <w:szCs w:val="32"/>
          <w:highlight w:val="none"/>
          <w:lang w:val="zh-CN" w:eastAsia="zh-CN"/>
        </w:rPr>
        <w:t>开支；公务接待费支出0.00万元，占0.00%，比上年增加0.00万元，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主要原因是：根据单位实际情况严格执行公务接待规定，202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年度和202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年度均未安排公务接待费预算。</w:t>
      </w:r>
    </w:p>
    <w:p w14:paraId="5F0706A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5F831B7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color w:val="auto"/>
          <w:sz w:val="32"/>
          <w:szCs w:val="32"/>
          <w:highlight w:val="none"/>
          <w:lang w:val="en-US" w:eastAsia="zh-CN"/>
        </w:rPr>
        <w:t>开支内容包括：</w:t>
      </w:r>
      <w:r>
        <w:rPr>
          <w:rFonts w:hint="default" w:ascii="Times New Roman" w:hAnsi="Times New Roman" w:eastAsia="方正仿宋_GBK" w:cs="Times New Roman"/>
          <w:sz w:val="32"/>
          <w:szCs w:val="32"/>
        </w:rPr>
        <w:t>我单位无因公出国（境）费</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单位全年安排的因公出国（境）团组0个，因公出国（境）0人次。</w:t>
      </w:r>
    </w:p>
    <w:p w14:paraId="43E5E31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公务用车购置及运行维护费5.66万元，其中：公务用车购置费0.00万元，公务用车运行维护费5.66万元。公务用车运行维护费开支内容包括</w:t>
      </w:r>
      <w:r>
        <w:rPr>
          <w:rFonts w:hint="eastAsia" w:ascii="仿宋_GB2312" w:eastAsia="仿宋_GB2312"/>
          <w:color w:val="auto"/>
          <w:sz w:val="32"/>
          <w:szCs w:val="32"/>
          <w:highlight w:val="none"/>
          <w:lang w:val="en-US" w:eastAsia="zh-CN"/>
        </w:rPr>
        <w:t>车辆燃料费、维修费、保险费、过路过桥费</w:t>
      </w:r>
      <w:r>
        <w:rPr>
          <w:rFonts w:hint="eastAsia" w:ascii="仿宋_GB2312" w:eastAsia="仿宋_GB2312"/>
          <w:color w:val="auto"/>
          <w:sz w:val="32"/>
          <w:szCs w:val="32"/>
          <w:highlight w:val="none"/>
          <w:lang w:val="zh-CN" w:eastAsia="zh-CN"/>
        </w:rPr>
        <w:t>。公务用车购置数0辆，公务用车保有量4辆。国有资产占用情况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9辆，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单位车辆共9辆，其中公务用车4辆，剩余车辆为皮卡车、货车、自卸车等养护生产用车，5辆生产用车均属于待报废车辆，无法使用，未产生任何费用。</w:t>
      </w:r>
    </w:p>
    <w:p w14:paraId="7E19461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eastAsia="仿宋_GB2312"/>
          <w:color w:val="auto"/>
          <w:sz w:val="32"/>
          <w:szCs w:val="32"/>
          <w:highlight w:val="none"/>
          <w:lang w:val="en-US" w:eastAsia="zh-CN"/>
        </w:rPr>
        <w:t>开支内容包括：</w:t>
      </w:r>
      <w:r>
        <w:rPr>
          <w:rFonts w:hint="default" w:ascii="Times New Roman" w:hAnsi="Times New Roman" w:eastAsia="仿宋_GB2312" w:cs="Times New Roman"/>
          <w:color w:val="auto"/>
          <w:sz w:val="32"/>
          <w:szCs w:val="32"/>
          <w:highlight w:val="none"/>
          <w:lang w:val="zh-CN" w:eastAsia="zh-CN"/>
        </w:rPr>
        <w:t>我单位无公务接待费。</w:t>
      </w:r>
      <w:r>
        <w:rPr>
          <w:rFonts w:hint="eastAsia" w:ascii="仿宋_GB2312" w:eastAsia="仿宋_GB2312"/>
          <w:color w:val="auto"/>
          <w:sz w:val="32"/>
          <w:szCs w:val="32"/>
          <w:highlight w:val="none"/>
          <w:lang w:val="zh-CN" w:eastAsia="zh-CN"/>
        </w:rPr>
        <w:t>单位全年安排的国内公务接待0批次，0人次。</w:t>
      </w:r>
    </w:p>
    <w:p w14:paraId="6515DE1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预算数5.66万元，决算数5.66万元，预决算差异率0.00%，主要原因是：</w:t>
      </w:r>
      <w:r>
        <w:rPr>
          <w:rFonts w:hint="eastAsia" w:ascii="仿宋_GB2312" w:eastAsia="仿宋_GB2312"/>
          <w:color w:val="auto"/>
          <w:sz w:val="32"/>
          <w:szCs w:val="32"/>
          <w:highlight w:val="none"/>
          <w:lang w:val="en-US" w:eastAsia="zh-CN"/>
        </w:rPr>
        <w:t>严格落实“无预算不开支”的预算管理理念，合理合规安排“三公”经费，发挥财政资金效益</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年度未安排因公出国（境）预算；公务用车购置费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年度未安排公务用车购置预算；公务用车运行费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预算数5.66万元，决算数5.66万元，预决算差异率0.00%，主要原因是：是严格落实“过紧日子”要求，控制单位一般性支出，压减</w:t>
      </w:r>
      <w:r>
        <w:rPr>
          <w:rFonts w:hint="eastAsia" w:ascii="仿宋_GB2312" w:eastAsia="仿宋_GB2312"/>
          <w:color w:val="auto"/>
          <w:sz w:val="32"/>
          <w:szCs w:val="32"/>
          <w:highlight w:val="none"/>
          <w:lang w:val="en-US" w:eastAsia="zh-CN"/>
        </w:rPr>
        <w:t>公务用车运行维护费</w:t>
      </w:r>
      <w:r>
        <w:rPr>
          <w:rFonts w:hint="eastAsia" w:ascii="仿宋_GB2312" w:eastAsia="仿宋_GB2312"/>
          <w:color w:val="auto"/>
          <w:sz w:val="32"/>
          <w:szCs w:val="32"/>
          <w:highlight w:val="none"/>
          <w:lang w:val="zh-CN" w:eastAsia="zh-CN"/>
        </w:rPr>
        <w:t>开支；公务接待费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年度未安排公务接待预算。</w:t>
      </w:r>
    </w:p>
    <w:p w14:paraId="0A67180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1BF73D8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2D17F5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784869A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377B9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4200ED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4B3BFE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新疆维吾尔自治区公路管理局沥青储运总站（事业单位）公用经费支出60.94万元，</w:t>
      </w:r>
      <w:r>
        <w:rPr>
          <w:rFonts w:hint="eastAsia" w:ascii="Times New Roman" w:hAnsi="Times New Roman" w:eastAsia="仿宋_GB2312" w:cs="Times New Roman"/>
          <w:color w:val="auto"/>
          <w:sz w:val="32"/>
          <w:szCs w:val="32"/>
          <w:highlight w:val="none"/>
          <w:lang w:val="zh-CN" w:eastAsia="zh-CN"/>
        </w:rPr>
        <w:t>比上年减少7.47万元，下降10.92%，主要原因是：</w:t>
      </w:r>
      <w:r>
        <w:rPr>
          <w:rFonts w:hint="eastAsia" w:ascii="仿宋_GB2312" w:eastAsia="仿宋_GB2312"/>
          <w:color w:val="auto"/>
          <w:sz w:val="32"/>
          <w:szCs w:val="32"/>
          <w:highlight w:val="none"/>
          <w:lang w:val="zh-CN" w:eastAsia="zh-CN"/>
        </w:rPr>
        <w:t>是严格落实过“紧日子”要求，</w:t>
      </w:r>
      <w:r>
        <w:rPr>
          <w:rFonts w:hint="eastAsia" w:ascii="仿宋_GB2312" w:eastAsia="仿宋_GB2312"/>
          <w:color w:val="auto"/>
          <w:sz w:val="32"/>
          <w:szCs w:val="32"/>
          <w:highlight w:val="none"/>
          <w:lang w:val="en-US" w:eastAsia="zh-CN"/>
        </w:rPr>
        <w:t>压减</w:t>
      </w:r>
      <w:r>
        <w:rPr>
          <w:rFonts w:hint="eastAsia" w:ascii="Times New Roman" w:hAnsi="Times New Roman" w:eastAsia="仿宋_GB2312" w:cs="Times New Roman"/>
          <w:color w:val="auto"/>
          <w:sz w:val="32"/>
          <w:szCs w:val="32"/>
          <w:highlight w:val="none"/>
          <w:lang w:val="en-US" w:eastAsia="zh-CN"/>
        </w:rPr>
        <w:t>公用经费支出</w:t>
      </w:r>
      <w:r>
        <w:rPr>
          <w:rFonts w:hint="eastAsia" w:eastAsia="仿宋_GB2312" w:cs="Times New Roman"/>
          <w:color w:val="auto"/>
          <w:sz w:val="32"/>
          <w:szCs w:val="32"/>
          <w:highlight w:val="none"/>
          <w:lang w:val="en-US" w:eastAsia="zh-CN"/>
        </w:rPr>
        <w:t>。</w:t>
      </w:r>
    </w:p>
    <w:p w14:paraId="7628D2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bookmarkStart w:id="48" w:name="_GoBack"/>
      <w:bookmarkEnd w:id="48"/>
    </w:p>
    <w:p w14:paraId="08E248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92.32万元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其中：政府采购货物支出0.40万元、政府采购工程支出88.22万元、政府采购服务支出3.71万元。</w:t>
      </w:r>
    </w:p>
    <w:p w14:paraId="2793FC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授予中小企业合同金额90.61万元，占政府采购支出总额的98.14</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，其中：授予小微企业合同金额90.61万元，占政府采购支出总额的98.14</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12E31D6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1F9D32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5,702.00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屋14030.36平方米，价值906.38万元。车辆9辆，价值231.83万元，其中：副部（省）级及以上领导用车0辆、主要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用车0辆、其他用车9辆，其他用车主要是：</w:t>
      </w:r>
      <w:r>
        <w:rPr>
          <w:rFonts w:hint="eastAsia" w:eastAsia="仿宋_GB2312" w:cs="Times New Roman"/>
          <w:color w:val="auto"/>
          <w:sz w:val="32"/>
          <w:szCs w:val="32"/>
          <w:highlight w:val="none"/>
          <w:lang w:val="en-US" w:eastAsia="zh-CN"/>
        </w:rPr>
        <w:t>皮卡车、货车、自卸车等养护生产车辆</w:t>
      </w:r>
      <w:r>
        <w:rPr>
          <w:rFonts w:hint="eastAsia" w:ascii="Times New Roman" w:hAnsi="Times New Roman" w:eastAsia="仿宋_GB2312" w:cs="Times New Roman"/>
          <w:color w:val="auto"/>
          <w:sz w:val="32"/>
          <w:szCs w:val="32"/>
          <w:highlight w:val="none"/>
          <w:lang w:val="zh-CN" w:eastAsia="zh-CN"/>
        </w:rPr>
        <w:t>；单价100万元（含）以上设备（不含车辆）2</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75854E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9DBC1D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全年预算数270.56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全年执行数270.56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ascii="仿宋_GB2312" w:eastAsia="仿宋_GB2312"/>
          <w:color w:val="auto"/>
          <w:sz w:val="32"/>
          <w:szCs w:val="32"/>
          <w:highlight w:val="none"/>
        </w:rPr>
        <w:t>一是通过对公路运营管理项目实施，进一步加强了单位基础设施和重要部位的安全保障，保障单位正常工作运转；二是通过预算绩效管理，逐步规范项目管理，项目资金专款专用、专项核算；三是不断加强项目执行的严肃性和约束力，努力保障各项目顺利实施</w:t>
      </w:r>
      <w:r>
        <w:rPr>
          <w:rFonts w:hint="eastAsia" w:ascii="仿宋_GB2312" w:eastAsia="仿宋_GB2312"/>
          <w:color w:val="auto"/>
          <w:sz w:val="32"/>
          <w:szCs w:val="32"/>
          <w:highlight w:val="none"/>
        </w:rPr>
        <w:t>。发现的问题及原因：</w:t>
      </w:r>
      <w:r>
        <w:rPr>
          <w:rFonts w:ascii="仿宋_GB2312" w:eastAsia="仿宋_GB2312"/>
          <w:color w:val="auto"/>
          <w:sz w:val="32"/>
          <w:szCs w:val="32"/>
          <w:highlight w:val="none"/>
        </w:rPr>
        <w:t>一是指标体系建设不足，对绩效评价工作的重要性认识不够；二是绩效目标规划不够规范，设立不够全面</w:t>
      </w:r>
      <w:r>
        <w:rPr>
          <w:rFonts w:hint="eastAsia" w:ascii="仿宋_GB2312" w:eastAsia="仿宋_GB2312"/>
          <w:color w:val="auto"/>
          <w:sz w:val="32"/>
          <w:szCs w:val="32"/>
          <w:highlight w:val="none"/>
        </w:rPr>
        <w:t>。下一步改进措施：</w:t>
      </w:r>
      <w:r>
        <w:rPr>
          <w:rFonts w:ascii="仿宋_GB2312" w:eastAsia="仿宋_GB2312"/>
          <w:color w:val="auto"/>
          <w:sz w:val="32"/>
          <w:szCs w:val="32"/>
          <w:highlight w:val="none"/>
        </w:rPr>
        <w:t>一是加强项目绩效管理，保证项目资金合理使用；二是加强项目实施管理，合理制定项目实施计划，确保项目按期完成；三是按照安排的预算资金，根据申请计划，合理安排支付时间，避免资金执行率过低</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2437620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33A5E1A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345FDC1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0627BA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25C8B0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86D4E4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63B9A36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7B790A0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520A728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4674874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1254EE6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0CE98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3E319DA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DD6317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7CF6119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385DB6A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03008B11">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64163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199FBB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4F3946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051CF8C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557110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4C0C7B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075C461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0CD9F8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3287E6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4922C2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2A1E861B">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4676C9C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90D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F2E94B">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0CF2E94B">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M2VlZGQ2YTBiN2U3MGFlNmVmMzQ0NTc5YzYzOGYifQ=="/>
    <w:docVar w:name="KSO_WPS_MARK_KEY" w:val="41ee2a61-2d54-4f93-83be-afdb9a40d732"/>
  </w:docVars>
  <w:rsids>
    <w:rsidRoot w:val="00000000"/>
    <w:rsid w:val="00213C59"/>
    <w:rsid w:val="003210CE"/>
    <w:rsid w:val="00B70D59"/>
    <w:rsid w:val="00DB54CB"/>
    <w:rsid w:val="00F52A8D"/>
    <w:rsid w:val="019404F8"/>
    <w:rsid w:val="01B841E6"/>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31E7E"/>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8AC4201"/>
    <w:rsid w:val="190648B0"/>
    <w:rsid w:val="19071D6C"/>
    <w:rsid w:val="19D26CD4"/>
    <w:rsid w:val="19E60D19"/>
    <w:rsid w:val="1A3E3450"/>
    <w:rsid w:val="1AD807E5"/>
    <w:rsid w:val="1B1C7C04"/>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4F26F59"/>
    <w:rsid w:val="252523ED"/>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A399D"/>
    <w:rsid w:val="285F51FF"/>
    <w:rsid w:val="28DF2665"/>
    <w:rsid w:val="29072599"/>
    <w:rsid w:val="291029F3"/>
    <w:rsid w:val="29CB58F0"/>
    <w:rsid w:val="2A053397"/>
    <w:rsid w:val="2A145E96"/>
    <w:rsid w:val="2A2131BB"/>
    <w:rsid w:val="2A5F7045"/>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32F6C"/>
    <w:rsid w:val="31C63837"/>
    <w:rsid w:val="31C82E39"/>
    <w:rsid w:val="31DE0DC8"/>
    <w:rsid w:val="325B31CB"/>
    <w:rsid w:val="32601BAD"/>
    <w:rsid w:val="329F6389"/>
    <w:rsid w:val="3389023A"/>
    <w:rsid w:val="33CB74FA"/>
    <w:rsid w:val="343642F2"/>
    <w:rsid w:val="343F3010"/>
    <w:rsid w:val="345D0A00"/>
    <w:rsid w:val="34713BFD"/>
    <w:rsid w:val="34C13589"/>
    <w:rsid w:val="35207D0E"/>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B40443"/>
    <w:rsid w:val="3DCC2473"/>
    <w:rsid w:val="3DEB0883"/>
    <w:rsid w:val="3E2527BF"/>
    <w:rsid w:val="3E731662"/>
    <w:rsid w:val="3E8168DD"/>
    <w:rsid w:val="3EA7725F"/>
    <w:rsid w:val="3EB03713"/>
    <w:rsid w:val="3EBF1A11"/>
    <w:rsid w:val="3EC52607"/>
    <w:rsid w:val="3EEC6CEF"/>
    <w:rsid w:val="3F183429"/>
    <w:rsid w:val="3F7A3586"/>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CB70C6"/>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E952C3"/>
    <w:rsid w:val="525C687F"/>
    <w:rsid w:val="52F647F7"/>
    <w:rsid w:val="52F92565"/>
    <w:rsid w:val="53D03877"/>
    <w:rsid w:val="542F73CA"/>
    <w:rsid w:val="5430786D"/>
    <w:rsid w:val="545A1D2A"/>
    <w:rsid w:val="54C811C0"/>
    <w:rsid w:val="556A442D"/>
    <w:rsid w:val="55DA564E"/>
    <w:rsid w:val="5604127D"/>
    <w:rsid w:val="56076719"/>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250F7"/>
    <w:rsid w:val="58CD2491"/>
    <w:rsid w:val="591B41B2"/>
    <w:rsid w:val="59254A26"/>
    <w:rsid w:val="59326325"/>
    <w:rsid w:val="595C505B"/>
    <w:rsid w:val="595E55C3"/>
    <w:rsid w:val="596E7E20"/>
    <w:rsid w:val="5A60780B"/>
    <w:rsid w:val="5AB34579"/>
    <w:rsid w:val="5AFC6609"/>
    <w:rsid w:val="5B113480"/>
    <w:rsid w:val="5BD456CE"/>
    <w:rsid w:val="5C0D1F49"/>
    <w:rsid w:val="5C847CC1"/>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104F4"/>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07F4C"/>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100AB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5388</Words>
  <Characters>6111</Characters>
  <Lines>0</Lines>
  <Paragraphs>0</Paragraphs>
  <TotalTime>0</TotalTime>
  <ScaleCrop>false</ScaleCrop>
  <LinksUpToDate>false</LinksUpToDate>
  <CharactersWithSpaces>6123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肤浅</cp:lastModifiedBy>
  <dcterms:modified xsi:type="dcterms:W3CDTF">2024-11-04T14:04:03Z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