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8431AC">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30FA695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4616596C">
      <w:pPr>
        <w:keepNext w:val="0"/>
        <w:keepLines w:val="0"/>
        <w:pageBreakBefore w:val="0"/>
        <w:widowControl w:val="0"/>
        <w:kinsoku/>
        <w:wordWrap/>
        <w:overflowPunct/>
        <w:topLinePunct w:val="0"/>
        <w:bidi w:val="0"/>
        <w:adjustRightInd/>
        <w:snapToGrid/>
        <w:spacing w:line="240" w:lineRule="auto"/>
        <w:ind w:firstLine="440" w:firstLineChars="100"/>
        <w:jc w:val="both"/>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奎屯公路管理局</w:t>
      </w: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14:paraId="53FA8BF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14B2869D">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1F104EFD">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0BDF1377">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388A854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69B7953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157AEB24">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1930A80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4CD1DDE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3EF608D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47A3524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2A76EE0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7B869B0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61183B9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656A54A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2972D2BC">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79F6B5B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4E3EE6C9">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3B09DE23">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6ABD4274">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32884CE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285FAE5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5057456E">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7F1A7213">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253251D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596E1CF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063FE536">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1D529C9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4B735769">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1DF6280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17F4B34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4CEC840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00A8322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63158383">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5D1D4FF4">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19AB72A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2569CA8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14:paraId="33170C40">
      <w:pPr>
        <w:ind w:firstLine="640" w:firstLineChars="200"/>
        <w:rPr>
          <w:rFonts w:ascii="黑体" w:hAnsi="黑体" w:eastAsia="黑体" w:cs="宋体"/>
          <w:bCs/>
          <w:kern w:val="0"/>
          <w:sz w:val="32"/>
          <w:szCs w:val="32"/>
        </w:rPr>
      </w:pPr>
      <w:bookmarkStart w:id="4" w:name="_Toc31238"/>
      <w:bookmarkStart w:id="5" w:name="_Toc2151"/>
      <w:r>
        <w:rPr>
          <w:rFonts w:ascii="仿宋_GB2312" w:eastAsia="仿宋_GB2312"/>
          <w:sz w:val="32"/>
          <w:szCs w:val="32"/>
        </w:rPr>
        <w:t>负责编报本辖区公路养护管理年度计划和预算，具体管理上级拨付的公路养护专项资金；负责辖区国道、省道、高速公路和专用公路及沿线服务设施的养护和质量管理工作，以及公路交通战备、灾害应急处置、抢险救灾等工作；负责辖区内农村公路质量监督工作；负责辖区非经营性收费公路和经营性收费公路的管理工作；负责公路养护和施工机械设备的管理工作；负责辖区公路管理系统行业统计、经济调查和信息化建设等工作</w:t>
      </w:r>
      <w:r>
        <w:rPr>
          <w:rFonts w:hint="eastAsia" w:ascii="仿宋_GB2312" w:eastAsia="仿宋_GB2312"/>
          <w:sz w:val="32"/>
          <w:szCs w:val="32"/>
        </w:rPr>
        <w:t>。</w:t>
      </w:r>
    </w:p>
    <w:p w14:paraId="24CF4BA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10B7105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奎屯公路管理局</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813</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253</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1</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559</w:t>
      </w:r>
      <w:r>
        <w:rPr>
          <w:rFonts w:hint="eastAsia" w:ascii="仿宋_GB2312" w:eastAsia="仿宋_GB2312"/>
          <w:color w:val="auto"/>
          <w:sz w:val="32"/>
          <w:szCs w:val="32"/>
          <w:highlight w:val="none"/>
        </w:rPr>
        <w:t>人。</w:t>
      </w:r>
    </w:p>
    <w:p w14:paraId="0A7EEAF4">
      <w:pPr>
        <w:ind w:firstLine="640" w:firstLineChars="200"/>
        <w:rPr>
          <w:rFonts w:ascii="仿宋_GB2312" w:eastAsia="仿宋_GB2312"/>
          <w:sz w:val="32"/>
          <w:szCs w:val="32"/>
        </w:rPr>
      </w:pPr>
      <w:bookmarkStart w:id="6" w:name="_Toc3092"/>
      <w:bookmarkStart w:id="7" w:name="_Toc29374"/>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13</w:t>
      </w:r>
      <w:r>
        <w:rPr>
          <w:rFonts w:hint="eastAsia" w:ascii="仿宋_GB2312" w:hAnsi="黑体" w:eastAsia="仿宋_GB2312" w:cs="宋体"/>
          <w:bCs/>
          <w:kern w:val="0"/>
          <w:sz w:val="32"/>
          <w:szCs w:val="32"/>
        </w:rPr>
        <w:t>个</w:t>
      </w:r>
      <w:r>
        <w:rPr>
          <w:rFonts w:hint="eastAsia" w:ascii="仿宋_GB2312" w:hAnsi="黑体" w:eastAsia="仿宋_GB2312" w:cs="宋体"/>
          <w:bCs/>
          <w:kern w:val="0"/>
          <w:sz w:val="32"/>
          <w:szCs w:val="32"/>
          <w:lang w:eastAsia="zh-CN"/>
        </w:rPr>
        <w:t>科</w:t>
      </w:r>
      <w:r>
        <w:rPr>
          <w:rFonts w:hint="eastAsia" w:ascii="仿宋_GB2312" w:hAnsi="黑体" w:eastAsia="仿宋_GB2312" w:cs="宋体"/>
          <w:bCs/>
          <w:kern w:val="0"/>
          <w:sz w:val="32"/>
          <w:szCs w:val="32"/>
        </w:rPr>
        <w:t>室，分别是：办公室（党委办公室）、组织人事科、纪委（监察室）、财务审计科、养护管理科、收费稽查科、监控通讯科、设备管理科、劳动保障科、安全监督保卫科、工会委员会、离退休人员管理科、后勤服务科</w:t>
      </w:r>
      <w:r>
        <w:rPr>
          <w:rFonts w:hint="eastAsia" w:ascii="仿宋_GB2312" w:hAnsi="宋体" w:eastAsia="仿宋_GB2312" w:cs="宋体"/>
          <w:kern w:val="0"/>
          <w:sz w:val="32"/>
          <w:szCs w:val="32"/>
        </w:rPr>
        <w:t>。</w:t>
      </w:r>
    </w:p>
    <w:p w14:paraId="32ED975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09A252D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6B23F88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5751486E">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03FF215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65F7E9E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14:paraId="763CD89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9,793.80万元，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9,772.51万元，使用非财政拨款结余21.28万元，年初结转和结余0.00万元。</w:t>
      </w:r>
    </w:p>
    <w:p w14:paraId="46D9821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9,793.80万元，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9,793.80万元，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0.00万元，年末结转和结余0.00万元。</w:t>
      </w:r>
    </w:p>
    <w:p w14:paraId="61E4853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减少4,282.55万元</w:t>
      </w:r>
      <w:r>
        <w:rPr>
          <w:rFonts w:hint="eastAsia" w:ascii="仿宋_GB2312" w:eastAsia="仿宋_GB2312"/>
          <w:color w:val="auto"/>
          <w:spacing w:val="0"/>
          <w:sz w:val="32"/>
          <w:szCs w:val="32"/>
          <w:highlight w:val="none"/>
          <w:lang w:eastAsia="zh-CN"/>
        </w:rPr>
        <w:t>，下降30.42%，主要原因是：</w:t>
      </w:r>
      <w:r>
        <w:rPr>
          <w:rFonts w:hint="eastAsia" w:ascii="仿宋_GB2312" w:eastAsia="仿宋_GB2312"/>
          <w:color w:val="auto"/>
          <w:spacing w:val="0"/>
          <w:sz w:val="32"/>
          <w:szCs w:val="32"/>
          <w:highlight w:val="none"/>
          <w:lang w:val="en-US" w:eastAsia="zh-CN"/>
        </w:rPr>
        <w:t>与上年相比</w:t>
      </w:r>
      <w:r>
        <w:rPr>
          <w:rFonts w:hint="eastAsia" w:ascii="仿宋_GB2312" w:hAnsi="仿宋" w:eastAsia="仿宋_GB2312" w:cs="仿宋_GB2312"/>
          <w:color w:val="000000"/>
          <w:kern w:val="16"/>
          <w:sz w:val="30"/>
          <w:szCs w:val="30"/>
          <w:lang w:val="en-US" w:eastAsia="zh-CN"/>
        </w:rPr>
        <w:t>减少2021年政府还贷二级公路取消收费后补助资金用于国省干线公路养护工程项目、2022年政府还贷二级公路取消收费后补助资金用于国省干线养护工程项目、2022年车辆购置税收入补助地方资金预算（第一批）用于三项工程等项目预算资金</w:t>
      </w:r>
      <w:r>
        <w:rPr>
          <w:rFonts w:hint="eastAsia" w:ascii="仿宋_GB2312" w:eastAsia="仿宋_GB2312"/>
          <w:color w:val="auto"/>
          <w:spacing w:val="0"/>
          <w:sz w:val="32"/>
          <w:szCs w:val="32"/>
          <w:highlight w:val="none"/>
          <w:lang w:eastAsia="zh-CN"/>
        </w:rPr>
        <w:t>。</w:t>
      </w:r>
    </w:p>
    <w:p w14:paraId="28109BB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45B934B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9,772.51</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9,770.30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99.98</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2.22</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0.02</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14:paraId="30E71B4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14:paraId="4C98B5F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本年支出9,793.80万元，其中：基本支出8,043.80万元，占82.13%；项目支出1,750.00万元，占17.87%；上缴上级支出0.00万元，占0.00%；经营支出0.00万元，占0.00%；对附属单位补助支出0.00万元，占0.00%。</w:t>
      </w:r>
    </w:p>
    <w:p w14:paraId="7C09801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4035B93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9,770.30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9,770.30</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9,770.30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9,770.30</w:t>
      </w:r>
      <w:r>
        <w:rPr>
          <w:rFonts w:hint="eastAsia" w:ascii="仿宋_GB2312" w:eastAsia="仿宋_GB2312"/>
          <w:color w:val="auto"/>
          <w:spacing w:val="0"/>
          <w:sz w:val="32"/>
          <w:szCs w:val="32"/>
          <w:highlight w:val="none"/>
          <w:lang w:eastAsia="zh-CN"/>
        </w:rPr>
        <w:t>万元。</w:t>
      </w:r>
    </w:p>
    <w:p w14:paraId="62B369E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减少4,033.64万元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下降29.22%,</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2023年项目资金</w:t>
      </w:r>
      <w:r>
        <w:rPr>
          <w:rFonts w:hint="eastAsia" w:ascii="仿宋_GB2312" w:hAnsi="仿宋" w:eastAsia="仿宋_GB2312" w:cs="仿宋_GB2312"/>
          <w:color w:val="000000"/>
          <w:kern w:val="16"/>
          <w:sz w:val="30"/>
          <w:szCs w:val="30"/>
          <w:lang w:val="en-US" w:eastAsia="zh-CN"/>
        </w:rPr>
        <w:t>减少，主要减少2021年政府还贷二级公路取消收费后补助资金用于国省干线公路养护工程项目、2022年政府还贷二级公路取消收费后补助资金用于国省干线养护工程项目、2022年车辆购置税收入补助地方资金预算（第一批）用于三项工程等项目预算资金</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8,861.84</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9,770.30</w:t>
      </w:r>
      <w:r>
        <w:rPr>
          <w:rFonts w:hint="eastAsia" w:ascii="仿宋_GB2312" w:eastAsia="仿宋_GB2312"/>
          <w:color w:val="auto"/>
          <w:spacing w:val="0"/>
          <w:sz w:val="32"/>
          <w:szCs w:val="32"/>
          <w:highlight w:val="none"/>
          <w:lang w:eastAsia="zh-CN"/>
        </w:rPr>
        <w:t>万元，预决算差异率10.25%，主要原因是：</w:t>
      </w:r>
      <w:r>
        <w:rPr>
          <w:rFonts w:hint="eastAsia" w:ascii="仿宋_GB2312" w:eastAsia="仿宋_GB2312"/>
          <w:color w:val="auto"/>
          <w:spacing w:val="0"/>
          <w:sz w:val="32"/>
          <w:szCs w:val="32"/>
          <w:highlight w:val="none"/>
          <w:lang w:val="en-US" w:eastAsia="zh-CN"/>
        </w:rPr>
        <w:t>年中</w:t>
      </w:r>
      <w:r>
        <w:rPr>
          <w:rFonts w:hint="eastAsia" w:ascii="仿宋_GB2312" w:eastAsia="仿宋_GB2312"/>
          <w:sz w:val="32"/>
          <w:szCs w:val="32"/>
        </w:rPr>
        <w:t>调整追加</w:t>
      </w:r>
      <w:r>
        <w:rPr>
          <w:rFonts w:hint="eastAsia" w:ascii="仿宋_GB2312" w:eastAsia="仿宋_GB2312"/>
          <w:sz w:val="32"/>
          <w:szCs w:val="32"/>
          <w:lang w:val="en-US" w:eastAsia="zh-CN"/>
        </w:rPr>
        <w:t>2022-2023年</w:t>
      </w:r>
      <w:r>
        <w:rPr>
          <w:rFonts w:hint="eastAsia" w:ascii="仿宋_GB2312" w:eastAsia="仿宋_GB2312"/>
          <w:sz w:val="32"/>
          <w:szCs w:val="32"/>
        </w:rPr>
        <w:t>基础绩效奖、调增</w:t>
      </w:r>
      <w:r>
        <w:rPr>
          <w:rFonts w:hint="eastAsia" w:ascii="仿宋_GB2312" w:eastAsia="仿宋_GB2312"/>
          <w:sz w:val="32"/>
          <w:szCs w:val="32"/>
          <w:lang w:val="en-US" w:eastAsia="zh-CN"/>
        </w:rPr>
        <w:t>2022-2023艰边津贴</w:t>
      </w:r>
      <w:r>
        <w:rPr>
          <w:rFonts w:hint="eastAsia" w:ascii="仿宋_GB2312" w:eastAsia="仿宋_GB2312"/>
          <w:sz w:val="32"/>
          <w:szCs w:val="32"/>
        </w:rPr>
        <w:t>、职业年金及年度考核奖</w:t>
      </w:r>
      <w:r>
        <w:rPr>
          <w:rFonts w:hint="eastAsia" w:ascii="仿宋_GB2312" w:eastAsia="仿宋_GB2312"/>
          <w:sz w:val="32"/>
          <w:szCs w:val="32"/>
          <w:lang w:val="en-US" w:eastAsia="zh-CN"/>
        </w:rPr>
        <w:t>及</w:t>
      </w:r>
      <w:r>
        <w:rPr>
          <w:rFonts w:hint="eastAsia" w:ascii="仿宋_GB2312" w:eastAsia="仿宋_GB2312"/>
          <w:sz w:val="32"/>
          <w:szCs w:val="32"/>
        </w:rPr>
        <w:t>公路专项养护项目支出</w:t>
      </w:r>
      <w:r>
        <w:rPr>
          <w:rFonts w:hint="eastAsia" w:ascii="仿宋_GB2312" w:eastAsia="仿宋_GB2312"/>
          <w:sz w:val="32"/>
          <w:szCs w:val="32"/>
          <w:lang w:val="en-US" w:eastAsia="zh-CN"/>
        </w:rPr>
        <w:t>预算资金</w:t>
      </w:r>
      <w:r>
        <w:rPr>
          <w:rFonts w:hint="eastAsia" w:ascii="仿宋_GB2312" w:eastAsia="仿宋_GB2312"/>
          <w:sz w:val="32"/>
          <w:szCs w:val="32"/>
        </w:rPr>
        <w:t>。</w:t>
      </w:r>
    </w:p>
    <w:p w14:paraId="38FB014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13C7B52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74E7BEB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2023年度一般公共预算财政拨款支出9,770.30万元，占本年支出合计的</w:t>
      </w:r>
      <w:r>
        <w:rPr>
          <w:rFonts w:hint="eastAsia" w:ascii="仿宋_GB2312" w:eastAsia="仿宋_GB2312"/>
          <w:color w:val="auto"/>
          <w:spacing w:val="0"/>
          <w:sz w:val="32"/>
          <w:szCs w:val="32"/>
          <w:highlight w:val="none"/>
          <w:lang w:val="zh-CN" w:eastAsia="zh-CN"/>
        </w:rPr>
        <w:t>99.76%</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减少4,033.64万元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下降29.22%,</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2023年项目资金</w:t>
      </w:r>
      <w:r>
        <w:rPr>
          <w:rFonts w:hint="eastAsia" w:ascii="仿宋_GB2312" w:hAnsi="仿宋" w:eastAsia="仿宋_GB2312" w:cs="仿宋_GB2312"/>
          <w:color w:val="000000"/>
          <w:kern w:val="16"/>
          <w:sz w:val="30"/>
          <w:szCs w:val="30"/>
          <w:lang w:val="en-US" w:eastAsia="zh-CN"/>
        </w:rPr>
        <w:t>减少，</w:t>
      </w:r>
      <w:bookmarkStart w:id="18" w:name="OLE_LINK2"/>
      <w:r>
        <w:rPr>
          <w:rFonts w:hint="eastAsia" w:ascii="仿宋_GB2312" w:hAnsi="仿宋" w:eastAsia="仿宋_GB2312" w:cs="仿宋_GB2312"/>
          <w:color w:val="000000"/>
          <w:kern w:val="16"/>
          <w:sz w:val="30"/>
          <w:szCs w:val="30"/>
          <w:lang w:val="en-US" w:eastAsia="zh-CN"/>
        </w:rPr>
        <w:t>主要减少2021年政府还贷二级公路取消收费后补助资金用于国省干线公路养护工程项目、2022年政府还贷二级公路取消收费后补助资金用于国省干线养护工程项目、2022年车辆购置税收入补助地方资金预算（第一批）用于</w:t>
      </w:r>
      <w:bookmarkEnd w:id="18"/>
      <w:r>
        <w:rPr>
          <w:rFonts w:hint="eastAsia" w:ascii="仿宋_GB2312" w:hAnsi="仿宋" w:eastAsia="仿宋_GB2312" w:cs="仿宋_GB2312"/>
          <w:color w:val="000000"/>
          <w:kern w:val="16"/>
          <w:sz w:val="30"/>
          <w:szCs w:val="30"/>
          <w:lang w:val="en-US" w:eastAsia="zh-CN"/>
        </w:rPr>
        <w:t>三项工程等项目预算资金</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8,861.84</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9,770.30</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10.25%</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年中</w:t>
      </w:r>
      <w:r>
        <w:rPr>
          <w:rFonts w:hint="eastAsia" w:ascii="仿宋_GB2312" w:eastAsia="仿宋_GB2312"/>
          <w:sz w:val="32"/>
          <w:szCs w:val="32"/>
        </w:rPr>
        <w:t>调整追加</w:t>
      </w:r>
      <w:r>
        <w:rPr>
          <w:rFonts w:hint="eastAsia" w:ascii="仿宋_GB2312" w:eastAsia="仿宋_GB2312"/>
          <w:sz w:val="32"/>
          <w:szCs w:val="32"/>
          <w:lang w:val="en-US" w:eastAsia="zh-CN"/>
        </w:rPr>
        <w:t>2022-2023年</w:t>
      </w:r>
      <w:r>
        <w:rPr>
          <w:rFonts w:hint="eastAsia" w:ascii="仿宋_GB2312" w:eastAsia="仿宋_GB2312"/>
          <w:sz w:val="32"/>
          <w:szCs w:val="32"/>
        </w:rPr>
        <w:t>基础绩效奖、调增</w:t>
      </w:r>
      <w:r>
        <w:rPr>
          <w:rFonts w:hint="eastAsia" w:ascii="仿宋_GB2312" w:eastAsia="仿宋_GB2312"/>
          <w:sz w:val="32"/>
          <w:szCs w:val="32"/>
          <w:lang w:val="en-US" w:eastAsia="zh-CN"/>
        </w:rPr>
        <w:t>2022-2023艰边津贴</w:t>
      </w:r>
      <w:r>
        <w:rPr>
          <w:rFonts w:hint="eastAsia" w:ascii="仿宋_GB2312" w:eastAsia="仿宋_GB2312"/>
          <w:sz w:val="32"/>
          <w:szCs w:val="32"/>
        </w:rPr>
        <w:t>、职业年金及年度考核奖</w:t>
      </w:r>
      <w:r>
        <w:rPr>
          <w:rFonts w:hint="eastAsia" w:ascii="仿宋_GB2312" w:eastAsia="仿宋_GB2312"/>
          <w:sz w:val="32"/>
          <w:szCs w:val="32"/>
          <w:lang w:val="en-US" w:eastAsia="zh-CN"/>
        </w:rPr>
        <w:t>及</w:t>
      </w:r>
      <w:r>
        <w:rPr>
          <w:rFonts w:hint="eastAsia" w:ascii="仿宋_GB2312" w:eastAsia="仿宋_GB2312"/>
          <w:sz w:val="32"/>
          <w:szCs w:val="32"/>
        </w:rPr>
        <w:t>公路专项养护项目支出</w:t>
      </w:r>
      <w:r>
        <w:rPr>
          <w:rFonts w:hint="eastAsia" w:ascii="仿宋_GB2312" w:eastAsia="仿宋_GB2312"/>
          <w:sz w:val="32"/>
          <w:szCs w:val="32"/>
          <w:lang w:val="en-US" w:eastAsia="zh-CN"/>
        </w:rPr>
        <w:t>预算资金</w:t>
      </w:r>
      <w:r>
        <w:rPr>
          <w:rFonts w:hint="eastAsia" w:ascii="仿宋_GB2312" w:eastAsia="仿宋_GB2312"/>
          <w:sz w:val="32"/>
          <w:szCs w:val="32"/>
        </w:rPr>
        <w:t>。</w:t>
      </w:r>
    </w:p>
    <w:p w14:paraId="0B13EAB2">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0CFC3F84">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1,665.49</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17.05</w:t>
      </w:r>
      <w:r>
        <w:rPr>
          <w:rFonts w:hint="default" w:ascii="仿宋_GB2312" w:hAnsi="Times New Roman" w:eastAsia="仿宋_GB2312" w:cs="Times New Roman"/>
          <w:color w:val="auto"/>
          <w:spacing w:val="0"/>
          <w:kern w:val="2"/>
          <w:sz w:val="32"/>
          <w:szCs w:val="32"/>
          <w:highlight w:val="none"/>
          <w:lang w:val="zh-CN" w:eastAsia="zh-CN" w:bidi="ar-SA"/>
        </w:rPr>
        <w:t>%；</w:t>
      </w:r>
    </w:p>
    <w:p w14:paraId="0E22C3BD">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318.79</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3.26</w:t>
      </w:r>
      <w:r>
        <w:rPr>
          <w:rFonts w:hint="default" w:ascii="仿宋_GB2312" w:hAnsi="Times New Roman" w:eastAsia="仿宋_GB2312" w:cs="Times New Roman"/>
          <w:color w:val="auto"/>
          <w:spacing w:val="0"/>
          <w:kern w:val="2"/>
          <w:sz w:val="32"/>
          <w:szCs w:val="32"/>
          <w:highlight w:val="none"/>
          <w:lang w:val="zh-CN" w:eastAsia="zh-CN" w:bidi="ar-SA"/>
        </w:rPr>
        <w:t>%；</w:t>
      </w:r>
    </w:p>
    <w:p w14:paraId="17618AFA">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交通运输支出（类）</w:t>
      </w:r>
      <w:r>
        <w:rPr>
          <w:rFonts w:hint="eastAsia" w:ascii="仿宋_GB2312" w:hAnsi="Times New Roman" w:eastAsia="仿宋_GB2312" w:cs="Times New Roman"/>
          <w:color w:val="auto"/>
          <w:spacing w:val="0"/>
          <w:kern w:val="2"/>
          <w:sz w:val="32"/>
          <w:szCs w:val="32"/>
          <w:highlight w:val="none"/>
          <w:lang w:val="zh-CN" w:eastAsia="zh-CN" w:bidi="ar-SA"/>
        </w:rPr>
        <w:t>7,457.56</w:t>
      </w:r>
      <w:r>
        <w:rPr>
          <w:rFonts w:hint="default" w:ascii="仿宋_GB2312" w:hAnsi="Times New Roman" w:eastAsia="仿宋_GB2312" w:cs="Times New Roman"/>
          <w:color w:val="auto"/>
          <w:spacing w:val="0"/>
          <w:kern w:val="2"/>
          <w:sz w:val="32"/>
          <w:szCs w:val="32"/>
          <w:highlight w:val="none"/>
          <w:lang w:val="zh-CN" w:eastAsia="zh-CN" w:bidi="ar-SA"/>
        </w:rPr>
        <w:t xml:space="preserve">万元，占 </w:t>
      </w:r>
      <w:r>
        <w:rPr>
          <w:rFonts w:hint="eastAsia" w:ascii="仿宋_GB2312" w:hAnsi="Times New Roman" w:eastAsia="仿宋_GB2312" w:cs="Times New Roman"/>
          <w:color w:val="auto"/>
          <w:spacing w:val="0"/>
          <w:kern w:val="2"/>
          <w:sz w:val="32"/>
          <w:szCs w:val="32"/>
          <w:highlight w:val="none"/>
          <w:lang w:val="zh-CN" w:eastAsia="zh-CN" w:bidi="ar-SA"/>
        </w:rPr>
        <w:t>76.33</w:t>
      </w:r>
      <w:r>
        <w:rPr>
          <w:rFonts w:hint="default" w:ascii="仿宋_GB2312" w:hAnsi="Times New Roman" w:eastAsia="仿宋_GB2312" w:cs="Times New Roman"/>
          <w:color w:val="auto"/>
          <w:spacing w:val="0"/>
          <w:kern w:val="2"/>
          <w:sz w:val="32"/>
          <w:szCs w:val="32"/>
          <w:highlight w:val="none"/>
          <w:lang w:val="zh-CN" w:eastAsia="zh-CN" w:bidi="ar-SA"/>
        </w:rPr>
        <w:t>%；</w:t>
      </w:r>
    </w:p>
    <w:p w14:paraId="47B9C2E2">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328.46</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3.36</w:t>
      </w:r>
      <w:r>
        <w:rPr>
          <w:rFonts w:hint="default" w:ascii="仿宋_GB2312" w:hAnsi="Times New Roman" w:eastAsia="仿宋_GB2312" w:cs="Times New Roman"/>
          <w:color w:val="auto"/>
          <w:spacing w:val="0"/>
          <w:kern w:val="2"/>
          <w:sz w:val="32"/>
          <w:szCs w:val="32"/>
          <w:highlight w:val="none"/>
          <w:lang w:val="zh-CN" w:eastAsia="zh-CN" w:bidi="ar-SA"/>
        </w:rPr>
        <w:t>%</w:t>
      </w:r>
      <w:r>
        <w:rPr>
          <w:rFonts w:hint="eastAsia" w:ascii="仿宋_GB2312" w:eastAsia="仿宋_GB2312" w:cs="Times New Roman"/>
          <w:color w:val="auto"/>
          <w:spacing w:val="0"/>
          <w:kern w:val="2"/>
          <w:sz w:val="32"/>
          <w:szCs w:val="32"/>
          <w:highlight w:val="none"/>
          <w:lang w:val="zh-CN" w:eastAsia="zh-CN" w:bidi="ar-SA"/>
        </w:rPr>
        <w:t>。</w:t>
      </w:r>
    </w:p>
    <w:p w14:paraId="7DB0395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728B6C3D">
      <w:pPr>
        <w:ind w:firstLine="640" w:firstLineChars="200"/>
        <w:rPr>
          <w:rFonts w:ascii="仿宋_GB2312" w:eastAsia="仿宋_GB2312"/>
          <w:b/>
          <w:bCs/>
          <w:sz w:val="32"/>
          <w:szCs w:val="32"/>
          <w:highlight w:val="yellow"/>
        </w:rPr>
      </w:pPr>
      <w:r>
        <w:rPr>
          <w:rFonts w:hint="eastAsia" w:ascii="Times New Roman" w:hAnsi="Times New Roman" w:eastAsia="仿宋_GB2312" w:cs="Times New Roman"/>
          <w:color w:val="auto"/>
          <w:kern w:val="2"/>
          <w:sz w:val="32"/>
          <w:szCs w:val="32"/>
          <w:highlight w:val="none"/>
          <w:lang w:val="en-US" w:eastAsia="zh-CN" w:bidi="ar-SA"/>
        </w:rPr>
        <w:t>1.卫生健康支出（类）行政事业单位医疗（款）事业单位医疗（项）:支出决算数为217.18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13.98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6.05%，主要原因是：</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年人员较上年减少</w:t>
      </w:r>
      <w:r>
        <w:rPr>
          <w:rFonts w:hint="eastAsia" w:ascii="仿宋_GB2312" w:eastAsia="仿宋_GB2312"/>
          <w:sz w:val="32"/>
          <w:szCs w:val="32"/>
          <w:lang w:val="en-US" w:eastAsia="zh-CN"/>
        </w:rPr>
        <w:t>16</w:t>
      </w:r>
      <w:r>
        <w:rPr>
          <w:rFonts w:hint="eastAsia" w:ascii="仿宋_GB2312" w:eastAsia="仿宋_GB2312"/>
          <w:sz w:val="32"/>
          <w:szCs w:val="32"/>
        </w:rPr>
        <w:t>人，故事业单位医疗费减少。</w:t>
      </w:r>
    </w:p>
    <w:p w14:paraId="0FA0546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2.卫生健康支出（类）行政事业单位医疗（款）公务员医疗补助（项）:支出决算数为101.60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0.80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0.80%，主要原因是：</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w:t>
      </w:r>
      <w:bookmarkStart w:id="19" w:name="OLE_LINK1"/>
      <w:r>
        <w:rPr>
          <w:rFonts w:hint="eastAsia" w:ascii="仿宋_GB2312" w:eastAsia="仿宋_GB2312"/>
          <w:sz w:val="32"/>
          <w:szCs w:val="32"/>
          <w:lang w:val="en-US" w:eastAsia="zh-CN"/>
        </w:rPr>
        <w:t>医疗补助缴纳基数增加，故公务员医疗补助增加</w:t>
      </w:r>
      <w:r>
        <w:rPr>
          <w:rFonts w:hint="eastAsia" w:eastAsia="仿宋_GB2312" w:cs="Times New Roman"/>
          <w:color w:val="auto"/>
          <w:kern w:val="2"/>
          <w:sz w:val="32"/>
          <w:szCs w:val="32"/>
          <w:highlight w:val="none"/>
          <w:lang w:val="zh-CN" w:eastAsia="zh-CN" w:bidi="ar-SA"/>
        </w:rPr>
        <w:t>。</w:t>
      </w:r>
      <w:bookmarkEnd w:id="19"/>
    </w:p>
    <w:p w14:paraId="1567D09B">
      <w:pPr>
        <w:ind w:firstLine="640" w:firstLineChars="200"/>
        <w:outlineLvl w:val="1"/>
        <w:rPr>
          <w:rFonts w:hint="default" w:ascii="仿宋_GB2312" w:hAnsi="仿宋" w:eastAsia="仿宋_GB2312" w:cs="仿宋_GB2312"/>
          <w:color w:val="000000"/>
          <w:kern w:val="16"/>
          <w:sz w:val="30"/>
          <w:szCs w:val="30"/>
          <w:lang w:val="en-US" w:eastAsia="zh-CN"/>
        </w:rPr>
      </w:pPr>
      <w:r>
        <w:rPr>
          <w:rFonts w:hint="eastAsia" w:ascii="Times New Roman" w:hAnsi="Times New Roman" w:eastAsia="仿宋_GB2312" w:cs="Times New Roman"/>
          <w:color w:val="auto"/>
          <w:kern w:val="2"/>
          <w:sz w:val="32"/>
          <w:szCs w:val="32"/>
          <w:highlight w:val="none"/>
          <w:lang w:val="en-US" w:eastAsia="zh-CN" w:bidi="ar-SA"/>
        </w:rPr>
        <w:t>3.交通运输支出（类）公路水路运输（款）公路养护（项）:支出决算数为7,312.56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2,868.12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28.17%，主要原因是：</w:t>
      </w:r>
      <w:r>
        <w:rPr>
          <w:rFonts w:hint="eastAsia" w:eastAsia="仿宋_GB2312" w:cs="Times New Roman"/>
          <w:color w:val="auto"/>
          <w:kern w:val="2"/>
          <w:sz w:val="32"/>
          <w:szCs w:val="32"/>
          <w:highlight w:val="none"/>
          <w:lang w:val="en-US" w:eastAsia="zh-CN" w:bidi="ar-SA"/>
        </w:rPr>
        <w:t>2023年</w:t>
      </w:r>
      <w:r>
        <w:rPr>
          <w:rFonts w:hint="eastAsia" w:ascii="仿宋_GB2312" w:hAnsi="仿宋" w:eastAsia="仿宋_GB2312" w:cs="仿宋_GB2312"/>
          <w:color w:val="000000"/>
          <w:kern w:val="16"/>
          <w:sz w:val="30"/>
          <w:szCs w:val="30"/>
          <w:lang w:val="en-US" w:eastAsia="zh-CN"/>
        </w:rPr>
        <w:t>项目支出较上年减少</w:t>
      </w:r>
      <w:r>
        <w:rPr>
          <w:rFonts w:hint="eastAsia" w:eastAsia="仿宋_GB2312" w:cs="Times New Roman"/>
          <w:color w:val="auto"/>
          <w:kern w:val="2"/>
          <w:sz w:val="32"/>
          <w:szCs w:val="32"/>
          <w:highlight w:val="none"/>
          <w:lang w:val="en-US" w:eastAsia="zh-CN" w:bidi="ar-SA"/>
        </w:rPr>
        <w:t>2021</w:t>
      </w:r>
      <w:r>
        <w:rPr>
          <w:rFonts w:hint="eastAsia" w:ascii="仿宋_GB2312" w:hAnsi="仿宋" w:eastAsia="仿宋_GB2312" w:cs="仿宋_GB2312"/>
          <w:color w:val="000000"/>
          <w:kern w:val="16"/>
          <w:sz w:val="30"/>
          <w:szCs w:val="30"/>
          <w:lang w:val="en-US" w:eastAsia="zh-CN"/>
        </w:rPr>
        <w:t>年政府还贷二级公路取消收费后补助资金用于国省干线公路养护工程项目、</w:t>
      </w:r>
      <w:r>
        <w:rPr>
          <w:rFonts w:hint="eastAsia" w:eastAsia="仿宋_GB2312" w:cs="Times New Roman"/>
          <w:color w:val="auto"/>
          <w:kern w:val="2"/>
          <w:sz w:val="32"/>
          <w:szCs w:val="32"/>
          <w:highlight w:val="none"/>
          <w:lang w:val="en-US" w:eastAsia="zh-CN" w:bidi="ar-SA"/>
        </w:rPr>
        <w:t>2022年政府还贷二级公路取消收费后补助资金用于国省干线养护工程项目</w:t>
      </w:r>
      <w:bookmarkStart w:id="20" w:name="OLE_LINK3"/>
      <w:r>
        <w:rPr>
          <w:rFonts w:hint="eastAsia" w:ascii="仿宋_GB2312" w:hAnsi="仿宋" w:eastAsia="仿宋_GB2312" w:cs="仿宋_GB2312"/>
          <w:color w:val="000000"/>
          <w:kern w:val="16"/>
          <w:sz w:val="30"/>
          <w:szCs w:val="30"/>
          <w:lang w:val="en-US" w:eastAsia="zh-CN"/>
        </w:rPr>
        <w:t>。</w:t>
      </w:r>
      <w:bookmarkEnd w:id="20"/>
    </w:p>
    <w:p w14:paraId="403B160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4.交通运输支出（类）车辆购置税支出（款）车辆购置税用于公路等基础设施建设支出（项）:支出决算数为145.00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1,185.00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89.10%，主要原因是：</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w:t>
      </w:r>
      <w:r>
        <w:rPr>
          <w:rFonts w:hint="eastAsia" w:ascii="仿宋_GB2312" w:eastAsia="仿宋_GB2312"/>
          <w:sz w:val="32"/>
          <w:szCs w:val="32"/>
          <w:lang w:val="en-US" w:eastAsia="zh-CN"/>
        </w:rPr>
        <w:t>项目支出较上年减少2022</w:t>
      </w:r>
      <w:r>
        <w:rPr>
          <w:rFonts w:hint="eastAsia" w:eastAsia="仿宋_GB2312" w:cs="Times New Roman"/>
          <w:color w:val="auto"/>
          <w:kern w:val="2"/>
          <w:sz w:val="32"/>
          <w:szCs w:val="32"/>
          <w:highlight w:val="none"/>
          <w:lang w:val="en-US" w:eastAsia="zh-CN" w:bidi="ar-SA"/>
        </w:rPr>
        <w:t>年车辆购置税收入补助地方资金预算（第一批）用于三项工程项目等专项资金项目收入、车辆购置税资金预算用于公路灾损抢修保通项目。</w:t>
      </w:r>
    </w:p>
    <w:p w14:paraId="5BCC40DB">
      <w:pPr>
        <w:ind w:firstLine="640" w:firstLineChars="200"/>
        <w:outlineLvl w:val="1"/>
        <w:rPr>
          <w:rFonts w:hint="eastAsia" w:ascii="黑体" w:hAnsi="黑体" w:eastAsia="仿宋_GB2312" w:cs="宋体"/>
          <w:bCs/>
          <w:kern w:val="0"/>
          <w:sz w:val="32"/>
          <w:szCs w:val="32"/>
          <w:lang w:eastAsia="zh-CN"/>
        </w:rPr>
      </w:pPr>
      <w:r>
        <w:rPr>
          <w:rFonts w:hint="eastAsia" w:ascii="Times New Roman" w:hAnsi="Times New Roman" w:eastAsia="仿宋_GB2312" w:cs="Times New Roman"/>
          <w:color w:val="auto"/>
          <w:kern w:val="2"/>
          <w:sz w:val="32"/>
          <w:szCs w:val="32"/>
          <w:highlight w:val="none"/>
          <w:lang w:val="en-US" w:eastAsia="zh-CN" w:bidi="ar-SA"/>
        </w:rPr>
        <w:t>5.住房保障支出（类）住房改革支出（款）住房公积金（项）:支出决算数为328.46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8.77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2.74%，主要原因是：</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年住房公积金缴纳基数增</w:t>
      </w:r>
      <w:r>
        <w:rPr>
          <w:rFonts w:hint="eastAsia" w:ascii="仿宋_GB2312" w:eastAsia="仿宋_GB2312"/>
          <w:sz w:val="32"/>
          <w:szCs w:val="32"/>
          <w:lang w:val="en-US" w:eastAsia="zh-CN"/>
        </w:rPr>
        <w:t>加</w:t>
      </w:r>
      <w:r>
        <w:rPr>
          <w:rFonts w:hint="eastAsia" w:ascii="仿宋_GB2312" w:eastAsia="仿宋_GB2312"/>
          <w:sz w:val="32"/>
          <w:szCs w:val="32"/>
        </w:rPr>
        <w:t>，故住房公积金支出增加</w:t>
      </w:r>
      <w:r>
        <w:rPr>
          <w:rFonts w:hint="eastAsia" w:ascii="仿宋_GB2312" w:eastAsia="仿宋_GB2312"/>
          <w:sz w:val="32"/>
          <w:szCs w:val="32"/>
          <w:lang w:eastAsia="zh-CN"/>
        </w:rPr>
        <w:t>。</w:t>
      </w:r>
    </w:p>
    <w:p w14:paraId="17ACC6FA">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黑体" w:hAnsi="黑体" w:eastAsia="黑体" w:cs="宋体"/>
          <w:bCs/>
          <w:kern w:val="0"/>
          <w:sz w:val="32"/>
          <w:szCs w:val="32"/>
        </w:rPr>
      </w:pPr>
      <w:r>
        <w:rPr>
          <w:rFonts w:hint="eastAsia" w:ascii="Times New Roman" w:hAnsi="Times New Roman" w:eastAsia="仿宋_GB2312" w:cs="Times New Roman"/>
          <w:color w:val="auto"/>
          <w:kern w:val="2"/>
          <w:sz w:val="32"/>
          <w:szCs w:val="32"/>
          <w:highlight w:val="none"/>
          <w:lang w:val="en-US" w:eastAsia="zh-CN" w:bidi="ar-SA"/>
        </w:rPr>
        <w:t>6.社会保障和就业支出（类）行政事业单位养老支出（款）事业单位离退休（项）:支出决算数为1,118.08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85.04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7.07%，主要原因是：</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年度</w:t>
      </w:r>
      <w:r>
        <w:rPr>
          <w:rFonts w:hint="eastAsia" w:ascii="仿宋_GB2312" w:eastAsia="仿宋_GB2312"/>
          <w:sz w:val="32"/>
          <w:szCs w:val="32"/>
          <w:lang w:val="en-US" w:eastAsia="zh-CN"/>
        </w:rPr>
        <w:t>较上年度未统发退休人员津贴补贴有所减少</w:t>
      </w:r>
      <w:r>
        <w:rPr>
          <w:rFonts w:hint="eastAsia" w:ascii="仿宋_GB2312" w:eastAsia="仿宋_GB2312"/>
          <w:sz w:val="32"/>
          <w:szCs w:val="32"/>
        </w:rPr>
        <w:t>。</w:t>
      </w:r>
    </w:p>
    <w:p w14:paraId="42AE1D8E">
      <w:pPr>
        <w:ind w:firstLine="640" w:firstLineChars="200"/>
        <w:outlineLvl w:val="1"/>
        <w:rPr>
          <w:rFonts w:ascii="黑体" w:hAnsi="黑体" w:eastAsia="黑体" w:cs="宋体"/>
          <w:bCs/>
          <w:kern w:val="0"/>
          <w:sz w:val="32"/>
          <w:szCs w:val="32"/>
        </w:rPr>
      </w:pPr>
      <w:r>
        <w:rPr>
          <w:rFonts w:hint="eastAsia" w:ascii="Times New Roman" w:hAnsi="Times New Roman" w:eastAsia="仿宋_GB2312" w:cs="Times New Roman"/>
          <w:color w:val="auto"/>
          <w:kern w:val="2"/>
          <w:sz w:val="32"/>
          <w:szCs w:val="32"/>
          <w:highlight w:val="none"/>
          <w:lang w:val="en-US" w:eastAsia="zh-CN" w:bidi="ar-SA"/>
        </w:rPr>
        <w:t>7.社会保障和就业支出（类）行政事业单位养老支出（款）机关事业单位职业年金缴费支出（项）:支出决算数为109.47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97.23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794.</w:t>
      </w:r>
      <w:r>
        <w:rPr>
          <w:rFonts w:hint="eastAsia" w:eastAsia="仿宋_GB2312" w:cs="Times New Roman"/>
          <w:color w:val="auto"/>
          <w:kern w:val="2"/>
          <w:sz w:val="32"/>
          <w:szCs w:val="32"/>
          <w:highlight w:val="none"/>
          <w:lang w:val="en-US" w:eastAsia="zh-CN" w:bidi="ar-SA"/>
        </w:rPr>
        <w:t>36</w:t>
      </w:r>
      <w:r>
        <w:rPr>
          <w:rFonts w:hint="eastAsia" w:ascii="Times New Roman" w:hAnsi="Times New Roman" w:eastAsia="仿宋_GB2312" w:cs="Times New Roman"/>
          <w:color w:val="auto"/>
          <w:kern w:val="2"/>
          <w:sz w:val="32"/>
          <w:szCs w:val="32"/>
          <w:highlight w:val="none"/>
          <w:lang w:val="en-US" w:eastAsia="zh-CN" w:bidi="ar-SA"/>
        </w:rPr>
        <w:t>%</w:t>
      </w:r>
      <w:bookmarkStart w:id="52" w:name="_GoBack"/>
      <w:bookmarkEnd w:id="52"/>
      <w:r>
        <w:rPr>
          <w:rFonts w:hint="eastAsia" w:ascii="Times New Roman" w:hAnsi="Times New Roman" w:eastAsia="仿宋_GB2312" w:cs="Times New Roman"/>
          <w:color w:val="auto"/>
          <w:kern w:val="2"/>
          <w:sz w:val="32"/>
          <w:szCs w:val="32"/>
          <w:highlight w:val="none"/>
          <w:lang w:val="en-US" w:eastAsia="zh-CN" w:bidi="ar-SA"/>
        </w:rPr>
        <w:t>，主要原因是：</w:t>
      </w:r>
      <w:bookmarkStart w:id="21" w:name="OLE_LINK4"/>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w:t>
      </w:r>
      <w:bookmarkEnd w:id="21"/>
      <w:r>
        <w:rPr>
          <w:rFonts w:hint="eastAsia" w:ascii="仿宋_GB2312" w:eastAsia="仿宋_GB2312"/>
          <w:sz w:val="32"/>
          <w:szCs w:val="32"/>
        </w:rPr>
        <w:t>在职人员基本工资增资导致职业年金缴费</w:t>
      </w:r>
      <w:r>
        <w:rPr>
          <w:rFonts w:hint="eastAsia" w:ascii="仿宋_GB2312" w:eastAsia="仿宋_GB2312"/>
          <w:sz w:val="32"/>
          <w:szCs w:val="32"/>
          <w:lang w:val="en-US" w:eastAsia="zh-CN"/>
        </w:rPr>
        <w:t>基数增加，故职业年金缴费</w:t>
      </w:r>
      <w:r>
        <w:rPr>
          <w:rFonts w:hint="eastAsia" w:ascii="仿宋_GB2312" w:eastAsia="仿宋_GB2312"/>
          <w:sz w:val="32"/>
          <w:szCs w:val="32"/>
        </w:rPr>
        <w:t>支出增加。</w:t>
      </w:r>
    </w:p>
    <w:p w14:paraId="070A8A6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8.社会保障和就业支出（类）行政事业单位养老支出（款）机关事业单位基本养老保险缴费支出（项）:支出决算数为437.95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11.70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2.74%，主要原因是：</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年在职人员基本工资</w:t>
      </w:r>
      <w:r>
        <w:rPr>
          <w:rFonts w:hint="eastAsia" w:ascii="仿宋_GB2312" w:eastAsia="仿宋_GB2312"/>
          <w:sz w:val="32"/>
          <w:szCs w:val="32"/>
          <w:lang w:eastAsia="zh-CN"/>
        </w:rPr>
        <w:t>、</w:t>
      </w:r>
      <w:r>
        <w:rPr>
          <w:rFonts w:hint="eastAsia" w:ascii="仿宋_GB2312" w:eastAsia="仿宋_GB2312"/>
          <w:sz w:val="32"/>
          <w:szCs w:val="32"/>
          <w:lang w:val="en-US" w:eastAsia="zh-CN"/>
        </w:rPr>
        <w:t>津贴补贴</w:t>
      </w:r>
      <w:r>
        <w:rPr>
          <w:rFonts w:hint="eastAsia" w:ascii="仿宋_GB2312" w:eastAsia="仿宋_GB2312"/>
          <w:sz w:val="32"/>
          <w:szCs w:val="32"/>
        </w:rPr>
        <w:t>增资导致养老保险缴费</w:t>
      </w:r>
      <w:r>
        <w:rPr>
          <w:rFonts w:hint="eastAsia" w:ascii="仿宋_GB2312" w:eastAsia="仿宋_GB2312"/>
          <w:sz w:val="32"/>
          <w:szCs w:val="32"/>
          <w:lang w:val="en-US" w:eastAsia="zh-CN"/>
        </w:rPr>
        <w:t>基数</w:t>
      </w:r>
      <w:r>
        <w:rPr>
          <w:rFonts w:hint="eastAsia" w:ascii="仿宋_GB2312" w:eastAsia="仿宋_GB2312"/>
          <w:sz w:val="32"/>
          <w:szCs w:val="32"/>
        </w:rPr>
        <w:t>增加</w:t>
      </w:r>
      <w:r>
        <w:rPr>
          <w:rFonts w:hint="eastAsia" w:ascii="仿宋_GB2312" w:eastAsia="仿宋_GB2312"/>
          <w:sz w:val="32"/>
          <w:szCs w:val="32"/>
          <w:lang w:eastAsia="zh-CN"/>
        </w:rPr>
        <w:t>，</w:t>
      </w:r>
      <w:r>
        <w:rPr>
          <w:rFonts w:hint="eastAsia" w:ascii="仿宋_GB2312" w:eastAsia="仿宋_GB2312"/>
          <w:sz w:val="32"/>
          <w:szCs w:val="32"/>
          <w:lang w:val="en-US" w:eastAsia="zh-CN"/>
        </w:rPr>
        <w:t>基本养老保险支出增加</w:t>
      </w:r>
      <w:r>
        <w:rPr>
          <w:rFonts w:hint="eastAsia" w:ascii="仿宋_GB2312" w:eastAsia="仿宋_GB2312"/>
          <w:sz w:val="32"/>
          <w:szCs w:val="32"/>
          <w:lang w:eastAsia="zh-CN"/>
        </w:rPr>
        <w:t>。</w:t>
      </w:r>
    </w:p>
    <w:p w14:paraId="5471B73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547CD29F">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8,020.30</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7,359.97</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其他工资福利支出、离休费、退休费、抚恤金、生活补助、医疗费补助、奖励金、其他对个人和家庭的补助。</w:t>
      </w:r>
    </w:p>
    <w:p w14:paraId="569C113E">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660.33</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办公费、水费、电费、邮电费、取暖费、差旅费、劳务费、工会经费、福利费、公务用车运行维护费、其他商品和服务支出。</w:t>
      </w:r>
    </w:p>
    <w:p w14:paraId="7900216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3067B1B4">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“三公”经费支出64.44万元，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减少0.13万元，</w:t>
      </w:r>
      <w:r>
        <w:rPr>
          <w:rFonts w:hint="eastAsia" w:ascii="仿宋_GB2312" w:eastAsia="仿宋_GB2312"/>
          <w:color w:val="auto"/>
          <w:spacing w:val="0"/>
          <w:sz w:val="32"/>
          <w:szCs w:val="32"/>
          <w:highlight w:val="none"/>
          <w:lang w:val="en-US" w:eastAsia="zh-CN"/>
        </w:rPr>
        <w:t>下降0.19%,</w:t>
      </w:r>
      <w:r>
        <w:rPr>
          <w:rFonts w:hint="eastAsia" w:ascii="仿宋_GB2312" w:eastAsia="仿宋_GB2312"/>
          <w:color w:val="auto"/>
          <w:sz w:val="32"/>
          <w:szCs w:val="32"/>
          <w:highlight w:val="none"/>
          <w:lang w:val="zh-CN" w:eastAsia="zh-CN"/>
        </w:rPr>
        <w:t>主要原因是：坚持厉行节约，压减一般性支出。其中：因公出国（境）费支出0.00万元，占0.00%，比上年增加0.00万元，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；公务用车购置及运行维护费支出64.44万元，占100.00%，比上年减少0.13万元，</w:t>
      </w:r>
      <w:r>
        <w:rPr>
          <w:rFonts w:hint="eastAsia" w:ascii="仿宋_GB2312" w:eastAsia="仿宋_GB2312"/>
          <w:color w:val="auto"/>
          <w:spacing w:val="0"/>
          <w:sz w:val="32"/>
          <w:szCs w:val="32"/>
          <w:highlight w:val="none"/>
          <w:lang w:val="en-US" w:eastAsia="zh-CN"/>
        </w:rPr>
        <w:t>下降0.19%,</w:t>
      </w:r>
      <w:r>
        <w:rPr>
          <w:rFonts w:hint="eastAsia" w:ascii="仿宋_GB2312" w:eastAsia="仿宋_GB2312"/>
          <w:color w:val="auto"/>
          <w:sz w:val="32"/>
          <w:szCs w:val="32"/>
          <w:highlight w:val="none"/>
          <w:lang w:val="zh-CN" w:eastAsia="zh-CN"/>
        </w:rPr>
        <w:t>主要原因是：坚持厉行节约，压减一般性支出；公务接待费支出0.00万元，占0.00%，比上年增加0.00万元，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我单位无公务接待费</w:t>
      </w:r>
      <w:r>
        <w:rPr>
          <w:rFonts w:hint="eastAsia" w:ascii="仿宋_GB2312" w:eastAsia="仿宋_GB2312"/>
          <w:color w:val="auto"/>
          <w:sz w:val="32"/>
          <w:szCs w:val="32"/>
          <w:highlight w:val="none"/>
          <w:lang w:val="zh-CN" w:eastAsia="zh-CN"/>
        </w:rPr>
        <w:t>。</w:t>
      </w:r>
    </w:p>
    <w:p w14:paraId="105D8720">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14:paraId="67E38162">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w:t>
      </w:r>
      <w:r>
        <w:rPr>
          <w:rFonts w:hint="eastAsia" w:ascii="仿宋_GB2312" w:eastAsia="仿宋_GB2312"/>
          <w:color w:val="auto"/>
          <w:sz w:val="32"/>
          <w:szCs w:val="32"/>
          <w:highlight w:val="none"/>
          <w:lang w:val="en-US" w:eastAsia="zh-CN"/>
        </w:rPr>
        <w:t>开支内容：</w:t>
      </w:r>
      <w:r>
        <w:rPr>
          <w:rFonts w:hint="eastAsia" w:ascii="仿宋_GB2312" w:eastAsia="仿宋_GB2312"/>
          <w:sz w:val="32"/>
          <w:szCs w:val="32"/>
        </w:rPr>
        <w:t>无因公出国（境）费</w:t>
      </w:r>
      <w:r>
        <w:rPr>
          <w:rFonts w:hint="eastAsia" w:ascii="仿宋_GB2312" w:eastAsia="仿宋_GB2312"/>
          <w:color w:val="auto"/>
          <w:sz w:val="32"/>
          <w:szCs w:val="32"/>
          <w:highlight w:val="none"/>
          <w:lang w:val="zh-CN" w:eastAsia="zh-CN"/>
        </w:rPr>
        <w:t>。单位全年安排的因公出国（境）团组0个，因公出国（境）0人次。</w:t>
      </w:r>
    </w:p>
    <w:p w14:paraId="68861EDC">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公务用车购置及运行维护费64.44万元，其中：公务用车购置费0.00万元，公务用车运行维护费64.44万元。公务用车运行维护费开支内容包括</w:t>
      </w:r>
      <w:r>
        <w:rPr>
          <w:rFonts w:hint="eastAsia" w:ascii="仿宋_GB2312" w:eastAsia="仿宋_GB2312"/>
          <w:color w:val="auto"/>
          <w:sz w:val="32"/>
          <w:szCs w:val="32"/>
          <w:highlight w:val="none"/>
          <w:lang w:val="en-US" w:eastAsia="zh-CN"/>
        </w:rPr>
        <w:t>车辆</w:t>
      </w:r>
      <w:r>
        <w:rPr>
          <w:rFonts w:hint="eastAsia" w:ascii="仿宋_GB2312" w:eastAsia="仿宋_GB2312"/>
          <w:sz w:val="32"/>
          <w:szCs w:val="32"/>
          <w:lang w:eastAsia="zh-CN"/>
        </w:rPr>
        <w:t>保险费、加油费、维修保养费</w:t>
      </w:r>
      <w:r>
        <w:rPr>
          <w:rFonts w:hint="eastAsia" w:ascii="仿宋_GB2312" w:eastAsia="仿宋_GB2312"/>
          <w:color w:val="auto"/>
          <w:sz w:val="32"/>
          <w:szCs w:val="32"/>
          <w:highlight w:val="none"/>
          <w:lang w:val="zh-CN" w:eastAsia="zh-CN"/>
        </w:rPr>
        <w:t>。公务用车购置数0辆，公务用车保有量37辆。国有资产占用情况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169辆，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color w:val="auto"/>
          <w:sz w:val="32"/>
          <w:szCs w:val="32"/>
          <w:highlight w:val="none"/>
          <w:lang w:val="en-US" w:eastAsia="zh-CN"/>
        </w:rPr>
        <w:t>固定资产车辆</w:t>
      </w:r>
      <w:r>
        <w:rPr>
          <w:rFonts w:hint="default" w:ascii="仿宋_GB2312" w:eastAsia="仿宋_GB2312"/>
          <w:color w:val="auto"/>
          <w:sz w:val="32"/>
          <w:szCs w:val="32"/>
          <w:highlight w:val="none"/>
          <w:lang w:val="zh-CN" w:eastAsia="zh-CN"/>
        </w:rPr>
        <w:t>中包括</w:t>
      </w:r>
      <w:r>
        <w:rPr>
          <w:rFonts w:hint="eastAsia" w:ascii="仿宋_GB2312" w:eastAsia="仿宋_GB2312"/>
          <w:color w:val="auto"/>
          <w:sz w:val="32"/>
          <w:szCs w:val="32"/>
          <w:highlight w:val="none"/>
          <w:lang w:val="en-US" w:eastAsia="zh-CN"/>
        </w:rPr>
        <w:t>不属于公务用车的</w:t>
      </w:r>
      <w:r>
        <w:rPr>
          <w:rFonts w:hint="eastAsia" w:ascii="仿宋_GB2312" w:eastAsia="仿宋_GB2312"/>
          <w:color w:val="auto"/>
          <w:sz w:val="32"/>
          <w:szCs w:val="32"/>
        </w:rPr>
        <w:t>自卸车、洒水车、皮卡车、依维柯工程车</w:t>
      </w:r>
      <w:r>
        <w:rPr>
          <w:rFonts w:hint="eastAsia" w:ascii="仿宋_GB2312" w:eastAsia="仿宋_GB2312"/>
          <w:color w:val="auto"/>
          <w:sz w:val="32"/>
          <w:szCs w:val="32"/>
          <w:lang w:val="en-US" w:eastAsia="zh-CN"/>
        </w:rPr>
        <w:t>等</w:t>
      </w:r>
      <w:r>
        <w:rPr>
          <w:rFonts w:hint="eastAsia" w:ascii="仿宋_GB2312" w:hAnsi="Times New Roman" w:eastAsia="仿宋_GB2312" w:cs="Times New Roman"/>
          <w:sz w:val="32"/>
          <w:szCs w:val="32"/>
          <w:lang w:val="en-US" w:eastAsia="zh-CN"/>
        </w:rPr>
        <w:t>养护工程车辆</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公路养护专业车辆</w:t>
      </w:r>
      <w:r>
        <w:rPr>
          <w:rFonts w:hint="eastAsia" w:ascii="仿宋_GB2312" w:eastAsia="仿宋_GB2312"/>
          <w:color w:val="auto"/>
          <w:sz w:val="32"/>
          <w:szCs w:val="32"/>
          <w:highlight w:val="none"/>
          <w:lang w:val="zh-CN" w:eastAsia="zh-CN"/>
        </w:rPr>
        <w:t>运行维护</w:t>
      </w:r>
      <w:r>
        <w:rPr>
          <w:rFonts w:hint="eastAsia" w:ascii="Times New Roman" w:hAnsi="Times New Roman" w:eastAsia="仿宋_GB2312" w:cs="Times New Roman"/>
          <w:color w:val="auto"/>
          <w:sz w:val="32"/>
          <w:szCs w:val="32"/>
          <w:highlight w:val="none"/>
          <w:lang w:val="en-US" w:eastAsia="zh-CN"/>
        </w:rPr>
        <w:t>经费来源</w:t>
      </w:r>
      <w:r>
        <w:rPr>
          <w:rFonts w:hint="eastAsia" w:eastAsia="仿宋_GB2312" w:cs="Times New Roman"/>
          <w:color w:val="auto"/>
          <w:sz w:val="32"/>
          <w:szCs w:val="32"/>
          <w:highlight w:val="none"/>
          <w:lang w:val="en-US" w:eastAsia="zh-CN"/>
        </w:rPr>
        <w:t>为专项项目支出</w:t>
      </w:r>
      <w:r>
        <w:rPr>
          <w:rFonts w:hint="default" w:ascii="Times New Roman" w:hAnsi="Times New Roman" w:eastAsia="仿宋_GB2312" w:cs="Times New Roman"/>
          <w:color w:val="auto"/>
          <w:sz w:val="32"/>
          <w:szCs w:val="32"/>
          <w:highlight w:val="none"/>
          <w:lang w:val="zh-CN" w:eastAsia="zh-CN"/>
        </w:rPr>
        <w:t>。</w:t>
      </w:r>
    </w:p>
    <w:p w14:paraId="30E25C3C">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w:t>
      </w:r>
      <w:r>
        <w:rPr>
          <w:rFonts w:hint="eastAsia" w:ascii="仿宋_GB2312" w:eastAsia="仿宋_GB2312"/>
          <w:color w:val="auto"/>
          <w:sz w:val="32"/>
          <w:szCs w:val="32"/>
          <w:highlight w:val="none"/>
          <w:lang w:val="en-US" w:eastAsia="zh-CN"/>
        </w:rPr>
        <w:t>开支内容：</w:t>
      </w:r>
      <w:r>
        <w:rPr>
          <w:rFonts w:hint="eastAsia" w:ascii="仿宋_GB2312" w:eastAsia="仿宋_GB2312"/>
          <w:sz w:val="32"/>
          <w:szCs w:val="32"/>
        </w:rPr>
        <w:t>无公务接待费</w:t>
      </w:r>
      <w:r>
        <w:rPr>
          <w:rFonts w:hint="eastAsia" w:ascii="仿宋_GB2312" w:eastAsia="仿宋_GB2312"/>
          <w:color w:val="auto"/>
          <w:sz w:val="32"/>
          <w:szCs w:val="32"/>
          <w:highlight w:val="none"/>
          <w:lang w:val="zh-CN" w:eastAsia="zh-CN"/>
        </w:rPr>
        <w:t>。单位全年安排的国内公务接待0批次，0人次。</w:t>
      </w:r>
    </w:p>
    <w:p w14:paraId="1A0A3DEA">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预算数64.44万元，决算数64.44万元，预决算差异率0.00%，主要原因是：</w:t>
      </w:r>
      <w:r>
        <w:rPr>
          <w:rFonts w:hint="eastAsia" w:ascii="仿宋_GB2312" w:eastAsia="仿宋_GB2312"/>
          <w:sz w:val="32"/>
          <w:szCs w:val="32"/>
        </w:rPr>
        <w:t>严格</w:t>
      </w:r>
      <w:r>
        <w:rPr>
          <w:rFonts w:hint="eastAsia" w:ascii="仿宋_GB2312" w:eastAsia="仿宋_GB2312"/>
          <w:sz w:val="32"/>
          <w:szCs w:val="32"/>
          <w:lang w:val="en-US" w:eastAsia="zh-CN"/>
        </w:rPr>
        <w:t>贯彻执行过紧日子，逐年压减“三公”经费，无预算不开支</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我单位无公务用车购置费</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预算数64.44万元，决算数64.44万元，预决算差异率0.00%，主要原因是：</w:t>
      </w:r>
      <w:r>
        <w:rPr>
          <w:rFonts w:hint="eastAsia" w:ascii="仿宋_GB2312" w:eastAsia="仿宋_GB2312"/>
          <w:sz w:val="32"/>
          <w:szCs w:val="32"/>
        </w:rPr>
        <w:t>我单位贯彻落实机关事业单位过“紧日子”要求，厉行节约，</w:t>
      </w:r>
      <w:r>
        <w:rPr>
          <w:rFonts w:hint="eastAsia" w:ascii="仿宋_GB2312" w:eastAsia="仿宋_GB2312"/>
          <w:sz w:val="32"/>
          <w:szCs w:val="32"/>
          <w:lang w:val="en-US" w:eastAsia="zh-CN"/>
        </w:rPr>
        <w:t>压减一般性支出</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我单位无公务接待费</w:t>
      </w:r>
      <w:r>
        <w:rPr>
          <w:rFonts w:hint="eastAsia" w:ascii="仿宋_GB2312" w:eastAsia="仿宋_GB2312"/>
          <w:color w:val="auto"/>
          <w:sz w:val="32"/>
          <w:szCs w:val="32"/>
          <w:highlight w:val="none"/>
          <w:lang w:val="zh-CN" w:eastAsia="zh-CN"/>
        </w:rPr>
        <w:t>。</w:t>
      </w:r>
    </w:p>
    <w:p w14:paraId="59369FA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仿宋_GB2312" w:eastAsia="仿宋_GB2312"/>
          <w:b/>
          <w:bCs/>
          <w:color w:val="auto"/>
          <w:sz w:val="32"/>
          <w:szCs w:val="32"/>
          <w:highlight w:val="none"/>
          <w:lang w:eastAsia="zh-CN"/>
        </w:rPr>
      </w:pPr>
      <w:bookmarkStart w:id="22" w:name="_Toc7927"/>
      <w:bookmarkStart w:id="23"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22"/>
      <w:bookmarkEnd w:id="23"/>
    </w:p>
    <w:p w14:paraId="09145ED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14:paraId="0FCC73D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仿宋_GB2312" w:eastAsia="仿宋_GB2312"/>
          <w:color w:val="auto"/>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28ECC5F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28BACBB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4" w:name="_Toc7314"/>
      <w:bookmarkStart w:id="25"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4"/>
      <w:bookmarkEnd w:id="25"/>
    </w:p>
    <w:p w14:paraId="5EBC318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6" w:name="_Toc13105"/>
      <w:bookmarkStart w:id="27"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6"/>
      <w:bookmarkEnd w:id="27"/>
    </w:p>
    <w:p w14:paraId="6B1D365E">
      <w:pPr>
        <w:ind w:firstLine="640" w:firstLineChars="200"/>
        <w:outlineLvl w:val="2"/>
        <w:rPr>
          <w:rFonts w:hint="eastAsia" w:ascii="Times New Roman" w:hAnsi="Times New Roman" w:eastAsia="仿宋_GB2312" w:cs="Times New Roman"/>
          <w:color w:val="auto"/>
          <w:sz w:val="32"/>
          <w:szCs w:val="32"/>
          <w:highlight w:val="none"/>
          <w:lang w:val="en-US" w:eastAsia="zh-CN"/>
        </w:rPr>
      </w:pPr>
      <w:bookmarkStart w:id="28" w:name="_Toc26704"/>
      <w:bookmarkStart w:id="29" w:name="_Toc227"/>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奎屯公路管理局（事业单位）公用经费支出660.33万元，</w:t>
      </w:r>
      <w:r>
        <w:rPr>
          <w:rFonts w:hint="eastAsia" w:ascii="Times New Roman" w:hAnsi="Times New Roman" w:eastAsia="仿宋_GB2312" w:cs="Times New Roman"/>
          <w:color w:val="auto"/>
          <w:sz w:val="32"/>
          <w:szCs w:val="32"/>
          <w:highlight w:val="none"/>
          <w:lang w:val="zh-CN" w:eastAsia="zh-CN"/>
        </w:rPr>
        <w:t>比上年减少787.60万元，下降54.39%，主要原因是：</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年度我单位贯彻落实机关事业单位过“紧日子”要求，加强日常管理工作，合理安排支出</w:t>
      </w:r>
      <w:r>
        <w:rPr>
          <w:rFonts w:hint="eastAsia" w:ascii="仿宋_GB2312" w:eastAsia="仿宋_GB2312"/>
          <w:sz w:val="32"/>
          <w:szCs w:val="32"/>
          <w:lang w:eastAsia="zh-CN"/>
        </w:rPr>
        <w:t>，公用经费减少</w:t>
      </w:r>
      <w:r>
        <w:rPr>
          <w:rFonts w:hint="eastAsia" w:ascii="仿宋_GB2312" w:eastAsia="仿宋_GB2312"/>
          <w:sz w:val="32"/>
          <w:szCs w:val="32"/>
        </w:rPr>
        <w:t>。</w:t>
      </w:r>
    </w:p>
    <w:p w14:paraId="59A8311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8"/>
      <w:bookmarkEnd w:id="29"/>
    </w:p>
    <w:p w14:paraId="2200822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303.80万元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其中：政府采购货物支出9.03万元、政府采购工程支出62.50万元、政府采购服务支出232.28万元。</w:t>
      </w:r>
    </w:p>
    <w:p w14:paraId="120CF3F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授予中小企业合同金额285.22万元，占政府采购支出总额的93.88</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，其中：授予小微企业合同金额281.22万元，占政府采购支出总额的92.57</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14:paraId="077EEA8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30" w:name="_Toc4591"/>
      <w:bookmarkStart w:id="31" w:name="_Toc8391"/>
      <w:r>
        <w:rPr>
          <w:rFonts w:hint="eastAsia" w:ascii="Times New Roman" w:hAnsi="Times New Roman" w:eastAsia="黑体" w:cs="Times New Roman"/>
          <w:color w:val="auto"/>
          <w:sz w:val="32"/>
          <w:szCs w:val="30"/>
          <w:highlight w:val="none"/>
          <w:lang w:val="zh-CN" w:eastAsia="zh-CN"/>
        </w:rPr>
        <w:t>（三）国有资产占用情况说明</w:t>
      </w:r>
      <w:bookmarkEnd w:id="30"/>
      <w:bookmarkEnd w:id="31"/>
    </w:p>
    <w:p w14:paraId="03386C3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11,139.09</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屋15356.93平方米，价值1,348.89万元。车辆169辆，价值5,233.14万元，其中：副部（省）级及以上领导用车0辆、主要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用车0辆、机要通信用车0辆、应急保障用车42辆、执法执勤用车0辆、特种专业技术用车37辆、离退休干部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用车0辆、其他用车90辆，其他用车主要是：</w:t>
      </w:r>
      <w:r>
        <w:rPr>
          <w:rFonts w:hint="eastAsia" w:ascii="仿宋_GB2312" w:eastAsia="仿宋_GB2312"/>
          <w:sz w:val="32"/>
          <w:szCs w:val="32"/>
        </w:rPr>
        <w:t>沥青保温车、大巴车、皮卡车、吊车、运输车、清扫车</w:t>
      </w:r>
      <w:r>
        <w:rPr>
          <w:rFonts w:hint="eastAsia" w:ascii="仿宋_GB2312" w:eastAsia="仿宋_GB2312"/>
          <w:sz w:val="32"/>
          <w:szCs w:val="32"/>
          <w:lang w:eastAsia="zh-CN"/>
        </w:rPr>
        <w:t>等</w:t>
      </w:r>
      <w:r>
        <w:rPr>
          <w:rFonts w:hint="eastAsia" w:ascii="仿宋_GB2312" w:eastAsia="仿宋_GB2312"/>
          <w:sz w:val="32"/>
          <w:szCs w:val="32"/>
          <w:lang w:val="en-US" w:eastAsia="zh-CN"/>
        </w:rPr>
        <w:t>养护用车</w:t>
      </w:r>
      <w:r>
        <w:rPr>
          <w:rFonts w:hint="eastAsia" w:ascii="Times New Roman" w:hAnsi="Times New Roman" w:eastAsia="仿宋_GB2312" w:cs="Times New Roman"/>
          <w:color w:val="auto"/>
          <w:sz w:val="32"/>
          <w:szCs w:val="32"/>
          <w:highlight w:val="none"/>
          <w:lang w:val="zh-CN" w:eastAsia="zh-CN"/>
        </w:rPr>
        <w:t>；单价100万元（含）以上设备（不含车辆）4</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14:paraId="1513193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32" w:name="_Toc435"/>
      <w:bookmarkStart w:id="33"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32"/>
      <w:bookmarkEnd w:id="33"/>
    </w:p>
    <w:p w14:paraId="630F31F2">
      <w:pPr>
        <w:ind w:firstLine="640" w:firstLineChars="200"/>
        <w:rPr>
          <w:rFonts w:ascii="仿宋_GB2312" w:eastAsia="仿宋_GB2312"/>
          <w:sz w:val="32"/>
          <w:szCs w:val="32"/>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2023年度预算绩效评价项目</w:t>
      </w:r>
      <w:r>
        <w:rPr>
          <w:rFonts w:hint="eastAsia" w:ascii="仿宋_GB2312" w:eastAsia="仿宋_GB2312"/>
          <w:color w:val="auto"/>
          <w:sz w:val="32"/>
          <w:szCs w:val="32"/>
          <w:highlight w:val="none"/>
          <w:lang w:val="en-US" w:eastAsia="zh-CN"/>
        </w:rPr>
        <w:t>5</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全年预算数2624.49</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全年执行数2624.49</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ascii="仿宋_GB2312" w:eastAsia="仿宋_GB2312"/>
          <w:sz w:val="32"/>
          <w:szCs w:val="32"/>
        </w:rPr>
        <w:t>一是建立、健全预算绩效管理组织机构。二是根据单位实际情况，使部门预算编制更加科学合理、完整。三是提高资金的使用效益，通过完善系列绩效管理制度，让绩效管理有法可依、有法必依，为全面推进预算绩效管理工作奠定基础</w:t>
      </w:r>
      <w:r>
        <w:rPr>
          <w:rFonts w:hint="eastAsia" w:ascii="仿宋_GB2312" w:eastAsia="仿宋_GB2312"/>
          <w:color w:val="auto"/>
          <w:sz w:val="32"/>
          <w:szCs w:val="32"/>
          <w:highlight w:val="none"/>
          <w:lang w:eastAsia="zh-CN"/>
        </w:rPr>
        <w:t>。发现的问题及原因：</w:t>
      </w:r>
      <w:r>
        <w:rPr>
          <w:rFonts w:ascii="仿宋_GB2312" w:eastAsia="仿宋_GB2312"/>
          <w:sz w:val="32"/>
          <w:szCs w:val="32"/>
        </w:rPr>
        <w:t>一是单位各部门预算绩效理念不强。存在重安排，轻监督，重使用，轻绩效的现象。二是相关工作人员缺乏系统预算绩效方面学习和培训，难以做到程序规范、管理科学。三是指标体系和评价标准尚不完善，导致评价结果运用不充分</w:t>
      </w:r>
      <w:r>
        <w:rPr>
          <w:rFonts w:hint="eastAsia" w:ascii="仿宋_GB2312" w:eastAsia="仿宋_GB2312"/>
          <w:sz w:val="32"/>
          <w:szCs w:val="32"/>
        </w:rPr>
        <w:t>。</w:t>
      </w:r>
      <w:r>
        <w:rPr>
          <w:rFonts w:hint="eastAsia" w:ascii="仿宋_GB2312" w:eastAsia="仿宋_GB2312"/>
          <w:color w:val="auto"/>
          <w:sz w:val="32"/>
          <w:szCs w:val="32"/>
          <w:highlight w:val="none"/>
          <w:lang w:eastAsia="zh-CN"/>
        </w:rPr>
        <w:t>下一步改进措施：</w:t>
      </w:r>
      <w:r>
        <w:rPr>
          <w:rFonts w:ascii="仿宋_GB2312" w:eastAsia="仿宋_GB2312"/>
          <w:sz w:val="32"/>
          <w:szCs w:val="32"/>
        </w:rPr>
        <w:t>一是明确预算绩效管理工作责任，强化预算绩效管理意识。二是加大预算绩效管理考核力度，强化绩效监督问责。三是加大预算绩效管理宣传培训力度</w:t>
      </w:r>
      <w:r>
        <w:rPr>
          <w:rFonts w:hint="eastAsia" w:ascii="仿宋_GB2312" w:eastAsia="仿宋_GB2312"/>
          <w:sz w:val="32"/>
          <w:szCs w:val="32"/>
        </w:rPr>
        <w:t>。</w:t>
      </w:r>
    </w:p>
    <w:p w14:paraId="57F9FDAD">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14:paraId="64316999">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0EABEC17">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14:paraId="6B6052C7">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4" w:name="_Toc3250"/>
      <w:bookmarkStart w:id="35"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4"/>
      <w:bookmarkEnd w:id="35"/>
    </w:p>
    <w:p w14:paraId="532DE1F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3AF3031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341C8EE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42307C2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1CB9AE2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64B9680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75ECCD9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328242F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12E9C4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17C0077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719BAF40">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7DB4BDB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6F4C6848">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4879B140">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603C31C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03D2277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83"/>
      <w:bookmarkStart w:id="37" w:name="_Toc6062"/>
      <w:r>
        <w:rPr>
          <w:rFonts w:hint="eastAsia" w:ascii="黑体" w:hAnsi="黑体" w:eastAsia="仿宋_GB2312" w:cs="宋体"/>
          <w:bCs/>
          <w:color w:val="auto"/>
          <w:kern w:val="0"/>
          <w:sz w:val="32"/>
          <w:szCs w:val="32"/>
          <w:highlight w:val="none"/>
        </w:rPr>
        <w:t>一、《收入支出决算总表》</w:t>
      </w:r>
      <w:bookmarkEnd w:id="36"/>
      <w:bookmarkEnd w:id="37"/>
    </w:p>
    <w:p w14:paraId="687E692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30364"/>
      <w:bookmarkStart w:id="39" w:name="_Toc24532"/>
      <w:r>
        <w:rPr>
          <w:rFonts w:hint="eastAsia" w:ascii="黑体" w:hAnsi="黑体" w:eastAsia="仿宋_GB2312" w:cs="宋体"/>
          <w:bCs/>
          <w:color w:val="auto"/>
          <w:kern w:val="0"/>
          <w:sz w:val="32"/>
          <w:szCs w:val="32"/>
          <w:highlight w:val="none"/>
        </w:rPr>
        <w:t>二、《收入决算表》</w:t>
      </w:r>
      <w:bookmarkEnd w:id="38"/>
      <w:bookmarkEnd w:id="39"/>
    </w:p>
    <w:p w14:paraId="11669F0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32434"/>
      <w:bookmarkStart w:id="41" w:name="_Toc21304"/>
      <w:r>
        <w:rPr>
          <w:rFonts w:hint="eastAsia" w:ascii="黑体" w:hAnsi="黑体" w:eastAsia="仿宋_GB2312" w:cs="宋体"/>
          <w:bCs/>
          <w:color w:val="auto"/>
          <w:kern w:val="0"/>
          <w:sz w:val="32"/>
          <w:szCs w:val="32"/>
          <w:highlight w:val="none"/>
        </w:rPr>
        <w:t>三、《支出决算表》</w:t>
      </w:r>
      <w:bookmarkEnd w:id="40"/>
      <w:bookmarkEnd w:id="41"/>
    </w:p>
    <w:p w14:paraId="56D88AC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28786"/>
      <w:bookmarkStart w:id="43" w:name="_Toc14238"/>
      <w:r>
        <w:rPr>
          <w:rFonts w:hint="eastAsia" w:ascii="黑体" w:hAnsi="黑体" w:eastAsia="仿宋_GB2312" w:cs="宋体"/>
          <w:bCs/>
          <w:color w:val="auto"/>
          <w:kern w:val="0"/>
          <w:sz w:val="32"/>
          <w:szCs w:val="32"/>
          <w:highlight w:val="none"/>
        </w:rPr>
        <w:t>四、《财政拨款收入支出决算总表》</w:t>
      </w:r>
      <w:bookmarkEnd w:id="42"/>
      <w:bookmarkEnd w:id="43"/>
    </w:p>
    <w:p w14:paraId="5F6B8E8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4" w:name="_Toc10347"/>
      <w:bookmarkStart w:id="45" w:name="_Toc14869"/>
      <w:r>
        <w:rPr>
          <w:rFonts w:hint="eastAsia" w:ascii="黑体" w:hAnsi="黑体" w:eastAsia="仿宋_GB2312" w:cs="宋体"/>
          <w:bCs/>
          <w:color w:val="auto"/>
          <w:kern w:val="0"/>
          <w:sz w:val="32"/>
          <w:szCs w:val="32"/>
          <w:highlight w:val="none"/>
        </w:rPr>
        <w:t>五、《一般公共预算财政拨款支出决算表》</w:t>
      </w:r>
      <w:bookmarkEnd w:id="44"/>
      <w:bookmarkEnd w:id="45"/>
    </w:p>
    <w:p w14:paraId="3F7F64D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626"/>
      <w:bookmarkStart w:id="47" w:name="_Toc8884"/>
      <w:r>
        <w:rPr>
          <w:rFonts w:hint="eastAsia" w:ascii="黑体" w:hAnsi="黑体" w:eastAsia="仿宋_GB2312" w:cs="宋体"/>
          <w:bCs/>
          <w:color w:val="auto"/>
          <w:kern w:val="0"/>
          <w:sz w:val="32"/>
          <w:szCs w:val="32"/>
          <w:highlight w:val="none"/>
        </w:rPr>
        <w:t>六、《一般公共预算财政拨款基本支出决算表》</w:t>
      </w:r>
      <w:bookmarkEnd w:id="46"/>
      <w:bookmarkEnd w:id="47"/>
    </w:p>
    <w:p w14:paraId="3B2713D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8" w:name="_Toc32663"/>
      <w:bookmarkStart w:id="49" w:name="_Toc29106"/>
      <w:r>
        <w:rPr>
          <w:rFonts w:hint="eastAsia" w:ascii="黑体" w:hAnsi="黑体" w:eastAsia="仿宋_GB2312" w:cs="宋体"/>
          <w:bCs/>
          <w:color w:val="auto"/>
          <w:kern w:val="0"/>
          <w:sz w:val="32"/>
          <w:szCs w:val="32"/>
          <w:highlight w:val="none"/>
        </w:rPr>
        <w:t>《财政拨款“三公”经费支出决算表》</w:t>
      </w:r>
      <w:bookmarkEnd w:id="48"/>
      <w:bookmarkEnd w:id="49"/>
    </w:p>
    <w:p w14:paraId="4E1739A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50" w:name="_Toc7643"/>
      <w:bookmarkStart w:id="51" w:name="_Toc5453"/>
      <w:r>
        <w:rPr>
          <w:rFonts w:hint="eastAsia" w:ascii="黑体" w:hAnsi="黑体" w:eastAsia="仿宋_GB2312" w:cs="宋体"/>
          <w:bCs/>
          <w:color w:val="auto"/>
          <w:kern w:val="0"/>
          <w:sz w:val="32"/>
          <w:szCs w:val="32"/>
          <w:highlight w:val="none"/>
        </w:rPr>
        <w:t>八、《政府性基金预算财政拨款收入支出决算表》</w:t>
      </w:r>
      <w:bookmarkEnd w:id="50"/>
      <w:bookmarkEnd w:id="51"/>
    </w:p>
    <w:p w14:paraId="3125CCC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1349E30F">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209BF10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3F2B7F">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C09BB4D">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C09BB4D">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xM2VlZGQ2YTBiN2U3MGFlNmVmMzQ0NTc5YzYzOGY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E05CE8"/>
    <w:rsid w:val="03F973EE"/>
    <w:rsid w:val="043E5B56"/>
    <w:rsid w:val="04C04386"/>
    <w:rsid w:val="04D96608"/>
    <w:rsid w:val="04FA68C4"/>
    <w:rsid w:val="053F5AE6"/>
    <w:rsid w:val="057C0B0F"/>
    <w:rsid w:val="05EF4B48"/>
    <w:rsid w:val="05F76ECA"/>
    <w:rsid w:val="06792773"/>
    <w:rsid w:val="06F60FCC"/>
    <w:rsid w:val="07093795"/>
    <w:rsid w:val="07804730"/>
    <w:rsid w:val="079052BE"/>
    <w:rsid w:val="08145C21"/>
    <w:rsid w:val="08212D4A"/>
    <w:rsid w:val="08422688"/>
    <w:rsid w:val="085854ED"/>
    <w:rsid w:val="0879188F"/>
    <w:rsid w:val="08A0354D"/>
    <w:rsid w:val="08CD4C49"/>
    <w:rsid w:val="09114954"/>
    <w:rsid w:val="095A5B83"/>
    <w:rsid w:val="096466E3"/>
    <w:rsid w:val="0968304D"/>
    <w:rsid w:val="097E67DE"/>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02339A"/>
    <w:rsid w:val="105B0B5E"/>
    <w:rsid w:val="112E58D0"/>
    <w:rsid w:val="11731CAC"/>
    <w:rsid w:val="119500A0"/>
    <w:rsid w:val="11C0733B"/>
    <w:rsid w:val="11D50D17"/>
    <w:rsid w:val="120E0809"/>
    <w:rsid w:val="127F665A"/>
    <w:rsid w:val="129E0A68"/>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083E72"/>
    <w:rsid w:val="184510FD"/>
    <w:rsid w:val="190648B0"/>
    <w:rsid w:val="19071D6C"/>
    <w:rsid w:val="19AB62A1"/>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EC431E"/>
    <w:rsid w:val="26F0170C"/>
    <w:rsid w:val="27201D62"/>
    <w:rsid w:val="27286E73"/>
    <w:rsid w:val="278E2778"/>
    <w:rsid w:val="27CF2642"/>
    <w:rsid w:val="27E777F5"/>
    <w:rsid w:val="27EA1D4C"/>
    <w:rsid w:val="27EA2E41"/>
    <w:rsid w:val="282459E2"/>
    <w:rsid w:val="283A7FE5"/>
    <w:rsid w:val="285F51FF"/>
    <w:rsid w:val="28DF2665"/>
    <w:rsid w:val="29072599"/>
    <w:rsid w:val="291029F3"/>
    <w:rsid w:val="2980271B"/>
    <w:rsid w:val="29CB58F0"/>
    <w:rsid w:val="2A053397"/>
    <w:rsid w:val="2A145E96"/>
    <w:rsid w:val="2A2131BB"/>
    <w:rsid w:val="2AF5378F"/>
    <w:rsid w:val="2B9310C4"/>
    <w:rsid w:val="2BB94DBF"/>
    <w:rsid w:val="2C6F314E"/>
    <w:rsid w:val="2CC206BE"/>
    <w:rsid w:val="2CFC296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2B226B2"/>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BDD5803"/>
    <w:rsid w:val="3C242659"/>
    <w:rsid w:val="3C96719C"/>
    <w:rsid w:val="3C9C67F9"/>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4CF2D1D"/>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865D7"/>
    <w:rsid w:val="4A7B2875"/>
    <w:rsid w:val="4A934476"/>
    <w:rsid w:val="4AAA220A"/>
    <w:rsid w:val="4AE12E67"/>
    <w:rsid w:val="4B4C0111"/>
    <w:rsid w:val="4B8553A9"/>
    <w:rsid w:val="4BDB3730"/>
    <w:rsid w:val="4C142E7B"/>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B54C9E"/>
    <w:rsid w:val="50D16158"/>
    <w:rsid w:val="50DB5F45"/>
    <w:rsid w:val="51025EB1"/>
    <w:rsid w:val="51141503"/>
    <w:rsid w:val="518D0ED5"/>
    <w:rsid w:val="525C687F"/>
    <w:rsid w:val="52F647F7"/>
    <w:rsid w:val="52F92565"/>
    <w:rsid w:val="53D03877"/>
    <w:rsid w:val="542F73CA"/>
    <w:rsid w:val="5430786D"/>
    <w:rsid w:val="545A1D2A"/>
    <w:rsid w:val="54C811C0"/>
    <w:rsid w:val="556A442D"/>
    <w:rsid w:val="55DA564E"/>
    <w:rsid w:val="5604127D"/>
    <w:rsid w:val="56166703"/>
    <w:rsid w:val="56510474"/>
    <w:rsid w:val="56861525"/>
    <w:rsid w:val="56A8756A"/>
    <w:rsid w:val="56A93273"/>
    <w:rsid w:val="56BD550C"/>
    <w:rsid w:val="56E07045"/>
    <w:rsid w:val="56FF28AF"/>
    <w:rsid w:val="57540E7D"/>
    <w:rsid w:val="5773706E"/>
    <w:rsid w:val="577B4878"/>
    <w:rsid w:val="57926973"/>
    <w:rsid w:val="58175352"/>
    <w:rsid w:val="581F2200"/>
    <w:rsid w:val="583059FA"/>
    <w:rsid w:val="584A0929"/>
    <w:rsid w:val="58CD2491"/>
    <w:rsid w:val="59087BEF"/>
    <w:rsid w:val="591B41B2"/>
    <w:rsid w:val="59254A26"/>
    <w:rsid w:val="59326325"/>
    <w:rsid w:val="595C505B"/>
    <w:rsid w:val="595E55C3"/>
    <w:rsid w:val="596E7E20"/>
    <w:rsid w:val="5A60780B"/>
    <w:rsid w:val="5AB34579"/>
    <w:rsid w:val="5AFC6609"/>
    <w:rsid w:val="5B113480"/>
    <w:rsid w:val="5BD456CE"/>
    <w:rsid w:val="5C0D1F49"/>
    <w:rsid w:val="5C886156"/>
    <w:rsid w:val="5CBB0CE2"/>
    <w:rsid w:val="5CC17177"/>
    <w:rsid w:val="5CF306BC"/>
    <w:rsid w:val="5D3F3D64"/>
    <w:rsid w:val="5D833043"/>
    <w:rsid w:val="5DD92690"/>
    <w:rsid w:val="5DDB1CFD"/>
    <w:rsid w:val="5E7E6D93"/>
    <w:rsid w:val="5ED44800"/>
    <w:rsid w:val="5F350BDE"/>
    <w:rsid w:val="5F525392"/>
    <w:rsid w:val="5F61632C"/>
    <w:rsid w:val="5FA17648"/>
    <w:rsid w:val="5FE705CB"/>
    <w:rsid w:val="603D5080"/>
    <w:rsid w:val="60D0261B"/>
    <w:rsid w:val="618E3791"/>
    <w:rsid w:val="61947DCA"/>
    <w:rsid w:val="61A46A97"/>
    <w:rsid w:val="61AF3E33"/>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BD0D38"/>
    <w:rsid w:val="68DB0208"/>
    <w:rsid w:val="68FB170C"/>
    <w:rsid w:val="6913093C"/>
    <w:rsid w:val="691B3D98"/>
    <w:rsid w:val="693748F0"/>
    <w:rsid w:val="69846A0E"/>
    <w:rsid w:val="69AA1366"/>
    <w:rsid w:val="69AD798C"/>
    <w:rsid w:val="69D005C0"/>
    <w:rsid w:val="69D80B96"/>
    <w:rsid w:val="6ABA7D23"/>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45C45"/>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7103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1173D9"/>
    <w:rsid w:val="784E7CA6"/>
    <w:rsid w:val="78574801"/>
    <w:rsid w:val="7873527F"/>
    <w:rsid w:val="790A6425"/>
    <w:rsid w:val="790E2D96"/>
    <w:rsid w:val="791B54B2"/>
    <w:rsid w:val="795A0A34"/>
    <w:rsid w:val="797339C3"/>
    <w:rsid w:val="798A7936"/>
    <w:rsid w:val="79D57D57"/>
    <w:rsid w:val="79F00650"/>
    <w:rsid w:val="7A4E5C58"/>
    <w:rsid w:val="7A6242BF"/>
    <w:rsid w:val="7A794513"/>
    <w:rsid w:val="7AE952D2"/>
    <w:rsid w:val="7C7248A0"/>
    <w:rsid w:val="7C976D69"/>
    <w:rsid w:val="7CD752DA"/>
    <w:rsid w:val="7CDE40AB"/>
    <w:rsid w:val="7CF057E2"/>
    <w:rsid w:val="7D1548B5"/>
    <w:rsid w:val="7DBA3EE0"/>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5908</Words>
  <Characters>6746</Characters>
  <Lines>0</Lines>
  <Paragraphs>0</Paragraphs>
  <TotalTime>0</TotalTime>
  <ScaleCrop>false</ScaleCrop>
  <LinksUpToDate>false</LinksUpToDate>
  <CharactersWithSpaces>6758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肤浅</cp:lastModifiedBy>
  <dcterms:modified xsi:type="dcterms:W3CDTF">2024-11-04T13:57:07Z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D624B15633CD43C8BF9435464A96BF70</vt:lpwstr>
  </property>
</Properties>
</file>