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92A122">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037CCE8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1014BF3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昌吉公路管理局</w:t>
      </w:r>
    </w:p>
    <w:p w14:paraId="793B09C0">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4331A02E">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4A1A881">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54DD87FF">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417F12B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62999D5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0826201C">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5B6A3B7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62658CB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2F96CD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2858A7C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302561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66B2C41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18ED968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3113801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7B707D6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5D5EB30">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604AAB2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4062AF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15F14BBF">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45A1A1F8">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76CDA70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EEFE75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7818DF7">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31E8426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4D4FCF6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66C4350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7BFA07A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753FA4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7D53330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0482214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7B4DFC6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109C95F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18044C3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06E17693">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1E470D14">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3ADD294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59AB66A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0879C6D0">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昌吉公路管理局的主要职能有以下几个方面：</w:t>
      </w:r>
      <w:r>
        <w:rPr>
          <w:rFonts w:ascii="仿宋_GB2312" w:eastAsia="仿宋_GB2312"/>
          <w:sz w:val="32"/>
          <w:szCs w:val="32"/>
        </w:rPr>
        <w:br w:type="textWrapping"/>
      </w:r>
      <w:r>
        <w:rPr>
          <w:rFonts w:ascii="仿宋_GB2312" w:eastAsia="仿宋_GB2312"/>
          <w:sz w:val="32"/>
          <w:szCs w:val="32"/>
        </w:rPr>
        <w:t>　　（1）贯彻执行国家、自治区有关公路养护管理的政策法规和方针政策，参与制订相关技术标准、规范和定额;</w:t>
      </w:r>
      <w:r>
        <w:rPr>
          <w:rFonts w:ascii="仿宋_GB2312" w:eastAsia="仿宋_GB2312"/>
          <w:sz w:val="32"/>
          <w:szCs w:val="32"/>
        </w:rPr>
        <w:br w:type="textWrapping"/>
      </w:r>
      <w:r>
        <w:rPr>
          <w:rFonts w:ascii="仿宋_GB2312" w:eastAsia="仿宋_GB2312"/>
          <w:sz w:val="32"/>
          <w:szCs w:val="32"/>
        </w:rPr>
        <w:t>　　（2）参与编制公路交通发展规划，编报并实施年度公路养护计划和预算;具体管理公路养护专项资金;</w:t>
      </w:r>
      <w:r>
        <w:rPr>
          <w:rFonts w:ascii="仿宋_GB2312" w:eastAsia="仿宋_GB2312"/>
          <w:sz w:val="32"/>
          <w:szCs w:val="32"/>
        </w:rPr>
        <w:br w:type="textWrapping"/>
      </w:r>
      <w:r>
        <w:rPr>
          <w:rFonts w:ascii="仿宋_GB2312" w:eastAsia="仿宋_GB2312"/>
          <w:sz w:val="32"/>
          <w:szCs w:val="32"/>
        </w:rPr>
        <w:t>　　（3）负责昌吉州境内国道、省道，口岸公路和管辖范围内专用公路的养护和质量管理及公路沿线服务设施管理;负责公路大中修项目、路网结构改造项目的组织实施工作；</w:t>
      </w:r>
      <w:r>
        <w:rPr>
          <w:rFonts w:ascii="仿宋_GB2312" w:eastAsia="仿宋_GB2312"/>
          <w:sz w:val="32"/>
          <w:szCs w:val="32"/>
        </w:rPr>
        <w:br w:type="textWrapping"/>
      </w:r>
      <w:r>
        <w:rPr>
          <w:rFonts w:ascii="仿宋_GB2312" w:eastAsia="仿宋_GB2312"/>
          <w:sz w:val="32"/>
          <w:szCs w:val="32"/>
        </w:rPr>
        <w:t>　　（4）负责昌吉州境内农村公路质量监督工作;</w:t>
      </w:r>
      <w:r>
        <w:rPr>
          <w:rFonts w:ascii="仿宋_GB2312" w:eastAsia="仿宋_GB2312"/>
          <w:sz w:val="32"/>
          <w:szCs w:val="32"/>
        </w:rPr>
        <w:br w:type="textWrapping"/>
      </w:r>
      <w:r>
        <w:rPr>
          <w:rFonts w:ascii="仿宋_GB2312" w:eastAsia="仿宋_GB2312"/>
          <w:sz w:val="32"/>
          <w:szCs w:val="32"/>
        </w:rPr>
        <w:t>　　（5）负责配合自治区公路事业发展中心培育、规范、完善、管理公路养护市场；</w:t>
      </w:r>
      <w:r>
        <w:rPr>
          <w:rFonts w:ascii="仿宋_GB2312" w:eastAsia="仿宋_GB2312"/>
          <w:sz w:val="32"/>
          <w:szCs w:val="32"/>
        </w:rPr>
        <w:br w:type="textWrapping"/>
      </w:r>
      <w:r>
        <w:rPr>
          <w:rFonts w:ascii="仿宋_GB2312" w:eastAsia="仿宋_GB2312"/>
          <w:sz w:val="32"/>
          <w:szCs w:val="32"/>
        </w:rPr>
        <w:t>　　（6）负责非经营性收费公路的运营与管理，根据交通运输厅授权，负责经营性收费公路的行业监督和管理工作；</w:t>
      </w:r>
      <w:r>
        <w:rPr>
          <w:rFonts w:ascii="仿宋_GB2312" w:eastAsia="仿宋_GB2312"/>
          <w:sz w:val="32"/>
          <w:szCs w:val="32"/>
        </w:rPr>
        <w:br w:type="textWrapping"/>
      </w:r>
      <w:r>
        <w:rPr>
          <w:rFonts w:ascii="仿宋_GB2312" w:eastAsia="仿宋_GB2312"/>
          <w:sz w:val="32"/>
          <w:szCs w:val="32"/>
        </w:rPr>
        <w:t>　　（7）根据交通运输厅授权，负责交通运输厅委托的（辅助）</w:t>
      </w:r>
      <w:r>
        <w:rPr>
          <w:rFonts w:hint="eastAsia" w:ascii="仿宋_GB2312" w:eastAsia="仿宋_GB2312"/>
          <w:sz w:val="32"/>
          <w:szCs w:val="32"/>
          <w:lang w:eastAsia="zh-CN"/>
        </w:rPr>
        <w:t>权力事项</w:t>
      </w:r>
      <w:r>
        <w:rPr>
          <w:rFonts w:ascii="仿宋_GB2312" w:eastAsia="仿宋_GB2312"/>
          <w:sz w:val="32"/>
          <w:szCs w:val="32"/>
        </w:rPr>
        <w:t>各项工作；</w:t>
      </w:r>
      <w:r>
        <w:rPr>
          <w:rFonts w:ascii="仿宋_GB2312" w:eastAsia="仿宋_GB2312"/>
          <w:sz w:val="32"/>
          <w:szCs w:val="32"/>
        </w:rPr>
        <w:br w:type="textWrapping"/>
      </w:r>
      <w:r>
        <w:rPr>
          <w:rFonts w:ascii="仿宋_GB2312" w:eastAsia="仿宋_GB2312"/>
          <w:sz w:val="32"/>
          <w:szCs w:val="32"/>
        </w:rPr>
        <w:t>　　（8）负责公路管理系统行业统计和信息化建设工作；</w:t>
      </w:r>
      <w:r>
        <w:rPr>
          <w:rFonts w:ascii="仿宋_GB2312" w:eastAsia="仿宋_GB2312"/>
          <w:sz w:val="32"/>
          <w:szCs w:val="32"/>
        </w:rPr>
        <w:br w:type="textWrapping"/>
      </w:r>
      <w:r>
        <w:rPr>
          <w:rFonts w:ascii="仿宋_GB2312" w:eastAsia="仿宋_GB2312"/>
          <w:sz w:val="32"/>
          <w:szCs w:val="32"/>
        </w:rPr>
        <w:t>　　（9）承办自治区交通运输厅、自治区公路事业发展中心交办的其他工作</w:t>
      </w:r>
      <w:r>
        <w:rPr>
          <w:rFonts w:hint="eastAsia" w:ascii="仿宋_GB2312" w:eastAsia="仿宋_GB2312"/>
          <w:sz w:val="32"/>
          <w:szCs w:val="32"/>
        </w:rPr>
        <w:t>。</w:t>
      </w:r>
    </w:p>
    <w:p w14:paraId="76F6C4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00A814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昌吉公路管理局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1527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569</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958</w:t>
      </w:r>
      <w:r>
        <w:rPr>
          <w:rFonts w:hint="eastAsia" w:ascii="仿宋_GB2312" w:eastAsia="仿宋_GB2312"/>
          <w:color w:val="auto"/>
          <w:sz w:val="32"/>
          <w:szCs w:val="32"/>
          <w:highlight w:val="none"/>
        </w:rPr>
        <w:t>人。</w:t>
      </w:r>
    </w:p>
    <w:p w14:paraId="71E1260B">
      <w:pPr>
        <w:ind w:firstLine="640" w:firstLineChars="200"/>
        <w:rPr>
          <w:rFonts w:hint="eastAsia" w:ascii="仿宋_GB2312" w:hAnsi="宋体" w:eastAsia="仿宋_GB2312" w:cs="宋体"/>
          <w:kern w:val="0"/>
          <w:sz w:val="32"/>
          <w:szCs w:val="32"/>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办公室（党委办公室）、组织人事科（团委）、监察室、财务审计科、养护管理科、收费稽查科、设备管理科、监控通讯科、安全监督保卫科、劳动保障科、工会、离退休人员管理科、后勤服务科</w:t>
      </w:r>
      <w:r>
        <w:rPr>
          <w:rFonts w:hint="eastAsia" w:ascii="仿宋_GB2312" w:hAnsi="宋体" w:eastAsia="仿宋_GB2312" w:cs="宋体"/>
          <w:kern w:val="0"/>
          <w:sz w:val="32"/>
          <w:szCs w:val="32"/>
        </w:rPr>
        <w:t>。</w:t>
      </w:r>
    </w:p>
    <w:p w14:paraId="55B1EAA7">
      <w:pPr>
        <w:rPr>
          <w:rFonts w:hint="eastAsia" w:ascii="黑体" w:hAnsi="黑体" w:eastAsia="黑体"/>
          <w:color w:val="auto"/>
          <w:sz w:val="32"/>
          <w:szCs w:val="32"/>
          <w:highlight w:val="none"/>
        </w:rPr>
      </w:pPr>
      <w:r>
        <w:rPr>
          <w:rFonts w:hint="eastAsia" w:ascii="仿宋_GB2312" w:hAnsi="宋体" w:eastAsia="仿宋_GB2312" w:cs="宋体"/>
          <w:kern w:val="0"/>
          <w:sz w:val="32"/>
          <w:szCs w:val="32"/>
        </w:rPr>
        <w:br w:type="page"/>
      </w:r>
      <w:bookmarkStart w:id="6" w:name="_Toc3092"/>
      <w:bookmarkStart w:id="7" w:name="_Toc29374"/>
    </w:p>
    <w:p w14:paraId="31BEB51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295ED0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14:paraId="1C8CDCC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20,824.90万元，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20,824.90万元，使用非财政拨款结余0.00万元，年初结转和结余0.00万元。</w:t>
      </w:r>
    </w:p>
    <w:p w14:paraId="4A54831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20,824.90万元，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20,824.90万元，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0.00万元，年末结转和结余0.00万元。</w:t>
      </w:r>
    </w:p>
    <w:p w14:paraId="06D7EABE">
      <w:pPr>
        <w:ind w:firstLine="640" w:firstLineChars="200"/>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减少2,666.65万元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下降11.35%</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基本支出</w:t>
      </w:r>
      <w:r>
        <w:rPr>
          <w:rFonts w:hint="default" w:ascii="仿宋_GB2312" w:eastAsia="仿宋_GB2312"/>
          <w:sz w:val="32"/>
          <w:szCs w:val="32"/>
          <w:lang w:val="en-US" w:eastAsia="zh-CN"/>
        </w:rPr>
        <w:t>收回2023年自治区本级机关事业单位离退休人员基本医疗保险单位缴费部分</w:t>
      </w:r>
      <w:r>
        <w:rPr>
          <w:rFonts w:hint="eastAsia" w:ascii="仿宋_GB2312" w:eastAsia="仿宋_GB2312"/>
          <w:sz w:val="32"/>
          <w:szCs w:val="32"/>
        </w:rPr>
        <w:t>。项目支出</w:t>
      </w:r>
      <w:r>
        <w:rPr>
          <w:rFonts w:hint="eastAsia" w:ascii="仿宋_GB2312" w:eastAsia="仿宋_GB2312"/>
          <w:sz w:val="32"/>
          <w:szCs w:val="32"/>
          <w:lang w:eastAsia="zh-CN"/>
        </w:rPr>
        <w:t>减少了</w:t>
      </w:r>
      <w:r>
        <w:rPr>
          <w:rFonts w:hint="eastAsia" w:ascii="仿宋_GB2312" w:eastAsia="仿宋_GB2312"/>
          <w:sz w:val="32"/>
          <w:szCs w:val="32"/>
        </w:rPr>
        <w:t>2021年政府还贷公路取消</w:t>
      </w:r>
      <w:r>
        <w:rPr>
          <w:rFonts w:hint="eastAsia" w:ascii="仿宋_GB2312" w:eastAsia="仿宋_GB2312"/>
          <w:sz w:val="32"/>
          <w:szCs w:val="32"/>
          <w:lang w:eastAsia="zh-CN"/>
        </w:rPr>
        <w:t>收费站后补</w:t>
      </w:r>
      <w:r>
        <w:rPr>
          <w:rFonts w:hint="eastAsia" w:ascii="仿宋_GB2312" w:eastAsia="仿宋_GB2312"/>
          <w:sz w:val="32"/>
          <w:szCs w:val="32"/>
        </w:rPr>
        <w:t>助资金用于国省干线公路养护工程项目和2022年政府还贷二级公路取消收费后补助资金用于国省干线公路养护工程项目。</w:t>
      </w:r>
    </w:p>
    <w:p w14:paraId="5C26C9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4C8250E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20,824.90</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20,802.71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99.89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22.19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0.11</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14:paraId="7544BA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14:paraId="4489280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zh-CN" w:eastAsia="zh-CN"/>
        </w:rPr>
      </w:pPr>
      <w:r>
        <w:rPr>
          <w:rFonts w:hint="eastAsia" w:ascii="仿宋_GB2312" w:eastAsia="仿宋_GB2312"/>
          <w:color w:val="auto"/>
          <w:spacing w:val="0"/>
          <w:sz w:val="32"/>
          <w:szCs w:val="32"/>
          <w:highlight w:val="none"/>
          <w:lang w:val="zh-CN" w:eastAsia="zh-CN"/>
        </w:rPr>
        <w:t>本年支出20,824.90万元，其中：基本支出16,183.54万元，占77.71%；项目支出4,641.37万元，占22.29%；上缴上级支出0.00万元，占0.00%；经营支出0.00万元，占0.00%；对附属单位补助支出0.00万元，占0.00%。</w:t>
      </w:r>
    </w:p>
    <w:p w14:paraId="3886617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765779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20,802.71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20,802.71</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20,802.71</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20,802.71</w:t>
      </w:r>
      <w:r>
        <w:rPr>
          <w:rFonts w:hint="eastAsia" w:ascii="仿宋_GB2312" w:eastAsia="仿宋_GB2312"/>
          <w:color w:val="auto"/>
          <w:spacing w:val="0"/>
          <w:sz w:val="32"/>
          <w:szCs w:val="32"/>
          <w:highlight w:val="none"/>
          <w:lang w:eastAsia="zh-CN"/>
        </w:rPr>
        <w:t>万元。</w:t>
      </w:r>
    </w:p>
    <w:p w14:paraId="34B2A16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减少2,668.25万元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下降11.37%，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基本支出</w:t>
      </w:r>
      <w:r>
        <w:rPr>
          <w:rFonts w:hint="default" w:ascii="仿宋_GB2312" w:eastAsia="仿宋_GB2312"/>
          <w:sz w:val="32"/>
          <w:szCs w:val="32"/>
          <w:lang w:val="en-US" w:eastAsia="zh-CN"/>
        </w:rPr>
        <w:t>收回2023年自治区本级机关事业单位离退休人员基本医疗保险单位缴费部分</w:t>
      </w:r>
      <w:r>
        <w:rPr>
          <w:rFonts w:hint="eastAsia" w:ascii="仿宋_GB2312" w:eastAsia="仿宋_GB2312"/>
          <w:sz w:val="32"/>
          <w:szCs w:val="32"/>
        </w:rPr>
        <w:t>。项目支出</w:t>
      </w:r>
      <w:r>
        <w:rPr>
          <w:rFonts w:hint="eastAsia" w:ascii="仿宋_GB2312" w:eastAsia="仿宋_GB2312"/>
          <w:sz w:val="32"/>
          <w:szCs w:val="32"/>
          <w:lang w:eastAsia="zh-CN"/>
        </w:rPr>
        <w:t>减少了</w:t>
      </w:r>
      <w:r>
        <w:rPr>
          <w:rFonts w:hint="eastAsia" w:ascii="仿宋_GB2312" w:eastAsia="仿宋_GB2312"/>
          <w:sz w:val="32"/>
          <w:szCs w:val="32"/>
        </w:rPr>
        <w:t>2021年政府还贷公路取消</w:t>
      </w:r>
      <w:r>
        <w:rPr>
          <w:rFonts w:hint="eastAsia" w:ascii="仿宋_GB2312" w:eastAsia="仿宋_GB2312"/>
          <w:sz w:val="32"/>
          <w:szCs w:val="32"/>
          <w:lang w:eastAsia="zh-CN"/>
        </w:rPr>
        <w:t>收费站后补</w:t>
      </w:r>
      <w:r>
        <w:rPr>
          <w:rFonts w:hint="eastAsia" w:ascii="仿宋_GB2312" w:eastAsia="仿宋_GB2312"/>
          <w:sz w:val="32"/>
          <w:szCs w:val="32"/>
        </w:rPr>
        <w:t>助资金用于国省干线公路养护工程项目和2022年政府还贷二级公路取消收费后补助资金用于国省干线公路养护工程项目。</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19,323.68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20,802.71</w:t>
      </w:r>
      <w:r>
        <w:rPr>
          <w:rFonts w:hint="eastAsia" w:ascii="仿宋_GB2312" w:eastAsia="仿宋_GB2312"/>
          <w:color w:val="auto"/>
          <w:spacing w:val="0"/>
          <w:sz w:val="32"/>
          <w:szCs w:val="32"/>
          <w:highlight w:val="none"/>
          <w:lang w:eastAsia="zh-CN"/>
        </w:rPr>
        <w:t>万元，预决算差异率7.65%，主要原因是：本年追加了</w:t>
      </w:r>
      <w:r>
        <w:rPr>
          <w:rFonts w:hint="eastAsia" w:ascii="仿宋_GB2312" w:hAnsi="仿宋_GB2312" w:eastAsia="仿宋_GB2312" w:cs="仿宋_GB2312"/>
          <w:color w:val="auto"/>
          <w:sz w:val="32"/>
          <w:szCs w:val="32"/>
        </w:rPr>
        <w:t>2023</w:t>
      </w:r>
      <w:r>
        <w:rPr>
          <w:rFonts w:hint="eastAsia" w:ascii="仿宋_GB2312" w:hAnsi="仿宋_GB2312" w:eastAsia="仿宋_GB2312" w:cs="仿宋_GB2312"/>
          <w:sz w:val="32"/>
          <w:szCs w:val="32"/>
        </w:rPr>
        <w:t>年基础绩效奖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2023年年度年终一次性奖金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2023年职业年金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地方津贴补贴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基础绩效奖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丧葬费抚恤金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2023年车辆购置税收入补助地方用于公路灾损抢修保通项目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2023年政府还贷二级公路取消收费后补助用于国省干线和农村公路养护项目</w:t>
      </w:r>
      <w:r>
        <w:rPr>
          <w:rFonts w:hint="eastAsia" w:ascii="仿宋_GB2312" w:eastAsia="仿宋_GB2312"/>
          <w:color w:val="auto"/>
          <w:spacing w:val="0"/>
          <w:sz w:val="32"/>
          <w:szCs w:val="32"/>
          <w:highlight w:val="none"/>
          <w:lang w:eastAsia="zh-CN"/>
        </w:rPr>
        <w:t>。</w:t>
      </w:r>
    </w:p>
    <w:p w14:paraId="7CAF6D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039DBAC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175C845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2023年度一般公共预算财政拨款支出20,802.71万元，占本年支出合计的</w:t>
      </w:r>
      <w:r>
        <w:rPr>
          <w:rFonts w:hint="eastAsia" w:ascii="仿宋_GB2312" w:eastAsia="仿宋_GB2312"/>
          <w:color w:val="auto"/>
          <w:spacing w:val="0"/>
          <w:sz w:val="32"/>
          <w:szCs w:val="32"/>
          <w:highlight w:val="none"/>
          <w:lang w:val="zh-CN" w:eastAsia="zh-CN"/>
        </w:rPr>
        <w:t>99.89%</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减少2,668.25万元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下降11.37%，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rPr>
        <w:t>基本支出</w:t>
      </w:r>
      <w:r>
        <w:rPr>
          <w:rFonts w:hint="default" w:ascii="仿宋_GB2312" w:eastAsia="仿宋_GB2312"/>
          <w:sz w:val="32"/>
          <w:szCs w:val="32"/>
          <w:lang w:val="en-US" w:eastAsia="zh-CN"/>
        </w:rPr>
        <w:t>收回2023年自治区本级机关事业单位离退休人员基本医疗保险单位缴费部分</w:t>
      </w:r>
      <w:r>
        <w:rPr>
          <w:rFonts w:hint="eastAsia" w:ascii="仿宋_GB2312" w:eastAsia="仿宋_GB2312"/>
          <w:sz w:val="32"/>
          <w:szCs w:val="32"/>
        </w:rPr>
        <w:t>。项目支出</w:t>
      </w:r>
      <w:r>
        <w:rPr>
          <w:rFonts w:hint="eastAsia" w:ascii="仿宋_GB2312" w:eastAsia="仿宋_GB2312"/>
          <w:sz w:val="32"/>
          <w:szCs w:val="32"/>
          <w:lang w:eastAsia="zh-CN"/>
        </w:rPr>
        <w:t>减少了</w:t>
      </w:r>
      <w:r>
        <w:rPr>
          <w:rFonts w:hint="eastAsia" w:ascii="仿宋_GB2312" w:eastAsia="仿宋_GB2312"/>
          <w:sz w:val="32"/>
          <w:szCs w:val="32"/>
        </w:rPr>
        <w:t>2021年政府还贷公路取消</w:t>
      </w:r>
      <w:r>
        <w:rPr>
          <w:rFonts w:hint="eastAsia" w:ascii="仿宋_GB2312" w:eastAsia="仿宋_GB2312"/>
          <w:sz w:val="32"/>
          <w:szCs w:val="32"/>
          <w:lang w:eastAsia="zh-CN"/>
        </w:rPr>
        <w:t>收费站后补</w:t>
      </w:r>
      <w:r>
        <w:rPr>
          <w:rFonts w:hint="eastAsia" w:ascii="仿宋_GB2312" w:eastAsia="仿宋_GB2312"/>
          <w:sz w:val="32"/>
          <w:szCs w:val="32"/>
        </w:rPr>
        <w:t>助资金用于国省干线公路养护工程项目和2022年政府还贷二级公路取消收费后补助资金用于国省干线公路养护工程项目。</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19,323.68</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20,802.71</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7.65%</w:t>
      </w:r>
      <w:r>
        <w:rPr>
          <w:rFonts w:hint="eastAsia" w:ascii="仿宋_GB2312" w:eastAsia="仿宋_GB2312"/>
          <w:color w:val="auto"/>
          <w:spacing w:val="0"/>
          <w:sz w:val="32"/>
          <w:szCs w:val="32"/>
          <w:highlight w:val="none"/>
          <w:lang w:eastAsia="zh-CN"/>
        </w:rPr>
        <w:t>，主要原因是：本年追加了</w:t>
      </w:r>
      <w:r>
        <w:rPr>
          <w:rFonts w:hint="eastAsia" w:ascii="仿宋_GB2312" w:hAnsi="仿宋_GB2312" w:eastAsia="仿宋_GB2312" w:cs="仿宋_GB2312"/>
          <w:color w:val="auto"/>
          <w:sz w:val="32"/>
          <w:szCs w:val="32"/>
        </w:rPr>
        <w:t>2023年基础绩效奖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2023年年度年终一次性奖金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2023年职业年金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地方津贴补贴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基础绩效奖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丧葬费抚恤金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2023年车辆购置税收入补助地方用于公路灾损抢修保通项目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2023年政府还贷二级公路取消收费后补助用于国省干线和农村公路养护项目</w:t>
      </w:r>
      <w:r>
        <w:rPr>
          <w:rFonts w:hint="eastAsia" w:ascii="仿宋_GB2312" w:eastAsia="仿宋_GB2312"/>
          <w:color w:val="auto"/>
          <w:spacing w:val="0"/>
          <w:sz w:val="32"/>
          <w:szCs w:val="32"/>
          <w:highlight w:val="none"/>
          <w:lang w:eastAsia="zh-CN"/>
        </w:rPr>
        <w:t>。</w:t>
      </w:r>
    </w:p>
    <w:p w14:paraId="4B27FB44">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3CDF5E6B">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3,519.67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16.92</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sz w:val="32"/>
          <w:szCs w:val="32"/>
        </w:rPr>
        <w:t>。</w:t>
      </w:r>
    </w:p>
    <w:p w14:paraId="256DACC2">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660.82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3.18</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sz w:val="32"/>
          <w:szCs w:val="32"/>
        </w:rPr>
        <w:t>。</w:t>
      </w:r>
    </w:p>
    <w:p w14:paraId="3A2FB5F3">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default" w:ascii="仿宋_GB2312" w:hAnsi="Times New Roman" w:eastAsia="仿宋_GB2312" w:cs="Times New Roman"/>
          <w:color w:val="auto"/>
          <w:spacing w:val="0"/>
          <w:kern w:val="2"/>
          <w:sz w:val="32"/>
          <w:szCs w:val="32"/>
          <w:lang w:val="zh-CN"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交通运输支出（类）</w:t>
      </w:r>
      <w:r>
        <w:rPr>
          <w:rFonts w:hint="eastAsia" w:ascii="仿宋_GB2312" w:hAnsi="Times New Roman" w:eastAsia="仿宋_GB2312" w:cs="Times New Roman"/>
          <w:color w:val="auto"/>
          <w:spacing w:val="0"/>
          <w:kern w:val="2"/>
          <w:sz w:val="32"/>
          <w:szCs w:val="32"/>
          <w:highlight w:val="none"/>
          <w:lang w:val="zh-CN" w:eastAsia="zh-CN" w:bidi="ar-SA"/>
        </w:rPr>
        <w:t>15,880.22</w:t>
      </w:r>
      <w:r>
        <w:rPr>
          <w:rFonts w:hint="default" w:ascii="仿宋_GB2312" w:hAnsi="Times New Roman" w:eastAsia="仿宋_GB2312" w:cs="Times New Roman"/>
          <w:color w:val="auto"/>
          <w:spacing w:val="0"/>
          <w:kern w:val="2"/>
          <w:sz w:val="32"/>
          <w:szCs w:val="32"/>
          <w:highlight w:val="none"/>
          <w:lang w:val="zh-CN" w:eastAsia="zh-CN" w:bidi="ar-SA"/>
        </w:rPr>
        <w:t xml:space="preserve">万元，占 </w:t>
      </w:r>
      <w:r>
        <w:rPr>
          <w:rFonts w:hint="eastAsia" w:ascii="仿宋_GB2312" w:hAnsi="Times New Roman" w:eastAsia="仿宋_GB2312" w:cs="Times New Roman"/>
          <w:color w:val="auto"/>
          <w:spacing w:val="0"/>
          <w:kern w:val="2"/>
          <w:sz w:val="32"/>
          <w:szCs w:val="32"/>
          <w:highlight w:val="none"/>
          <w:lang w:val="zh-CN" w:eastAsia="zh-CN" w:bidi="ar-SA"/>
        </w:rPr>
        <w:t>76.34</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sz w:val="32"/>
          <w:szCs w:val="32"/>
        </w:rPr>
        <w:t>。</w:t>
      </w:r>
    </w:p>
    <w:p w14:paraId="37FE982F">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742.00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3.57</w:t>
      </w:r>
      <w:r>
        <w:rPr>
          <w:rFonts w:hint="default" w:ascii="仿宋_GB2312" w:hAnsi="Times New Roman" w:eastAsia="仿宋_GB2312" w:cs="Times New Roman"/>
          <w:color w:val="auto"/>
          <w:spacing w:val="0"/>
          <w:kern w:val="2"/>
          <w:sz w:val="32"/>
          <w:szCs w:val="32"/>
          <w:highlight w:val="none"/>
          <w:lang w:val="zh-CN" w:eastAsia="zh-CN" w:bidi="ar-SA"/>
        </w:rPr>
        <w:t>%</w:t>
      </w:r>
      <w:r>
        <w:rPr>
          <w:rFonts w:hint="eastAsia" w:ascii="仿宋_GB2312" w:eastAsia="仿宋_GB2312"/>
          <w:sz w:val="32"/>
          <w:szCs w:val="32"/>
        </w:rPr>
        <w:t>。</w:t>
      </w:r>
    </w:p>
    <w:p w14:paraId="27EA9C8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183F04C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1.卫生健康支出（类）行政事业单位医疗（款）事业单位医疗（项）:支出决算数为445.25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8.31</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1.90%，主要原因是：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年度基础工资及绩效奖上涨，医疗保险缴费预算支出按比例增加</w:t>
      </w:r>
      <w:r>
        <w:rPr>
          <w:rFonts w:hint="eastAsia" w:eastAsia="仿宋_GB2312" w:cs="Times New Roman"/>
          <w:color w:val="auto"/>
          <w:kern w:val="2"/>
          <w:sz w:val="32"/>
          <w:szCs w:val="32"/>
          <w:highlight w:val="none"/>
          <w:lang w:val="zh-CN" w:eastAsia="zh-CN" w:bidi="ar-SA"/>
        </w:rPr>
        <w:t>。</w:t>
      </w:r>
    </w:p>
    <w:p w14:paraId="030164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2.卫生健康支出（类）行政事业单位医疗（款）公务员医疗补助（项）:支出决算数为215.57万元，比上年决算减少4.28万元，下降1.95%，主要原因是：2023年度因调出、退休、辞职等原因减少35人</w:t>
      </w:r>
      <w:r>
        <w:rPr>
          <w:rFonts w:hint="eastAsia" w:ascii="Times New Roman" w:hAnsi="Times New Roman" w:eastAsia="仿宋_GB2312" w:cs="Times New Roman"/>
          <w:color w:val="auto"/>
          <w:kern w:val="2"/>
          <w:sz w:val="32"/>
          <w:szCs w:val="32"/>
          <w:highlight w:val="none"/>
          <w:lang w:val="zh-CN" w:eastAsia="zh-CN" w:bidi="ar-SA"/>
        </w:rPr>
        <w:t>。</w:t>
      </w:r>
    </w:p>
    <w:p w14:paraId="421A9FB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3.交通运输支出（类）公路水路运输（款）公路养护（项）:支出决算数为15,474.22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2,741.67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15.05%，主要原因是：</w:t>
      </w:r>
      <w:r>
        <w:rPr>
          <w:rFonts w:hint="eastAsia" w:ascii="仿宋_GB2312" w:eastAsia="仿宋_GB2312"/>
          <w:sz w:val="32"/>
          <w:szCs w:val="32"/>
        </w:rPr>
        <w:t>项目支出</w:t>
      </w:r>
      <w:r>
        <w:rPr>
          <w:rFonts w:hint="eastAsia" w:ascii="仿宋_GB2312" w:eastAsia="仿宋_GB2312"/>
          <w:sz w:val="32"/>
          <w:szCs w:val="32"/>
          <w:lang w:eastAsia="zh-CN"/>
        </w:rPr>
        <w:t>减少了</w:t>
      </w:r>
      <w:r>
        <w:rPr>
          <w:rFonts w:hint="eastAsia" w:ascii="仿宋_GB2312" w:eastAsia="仿宋_GB2312"/>
          <w:sz w:val="32"/>
          <w:szCs w:val="32"/>
        </w:rPr>
        <w:t>2021年政府还贷公路取消</w:t>
      </w:r>
      <w:r>
        <w:rPr>
          <w:rFonts w:hint="eastAsia" w:ascii="仿宋_GB2312" w:eastAsia="仿宋_GB2312"/>
          <w:sz w:val="32"/>
          <w:szCs w:val="32"/>
          <w:lang w:eastAsia="zh-CN"/>
        </w:rPr>
        <w:t>收费站后补</w:t>
      </w:r>
      <w:r>
        <w:rPr>
          <w:rFonts w:hint="eastAsia" w:ascii="仿宋_GB2312" w:eastAsia="仿宋_GB2312"/>
          <w:sz w:val="32"/>
          <w:szCs w:val="32"/>
        </w:rPr>
        <w:t>助资金用于国省干线公路养护工程项目和2022年政府还贷二级公路取消收费后补助资金用于国省干线公路养护工程项目。</w:t>
      </w:r>
      <w:r>
        <w:rPr>
          <w:rFonts w:hint="eastAsia" w:eastAsia="仿宋_GB2312" w:cs="Times New Roman"/>
          <w:color w:val="auto"/>
          <w:kern w:val="2"/>
          <w:sz w:val="32"/>
          <w:szCs w:val="32"/>
          <w:highlight w:val="none"/>
          <w:lang w:val="zh-CN" w:eastAsia="zh-CN" w:bidi="ar-SA"/>
        </w:rPr>
        <w:t>。</w:t>
      </w:r>
    </w:p>
    <w:p w14:paraId="590B3C5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4.交通运输支出（类）车辆购置税支出（款）车辆购置税用于公路等基础设施建设支出（项）:支出决算数为406.00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264.00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185.92%，主要原因是：</w:t>
      </w:r>
      <w:r>
        <w:rPr>
          <w:rFonts w:hint="eastAsia" w:eastAsia="仿宋_GB2312" w:cs="Times New Roman"/>
          <w:color w:val="auto"/>
          <w:kern w:val="2"/>
          <w:sz w:val="32"/>
          <w:szCs w:val="32"/>
          <w:highlight w:val="none"/>
          <w:lang w:val="en-US" w:eastAsia="zh-CN" w:bidi="ar-SA"/>
        </w:rPr>
        <w:t>追加了2023年</w:t>
      </w:r>
      <w:r>
        <w:rPr>
          <w:rFonts w:hint="eastAsia" w:ascii="仿宋_GB2312" w:hAnsi="仿宋_GB2312" w:eastAsia="仿宋_GB2312" w:cs="仿宋_GB2312"/>
          <w:sz w:val="32"/>
          <w:szCs w:val="32"/>
        </w:rPr>
        <w:t>车辆购置税收入补助地方用于公路灾损抢修保通项目2023年政府还贷二级公路取消收费后补助用于国省干线和农村公路养护项目</w:t>
      </w:r>
      <w:r>
        <w:rPr>
          <w:rFonts w:hint="eastAsia" w:eastAsia="仿宋_GB2312" w:cs="Times New Roman"/>
          <w:color w:val="auto"/>
          <w:kern w:val="2"/>
          <w:sz w:val="32"/>
          <w:szCs w:val="32"/>
          <w:highlight w:val="none"/>
          <w:lang w:val="zh-CN" w:eastAsia="zh-CN" w:bidi="ar-SA"/>
        </w:rPr>
        <w:t>。</w:t>
      </w:r>
    </w:p>
    <w:p w14:paraId="75F1B61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5.住房保障支出（类）住房改革支出（款）住房公积金（项）:支出决算数为742.00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16.19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2.23%，主要原因是：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年度基础工资及绩效奖上涨，公积金预算支出按比例增加</w:t>
      </w:r>
      <w:r>
        <w:rPr>
          <w:rFonts w:hint="eastAsia" w:eastAsia="仿宋_GB2312" w:cs="Times New Roman"/>
          <w:color w:val="auto"/>
          <w:kern w:val="2"/>
          <w:sz w:val="32"/>
          <w:szCs w:val="32"/>
          <w:highlight w:val="none"/>
          <w:lang w:val="zh-CN" w:eastAsia="zh-CN" w:bidi="ar-SA"/>
        </w:rPr>
        <w:t>。</w:t>
      </w:r>
    </w:p>
    <w:p w14:paraId="358D1C6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6.社会保障和就业支出（类）行政事业单位养老支出（款）事业单位离退休（项）:支出决算数为2,530.43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365.47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12.62%，主要原因是：</w:t>
      </w:r>
      <w:r>
        <w:rPr>
          <w:rFonts w:hint="default" w:ascii="仿宋_GB2312" w:eastAsia="仿宋_GB2312"/>
          <w:sz w:val="32"/>
          <w:szCs w:val="32"/>
          <w:lang w:val="en-US" w:eastAsia="zh-CN"/>
        </w:rPr>
        <w:t>收回2023年自治区本级机关事业单位离退休人员基本医疗保险单位缴费部分</w:t>
      </w:r>
      <w:r>
        <w:rPr>
          <w:rFonts w:hint="eastAsia" w:ascii="仿宋_GB2312" w:eastAsia="仿宋_GB2312"/>
          <w:sz w:val="32"/>
          <w:szCs w:val="32"/>
        </w:rPr>
        <w:t>。</w:t>
      </w:r>
    </w:p>
    <w:p w14:paraId="25EC38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7.社会保障和就业支出（类）行政事业单位养老支出（款）机关事业单位职业年金缴费支出（项）:支出决算数为39.37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27.45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41.09%，主要原因是：</w:t>
      </w:r>
      <w:r>
        <w:rPr>
          <w:rFonts w:hint="eastAsia" w:ascii="仿宋_GB2312" w:eastAsia="仿宋_GB2312"/>
          <w:color w:val="000000" w:themeColor="text1"/>
          <w:sz w:val="32"/>
          <w:szCs w:val="32"/>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年度较202</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年度减员幅度有所降低，职业年金缴费支出下降</w:t>
      </w:r>
      <w:r>
        <w:rPr>
          <w:rFonts w:hint="eastAsia" w:eastAsia="仿宋_GB2312" w:cs="Times New Roman"/>
          <w:color w:val="000000" w:themeColor="text1"/>
          <w:kern w:val="2"/>
          <w:sz w:val="32"/>
          <w:szCs w:val="32"/>
          <w:highlight w:val="none"/>
          <w:lang w:val="zh-CN" w:eastAsia="zh-CN" w:bidi="ar-SA"/>
          <w14:textFill>
            <w14:solidFill>
              <w14:schemeClr w14:val="tx1"/>
            </w14:solidFill>
          </w14:textFill>
        </w:rPr>
        <w:t>。</w:t>
      </w:r>
    </w:p>
    <w:p w14:paraId="618F4C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8.社会保障和就业支出（类）行政事业单位养老支出（款）机关事业单位基本养老保险缴费支出（项）:支出决算数为949.87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182.13</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23.72%，主要原因是：</w:t>
      </w:r>
      <w:r>
        <w:rPr>
          <w:rFonts w:hint="eastAsia" w:ascii="仿宋_GB2312" w:eastAsia="仿宋_GB2312"/>
          <w:sz w:val="32"/>
          <w:szCs w:val="32"/>
        </w:rPr>
        <w:t>202</w:t>
      </w:r>
      <w:r>
        <w:rPr>
          <w:rFonts w:hint="eastAsia" w:ascii="仿宋_GB2312" w:eastAsia="仿宋_GB2312"/>
          <w:sz w:val="32"/>
          <w:szCs w:val="32"/>
          <w:lang w:val="en-US" w:eastAsia="zh-CN"/>
        </w:rPr>
        <w:t>3</w:t>
      </w:r>
      <w:r>
        <w:rPr>
          <w:rFonts w:hint="eastAsia" w:ascii="仿宋_GB2312" w:eastAsia="仿宋_GB2312"/>
          <w:sz w:val="32"/>
          <w:szCs w:val="32"/>
        </w:rPr>
        <w:t>年度基础工资及绩效奖上涨，</w:t>
      </w:r>
      <w:r>
        <w:rPr>
          <w:rFonts w:hint="eastAsia" w:ascii="Times New Roman" w:hAnsi="Times New Roman" w:eastAsia="仿宋_GB2312" w:cs="Times New Roman"/>
          <w:color w:val="auto"/>
          <w:kern w:val="2"/>
          <w:sz w:val="32"/>
          <w:szCs w:val="32"/>
          <w:highlight w:val="none"/>
          <w:lang w:val="en-US" w:eastAsia="zh-CN" w:bidi="ar-SA"/>
        </w:rPr>
        <w:t>机关事业单位基本养老保险</w:t>
      </w:r>
      <w:r>
        <w:rPr>
          <w:rFonts w:hint="eastAsia" w:ascii="仿宋_GB2312" w:eastAsia="仿宋_GB2312"/>
          <w:sz w:val="32"/>
          <w:szCs w:val="32"/>
        </w:rPr>
        <w:t>缴费预算支出按比例增加</w:t>
      </w:r>
      <w:r>
        <w:rPr>
          <w:rFonts w:hint="eastAsia" w:eastAsia="仿宋_GB2312" w:cs="Times New Roman"/>
          <w:color w:val="auto"/>
          <w:kern w:val="2"/>
          <w:sz w:val="32"/>
          <w:szCs w:val="32"/>
          <w:highlight w:val="none"/>
          <w:lang w:val="zh-CN" w:eastAsia="zh-CN" w:bidi="ar-SA"/>
        </w:rPr>
        <w:t>。</w:t>
      </w:r>
    </w:p>
    <w:p w14:paraId="5C4D029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5E007733">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16,181.92</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14,420.43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14:paraId="2C5641BD">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1,761.49</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办公费、水费、电费、邮电费、取暖费、差旅费、劳务费、工会经费、福利费、公务用车运行维护费、其他交通费用、其他商品和服务支出。</w:t>
      </w:r>
    </w:p>
    <w:p w14:paraId="132E80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0C3F6E5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“三公”经费支出111.53万元，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减少5.77万元，下降4.92%，主要原因是：</w:t>
      </w:r>
      <w:r>
        <w:rPr>
          <w:rFonts w:ascii="仿宋_GB2312" w:eastAsia="仿宋_GB2312"/>
          <w:sz w:val="32"/>
          <w:szCs w:val="32"/>
        </w:rPr>
        <w:t>我单位贯彻落实机关事业单位“过紧日子”厉行节约要求，对非刚性、非急需项目支出应减尽减</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其中：因公出国（境）费支出0.00万元，占0.00%，比上年增加0.00万元，增长0.00%，主要原因是：</w:t>
      </w:r>
      <w:r>
        <w:rPr>
          <w:rFonts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；公务用车购置及运行维护费支出111.53万元，占100.00%，比上年减少5.77万元，下降4.92%，主要原因是：</w:t>
      </w:r>
      <w:r>
        <w:rPr>
          <w:rFonts w:ascii="仿宋_GB2312" w:eastAsia="仿宋_GB2312"/>
          <w:sz w:val="32"/>
          <w:szCs w:val="32"/>
        </w:rPr>
        <w:t>我单位贯彻落实机关事业单位“过紧日子”厉行节约要求，对非刚性、非急需项目支出应减尽减</w:t>
      </w:r>
      <w:r>
        <w:rPr>
          <w:rFonts w:hint="eastAsia" w:ascii="仿宋_GB2312" w:eastAsia="仿宋_GB2312"/>
          <w:color w:val="auto"/>
          <w:sz w:val="32"/>
          <w:szCs w:val="32"/>
          <w:highlight w:val="none"/>
          <w:lang w:val="zh-CN" w:eastAsia="zh-CN"/>
        </w:rPr>
        <w:t>；公务接待费支出0.00万元，占0.00%，比上年增加0.00万元，增长0.00%，主要原因是：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535CC2A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5DA55A7E">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14:paraId="2565FCA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auto"/>
          <w:sz w:val="32"/>
          <w:szCs w:val="32"/>
          <w:highlight w:val="none"/>
          <w:lang w:val="zh-CN" w:eastAsia="zh-CN"/>
        </w:rPr>
        <w:t>公务用车购置及运行维护费111.53万元，其中：公务用车购置费0.00万元，公务用车运行维护费111.53万元。公务用车运行维护费开支内容包括</w:t>
      </w:r>
      <w:r>
        <w:rPr>
          <w:rFonts w:hint="eastAsia" w:ascii="仿宋_GB2312" w:eastAsia="仿宋_GB2312"/>
          <w:sz w:val="32"/>
          <w:szCs w:val="32"/>
        </w:rPr>
        <w:t>公务用车油料费、公务用车修理费、公务用车保险费</w:t>
      </w:r>
      <w:r>
        <w:rPr>
          <w:rFonts w:hint="eastAsia" w:ascii="仿宋_GB2312" w:eastAsia="仿宋_GB2312"/>
          <w:color w:val="auto"/>
          <w:sz w:val="32"/>
          <w:szCs w:val="32"/>
          <w:highlight w:val="none"/>
          <w:lang w:val="zh-CN" w:eastAsia="zh-CN"/>
        </w:rPr>
        <w:t>。公务用车购置数</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辆，公务用车保有量60辆</w:t>
      </w:r>
      <w:r>
        <w:rPr>
          <w:rFonts w:hint="eastAsia" w:ascii="仿宋_GB2312" w:eastAsia="仿宋_GB2312"/>
          <w:color w:val="000000" w:themeColor="text1"/>
          <w:sz w:val="32"/>
          <w:szCs w:val="32"/>
          <w:highlight w:val="none"/>
          <w:lang w:val="zh-CN" w:eastAsia="zh-CN"/>
          <w14:textFill>
            <w14:solidFill>
              <w14:schemeClr w14:val="tx1"/>
            </w14:solidFill>
          </w14:textFill>
        </w:rPr>
        <w:t>。国有资产占用情况</w:t>
      </w:r>
      <w:r>
        <w:rPr>
          <w:rFonts w:hint="eastAsia" w:ascii="仿宋_GB2312" w:eastAsia="仿宋_GB2312"/>
          <w:color w:val="000000" w:themeColor="text1"/>
          <w:sz w:val="32"/>
          <w:szCs w:val="32"/>
          <w:highlight w:val="none"/>
          <w:lang w:val="en-US" w:eastAsia="zh-CN"/>
          <w14:textFill>
            <w14:solidFill>
              <w14:schemeClr w14:val="tx1"/>
            </w14:solidFill>
          </w14:textFill>
        </w:rPr>
        <w:t>中固定资产车辆</w:t>
      </w:r>
      <w:r>
        <w:rPr>
          <w:rFonts w:hint="eastAsia" w:ascii="仿宋_GB2312" w:eastAsia="仿宋_GB2312"/>
          <w:color w:val="000000" w:themeColor="text1"/>
          <w:sz w:val="32"/>
          <w:szCs w:val="32"/>
          <w:highlight w:val="none"/>
          <w:lang w:val="zh-CN" w:eastAsia="zh-CN"/>
          <w14:textFill>
            <w14:solidFill>
              <w14:schemeClr w14:val="tx1"/>
            </w14:solidFill>
          </w14:textFill>
        </w:rPr>
        <w:t>330辆，</w:t>
      </w:r>
      <w:r>
        <w:rPr>
          <w:rFonts w:hint="eastAsia" w:ascii="仿宋_GB2312" w:eastAsia="仿宋_GB2312"/>
          <w:color w:val="000000" w:themeColor="text1"/>
          <w:sz w:val="32"/>
          <w:szCs w:val="32"/>
          <w:highlight w:val="none"/>
          <w:lang w:val="en-US" w:eastAsia="zh-CN"/>
          <w14:textFill>
            <w14:solidFill>
              <w14:schemeClr w14:val="tx1"/>
            </w14:solidFill>
          </w14:textFill>
        </w:rPr>
        <w:t>与</w:t>
      </w:r>
      <w:r>
        <w:rPr>
          <w:rFonts w:hint="eastAsia" w:ascii="仿宋_GB2312" w:eastAsia="仿宋_GB2312"/>
          <w:color w:val="000000" w:themeColor="text1"/>
          <w:sz w:val="32"/>
          <w:szCs w:val="32"/>
          <w:highlight w:val="none"/>
          <w:lang w:val="zh-CN" w:eastAsia="zh-CN"/>
          <w14:textFill>
            <w14:solidFill>
              <w14:schemeClr w14:val="tx1"/>
            </w14:solidFill>
          </w14:textFill>
        </w:rPr>
        <w:t>公务用车</w:t>
      </w:r>
      <w:r>
        <w:rPr>
          <w:rFonts w:hint="eastAsia" w:ascii="仿宋_GB2312" w:eastAsia="仿宋_GB2312"/>
          <w:color w:val="000000" w:themeColor="text1"/>
          <w:sz w:val="32"/>
          <w:szCs w:val="32"/>
          <w:highlight w:val="none"/>
          <w:lang w:val="en-US" w:eastAsia="zh-CN"/>
          <w14:textFill>
            <w14:solidFill>
              <w14:schemeClr w14:val="tx1"/>
            </w14:solidFill>
          </w14:textFill>
        </w:rPr>
        <w:t>保有量差异</w:t>
      </w:r>
      <w:r>
        <w:rPr>
          <w:rFonts w:hint="eastAsia" w:ascii="仿宋_GB2312" w:eastAsia="仿宋_GB2312"/>
          <w:color w:val="000000" w:themeColor="text1"/>
          <w:sz w:val="32"/>
          <w:szCs w:val="32"/>
          <w:highlight w:val="none"/>
          <w:lang w:val="zh-CN" w:eastAsia="zh-CN"/>
          <w14:textFill>
            <w14:solidFill>
              <w14:schemeClr w14:val="tx1"/>
            </w14:solidFill>
          </w14:textFill>
        </w:rPr>
        <w:t>原因是：</w:t>
      </w:r>
      <w:r>
        <w:rPr>
          <w:rFonts w:hint="eastAsia" w:ascii="仿宋_GB2312" w:eastAsia="仿宋_GB2312"/>
          <w:color w:val="000000" w:themeColor="text1"/>
          <w:sz w:val="32"/>
          <w:szCs w:val="32"/>
          <w:highlight w:val="none"/>
          <w:lang w:val="en-US" w:eastAsia="zh-CN"/>
          <w14:textFill>
            <w14:solidFill>
              <w14:schemeClr w14:val="tx1"/>
            </w14:solidFill>
          </w14:textFill>
        </w:rPr>
        <w:t>330</w:t>
      </w:r>
      <w:r>
        <w:rPr>
          <w:rFonts w:hint="eastAsia" w:ascii="仿宋_GB2312" w:eastAsia="仿宋_GB2312"/>
          <w:color w:val="000000" w:themeColor="text1"/>
          <w:sz w:val="32"/>
          <w:szCs w:val="32"/>
          <w:highlight w:val="none"/>
          <w:lang w:val="zh-CN" w:eastAsia="zh-CN"/>
          <w14:textFill>
            <w14:solidFill>
              <w14:schemeClr w14:val="tx1"/>
            </w14:solidFill>
          </w14:textFill>
        </w:rPr>
        <w:t>辆包含</w:t>
      </w:r>
      <w:r>
        <w:rPr>
          <w:rFonts w:hint="eastAsia" w:ascii="仿宋_GB2312" w:eastAsia="仿宋_GB2312"/>
          <w:color w:val="000000" w:themeColor="text1"/>
          <w:sz w:val="32"/>
          <w:szCs w:val="32"/>
          <w:highlight w:val="none"/>
          <w:lang w:val="en-US" w:eastAsia="zh-CN"/>
          <w14:textFill>
            <w14:solidFill>
              <w14:schemeClr w14:val="tx1"/>
            </w14:solidFill>
          </w14:textFill>
        </w:rPr>
        <w:t>公路</w:t>
      </w:r>
      <w:r>
        <w:rPr>
          <w:rFonts w:hint="eastAsia" w:ascii="仿宋_GB2312" w:eastAsia="仿宋_GB2312"/>
          <w:color w:val="000000" w:themeColor="text1"/>
          <w:sz w:val="32"/>
          <w:szCs w:val="32"/>
          <w:highlight w:val="none"/>
          <w:lang w:val="zh-CN" w:eastAsia="zh-CN"/>
          <w14:textFill>
            <w14:solidFill>
              <w14:schemeClr w14:val="tx1"/>
            </w14:solidFill>
          </w14:textFill>
        </w:rPr>
        <w:t>养护</w:t>
      </w:r>
      <w:r>
        <w:rPr>
          <w:rFonts w:hint="eastAsia" w:ascii="仿宋_GB2312" w:eastAsia="仿宋_GB2312"/>
          <w:color w:val="000000" w:themeColor="text1"/>
          <w:sz w:val="32"/>
          <w:szCs w:val="32"/>
          <w:highlight w:val="none"/>
          <w:lang w:val="en-US" w:eastAsia="zh-CN"/>
          <w14:textFill>
            <w14:solidFill>
              <w14:schemeClr w14:val="tx1"/>
            </w14:solidFill>
          </w14:textFill>
        </w:rPr>
        <w:t>使用</w:t>
      </w:r>
      <w:r>
        <w:rPr>
          <w:rFonts w:hint="eastAsia" w:ascii="仿宋_GB2312" w:eastAsia="仿宋_GB2312"/>
          <w:color w:val="000000" w:themeColor="text1"/>
          <w:sz w:val="32"/>
          <w:szCs w:val="32"/>
          <w14:textFill>
            <w14:solidFill>
              <w14:schemeClr w14:val="tx1"/>
            </w14:solidFill>
          </w14:textFill>
        </w:rPr>
        <w:t>综合养护车、洒水车、除雪车等</w:t>
      </w:r>
      <w:r>
        <w:rPr>
          <w:rFonts w:hint="eastAsia" w:ascii="仿宋_GB2312" w:eastAsia="仿宋_GB2312"/>
          <w:color w:val="000000" w:themeColor="text1"/>
          <w:sz w:val="32"/>
          <w:szCs w:val="32"/>
          <w:lang w:val="en-US" w:eastAsia="zh-CN"/>
          <w14:textFill>
            <w14:solidFill>
              <w14:schemeClr w14:val="tx1"/>
            </w14:solidFill>
          </w14:textFill>
        </w:rPr>
        <w:t>生产用车，生产用车费用均从单位项目支出中列支</w:t>
      </w:r>
      <w:r>
        <w:rPr>
          <w:rFonts w:hint="eastAsia" w:ascii="仿宋_GB2312" w:eastAsia="仿宋_GB2312"/>
          <w:color w:val="000000" w:themeColor="text1"/>
          <w:sz w:val="32"/>
          <w:szCs w:val="32"/>
          <w:highlight w:val="none"/>
          <w:lang w:val="zh-CN" w:eastAsia="zh-CN"/>
          <w14:textFill>
            <w14:solidFill>
              <w14:schemeClr w14:val="tx1"/>
            </w14:solidFill>
          </w14:textFill>
        </w:rPr>
        <w:t>。</w:t>
      </w:r>
    </w:p>
    <w:p w14:paraId="7D870C4C">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bookmarkStart w:id="48" w:name="_GoBack"/>
      <w:bookmarkEnd w:id="48"/>
    </w:p>
    <w:p w14:paraId="43839308">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预算数111.53万元，决算数111.53万元，预决算差异率0.00%，主要原因是：</w:t>
      </w:r>
      <w:r>
        <w:rPr>
          <w:rFonts w:hint="eastAsia" w:ascii="仿宋_GB2312" w:eastAsia="仿宋_GB2312"/>
          <w:sz w:val="32"/>
          <w:szCs w:val="32"/>
        </w:rPr>
        <w:t>我单位贯彻落实机关事业单位“过紧日子”厉行节约要求，对非刚性、非急需项目支出应减尽减，严格按预算开支，无预算不支出</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预算数111.53万元，决算数111.53万元，预决算差异率0.00%，主要原因是：</w:t>
      </w:r>
      <w:r>
        <w:rPr>
          <w:rFonts w:hint="eastAsia" w:ascii="仿宋_GB2312" w:eastAsia="仿宋_GB2312"/>
          <w:sz w:val="32"/>
          <w:szCs w:val="32"/>
        </w:rPr>
        <w:t>我单位贯彻落实机关事业单位“过紧日子”厉行节约要求，对非刚性、非急需项目支出应减尽减，严格按预算开支，无预算不支出</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14:paraId="28EDD7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CF99FE5">
      <w:pPr>
        <w:ind w:firstLine="64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1DA9D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474640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sz w:val="32"/>
          <w:szCs w:val="32"/>
        </w:rPr>
      </w:pPr>
      <w:bookmarkStart w:id="20" w:name="_Toc7314"/>
      <w:bookmarkStart w:id="21" w:name="_Toc1235"/>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80A8DF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45D1958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009C4E5A">
      <w:pPr>
        <w:ind w:firstLine="640" w:firstLineChars="200"/>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昌吉公路管理局</w:t>
      </w:r>
      <w:r>
        <w:rPr>
          <w:rFonts w:hint="eastAsia" w:ascii="Times New Roman" w:hAnsi="Times New Roman" w:eastAsia="仿宋_GB2312" w:cs="Times New Roman"/>
          <w:color w:val="auto"/>
          <w:sz w:val="32"/>
          <w:szCs w:val="32"/>
          <w:highlight w:val="none"/>
          <w:lang w:val="zh-CN" w:eastAsia="zh-CN"/>
        </w:rPr>
        <w:t>（事业单位）公用经费支出1,761.49万元，比上年增加463.34万元，增长35.69%，主要原因是：</w:t>
      </w:r>
      <w:r>
        <w:rPr>
          <w:rFonts w:hint="eastAsia" w:eastAsia="仿宋_GB2312" w:cs="Times New Roman"/>
          <w:color w:val="auto"/>
          <w:sz w:val="32"/>
          <w:szCs w:val="32"/>
          <w:highlight w:val="none"/>
          <w:lang w:val="en-US" w:eastAsia="zh-CN"/>
        </w:rPr>
        <w:t>2023年劳务费增加导致</w:t>
      </w:r>
      <w:r>
        <w:rPr>
          <w:rFonts w:hint="eastAsia" w:ascii="仿宋_GB2312" w:eastAsia="仿宋_GB2312"/>
          <w:color w:val="auto"/>
          <w:sz w:val="32"/>
          <w:szCs w:val="32"/>
        </w:rPr>
        <w:t>公用经费开支</w:t>
      </w:r>
      <w:r>
        <w:rPr>
          <w:rFonts w:hint="eastAsia" w:ascii="仿宋_GB2312" w:eastAsia="仿宋_GB2312"/>
          <w:color w:val="auto"/>
          <w:sz w:val="32"/>
          <w:szCs w:val="32"/>
          <w:lang w:eastAsia="zh-CN"/>
        </w:rPr>
        <w:t>有所上升</w:t>
      </w:r>
      <w:r>
        <w:rPr>
          <w:rFonts w:hint="eastAsia" w:ascii="Times New Roman" w:hAnsi="Times New Roman" w:eastAsia="仿宋_GB2312" w:cs="Times New Roman"/>
          <w:color w:val="auto"/>
          <w:sz w:val="32"/>
          <w:szCs w:val="32"/>
          <w:highlight w:val="none"/>
          <w:lang w:val="zh-CN" w:eastAsia="zh-CN"/>
        </w:rPr>
        <w:t>。</w:t>
      </w:r>
    </w:p>
    <w:p w14:paraId="178436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158E59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739.56万元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其中：政府采购货物支出22.97万元、政府采购工程支出158.00万元、政府采购服务支出558.59万元。</w:t>
      </w:r>
    </w:p>
    <w:p w14:paraId="2104A1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授予中小企业合同金额559.49万元，占政府采购支出总额的75.65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，其中：授予小微企业合同金额559.49万元，占政府采购支出总额的75.65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14:paraId="6A0C13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9DB5B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24,943.61</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屋54624.15平方米，价值3,836.56万元。车辆330辆，价值13,787.54万元，其中：副部（省）级及以上领导用车0辆、主要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用车0辆、机要通信用车0辆、应急保障用车26辆、执法执勤用车0辆、特种专业技术用车97辆、离退休干部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用车0辆、其他用车207辆，其他用车主要是：</w:t>
      </w:r>
      <w:r>
        <w:rPr>
          <w:rFonts w:hint="eastAsia" w:ascii="仿宋_GB2312" w:eastAsia="仿宋_GB2312"/>
          <w:sz w:val="32"/>
          <w:szCs w:val="32"/>
        </w:rPr>
        <w:t>综合养护车、洒水车、除雪车等</w:t>
      </w:r>
      <w:r>
        <w:rPr>
          <w:rFonts w:hint="eastAsia" w:ascii="Times New Roman" w:hAnsi="Times New Roman" w:eastAsia="仿宋_GB2312" w:cs="Times New Roman"/>
          <w:color w:val="auto"/>
          <w:sz w:val="32"/>
          <w:szCs w:val="32"/>
          <w:highlight w:val="none"/>
          <w:lang w:val="zh-CN" w:eastAsia="zh-CN"/>
        </w:rPr>
        <w:t>；单价100万元（含）以上设备（不含车辆）9</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14:paraId="37F447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19DE6CCF">
      <w:pPr>
        <w:ind w:firstLine="640" w:firstLineChars="200"/>
        <w:rPr>
          <w:rFonts w:ascii="仿宋_GB2312" w:eastAsia="仿宋_GB2312"/>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全年预算数6223.92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全年执行数6223.92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r>
        <w:rPr>
          <w:rFonts w:hint="eastAsia" w:ascii="仿宋_GB2312" w:hAnsi="Times New Roman" w:eastAsia="仿宋_GB2312" w:cs="Times New Roman"/>
          <w:color w:val="auto"/>
          <w:sz w:val="32"/>
          <w:szCs w:val="32"/>
          <w:highlight w:val="none"/>
          <w:lang w:val="en-US" w:eastAsia="zh-CN"/>
        </w:rPr>
        <w:t>：</w:t>
      </w:r>
      <w:r>
        <w:rPr>
          <w:rFonts w:hint="default" w:ascii="仿宋_GB2312" w:hAnsi="Times New Roman" w:eastAsia="仿宋_GB2312" w:cs="Times New Roman"/>
          <w:color w:val="auto"/>
          <w:sz w:val="32"/>
          <w:szCs w:val="32"/>
          <w:highlight w:val="none"/>
          <w:lang w:val="en-US" w:eastAsia="zh-CN"/>
        </w:rPr>
        <w:t>一是绩效目标管理日益加强，资金管理规范，项目管理到位，政策执行有力，有效发挥了财政资金的使用效率；二是全过程预算绩效管理框架逐渐清晰，各部门、各分局协同推进，预算绩效管理工作有序开展。</w:t>
      </w:r>
      <w:r>
        <w:rPr>
          <w:rFonts w:hint="eastAsia" w:ascii="仿宋_GB2312" w:hAnsi="Times New Roman" w:eastAsia="仿宋_GB2312" w:cs="Times New Roman"/>
          <w:color w:val="auto"/>
          <w:sz w:val="32"/>
          <w:szCs w:val="32"/>
          <w:highlight w:val="none"/>
          <w:lang w:val="en-US" w:eastAsia="zh-CN"/>
        </w:rPr>
        <w:t>发现的问题及原因：一是年度</w:t>
      </w:r>
      <w:r>
        <w:rPr>
          <w:rFonts w:hint="eastAsia" w:ascii="仿宋_GB2312" w:eastAsia="仿宋_GB2312"/>
          <w:color w:val="auto"/>
          <w:sz w:val="32"/>
          <w:szCs w:val="32"/>
          <w:highlight w:val="none"/>
          <w:lang w:eastAsia="zh-CN"/>
        </w:rPr>
        <w:t>绩效目标规划不够规范，设立不够全面、不够具体，不便于绩效目标考核和财政支出绩效的评价。二是项目时点、实施和完成时间、成本费用控制等不明确，绩效目标管理不规范。下一步改进措施：一是规范绩效目标管理，全面、完整、齐全、规范地建立项目绩效目标管理制度，设立项目明确、内容具体、可以量化的目标体系。二是规划好资金使用目标的具体要求，避免项目实施时间不明晰、绩效目标不具体等情况的再度发生，以便于项目目标考核和绩效评价等绩效管理工作的开展。</w:t>
      </w:r>
      <w:r>
        <w:rPr>
          <w:rFonts w:hint="eastAsia" w:ascii="仿宋_GB2312" w:eastAsia="仿宋_GB2312"/>
          <w:sz w:val="32"/>
          <w:szCs w:val="32"/>
        </w:rPr>
        <w:t>具体项目自评情况见附件。</w:t>
      </w:r>
    </w:p>
    <w:p w14:paraId="59668BB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FF0000"/>
          <w:sz w:val="32"/>
          <w:szCs w:val="32"/>
        </w:rPr>
      </w:pPr>
    </w:p>
    <w:p w14:paraId="38CF7461">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vertAlign w:val="subscript"/>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6FD27277">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773C83C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10E7373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E6E542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34F66AE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4F5A407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010F5E9D">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31E1C91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02D8320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8665AD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BBF79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06D927D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71EC086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C19692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F1C192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31CE8A59">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78F3EE2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7ECE5B9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7F1F62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40D2A54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36D4565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1BBD32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1D0284E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74A498C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2B5CB4E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67C059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4882608A">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5436B2F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85D9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BDF39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8BDF39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dmMDljZDhiYzVmZWY3YmVjMTE0NGE3NzQ0YmY5MzUifQ=="/>
    <w:docVar w:name="KSO_WPS_MARK_KEY" w:val="41ee2a61-2d54-4f93-83be-afdb9a40d732"/>
  </w:docVars>
  <w:rsids>
    <w:rsidRoot w:val="00000000"/>
    <w:rsid w:val="00212382"/>
    <w:rsid w:val="00213C59"/>
    <w:rsid w:val="003210CE"/>
    <w:rsid w:val="00B70D59"/>
    <w:rsid w:val="00F52A8D"/>
    <w:rsid w:val="019404F8"/>
    <w:rsid w:val="02BD3108"/>
    <w:rsid w:val="02F73D26"/>
    <w:rsid w:val="034D4FEF"/>
    <w:rsid w:val="035D1785"/>
    <w:rsid w:val="039F47CE"/>
    <w:rsid w:val="03E05CE8"/>
    <w:rsid w:val="03F973EE"/>
    <w:rsid w:val="043E5B56"/>
    <w:rsid w:val="047725C1"/>
    <w:rsid w:val="04C04386"/>
    <w:rsid w:val="04FA68C4"/>
    <w:rsid w:val="053F5AE6"/>
    <w:rsid w:val="057C0B0F"/>
    <w:rsid w:val="05EF4B48"/>
    <w:rsid w:val="05F76ECA"/>
    <w:rsid w:val="06792773"/>
    <w:rsid w:val="06DC4807"/>
    <w:rsid w:val="070220A6"/>
    <w:rsid w:val="07093795"/>
    <w:rsid w:val="07804730"/>
    <w:rsid w:val="079052BE"/>
    <w:rsid w:val="08145C21"/>
    <w:rsid w:val="08422688"/>
    <w:rsid w:val="085854ED"/>
    <w:rsid w:val="0879188F"/>
    <w:rsid w:val="08A0354D"/>
    <w:rsid w:val="08CD4C49"/>
    <w:rsid w:val="09114954"/>
    <w:rsid w:val="095A5B83"/>
    <w:rsid w:val="096466E3"/>
    <w:rsid w:val="0968304D"/>
    <w:rsid w:val="09AF3D17"/>
    <w:rsid w:val="0A480B73"/>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3A2A20"/>
    <w:rsid w:val="127F665A"/>
    <w:rsid w:val="12F7068C"/>
    <w:rsid w:val="14207DC0"/>
    <w:rsid w:val="14A723EC"/>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8516E51"/>
    <w:rsid w:val="190648B0"/>
    <w:rsid w:val="19071D6C"/>
    <w:rsid w:val="19D269ED"/>
    <w:rsid w:val="19D26CD4"/>
    <w:rsid w:val="19E60D19"/>
    <w:rsid w:val="1A3E3450"/>
    <w:rsid w:val="1AD807E5"/>
    <w:rsid w:val="1B39345B"/>
    <w:rsid w:val="1BFB2A1F"/>
    <w:rsid w:val="1C015D4A"/>
    <w:rsid w:val="1C290ED5"/>
    <w:rsid w:val="1C30192F"/>
    <w:rsid w:val="1C317E4F"/>
    <w:rsid w:val="1C472464"/>
    <w:rsid w:val="1D22799A"/>
    <w:rsid w:val="1D5C1A72"/>
    <w:rsid w:val="1DAF458D"/>
    <w:rsid w:val="1E086ACE"/>
    <w:rsid w:val="1E62130A"/>
    <w:rsid w:val="1E73264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83647E"/>
    <w:rsid w:val="248E1D54"/>
    <w:rsid w:val="24A32D55"/>
    <w:rsid w:val="25292727"/>
    <w:rsid w:val="252E5CA9"/>
    <w:rsid w:val="256F7692"/>
    <w:rsid w:val="25BA2154"/>
    <w:rsid w:val="25C8773F"/>
    <w:rsid w:val="264A7253"/>
    <w:rsid w:val="26F0170C"/>
    <w:rsid w:val="27201D62"/>
    <w:rsid w:val="27286E73"/>
    <w:rsid w:val="27CF2642"/>
    <w:rsid w:val="27E777F5"/>
    <w:rsid w:val="27E936DC"/>
    <w:rsid w:val="27EA1D4C"/>
    <w:rsid w:val="27EA2E41"/>
    <w:rsid w:val="282459E2"/>
    <w:rsid w:val="283A7FE5"/>
    <w:rsid w:val="285F51FF"/>
    <w:rsid w:val="28DF2665"/>
    <w:rsid w:val="29072599"/>
    <w:rsid w:val="291029F3"/>
    <w:rsid w:val="29CB58F0"/>
    <w:rsid w:val="2A053397"/>
    <w:rsid w:val="2A145E96"/>
    <w:rsid w:val="2A414AE6"/>
    <w:rsid w:val="2AF5378F"/>
    <w:rsid w:val="2BB94DBF"/>
    <w:rsid w:val="2C6F314E"/>
    <w:rsid w:val="2CC206BE"/>
    <w:rsid w:val="2D1136DF"/>
    <w:rsid w:val="2D20606D"/>
    <w:rsid w:val="2D47548C"/>
    <w:rsid w:val="2D8E4F69"/>
    <w:rsid w:val="2DB87198"/>
    <w:rsid w:val="2DB93C54"/>
    <w:rsid w:val="2E3D144C"/>
    <w:rsid w:val="2E891204"/>
    <w:rsid w:val="2F3F0A28"/>
    <w:rsid w:val="2FBF7029"/>
    <w:rsid w:val="2FD0187F"/>
    <w:rsid w:val="2FD27414"/>
    <w:rsid w:val="2FFE4BB0"/>
    <w:rsid w:val="300E7B60"/>
    <w:rsid w:val="300F6E18"/>
    <w:rsid w:val="3034695A"/>
    <w:rsid w:val="30862F5F"/>
    <w:rsid w:val="314029C9"/>
    <w:rsid w:val="31C63837"/>
    <w:rsid w:val="31C82E39"/>
    <w:rsid w:val="320A38F3"/>
    <w:rsid w:val="32601BAD"/>
    <w:rsid w:val="329F6389"/>
    <w:rsid w:val="3389023A"/>
    <w:rsid w:val="33CB74FA"/>
    <w:rsid w:val="343642F2"/>
    <w:rsid w:val="343F3010"/>
    <w:rsid w:val="345D0A00"/>
    <w:rsid w:val="34713BFD"/>
    <w:rsid w:val="34C13589"/>
    <w:rsid w:val="353369E3"/>
    <w:rsid w:val="35E00D72"/>
    <w:rsid w:val="35EE5229"/>
    <w:rsid w:val="36965B9D"/>
    <w:rsid w:val="36C549FD"/>
    <w:rsid w:val="37623F33"/>
    <w:rsid w:val="37A755DD"/>
    <w:rsid w:val="37F94FA0"/>
    <w:rsid w:val="380D3381"/>
    <w:rsid w:val="38115B1F"/>
    <w:rsid w:val="385E3AC3"/>
    <w:rsid w:val="385E7FD3"/>
    <w:rsid w:val="387D6B9E"/>
    <w:rsid w:val="38B75FF0"/>
    <w:rsid w:val="38D45016"/>
    <w:rsid w:val="38D90432"/>
    <w:rsid w:val="38DC6592"/>
    <w:rsid w:val="3914510A"/>
    <w:rsid w:val="3926770B"/>
    <w:rsid w:val="398D3668"/>
    <w:rsid w:val="39DA0497"/>
    <w:rsid w:val="3A893816"/>
    <w:rsid w:val="3A893B6D"/>
    <w:rsid w:val="3AD1763A"/>
    <w:rsid w:val="3B6716E3"/>
    <w:rsid w:val="3B6C6B2D"/>
    <w:rsid w:val="3BA44C73"/>
    <w:rsid w:val="3C242659"/>
    <w:rsid w:val="3C96719C"/>
    <w:rsid w:val="3CA72BE8"/>
    <w:rsid w:val="3CF37F8C"/>
    <w:rsid w:val="3D0B7823"/>
    <w:rsid w:val="3D137554"/>
    <w:rsid w:val="3D5275AC"/>
    <w:rsid w:val="3DCC2473"/>
    <w:rsid w:val="3DEB0883"/>
    <w:rsid w:val="3E2527BF"/>
    <w:rsid w:val="3E354BB2"/>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893E30"/>
    <w:rsid w:val="48B82268"/>
    <w:rsid w:val="48C354B3"/>
    <w:rsid w:val="493D58B5"/>
    <w:rsid w:val="494A7A04"/>
    <w:rsid w:val="4A094FAF"/>
    <w:rsid w:val="4A0A26D2"/>
    <w:rsid w:val="4A2019A5"/>
    <w:rsid w:val="4A241A0B"/>
    <w:rsid w:val="4A7B2875"/>
    <w:rsid w:val="4A934476"/>
    <w:rsid w:val="4AAA220A"/>
    <w:rsid w:val="4AE12E67"/>
    <w:rsid w:val="4B4C0111"/>
    <w:rsid w:val="4B8553A9"/>
    <w:rsid w:val="4BD83DB8"/>
    <w:rsid w:val="4BDB3730"/>
    <w:rsid w:val="4BE11FFE"/>
    <w:rsid w:val="4BFA7A92"/>
    <w:rsid w:val="4C200F7A"/>
    <w:rsid w:val="4CA55B76"/>
    <w:rsid w:val="4CEE3180"/>
    <w:rsid w:val="4D0F4AF6"/>
    <w:rsid w:val="4D596063"/>
    <w:rsid w:val="4DBB5CA8"/>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CB3E8A"/>
    <w:rsid w:val="55DA564E"/>
    <w:rsid w:val="5604127D"/>
    <w:rsid w:val="56166703"/>
    <w:rsid w:val="56510474"/>
    <w:rsid w:val="56861525"/>
    <w:rsid w:val="56A93273"/>
    <w:rsid w:val="56AF71E7"/>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2A71"/>
    <w:rsid w:val="596E7E20"/>
    <w:rsid w:val="59747439"/>
    <w:rsid w:val="5A60780B"/>
    <w:rsid w:val="5AA94E20"/>
    <w:rsid w:val="5AB34579"/>
    <w:rsid w:val="5AFC6609"/>
    <w:rsid w:val="5B113480"/>
    <w:rsid w:val="5B836569"/>
    <w:rsid w:val="5BD456CE"/>
    <w:rsid w:val="5C0D1F49"/>
    <w:rsid w:val="5C236823"/>
    <w:rsid w:val="5CBB0CE2"/>
    <w:rsid w:val="5CC17177"/>
    <w:rsid w:val="5CF306BC"/>
    <w:rsid w:val="5D102F03"/>
    <w:rsid w:val="5D3F3D64"/>
    <w:rsid w:val="5D833043"/>
    <w:rsid w:val="5DCA6EF3"/>
    <w:rsid w:val="5DD92690"/>
    <w:rsid w:val="5DDB1CFD"/>
    <w:rsid w:val="5DF645FC"/>
    <w:rsid w:val="5E7E6D93"/>
    <w:rsid w:val="5ED44800"/>
    <w:rsid w:val="5F350BDE"/>
    <w:rsid w:val="5F61632C"/>
    <w:rsid w:val="5F73229E"/>
    <w:rsid w:val="5FA17648"/>
    <w:rsid w:val="5FE705CB"/>
    <w:rsid w:val="60211B14"/>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68175F"/>
    <w:rsid w:val="6BFD799F"/>
    <w:rsid w:val="6C4A2E5A"/>
    <w:rsid w:val="6C8138D0"/>
    <w:rsid w:val="6CEF0725"/>
    <w:rsid w:val="6D4B2604"/>
    <w:rsid w:val="6D8030E4"/>
    <w:rsid w:val="6DB94506"/>
    <w:rsid w:val="6E0E35C4"/>
    <w:rsid w:val="6E0F7A08"/>
    <w:rsid w:val="6E3947F5"/>
    <w:rsid w:val="6E9C74ED"/>
    <w:rsid w:val="6EF72976"/>
    <w:rsid w:val="6F795A80"/>
    <w:rsid w:val="6F7C1D2E"/>
    <w:rsid w:val="6F8E0407"/>
    <w:rsid w:val="6F950D14"/>
    <w:rsid w:val="6FDD069F"/>
    <w:rsid w:val="702B4D16"/>
    <w:rsid w:val="70AA6621"/>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3E36A9"/>
    <w:rsid w:val="7A6242BF"/>
    <w:rsid w:val="7A794513"/>
    <w:rsid w:val="7AE952D2"/>
    <w:rsid w:val="7BB2739C"/>
    <w:rsid w:val="7C976D69"/>
    <w:rsid w:val="7CD752DA"/>
    <w:rsid w:val="7CDE40AB"/>
    <w:rsid w:val="7CF057E2"/>
    <w:rsid w:val="7D1548B5"/>
    <w:rsid w:val="7DF84014"/>
    <w:rsid w:val="7E207949"/>
    <w:rsid w:val="7E5C0A47"/>
    <w:rsid w:val="7E670C75"/>
    <w:rsid w:val="7EE24272"/>
    <w:rsid w:val="7EEA6053"/>
    <w:rsid w:val="7F487C04"/>
    <w:rsid w:val="7FB45F21"/>
    <w:rsid w:val="7FC7501E"/>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6295</Words>
  <Characters>7159</Characters>
  <Lines>0</Lines>
  <Paragraphs>0</Paragraphs>
  <TotalTime>1</TotalTime>
  <ScaleCrop>false</ScaleCrop>
  <LinksUpToDate>false</LinksUpToDate>
  <CharactersWithSpaces>7189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如你   。如我</cp:lastModifiedBy>
  <dcterms:modified xsi:type="dcterms:W3CDTF">2024-10-14T01:58:04Z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