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56AA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13C2374">
      <w:pPr>
        <w:spacing w:line="540" w:lineRule="exact"/>
        <w:jc w:val="center"/>
        <w:rPr>
          <w:rFonts w:ascii="华文中宋" w:hAnsi="华文中宋" w:eastAsia="华文中宋" w:cs="宋体"/>
          <w:b/>
          <w:kern w:val="0"/>
          <w:sz w:val="52"/>
          <w:szCs w:val="52"/>
        </w:rPr>
      </w:pPr>
    </w:p>
    <w:p w14:paraId="7B2C5350">
      <w:pPr>
        <w:spacing w:line="540" w:lineRule="exact"/>
        <w:jc w:val="center"/>
        <w:rPr>
          <w:rFonts w:ascii="华文中宋" w:hAnsi="华文中宋" w:eastAsia="华文中宋" w:cs="宋体"/>
          <w:b/>
          <w:kern w:val="0"/>
          <w:sz w:val="52"/>
          <w:szCs w:val="52"/>
        </w:rPr>
      </w:pPr>
    </w:p>
    <w:p w14:paraId="432781C9">
      <w:pPr>
        <w:spacing w:line="540" w:lineRule="exact"/>
        <w:jc w:val="center"/>
        <w:rPr>
          <w:rFonts w:ascii="华文中宋" w:hAnsi="华文中宋" w:eastAsia="华文中宋" w:cs="宋体"/>
          <w:b/>
          <w:kern w:val="0"/>
          <w:sz w:val="52"/>
          <w:szCs w:val="52"/>
        </w:rPr>
      </w:pPr>
    </w:p>
    <w:p w14:paraId="13E2F3E2">
      <w:pPr>
        <w:spacing w:line="540" w:lineRule="exact"/>
        <w:jc w:val="center"/>
        <w:rPr>
          <w:rFonts w:ascii="华文中宋" w:hAnsi="华文中宋" w:eastAsia="华文中宋" w:cs="宋体"/>
          <w:b/>
          <w:kern w:val="0"/>
          <w:sz w:val="52"/>
          <w:szCs w:val="52"/>
        </w:rPr>
      </w:pPr>
    </w:p>
    <w:p w14:paraId="1EAB0685">
      <w:pPr>
        <w:spacing w:line="540" w:lineRule="exact"/>
        <w:jc w:val="center"/>
        <w:rPr>
          <w:rFonts w:ascii="华文中宋" w:hAnsi="华文中宋" w:eastAsia="华文中宋" w:cs="宋体"/>
          <w:b/>
          <w:kern w:val="0"/>
          <w:sz w:val="52"/>
          <w:szCs w:val="52"/>
        </w:rPr>
      </w:pPr>
    </w:p>
    <w:p w14:paraId="1FD5ABCC">
      <w:pPr>
        <w:spacing w:line="540" w:lineRule="exact"/>
        <w:jc w:val="center"/>
        <w:rPr>
          <w:rFonts w:ascii="华文中宋" w:hAnsi="华文中宋" w:eastAsia="华文中宋" w:cs="宋体"/>
          <w:b/>
          <w:kern w:val="0"/>
          <w:sz w:val="52"/>
          <w:szCs w:val="52"/>
        </w:rPr>
      </w:pPr>
    </w:p>
    <w:p w14:paraId="2411708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FF1D2B3">
      <w:pPr>
        <w:spacing w:line="540" w:lineRule="exact"/>
        <w:jc w:val="center"/>
        <w:rPr>
          <w:rFonts w:ascii="华文中宋" w:hAnsi="华文中宋" w:eastAsia="华文中宋" w:cs="宋体"/>
          <w:b/>
          <w:kern w:val="0"/>
          <w:sz w:val="52"/>
          <w:szCs w:val="52"/>
        </w:rPr>
      </w:pPr>
    </w:p>
    <w:p w14:paraId="7FFDB72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7494BDE">
      <w:pPr>
        <w:spacing w:line="540" w:lineRule="exact"/>
        <w:jc w:val="center"/>
        <w:rPr>
          <w:rFonts w:hAnsi="宋体" w:eastAsia="仿宋_GB2312" w:cs="宋体"/>
          <w:kern w:val="0"/>
          <w:sz w:val="30"/>
          <w:szCs w:val="30"/>
        </w:rPr>
      </w:pPr>
    </w:p>
    <w:p w14:paraId="4FB9C860">
      <w:pPr>
        <w:spacing w:line="540" w:lineRule="exact"/>
        <w:jc w:val="center"/>
        <w:rPr>
          <w:rFonts w:hAnsi="宋体" w:eastAsia="仿宋_GB2312" w:cs="宋体"/>
          <w:kern w:val="0"/>
          <w:sz w:val="30"/>
          <w:szCs w:val="30"/>
        </w:rPr>
      </w:pPr>
    </w:p>
    <w:p w14:paraId="7CB8E744">
      <w:pPr>
        <w:spacing w:line="540" w:lineRule="exact"/>
        <w:jc w:val="center"/>
        <w:rPr>
          <w:rFonts w:hint="eastAsia" w:hAnsi="宋体" w:eastAsia="仿宋_GB2312" w:cs="宋体"/>
          <w:kern w:val="0"/>
          <w:sz w:val="30"/>
          <w:szCs w:val="30"/>
          <w:lang w:eastAsia="zh-CN"/>
        </w:rPr>
      </w:pPr>
      <w:r>
        <w:rPr>
          <w:rFonts w:hint="eastAsia" w:ascii="方正小标宋_GBK" w:hAnsi="宋体" w:eastAsia="方正小标宋_GBK" w:cs="宋体"/>
          <w:kern w:val="0"/>
          <w:sz w:val="36"/>
          <w:szCs w:val="36"/>
          <w:lang w:val="en-US" w:eastAsia="zh-CN"/>
        </w:rPr>
        <w:t xml:space="preserve"> </w:t>
      </w:r>
      <w:bookmarkStart w:id="0" w:name="_GoBack"/>
      <w:bookmarkEnd w:id="0"/>
    </w:p>
    <w:p w14:paraId="4C472723">
      <w:pPr>
        <w:spacing w:line="540" w:lineRule="exact"/>
        <w:jc w:val="center"/>
        <w:rPr>
          <w:rFonts w:hAnsi="宋体" w:eastAsia="仿宋_GB2312" w:cs="宋体"/>
          <w:kern w:val="0"/>
          <w:sz w:val="30"/>
          <w:szCs w:val="30"/>
        </w:rPr>
      </w:pPr>
    </w:p>
    <w:p w14:paraId="7C96E25A">
      <w:pPr>
        <w:spacing w:line="540" w:lineRule="exact"/>
        <w:jc w:val="center"/>
        <w:rPr>
          <w:rFonts w:hAnsi="宋体" w:eastAsia="仿宋_GB2312" w:cs="宋体"/>
          <w:kern w:val="0"/>
          <w:sz w:val="30"/>
          <w:szCs w:val="30"/>
        </w:rPr>
      </w:pPr>
    </w:p>
    <w:p w14:paraId="6BAABD74">
      <w:pPr>
        <w:spacing w:line="540" w:lineRule="exact"/>
        <w:rPr>
          <w:rFonts w:hAnsi="宋体" w:eastAsia="仿宋_GB2312" w:cs="宋体"/>
          <w:kern w:val="0"/>
          <w:sz w:val="30"/>
          <w:szCs w:val="30"/>
        </w:rPr>
      </w:pPr>
    </w:p>
    <w:p w14:paraId="35CB7C4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78EFF0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公路日常养护</w:t>
      </w:r>
    </w:p>
    <w:p w14:paraId="4B74D68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阿图什公路管理局</w:t>
      </w:r>
    </w:p>
    <w:p w14:paraId="7D4E42F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阿图什公路管理局</w:t>
      </w:r>
    </w:p>
    <w:p w14:paraId="1C50FC5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穆斯塔帕·普拉提</w:t>
      </w:r>
    </w:p>
    <w:p w14:paraId="4E91BD08">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14:paraId="05D5FD7C">
      <w:pPr>
        <w:spacing w:line="700" w:lineRule="exact"/>
        <w:ind w:firstLine="708" w:firstLineChars="236"/>
        <w:jc w:val="left"/>
        <w:rPr>
          <w:rFonts w:hAnsi="宋体" w:eastAsia="仿宋_GB2312" w:cs="宋体"/>
          <w:kern w:val="0"/>
          <w:sz w:val="30"/>
          <w:szCs w:val="30"/>
        </w:rPr>
      </w:pPr>
    </w:p>
    <w:p w14:paraId="5A02542D">
      <w:pPr>
        <w:spacing w:line="540" w:lineRule="exact"/>
        <w:rPr>
          <w:rStyle w:val="18"/>
          <w:rFonts w:ascii="黑体" w:hAnsi="黑体" w:eastAsia="黑体"/>
          <w:b w:val="0"/>
          <w:spacing w:val="-4"/>
          <w:sz w:val="32"/>
          <w:szCs w:val="32"/>
        </w:rPr>
      </w:pPr>
    </w:p>
    <w:p w14:paraId="597E956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43D330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507CC3A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根据资金安排，本资金预算数为1313万元。阿图什公路管理局管养国省干线公路938.68公里，其中国道729.704公里，省道60.74公里，专用公路148.236公里，随着经济的迅速发展，辖区路段通行车辆逐年增加，在车辆的不断碾压及路线的使用年限增加的，导致路况自然衰减较快，且部分路段已投入运营十余年，路况下降，导致道路通行能力下降，并存在通行安全等问题。此项目的实施能够保持路况水平，维持良好的沿线路域环境、保持沿线设施完好，确保维持公路通行能力，保证交通秩序正常，解决通行能力下降及安全隐患等问题，以保障辖区广大司乘人员的通行安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2.项目实施主体</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阿图什公路管理局为全额拨款的事业单位，管养公路总里程938.68公里，其中：国道G219线303.482公里，国道314线184.322公里；国道G315线209.9公里，国道G581线32公里，省道306线31.84公里，省道309线28.9公里，专用线Z660线77.75公里，专用线Z661线58.079公里，专用线Z662线12.407公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阿图什公路管理局是全区公路行业管理机构，主要负责阿图什公路管理国道、省道、和管辖范围内专用公路的养护和质量管理，以及公路沿线服务设施的管理；负责非经营性收费公路的运营与管理。根据自治区公路管理局授权，负责阿图什地区农村公路质量监督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按照《公路养护技术规范》开展公路路基、路面、桥涵、隧道、沿线设施的小修养护管理工作，对管养路段存在的病害进行修复，开展预防性养护，合理实施小修养护。利用布设在急弯陡坡、重要桥梁的视频监控系统，根据《冬季道路养护及除雪质量验收标准》加强对局属各分局的除雪质量检查，发现问题当场整改落实。除雪时效性、路面裸露率能满足标准要求。按照“防治结合、科学养护、安全运行、保障畅通”的原则，采用科学管理手段，积极应用桥梁管理系统，在加强桥梁检查检测的同时，加大对桥梁的预防性养护力度组织开展桥梁病害调查和日常养护维修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2023年年末阿图什公路管理局编制人数为611人。2023年年末实有在职职工437人，相比2022年年末460人，调出1人，辞职2人，退休20人，解聘0人，死亡1人，增加任职1人，聘用制收费员79人，相比2022年年末聘用制收费员减少80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该项目中包含公路、桥隧养护（普通公路）项目费用1054万元，公路、桥隧养护（收费公路）项目费用202万元，风雪保交通（普通公路）项目费用31万元，风雪保交通（收费公路）项目费用26万元，合计1313万元。本项目资金主要用于各项公路日常养护工作的开展，涉及的具体用途一是通过《公路养护技术规范》《交通运输部关于进一步加强公路桥梁养护管理的若干意见》交公路发〔2013〕321号、《公路长大桥隧养护管理和安全运行若干规定》《公路桥梁养护管理工作制度》（交公路发〔2007〕336号）要求，开展公路路基、路面、桥涵、隧道、沿线设施的小修养护管理工作。二是对管养路段存在的病害进行修复及各项预防性养护，合理实施小修养护延缓公路衰减，增加公路使用寿命，为公众出行提供安全的通行环境。三是依据交通运输部颁发的《公路养护技术规范》，用于管养的公路防风雪保交通，及时有效清除路面、中央分隔带、路肩积冰、积雪、风积雪，撒布防滑砂、融雪剂，修补路面坑槽，确保冬季除雪任务按《公路养护技术规范》要求的时限完成。四是按照《公路养护技术规范》要求，积极开展公路经常性检查、定期检查、特殊检查、专项检查和加强日常巡道，及时发现损坏的公路及附属设施，及时修复和更换被损坏的路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4.资金投入和使用情况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（1）项目资金安排落实、总投入等情况分析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公路日常养护项目预算安排总额为1313万元，其中财政资金1313万元，无其他资金，2023年实际收到预算资金1313万元，预算资金到位率为100%。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（2）项目资金实际使用情况分析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本项目实际支付资金1313万元，预算执行率100%。其中普通公路日常养护费用1085万元，收费公路日常养护费用228万元。</w:t>
      </w:r>
    </w:p>
    <w:p w14:paraId="66B9887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51616BE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通过交通运输部颁发的《公路养护技术规范》、《交通运输部关于进一步加强公路桥梁养护管理的若干意见》交公路发〔2013〕321号、《公路长大桥隧养护管理和安全运行若干规定》、《公路桥梁养护管理工作制度》（交公路发〔2007〕336号）要求，开展公路路基、路面、桥涵、隧道、沿线设施的小修养护管理工作。2.对管养路段存在的病害进行修复及各项预防性养护，合理实施小修养护延缓公路衰减，增加公路使用寿命,为公众出行提供安全的通行环境。3.依据交通运输部颁发的《公路养护技术规范》，用于管养的公路防风雪保交通，及时有效清除路面、中央分隔带、路肩积冰、积雪、风积雪，撒布防滑砂、融雪剂，修补路面坑槽，确保冬季除雪任务按《公路养护技术规范》要求的时限完成。4.按照交通运输部颁发的《公路养护技术规范》要求，积极开展公路经常性检查、定期检查、特殊检查、专项检查和加强日常巡道，及时发现损坏的公路及附属设施，及时修复和更换被损坏的路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根据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单位制定相关管理制度，结合项目实施单位的规章制度以及财务相关资料，对项目进行评价。通过分析，主要原因为公路日常养护项目受行业工作季节性限制，在第一季度时主要为制定计划及前期准备工作，未能达到执行率要求，在项目实施时严格公路日常养护项目的质量及进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在5月底、8月底两个节点监控项目执行情况，一是5月预算执行金额为179.69万元，执行率为13.69%，采取的措施：为了提高资金使用效率，我们优化了资金使用计划，明确了各项支出的优先级和合理性。同时，我们还加强了对资金使用过程的监管，确保资金能够按照计划有效使用，避免浪费和滥用。二是8月预算执行金额为852.99万元，执行率为64.96%，采取的措施：深化国库集中支付改革，逐步把所有预算的收支，均纳入国库集中支付系统，结合明细到项目的预算指标，从而清晰、全面反映每一笔收支的来龙去脉，有效提高预算支出执行透明度。进一步强化预算监督重新梳理了预算编制流程，加强了预算审批的严格性，并建立了预算执行跟踪机制。通过实时监控预算执行情况，及时发现问题并进行调整，从而确保预算的合理性和有效性，按照预期执行率进行，提升预算执行质量。</w:t>
      </w:r>
    </w:p>
    <w:p w14:paraId="14FE320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330DBF0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68E993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2.绩效评价对象和范围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此次我单位根据《项目支出绩效评价管理办法》（财预〔2020〕10号）文件要求对2023年度我单位实施的公路日常养护项目开展部门绩效评价，项目总金额1313万元。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14:paraId="743942B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2181A95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依据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日常养护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根据以上原则，绩效评价应遵循如下要求：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（1）在数据采集时，采取客观数据，主管部门审查、以保证各项指标的真实性。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（2）保证评价结果的真实性、公正性，提高评价报告的公信力。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我单位根据项目的实施资料研读及前期调研，结合项目的实际开展情况，将项目的指标体系进行了调整和完善，最终形成了项目绩效评价指标体系。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我局已将项目绩效评价指标体系模板上传到系统中，上传文件包括评价指标体系，项目评分表，下发模板填写后的评价报告。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评价方法采用比较法，将项目实施情况与绩效目标进行比较，把项目实际完成指标情况与年度指标值进行对比，形成评价结果。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单位自评采用定量与定性评价相结合的比较法，将项目实施情况与绩效目标进行比较，把项目实际完成指标情况与年度指标值进行对比，形成评价结果。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三级指标分析环节：总体采用比较法，同时辅以文献法、成本效益法、因素分析法以及公众评判法，根据不同三级指标类型进行逐项分析。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（1）定量指标分析环节：主要采用比较法，对比三级指标预期指标值和三级指标截止评价日的完成情况，综合分析绩效目标实现程度。详细评价方法的应用如下: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②属于“是”或“否”判断的单一评判定量指标：比较法，符合要求的得满分，不符合要求的不得分或者扣相应的分数。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③满意度指标：主要采用比较法，</w:t>
      </w:r>
      <w:r>
        <w:rPr>
          <w:rStyle w:val="18"/>
          <w:rFonts w:hint="eastAsia" w:ascii="楷体" w:hAnsi="楷体" w:eastAsia="楷体"/>
          <w:spacing w:val="-4"/>
          <w:sz w:val="32"/>
          <w:szCs w:val="32"/>
          <w:lang w:eastAsia="zh-CN"/>
        </w:rPr>
        <w:t>根据满意度</w:t>
      </w:r>
      <w:r>
        <w:rPr>
          <w:rStyle w:val="18"/>
          <w:rFonts w:hint="eastAsia" w:ascii="楷体" w:hAnsi="楷体" w:eastAsia="楷体"/>
          <w:spacing w:val="-4"/>
          <w:sz w:val="32"/>
          <w:szCs w:val="32"/>
        </w:rPr>
        <w:t xml:space="preserve">问卷统计情况计算完成比率与预期指标值对比，达成满意度预期目标的，得满分；未完成指标值的，按照完成值与预期指标值的比例记分；满意度小于 60%不得分。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14:paraId="46F3653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4318E0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本次评价成立了评价工作组，成员如下：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1.评价组组长：吾热古力·卡地尔江，职责：组织领导，工作内容：按照相关要求，组织协调绩效评价工作，推进工作整体进度；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2.评价组成员：李娜，职责：组织协调、评价评分，工作内容：具体安排落实评价工作，对项目涉及的评价内容，按照评价指标和标准，逐项进行评分;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3.评价组成员：木沙江·依地力斯，职责：评价打分，工作内容：按照评价指标和标准，对项目涉及的评价内容逐项进行评分。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4.评价组成员：王娜娜，职责：评价打分、汇总，工作内容：按照评价指标和标准，对项目涉及的评价内容逐项进行评分，汇总评分，编写评价报告。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5.评价组成员：谢婷，职责：评价打分，工作内容：按照评价指标和标准，对项目涉及的评价内容逐项进行评分。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6.评价组成员：崔燕，职责：评价打分，工作内容：按照评价指标和标准，对项目涉及的评价内容逐项进行评分。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14:paraId="0EE01376">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7CC0AE9B">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此次绩效评价通过组论证的评价指标体系及评分标准，采用的方法为比较法，对公路日常养护项目绩效进行客观评价，最终评分结果：总分为100分，其中：项目决策20分、过程管理20分、项目产出30分、项目效益20分、满意度指标10分。绩效评级为“优”。（优：90-100分，包含90分；良：80-90分，包含80分；中：60-80分，包含60分；差：60分以下）</w:t>
      </w:r>
    </w:p>
    <w:p w14:paraId="46D574A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18E1447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95B536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项目决策由3个二级指标和6个三级指标构成，权重分20分，实际得分20分。具体如下：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项目立项分值5分，得分5分。其中：立项依据充分性分值2分，得分2分；立项程序规范性分值3分，得分3分。项目按照交通运输部颁发《公路养护技术规范》《交通运输部关于进一步加强公路桥梁养护管理的若干意见》交公路发〔2013〕321号、《公路长大桥隧养护管理和安全运行若干规定》等相关规范及规定设立，非单独决策立项的工程项目，不存在项目立项评估和决策合理性及风险评估、专家论证等环节的考核，故未设置决策预期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目标分值10分，得分10分。其中：绩效目标合理性分值5分，得分5分；绩效指标明确性分值5分，得分5分。该项目设置了绩效目标，且绩效目标与实际工作内容具有相关性，项目预期产出效益和效果符合正常的业绩水平，与项目目标任务数或计划数相对应。开展公路路基、路面、桥涵、隧道、沿线设施的小修养护管理工作。对管养路段存在的病害进行修复及各项预防性养护，合理实施小修养护延缓公路衰减，增加公路使用寿命,为公众出行提供安全的通行环境。按照</w:t>
      </w:r>
      <w:r>
        <w:rPr>
          <w:rStyle w:val="18"/>
          <w:rFonts w:hint="eastAsia" w:ascii="楷体" w:hAnsi="楷体" w:eastAsia="楷体"/>
          <w:spacing w:val="-4"/>
          <w:sz w:val="32"/>
          <w:szCs w:val="32"/>
          <w:lang w:val="en-US" w:eastAsia="zh-CN"/>
        </w:rPr>
        <w:t>交通运输</w:t>
      </w:r>
      <w:r>
        <w:rPr>
          <w:rStyle w:val="18"/>
          <w:rFonts w:hint="eastAsia" w:ascii="楷体" w:hAnsi="楷体" w:eastAsia="楷体"/>
          <w:spacing w:val="-4"/>
          <w:sz w:val="32"/>
          <w:szCs w:val="32"/>
        </w:rPr>
        <w:t>部颁</w:t>
      </w:r>
      <w:r>
        <w:rPr>
          <w:rStyle w:val="18"/>
          <w:rFonts w:hint="eastAsia" w:ascii="楷体" w:hAnsi="楷体" w:eastAsia="楷体"/>
          <w:spacing w:val="-4"/>
          <w:sz w:val="32"/>
          <w:szCs w:val="32"/>
          <w:lang w:val="en-US" w:eastAsia="zh-CN"/>
        </w:rPr>
        <w:t>发的</w:t>
      </w:r>
      <w:r>
        <w:rPr>
          <w:rStyle w:val="18"/>
          <w:rFonts w:hint="eastAsia" w:ascii="楷体" w:hAnsi="楷体" w:eastAsia="楷体"/>
          <w:spacing w:val="-4"/>
          <w:sz w:val="32"/>
          <w:szCs w:val="32"/>
        </w:rPr>
        <w:t>《公路养护技术规范》要求，积极开展公路经常性检查、定期检查、特殊检查、专项检查和加强日常巡道，及时发现损坏的公路及附属设施，及时修复和更换被损坏的路产。2023年公路日常养护1313万元，其中公路、桥隧养护1256万元、防雪包交通费57万元，与预算确定的项目投资额或资金量相匹配，项目绩效目标明确，将项目绩效目标细化分解为具体的绩效指标，通过清晰、可衡量的指标值予以体现。</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测算标准按照《公路养护技术规范》、《交通运输部关于进一步加强公路桥梁养护管理的若干意见》交公路发〔2013〕321号、《公路长大桥隧养护管理和安全运行若干规定》、《公路桥梁养护管理工作制度》（交公路发〔2007〕336号）及《公路养护技术规范》要求，测算公路路基、路面、桥涵、隧道、沿线设施的日常养护费用。其中公路桥隧养护费用：包括公路、桥梁、隧道三部分。普通公路按油路0.9万元/公里、砂砾路按0.55万元/公里计算机械费、材料费的公里成本计算材料机械费，收费公路按高速、一级15000元/公里，二级路9000元/公里，匝道5000元/公里，计算机械费、材料费的公里成本计算材料机械费。按80元/延米计算桥梁日常养护费用，对一类、二类桥的开展预防性养护工作。按300元/延米计算隧道日常养护费用；病害专项处治费：对于沥青路面出现裂缝、麻面、松散、翻浆等集中病害路段，日常养护无法解决，及时采取相应的维修措施，防治路面病害发展和破损面积增大，确保行车安全，为社会公众提供“畅安舒美”通行环境。阿图什公路管理局2023年年初完成第一次技术状况评定后，按照评定结果，科学合理制定全年养护计划，按照全年工作重点和各分局养护工作实际需求，分配全年养护资金，下达分解计划。</w:t>
      </w:r>
    </w:p>
    <w:p w14:paraId="4E0F3F9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2BE15F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项目过程管理类指标由2个二级指标和5个三级指标构成，权重分20分，实际得分20分。具体如下：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管理分值12分，得分12分。其中资金到位率分值4分，得分4分；预算执行率分值4分，得分4分；资金使用合规性分值4分，得分4分。该项目预算资金1313万元，到位资金1313万元，实际支出资金1313万元，资金到位率100.00%，预算执行率100.00%。该项目资金使用合规，符合国家财经法规和财务管理制度以及有关专项资金管理办法的规定，资金支付均具有完整的审批程序和手续，与预算批复内容相符，不存在截留、挤占、挪用、虚列支出等情况。1313万元全部用于公路、桥隧日常养护和风雪保交通。公路日常养护费用分解经专题会、党委会研究，下达至各分局，费用分解合理、有效。</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组织实施分值8分，得分8分。其中管理制度健全性分值4分，得分4分；制度执行有效性分值4分，得分4分。该项目财务和业务管理制度健全，且合法、合规、完整，制度执行遵守相关法律法规和相关管理规定，项目调整及支出调整手续完备，项目合同书、验收报告、技术鉴定等资料齐全并及时归档，项目实施的人员条件、场地设备、信息支撑等落实到位。公路日常养护项目实施按照《公路养护技术规范》《交通运输部关于进一步加强公路桥梁养护管理的若干意见》交公路发﹝2013﹞321号、《公路长大桥隧养护管理和安全运行若干规定》、《公路桥梁养护管理工作制度》（交公路发﹝2007﹞336号）等相关制度实施，实施过程中，阿图什公路管理局围绕改善路面技术状况、完善交通安全设施、美化公路路域环境、优化出行服务等内容，从路况水平、服务设施、路域环境等方面提高要求、提高标准，发挥示范引领作用。</w:t>
      </w:r>
    </w:p>
    <w:p w14:paraId="30AE100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3308A9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项目产出类指标由4个二级指标和6个三级指标构成，权重分30分，实际得分30分。具体如下：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①数量指标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“管养公路日常养护里程数”指标，预期指标值为935公里，指标完成值为935公里，完成率为100%，分值4分，得分4分。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②质量指标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“公路日常养护质量合格率”指标，预期指标值为=100%，指标完成值为=100%，完成率为100%，分值4分，得分4分。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“符合《公路养护技术规范》要求验收率”指标，预期指标值为=100%，指标完成值为=100%，完成率为100%，分值4分，得分4分。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③时效指标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“年度养护任务按计划开工率”指标，预期指标值为&gt;=95%，指标完成值为100%，完成率为100%，分值4分，得分4分。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“年度养护任务按计划完成率”指标，预期指标值为&gt;=95%，指标完成值为100%，完成率为100%，分值4分，得分4分。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④成本指标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“公路日常养护预算控制率”指标，预期指标值为&lt;=100%，指标完成值为=100%，完成率为100%，分值10分，得分10分。</w:t>
      </w:r>
    </w:p>
    <w:p w14:paraId="76C46BA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DCD53B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项目效益类指标由1个二级指标和1个三级指标构成，权重分20分，实际得分20分。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“管养公路保畅通行率”指标，预期指标值为&gt;=95%，指标完成值为100%，完成率为100%，分值20分，得分20分。</w:t>
      </w:r>
    </w:p>
    <w:p w14:paraId="5F00116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14:paraId="30B24B99">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项目满意度指标由1个二级指标和1个三级指标构成，权重分10分，实际得分10分。具体如下：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“司乘人员满意度”指标，预期指标值为&gt;=85%，指标完成值为100%，完成率为100%，分值10分，得分10分。</w:t>
      </w:r>
    </w:p>
    <w:p w14:paraId="02547883">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3A766BE0">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1、做好机械设备保养、提高辅助除雪机械利用率，及时细化更新应急预案，同时继续做好冬季除雪物资储备，查储补缺，做到用时不慌，开展融雪剂使用方法培训工作，不断优化公路养护管理能力和道路服务保障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2、以各分局管养的里程为依据，分配小修养护费用，以保障此项工作的正常开展。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3、积极利用新技术、新设备开展小修养护工作，提高机械化水平，提高养护效率，提高养护资金使用效率，保障公路安全运营。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一是从事桥梁养护管理工作的工程师人员有限，力量薄弱，专业知识储备有限，专业资质不高。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二是专业除雪机械短缺、辅助除雪机械老化。</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三是目前的小修养护资金仅能维持部分基本的路面坑槽修补及翻浆等影响行车安全的病害处置，已经不能满足“十四五”公路养护管理发展纲要和公众日益增长的个性化的出行需求，由于资金短缺难以与交通运输部提倡预防性养护的养护理念保持同步，与实行的日常养护管理的实际养护需求存在一定的缺口。</w:t>
      </w:r>
    </w:p>
    <w:p w14:paraId="62B43A3F">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05705ECF">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1、解决除雪机械短缺问题，增加和完善养护设备配置，充分利用现有辅助除雪机械，提高养护设备利用率。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2、加强对桥梁工程师的培养和培训力度，提供实践学习平台，组织去科研院所等地参观学习，进一步提升对新技术、新材料、新设备、新工艺四新技术的学习与应用。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3、进一步加强新技术、新材料、新设备、新工艺四新技术应用，提高机械化水平提高养护效率，加强计划资金管理、规范计量支付程序，保障小修养护资金高效利用，通过路况管理保持公路路况服务水平。</w:t>
      </w:r>
    </w:p>
    <w:p w14:paraId="7B0A426F">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438B9A85">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无其他说明内容。</w:t>
      </w:r>
    </w:p>
    <w:p w14:paraId="3784D458">
      <w:pPr>
        <w:spacing w:line="540" w:lineRule="exact"/>
        <w:ind w:firstLine="567"/>
        <w:rPr>
          <w:rStyle w:val="18"/>
          <w:rFonts w:ascii="仿宋" w:hAnsi="仿宋" w:eastAsia="仿宋"/>
          <w:b w:val="0"/>
          <w:spacing w:val="-4"/>
          <w:sz w:val="32"/>
          <w:szCs w:val="32"/>
        </w:rPr>
      </w:pPr>
    </w:p>
    <w:p w14:paraId="4F8BD8A4">
      <w:pPr>
        <w:spacing w:line="540" w:lineRule="exact"/>
        <w:ind w:firstLine="567"/>
        <w:rPr>
          <w:rStyle w:val="18"/>
          <w:rFonts w:ascii="仿宋" w:hAnsi="仿宋" w:eastAsia="仿宋"/>
          <w:b w:val="0"/>
          <w:spacing w:val="-4"/>
          <w:sz w:val="32"/>
          <w:szCs w:val="32"/>
        </w:rPr>
      </w:pPr>
    </w:p>
    <w:p w14:paraId="78903A30">
      <w:pPr>
        <w:spacing w:line="540" w:lineRule="exact"/>
        <w:ind w:firstLine="567"/>
        <w:rPr>
          <w:rStyle w:val="18"/>
          <w:rFonts w:ascii="仿宋" w:hAnsi="仿宋" w:eastAsia="仿宋"/>
          <w:b w:val="0"/>
          <w:spacing w:val="-4"/>
          <w:sz w:val="32"/>
          <w:szCs w:val="32"/>
        </w:rPr>
      </w:pPr>
    </w:p>
    <w:p w14:paraId="65A0E4D3">
      <w:pPr>
        <w:spacing w:line="540" w:lineRule="exact"/>
        <w:ind w:firstLine="567"/>
        <w:rPr>
          <w:rStyle w:val="18"/>
          <w:rFonts w:ascii="仿宋" w:hAnsi="仿宋" w:eastAsia="仿宋"/>
          <w:b w:val="0"/>
          <w:spacing w:val="-4"/>
          <w:sz w:val="32"/>
          <w:szCs w:val="32"/>
        </w:rPr>
      </w:pPr>
    </w:p>
    <w:p w14:paraId="0469109D">
      <w:pPr>
        <w:spacing w:line="540" w:lineRule="exact"/>
        <w:ind w:firstLine="567"/>
        <w:rPr>
          <w:rStyle w:val="18"/>
          <w:rFonts w:ascii="仿宋" w:hAnsi="仿宋" w:eastAsia="仿宋"/>
          <w:b w:val="0"/>
          <w:spacing w:val="-4"/>
          <w:sz w:val="32"/>
          <w:szCs w:val="32"/>
        </w:rPr>
      </w:pPr>
    </w:p>
    <w:p w14:paraId="24B666D2">
      <w:pPr>
        <w:spacing w:line="540" w:lineRule="exact"/>
        <w:ind w:firstLine="567"/>
        <w:rPr>
          <w:rStyle w:val="18"/>
          <w:rFonts w:ascii="仿宋" w:hAnsi="仿宋" w:eastAsia="仿宋"/>
          <w:b w:val="0"/>
          <w:spacing w:val="-4"/>
          <w:sz w:val="32"/>
          <w:szCs w:val="32"/>
        </w:rPr>
      </w:pPr>
    </w:p>
    <w:p w14:paraId="221D4389">
      <w:pPr>
        <w:spacing w:line="540" w:lineRule="exact"/>
        <w:ind w:firstLine="567"/>
        <w:rPr>
          <w:rStyle w:val="18"/>
          <w:rFonts w:ascii="仿宋" w:hAnsi="仿宋" w:eastAsia="仿宋"/>
          <w:b w:val="0"/>
          <w:spacing w:val="-4"/>
          <w:sz w:val="32"/>
          <w:szCs w:val="32"/>
        </w:rPr>
      </w:pPr>
    </w:p>
    <w:p w14:paraId="6F09D42B">
      <w:pPr>
        <w:spacing w:line="540" w:lineRule="exact"/>
        <w:ind w:firstLine="567"/>
        <w:rPr>
          <w:rStyle w:val="18"/>
          <w:rFonts w:ascii="仿宋" w:hAnsi="仿宋" w:eastAsia="仿宋"/>
          <w:b w:val="0"/>
          <w:spacing w:val="-4"/>
          <w:sz w:val="32"/>
          <w:szCs w:val="32"/>
        </w:rPr>
      </w:pPr>
    </w:p>
    <w:p w14:paraId="00BAF563">
      <w:pPr>
        <w:spacing w:line="540" w:lineRule="exact"/>
        <w:ind w:firstLine="567"/>
        <w:rPr>
          <w:rStyle w:val="18"/>
          <w:rFonts w:ascii="仿宋" w:hAnsi="仿宋" w:eastAsia="仿宋"/>
          <w:b w:val="0"/>
          <w:spacing w:val="-4"/>
          <w:sz w:val="32"/>
          <w:szCs w:val="32"/>
        </w:rPr>
      </w:pPr>
    </w:p>
    <w:p w14:paraId="3F651F76">
      <w:pPr>
        <w:spacing w:line="540" w:lineRule="exact"/>
        <w:ind w:firstLine="567"/>
        <w:rPr>
          <w:rStyle w:val="18"/>
          <w:rFonts w:ascii="仿宋" w:hAnsi="仿宋" w:eastAsia="仿宋"/>
          <w:b w:val="0"/>
          <w:spacing w:val="-4"/>
          <w:sz w:val="32"/>
          <w:szCs w:val="32"/>
        </w:rPr>
      </w:pPr>
    </w:p>
    <w:p w14:paraId="38980088">
      <w:pPr>
        <w:spacing w:line="540" w:lineRule="exact"/>
        <w:ind w:firstLine="567"/>
        <w:rPr>
          <w:rStyle w:val="18"/>
          <w:rFonts w:ascii="仿宋" w:hAnsi="仿宋" w:eastAsia="仿宋"/>
          <w:b w:val="0"/>
          <w:spacing w:val="-4"/>
          <w:sz w:val="32"/>
          <w:szCs w:val="32"/>
        </w:rPr>
      </w:pPr>
    </w:p>
    <w:p w14:paraId="1426059C">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9ADBB02">
        <w:pPr>
          <w:pStyle w:val="12"/>
          <w:jc w:val="center"/>
        </w:pPr>
        <w:r>
          <w:fldChar w:fldCharType="begin"/>
        </w:r>
        <w:r>
          <w:instrText xml:space="preserve">PAGE   \* MERGEFORMAT</w:instrText>
        </w:r>
        <w:r>
          <w:fldChar w:fldCharType="separate"/>
        </w:r>
        <w:r>
          <w:rPr>
            <w:lang w:val="zh-CN"/>
          </w:rPr>
          <w:t>1</w:t>
        </w:r>
        <w:r>
          <w:fldChar w:fldCharType="end"/>
        </w:r>
      </w:p>
    </w:sdtContent>
  </w:sdt>
  <w:p w14:paraId="361E018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D2606A1"/>
    <w:rsid w:val="5A4B0618"/>
    <w:rsid w:val="5B236C70"/>
    <w:rsid w:val="61CD6B23"/>
    <w:rsid w:val="68E66337"/>
    <w:rsid w:val="70AC721E"/>
    <w:rsid w:val="77370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8189</Words>
  <Characters>8654</Characters>
  <Lines>5</Lines>
  <Paragraphs>1</Paragraphs>
  <TotalTime>1</TotalTime>
  <ScaleCrop>false</ScaleCrop>
  <LinksUpToDate>false</LinksUpToDate>
  <CharactersWithSpaces>8822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♥、尛潔</cp:lastModifiedBy>
  <cp:lastPrinted>2018-12-31T10:56:00Z</cp:lastPrinted>
  <dcterms:modified xsi:type="dcterms:W3CDTF">2024-08-26T08:11:30Z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6C404E05BDB2412B87572131108CB444_12</vt:lpwstr>
  </property>
</Properties>
</file>