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53345D">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14:paraId="12EAD324">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14:paraId="491F48B2">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和田公路管理局</w:t>
      </w:r>
    </w:p>
    <w:p w14:paraId="45333763">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eastAsia="zh-CN"/>
        </w:rPr>
        <w:t xml:space="preserve"> 2023年度</w:t>
      </w:r>
      <w:r>
        <w:rPr>
          <w:rFonts w:hint="eastAsia" w:ascii="方正小标宋_GBK" w:hAnsi="宋体" w:eastAsia="方正小标宋_GBK"/>
          <w:color w:val="auto"/>
          <w:sz w:val="44"/>
          <w:szCs w:val="44"/>
          <w:highlight w:val="none"/>
        </w:rPr>
        <w:t>部门决算</w:t>
      </w:r>
    </w:p>
    <w:p w14:paraId="4EC4E49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14:paraId="58A79202">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14:paraId="5F7E7305">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14:paraId="475CDBE9">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14:paraId="06BBFD20">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14:paraId="62772998">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14:paraId="2A9C503B">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14:paraId="2A6D4FD7">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14:paraId="4AD04905">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14:paraId="482D9BDB">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14:paraId="16CAA850">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14:paraId="40D45829">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14:paraId="79DD057C">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14:paraId="2B0B862D">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6015E2C3">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14:paraId="2587A740">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14:paraId="4833221E">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54528514">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14:paraId="27C54485">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14:paraId="2255B115">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14:paraId="49FBC7C2">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14:paraId="2E9ACEE7">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14:paraId="280E9792">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14:paraId="36E82CD5">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14:paraId="21DC97F7">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14:paraId="0CDA741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14:paraId="081CB8E5">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14:paraId="2A625DD5">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14:paraId="61105A1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14:paraId="5296A5B3">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14:paraId="4A10045B">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14:paraId="729ED854">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14:paraId="092AF50C">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14:paraId="7F701074">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14:paraId="24EE46D3">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14:paraId="31BC7015">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24028"/>
      <w:bookmarkStart w:id="1" w:name="_Toc32314"/>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14:paraId="6527454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14:paraId="1B8BF52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方正仿宋_GBK" w:hAnsi="方正仿宋_GBK" w:eastAsia="方正仿宋_GBK" w:cs="方正仿宋_GBK"/>
          <w:sz w:val="32"/>
          <w:szCs w:val="32"/>
        </w:rPr>
        <w:t>负责辖区国道、省道、专用公路及沿线服务设施的养护和质量管理工作，以及公路交通战备、灾害应急处置、抢险救灾等工作；负责编报本辖区公路养护管理年度计划和预算，具体管理上级拨付的公路养护专项资金；负责公路养护和施工机械设备的管理工作；负责辖区公路管理系统行业统计、经济调查和信息化建设等工作；根据新疆维吾尔自治区公路事业发展中心党委的授权，负责辖区非经营性收费公路和经营性收费公路的管理工作；根据新疆维吾尔自治区公路事业发展中心党委工作安排，科学合理实施辖区内经营性公路行业监管各项工作，按照《自治区交通运输厅委托（辅助）实施权力事项清单》规定，具体实施厅委托（辅助）</w:t>
      </w:r>
      <w:r>
        <w:rPr>
          <w:rFonts w:hint="eastAsia" w:ascii="方正仿宋_GBK" w:hAnsi="方正仿宋_GBK" w:eastAsia="方正仿宋_GBK" w:cs="方正仿宋_GBK"/>
          <w:sz w:val="32"/>
          <w:szCs w:val="32"/>
          <w:lang w:eastAsia="zh-CN"/>
        </w:rPr>
        <w:t>实施权力事项</w:t>
      </w:r>
      <w:r>
        <w:rPr>
          <w:rFonts w:hint="eastAsia" w:ascii="方正仿宋_GBK" w:hAnsi="方正仿宋_GBK" w:eastAsia="方正仿宋_GBK" w:cs="方正仿宋_GBK"/>
          <w:sz w:val="32"/>
          <w:szCs w:val="32"/>
        </w:rPr>
        <w:t>工作；承办新疆维吾尔自治区公路事业发展中心交办的其他工作。</w:t>
      </w:r>
    </w:p>
    <w:p w14:paraId="5AA2273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14:paraId="5602F61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b/>
          <w:color w:val="auto"/>
          <w:sz w:val="32"/>
          <w:szCs w:val="32"/>
          <w:highlight w:val="none"/>
        </w:rPr>
      </w:pPr>
      <w:r>
        <w:rPr>
          <w:rFonts w:hint="eastAsia" w:ascii="仿宋_GB2312" w:eastAsia="仿宋_GB2312"/>
          <w:color w:val="auto"/>
          <w:sz w:val="32"/>
          <w:szCs w:val="32"/>
          <w:highlight w:val="none"/>
          <w:lang w:val="en-US" w:eastAsia="zh-CN"/>
        </w:rPr>
        <w:t>和田公路管理局</w:t>
      </w:r>
      <w:r>
        <w:rPr>
          <w:rFonts w:hint="eastAsia" w:ascii="仿宋_GB2312" w:eastAsia="仿宋_GB2312"/>
          <w:color w:val="auto"/>
          <w:sz w:val="32"/>
          <w:szCs w:val="32"/>
          <w:highlight w:val="none"/>
          <w:lang w:eastAsia="zh-CN"/>
        </w:rPr>
        <w:t>2023年度，</w:t>
      </w:r>
      <w:r>
        <w:rPr>
          <w:rFonts w:hint="eastAsia" w:ascii="仿宋_GB2312" w:eastAsia="仿宋_GB2312"/>
          <w:color w:val="auto"/>
          <w:sz w:val="32"/>
          <w:szCs w:val="32"/>
          <w:highlight w:val="none"/>
        </w:rPr>
        <w:t>实有人数</w:t>
      </w:r>
      <w:r>
        <w:rPr>
          <w:rFonts w:hint="eastAsia" w:ascii="仿宋_GB2312" w:eastAsia="仿宋_GB2312"/>
          <w:color w:val="auto"/>
          <w:sz w:val="32"/>
          <w:szCs w:val="32"/>
          <w:highlight w:val="none"/>
          <w:lang w:val="zh-CN" w:eastAsia="zh-CN"/>
        </w:rPr>
        <w:t>930</w:t>
      </w:r>
      <w:r>
        <w:rPr>
          <w:rFonts w:hint="eastAsia" w:ascii="仿宋_GB2312" w:eastAsia="仿宋_GB2312"/>
          <w:color w:val="auto"/>
          <w:sz w:val="32"/>
          <w:szCs w:val="32"/>
          <w:highlight w:val="none"/>
        </w:rPr>
        <w:t>人，其中：在职人员</w:t>
      </w:r>
      <w:r>
        <w:rPr>
          <w:rFonts w:hint="eastAsia" w:ascii="仿宋_GB2312" w:eastAsia="仿宋_GB2312"/>
          <w:color w:val="auto"/>
          <w:sz w:val="32"/>
          <w:szCs w:val="32"/>
          <w:highlight w:val="none"/>
          <w:lang w:val="zh-CN" w:eastAsia="zh-CN"/>
        </w:rPr>
        <w:t>451</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eastAsia" w:ascii="仿宋_GB2312" w:eastAsia="仿宋_GB2312"/>
          <w:color w:val="auto"/>
          <w:sz w:val="32"/>
          <w:szCs w:val="32"/>
          <w:highlight w:val="none"/>
          <w:lang w:val="zh-CN" w:eastAsia="zh-CN"/>
        </w:rPr>
        <w:t>1</w:t>
      </w:r>
      <w:r>
        <w:rPr>
          <w:rFonts w:hint="eastAsia" w:ascii="仿宋_GB2312" w:eastAsia="仿宋_GB2312"/>
          <w:color w:val="auto"/>
          <w:sz w:val="32"/>
          <w:szCs w:val="32"/>
          <w:highlight w:val="none"/>
        </w:rPr>
        <w:t>人，退休人员</w:t>
      </w:r>
      <w:r>
        <w:rPr>
          <w:rFonts w:hint="eastAsia" w:ascii="仿宋_GB2312" w:eastAsia="仿宋_GB2312"/>
          <w:color w:val="auto"/>
          <w:sz w:val="32"/>
          <w:szCs w:val="32"/>
          <w:highlight w:val="none"/>
          <w:lang w:val="zh-CN" w:eastAsia="zh-CN"/>
        </w:rPr>
        <w:t>478</w:t>
      </w:r>
      <w:r>
        <w:rPr>
          <w:rFonts w:hint="eastAsia" w:ascii="仿宋_GB2312" w:eastAsia="仿宋_GB2312"/>
          <w:color w:val="auto"/>
          <w:sz w:val="32"/>
          <w:szCs w:val="32"/>
          <w:highlight w:val="none"/>
        </w:rPr>
        <w:t>人。</w:t>
      </w:r>
    </w:p>
    <w:p w14:paraId="5EE092C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0"/>
        <w:rPr>
          <w:rFonts w:hint="eastAsia" w:ascii="方正仿宋_GBK" w:hAnsi="方正仿宋_GBK" w:eastAsia="方正仿宋_GBK" w:cs="方正仿宋_GBK"/>
          <w:kern w:val="0"/>
          <w:sz w:val="32"/>
          <w:szCs w:val="32"/>
        </w:rPr>
      </w:pPr>
      <w:bookmarkStart w:id="6" w:name="_Toc3092"/>
      <w:bookmarkStart w:id="7" w:name="_Toc29374"/>
      <w:r>
        <w:rPr>
          <w:rFonts w:hint="eastAsia" w:ascii="方正仿宋_GBK" w:hAnsi="方正仿宋_GBK" w:eastAsia="方正仿宋_GBK" w:cs="方正仿宋_GBK"/>
          <w:bCs/>
          <w:kern w:val="0"/>
          <w:sz w:val="32"/>
          <w:szCs w:val="32"/>
        </w:rPr>
        <w:t>单位无下属预算单位，下设</w:t>
      </w:r>
      <w:r>
        <w:rPr>
          <w:rFonts w:hint="eastAsia" w:ascii="方正仿宋_GBK" w:hAnsi="方正仿宋_GBK" w:eastAsia="方正仿宋_GBK" w:cs="方正仿宋_GBK"/>
          <w:sz w:val="32"/>
          <w:szCs w:val="32"/>
        </w:rPr>
        <w:t>13</w:t>
      </w:r>
      <w:r>
        <w:rPr>
          <w:rFonts w:hint="eastAsia" w:ascii="方正仿宋_GBK" w:hAnsi="方正仿宋_GBK" w:eastAsia="方正仿宋_GBK" w:cs="方正仿宋_GBK"/>
          <w:bCs/>
          <w:kern w:val="0"/>
          <w:sz w:val="32"/>
          <w:szCs w:val="32"/>
        </w:rPr>
        <w:t>个</w:t>
      </w:r>
      <w:r>
        <w:rPr>
          <w:rFonts w:hint="eastAsia" w:ascii="方正仿宋_GBK" w:hAnsi="方正仿宋_GBK" w:eastAsia="方正仿宋_GBK" w:cs="方正仿宋_GBK"/>
          <w:bCs/>
          <w:kern w:val="0"/>
          <w:sz w:val="32"/>
          <w:szCs w:val="32"/>
          <w:lang w:val="en-US" w:eastAsia="zh-CN"/>
        </w:rPr>
        <w:t>科</w:t>
      </w:r>
      <w:r>
        <w:rPr>
          <w:rFonts w:hint="eastAsia" w:ascii="方正仿宋_GBK" w:hAnsi="方正仿宋_GBK" w:eastAsia="方正仿宋_GBK" w:cs="方正仿宋_GBK"/>
          <w:bCs/>
          <w:kern w:val="0"/>
          <w:sz w:val="32"/>
          <w:szCs w:val="32"/>
        </w:rPr>
        <w:t>室，分别是：办公室（党委办公室）、组织人事科、纪委（监察室）、财务审计科、养护管理科、收费稽查科、监控通讯科、设备管理科、劳动保障科、安全监督保卫科、工会委员会、离退休人员管理科、后勤服务科</w:t>
      </w:r>
      <w:r>
        <w:rPr>
          <w:rFonts w:hint="eastAsia" w:ascii="方正仿宋_GBK" w:hAnsi="方正仿宋_GBK" w:eastAsia="方正仿宋_GBK" w:cs="方正仿宋_GBK"/>
          <w:kern w:val="0"/>
          <w:sz w:val="32"/>
          <w:szCs w:val="32"/>
        </w:rPr>
        <w:t>。</w:t>
      </w:r>
    </w:p>
    <w:p w14:paraId="26813C36">
      <w:pPr>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br w:type="page"/>
      </w:r>
    </w:p>
    <w:p w14:paraId="4D1D64E1">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14:paraId="08F648C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25314"/>
      <w:bookmarkStart w:id="9" w:name="_Toc12566"/>
      <w:r>
        <w:rPr>
          <w:rFonts w:hint="eastAsia" w:ascii="黑体" w:hAnsi="黑体" w:eastAsia="黑体" w:cs="宋体"/>
          <w:bCs/>
          <w:color w:val="auto"/>
          <w:kern w:val="0"/>
          <w:sz w:val="32"/>
          <w:szCs w:val="32"/>
          <w:highlight w:val="none"/>
        </w:rPr>
        <w:t>一、收入支出决算总体情况说明</w:t>
      </w:r>
      <w:bookmarkEnd w:id="8"/>
      <w:bookmarkEnd w:id="9"/>
    </w:p>
    <w:p w14:paraId="0EDEABB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pacing w:val="0"/>
          <w:sz w:val="32"/>
          <w:szCs w:val="32"/>
          <w:highlight w:val="none"/>
          <w:lang w:val="en-US" w:eastAsia="zh-CN"/>
        </w:rPr>
        <w:t>收入总计</w:t>
      </w:r>
      <w:r>
        <w:rPr>
          <w:rFonts w:hint="eastAsia" w:ascii="仿宋_GB2312" w:eastAsia="仿宋_GB2312"/>
          <w:color w:val="auto"/>
          <w:spacing w:val="0"/>
          <w:sz w:val="32"/>
          <w:szCs w:val="32"/>
          <w:highlight w:val="none"/>
          <w:lang w:eastAsia="zh-CN"/>
        </w:rPr>
        <w:t>20,847.78万元，</w:t>
      </w:r>
      <w:r>
        <w:rPr>
          <w:rFonts w:hint="eastAsia" w:ascii="仿宋_GB2312" w:eastAsia="仿宋_GB2312"/>
          <w:color w:val="auto"/>
          <w:spacing w:val="0"/>
          <w:sz w:val="32"/>
          <w:szCs w:val="32"/>
          <w:highlight w:val="none"/>
          <w:lang w:val="en-US" w:eastAsia="zh-CN"/>
        </w:rPr>
        <w:t>其中：本年收入合计</w:t>
      </w:r>
      <w:r>
        <w:rPr>
          <w:rFonts w:hint="eastAsia" w:ascii="仿宋_GB2312" w:eastAsia="仿宋_GB2312"/>
          <w:color w:val="auto"/>
          <w:spacing w:val="0"/>
          <w:sz w:val="32"/>
          <w:szCs w:val="32"/>
          <w:highlight w:val="none"/>
          <w:lang w:eastAsia="zh-CN"/>
        </w:rPr>
        <w:t>20,779.06万元，使用非财政拨款结余2.51万元，年初结转和结余66.21万元。</w:t>
      </w:r>
    </w:p>
    <w:p w14:paraId="2F3AE88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2023</w:t>
      </w:r>
      <w:r>
        <w:rPr>
          <w:rFonts w:hint="eastAsia" w:ascii="仿宋_GB2312" w:eastAsia="仿宋_GB2312"/>
          <w:color w:val="auto"/>
          <w:spacing w:val="0"/>
          <w:sz w:val="32"/>
          <w:szCs w:val="32"/>
          <w:highlight w:val="none"/>
          <w:lang w:eastAsia="zh-CN"/>
        </w:rPr>
        <w:t>年</w:t>
      </w:r>
      <w:r>
        <w:rPr>
          <w:rFonts w:hint="eastAsia" w:ascii="仿宋_GB2312" w:eastAsia="仿宋_GB2312"/>
          <w:color w:val="auto"/>
          <w:spacing w:val="0"/>
          <w:sz w:val="32"/>
          <w:szCs w:val="32"/>
          <w:highlight w:val="none"/>
          <w:lang w:val="en-US" w:eastAsia="zh-CN"/>
        </w:rPr>
        <w:t>度</w:t>
      </w:r>
      <w:r>
        <w:rPr>
          <w:rFonts w:hint="eastAsia" w:ascii="仿宋_GB2312" w:eastAsia="仿宋_GB2312"/>
          <w:color w:val="auto"/>
          <w:spacing w:val="0"/>
          <w:sz w:val="32"/>
          <w:szCs w:val="32"/>
          <w:highlight w:val="none"/>
          <w:lang w:eastAsia="zh-CN"/>
        </w:rPr>
        <w:t>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eastAsia="zh-CN"/>
        </w:rPr>
        <w:t>20,847.78万元，</w:t>
      </w:r>
      <w:r>
        <w:rPr>
          <w:rFonts w:hint="eastAsia" w:ascii="仿宋_GB2312" w:eastAsia="仿宋_GB2312"/>
          <w:color w:val="auto"/>
          <w:spacing w:val="0"/>
          <w:sz w:val="32"/>
          <w:szCs w:val="32"/>
          <w:highlight w:val="none"/>
          <w:lang w:val="en-US" w:eastAsia="zh-CN"/>
        </w:rPr>
        <w:t>其中：本年支出合计</w:t>
      </w:r>
      <w:r>
        <w:rPr>
          <w:rFonts w:hint="eastAsia" w:ascii="仿宋_GB2312" w:eastAsia="仿宋_GB2312"/>
          <w:color w:val="auto"/>
          <w:spacing w:val="0"/>
          <w:sz w:val="32"/>
          <w:szCs w:val="32"/>
          <w:highlight w:val="none"/>
          <w:lang w:eastAsia="zh-CN"/>
        </w:rPr>
        <w:t>20,767.87万元，</w:t>
      </w:r>
      <w:r>
        <w:rPr>
          <w:rFonts w:hint="eastAsia" w:ascii="仿宋_GB2312" w:eastAsia="仿宋_GB2312"/>
          <w:color w:val="auto"/>
          <w:spacing w:val="0"/>
          <w:sz w:val="32"/>
          <w:szCs w:val="32"/>
          <w:highlight w:val="none"/>
          <w:lang w:val="en-US" w:eastAsia="zh-CN"/>
        </w:rPr>
        <w:t>结余分配</w:t>
      </w:r>
      <w:r>
        <w:rPr>
          <w:rFonts w:hint="eastAsia" w:ascii="仿宋_GB2312" w:eastAsia="仿宋_GB2312"/>
          <w:color w:val="auto"/>
          <w:spacing w:val="0"/>
          <w:sz w:val="32"/>
          <w:szCs w:val="32"/>
          <w:highlight w:val="none"/>
          <w:lang w:eastAsia="zh-CN"/>
        </w:rPr>
        <w:t>0.00万元，年末结转和结余79.91万元。</w:t>
      </w:r>
    </w:p>
    <w:p w14:paraId="59F85CB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收入支出总体与上年相比</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增加324.55万元</w:t>
      </w:r>
      <w:r>
        <w:rPr>
          <w:rFonts w:hint="eastAsia" w:ascii="仿宋_GB2312" w:eastAsia="仿宋_GB2312"/>
          <w:color w:val="auto"/>
          <w:spacing w:val="0"/>
          <w:sz w:val="32"/>
          <w:szCs w:val="32"/>
          <w:highlight w:val="none"/>
          <w:lang w:eastAsia="zh-CN"/>
        </w:rPr>
        <w:t>，增长1.58%，主要原因是：</w:t>
      </w:r>
      <w:r>
        <w:rPr>
          <w:rFonts w:hint="eastAsia" w:ascii="仿宋_GB2312" w:eastAsia="仿宋_GB2312"/>
          <w:color w:val="auto"/>
          <w:spacing w:val="0"/>
          <w:sz w:val="32"/>
          <w:szCs w:val="32"/>
          <w:highlight w:val="none"/>
          <w:lang w:val="en-US" w:eastAsia="zh-CN"/>
        </w:rPr>
        <w:t>较上年</w:t>
      </w:r>
      <w:r>
        <w:rPr>
          <w:rFonts w:hint="default" w:ascii="Times New Roman" w:hAnsi="Times New Roman" w:eastAsia="方正仿宋_GBK" w:cs="Times New Roman"/>
          <w:sz w:val="32"/>
          <w:szCs w:val="32"/>
        </w:rPr>
        <w:t>增加津贴补贴增资、年度考核奖等基本支出费用</w:t>
      </w:r>
      <w:r>
        <w:rPr>
          <w:rFonts w:hint="eastAsia" w:eastAsia="方正仿宋_GBK" w:cs="Times New Roman"/>
          <w:sz w:val="32"/>
          <w:szCs w:val="32"/>
          <w:lang w:val="en-US" w:eastAsia="zh-CN"/>
        </w:rPr>
        <w:t>，</w:t>
      </w:r>
      <w:r>
        <w:rPr>
          <w:rFonts w:hint="default" w:ascii="仿宋_GB2312" w:eastAsia="仿宋_GB2312"/>
          <w:color w:val="auto"/>
          <w:spacing w:val="0"/>
          <w:sz w:val="32"/>
          <w:szCs w:val="32"/>
          <w:highlight w:val="none"/>
          <w:lang w:eastAsia="zh-CN"/>
        </w:rPr>
        <w:t>公路养护</w:t>
      </w:r>
      <w:r>
        <w:rPr>
          <w:rFonts w:hint="default" w:ascii="Times New Roman" w:hAnsi="Times New Roman" w:eastAsia="方正仿宋_GBK" w:cs="Times New Roman"/>
          <w:sz w:val="32"/>
          <w:szCs w:val="32"/>
        </w:rPr>
        <w:t>工程项目</w:t>
      </w:r>
      <w:r>
        <w:rPr>
          <w:rFonts w:hint="eastAsia" w:eastAsia="方正仿宋_GBK" w:cs="Times New Roman"/>
          <w:sz w:val="32"/>
          <w:szCs w:val="32"/>
          <w:lang w:val="en-US" w:eastAsia="zh-CN"/>
        </w:rPr>
        <w:t>预算资金较上年增加</w:t>
      </w:r>
      <w:r>
        <w:rPr>
          <w:rFonts w:hint="default" w:ascii="Times New Roman" w:hAnsi="Times New Roman" w:eastAsia="方正仿宋_GBK" w:cs="Times New Roman"/>
          <w:sz w:val="32"/>
          <w:szCs w:val="32"/>
        </w:rPr>
        <w:t>。</w:t>
      </w:r>
    </w:p>
    <w:p w14:paraId="04927C6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rPr>
      </w:pPr>
      <w:bookmarkStart w:id="10" w:name="_Toc12142"/>
      <w:bookmarkStart w:id="11"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14:paraId="2D75FF2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本年收入</w:t>
      </w:r>
      <w:r>
        <w:rPr>
          <w:rFonts w:hint="eastAsia" w:ascii="仿宋_GB2312" w:eastAsia="仿宋_GB2312"/>
          <w:color w:val="auto"/>
          <w:sz w:val="32"/>
          <w:szCs w:val="32"/>
          <w:highlight w:val="none"/>
          <w:lang w:eastAsia="zh-CN"/>
        </w:rPr>
        <w:t>20,779.06</w:t>
      </w:r>
      <w:r>
        <w:rPr>
          <w:rFonts w:hint="eastAsia" w:ascii="仿宋_GB2312" w:eastAsia="仿宋_GB2312"/>
          <w:color w:val="auto"/>
          <w:sz w:val="32"/>
          <w:szCs w:val="32"/>
          <w:highlight w:val="none"/>
        </w:rPr>
        <w:t>万元，其中：财政拨款收入</w:t>
      </w:r>
      <w:r>
        <w:rPr>
          <w:rFonts w:hint="eastAsia" w:ascii="仿宋_GB2312" w:eastAsia="仿宋_GB2312"/>
          <w:color w:val="auto"/>
          <w:sz w:val="32"/>
          <w:szCs w:val="32"/>
          <w:highlight w:val="none"/>
          <w:lang w:val="zh-CN"/>
        </w:rPr>
        <w:t>20,685.40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99.55</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；上级补助收入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；事业收入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；经营收入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；其他收入</w:t>
      </w:r>
      <w:r>
        <w:rPr>
          <w:rFonts w:hint="eastAsia" w:ascii="仿宋_GB2312" w:eastAsia="仿宋_GB2312"/>
          <w:color w:val="auto"/>
          <w:sz w:val="32"/>
          <w:szCs w:val="32"/>
          <w:highlight w:val="none"/>
          <w:lang w:val="zh-CN"/>
        </w:rPr>
        <w:t>93.66</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0.45</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p>
    <w:p w14:paraId="3739EA7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2" w:name="_Toc13201"/>
      <w:bookmarkStart w:id="13" w:name="_Toc27961"/>
      <w:r>
        <w:rPr>
          <w:rFonts w:hint="eastAsia" w:ascii="黑体" w:hAnsi="黑体" w:eastAsia="黑体" w:cs="宋体"/>
          <w:bCs/>
          <w:color w:val="auto"/>
          <w:kern w:val="0"/>
          <w:sz w:val="32"/>
          <w:szCs w:val="32"/>
          <w:highlight w:val="none"/>
          <w:lang w:eastAsia="zh-CN"/>
        </w:rPr>
        <w:t>三、支出决算情况说明</w:t>
      </w:r>
      <w:bookmarkEnd w:id="12"/>
      <w:bookmarkEnd w:id="13"/>
    </w:p>
    <w:p w14:paraId="390439F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仿宋_GB2312"/>
          <w:color w:val="auto"/>
          <w:sz w:val="30"/>
          <w:szCs w:val="30"/>
          <w:highlight w:val="none"/>
          <w:lang w:val="zh-CN" w:eastAsia="zh-CN"/>
        </w:rPr>
      </w:pPr>
      <w:r>
        <w:rPr>
          <w:rFonts w:hint="eastAsia" w:ascii="Times New Roman" w:hAnsi="Times New Roman" w:eastAsia="仿宋_GB2312" w:cs="仿宋_GB2312"/>
          <w:color w:val="auto"/>
          <w:sz w:val="32"/>
          <w:szCs w:val="32"/>
          <w:highlight w:val="none"/>
          <w:lang w:val="zh-CN" w:eastAsia="zh-CN"/>
        </w:rPr>
        <w:t>本年支出20,767.87万元，其中：基本支出15,022.70万元，占72.34%；项目支出5,745.18万元，占27.66%；上缴上级支出0.00万元，占0.00%；经营支出0.00万元，占0.00%；对附属单位补助支出0.00万元，占0.00%。</w:t>
      </w:r>
    </w:p>
    <w:p w14:paraId="475F60B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4" w:name="_Toc4393"/>
      <w:bookmarkStart w:id="15" w:name="_Toc26564"/>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14:paraId="39CF16E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2023年度财政拨款收入</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20,685.40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eastAsia" w:ascii="仿宋_GB2312" w:eastAsia="仿宋_GB2312"/>
          <w:color w:val="auto"/>
          <w:spacing w:val="0"/>
          <w:sz w:val="32"/>
          <w:szCs w:val="32"/>
          <w:highlight w:val="none"/>
          <w:lang w:val="zh-CN" w:eastAsia="zh-CN"/>
        </w:rPr>
        <w:t>20,685.40</w:t>
      </w:r>
      <w:r>
        <w:rPr>
          <w:rFonts w:hint="eastAsia" w:ascii="仿宋_GB2312" w:eastAsia="仿宋_GB2312"/>
          <w:color w:val="auto"/>
          <w:spacing w:val="0"/>
          <w:sz w:val="32"/>
          <w:szCs w:val="32"/>
          <w:highlight w:val="none"/>
          <w:lang w:eastAsia="zh-CN"/>
        </w:rPr>
        <w:t>万元。财政拨款支出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20,685.40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w:t>
      </w:r>
      <w:r>
        <w:rPr>
          <w:rFonts w:hint="eastAsia" w:ascii="仿宋_GB2312" w:eastAsia="仿宋_GB2312"/>
          <w:color w:val="auto"/>
          <w:spacing w:val="0"/>
          <w:sz w:val="32"/>
          <w:szCs w:val="32"/>
          <w:highlight w:val="none"/>
          <w:lang w:val="zh-CN" w:eastAsia="zh-CN"/>
        </w:rPr>
        <w:t>33.76</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eastAsia" w:ascii="仿宋_GB2312" w:eastAsia="仿宋_GB2312"/>
          <w:color w:val="auto"/>
          <w:spacing w:val="0"/>
          <w:sz w:val="32"/>
          <w:szCs w:val="32"/>
          <w:highlight w:val="none"/>
          <w:lang w:val="zh-CN" w:eastAsia="zh-CN"/>
        </w:rPr>
        <w:t>20,651.65</w:t>
      </w:r>
      <w:r>
        <w:rPr>
          <w:rFonts w:hint="eastAsia" w:ascii="仿宋_GB2312" w:eastAsia="仿宋_GB2312"/>
          <w:color w:val="auto"/>
          <w:spacing w:val="0"/>
          <w:sz w:val="32"/>
          <w:szCs w:val="32"/>
          <w:highlight w:val="none"/>
          <w:lang w:eastAsia="zh-CN"/>
        </w:rPr>
        <w:t>万元。</w:t>
      </w:r>
    </w:p>
    <w:p w14:paraId="5BC680C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方正仿宋_GBK" w:cs="Times New Roman"/>
          <w:sz w:val="32"/>
          <w:szCs w:val="32"/>
        </w:rPr>
      </w:pPr>
      <w:r>
        <w:rPr>
          <w:rFonts w:hint="eastAsia" w:ascii="仿宋_GB2312" w:eastAsia="仿宋_GB2312"/>
          <w:color w:val="auto"/>
          <w:spacing w:val="0"/>
          <w:sz w:val="32"/>
          <w:szCs w:val="32"/>
          <w:highlight w:val="none"/>
          <w:lang w:eastAsia="zh-CN"/>
        </w:rPr>
        <w:t>财政拨款收入支出总体与上年相比</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增加483.37万元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增长2.39%,</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pacing w:val="0"/>
          <w:sz w:val="32"/>
          <w:szCs w:val="32"/>
          <w:highlight w:val="none"/>
          <w:lang w:val="en-US" w:eastAsia="zh-CN"/>
        </w:rPr>
        <w:t>较上年</w:t>
      </w:r>
      <w:r>
        <w:rPr>
          <w:rFonts w:hint="default" w:ascii="Times New Roman" w:hAnsi="Times New Roman" w:eastAsia="方正仿宋_GBK" w:cs="Times New Roman"/>
          <w:sz w:val="32"/>
          <w:szCs w:val="32"/>
        </w:rPr>
        <w:t>增加津贴补贴增资、年度考核奖等基本支出费用</w:t>
      </w:r>
      <w:r>
        <w:rPr>
          <w:rFonts w:hint="eastAsia" w:eastAsia="方正仿宋_GBK" w:cs="Times New Roman"/>
          <w:sz w:val="32"/>
          <w:szCs w:val="32"/>
          <w:lang w:val="en-US" w:eastAsia="zh-CN"/>
        </w:rPr>
        <w:t>，</w:t>
      </w:r>
      <w:r>
        <w:rPr>
          <w:rFonts w:hint="default" w:ascii="仿宋_GB2312" w:eastAsia="仿宋_GB2312"/>
          <w:color w:val="auto"/>
          <w:spacing w:val="0"/>
          <w:sz w:val="32"/>
          <w:szCs w:val="32"/>
          <w:highlight w:val="none"/>
          <w:lang w:eastAsia="zh-CN"/>
        </w:rPr>
        <w:t>公路养护</w:t>
      </w:r>
      <w:r>
        <w:rPr>
          <w:rFonts w:hint="default" w:ascii="Times New Roman" w:hAnsi="Times New Roman" w:eastAsia="方正仿宋_GBK" w:cs="Times New Roman"/>
          <w:sz w:val="32"/>
          <w:szCs w:val="32"/>
        </w:rPr>
        <w:t>工程项目</w:t>
      </w:r>
      <w:r>
        <w:rPr>
          <w:rFonts w:hint="eastAsia" w:eastAsia="方正仿宋_GBK" w:cs="Times New Roman"/>
          <w:sz w:val="32"/>
          <w:szCs w:val="32"/>
          <w:lang w:val="en-US" w:eastAsia="zh-CN"/>
        </w:rPr>
        <w:t>预算资金较上年增加</w:t>
      </w:r>
      <w:r>
        <w:rPr>
          <w:rFonts w:hint="default" w:ascii="Times New Roman" w:hAnsi="Times New Roman" w:eastAsia="方正仿宋_GBK" w:cs="Times New Roman"/>
          <w:sz w:val="32"/>
          <w:szCs w:val="32"/>
        </w:rPr>
        <w:t>。</w:t>
      </w:r>
    </w:p>
    <w:p w14:paraId="3E3CFC7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与年初预算相比，年初预算数</w:t>
      </w:r>
      <w:r>
        <w:rPr>
          <w:rFonts w:hint="eastAsia" w:ascii="仿宋_GB2312" w:eastAsia="仿宋_GB2312"/>
          <w:color w:val="auto"/>
          <w:spacing w:val="0"/>
          <w:sz w:val="32"/>
          <w:szCs w:val="32"/>
          <w:highlight w:val="none"/>
          <w:lang w:val="zh-CN" w:eastAsia="zh-CN"/>
        </w:rPr>
        <w:t>19,208.16</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20,685.40</w:t>
      </w:r>
      <w:r>
        <w:rPr>
          <w:rFonts w:hint="eastAsia" w:ascii="仿宋_GB2312" w:eastAsia="仿宋_GB2312"/>
          <w:color w:val="auto"/>
          <w:spacing w:val="0"/>
          <w:sz w:val="32"/>
          <w:szCs w:val="32"/>
          <w:highlight w:val="none"/>
          <w:lang w:eastAsia="zh-CN"/>
        </w:rPr>
        <w:t>万元，预决算差异率7.69%，主要原因是：</w:t>
      </w:r>
      <w:r>
        <w:rPr>
          <w:rFonts w:hint="default" w:ascii="Times New Roman" w:hAnsi="Times New Roman" w:eastAsia="方正仿宋_GBK" w:cs="Times New Roman"/>
          <w:sz w:val="32"/>
          <w:szCs w:val="32"/>
        </w:rPr>
        <w:t>年</w:t>
      </w:r>
      <w:r>
        <w:rPr>
          <w:rFonts w:hint="eastAsia" w:eastAsia="方正仿宋_GBK" w:cs="Times New Roman"/>
          <w:sz w:val="32"/>
          <w:szCs w:val="32"/>
          <w:lang w:val="en-US" w:eastAsia="zh-CN"/>
        </w:rPr>
        <w:t>中</w:t>
      </w:r>
      <w:r>
        <w:rPr>
          <w:rFonts w:hint="default" w:ascii="Times New Roman" w:hAnsi="Times New Roman" w:eastAsia="方正仿宋_GBK" w:cs="Times New Roman"/>
          <w:sz w:val="32"/>
          <w:szCs w:val="32"/>
        </w:rPr>
        <w:t>追加预算三项工程项目</w:t>
      </w:r>
      <w:r>
        <w:rPr>
          <w:rFonts w:hint="eastAsia" w:ascii="Times New Roman" w:hAnsi="Times New Roman" w:eastAsia="方正仿宋_GBK" w:cs="Times New Roman"/>
          <w:sz w:val="32"/>
          <w:szCs w:val="32"/>
          <w:lang w:val="en-US" w:eastAsia="zh-CN"/>
        </w:rPr>
        <w:t>、在职职工未统发年终一次性奖金、</w:t>
      </w:r>
      <w:r>
        <w:rPr>
          <w:rFonts w:hint="eastAsia" w:ascii="仿宋_GB2312" w:eastAsia="仿宋_GB2312"/>
          <w:color w:val="auto"/>
          <w:spacing w:val="0"/>
          <w:sz w:val="32"/>
          <w:szCs w:val="32"/>
          <w:highlight w:val="none"/>
          <w:lang w:val="en-US" w:eastAsia="zh-CN"/>
        </w:rPr>
        <w:t xml:space="preserve"> 退休未统发基础绩效奖、2023年度丧葬费、抚恤金、2023年车辆购置税收入补助地方用于公路灾损抢修保通项目、2023年职业年金等预算</w:t>
      </w:r>
      <w:r>
        <w:rPr>
          <w:rFonts w:hint="eastAsia" w:ascii="仿宋_GB2312" w:eastAsia="仿宋_GB2312"/>
          <w:color w:val="auto"/>
          <w:spacing w:val="0"/>
          <w:sz w:val="32"/>
          <w:szCs w:val="32"/>
          <w:highlight w:val="none"/>
          <w:lang w:eastAsia="zh-CN"/>
        </w:rPr>
        <w:t>。</w:t>
      </w:r>
    </w:p>
    <w:p w14:paraId="44EC0C1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6" w:name="_Toc13833"/>
      <w:bookmarkStart w:id="17"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14:paraId="2B4C3D1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14:paraId="39D5446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2023年度一般公共预算财政拨款支出20,651.65万元，占本年支出合计的</w:t>
      </w:r>
      <w:r>
        <w:rPr>
          <w:rFonts w:hint="eastAsia" w:ascii="仿宋_GB2312" w:eastAsia="仿宋_GB2312"/>
          <w:color w:val="auto"/>
          <w:spacing w:val="0"/>
          <w:sz w:val="32"/>
          <w:szCs w:val="32"/>
          <w:highlight w:val="none"/>
          <w:lang w:val="zh-CN" w:eastAsia="zh-CN"/>
        </w:rPr>
        <w:t>99.44%</w:t>
      </w:r>
      <w:r>
        <w:rPr>
          <w:rFonts w:hint="eastAsia" w:ascii="仿宋_GB2312" w:eastAsia="仿宋_GB2312"/>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增加449.61万元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增长2.23%,</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pacing w:val="0"/>
          <w:sz w:val="32"/>
          <w:szCs w:val="32"/>
          <w:highlight w:val="none"/>
          <w:lang w:val="en-US" w:eastAsia="zh-CN"/>
        </w:rPr>
        <w:t>较上年</w:t>
      </w:r>
      <w:r>
        <w:rPr>
          <w:rFonts w:hint="default" w:ascii="Times New Roman" w:hAnsi="Times New Roman" w:eastAsia="方正仿宋_GBK" w:cs="Times New Roman"/>
          <w:sz w:val="32"/>
          <w:szCs w:val="32"/>
        </w:rPr>
        <w:t>增加津贴补贴增资、年度考核奖等基本支出费用</w:t>
      </w:r>
      <w:r>
        <w:rPr>
          <w:rFonts w:hint="eastAsia" w:eastAsia="方正仿宋_GBK" w:cs="Times New Roman"/>
          <w:sz w:val="32"/>
          <w:szCs w:val="32"/>
          <w:lang w:val="en-US" w:eastAsia="zh-CN"/>
        </w:rPr>
        <w:t>，</w:t>
      </w:r>
      <w:r>
        <w:rPr>
          <w:rFonts w:hint="default" w:ascii="仿宋_GB2312" w:eastAsia="仿宋_GB2312"/>
          <w:color w:val="auto"/>
          <w:spacing w:val="0"/>
          <w:sz w:val="32"/>
          <w:szCs w:val="32"/>
          <w:highlight w:val="none"/>
          <w:lang w:eastAsia="zh-CN"/>
        </w:rPr>
        <w:t>公路养护</w:t>
      </w:r>
      <w:r>
        <w:rPr>
          <w:rFonts w:hint="default" w:ascii="Times New Roman" w:hAnsi="Times New Roman" w:eastAsia="方正仿宋_GBK" w:cs="Times New Roman"/>
          <w:sz w:val="32"/>
          <w:szCs w:val="32"/>
        </w:rPr>
        <w:t>工程项目</w:t>
      </w:r>
      <w:r>
        <w:rPr>
          <w:rFonts w:hint="eastAsia" w:eastAsia="方正仿宋_GBK" w:cs="Times New Roman"/>
          <w:sz w:val="32"/>
          <w:szCs w:val="32"/>
          <w:lang w:val="en-US" w:eastAsia="zh-CN"/>
        </w:rPr>
        <w:t>预算资金较上年增加</w:t>
      </w:r>
      <w:r>
        <w:rPr>
          <w:rFonts w:hint="default" w:ascii="Times New Roman" w:hAnsi="Times New Roman" w:eastAsia="方正仿宋_GBK" w:cs="Times New Roman"/>
          <w:sz w:val="32"/>
          <w:szCs w:val="32"/>
        </w:rPr>
        <w:t>。</w:t>
      </w:r>
      <w:r>
        <w:rPr>
          <w:rFonts w:hint="eastAsia" w:ascii="仿宋_GB2312" w:eastAsia="仿宋_GB2312"/>
          <w:color w:val="auto"/>
          <w:spacing w:val="0"/>
          <w:sz w:val="32"/>
          <w:szCs w:val="32"/>
          <w:highlight w:val="none"/>
          <w:lang w:eastAsia="zh-CN"/>
        </w:rPr>
        <w:t>与年初预算相比，年初预算数</w:t>
      </w:r>
      <w:r>
        <w:rPr>
          <w:rFonts w:hint="eastAsia" w:ascii="仿宋_GB2312" w:eastAsia="仿宋_GB2312"/>
          <w:color w:val="auto"/>
          <w:spacing w:val="0"/>
          <w:sz w:val="32"/>
          <w:szCs w:val="32"/>
          <w:highlight w:val="none"/>
          <w:lang w:val="zh-CN" w:eastAsia="zh-CN"/>
        </w:rPr>
        <w:t>19,208.16</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20,651.65</w:t>
      </w:r>
      <w:r>
        <w:rPr>
          <w:rFonts w:hint="eastAsia" w:ascii="仿宋_GB2312" w:eastAsia="仿宋_GB2312"/>
          <w:color w:val="auto"/>
          <w:spacing w:val="0"/>
          <w:sz w:val="32"/>
          <w:szCs w:val="32"/>
          <w:highlight w:val="none"/>
          <w:lang w:eastAsia="zh-CN"/>
        </w:rPr>
        <w:t>万元，预决算差异率</w:t>
      </w:r>
      <w:r>
        <w:rPr>
          <w:rFonts w:hint="eastAsia" w:ascii="仿宋_GB2312" w:eastAsia="仿宋_GB2312"/>
          <w:color w:val="auto"/>
          <w:spacing w:val="0"/>
          <w:sz w:val="32"/>
          <w:szCs w:val="32"/>
          <w:highlight w:val="none"/>
          <w:lang w:val="zh-CN" w:eastAsia="zh-CN"/>
        </w:rPr>
        <w:t>7.51%</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pacing w:val="0"/>
          <w:sz w:val="32"/>
          <w:szCs w:val="32"/>
          <w:highlight w:val="none"/>
          <w:lang w:val="zh-CN" w:eastAsia="zh-CN"/>
        </w:rPr>
        <w:t>：</w:t>
      </w:r>
      <w:r>
        <w:rPr>
          <w:rFonts w:hint="default" w:ascii="Times New Roman" w:hAnsi="Times New Roman" w:eastAsia="方正仿宋_GBK" w:cs="Times New Roman"/>
          <w:sz w:val="32"/>
          <w:szCs w:val="32"/>
        </w:rPr>
        <w:t>年</w:t>
      </w:r>
      <w:r>
        <w:rPr>
          <w:rFonts w:hint="eastAsia" w:eastAsia="方正仿宋_GBK" w:cs="Times New Roman"/>
          <w:sz w:val="32"/>
          <w:szCs w:val="32"/>
          <w:lang w:val="en-US" w:eastAsia="zh-CN"/>
        </w:rPr>
        <w:t>中</w:t>
      </w:r>
      <w:r>
        <w:rPr>
          <w:rFonts w:hint="default" w:ascii="Times New Roman" w:hAnsi="Times New Roman" w:eastAsia="方正仿宋_GBK" w:cs="Times New Roman"/>
          <w:sz w:val="32"/>
          <w:szCs w:val="32"/>
        </w:rPr>
        <w:t>追加预算三项工程项目</w:t>
      </w:r>
      <w:r>
        <w:rPr>
          <w:rFonts w:hint="eastAsia" w:ascii="Times New Roman" w:hAnsi="Times New Roman" w:eastAsia="方正仿宋_GBK" w:cs="Times New Roman"/>
          <w:sz w:val="32"/>
          <w:szCs w:val="32"/>
          <w:lang w:val="en-US" w:eastAsia="zh-CN"/>
        </w:rPr>
        <w:t>、在职职工未统发年终一次性奖金、</w:t>
      </w:r>
      <w:r>
        <w:rPr>
          <w:rFonts w:hint="eastAsia" w:ascii="仿宋_GB2312" w:eastAsia="仿宋_GB2312"/>
          <w:color w:val="auto"/>
          <w:spacing w:val="0"/>
          <w:sz w:val="32"/>
          <w:szCs w:val="32"/>
          <w:highlight w:val="none"/>
          <w:lang w:val="en-US" w:eastAsia="zh-CN"/>
        </w:rPr>
        <w:t xml:space="preserve"> 退休未统发基础绩效奖、2023年度丧葬费、抚恤金、2023年车辆购置税收入补助地方用于公路灾损抢修保通项目、2023年职业年金等预算</w:t>
      </w:r>
      <w:r>
        <w:rPr>
          <w:rFonts w:hint="eastAsia" w:ascii="仿宋_GB2312" w:eastAsia="仿宋_GB2312"/>
          <w:color w:val="auto"/>
          <w:spacing w:val="0"/>
          <w:sz w:val="32"/>
          <w:szCs w:val="32"/>
          <w:highlight w:val="none"/>
          <w:lang w:eastAsia="zh-CN"/>
        </w:rPr>
        <w:t>。</w:t>
      </w:r>
    </w:p>
    <w:p w14:paraId="0370EC1D">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14:paraId="7DAB1D8D">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1</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社会保障和就业支出（类）</w:t>
      </w:r>
      <w:r>
        <w:rPr>
          <w:rFonts w:hint="eastAsia" w:ascii="仿宋_GB2312" w:hAnsi="Times New Roman" w:eastAsia="仿宋_GB2312" w:cs="Times New Roman"/>
          <w:color w:val="auto"/>
          <w:spacing w:val="0"/>
          <w:kern w:val="2"/>
          <w:sz w:val="32"/>
          <w:szCs w:val="32"/>
          <w:highlight w:val="none"/>
          <w:lang w:val="zh-CN" w:eastAsia="zh-CN" w:bidi="ar-SA"/>
        </w:rPr>
        <w:t>2,349.76</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11.38</w:t>
      </w:r>
      <w:r>
        <w:rPr>
          <w:rFonts w:hint="default" w:ascii="仿宋_GB2312" w:hAnsi="Times New Roman" w:eastAsia="仿宋_GB2312" w:cs="Times New Roman"/>
          <w:color w:val="auto"/>
          <w:spacing w:val="0"/>
          <w:kern w:val="2"/>
          <w:sz w:val="32"/>
          <w:szCs w:val="32"/>
          <w:highlight w:val="none"/>
          <w:lang w:val="zh-CN" w:eastAsia="zh-CN" w:bidi="ar-SA"/>
        </w:rPr>
        <w:t>%；</w:t>
      </w:r>
    </w:p>
    <w:p w14:paraId="4162B1B8">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2</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卫生健康支出（类）</w:t>
      </w:r>
      <w:r>
        <w:rPr>
          <w:rFonts w:hint="eastAsia" w:ascii="仿宋_GB2312" w:hAnsi="Times New Roman" w:eastAsia="仿宋_GB2312" w:cs="Times New Roman"/>
          <w:color w:val="auto"/>
          <w:spacing w:val="0"/>
          <w:kern w:val="2"/>
          <w:sz w:val="32"/>
          <w:szCs w:val="32"/>
          <w:highlight w:val="none"/>
          <w:lang w:val="zh-CN" w:eastAsia="zh-CN" w:bidi="ar-SA"/>
        </w:rPr>
        <w:t>607.76</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2.94</w:t>
      </w:r>
      <w:r>
        <w:rPr>
          <w:rFonts w:hint="default" w:ascii="仿宋_GB2312" w:hAnsi="Times New Roman" w:eastAsia="仿宋_GB2312" w:cs="Times New Roman"/>
          <w:color w:val="auto"/>
          <w:spacing w:val="0"/>
          <w:kern w:val="2"/>
          <w:sz w:val="32"/>
          <w:szCs w:val="32"/>
          <w:highlight w:val="none"/>
          <w:lang w:val="zh-CN" w:eastAsia="zh-CN" w:bidi="ar-SA"/>
        </w:rPr>
        <w:t>%；</w:t>
      </w:r>
    </w:p>
    <w:p w14:paraId="0E55D997">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3</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交通运输支出（类）</w:t>
      </w:r>
      <w:r>
        <w:rPr>
          <w:rFonts w:hint="eastAsia" w:ascii="仿宋_GB2312" w:hAnsi="Times New Roman" w:eastAsia="仿宋_GB2312" w:cs="Times New Roman"/>
          <w:color w:val="auto"/>
          <w:spacing w:val="0"/>
          <w:kern w:val="2"/>
          <w:sz w:val="32"/>
          <w:szCs w:val="32"/>
          <w:highlight w:val="none"/>
          <w:lang w:val="zh-CN" w:eastAsia="zh-CN" w:bidi="ar-SA"/>
        </w:rPr>
        <w:t>16,983.91</w:t>
      </w:r>
      <w:r>
        <w:rPr>
          <w:rFonts w:hint="default" w:ascii="仿宋_GB2312" w:hAnsi="Times New Roman" w:eastAsia="仿宋_GB2312" w:cs="Times New Roman"/>
          <w:color w:val="auto"/>
          <w:spacing w:val="0"/>
          <w:kern w:val="2"/>
          <w:sz w:val="32"/>
          <w:szCs w:val="32"/>
          <w:highlight w:val="none"/>
          <w:lang w:val="zh-CN" w:eastAsia="zh-CN" w:bidi="ar-SA"/>
        </w:rPr>
        <w:t xml:space="preserve">万元，占 </w:t>
      </w:r>
      <w:r>
        <w:rPr>
          <w:rFonts w:hint="eastAsia" w:ascii="仿宋_GB2312" w:hAnsi="Times New Roman" w:eastAsia="仿宋_GB2312" w:cs="Times New Roman"/>
          <w:color w:val="auto"/>
          <w:spacing w:val="0"/>
          <w:kern w:val="2"/>
          <w:sz w:val="32"/>
          <w:szCs w:val="32"/>
          <w:highlight w:val="none"/>
          <w:lang w:val="zh-CN" w:eastAsia="zh-CN" w:bidi="ar-SA"/>
        </w:rPr>
        <w:t>82.24</w:t>
      </w:r>
      <w:r>
        <w:rPr>
          <w:rFonts w:hint="default" w:ascii="仿宋_GB2312" w:hAnsi="Times New Roman" w:eastAsia="仿宋_GB2312" w:cs="Times New Roman"/>
          <w:color w:val="auto"/>
          <w:spacing w:val="0"/>
          <w:kern w:val="2"/>
          <w:sz w:val="32"/>
          <w:szCs w:val="32"/>
          <w:highlight w:val="none"/>
          <w:lang w:val="zh-CN" w:eastAsia="zh-CN" w:bidi="ar-SA"/>
        </w:rPr>
        <w:t>%；</w:t>
      </w:r>
    </w:p>
    <w:p w14:paraId="2BA97115">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4</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住房保障支出（类）</w:t>
      </w:r>
      <w:r>
        <w:rPr>
          <w:rFonts w:hint="eastAsia" w:ascii="仿宋_GB2312" w:hAnsi="Times New Roman" w:eastAsia="仿宋_GB2312" w:cs="Times New Roman"/>
          <w:color w:val="auto"/>
          <w:spacing w:val="0"/>
          <w:kern w:val="2"/>
          <w:sz w:val="32"/>
          <w:szCs w:val="32"/>
          <w:highlight w:val="none"/>
          <w:lang w:val="zh-CN" w:eastAsia="zh-CN" w:bidi="ar-SA"/>
        </w:rPr>
        <w:t>710.21</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3.44</w:t>
      </w:r>
      <w:r>
        <w:rPr>
          <w:rFonts w:hint="default" w:ascii="仿宋_GB2312" w:hAnsi="Times New Roman" w:eastAsia="仿宋_GB2312" w:cs="Times New Roman"/>
          <w:color w:val="auto"/>
          <w:spacing w:val="0"/>
          <w:kern w:val="2"/>
          <w:sz w:val="32"/>
          <w:szCs w:val="32"/>
          <w:highlight w:val="none"/>
          <w:lang w:val="zh-CN" w:eastAsia="zh-CN" w:bidi="ar-SA"/>
        </w:rPr>
        <w:t>%</w:t>
      </w:r>
      <w:r>
        <w:rPr>
          <w:rFonts w:hint="eastAsia" w:ascii="仿宋_GB2312" w:eastAsia="仿宋_GB2312" w:cs="Times New Roman"/>
          <w:color w:val="auto"/>
          <w:spacing w:val="0"/>
          <w:kern w:val="2"/>
          <w:sz w:val="32"/>
          <w:szCs w:val="32"/>
          <w:highlight w:val="none"/>
          <w:lang w:val="zh-CN" w:eastAsia="zh-CN" w:bidi="ar-SA"/>
        </w:rPr>
        <w:t>。</w:t>
      </w:r>
    </w:p>
    <w:p w14:paraId="3574266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14:paraId="0DDBB261">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1.卫生健康支出（类）行政事业单位医疗（款）事业单位医疗（项）:支出决算数为372.63</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46.03</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14.09%，主要原因是：</w:t>
      </w:r>
      <w:r>
        <w:rPr>
          <w:rFonts w:hint="default" w:ascii="Times New Roman" w:hAnsi="Times New Roman" w:eastAsia="方正仿宋_GBK" w:cs="Times New Roman"/>
          <w:sz w:val="32"/>
          <w:szCs w:val="32"/>
        </w:rPr>
        <w:t>202</w:t>
      </w:r>
      <w:r>
        <w:rPr>
          <w:rFonts w:hint="eastAsia" w:ascii="Times New Roman" w:hAnsi="Times New Roman" w:eastAsia="方正仿宋_GBK" w:cs="Times New Roman"/>
          <w:sz w:val="32"/>
          <w:szCs w:val="32"/>
          <w:lang w:val="en-US" w:eastAsia="zh-CN"/>
        </w:rPr>
        <w:t>3</w:t>
      </w:r>
      <w:r>
        <w:rPr>
          <w:rFonts w:hint="default" w:ascii="Times New Roman" w:hAnsi="Times New Roman" w:eastAsia="方正仿宋_GBK" w:cs="Times New Roman"/>
          <w:sz w:val="32"/>
          <w:szCs w:val="32"/>
        </w:rPr>
        <w:t>年增加基础性绩效、调增基本工资导致社保缴费基数增加。</w:t>
      </w:r>
    </w:p>
    <w:p w14:paraId="19CFE8BC">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2.卫生健康支出（类）行政事业单位医疗（款）公务员医疗补助（项）:支出决算数为235.12</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96.68</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29.14%，主要原因是：</w:t>
      </w:r>
      <w:r>
        <w:rPr>
          <w:rFonts w:hint="default" w:ascii="Times New Roman" w:hAnsi="Times New Roman" w:eastAsia="方正仿宋_GBK" w:cs="Times New Roman"/>
          <w:sz w:val="32"/>
          <w:szCs w:val="32"/>
        </w:rPr>
        <w:t>我单位人员较上年减少,</w:t>
      </w:r>
      <w:r>
        <w:rPr>
          <w:rFonts w:hint="eastAsia" w:eastAsia="方正仿宋_GBK" w:cs="Times New Roman"/>
          <w:sz w:val="32"/>
          <w:szCs w:val="32"/>
          <w:lang w:val="en-US" w:eastAsia="zh-CN"/>
        </w:rPr>
        <w:t>公务员医疗补助</w:t>
      </w:r>
      <w:r>
        <w:rPr>
          <w:rFonts w:hint="default" w:ascii="Times New Roman" w:hAnsi="Times New Roman" w:eastAsia="方正仿宋_GBK" w:cs="Times New Roman"/>
          <w:sz w:val="32"/>
          <w:szCs w:val="32"/>
        </w:rPr>
        <w:t>支出降低。</w:t>
      </w:r>
    </w:p>
    <w:p w14:paraId="4BC839D8">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仿宋_GB2312" w:cs="Times New Roman"/>
          <w:color w:val="auto"/>
          <w:kern w:val="2"/>
          <w:sz w:val="32"/>
          <w:szCs w:val="32"/>
          <w:highlight w:val="none"/>
          <w:lang w:val="en-US" w:eastAsia="zh-CN" w:bidi="ar-SA"/>
        </w:rPr>
        <w:t>3.交通运输支出（类）公路水路运输（款）公路养护（项）:支出决算数为16,668.91</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351.23</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2.15%，主要原因是：</w:t>
      </w:r>
      <w:r>
        <w:rPr>
          <w:rFonts w:hint="default" w:ascii="Times New Roman" w:hAnsi="Times New Roman" w:eastAsia="方正仿宋_GBK" w:cs="Times New Roman"/>
          <w:sz w:val="32"/>
          <w:szCs w:val="32"/>
        </w:rPr>
        <w:t>202</w:t>
      </w:r>
      <w:r>
        <w:rPr>
          <w:rFonts w:hint="eastAsia" w:ascii="Times New Roman" w:hAnsi="Times New Roman" w:eastAsia="方正仿宋_GBK" w:cs="Times New Roman"/>
          <w:sz w:val="32"/>
          <w:szCs w:val="32"/>
          <w:lang w:val="en-US" w:eastAsia="zh-CN"/>
        </w:rPr>
        <w:t>3</w:t>
      </w:r>
      <w:r>
        <w:rPr>
          <w:rFonts w:hint="default" w:ascii="Times New Roman" w:hAnsi="Times New Roman" w:eastAsia="方正仿宋_GBK" w:cs="Times New Roman"/>
          <w:sz w:val="32"/>
          <w:szCs w:val="32"/>
        </w:rPr>
        <w:t>年增加基础性绩效、调增基本工资导致社保缴费基数增加。</w:t>
      </w:r>
    </w:p>
    <w:p w14:paraId="2852BC28">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4.交通运输支出（类）车辆购置税支出（款）车辆购置税用于公路等基础设施建设支出（项）:支出决算数为315.00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315.00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100%，主要原因是：</w:t>
      </w:r>
      <w:r>
        <w:rPr>
          <w:rFonts w:hint="eastAsia" w:eastAsia="仿宋_GB2312" w:cs="Times New Roman"/>
          <w:color w:val="auto"/>
          <w:kern w:val="2"/>
          <w:sz w:val="32"/>
          <w:szCs w:val="32"/>
          <w:highlight w:val="none"/>
          <w:lang w:val="en-US" w:eastAsia="zh-CN" w:bidi="ar-SA"/>
        </w:rPr>
        <w:t>2023年增加三项工程项目、2023年车辆购置税收入补助地方用于公路灾损抢修保通项目。</w:t>
      </w:r>
    </w:p>
    <w:p w14:paraId="4BE02042">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5.住房保障支出（类）住房改革支出（款）住房公积金（项）:支出决算数为710.21</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14.68</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2.11%，主要原因是</w:t>
      </w:r>
      <w:r>
        <w:rPr>
          <w:rFonts w:hint="default" w:ascii="Times New Roman" w:hAnsi="Times New Roman" w:eastAsia="方正仿宋_GBK" w:cs="Times New Roman"/>
          <w:sz w:val="32"/>
          <w:szCs w:val="32"/>
        </w:rPr>
        <w:t>202</w:t>
      </w:r>
      <w:r>
        <w:rPr>
          <w:rFonts w:hint="eastAsia" w:ascii="Times New Roman" w:hAnsi="Times New Roman" w:eastAsia="方正仿宋_GBK" w:cs="Times New Roman"/>
          <w:sz w:val="32"/>
          <w:szCs w:val="32"/>
          <w:lang w:val="en-US" w:eastAsia="zh-CN"/>
        </w:rPr>
        <w:t>3</w:t>
      </w:r>
      <w:r>
        <w:rPr>
          <w:rFonts w:hint="default" w:ascii="Times New Roman" w:hAnsi="Times New Roman" w:eastAsia="方正仿宋_GBK" w:cs="Times New Roman"/>
          <w:sz w:val="32"/>
          <w:szCs w:val="32"/>
        </w:rPr>
        <w:t>年增加基础性绩效、调增基本工资导致住房公积金缴费基数增加。</w:t>
      </w:r>
    </w:p>
    <w:p w14:paraId="7C84D950">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6.社会保障和就业支出（类）行政事业单位养老支出（款）事业单位离退休（项）:支出决算数为1,440.31</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321.82</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18.26%，主要原因是：</w:t>
      </w:r>
      <w:r>
        <w:rPr>
          <w:rFonts w:hint="default" w:ascii="Times New Roman" w:hAnsi="Times New Roman" w:eastAsia="方正仿宋_GBK" w:cs="Times New Roman"/>
          <w:sz w:val="32"/>
          <w:szCs w:val="32"/>
        </w:rPr>
        <w:t>我单位人员较上年减少,</w:t>
      </w:r>
      <w:r>
        <w:rPr>
          <w:rFonts w:hint="eastAsia" w:ascii="Times New Roman" w:hAnsi="Times New Roman" w:eastAsia="仿宋_GB2312" w:cs="Times New Roman"/>
          <w:color w:val="auto"/>
          <w:kern w:val="2"/>
          <w:sz w:val="32"/>
          <w:szCs w:val="32"/>
          <w:highlight w:val="none"/>
          <w:lang w:val="en-US" w:eastAsia="zh-CN" w:bidi="ar-SA"/>
        </w:rPr>
        <w:t>事业单位离退休</w:t>
      </w:r>
      <w:r>
        <w:rPr>
          <w:rFonts w:hint="default" w:ascii="Times New Roman" w:hAnsi="Times New Roman" w:eastAsia="方正仿宋_GBK" w:cs="Times New Roman"/>
          <w:sz w:val="32"/>
          <w:szCs w:val="32"/>
        </w:rPr>
        <w:t>支出降低。</w:t>
      </w:r>
    </w:p>
    <w:p w14:paraId="3ED47F92">
      <w:pPr>
        <w:ind w:firstLine="640" w:firstLineChars="200"/>
        <w:outlineLvl w:val="1"/>
        <w:rPr>
          <w:rFonts w:hint="default" w:ascii="Times New Roman" w:hAnsi="Times New Roman" w:eastAsia="方正仿宋_GBK" w:cs="Times New Roman"/>
          <w:bCs/>
          <w:kern w:val="0"/>
          <w:sz w:val="32"/>
          <w:szCs w:val="32"/>
        </w:rPr>
      </w:pPr>
      <w:r>
        <w:rPr>
          <w:rFonts w:hint="eastAsia" w:ascii="Times New Roman" w:hAnsi="Times New Roman" w:eastAsia="仿宋_GB2312" w:cs="Times New Roman"/>
          <w:color w:val="auto"/>
          <w:kern w:val="2"/>
          <w:sz w:val="32"/>
          <w:szCs w:val="32"/>
          <w:highlight w:val="none"/>
          <w:lang w:val="en-US" w:eastAsia="zh-CN" w:bidi="ar-SA"/>
        </w:rPr>
        <w:t>7.社会保障和就业支出（类）行政事业单位养老支出（款）机关事业单位职业年金缴费支出（项）:支出决算数为88.12</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40.49</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85.01%，主要原因是：</w:t>
      </w:r>
      <w:r>
        <w:rPr>
          <w:rFonts w:hint="default" w:ascii="Times New Roman" w:hAnsi="Times New Roman" w:eastAsia="方正仿宋_GBK" w:cs="Times New Roman"/>
          <w:sz w:val="32"/>
          <w:szCs w:val="32"/>
        </w:rPr>
        <w:t>202</w:t>
      </w:r>
      <w:r>
        <w:rPr>
          <w:rFonts w:hint="eastAsia" w:ascii="Times New Roman" w:hAnsi="Times New Roman" w:eastAsia="方正仿宋_GBK" w:cs="Times New Roman"/>
          <w:sz w:val="32"/>
          <w:szCs w:val="32"/>
          <w:lang w:val="en-US" w:eastAsia="zh-CN"/>
        </w:rPr>
        <w:t>3</w:t>
      </w:r>
      <w:r>
        <w:rPr>
          <w:rFonts w:hint="default" w:ascii="Times New Roman" w:hAnsi="Times New Roman" w:eastAsia="方正仿宋_GBK" w:cs="Times New Roman"/>
          <w:sz w:val="32"/>
          <w:szCs w:val="32"/>
        </w:rPr>
        <w:t>年增加基础性绩效、调增基本工资导致机关事业单位职业年金缴费基数增加。</w:t>
      </w:r>
    </w:p>
    <w:p w14:paraId="4626A475">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8.社会保障和就业支出（类）行政事业单位养老支出（款）机关事业单位基本养老保险缴费支出（项）:支出决算数为821.34</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100.67</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13.97%，主要原因是</w:t>
      </w:r>
      <w:r>
        <w:rPr>
          <w:rFonts w:hint="default" w:ascii="Times New Roman" w:hAnsi="Times New Roman" w:eastAsia="方正仿宋_GBK" w:cs="Times New Roman"/>
          <w:sz w:val="32"/>
          <w:szCs w:val="32"/>
        </w:rPr>
        <w:t>202</w:t>
      </w:r>
      <w:r>
        <w:rPr>
          <w:rFonts w:hint="eastAsia" w:ascii="Times New Roman" w:hAnsi="Times New Roman" w:eastAsia="方正仿宋_GBK" w:cs="Times New Roman"/>
          <w:sz w:val="32"/>
          <w:szCs w:val="32"/>
          <w:lang w:val="en-US" w:eastAsia="zh-CN"/>
        </w:rPr>
        <w:t>3</w:t>
      </w:r>
      <w:r>
        <w:rPr>
          <w:rFonts w:hint="default" w:ascii="Times New Roman" w:hAnsi="Times New Roman" w:eastAsia="方正仿宋_GBK" w:cs="Times New Roman"/>
          <w:sz w:val="32"/>
          <w:szCs w:val="32"/>
        </w:rPr>
        <w:t>年增加基础性绩效、调增基本工资导致</w:t>
      </w:r>
      <w:r>
        <w:rPr>
          <w:rFonts w:hint="eastAsia" w:ascii="Times New Roman" w:hAnsi="Times New Roman" w:eastAsia="仿宋_GB2312" w:cs="Times New Roman"/>
          <w:color w:val="auto"/>
          <w:kern w:val="2"/>
          <w:sz w:val="32"/>
          <w:szCs w:val="32"/>
          <w:highlight w:val="none"/>
          <w:lang w:val="en-US" w:eastAsia="zh-CN" w:bidi="ar-SA"/>
        </w:rPr>
        <w:t>机关事业单位基本养老保险缴费支出</w:t>
      </w:r>
      <w:r>
        <w:rPr>
          <w:rFonts w:hint="eastAsia" w:eastAsia="仿宋_GB2312" w:cs="Times New Roman"/>
          <w:color w:val="auto"/>
          <w:kern w:val="2"/>
          <w:sz w:val="32"/>
          <w:szCs w:val="32"/>
          <w:highlight w:val="none"/>
          <w:lang w:val="en-US" w:eastAsia="zh-CN" w:bidi="ar-SA"/>
        </w:rPr>
        <w:t>。</w:t>
      </w:r>
    </w:p>
    <w:p w14:paraId="50D3F22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14:paraId="4CD0135B">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eastAsia="zh-CN"/>
        </w:rPr>
        <w:t>15,017.53</w:t>
      </w:r>
      <w:r>
        <w:rPr>
          <w:rFonts w:hint="eastAsia" w:ascii="仿宋_GB2312" w:eastAsia="仿宋_GB2312"/>
          <w:color w:val="auto"/>
          <w:sz w:val="32"/>
          <w:szCs w:val="32"/>
          <w:highlight w:val="none"/>
        </w:rPr>
        <w:t>万元，其中：人员经费</w:t>
      </w:r>
      <w:r>
        <w:rPr>
          <w:rFonts w:hint="eastAsia" w:ascii="仿宋_GB2312" w:eastAsia="仿宋_GB2312"/>
          <w:color w:val="auto"/>
          <w:sz w:val="32"/>
          <w:szCs w:val="32"/>
          <w:highlight w:val="none"/>
          <w:lang w:eastAsia="zh-CN"/>
        </w:rPr>
        <w:t>14,132.27</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基本工资、津贴补贴、奖金、绩效工资、机关事业单位基本养老保险缴费、职业年金缴费、职工基本医疗保险缴费、公务员医疗补助缴费、其他社会保障缴费、住房公积金、其他工资福利支出、离休费、退休费、抚恤金、生活补助、医疗费补助、其他对个人和家庭的补助。</w:t>
      </w:r>
    </w:p>
    <w:p w14:paraId="38705872">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仿宋_GB2312" w:eastAsia="仿宋_GB2312"/>
          <w:color w:val="auto"/>
          <w:sz w:val="32"/>
          <w:szCs w:val="32"/>
          <w:highlight w:val="red"/>
          <w:lang w:val="en-US" w:eastAsia="zh-CN"/>
        </w:rPr>
      </w:pPr>
      <w:r>
        <w:rPr>
          <w:rFonts w:hint="eastAsia" w:ascii="仿宋_GB2312" w:eastAsia="仿宋_GB2312"/>
          <w:color w:val="auto"/>
          <w:sz w:val="32"/>
          <w:szCs w:val="32"/>
          <w:highlight w:val="none"/>
        </w:rPr>
        <w:t>公用经费</w:t>
      </w:r>
      <w:r>
        <w:rPr>
          <w:rFonts w:hint="eastAsia" w:ascii="仿宋_GB2312" w:eastAsia="仿宋_GB2312"/>
          <w:color w:val="auto"/>
          <w:sz w:val="32"/>
          <w:szCs w:val="32"/>
          <w:highlight w:val="none"/>
          <w:lang w:eastAsia="zh-CN"/>
        </w:rPr>
        <w:t>885.25</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办公费、水费、电费、邮电费、取暖费、差旅费、工会经费、福利费、公务用车运行维护费、其他交通费用、其他商品和服务支出。</w:t>
      </w:r>
    </w:p>
    <w:p w14:paraId="5F69907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14:paraId="319032C5">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Times New Roman" w:hAnsi="Times New Roman" w:eastAsia="方正仿宋_GBK" w:cs="Times New Roman"/>
          <w:sz w:val="32"/>
          <w:szCs w:val="32"/>
        </w:rPr>
      </w:pPr>
      <w:r>
        <w:rPr>
          <w:rFonts w:hint="eastAsia" w:ascii="仿宋_GB2312" w:eastAsia="仿宋_GB2312"/>
          <w:color w:val="auto"/>
          <w:sz w:val="32"/>
          <w:szCs w:val="32"/>
          <w:highlight w:val="none"/>
          <w:lang w:val="zh-CN" w:eastAsia="zh-CN"/>
        </w:rPr>
        <w:t>2023年度</w:t>
      </w:r>
      <w:r>
        <w:rPr>
          <w:rFonts w:hint="eastAsia" w:ascii="仿宋_GB2312" w:eastAsia="仿宋_GB2312"/>
          <w:color w:val="auto"/>
          <w:sz w:val="32"/>
          <w:szCs w:val="32"/>
          <w:highlight w:val="none"/>
          <w:lang w:val="en-US" w:eastAsia="zh-CN"/>
        </w:rPr>
        <w:t>财政拨款</w:t>
      </w:r>
      <w:r>
        <w:rPr>
          <w:rFonts w:hint="eastAsia" w:ascii="仿宋_GB2312" w:eastAsia="仿宋_GB2312"/>
          <w:color w:val="auto"/>
          <w:sz w:val="32"/>
          <w:szCs w:val="32"/>
          <w:highlight w:val="none"/>
          <w:lang w:val="zh-CN" w:eastAsia="zh-CN"/>
        </w:rPr>
        <w:t>“三公”经费支出78.54万元，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减少1.45万元，</w:t>
      </w:r>
      <w:r>
        <w:rPr>
          <w:rFonts w:hint="eastAsia" w:ascii="仿宋_GB2312" w:eastAsia="仿宋_GB2312"/>
          <w:color w:val="auto"/>
          <w:spacing w:val="0"/>
          <w:sz w:val="32"/>
          <w:szCs w:val="32"/>
          <w:highlight w:val="none"/>
          <w:lang w:val="en-US" w:eastAsia="zh-CN"/>
        </w:rPr>
        <w:t>下降1.81%,</w:t>
      </w:r>
      <w:r>
        <w:rPr>
          <w:rFonts w:hint="eastAsia" w:ascii="仿宋_GB2312" w:eastAsia="仿宋_GB2312"/>
          <w:color w:val="auto"/>
          <w:sz w:val="32"/>
          <w:szCs w:val="32"/>
          <w:highlight w:val="none"/>
          <w:lang w:val="zh-CN" w:eastAsia="zh-CN"/>
        </w:rPr>
        <w:t>主要原因是：</w:t>
      </w:r>
      <w:r>
        <w:rPr>
          <w:rFonts w:hint="default" w:ascii="Times New Roman" w:hAnsi="Times New Roman" w:eastAsia="方正仿宋_GBK" w:cs="Times New Roman"/>
          <w:sz w:val="32"/>
          <w:szCs w:val="32"/>
        </w:rPr>
        <w:t>本年根据要求压减“三公”经费。</w:t>
      </w:r>
      <w:r>
        <w:rPr>
          <w:rFonts w:hint="eastAsia" w:ascii="仿宋_GB2312" w:eastAsia="仿宋_GB2312"/>
          <w:color w:val="auto"/>
          <w:sz w:val="32"/>
          <w:szCs w:val="32"/>
          <w:highlight w:val="none"/>
          <w:lang w:val="zh-CN" w:eastAsia="zh-CN"/>
        </w:rPr>
        <w:t>其中：因公出国（境）费支出0.00万元，占0.00%，比上年增加0.00万元，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hint="default" w:ascii="Times New Roman" w:hAnsi="Times New Roman" w:eastAsia="方正仿宋_GBK" w:cs="Times New Roman"/>
          <w:sz w:val="32"/>
          <w:szCs w:val="32"/>
        </w:rPr>
        <w:t>我单位无因公出国（境）费</w:t>
      </w:r>
      <w:r>
        <w:rPr>
          <w:rFonts w:hint="eastAsia" w:ascii="仿宋_GB2312" w:eastAsia="仿宋_GB2312"/>
          <w:color w:val="auto"/>
          <w:sz w:val="32"/>
          <w:szCs w:val="32"/>
          <w:highlight w:val="none"/>
          <w:lang w:val="zh-CN" w:eastAsia="zh-CN"/>
        </w:rPr>
        <w:t>；公务用车购置及运行维护费支出78.54万元，占100.00%，比上年减少1.45万元，</w:t>
      </w:r>
      <w:r>
        <w:rPr>
          <w:rFonts w:hint="eastAsia" w:ascii="仿宋_GB2312" w:eastAsia="仿宋_GB2312"/>
          <w:color w:val="auto"/>
          <w:spacing w:val="0"/>
          <w:sz w:val="32"/>
          <w:szCs w:val="32"/>
          <w:highlight w:val="none"/>
          <w:lang w:val="en-US" w:eastAsia="zh-CN"/>
        </w:rPr>
        <w:t>下降1.81%,</w:t>
      </w:r>
      <w:r>
        <w:rPr>
          <w:rFonts w:hint="eastAsia" w:ascii="仿宋_GB2312" w:eastAsia="仿宋_GB2312"/>
          <w:color w:val="auto"/>
          <w:sz w:val="32"/>
          <w:szCs w:val="32"/>
          <w:highlight w:val="none"/>
          <w:lang w:val="zh-CN" w:eastAsia="zh-CN"/>
        </w:rPr>
        <w:t>主要原因是：坚持厉行节约，压减一般性支出</w:t>
      </w:r>
      <w:r>
        <w:rPr>
          <w:rFonts w:hint="default" w:ascii="Times New Roman" w:hAnsi="Times New Roman" w:eastAsia="方正仿宋_GBK" w:cs="Times New Roman"/>
          <w:sz w:val="32"/>
          <w:szCs w:val="32"/>
        </w:rPr>
        <w:t>；</w:t>
      </w:r>
      <w:r>
        <w:rPr>
          <w:rFonts w:hint="eastAsia" w:ascii="仿宋_GB2312" w:eastAsia="仿宋_GB2312"/>
          <w:color w:val="auto"/>
          <w:sz w:val="32"/>
          <w:szCs w:val="32"/>
          <w:highlight w:val="none"/>
          <w:lang w:val="zh-CN" w:eastAsia="zh-CN"/>
        </w:rPr>
        <w:t>公务接待费支出0.00万元，占0.00%，比上年增加0.00万元，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hint="default" w:ascii="Times New Roman" w:hAnsi="Times New Roman" w:eastAsia="方正仿宋_GBK" w:cs="Times New Roman"/>
          <w:sz w:val="32"/>
          <w:szCs w:val="32"/>
        </w:rPr>
        <w:t>我单位无公务接待费。</w:t>
      </w:r>
    </w:p>
    <w:p w14:paraId="2029BE86">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具体情况如下：</w:t>
      </w:r>
    </w:p>
    <w:p w14:paraId="2AF81985">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因公出国（境）费支出0.00万元，</w:t>
      </w:r>
      <w:r>
        <w:rPr>
          <w:rFonts w:hint="eastAsia" w:ascii="仿宋_GB2312" w:eastAsia="仿宋_GB2312"/>
          <w:sz w:val="32"/>
          <w:szCs w:val="32"/>
          <w:lang w:val="zh-CN"/>
        </w:rPr>
        <w:t>开支内容：</w:t>
      </w:r>
      <w:r>
        <w:rPr>
          <w:rFonts w:hint="default" w:ascii="Times New Roman" w:hAnsi="Times New Roman" w:eastAsia="方正仿宋_GBK" w:cs="Times New Roman"/>
          <w:sz w:val="32"/>
          <w:szCs w:val="32"/>
        </w:rPr>
        <w:t>无因公出国（境）费。</w:t>
      </w:r>
      <w:r>
        <w:rPr>
          <w:rFonts w:hint="eastAsia" w:ascii="仿宋_GB2312" w:eastAsia="仿宋_GB2312"/>
          <w:color w:val="auto"/>
          <w:sz w:val="32"/>
          <w:szCs w:val="32"/>
          <w:highlight w:val="none"/>
          <w:lang w:val="zh-CN" w:eastAsia="zh-CN"/>
        </w:rPr>
        <w:t>单位全年安排的因公出国（境）团组0个，因公出国（境）0人次。</w:t>
      </w:r>
    </w:p>
    <w:p w14:paraId="30D97A2A">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公务用车购置及运行维护费78.54万元，其中：公务用车购置费0.00万元，公务用车运行维护费78.54万元。公务用车运行维护费开支内容包括</w:t>
      </w:r>
      <w:r>
        <w:rPr>
          <w:rFonts w:hint="default" w:ascii="Times New Roman" w:hAnsi="Times New Roman" w:eastAsia="方正仿宋_GBK" w:cs="Times New Roman"/>
          <w:sz w:val="32"/>
          <w:szCs w:val="32"/>
        </w:rPr>
        <w:t>公务用车的维修保养、保险、加油等。</w:t>
      </w:r>
      <w:r>
        <w:rPr>
          <w:rFonts w:hint="eastAsia" w:ascii="仿宋_GB2312" w:eastAsia="仿宋_GB2312"/>
          <w:color w:val="auto"/>
          <w:sz w:val="32"/>
          <w:szCs w:val="32"/>
          <w:highlight w:val="none"/>
          <w:lang w:val="zh-CN" w:eastAsia="zh-CN"/>
        </w:rPr>
        <w:t>公务用车购置数0辆，公务用车保有量50辆。国有资产占用情况</w:t>
      </w:r>
      <w:r>
        <w:rPr>
          <w:rFonts w:hint="eastAsia" w:ascii="仿宋_GB2312" w:eastAsia="仿宋_GB2312"/>
          <w:color w:val="auto"/>
          <w:sz w:val="32"/>
          <w:szCs w:val="32"/>
          <w:highlight w:val="none"/>
          <w:lang w:val="en-US" w:eastAsia="zh-CN"/>
        </w:rPr>
        <w:t>中固定资产车辆</w:t>
      </w:r>
      <w:r>
        <w:rPr>
          <w:rFonts w:hint="eastAsia" w:ascii="仿宋_GB2312" w:eastAsia="仿宋_GB2312"/>
          <w:color w:val="auto"/>
          <w:sz w:val="32"/>
          <w:szCs w:val="32"/>
          <w:highlight w:val="none"/>
          <w:lang w:val="zh-CN" w:eastAsia="zh-CN"/>
        </w:rPr>
        <w:t>163辆，</w:t>
      </w:r>
      <w:r>
        <w:rPr>
          <w:rFonts w:hint="eastAsia" w:ascii="仿宋_GB2312" w:eastAsia="仿宋_GB2312"/>
          <w:color w:val="auto"/>
          <w:sz w:val="32"/>
          <w:szCs w:val="32"/>
          <w:highlight w:val="none"/>
          <w:lang w:val="en-US" w:eastAsia="zh-CN"/>
        </w:rPr>
        <w:t>与</w:t>
      </w:r>
      <w:r>
        <w:rPr>
          <w:rFonts w:hint="eastAsia" w:ascii="仿宋_GB2312" w:eastAsia="仿宋_GB2312"/>
          <w:color w:val="auto"/>
          <w:sz w:val="32"/>
          <w:szCs w:val="32"/>
          <w:highlight w:val="none"/>
          <w:lang w:val="zh-CN" w:eastAsia="zh-CN"/>
        </w:rPr>
        <w:t>公务用车</w:t>
      </w:r>
      <w:r>
        <w:rPr>
          <w:rFonts w:hint="eastAsia" w:ascii="仿宋_GB2312" w:eastAsia="仿宋_GB2312"/>
          <w:color w:val="auto"/>
          <w:sz w:val="32"/>
          <w:szCs w:val="32"/>
          <w:highlight w:val="none"/>
          <w:lang w:val="en-US" w:eastAsia="zh-CN"/>
        </w:rPr>
        <w:t>保有量差异</w:t>
      </w:r>
      <w:r>
        <w:rPr>
          <w:rFonts w:hint="eastAsia" w:ascii="仿宋_GB2312" w:eastAsia="仿宋_GB2312"/>
          <w:color w:val="auto"/>
          <w:sz w:val="32"/>
          <w:szCs w:val="32"/>
          <w:highlight w:val="none"/>
          <w:lang w:val="zh-CN" w:eastAsia="zh-CN"/>
        </w:rPr>
        <w:t>原因是：</w:t>
      </w:r>
      <w:r>
        <w:rPr>
          <w:rFonts w:hint="eastAsia" w:ascii="仿宋_GB2312" w:hAnsi="Times New Roman" w:eastAsia="仿宋_GB2312" w:cs="Times New Roman"/>
          <w:sz w:val="32"/>
          <w:szCs w:val="32"/>
          <w:lang w:val="en-US" w:eastAsia="zh-CN"/>
        </w:rPr>
        <w:t>除公务用车外</w:t>
      </w:r>
      <w:r>
        <w:rPr>
          <w:rFonts w:hint="eastAsia" w:ascii="仿宋_GB2312" w:eastAsia="仿宋_GB2312"/>
          <w:color w:val="auto"/>
          <w:sz w:val="32"/>
          <w:szCs w:val="32"/>
          <w:highlight w:val="none"/>
          <w:lang w:val="zh-CN" w:eastAsia="zh-CN"/>
        </w:rPr>
        <w:t>国有资产占用情况</w:t>
      </w:r>
      <w:r>
        <w:rPr>
          <w:rFonts w:hint="eastAsia" w:ascii="仿宋_GB2312" w:eastAsia="仿宋_GB2312"/>
          <w:color w:val="auto"/>
          <w:sz w:val="32"/>
          <w:szCs w:val="32"/>
          <w:highlight w:val="none"/>
          <w:lang w:val="en-US" w:eastAsia="zh-CN"/>
        </w:rPr>
        <w:t>中</w:t>
      </w:r>
      <w:r>
        <w:rPr>
          <w:rFonts w:hint="eastAsia" w:ascii="仿宋_GB2312" w:hAnsi="Times New Roman" w:eastAsia="仿宋_GB2312" w:cs="Times New Roman"/>
          <w:sz w:val="32"/>
          <w:szCs w:val="32"/>
          <w:lang w:val="en-US" w:eastAsia="zh-CN"/>
        </w:rPr>
        <w:t>还</w:t>
      </w:r>
      <w:r>
        <w:rPr>
          <w:rFonts w:hint="eastAsia" w:ascii="仿宋_GB2312" w:eastAsia="仿宋_GB2312" w:cs="Times New Roman"/>
          <w:sz w:val="32"/>
          <w:szCs w:val="32"/>
          <w:lang w:val="en-US" w:eastAsia="zh-CN"/>
        </w:rPr>
        <w:t>包含</w:t>
      </w:r>
      <w:r>
        <w:rPr>
          <w:rFonts w:hint="eastAsia" w:ascii="仿宋_GB2312" w:eastAsia="仿宋_GB2312"/>
          <w:color w:val="auto"/>
          <w:sz w:val="32"/>
          <w:szCs w:val="32"/>
        </w:rPr>
        <w:t>自卸车、洒水车、皮卡车、依维柯工程车</w:t>
      </w:r>
      <w:r>
        <w:rPr>
          <w:rFonts w:hint="eastAsia" w:ascii="仿宋_GB2312" w:eastAsia="仿宋_GB2312"/>
          <w:color w:val="auto"/>
          <w:sz w:val="32"/>
          <w:szCs w:val="32"/>
          <w:lang w:val="en-US" w:eastAsia="zh-CN"/>
        </w:rPr>
        <w:t>等</w:t>
      </w:r>
      <w:r>
        <w:rPr>
          <w:rFonts w:hint="eastAsia" w:ascii="仿宋_GB2312" w:hAnsi="Times New Roman" w:eastAsia="仿宋_GB2312" w:cs="Times New Roman"/>
          <w:sz w:val="32"/>
          <w:szCs w:val="32"/>
          <w:lang w:val="en-US" w:eastAsia="zh-CN"/>
        </w:rPr>
        <w:t>养护工程车辆</w:t>
      </w:r>
      <w:r>
        <w:rPr>
          <w:rFonts w:hint="eastAsia" w:ascii="仿宋_GB2312" w:eastAsia="仿宋_GB2312" w:cs="Times New Roman"/>
          <w:sz w:val="32"/>
          <w:szCs w:val="32"/>
          <w:lang w:val="en-US" w:eastAsia="zh-CN"/>
        </w:rPr>
        <w:t>，养护车辆支出均从单位项目支出中列支</w:t>
      </w:r>
      <w:bookmarkStart w:id="48" w:name="_GoBack"/>
      <w:bookmarkEnd w:id="48"/>
      <w:r>
        <w:rPr>
          <w:rFonts w:hint="eastAsia" w:ascii="仿宋_GB2312" w:eastAsia="仿宋_GB2312" w:cs="Times New Roman"/>
          <w:sz w:val="32"/>
          <w:szCs w:val="32"/>
          <w:lang w:val="en-US" w:eastAsia="zh-CN"/>
        </w:rPr>
        <w:t>。</w:t>
      </w:r>
    </w:p>
    <w:p w14:paraId="47D8F936">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公务接待费0.00万元，</w:t>
      </w:r>
      <w:r>
        <w:rPr>
          <w:rFonts w:hint="eastAsia" w:ascii="仿宋_GB2312" w:eastAsia="仿宋_GB2312"/>
          <w:sz w:val="32"/>
          <w:szCs w:val="32"/>
          <w:lang w:val="zh-CN"/>
        </w:rPr>
        <w:t>开支内容：</w:t>
      </w:r>
      <w:r>
        <w:rPr>
          <w:rFonts w:hint="default" w:ascii="Times New Roman" w:hAnsi="Times New Roman" w:eastAsia="方正仿宋_GBK" w:cs="Times New Roman"/>
          <w:sz w:val="32"/>
          <w:szCs w:val="32"/>
        </w:rPr>
        <w:t>无公务接待费。</w:t>
      </w:r>
      <w:r>
        <w:rPr>
          <w:rFonts w:hint="eastAsia" w:ascii="仿宋_GB2312" w:eastAsia="仿宋_GB2312"/>
          <w:color w:val="auto"/>
          <w:sz w:val="32"/>
          <w:szCs w:val="32"/>
          <w:highlight w:val="none"/>
          <w:lang w:val="zh-CN" w:eastAsia="zh-CN"/>
        </w:rPr>
        <w:t>单位全年安排的国内公务接待0批次，0人次。</w:t>
      </w:r>
    </w:p>
    <w:p w14:paraId="3DBB1C2A">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与</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预算相比</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预算数81.41万元，决算数78.54万元，预决算差异率-3.52%，主要原因是：坚持厉行节约，压减一般性支出</w:t>
      </w:r>
      <w:r>
        <w:rPr>
          <w:rFonts w:hint="default" w:ascii="Times New Roman" w:hAnsi="Times New Roman" w:eastAsia="方正仿宋_GBK" w:cs="Times New Roman"/>
          <w:sz w:val="32"/>
          <w:szCs w:val="32"/>
        </w:rPr>
        <w:t>。</w:t>
      </w:r>
      <w:r>
        <w:rPr>
          <w:rFonts w:hint="eastAsia" w:ascii="仿宋_GB2312" w:eastAsia="仿宋_GB2312"/>
          <w:color w:val="auto"/>
          <w:sz w:val="32"/>
          <w:szCs w:val="32"/>
          <w:highlight w:val="none"/>
          <w:lang w:val="zh-CN" w:eastAsia="zh-CN"/>
        </w:rPr>
        <w:t>其中：因公出国（境）费</w:t>
      </w:r>
      <w:r>
        <w:rPr>
          <w:rFonts w:hint="eastAsia" w:ascii="仿宋_GB2312" w:eastAsia="仿宋_GB2312"/>
          <w:color w:val="auto"/>
          <w:sz w:val="32"/>
          <w:szCs w:val="32"/>
          <w:highlight w:val="none"/>
          <w:lang w:val="en-US" w:eastAsia="zh-CN"/>
        </w:rPr>
        <w:t>全年预算数</w:t>
      </w:r>
      <w:r>
        <w:rPr>
          <w:rFonts w:hint="eastAsia" w:ascii="仿宋_GB2312" w:eastAsia="仿宋_GB2312"/>
          <w:color w:val="auto"/>
          <w:sz w:val="32"/>
          <w:szCs w:val="32"/>
          <w:highlight w:val="none"/>
          <w:lang w:val="zh-CN" w:eastAsia="zh-CN"/>
        </w:rPr>
        <w:t>0.00万元，决算数0.00万元，预决算差异率0.00%，主要原因是：</w:t>
      </w:r>
      <w:r>
        <w:rPr>
          <w:rFonts w:hint="default" w:ascii="Times New Roman" w:hAnsi="Times New Roman" w:eastAsia="方正仿宋_GBK" w:cs="Times New Roman"/>
          <w:sz w:val="32"/>
          <w:szCs w:val="32"/>
        </w:rPr>
        <w:t>我单位无因公出国（境）费</w:t>
      </w:r>
      <w:r>
        <w:rPr>
          <w:rFonts w:hint="eastAsia" w:ascii="仿宋_GB2312" w:eastAsia="仿宋_GB2312"/>
          <w:color w:val="auto"/>
          <w:sz w:val="32"/>
          <w:szCs w:val="32"/>
          <w:highlight w:val="none"/>
          <w:lang w:val="zh-CN" w:eastAsia="zh-CN"/>
        </w:rPr>
        <w:t>；公务用车购置费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default" w:ascii="Times New Roman" w:hAnsi="Times New Roman" w:eastAsia="方正仿宋_GBK" w:cs="Times New Roman"/>
          <w:sz w:val="32"/>
          <w:szCs w:val="32"/>
        </w:rPr>
        <w:t>我单位无公务用车购置费</w:t>
      </w:r>
      <w:r>
        <w:rPr>
          <w:rFonts w:hint="eastAsia" w:ascii="仿宋_GB2312" w:eastAsia="仿宋_GB2312"/>
          <w:color w:val="auto"/>
          <w:sz w:val="32"/>
          <w:szCs w:val="32"/>
          <w:highlight w:val="none"/>
          <w:lang w:val="zh-CN" w:eastAsia="zh-CN"/>
        </w:rPr>
        <w:t>；公务用车运行费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预算数81.41万元，决算数78.54万元，预决算差异率-3.52%，主要原因是：坚持厉行节约，压减一般性支出，</w:t>
      </w:r>
      <w:r>
        <w:rPr>
          <w:rFonts w:hint="default" w:ascii="Times New Roman" w:hAnsi="Times New Roman" w:eastAsia="方正仿宋_GBK" w:cs="Times New Roman"/>
          <w:sz w:val="32"/>
          <w:szCs w:val="32"/>
        </w:rPr>
        <w:t>降低公务用车运行维护经费开支</w:t>
      </w:r>
      <w:r>
        <w:rPr>
          <w:rFonts w:hint="eastAsia" w:ascii="仿宋_GB2312" w:eastAsia="仿宋_GB2312"/>
          <w:color w:val="auto"/>
          <w:sz w:val="32"/>
          <w:szCs w:val="32"/>
          <w:highlight w:val="none"/>
          <w:lang w:val="zh-CN" w:eastAsia="zh-CN"/>
        </w:rPr>
        <w:t>；公务接待费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default" w:ascii="Times New Roman" w:hAnsi="Times New Roman" w:eastAsia="方正仿宋_GBK" w:cs="Times New Roman"/>
          <w:sz w:val="32"/>
          <w:szCs w:val="32"/>
        </w:rPr>
        <w:t>我单位无公务接待费。</w:t>
      </w:r>
    </w:p>
    <w:p w14:paraId="708FEFC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8" w:name="_Toc5810"/>
      <w:bookmarkStart w:id="19" w:name="_Toc7927"/>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14:paraId="5B180E6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color w:val="auto"/>
          <w:sz w:val="32"/>
          <w:szCs w:val="32"/>
          <w:highlight w:val="none"/>
          <w:lang w:val="en-US"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本年度无政府性基金预算财政拨款收入、支出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政府性基金预算财政拨款收入支出决算表为空表。</w:t>
      </w:r>
    </w:p>
    <w:p w14:paraId="7C641C7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14:paraId="2A87B84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14:paraId="7B7DC97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0" w:name="_Toc1235"/>
      <w:bookmarkStart w:id="21" w:name="_Toc7314"/>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14:paraId="6FC0B8D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rPr>
      </w:pPr>
      <w:bookmarkStart w:id="22" w:name="_Toc14519"/>
      <w:bookmarkStart w:id="23"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14:paraId="09A14D1B">
      <w:pPr>
        <w:ind w:firstLine="640" w:firstLineChars="200"/>
        <w:rPr>
          <w:rFonts w:hint="eastAsia" w:ascii="Times New Roman" w:hAnsi="Times New Roman" w:eastAsia="仿宋_GB2312" w:cs="Times New Roman"/>
          <w:color w:val="auto"/>
          <w:sz w:val="32"/>
          <w:szCs w:val="32"/>
          <w:highlight w:val="yellow"/>
          <w:lang w:val="zh-CN" w:eastAsia="zh-CN"/>
        </w:rPr>
      </w:pPr>
      <w:bookmarkStart w:id="24" w:name="_Toc227"/>
      <w:bookmarkStart w:id="25" w:name="_Toc26704"/>
      <w:r>
        <w:rPr>
          <w:rFonts w:hint="eastAsia" w:ascii="Times New Roman" w:hAnsi="Times New Roman" w:eastAsia="方正仿宋_GBK" w:cs="Times New Roman"/>
          <w:sz w:val="32"/>
          <w:szCs w:val="32"/>
          <w:lang w:val="zh-CN" w:eastAsia="zh-CN"/>
        </w:rPr>
        <w:t>2</w:t>
      </w:r>
      <w:r>
        <w:rPr>
          <w:rFonts w:hint="eastAsia" w:ascii="Times New Roman" w:hAnsi="Times New Roman" w:eastAsia="方正仿宋_GBK" w:cs="Times New Roman"/>
          <w:sz w:val="32"/>
          <w:szCs w:val="32"/>
          <w:highlight w:val="none"/>
          <w:lang w:val="zh-CN" w:eastAsia="zh-CN"/>
        </w:rPr>
        <w:t>023年度</w:t>
      </w:r>
      <w:r>
        <w:rPr>
          <w:rFonts w:hint="eastAsia" w:ascii="Times New Roman" w:hAnsi="Times New Roman" w:eastAsia="方正仿宋_GBK" w:cs="Times New Roman"/>
          <w:sz w:val="32"/>
          <w:szCs w:val="32"/>
          <w:highlight w:val="none"/>
          <w:lang w:val="en-US" w:eastAsia="zh-CN"/>
        </w:rPr>
        <w:t>和田公路管理局</w:t>
      </w:r>
      <w:r>
        <w:rPr>
          <w:rFonts w:hint="eastAsia" w:ascii="Times New Roman" w:hAnsi="Times New Roman" w:eastAsia="方正仿宋_GBK" w:cs="Times New Roman"/>
          <w:sz w:val="32"/>
          <w:szCs w:val="32"/>
          <w:highlight w:val="none"/>
          <w:lang w:val="zh-CN" w:eastAsia="zh-CN"/>
        </w:rPr>
        <w:t>（事业单位）公用经费支出885.25万元，比上年增加101.26万元，增长12.92%，主要原因是：</w:t>
      </w:r>
      <w:r>
        <w:rPr>
          <w:rFonts w:hint="default" w:ascii="Times New Roman" w:hAnsi="Times New Roman" w:eastAsia="方正仿宋_GBK" w:cs="Times New Roman"/>
          <w:sz w:val="32"/>
          <w:szCs w:val="32"/>
          <w:highlight w:val="none"/>
        </w:rPr>
        <w:t>劳务费</w:t>
      </w:r>
      <w:r>
        <w:rPr>
          <w:rFonts w:hint="eastAsia" w:eastAsia="方正仿宋_GBK" w:cs="Times New Roman"/>
          <w:sz w:val="32"/>
          <w:szCs w:val="32"/>
          <w:highlight w:val="none"/>
          <w:lang w:val="en-US" w:eastAsia="zh-CN"/>
        </w:rPr>
        <w:t>较上年增加</w:t>
      </w:r>
      <w:r>
        <w:rPr>
          <w:rFonts w:hint="default" w:ascii="Times New Roman" w:hAnsi="Times New Roman" w:eastAsia="方正仿宋_GBK" w:cs="Times New Roman"/>
          <w:sz w:val="32"/>
          <w:szCs w:val="32"/>
          <w:highlight w:val="none"/>
        </w:rPr>
        <w:t>，造成公用经费增加。</w:t>
      </w:r>
    </w:p>
    <w:p w14:paraId="10A469D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14:paraId="15AF582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rPr>
      </w:pPr>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zh-CN"/>
        </w:rPr>
        <w:t>政府采购支出总额</w:t>
      </w:r>
      <w:r>
        <w:rPr>
          <w:rFonts w:hint="eastAsia" w:ascii="Times New Roman" w:hAnsi="Times New Roman" w:eastAsia="仿宋_GB2312" w:cs="Times New Roman"/>
          <w:color w:val="auto"/>
          <w:sz w:val="32"/>
          <w:szCs w:val="32"/>
          <w:highlight w:val="none"/>
          <w:lang w:val="zh-CN" w:eastAsia="zh-CN"/>
        </w:rPr>
        <w:t>838.97万元</w:t>
      </w:r>
      <w:r>
        <w:rPr>
          <w:rFonts w:hint="eastAsia" w:ascii="Times New Roman" w:hAnsi="Times New Roman" w:eastAsia="仿宋_GB2312" w:cs="Times New Roman"/>
          <w:color w:val="auto"/>
          <w:sz w:val="32"/>
          <w:szCs w:val="32"/>
          <w:highlight w:val="none"/>
          <w:lang w:val="zh-CN"/>
        </w:rPr>
        <w:t>，</w:t>
      </w:r>
      <w:r>
        <w:rPr>
          <w:rFonts w:hint="eastAsia" w:ascii="Times New Roman" w:hAnsi="Times New Roman" w:eastAsia="仿宋_GB2312" w:cs="Times New Roman"/>
          <w:color w:val="auto"/>
          <w:sz w:val="32"/>
          <w:szCs w:val="32"/>
          <w:highlight w:val="none"/>
          <w:lang w:val="zh-CN" w:eastAsia="zh-CN"/>
        </w:rPr>
        <w:t>其中：政府采购货物支出373.97万元、政府采购工程支出221.80万元、政府采购服务支出243.19万元。</w:t>
      </w:r>
    </w:p>
    <w:p w14:paraId="4FF2B0D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zh-CN" w:eastAsia="zh-CN"/>
        </w:rPr>
        <w:t>授予中小企业合同金额608.26万元，占政府采购支出总额的72.50</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zh-CN" w:eastAsia="zh-CN"/>
        </w:rPr>
        <w:t>，其中：授予小微企业合同金额518.74万元，占政府采购支出总额的61.83</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w:t>
      </w:r>
    </w:p>
    <w:p w14:paraId="1F3D8A6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bookmarkStart w:id="26" w:name="_Toc4591"/>
      <w:bookmarkStart w:id="27" w:name="_Toc83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14:paraId="51495859">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eastAsia="zh-CN"/>
        </w:rPr>
      </w:pPr>
      <w:r>
        <w:rPr>
          <w:rFonts w:hint="eastAsia" w:ascii="Times New Roman" w:hAnsi="Times New Roman" w:eastAsia="仿宋_GB2312" w:cs="Times New Roman"/>
          <w:color w:val="auto"/>
          <w:sz w:val="32"/>
          <w:szCs w:val="32"/>
          <w:highlight w:val="none"/>
          <w:lang w:val="en-US" w:eastAsia="zh-CN"/>
        </w:rPr>
        <w:t>截至2023</w:t>
      </w:r>
      <w:r>
        <w:rPr>
          <w:rFonts w:hint="eastAsia" w:ascii="Times New Roman" w:hAnsi="Times New Roman" w:eastAsia="仿宋_GB2312" w:cs="Times New Roman"/>
          <w:color w:val="auto"/>
          <w:sz w:val="32"/>
          <w:szCs w:val="32"/>
          <w:highlight w:val="none"/>
          <w:lang w:val="zh-CN" w:eastAsia="zh-CN"/>
        </w:rPr>
        <w:t>年</w:t>
      </w:r>
      <w:r>
        <w:rPr>
          <w:rFonts w:hint="eastAsia" w:ascii="Times New Roman" w:hAnsi="Times New Roman" w:eastAsia="仿宋_GB2312" w:cs="Times New Roman"/>
          <w:color w:val="auto"/>
          <w:sz w:val="32"/>
          <w:szCs w:val="32"/>
          <w:highlight w:val="none"/>
          <w:lang w:val="en-US" w:eastAsia="zh-CN"/>
        </w:rPr>
        <w:t>12月31日</w:t>
      </w:r>
      <w:r>
        <w:rPr>
          <w:rFonts w:hint="eastAsia"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固定资产原值</w:t>
      </w:r>
      <w:r>
        <w:rPr>
          <w:rFonts w:hint="eastAsia" w:ascii="Times New Roman" w:hAnsi="Times New Roman" w:eastAsia="仿宋_GB2312" w:cs="Times New Roman"/>
          <w:color w:val="auto"/>
          <w:sz w:val="32"/>
          <w:szCs w:val="32"/>
          <w:highlight w:val="none"/>
          <w:lang w:val="zh-CN" w:eastAsia="zh-CN"/>
        </w:rPr>
        <w:t>24,338.41</w:t>
      </w:r>
      <w:r>
        <w:rPr>
          <w:rFonts w:hint="eastAsia" w:ascii="Times New Roman" w:hAnsi="Times New Roman" w:eastAsia="仿宋_GB2312" w:cs="Times New Roman"/>
          <w:color w:val="auto"/>
          <w:sz w:val="32"/>
          <w:szCs w:val="32"/>
          <w:highlight w:val="none"/>
          <w:lang w:val="en-US" w:eastAsia="zh-CN"/>
        </w:rPr>
        <w:t>万元，房</w:t>
      </w:r>
      <w:r>
        <w:rPr>
          <w:rFonts w:hint="eastAsia" w:ascii="Times New Roman" w:hAnsi="Times New Roman" w:eastAsia="仿宋_GB2312" w:cs="Times New Roman"/>
          <w:color w:val="auto"/>
          <w:sz w:val="32"/>
          <w:szCs w:val="32"/>
          <w:highlight w:val="none"/>
          <w:lang w:val="zh-CN" w:eastAsia="zh-CN"/>
        </w:rPr>
        <w:t>屋62349.95平方米，价值13,266.75万元。车辆163辆，价值4,391.66万元，其中：副部（省）级及以上领导用车0辆、主要</w:t>
      </w:r>
      <w:r>
        <w:rPr>
          <w:rFonts w:hint="eastAsia" w:ascii="Times New Roman" w:hAnsi="Times New Roman" w:eastAsia="仿宋_GB2312" w:cs="Times New Roman"/>
          <w:color w:val="auto"/>
          <w:sz w:val="32"/>
          <w:szCs w:val="32"/>
          <w:highlight w:val="none"/>
          <w:lang w:val="en-US" w:eastAsia="zh-CN"/>
        </w:rPr>
        <w:t>负责人</w:t>
      </w:r>
      <w:r>
        <w:rPr>
          <w:rFonts w:hint="eastAsia" w:ascii="Times New Roman" w:hAnsi="Times New Roman" w:eastAsia="仿宋_GB2312" w:cs="Times New Roman"/>
          <w:color w:val="auto"/>
          <w:sz w:val="32"/>
          <w:szCs w:val="32"/>
          <w:highlight w:val="none"/>
          <w:lang w:val="zh-CN" w:eastAsia="zh-CN"/>
        </w:rPr>
        <w:t>用车0辆、机要通信用车0辆、应急保障用车41辆、执法执勤用车0辆、特种专业技术用车0辆、离退休干部</w:t>
      </w:r>
      <w:r>
        <w:rPr>
          <w:rFonts w:hint="eastAsia" w:ascii="Times New Roman" w:hAnsi="Times New Roman" w:eastAsia="仿宋_GB2312" w:cs="Times New Roman"/>
          <w:color w:val="auto"/>
          <w:sz w:val="32"/>
          <w:szCs w:val="32"/>
          <w:highlight w:val="none"/>
          <w:lang w:val="en-US" w:eastAsia="zh-CN"/>
        </w:rPr>
        <w:t>服务</w:t>
      </w:r>
      <w:r>
        <w:rPr>
          <w:rFonts w:hint="eastAsia" w:ascii="Times New Roman" w:hAnsi="Times New Roman" w:eastAsia="仿宋_GB2312" w:cs="Times New Roman"/>
          <w:color w:val="auto"/>
          <w:sz w:val="32"/>
          <w:szCs w:val="32"/>
          <w:highlight w:val="none"/>
          <w:lang w:val="zh-CN" w:eastAsia="zh-CN"/>
        </w:rPr>
        <w:t>用车0辆、其他用车122辆，其他用车主要是：</w:t>
      </w:r>
      <w:r>
        <w:rPr>
          <w:rFonts w:hint="eastAsia" w:ascii="仿宋_GB2312" w:eastAsia="仿宋_GB2312"/>
          <w:color w:val="auto"/>
          <w:sz w:val="32"/>
          <w:szCs w:val="32"/>
        </w:rPr>
        <w:t>自卸车、洒水车、皮卡车、依维柯工程车</w:t>
      </w:r>
      <w:r>
        <w:rPr>
          <w:rFonts w:hint="eastAsia" w:ascii="仿宋_GB2312" w:eastAsia="仿宋_GB2312"/>
          <w:color w:val="auto"/>
          <w:sz w:val="32"/>
          <w:szCs w:val="32"/>
          <w:lang w:val="en-US" w:eastAsia="zh-CN"/>
        </w:rPr>
        <w:t>等</w:t>
      </w:r>
      <w:r>
        <w:rPr>
          <w:rFonts w:hint="eastAsia" w:ascii="仿宋_GB2312" w:hAnsi="Times New Roman" w:eastAsia="仿宋_GB2312" w:cs="Times New Roman"/>
          <w:sz w:val="32"/>
          <w:szCs w:val="32"/>
          <w:lang w:val="en-US" w:eastAsia="zh-CN"/>
        </w:rPr>
        <w:t>养护工程车辆</w:t>
      </w:r>
      <w:r>
        <w:rPr>
          <w:rFonts w:hint="eastAsia" w:ascii="仿宋_GB2312" w:eastAsia="仿宋_GB2312" w:cs="Times New Roman"/>
          <w:sz w:val="32"/>
          <w:szCs w:val="32"/>
          <w:lang w:val="en-US" w:eastAsia="zh-CN"/>
        </w:rPr>
        <w:t>。</w:t>
      </w:r>
      <w:r>
        <w:rPr>
          <w:rFonts w:hint="eastAsia" w:ascii="Times New Roman" w:hAnsi="Times New Roman" w:eastAsia="仿宋_GB2312" w:cs="Times New Roman"/>
          <w:color w:val="auto"/>
          <w:sz w:val="32"/>
          <w:szCs w:val="32"/>
          <w:highlight w:val="none"/>
          <w:lang w:val="zh-CN" w:eastAsia="zh-CN"/>
        </w:rPr>
        <w:t>单价100万元（含）以上设备（不含车辆）7</w:t>
      </w:r>
      <w:r>
        <w:rPr>
          <w:rFonts w:hint="eastAsia" w:ascii="Times New Roman" w:hAnsi="Times New Roman" w:eastAsia="仿宋_GB2312" w:cs="Times New Roman"/>
          <w:color w:val="auto"/>
          <w:sz w:val="32"/>
          <w:szCs w:val="32"/>
          <w:highlight w:val="none"/>
          <w:lang w:val="en-US" w:eastAsia="zh-CN"/>
        </w:rPr>
        <w:t>台（</w:t>
      </w:r>
      <w:r>
        <w:rPr>
          <w:rFonts w:hint="eastAsia" w:ascii="Times New Roman" w:hAnsi="Times New Roman" w:eastAsia="仿宋_GB2312" w:cs="Times New Roman"/>
          <w:color w:val="auto"/>
          <w:sz w:val="32"/>
          <w:szCs w:val="32"/>
          <w:highlight w:val="none"/>
          <w:lang w:val="zh-CN" w:eastAsia="zh-CN"/>
        </w:rPr>
        <w:t>套）。</w:t>
      </w:r>
    </w:p>
    <w:p w14:paraId="3314F49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8" w:name="_Toc435"/>
      <w:bookmarkStart w:id="29" w:name="_Toc11283"/>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14:paraId="0E34A622">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Times New Roman" w:hAnsi="Times New Roman" w:eastAsia="方正仿宋_GBK" w:cs="Times New Roman"/>
          <w:sz w:val="32"/>
          <w:szCs w:val="32"/>
        </w:rPr>
      </w:pPr>
      <w:r>
        <w:rPr>
          <w:rFonts w:hint="eastAsia" w:ascii="仿宋_GB2312" w:eastAsia="仿宋_GB2312"/>
          <w:color w:val="auto"/>
          <w:sz w:val="32"/>
          <w:szCs w:val="32"/>
          <w:highlight w:val="none"/>
          <w:lang w:eastAsia="zh-CN"/>
        </w:rPr>
        <w:t>根据预算绩效管理要求，我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2023年度</w:t>
      </w:r>
      <w:r>
        <w:rPr>
          <w:rFonts w:hint="eastAsia" w:ascii="仿宋_GB2312" w:hAnsi="仿宋_GB2312" w:eastAsia="仿宋_GB2312" w:cs="仿宋_GB2312"/>
          <w:color w:val="auto"/>
          <w:kern w:val="0"/>
          <w:sz w:val="32"/>
          <w:szCs w:val="32"/>
          <w:highlight w:val="none"/>
          <w:lang w:eastAsia="zh-CN"/>
        </w:rPr>
        <w:t>预算绩效评价项目</w:t>
      </w:r>
      <w:r>
        <w:rPr>
          <w:rFonts w:hint="eastAsia" w:ascii="仿宋_GB2312" w:hAnsi="仿宋_GB2312" w:eastAsia="仿宋_GB2312" w:cs="仿宋_GB2312"/>
          <w:color w:val="auto"/>
          <w:kern w:val="0"/>
          <w:sz w:val="32"/>
          <w:szCs w:val="32"/>
          <w:highlight w:val="none"/>
          <w:lang w:val="en-US" w:eastAsia="zh-CN"/>
        </w:rPr>
        <w:t>6</w:t>
      </w:r>
      <w:r>
        <w:rPr>
          <w:rFonts w:hint="eastAsia" w:ascii="仿宋_GB2312" w:hAnsi="仿宋_GB2312" w:eastAsia="仿宋_GB2312" w:cs="仿宋_GB2312"/>
          <w:color w:val="auto"/>
          <w:kern w:val="0"/>
          <w:sz w:val="32"/>
          <w:szCs w:val="32"/>
          <w:highlight w:val="none"/>
          <w:lang w:eastAsia="zh-CN"/>
        </w:rPr>
        <w:t>个，</w:t>
      </w:r>
      <w:r>
        <w:rPr>
          <w:rFonts w:hint="eastAsia" w:ascii="仿宋_GB2312" w:hAnsi="仿宋_GB2312" w:eastAsia="仿宋_GB2312" w:cs="仿宋_GB2312"/>
          <w:color w:val="auto"/>
          <w:kern w:val="0"/>
          <w:sz w:val="32"/>
          <w:szCs w:val="32"/>
          <w:highlight w:val="none"/>
          <w:lang w:val="en-US" w:eastAsia="zh-CN"/>
        </w:rPr>
        <w:t>全年预算数8324.86</w:t>
      </w:r>
      <w:r>
        <w:rPr>
          <w:rFonts w:hint="eastAsia" w:ascii="仿宋_GB2312" w:hAnsi="仿宋_GB2312" w:eastAsia="仿宋_GB2312" w:cs="仿宋_GB2312"/>
          <w:color w:val="auto"/>
          <w:kern w:val="0"/>
          <w:sz w:val="32"/>
          <w:szCs w:val="32"/>
          <w:highlight w:val="none"/>
        </w:rPr>
        <w:t>万元</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lang w:val="en-US" w:eastAsia="zh-CN"/>
        </w:rPr>
        <w:t>全年执行数8324.86</w:t>
      </w:r>
      <w:r>
        <w:rPr>
          <w:rFonts w:hint="eastAsia" w:ascii="仿宋_GB2312" w:hAnsi="仿宋_GB2312" w:eastAsia="仿宋_GB2312" w:cs="仿宋_GB2312"/>
          <w:color w:val="auto"/>
          <w:kern w:val="0"/>
          <w:sz w:val="32"/>
          <w:szCs w:val="32"/>
          <w:highlight w:val="none"/>
        </w:rPr>
        <w:t>万元</w:t>
      </w:r>
      <w:r>
        <w:rPr>
          <w:rFonts w:hint="eastAsia" w:ascii="仿宋_GB2312" w:hAnsi="仿宋_GB2312" w:eastAsia="仿宋_GB2312" w:cs="仿宋_GB2312"/>
          <w:color w:val="auto"/>
          <w:kern w:val="0"/>
          <w:sz w:val="32"/>
          <w:szCs w:val="32"/>
          <w:highlight w:val="none"/>
          <w:lang w:eastAsia="zh-CN"/>
        </w:rPr>
        <w:t>。</w:t>
      </w:r>
      <w:r>
        <w:rPr>
          <w:rFonts w:hint="eastAsia" w:ascii="仿宋_GB2312" w:eastAsia="仿宋_GB2312"/>
          <w:color w:val="auto"/>
          <w:sz w:val="32"/>
          <w:szCs w:val="32"/>
          <w:highlight w:val="none"/>
          <w:lang w:eastAsia="zh-CN"/>
        </w:rPr>
        <w:t>预算绩效管理取得的成效：</w:t>
      </w:r>
      <w:r>
        <w:rPr>
          <w:rFonts w:hint="default" w:ascii="Times New Roman" w:hAnsi="Times New Roman" w:eastAsia="方正仿宋_GBK" w:cs="Times New Roman"/>
          <w:sz w:val="32"/>
          <w:szCs w:val="32"/>
        </w:rPr>
        <w:t>一是预算绩效管理制度逐步建立，组织机构不断健全，保障</w:t>
      </w:r>
      <w:r>
        <w:rPr>
          <w:rFonts w:hint="eastAsia" w:eastAsia="方正仿宋_GBK" w:cs="Times New Roman"/>
          <w:sz w:val="32"/>
          <w:szCs w:val="32"/>
          <w:lang w:val="en-US" w:eastAsia="zh-CN"/>
        </w:rPr>
        <w:t>了</w:t>
      </w:r>
      <w:r>
        <w:rPr>
          <w:rFonts w:hint="default" w:ascii="Times New Roman" w:hAnsi="Times New Roman" w:eastAsia="方正仿宋_GBK" w:cs="Times New Roman"/>
          <w:sz w:val="32"/>
          <w:szCs w:val="32"/>
        </w:rPr>
        <w:t>预算绩效管理工作；二是绩效目标管理日益加强，绩效评价范围不断扩大，促进了财政资金使用效益的提高；三是全过程预算绩效管理框架逐渐清晰，各级协同推进的工作格局</w:t>
      </w:r>
      <w:r>
        <w:rPr>
          <w:rFonts w:hint="eastAsia" w:eastAsia="方正仿宋_GBK" w:cs="Times New Roman"/>
          <w:sz w:val="32"/>
          <w:szCs w:val="32"/>
          <w:lang w:val="en-US" w:eastAsia="zh-CN"/>
        </w:rPr>
        <w:t>逐步完善</w:t>
      </w:r>
      <w:r>
        <w:rPr>
          <w:rFonts w:hint="default" w:ascii="Times New Roman" w:hAnsi="Times New Roman" w:eastAsia="方正仿宋_GBK" w:cs="Times New Roman"/>
          <w:sz w:val="32"/>
          <w:szCs w:val="32"/>
        </w:rPr>
        <w:t>，推动了预算绩效管理工作的有序开展。</w:t>
      </w:r>
      <w:r>
        <w:rPr>
          <w:rFonts w:hint="eastAsia" w:ascii="Times New Roman" w:hAnsi="Times New Roman" w:eastAsia="方正仿宋_GBK" w:cs="Times New Roman"/>
          <w:sz w:val="32"/>
          <w:szCs w:val="32"/>
          <w:lang w:eastAsia="zh-CN"/>
        </w:rPr>
        <w:t>发现的问题及原因：</w:t>
      </w:r>
      <w:r>
        <w:rPr>
          <w:rFonts w:hint="default" w:ascii="Times New Roman" w:hAnsi="Times New Roman" w:eastAsia="方正仿宋_GBK" w:cs="Times New Roman"/>
          <w:sz w:val="32"/>
          <w:szCs w:val="32"/>
        </w:rPr>
        <w:t>一是绩效指标设置偏离实际需求；二是成本效益指标很难直观反映绩效管理成效；三是绩效实施不到位</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下一步改进措施：一是加强培训宣传，提高职工对绩效考核工作</w:t>
      </w:r>
      <w:r>
        <w:rPr>
          <w:rFonts w:hint="eastAsia" w:eastAsia="方正仿宋_GBK" w:cs="Times New Roman"/>
          <w:sz w:val="32"/>
          <w:szCs w:val="32"/>
          <w:lang w:eastAsia="zh-CN"/>
        </w:rPr>
        <w:t>的目的和</w:t>
      </w:r>
      <w:r>
        <w:rPr>
          <w:rFonts w:hint="default" w:ascii="Times New Roman" w:hAnsi="Times New Roman" w:eastAsia="方正仿宋_GBK" w:cs="Times New Roman"/>
          <w:sz w:val="32"/>
          <w:szCs w:val="32"/>
        </w:rPr>
        <w:t>意义的认识；二是数据收集分析中深入实际，追根求源。</w:t>
      </w:r>
      <w:r>
        <w:rPr>
          <w:rFonts w:hint="eastAsia" w:ascii="Times New Roman" w:hAnsi="Times New Roman" w:eastAsia="方正仿宋_GBK" w:cs="Times New Roman"/>
          <w:sz w:val="32"/>
          <w:szCs w:val="32"/>
          <w:lang w:eastAsia="zh-CN"/>
        </w:rPr>
        <w:t>具体</w:t>
      </w:r>
      <w:r>
        <w:rPr>
          <w:rFonts w:hint="eastAsia" w:ascii="Times New Roman" w:hAnsi="Times New Roman" w:eastAsia="方正仿宋_GBK" w:cs="Times New Roman"/>
          <w:sz w:val="32"/>
          <w:szCs w:val="32"/>
        </w:rPr>
        <w:t>项目自评情况附绩效自评表</w:t>
      </w:r>
      <w:r>
        <w:rPr>
          <w:rFonts w:hint="eastAsia" w:ascii="Times New Roman" w:hAnsi="Times New Roman" w:eastAsia="方正仿宋_GBK" w:cs="Times New Roman"/>
          <w:sz w:val="32"/>
          <w:szCs w:val="32"/>
          <w:lang w:val="en-US" w:eastAsia="zh-CN"/>
        </w:rPr>
        <w:t>及自评报告</w:t>
      </w:r>
      <w:r>
        <w:rPr>
          <w:rFonts w:hint="eastAsia" w:ascii="Times New Roman" w:hAnsi="Times New Roman" w:eastAsia="方正仿宋_GBK" w:cs="Times New Roman"/>
          <w:sz w:val="32"/>
          <w:szCs w:val="32"/>
        </w:rPr>
        <w:t>。</w:t>
      </w:r>
    </w:p>
    <w:p w14:paraId="01D753BC">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14:paraId="15E23451">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本单位无其他需说明事项</w:t>
      </w:r>
    </w:p>
    <w:p w14:paraId="74E46795">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p>
    <w:p w14:paraId="51653729">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30" w:name="_Toc3250"/>
      <w:bookmarkStart w:id="31" w:name="_Toc24143"/>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14:paraId="0D563092">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14:paraId="32B3F242">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14:paraId="290B493E">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14:paraId="52E779F7">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14:paraId="57AFE38F">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14:paraId="25E5A7D4">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14:paraId="7CFD78F6">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14:paraId="7E980B70">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417DC3D">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14:paraId="615DE34E">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14:paraId="20E26F93">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14:paraId="568103AB">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14:paraId="6618AE5C">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14:paraId="7B496D4E">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14:paraId="6D06DE6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14:paraId="7D6E5A5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2183"/>
      <w:bookmarkStart w:id="33" w:name="_Toc6062"/>
      <w:r>
        <w:rPr>
          <w:rFonts w:hint="eastAsia" w:ascii="黑体" w:hAnsi="黑体" w:eastAsia="仿宋_GB2312" w:cs="宋体"/>
          <w:bCs/>
          <w:color w:val="auto"/>
          <w:kern w:val="0"/>
          <w:sz w:val="32"/>
          <w:szCs w:val="32"/>
          <w:highlight w:val="none"/>
        </w:rPr>
        <w:t>一、《收入支出决算总表》</w:t>
      </w:r>
      <w:bookmarkEnd w:id="32"/>
      <w:bookmarkEnd w:id="33"/>
    </w:p>
    <w:p w14:paraId="6D76AB8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30364"/>
      <w:bookmarkStart w:id="35" w:name="_Toc24532"/>
      <w:r>
        <w:rPr>
          <w:rFonts w:hint="eastAsia" w:ascii="黑体" w:hAnsi="黑体" w:eastAsia="仿宋_GB2312" w:cs="宋体"/>
          <w:bCs/>
          <w:color w:val="auto"/>
          <w:kern w:val="0"/>
          <w:sz w:val="32"/>
          <w:szCs w:val="32"/>
          <w:highlight w:val="none"/>
        </w:rPr>
        <w:t>二、《收入决算表》</w:t>
      </w:r>
      <w:bookmarkEnd w:id="34"/>
      <w:bookmarkEnd w:id="35"/>
    </w:p>
    <w:p w14:paraId="68C3B3A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32434"/>
      <w:bookmarkStart w:id="37" w:name="_Toc21304"/>
      <w:r>
        <w:rPr>
          <w:rFonts w:hint="eastAsia" w:ascii="黑体" w:hAnsi="黑体" w:eastAsia="仿宋_GB2312" w:cs="宋体"/>
          <w:bCs/>
          <w:color w:val="auto"/>
          <w:kern w:val="0"/>
          <w:sz w:val="32"/>
          <w:szCs w:val="32"/>
          <w:highlight w:val="none"/>
        </w:rPr>
        <w:t>三、《支出决算表》</w:t>
      </w:r>
      <w:bookmarkEnd w:id="36"/>
      <w:bookmarkEnd w:id="37"/>
    </w:p>
    <w:p w14:paraId="3D96F24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28786"/>
      <w:bookmarkStart w:id="39" w:name="_Toc14238"/>
      <w:r>
        <w:rPr>
          <w:rFonts w:hint="eastAsia" w:ascii="黑体" w:hAnsi="黑体" w:eastAsia="仿宋_GB2312" w:cs="宋体"/>
          <w:bCs/>
          <w:color w:val="auto"/>
          <w:kern w:val="0"/>
          <w:sz w:val="32"/>
          <w:szCs w:val="32"/>
          <w:highlight w:val="none"/>
        </w:rPr>
        <w:t>四、《财政拨款收入支出决算总表》</w:t>
      </w:r>
      <w:bookmarkEnd w:id="38"/>
      <w:bookmarkEnd w:id="39"/>
    </w:p>
    <w:p w14:paraId="7CBCEDD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0347"/>
      <w:bookmarkStart w:id="41" w:name="_Toc14869"/>
      <w:r>
        <w:rPr>
          <w:rFonts w:hint="eastAsia" w:ascii="黑体" w:hAnsi="黑体" w:eastAsia="仿宋_GB2312" w:cs="宋体"/>
          <w:bCs/>
          <w:color w:val="auto"/>
          <w:kern w:val="0"/>
          <w:sz w:val="32"/>
          <w:szCs w:val="32"/>
          <w:highlight w:val="none"/>
        </w:rPr>
        <w:t>五、《一般公共预算财政拨款支出决算表》</w:t>
      </w:r>
      <w:bookmarkEnd w:id="40"/>
      <w:bookmarkEnd w:id="41"/>
    </w:p>
    <w:p w14:paraId="7B8228A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8884"/>
      <w:bookmarkStart w:id="43" w:name="_Toc5626"/>
      <w:r>
        <w:rPr>
          <w:rFonts w:hint="eastAsia" w:ascii="黑体" w:hAnsi="黑体" w:eastAsia="仿宋_GB2312" w:cs="宋体"/>
          <w:bCs/>
          <w:color w:val="auto"/>
          <w:kern w:val="0"/>
          <w:sz w:val="32"/>
          <w:szCs w:val="32"/>
          <w:highlight w:val="none"/>
        </w:rPr>
        <w:t>六、《一般公共预算财政拨款基本支出决算表》</w:t>
      </w:r>
      <w:bookmarkEnd w:id="42"/>
      <w:bookmarkEnd w:id="43"/>
    </w:p>
    <w:p w14:paraId="3F8C2EC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29106"/>
      <w:bookmarkStart w:id="45" w:name="_Toc32663"/>
      <w:r>
        <w:rPr>
          <w:rFonts w:hint="eastAsia" w:ascii="黑体" w:hAnsi="黑体" w:eastAsia="仿宋_GB2312" w:cs="宋体"/>
          <w:bCs/>
          <w:color w:val="auto"/>
          <w:kern w:val="0"/>
          <w:sz w:val="32"/>
          <w:szCs w:val="32"/>
          <w:highlight w:val="none"/>
        </w:rPr>
        <w:t>《财政拨款“三公”经费支出决算表》</w:t>
      </w:r>
      <w:bookmarkEnd w:id="44"/>
      <w:bookmarkEnd w:id="45"/>
    </w:p>
    <w:p w14:paraId="535A9DA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5453"/>
      <w:bookmarkStart w:id="47" w:name="_Toc764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14:paraId="45AA2E5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14:paraId="5774BC6F">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14:paraId="6A8A451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E65D572-14EE-4185-8C64-B6D88B8BE53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embedRegular r:id="rId2" w:fontKey="{78D58C87-75C1-497E-9FD3-1F7778D18FED}"/>
  </w:font>
  <w:font w:name="仿宋_GB2312">
    <w:panose1 w:val="02010609030101010101"/>
    <w:charset w:val="86"/>
    <w:family w:val="modern"/>
    <w:pitch w:val="default"/>
    <w:sig w:usb0="00000001" w:usb1="080E0000" w:usb2="00000000" w:usb3="00000000" w:csb0="00040000" w:csb1="00000000"/>
    <w:embedRegular r:id="rId3" w:fontKey="{0581D402-6BF8-4882-91FD-DA8E8AE13D19}"/>
  </w:font>
  <w:font w:name="方正仿宋_GBK">
    <w:panose1 w:val="03000509000000000000"/>
    <w:charset w:val="86"/>
    <w:family w:val="auto"/>
    <w:pitch w:val="default"/>
    <w:sig w:usb0="00000001" w:usb1="080E0000" w:usb2="00000000" w:usb3="00000000" w:csb0="00040000" w:csb1="00000000"/>
    <w:embedRegular r:id="rId4" w:fontKey="{A00D7319-59FE-4977-B8E0-AC7DDDCA9BE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8795F2">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46D0034">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046D0034">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3"/>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dmMDljZDhiYzVmZWY3YmVjMTE0NGE3NzQ0YmY5MzUifQ=="/>
    <w:docVar w:name="KSO_WPS_MARK_KEY" w:val="41ee2a61-2d54-4f93-83be-afdb9a40d732"/>
  </w:docVars>
  <w:rsids>
    <w:rsidRoot w:val="00000000"/>
    <w:rsid w:val="00213C59"/>
    <w:rsid w:val="003210CE"/>
    <w:rsid w:val="00B70D59"/>
    <w:rsid w:val="00F52A8D"/>
    <w:rsid w:val="019404F8"/>
    <w:rsid w:val="02720839"/>
    <w:rsid w:val="02802E29"/>
    <w:rsid w:val="02BD3108"/>
    <w:rsid w:val="02BE3A7E"/>
    <w:rsid w:val="02F73D26"/>
    <w:rsid w:val="034D4FEF"/>
    <w:rsid w:val="034F0B7A"/>
    <w:rsid w:val="035D1785"/>
    <w:rsid w:val="03685798"/>
    <w:rsid w:val="0385459C"/>
    <w:rsid w:val="039F47CE"/>
    <w:rsid w:val="03D90444"/>
    <w:rsid w:val="03DE5A5A"/>
    <w:rsid w:val="03E05CE8"/>
    <w:rsid w:val="03E2554B"/>
    <w:rsid w:val="03F973EE"/>
    <w:rsid w:val="043E5B56"/>
    <w:rsid w:val="04BA64C7"/>
    <w:rsid w:val="04C04386"/>
    <w:rsid w:val="04D96608"/>
    <w:rsid w:val="04DC4690"/>
    <w:rsid w:val="04FA68C4"/>
    <w:rsid w:val="05015EA4"/>
    <w:rsid w:val="053F5AE6"/>
    <w:rsid w:val="057C0B0F"/>
    <w:rsid w:val="057C19CF"/>
    <w:rsid w:val="05EF4B48"/>
    <w:rsid w:val="05F76ECA"/>
    <w:rsid w:val="062B0735"/>
    <w:rsid w:val="06792773"/>
    <w:rsid w:val="06F04422"/>
    <w:rsid w:val="07093795"/>
    <w:rsid w:val="075229E7"/>
    <w:rsid w:val="07804730"/>
    <w:rsid w:val="079052BE"/>
    <w:rsid w:val="07DD6ABC"/>
    <w:rsid w:val="07EF72E7"/>
    <w:rsid w:val="08145C21"/>
    <w:rsid w:val="08422688"/>
    <w:rsid w:val="085854ED"/>
    <w:rsid w:val="0879188F"/>
    <w:rsid w:val="08A0354D"/>
    <w:rsid w:val="08A41020"/>
    <w:rsid w:val="08CD4C49"/>
    <w:rsid w:val="09114954"/>
    <w:rsid w:val="09212671"/>
    <w:rsid w:val="095A5B83"/>
    <w:rsid w:val="096466E3"/>
    <w:rsid w:val="0968304D"/>
    <w:rsid w:val="09AF3D17"/>
    <w:rsid w:val="0A6F38B0"/>
    <w:rsid w:val="0A7809B7"/>
    <w:rsid w:val="0A7B4867"/>
    <w:rsid w:val="0A840954"/>
    <w:rsid w:val="0A9928ED"/>
    <w:rsid w:val="0AAE262A"/>
    <w:rsid w:val="0B61769D"/>
    <w:rsid w:val="0B7A42BB"/>
    <w:rsid w:val="0B7D3DAB"/>
    <w:rsid w:val="0B7F3FC7"/>
    <w:rsid w:val="0B8C3ECC"/>
    <w:rsid w:val="0B9C639D"/>
    <w:rsid w:val="0BB052B2"/>
    <w:rsid w:val="0BD33FFC"/>
    <w:rsid w:val="0BDB744F"/>
    <w:rsid w:val="0BE97AC1"/>
    <w:rsid w:val="0C1C4780"/>
    <w:rsid w:val="0C3613A3"/>
    <w:rsid w:val="0C3D1EB8"/>
    <w:rsid w:val="0C5E519C"/>
    <w:rsid w:val="0C7227A7"/>
    <w:rsid w:val="0CA52EE8"/>
    <w:rsid w:val="0CBD6988"/>
    <w:rsid w:val="0CD208AC"/>
    <w:rsid w:val="0D4903E8"/>
    <w:rsid w:val="0D7A4A46"/>
    <w:rsid w:val="0DED346A"/>
    <w:rsid w:val="0E640559"/>
    <w:rsid w:val="0E715E49"/>
    <w:rsid w:val="0E813BB2"/>
    <w:rsid w:val="0F1113DA"/>
    <w:rsid w:val="0F78534A"/>
    <w:rsid w:val="0F790E4C"/>
    <w:rsid w:val="0F89358A"/>
    <w:rsid w:val="0F8C6D51"/>
    <w:rsid w:val="105769DE"/>
    <w:rsid w:val="105B0B5E"/>
    <w:rsid w:val="10E14E3E"/>
    <w:rsid w:val="112E58D0"/>
    <w:rsid w:val="11731CAC"/>
    <w:rsid w:val="119500A0"/>
    <w:rsid w:val="11C0733B"/>
    <w:rsid w:val="11D3768E"/>
    <w:rsid w:val="11D50D17"/>
    <w:rsid w:val="120E0809"/>
    <w:rsid w:val="127B54E8"/>
    <w:rsid w:val="127F665A"/>
    <w:rsid w:val="12AB744F"/>
    <w:rsid w:val="12F7068C"/>
    <w:rsid w:val="130A4823"/>
    <w:rsid w:val="133236CD"/>
    <w:rsid w:val="13AC347F"/>
    <w:rsid w:val="13F13588"/>
    <w:rsid w:val="13F53078"/>
    <w:rsid w:val="140B63F8"/>
    <w:rsid w:val="14207DC0"/>
    <w:rsid w:val="14237BE5"/>
    <w:rsid w:val="14B932DA"/>
    <w:rsid w:val="150A66AF"/>
    <w:rsid w:val="154C1139"/>
    <w:rsid w:val="154D2A40"/>
    <w:rsid w:val="158C5B77"/>
    <w:rsid w:val="15B605E5"/>
    <w:rsid w:val="160D1149"/>
    <w:rsid w:val="163563C0"/>
    <w:rsid w:val="164315EF"/>
    <w:rsid w:val="16557DFE"/>
    <w:rsid w:val="167268FB"/>
    <w:rsid w:val="16770D0A"/>
    <w:rsid w:val="16A42B33"/>
    <w:rsid w:val="16D50C50"/>
    <w:rsid w:val="16E120E1"/>
    <w:rsid w:val="171C6B6E"/>
    <w:rsid w:val="17385A05"/>
    <w:rsid w:val="173914CE"/>
    <w:rsid w:val="173B3901"/>
    <w:rsid w:val="176747F9"/>
    <w:rsid w:val="176C18A3"/>
    <w:rsid w:val="178070FD"/>
    <w:rsid w:val="17954A6E"/>
    <w:rsid w:val="17A4103D"/>
    <w:rsid w:val="17D411F6"/>
    <w:rsid w:val="180059E9"/>
    <w:rsid w:val="184510FD"/>
    <w:rsid w:val="186407CC"/>
    <w:rsid w:val="18AE7C99"/>
    <w:rsid w:val="18D55226"/>
    <w:rsid w:val="190648B0"/>
    <w:rsid w:val="19071D6C"/>
    <w:rsid w:val="19D26CD4"/>
    <w:rsid w:val="19E60D19"/>
    <w:rsid w:val="19F45B80"/>
    <w:rsid w:val="1A073B05"/>
    <w:rsid w:val="1A3E3450"/>
    <w:rsid w:val="1AB041DF"/>
    <w:rsid w:val="1AD807E5"/>
    <w:rsid w:val="1ADE4866"/>
    <w:rsid w:val="1B39345B"/>
    <w:rsid w:val="1BFB2A1F"/>
    <w:rsid w:val="1C015D4A"/>
    <w:rsid w:val="1C290ED5"/>
    <w:rsid w:val="1C317E4F"/>
    <w:rsid w:val="1C472464"/>
    <w:rsid w:val="1C7F3E27"/>
    <w:rsid w:val="1CE1575A"/>
    <w:rsid w:val="1D22799A"/>
    <w:rsid w:val="1D3E783E"/>
    <w:rsid w:val="1D5C1A72"/>
    <w:rsid w:val="1D990F18"/>
    <w:rsid w:val="1DAF458D"/>
    <w:rsid w:val="1E086ACE"/>
    <w:rsid w:val="1E62130A"/>
    <w:rsid w:val="1E97358B"/>
    <w:rsid w:val="1EAA4A5F"/>
    <w:rsid w:val="1EC73863"/>
    <w:rsid w:val="1EE869A7"/>
    <w:rsid w:val="1FA15E62"/>
    <w:rsid w:val="1FAB6CE1"/>
    <w:rsid w:val="1FED69B6"/>
    <w:rsid w:val="20340D69"/>
    <w:rsid w:val="2064678E"/>
    <w:rsid w:val="20DC1AB9"/>
    <w:rsid w:val="20DD6197"/>
    <w:rsid w:val="212631E0"/>
    <w:rsid w:val="213F5933"/>
    <w:rsid w:val="21A53757"/>
    <w:rsid w:val="21C978F2"/>
    <w:rsid w:val="21FC56E5"/>
    <w:rsid w:val="221236C6"/>
    <w:rsid w:val="2221328A"/>
    <w:rsid w:val="222D1C2F"/>
    <w:rsid w:val="22D7662C"/>
    <w:rsid w:val="23326B7F"/>
    <w:rsid w:val="2380045B"/>
    <w:rsid w:val="23BC04D2"/>
    <w:rsid w:val="23EF1892"/>
    <w:rsid w:val="24194B61"/>
    <w:rsid w:val="2483647E"/>
    <w:rsid w:val="24A32D55"/>
    <w:rsid w:val="25292727"/>
    <w:rsid w:val="252E5CA9"/>
    <w:rsid w:val="256F7692"/>
    <w:rsid w:val="25BA2154"/>
    <w:rsid w:val="25C8773F"/>
    <w:rsid w:val="264A7253"/>
    <w:rsid w:val="26F0170C"/>
    <w:rsid w:val="271D6716"/>
    <w:rsid w:val="27201D62"/>
    <w:rsid w:val="27286E73"/>
    <w:rsid w:val="2729330D"/>
    <w:rsid w:val="27CF2642"/>
    <w:rsid w:val="27D112AE"/>
    <w:rsid w:val="27E777F5"/>
    <w:rsid w:val="27EA1D4C"/>
    <w:rsid w:val="27EA2E41"/>
    <w:rsid w:val="27EB6814"/>
    <w:rsid w:val="282459E2"/>
    <w:rsid w:val="283A6E54"/>
    <w:rsid w:val="283A7FE5"/>
    <w:rsid w:val="285F51FF"/>
    <w:rsid w:val="28846321"/>
    <w:rsid w:val="28A013AD"/>
    <w:rsid w:val="28B906C0"/>
    <w:rsid w:val="28DF2665"/>
    <w:rsid w:val="29072599"/>
    <w:rsid w:val="291029F3"/>
    <w:rsid w:val="29CB58F0"/>
    <w:rsid w:val="2A053397"/>
    <w:rsid w:val="2A102562"/>
    <w:rsid w:val="2A145E96"/>
    <w:rsid w:val="2A2131BB"/>
    <w:rsid w:val="2AF5378F"/>
    <w:rsid w:val="2BB94DBF"/>
    <w:rsid w:val="2C4B5AD3"/>
    <w:rsid w:val="2C6F314E"/>
    <w:rsid w:val="2CC206BE"/>
    <w:rsid w:val="2D1136DF"/>
    <w:rsid w:val="2D20606D"/>
    <w:rsid w:val="2DB87198"/>
    <w:rsid w:val="2DB93C54"/>
    <w:rsid w:val="2DDC336C"/>
    <w:rsid w:val="2E3D144C"/>
    <w:rsid w:val="2E891204"/>
    <w:rsid w:val="2F0404F8"/>
    <w:rsid w:val="2F3F0A28"/>
    <w:rsid w:val="2F432A92"/>
    <w:rsid w:val="2FA379D4"/>
    <w:rsid w:val="2FBF7029"/>
    <w:rsid w:val="2FD0187F"/>
    <w:rsid w:val="2FD27414"/>
    <w:rsid w:val="2FFD5337"/>
    <w:rsid w:val="2FFE4BB0"/>
    <w:rsid w:val="300E7B60"/>
    <w:rsid w:val="300F6E18"/>
    <w:rsid w:val="30862F5F"/>
    <w:rsid w:val="314029C9"/>
    <w:rsid w:val="31B77767"/>
    <w:rsid w:val="31C63837"/>
    <w:rsid w:val="31C82E39"/>
    <w:rsid w:val="32601BAD"/>
    <w:rsid w:val="326A47D9"/>
    <w:rsid w:val="329F6389"/>
    <w:rsid w:val="32CC0FF0"/>
    <w:rsid w:val="32DF0D23"/>
    <w:rsid w:val="334B460B"/>
    <w:rsid w:val="3389023A"/>
    <w:rsid w:val="33CB74FA"/>
    <w:rsid w:val="33F46A50"/>
    <w:rsid w:val="343642F2"/>
    <w:rsid w:val="343F3010"/>
    <w:rsid w:val="345D0A00"/>
    <w:rsid w:val="34713BFD"/>
    <w:rsid w:val="347656B7"/>
    <w:rsid w:val="34AC32ED"/>
    <w:rsid w:val="34C13589"/>
    <w:rsid w:val="34F860CC"/>
    <w:rsid w:val="353369E3"/>
    <w:rsid w:val="35E00D72"/>
    <w:rsid w:val="35FE3BB6"/>
    <w:rsid w:val="366A4DA8"/>
    <w:rsid w:val="36820344"/>
    <w:rsid w:val="368C0712"/>
    <w:rsid w:val="369462C9"/>
    <w:rsid w:val="36965B9D"/>
    <w:rsid w:val="36C549FD"/>
    <w:rsid w:val="36CE5337"/>
    <w:rsid w:val="36EA5EE9"/>
    <w:rsid w:val="37092813"/>
    <w:rsid w:val="37A755DD"/>
    <w:rsid w:val="37F94FA0"/>
    <w:rsid w:val="37F963E3"/>
    <w:rsid w:val="37FC5ED4"/>
    <w:rsid w:val="380D3381"/>
    <w:rsid w:val="38115B1F"/>
    <w:rsid w:val="38207E14"/>
    <w:rsid w:val="385E3AC3"/>
    <w:rsid w:val="387D6B9E"/>
    <w:rsid w:val="38B75FF0"/>
    <w:rsid w:val="38D45016"/>
    <w:rsid w:val="38D90432"/>
    <w:rsid w:val="38E5105E"/>
    <w:rsid w:val="3914510A"/>
    <w:rsid w:val="3926770B"/>
    <w:rsid w:val="398D3668"/>
    <w:rsid w:val="39AC56D7"/>
    <w:rsid w:val="39B747A8"/>
    <w:rsid w:val="39D709A6"/>
    <w:rsid w:val="39DA0497"/>
    <w:rsid w:val="39FF7EFD"/>
    <w:rsid w:val="3A63223A"/>
    <w:rsid w:val="3A893816"/>
    <w:rsid w:val="3A893B6D"/>
    <w:rsid w:val="3A8F302F"/>
    <w:rsid w:val="3AAA1C17"/>
    <w:rsid w:val="3AD1763A"/>
    <w:rsid w:val="3AFB06C4"/>
    <w:rsid w:val="3B497682"/>
    <w:rsid w:val="3B6716E3"/>
    <w:rsid w:val="3B6C6B2D"/>
    <w:rsid w:val="3BC96A15"/>
    <w:rsid w:val="3C242659"/>
    <w:rsid w:val="3C920BB5"/>
    <w:rsid w:val="3C96719C"/>
    <w:rsid w:val="3CA72BE8"/>
    <w:rsid w:val="3CE753A4"/>
    <w:rsid w:val="3CF37F8C"/>
    <w:rsid w:val="3D137554"/>
    <w:rsid w:val="3D3659E4"/>
    <w:rsid w:val="3D5275AC"/>
    <w:rsid w:val="3D8C5F4C"/>
    <w:rsid w:val="3D9A2417"/>
    <w:rsid w:val="3DCC2473"/>
    <w:rsid w:val="3DEB0883"/>
    <w:rsid w:val="3DFD29A6"/>
    <w:rsid w:val="3E2527BF"/>
    <w:rsid w:val="3E300685"/>
    <w:rsid w:val="3E4B54BF"/>
    <w:rsid w:val="3E731662"/>
    <w:rsid w:val="3E8168DD"/>
    <w:rsid w:val="3EA7725F"/>
    <w:rsid w:val="3EB03713"/>
    <w:rsid w:val="3EB47508"/>
    <w:rsid w:val="3EBF1A11"/>
    <w:rsid w:val="3EC52607"/>
    <w:rsid w:val="3EEC6CEF"/>
    <w:rsid w:val="3F0151B4"/>
    <w:rsid w:val="3F183429"/>
    <w:rsid w:val="3F1B2EC1"/>
    <w:rsid w:val="3FB77A1D"/>
    <w:rsid w:val="3FDC3674"/>
    <w:rsid w:val="3FED7F8A"/>
    <w:rsid w:val="40094AEF"/>
    <w:rsid w:val="405470BD"/>
    <w:rsid w:val="405C39B3"/>
    <w:rsid w:val="40632F94"/>
    <w:rsid w:val="40794A29"/>
    <w:rsid w:val="40834692"/>
    <w:rsid w:val="40C34607"/>
    <w:rsid w:val="41431AD5"/>
    <w:rsid w:val="414B3C0F"/>
    <w:rsid w:val="414B5A37"/>
    <w:rsid w:val="415154E2"/>
    <w:rsid w:val="41597EF3"/>
    <w:rsid w:val="417C1CE7"/>
    <w:rsid w:val="417E3DFD"/>
    <w:rsid w:val="41803CC9"/>
    <w:rsid w:val="41900018"/>
    <w:rsid w:val="41944406"/>
    <w:rsid w:val="41CE128F"/>
    <w:rsid w:val="41DA6F12"/>
    <w:rsid w:val="42171FB1"/>
    <w:rsid w:val="42D24401"/>
    <w:rsid w:val="434E6957"/>
    <w:rsid w:val="43BA0E31"/>
    <w:rsid w:val="43C15147"/>
    <w:rsid w:val="43E14DD2"/>
    <w:rsid w:val="43F800E9"/>
    <w:rsid w:val="443A7E4B"/>
    <w:rsid w:val="44E43A04"/>
    <w:rsid w:val="452F5B3A"/>
    <w:rsid w:val="454E7FD2"/>
    <w:rsid w:val="46061BDC"/>
    <w:rsid w:val="461404F8"/>
    <w:rsid w:val="463158E2"/>
    <w:rsid w:val="46317690"/>
    <w:rsid w:val="463902F3"/>
    <w:rsid w:val="46413018"/>
    <w:rsid w:val="464B7E04"/>
    <w:rsid w:val="46761547"/>
    <w:rsid w:val="468041AA"/>
    <w:rsid w:val="468123C6"/>
    <w:rsid w:val="46901EEE"/>
    <w:rsid w:val="469814BD"/>
    <w:rsid w:val="469C74D2"/>
    <w:rsid w:val="469F0A9E"/>
    <w:rsid w:val="474358CD"/>
    <w:rsid w:val="47445515"/>
    <w:rsid w:val="474B4782"/>
    <w:rsid w:val="47D90D14"/>
    <w:rsid w:val="48387FB0"/>
    <w:rsid w:val="483A6114"/>
    <w:rsid w:val="487A3570"/>
    <w:rsid w:val="488717E9"/>
    <w:rsid w:val="488727DB"/>
    <w:rsid w:val="48A00AFD"/>
    <w:rsid w:val="48B82268"/>
    <w:rsid w:val="48C354B3"/>
    <w:rsid w:val="493D58B5"/>
    <w:rsid w:val="494A7A04"/>
    <w:rsid w:val="494E0559"/>
    <w:rsid w:val="49D62A28"/>
    <w:rsid w:val="4A0A26D2"/>
    <w:rsid w:val="4A2019A5"/>
    <w:rsid w:val="4A241A0B"/>
    <w:rsid w:val="4A7B2875"/>
    <w:rsid w:val="4A7D2EA4"/>
    <w:rsid w:val="4A934476"/>
    <w:rsid w:val="4AAA220A"/>
    <w:rsid w:val="4ACF7478"/>
    <w:rsid w:val="4AD4683C"/>
    <w:rsid w:val="4AE12E67"/>
    <w:rsid w:val="4B4C0111"/>
    <w:rsid w:val="4B683B54"/>
    <w:rsid w:val="4B8553A9"/>
    <w:rsid w:val="4BB51CA1"/>
    <w:rsid w:val="4BDB3730"/>
    <w:rsid w:val="4BE86A43"/>
    <w:rsid w:val="4C0C0983"/>
    <w:rsid w:val="4C200F7A"/>
    <w:rsid w:val="4C520360"/>
    <w:rsid w:val="4CCB6B07"/>
    <w:rsid w:val="4CEE3180"/>
    <w:rsid w:val="4D0F4AF6"/>
    <w:rsid w:val="4DB82445"/>
    <w:rsid w:val="4DF94F37"/>
    <w:rsid w:val="4E0A1DD5"/>
    <w:rsid w:val="4E30022D"/>
    <w:rsid w:val="4E3160E5"/>
    <w:rsid w:val="4E4D37AF"/>
    <w:rsid w:val="4E8C6496"/>
    <w:rsid w:val="4ECC43FA"/>
    <w:rsid w:val="4ED84B4D"/>
    <w:rsid w:val="4EF456FF"/>
    <w:rsid w:val="4EFD18DE"/>
    <w:rsid w:val="4F0A0A7E"/>
    <w:rsid w:val="4F144236"/>
    <w:rsid w:val="4F4727B8"/>
    <w:rsid w:val="4F663C87"/>
    <w:rsid w:val="4F7E29A8"/>
    <w:rsid w:val="4F9E1FFC"/>
    <w:rsid w:val="4FB822F8"/>
    <w:rsid w:val="502B33A2"/>
    <w:rsid w:val="50357D7D"/>
    <w:rsid w:val="50447CC2"/>
    <w:rsid w:val="50463D38"/>
    <w:rsid w:val="50874A7C"/>
    <w:rsid w:val="50895EE7"/>
    <w:rsid w:val="50921B9D"/>
    <w:rsid w:val="50D16158"/>
    <w:rsid w:val="50DB5F45"/>
    <w:rsid w:val="51025EB1"/>
    <w:rsid w:val="51141503"/>
    <w:rsid w:val="5146436C"/>
    <w:rsid w:val="517F7502"/>
    <w:rsid w:val="518D0ED5"/>
    <w:rsid w:val="525C687F"/>
    <w:rsid w:val="52650DED"/>
    <w:rsid w:val="528943B0"/>
    <w:rsid w:val="52F647F7"/>
    <w:rsid w:val="52F92565"/>
    <w:rsid w:val="52F96018"/>
    <w:rsid w:val="531F4FAE"/>
    <w:rsid w:val="53202F66"/>
    <w:rsid w:val="53360094"/>
    <w:rsid w:val="53D03877"/>
    <w:rsid w:val="542F73CA"/>
    <w:rsid w:val="5430786D"/>
    <w:rsid w:val="545A1D2A"/>
    <w:rsid w:val="54BF40B9"/>
    <w:rsid w:val="54C811C0"/>
    <w:rsid w:val="55026999"/>
    <w:rsid w:val="556A442D"/>
    <w:rsid w:val="557D01FC"/>
    <w:rsid w:val="559B68D4"/>
    <w:rsid w:val="55BB0D24"/>
    <w:rsid w:val="55CC1183"/>
    <w:rsid w:val="55DA564E"/>
    <w:rsid w:val="5604127D"/>
    <w:rsid w:val="56166703"/>
    <w:rsid w:val="56510474"/>
    <w:rsid w:val="56861525"/>
    <w:rsid w:val="56A93273"/>
    <w:rsid w:val="56BD550C"/>
    <w:rsid w:val="56E07045"/>
    <w:rsid w:val="56FF28AF"/>
    <w:rsid w:val="57120E18"/>
    <w:rsid w:val="57540E7D"/>
    <w:rsid w:val="577B4878"/>
    <w:rsid w:val="57926973"/>
    <w:rsid w:val="57B43C7D"/>
    <w:rsid w:val="57BE68AA"/>
    <w:rsid w:val="58175352"/>
    <w:rsid w:val="581F2200"/>
    <w:rsid w:val="583059FA"/>
    <w:rsid w:val="583354EA"/>
    <w:rsid w:val="584414A5"/>
    <w:rsid w:val="584A0929"/>
    <w:rsid w:val="587D6765"/>
    <w:rsid w:val="588875E4"/>
    <w:rsid w:val="58A261CC"/>
    <w:rsid w:val="58CD2491"/>
    <w:rsid w:val="58FB11B8"/>
    <w:rsid w:val="591B41B2"/>
    <w:rsid w:val="59254A26"/>
    <w:rsid w:val="59326325"/>
    <w:rsid w:val="595C505B"/>
    <w:rsid w:val="595E55C3"/>
    <w:rsid w:val="596E7E20"/>
    <w:rsid w:val="59BE5287"/>
    <w:rsid w:val="5A60780B"/>
    <w:rsid w:val="5A7F0572"/>
    <w:rsid w:val="5AB34579"/>
    <w:rsid w:val="5AFC6609"/>
    <w:rsid w:val="5AFC7E15"/>
    <w:rsid w:val="5B113480"/>
    <w:rsid w:val="5B920779"/>
    <w:rsid w:val="5BD456CE"/>
    <w:rsid w:val="5C0D1F49"/>
    <w:rsid w:val="5C4750C0"/>
    <w:rsid w:val="5CBB0CE2"/>
    <w:rsid w:val="5CC17177"/>
    <w:rsid w:val="5CD01559"/>
    <w:rsid w:val="5CF306BC"/>
    <w:rsid w:val="5D0905C7"/>
    <w:rsid w:val="5D3F3D64"/>
    <w:rsid w:val="5D833043"/>
    <w:rsid w:val="5DB04EE7"/>
    <w:rsid w:val="5DD92690"/>
    <w:rsid w:val="5DDB1CFD"/>
    <w:rsid w:val="5E7E6D93"/>
    <w:rsid w:val="5ED44800"/>
    <w:rsid w:val="5F092B01"/>
    <w:rsid w:val="5F350BDE"/>
    <w:rsid w:val="5F61632C"/>
    <w:rsid w:val="5F7420BA"/>
    <w:rsid w:val="5FA17648"/>
    <w:rsid w:val="5FE705CB"/>
    <w:rsid w:val="603D5080"/>
    <w:rsid w:val="605424A1"/>
    <w:rsid w:val="60A24FBB"/>
    <w:rsid w:val="60D0261B"/>
    <w:rsid w:val="60F17CF0"/>
    <w:rsid w:val="614D40BB"/>
    <w:rsid w:val="615E35D8"/>
    <w:rsid w:val="618E3791"/>
    <w:rsid w:val="61947DCA"/>
    <w:rsid w:val="61A46A97"/>
    <w:rsid w:val="61D1382F"/>
    <w:rsid w:val="61F114A2"/>
    <w:rsid w:val="62512BB4"/>
    <w:rsid w:val="625D7D1A"/>
    <w:rsid w:val="62724E61"/>
    <w:rsid w:val="62DD7D21"/>
    <w:rsid w:val="62F45876"/>
    <w:rsid w:val="63556314"/>
    <w:rsid w:val="637D586B"/>
    <w:rsid w:val="63A5560B"/>
    <w:rsid w:val="63CB2A7A"/>
    <w:rsid w:val="63DF6526"/>
    <w:rsid w:val="63E05AE3"/>
    <w:rsid w:val="63E823BE"/>
    <w:rsid w:val="63E9091F"/>
    <w:rsid w:val="63FF2724"/>
    <w:rsid w:val="6416019A"/>
    <w:rsid w:val="64322AF9"/>
    <w:rsid w:val="64D6010D"/>
    <w:rsid w:val="64D82665"/>
    <w:rsid w:val="64E060B2"/>
    <w:rsid w:val="64E47C96"/>
    <w:rsid w:val="651E5741"/>
    <w:rsid w:val="658A4877"/>
    <w:rsid w:val="65A00902"/>
    <w:rsid w:val="65A76BCF"/>
    <w:rsid w:val="65AB3B72"/>
    <w:rsid w:val="65AC6EDD"/>
    <w:rsid w:val="65D97752"/>
    <w:rsid w:val="66085536"/>
    <w:rsid w:val="66105BF7"/>
    <w:rsid w:val="66150023"/>
    <w:rsid w:val="6628010D"/>
    <w:rsid w:val="667411A7"/>
    <w:rsid w:val="669B4528"/>
    <w:rsid w:val="66CC12D7"/>
    <w:rsid w:val="67134CEF"/>
    <w:rsid w:val="671F1ABD"/>
    <w:rsid w:val="67521A59"/>
    <w:rsid w:val="67825B46"/>
    <w:rsid w:val="67C304AB"/>
    <w:rsid w:val="67CC0B6F"/>
    <w:rsid w:val="67D22629"/>
    <w:rsid w:val="68394457"/>
    <w:rsid w:val="683F0658"/>
    <w:rsid w:val="689C6793"/>
    <w:rsid w:val="68C61A62"/>
    <w:rsid w:val="68DB0208"/>
    <w:rsid w:val="68FA4718"/>
    <w:rsid w:val="68FB170C"/>
    <w:rsid w:val="691B3D98"/>
    <w:rsid w:val="693748F0"/>
    <w:rsid w:val="69846A0E"/>
    <w:rsid w:val="69A2149E"/>
    <w:rsid w:val="69AD798C"/>
    <w:rsid w:val="69D005C0"/>
    <w:rsid w:val="69D106BF"/>
    <w:rsid w:val="69D80B96"/>
    <w:rsid w:val="6AD14E1A"/>
    <w:rsid w:val="6B1B7E43"/>
    <w:rsid w:val="6B68175F"/>
    <w:rsid w:val="6BB65DBE"/>
    <w:rsid w:val="6BEE37AA"/>
    <w:rsid w:val="6BFD799F"/>
    <w:rsid w:val="6C30791F"/>
    <w:rsid w:val="6C4A2E5A"/>
    <w:rsid w:val="6C7E2682"/>
    <w:rsid w:val="6C8138D0"/>
    <w:rsid w:val="6CEF0725"/>
    <w:rsid w:val="6D4B2604"/>
    <w:rsid w:val="6D8030E4"/>
    <w:rsid w:val="6DEF7365"/>
    <w:rsid w:val="6E0E35C4"/>
    <w:rsid w:val="6E0F7A08"/>
    <w:rsid w:val="6E3947F5"/>
    <w:rsid w:val="6E731D44"/>
    <w:rsid w:val="6E9C74ED"/>
    <w:rsid w:val="6EF72976"/>
    <w:rsid w:val="6F0155A2"/>
    <w:rsid w:val="6F141779"/>
    <w:rsid w:val="6F795A80"/>
    <w:rsid w:val="6F7C1D2E"/>
    <w:rsid w:val="6F8E0407"/>
    <w:rsid w:val="6FBA17E0"/>
    <w:rsid w:val="6FDD069F"/>
    <w:rsid w:val="70027824"/>
    <w:rsid w:val="702B4D16"/>
    <w:rsid w:val="70377729"/>
    <w:rsid w:val="703B0F88"/>
    <w:rsid w:val="70AA6621"/>
    <w:rsid w:val="71033854"/>
    <w:rsid w:val="7111480F"/>
    <w:rsid w:val="71261F49"/>
    <w:rsid w:val="712E6956"/>
    <w:rsid w:val="71473612"/>
    <w:rsid w:val="71504F32"/>
    <w:rsid w:val="7152309F"/>
    <w:rsid w:val="71614A1E"/>
    <w:rsid w:val="718D65AD"/>
    <w:rsid w:val="718F7F65"/>
    <w:rsid w:val="71956476"/>
    <w:rsid w:val="71A36DE5"/>
    <w:rsid w:val="72534367"/>
    <w:rsid w:val="727B234E"/>
    <w:rsid w:val="72D068C7"/>
    <w:rsid w:val="72E42ED8"/>
    <w:rsid w:val="73311181"/>
    <w:rsid w:val="735F4CB9"/>
    <w:rsid w:val="73674C62"/>
    <w:rsid w:val="73845865"/>
    <w:rsid w:val="739B6D9E"/>
    <w:rsid w:val="73B21561"/>
    <w:rsid w:val="73BC1D76"/>
    <w:rsid w:val="73FB6630"/>
    <w:rsid w:val="748D790E"/>
    <w:rsid w:val="749820CC"/>
    <w:rsid w:val="74CE04EC"/>
    <w:rsid w:val="74E76DCD"/>
    <w:rsid w:val="751D7C0A"/>
    <w:rsid w:val="75614FED"/>
    <w:rsid w:val="75722D56"/>
    <w:rsid w:val="75AD0232"/>
    <w:rsid w:val="75BC0475"/>
    <w:rsid w:val="75D27C98"/>
    <w:rsid w:val="75DB5477"/>
    <w:rsid w:val="75FC6AC3"/>
    <w:rsid w:val="7616619B"/>
    <w:rsid w:val="76397D18"/>
    <w:rsid w:val="76524935"/>
    <w:rsid w:val="76660D7C"/>
    <w:rsid w:val="766C5968"/>
    <w:rsid w:val="76A3520F"/>
    <w:rsid w:val="76BE0C8F"/>
    <w:rsid w:val="76CD53B2"/>
    <w:rsid w:val="77040325"/>
    <w:rsid w:val="770719AC"/>
    <w:rsid w:val="776526CC"/>
    <w:rsid w:val="77A262E1"/>
    <w:rsid w:val="77B13C33"/>
    <w:rsid w:val="77ED6F44"/>
    <w:rsid w:val="77F45548"/>
    <w:rsid w:val="784E7CA6"/>
    <w:rsid w:val="78574801"/>
    <w:rsid w:val="785E1CB7"/>
    <w:rsid w:val="786A065C"/>
    <w:rsid w:val="7873527F"/>
    <w:rsid w:val="790A6425"/>
    <w:rsid w:val="790E2D96"/>
    <w:rsid w:val="791B54B2"/>
    <w:rsid w:val="795A0A34"/>
    <w:rsid w:val="797339C3"/>
    <w:rsid w:val="797352EE"/>
    <w:rsid w:val="79C43D9C"/>
    <w:rsid w:val="79D57D57"/>
    <w:rsid w:val="79F00650"/>
    <w:rsid w:val="7A6242BF"/>
    <w:rsid w:val="7A747570"/>
    <w:rsid w:val="7A794513"/>
    <w:rsid w:val="7AE952D2"/>
    <w:rsid w:val="7BE2675B"/>
    <w:rsid w:val="7BF70459"/>
    <w:rsid w:val="7BFC15CB"/>
    <w:rsid w:val="7C7248A0"/>
    <w:rsid w:val="7C976D69"/>
    <w:rsid w:val="7CD752DA"/>
    <w:rsid w:val="7CDE40AB"/>
    <w:rsid w:val="7CF057E2"/>
    <w:rsid w:val="7D1548B5"/>
    <w:rsid w:val="7D5316BF"/>
    <w:rsid w:val="7DF84014"/>
    <w:rsid w:val="7E207949"/>
    <w:rsid w:val="7E593E4E"/>
    <w:rsid w:val="7E5C0A47"/>
    <w:rsid w:val="7E670C75"/>
    <w:rsid w:val="7EE24272"/>
    <w:rsid w:val="7EEA6053"/>
    <w:rsid w:val="7EFB3DBC"/>
    <w:rsid w:val="7F487C04"/>
    <w:rsid w:val="7F62208D"/>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Strong"/>
    <w:basedOn w:val="10"/>
    <w:qFormat/>
    <w:uiPriority w:val="0"/>
    <w:rPr>
      <w:b/>
    </w:rPr>
  </w:style>
  <w:style w:type="paragraph" w:customStyle="1" w:styleId="12">
    <w:name w:val="WPSOffice手动目录 3"/>
    <w:qFormat/>
    <w:uiPriority w:val="0"/>
    <w:pPr>
      <w:ind w:leftChars="400"/>
    </w:pPr>
    <w:rPr>
      <w:rFonts w:ascii="Times New Roman" w:hAnsi="Times New Roman" w:eastAsia="宋体" w:cs="Times New Roman"/>
      <w:sz w:val="20"/>
      <w:szCs w:val="20"/>
    </w:rPr>
  </w:style>
  <w:style w:type="paragraph" w:customStyle="1" w:styleId="13">
    <w:name w:val="WPSOffice手动目录 2"/>
    <w:qFormat/>
    <w:uiPriority w:val="0"/>
    <w:pPr>
      <w:ind w:leftChars="200"/>
    </w:pPr>
    <w:rPr>
      <w:rFonts w:ascii="Times New Roman" w:hAnsi="Times New Roman" w:eastAsia="宋体" w:cs="Times New Roman"/>
      <w:sz w:val="20"/>
      <w:szCs w:val="20"/>
    </w:rPr>
  </w:style>
  <w:style w:type="paragraph" w:customStyle="1" w:styleId="14">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5714</Words>
  <Characters>6511</Characters>
  <Lines>0</Lines>
  <Paragraphs>0</Paragraphs>
  <TotalTime>0</TotalTime>
  <ScaleCrop>false</ScaleCrop>
  <LinksUpToDate>false</LinksUpToDate>
  <CharactersWithSpaces>6525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如你   。如我</cp:lastModifiedBy>
  <dcterms:modified xsi:type="dcterms:W3CDTF">2024-10-14T02:22:52Z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D624B15633CD43C8BF9435464A96BF70</vt:lpwstr>
  </property>
</Properties>
</file>