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016C7">
      <w:pPr>
        <w:rPr>
          <w:rFonts w:ascii="黑体" w:hAnsi="黑体" w:eastAsia="黑体"/>
          <w:sz w:val="32"/>
          <w:szCs w:val="32"/>
        </w:rPr>
      </w:pPr>
    </w:p>
    <w:p w14:paraId="0FB8094E">
      <w:pPr>
        <w:jc w:val="center"/>
        <w:rPr>
          <w:rFonts w:ascii="方正小标宋_GBK" w:hAnsi="宋体" w:eastAsia="方正小标宋_GBK"/>
          <w:sz w:val="44"/>
          <w:szCs w:val="44"/>
        </w:rPr>
      </w:pPr>
    </w:p>
    <w:p w14:paraId="7AACCF4E">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新疆维吾尔自治区公路管理局石河子干部学校2023年度部门决算</w:t>
      </w:r>
    </w:p>
    <w:p w14:paraId="67AD70EC">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16E957F7">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161D8323">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0FEF958">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8D50DF6">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5356D91">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C9B3AAC">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9747A5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65A29E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0D3AA6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4D1645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D846A6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2E8947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3AC3268">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1CD1493">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FAF03D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9258681">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B26B6E7">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215EA0A">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D463E1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9C4C24">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A9D5396">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E0EBC56">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5AABB4D">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ACC6F2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E3E6E6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D3784F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5F73AFD">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FE6F69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46FBB1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EF72C1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425E2C6">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99CA648">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CDA0B4B">
      <w:r>
        <w:rPr>
          <w:rFonts w:hint="eastAsia" w:ascii="仿宋_GB2312" w:hAnsi="仿宋_GB2312" w:eastAsia="仿宋_GB2312" w:cs="仿宋_GB2312"/>
          <w:sz w:val="32"/>
          <w:szCs w:val="32"/>
        </w:rPr>
        <w:fldChar w:fldCharType="end"/>
      </w:r>
    </w:p>
    <w:p w14:paraId="6F1CB428">
      <w:pPr>
        <w:rPr>
          <w:rFonts w:ascii="仿宋_GB2312" w:eastAsia="仿宋_GB2312"/>
          <w:sz w:val="32"/>
          <w:szCs w:val="32"/>
        </w:rPr>
      </w:pPr>
      <w:r>
        <w:rPr>
          <w:rFonts w:hint="eastAsia" w:ascii="仿宋_GB2312" w:eastAsia="仿宋_GB2312"/>
          <w:sz w:val="32"/>
          <w:szCs w:val="32"/>
        </w:rPr>
        <w:br w:type="page"/>
      </w:r>
    </w:p>
    <w:p w14:paraId="53567470">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0A15B29F">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42DA1413">
      <w:pPr>
        <w:rPr>
          <w:rFonts w:ascii="黑体" w:hAnsi="黑体" w:eastAsia="黑体" w:cs="宋体"/>
          <w:bCs/>
          <w:kern w:val="0"/>
          <w:sz w:val="32"/>
          <w:szCs w:val="32"/>
        </w:rPr>
      </w:pPr>
      <w:bookmarkStart w:id="4" w:name="_Toc31238"/>
      <w:bookmarkStart w:id="5" w:name="_Toc2151"/>
      <w:r>
        <w:rPr>
          <w:rFonts w:hint="eastAsia" w:ascii="仿宋_GB2312" w:eastAsia="仿宋_GB2312"/>
          <w:sz w:val="32"/>
          <w:szCs w:val="32"/>
        </w:rPr>
        <w:t xml:space="preserve">    新疆维吾尔自治区公路管理局石河子干部学校，主要职责是为在职干部提供学历教育服务、干部职工在职培训及专业技术人员继续教育。</w:t>
      </w:r>
    </w:p>
    <w:p w14:paraId="26C28EA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DDDD615">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新疆维吾尔自治区公路管理局石河子干部学校2023年度，实有人数</w:t>
      </w:r>
      <w:r>
        <w:rPr>
          <w:rFonts w:hint="eastAsia" w:ascii="仿宋_GB2312" w:eastAsia="仿宋_GB2312"/>
          <w:sz w:val="32"/>
          <w:szCs w:val="32"/>
          <w:lang w:val="zh-CN"/>
        </w:rPr>
        <w:t>45</w:t>
      </w:r>
      <w:r>
        <w:rPr>
          <w:rFonts w:hint="eastAsia" w:ascii="仿宋_GB2312" w:eastAsia="仿宋_GB2312"/>
          <w:sz w:val="32"/>
          <w:szCs w:val="32"/>
        </w:rPr>
        <w:t>人，其中：在职人员</w:t>
      </w:r>
      <w:r>
        <w:rPr>
          <w:rFonts w:hint="eastAsia" w:ascii="仿宋_GB2312" w:eastAsia="仿宋_GB2312"/>
          <w:sz w:val="32"/>
          <w:szCs w:val="32"/>
          <w:lang w:val="zh-CN"/>
        </w:rPr>
        <w:t>25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w:t>
      </w:r>
      <w:r>
        <w:rPr>
          <w:rFonts w:hint="eastAsia" w:ascii="仿宋_GB2312" w:eastAsia="仿宋_GB2312"/>
          <w:sz w:val="32"/>
          <w:szCs w:val="32"/>
        </w:rPr>
        <w:t>人。</w:t>
      </w:r>
    </w:p>
    <w:p w14:paraId="72FFE059">
      <w:p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 xml:space="preserve">    </w:t>
      </w:r>
      <w:r>
        <w:rPr>
          <w:rFonts w:hint="eastAsia" w:ascii="仿宋_GB2312" w:hAnsi="黑体" w:eastAsia="仿宋_GB2312" w:cs="宋体"/>
          <w:bCs/>
          <w:kern w:val="0"/>
          <w:sz w:val="32"/>
          <w:szCs w:val="32"/>
          <w:lang w:eastAsia="zh-CN"/>
        </w:rPr>
        <w:t>本单位无</w:t>
      </w:r>
      <w:r>
        <w:rPr>
          <w:rFonts w:hint="eastAsia" w:ascii="仿宋_GB2312" w:hAnsi="黑体" w:eastAsia="仿宋_GB2312" w:cs="宋体"/>
          <w:bCs/>
          <w:kern w:val="0"/>
          <w:sz w:val="32"/>
          <w:szCs w:val="32"/>
        </w:rPr>
        <w:t>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个处室，分别是：综合管理处、教务处、财务处</w:t>
      </w:r>
      <w:r>
        <w:rPr>
          <w:rFonts w:hint="eastAsia" w:ascii="仿宋_GB2312" w:hAnsi="宋体" w:eastAsia="仿宋_GB2312" w:cs="宋体"/>
          <w:kern w:val="0"/>
          <w:sz w:val="32"/>
          <w:szCs w:val="32"/>
        </w:rPr>
        <w:t>。</w:t>
      </w:r>
    </w:p>
    <w:p w14:paraId="5F99AED6">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F654144">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82ACB09">
      <w:pPr>
        <w:ind w:firstLine="640" w:firstLineChars="200"/>
        <w:jc w:val="left"/>
        <w:rPr>
          <w:rFonts w:ascii="仿宋_GB2312" w:eastAsia="仿宋_GB2312"/>
          <w:sz w:val="32"/>
          <w:szCs w:val="32"/>
        </w:rPr>
      </w:pPr>
      <w:r>
        <w:rPr>
          <w:rFonts w:hint="eastAsia" w:ascii="仿宋_GB2312" w:eastAsia="仿宋_GB2312"/>
          <w:sz w:val="32"/>
          <w:szCs w:val="32"/>
        </w:rPr>
        <w:t>2023年度收入总计859.86万元，其中：本年收入合计808.16万元，使用非财政拨款结余51.70万元，年初结转和结余0.00万元。</w:t>
      </w:r>
    </w:p>
    <w:p w14:paraId="417EEB6F">
      <w:pPr>
        <w:ind w:firstLine="640" w:firstLineChars="200"/>
        <w:jc w:val="left"/>
        <w:rPr>
          <w:rFonts w:ascii="仿宋_GB2312" w:eastAsia="仿宋_GB2312"/>
          <w:sz w:val="32"/>
          <w:szCs w:val="32"/>
        </w:rPr>
      </w:pPr>
      <w:r>
        <w:rPr>
          <w:rFonts w:hint="eastAsia" w:ascii="仿宋_GB2312" w:eastAsia="仿宋_GB2312"/>
          <w:sz w:val="32"/>
          <w:szCs w:val="32"/>
        </w:rPr>
        <w:t>2023年度支出总计859.86万元，其中：本年支出合计859.86万元，结余分配0.00万元，年末结转和结余0.00万元。</w:t>
      </w:r>
    </w:p>
    <w:p w14:paraId="00C1B0CF">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增加137.14万元</w:t>
      </w:r>
      <w:r>
        <w:rPr>
          <w:rFonts w:hint="eastAsia" w:ascii="仿宋_GB2312" w:eastAsia="仿宋_GB2312"/>
          <w:sz w:val="32"/>
          <w:szCs w:val="32"/>
        </w:rPr>
        <w:t>，增长18.98%，主要原因是：教育培训增加，单位资金收入增加，</w:t>
      </w:r>
      <w:r>
        <w:rPr>
          <w:rFonts w:hint="eastAsia" w:ascii="仿宋_GB2312" w:eastAsia="仿宋_GB2312"/>
          <w:sz w:val="32"/>
          <w:szCs w:val="32"/>
          <w:lang w:val="en-US" w:eastAsia="zh-CN"/>
        </w:rPr>
        <w:t>对应</w:t>
      </w:r>
      <w:r>
        <w:rPr>
          <w:rFonts w:hint="eastAsia" w:ascii="仿宋_GB2312" w:eastAsia="仿宋_GB2312"/>
          <w:sz w:val="32"/>
          <w:szCs w:val="32"/>
        </w:rPr>
        <w:t>支出增加。</w:t>
      </w:r>
    </w:p>
    <w:p w14:paraId="3876051D">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4A6C22B">
      <w:pPr>
        <w:ind w:firstLine="640" w:firstLineChars="200"/>
        <w:jc w:val="left"/>
        <w:rPr>
          <w:rFonts w:ascii="仿宋_GB2312" w:eastAsia="仿宋_GB2312"/>
          <w:sz w:val="32"/>
          <w:szCs w:val="32"/>
        </w:rPr>
      </w:pPr>
      <w:r>
        <w:rPr>
          <w:rFonts w:hint="eastAsia" w:ascii="仿宋_GB2312" w:eastAsia="仿宋_GB2312"/>
          <w:sz w:val="32"/>
          <w:szCs w:val="32"/>
        </w:rPr>
        <w:t>本年收入808.16万元，其中：财政拨款收入</w:t>
      </w:r>
      <w:r>
        <w:rPr>
          <w:rFonts w:hint="eastAsia" w:ascii="仿宋_GB2312" w:eastAsia="仿宋_GB2312"/>
          <w:sz w:val="32"/>
          <w:szCs w:val="32"/>
          <w:lang w:val="zh-CN"/>
        </w:rPr>
        <w:t>606.47</w:t>
      </w:r>
      <w:r>
        <w:rPr>
          <w:rFonts w:hint="eastAsia" w:ascii="仿宋_GB2312" w:eastAsia="仿宋_GB2312"/>
          <w:sz w:val="32"/>
          <w:szCs w:val="32"/>
        </w:rPr>
        <w:t>万元，占</w:t>
      </w:r>
      <w:r>
        <w:rPr>
          <w:rFonts w:hint="eastAsia" w:ascii="仿宋_GB2312" w:eastAsia="仿宋_GB2312"/>
          <w:sz w:val="32"/>
          <w:szCs w:val="32"/>
          <w:lang w:val="zh-CN"/>
        </w:rPr>
        <w:t>75.04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200.44</w:t>
      </w:r>
      <w:r>
        <w:rPr>
          <w:rFonts w:hint="eastAsia" w:ascii="仿宋_GB2312" w:eastAsia="仿宋_GB2312"/>
          <w:sz w:val="32"/>
          <w:szCs w:val="32"/>
        </w:rPr>
        <w:t>万元，占</w:t>
      </w:r>
      <w:r>
        <w:rPr>
          <w:rFonts w:hint="eastAsia" w:ascii="仿宋_GB2312" w:eastAsia="仿宋_GB2312"/>
          <w:sz w:val="32"/>
          <w:szCs w:val="32"/>
          <w:lang w:val="zh-CN"/>
        </w:rPr>
        <w:t>24.80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1.25</w:t>
      </w:r>
      <w:r>
        <w:rPr>
          <w:rFonts w:hint="eastAsia" w:ascii="仿宋_GB2312" w:eastAsia="仿宋_GB2312"/>
          <w:sz w:val="32"/>
          <w:szCs w:val="32"/>
        </w:rPr>
        <w:t>万元，占</w:t>
      </w:r>
      <w:r>
        <w:rPr>
          <w:rFonts w:hint="eastAsia" w:ascii="仿宋_GB2312" w:eastAsia="仿宋_GB2312"/>
          <w:sz w:val="32"/>
          <w:szCs w:val="32"/>
          <w:lang w:val="zh-CN"/>
        </w:rPr>
        <w:t>0.15</w:t>
      </w:r>
      <w:r>
        <w:rPr>
          <w:rFonts w:hint="eastAsia" w:ascii="仿宋_GB2312" w:eastAsia="仿宋_GB2312"/>
          <w:sz w:val="32"/>
          <w:szCs w:val="32"/>
        </w:rPr>
        <w:t>%。</w:t>
      </w:r>
    </w:p>
    <w:p w14:paraId="78BC7906">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644677E">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本年支出859.86万元，其中：基本支出633.22万元，占73.64%；项目支出26.20万元，占3.05%；上缴上级支出0.00万元，占0.00%；经营支出200.44万元，占23.31%；对附属单位补助支出0.00万元，占0.00%。</w:t>
      </w:r>
    </w:p>
    <w:p w14:paraId="07A727E2">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F605B5D">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606.47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606.47</w:t>
      </w:r>
      <w:r>
        <w:rPr>
          <w:rFonts w:hint="eastAsia" w:ascii="仿宋_GB2312" w:eastAsia="仿宋_GB2312"/>
          <w:sz w:val="32"/>
          <w:szCs w:val="32"/>
        </w:rPr>
        <w:t>万元。财政拨款支出总计</w:t>
      </w:r>
      <w:r>
        <w:rPr>
          <w:rFonts w:hint="eastAsia" w:ascii="仿宋_GB2312" w:eastAsia="仿宋_GB2312"/>
          <w:sz w:val="32"/>
          <w:szCs w:val="32"/>
          <w:lang w:val="zh-CN"/>
        </w:rPr>
        <w:t>606.47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606.47</w:t>
      </w:r>
      <w:r>
        <w:rPr>
          <w:rFonts w:hint="eastAsia" w:ascii="仿宋_GB2312" w:eastAsia="仿宋_GB2312"/>
          <w:sz w:val="32"/>
          <w:szCs w:val="32"/>
        </w:rPr>
        <w:t>万元。</w:t>
      </w:r>
    </w:p>
    <w:p w14:paraId="4944D0E1">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增加52.74万元</w:t>
      </w:r>
      <w:r>
        <w:rPr>
          <w:rFonts w:hint="eastAsia" w:ascii="仿宋_GB2312" w:eastAsia="仿宋_GB2312"/>
          <w:sz w:val="32"/>
          <w:szCs w:val="32"/>
        </w:rPr>
        <w:t>，增长9.52%,主要原因是：</w:t>
      </w:r>
      <w:r>
        <w:rPr>
          <w:rFonts w:hint="eastAsia" w:eastAsia="仿宋_GB2312"/>
          <w:sz w:val="32"/>
          <w:szCs w:val="32"/>
        </w:rPr>
        <w:t>在职及退休职工调增基础绩效奖</w:t>
      </w:r>
      <w:r>
        <w:rPr>
          <w:rFonts w:hint="eastAsia" w:eastAsia="仿宋_GB2312"/>
          <w:sz w:val="32"/>
          <w:szCs w:val="32"/>
          <w:lang w:eastAsia="zh-CN"/>
        </w:rPr>
        <w:t>，</w:t>
      </w:r>
      <w:r>
        <w:rPr>
          <w:rFonts w:hint="eastAsia" w:ascii="仿宋_GB2312" w:eastAsia="仿宋_GB2312"/>
          <w:sz w:val="32"/>
          <w:szCs w:val="32"/>
        </w:rPr>
        <w:t>在职职工调增年终一次性奖金，职业年金、丧葬费抚恤金增加</w:t>
      </w:r>
      <w:r>
        <w:rPr>
          <w:rFonts w:hint="eastAsia" w:ascii="仿宋_GB2312" w:eastAsia="仿宋_GB2312"/>
          <w:sz w:val="32"/>
          <w:szCs w:val="32"/>
          <w:lang w:eastAsia="zh-CN"/>
        </w:rPr>
        <w:t>。</w:t>
      </w:r>
      <w:r>
        <w:rPr>
          <w:rFonts w:hint="eastAsia" w:ascii="仿宋_GB2312" w:eastAsia="仿宋_GB2312"/>
          <w:sz w:val="32"/>
          <w:szCs w:val="32"/>
        </w:rPr>
        <w:t>与年初预算相比，年初预算数</w:t>
      </w:r>
      <w:r>
        <w:rPr>
          <w:rFonts w:hint="eastAsia" w:ascii="仿宋_GB2312" w:eastAsia="仿宋_GB2312"/>
          <w:sz w:val="32"/>
          <w:szCs w:val="32"/>
          <w:lang w:val="zh-CN"/>
        </w:rPr>
        <w:t>548.99</w:t>
      </w:r>
      <w:r>
        <w:rPr>
          <w:rFonts w:hint="eastAsia" w:ascii="仿宋_GB2312" w:eastAsia="仿宋_GB2312"/>
          <w:sz w:val="32"/>
          <w:szCs w:val="32"/>
        </w:rPr>
        <w:t>万元，决算数</w:t>
      </w:r>
      <w:r>
        <w:rPr>
          <w:rFonts w:hint="eastAsia" w:ascii="仿宋_GB2312" w:eastAsia="仿宋_GB2312"/>
          <w:sz w:val="32"/>
          <w:szCs w:val="32"/>
          <w:lang w:val="zh-CN"/>
        </w:rPr>
        <w:t>606.47</w:t>
      </w:r>
      <w:r>
        <w:rPr>
          <w:rFonts w:hint="eastAsia" w:ascii="仿宋_GB2312" w:eastAsia="仿宋_GB2312"/>
          <w:sz w:val="32"/>
          <w:szCs w:val="32"/>
        </w:rPr>
        <w:t>万元，预决算差异率10.47%，主要原因是：</w:t>
      </w:r>
      <w:r>
        <w:rPr>
          <w:rFonts w:hint="eastAsia" w:ascii="仿宋_GB2312" w:eastAsia="仿宋_GB2312"/>
          <w:sz w:val="32"/>
          <w:szCs w:val="32"/>
          <w:lang w:val="en-US" w:eastAsia="zh-CN"/>
        </w:rPr>
        <w:t>年中追加</w:t>
      </w:r>
      <w:r>
        <w:rPr>
          <w:rFonts w:hint="eastAsia" w:ascii="仿宋_GB2312" w:eastAsia="仿宋_GB2312"/>
          <w:sz w:val="32"/>
          <w:szCs w:val="32"/>
        </w:rPr>
        <w:t>年终</w:t>
      </w:r>
      <w:bookmarkStart w:id="48" w:name="_GoBack"/>
      <w:bookmarkEnd w:id="48"/>
      <w:r>
        <w:rPr>
          <w:rFonts w:hint="eastAsia" w:ascii="仿宋_GB2312" w:eastAsia="仿宋_GB2312"/>
          <w:sz w:val="32"/>
          <w:szCs w:val="32"/>
        </w:rPr>
        <w:t>一次性奖金</w:t>
      </w:r>
      <w:r>
        <w:rPr>
          <w:rFonts w:hint="eastAsia" w:ascii="仿宋_GB2312" w:eastAsia="仿宋_GB2312"/>
          <w:sz w:val="32"/>
          <w:szCs w:val="32"/>
          <w:lang w:eastAsia="zh-CN"/>
        </w:rPr>
        <w:t>、基础绩效奖、</w:t>
      </w:r>
      <w:r>
        <w:rPr>
          <w:rFonts w:hint="eastAsia" w:ascii="仿宋_GB2312" w:eastAsia="仿宋_GB2312"/>
          <w:sz w:val="32"/>
          <w:szCs w:val="32"/>
        </w:rPr>
        <w:t>职业年金、丧葬费抚恤金</w:t>
      </w:r>
      <w:r>
        <w:rPr>
          <w:rFonts w:hint="eastAsia" w:ascii="仿宋_GB2312" w:eastAsia="仿宋_GB2312"/>
          <w:sz w:val="32"/>
          <w:szCs w:val="32"/>
          <w:lang w:eastAsia="zh-CN"/>
        </w:rPr>
        <w:t>。</w:t>
      </w:r>
    </w:p>
    <w:p w14:paraId="30F47E83">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7E8A740">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6FD19403">
      <w:pPr>
        <w:ind w:firstLine="640" w:firstLineChars="200"/>
      </w:pPr>
      <w:r>
        <w:rPr>
          <w:rFonts w:hint="eastAsia" w:ascii="仿宋_GB2312" w:eastAsia="仿宋_GB2312"/>
          <w:sz w:val="32"/>
          <w:szCs w:val="32"/>
        </w:rPr>
        <w:t>2023年度一般公共预算财政拨款支出606.47万元，占本年支出合计的</w:t>
      </w:r>
      <w:r>
        <w:rPr>
          <w:rFonts w:hint="eastAsia" w:ascii="仿宋_GB2312" w:eastAsia="仿宋_GB2312"/>
          <w:sz w:val="32"/>
          <w:szCs w:val="32"/>
          <w:lang w:val="zh-CN"/>
        </w:rPr>
        <w:t>70.53%</w:t>
      </w:r>
      <w:r>
        <w:rPr>
          <w:rFonts w:hint="eastAsia" w:ascii="仿宋_GB2312" w:eastAsia="仿宋_GB2312"/>
          <w:sz w:val="32"/>
          <w:szCs w:val="32"/>
        </w:rPr>
        <w:t>。与上年相比，</w:t>
      </w:r>
      <w:r>
        <w:rPr>
          <w:rFonts w:hint="eastAsia" w:ascii="仿宋_GB2312" w:eastAsia="仿宋_GB2312"/>
          <w:sz w:val="32"/>
          <w:szCs w:val="32"/>
          <w:lang w:val="zh-CN"/>
        </w:rPr>
        <w:t>增加52.74万元</w:t>
      </w:r>
      <w:r>
        <w:rPr>
          <w:rFonts w:hint="eastAsia" w:ascii="仿宋_GB2312" w:eastAsia="仿宋_GB2312"/>
          <w:sz w:val="32"/>
          <w:szCs w:val="32"/>
        </w:rPr>
        <w:t>，增长9.52%,主要原因是：</w:t>
      </w:r>
      <w:r>
        <w:rPr>
          <w:rFonts w:hint="eastAsia" w:eastAsia="仿宋_GB2312"/>
          <w:sz w:val="32"/>
          <w:szCs w:val="32"/>
        </w:rPr>
        <w:t>在职及退休职工调增基础绩效奖</w:t>
      </w:r>
      <w:r>
        <w:rPr>
          <w:rFonts w:hint="eastAsia" w:eastAsia="仿宋_GB2312"/>
          <w:sz w:val="32"/>
          <w:szCs w:val="32"/>
          <w:lang w:eastAsia="zh-CN"/>
        </w:rPr>
        <w:t>，</w:t>
      </w:r>
      <w:r>
        <w:rPr>
          <w:rFonts w:hint="eastAsia" w:ascii="仿宋_GB2312" w:eastAsia="仿宋_GB2312"/>
          <w:sz w:val="32"/>
          <w:szCs w:val="32"/>
        </w:rPr>
        <w:t>在职职工调增年终一次性奖金，职业年金、丧葬费抚恤金</w:t>
      </w:r>
      <w:r>
        <w:rPr>
          <w:rFonts w:hint="eastAsia" w:ascii="仿宋_GB2312" w:eastAsia="仿宋_GB2312"/>
          <w:sz w:val="32"/>
          <w:szCs w:val="32"/>
          <w:lang w:eastAsia="zh-CN"/>
        </w:rPr>
        <w:t>支出</w:t>
      </w:r>
      <w:r>
        <w:rPr>
          <w:rFonts w:hint="eastAsia" w:ascii="仿宋_GB2312" w:eastAsia="仿宋_GB2312"/>
          <w:sz w:val="32"/>
          <w:szCs w:val="32"/>
        </w:rPr>
        <w:t>增加。与年初预算相比，年初预算数</w:t>
      </w:r>
      <w:r>
        <w:rPr>
          <w:rFonts w:hint="eastAsia" w:ascii="仿宋_GB2312" w:eastAsia="仿宋_GB2312"/>
          <w:sz w:val="32"/>
          <w:szCs w:val="32"/>
          <w:lang w:val="zh-CN"/>
        </w:rPr>
        <w:t>548.99</w:t>
      </w:r>
      <w:r>
        <w:rPr>
          <w:rFonts w:hint="eastAsia" w:ascii="仿宋_GB2312" w:eastAsia="仿宋_GB2312"/>
          <w:sz w:val="32"/>
          <w:szCs w:val="32"/>
        </w:rPr>
        <w:t>万元，决算数</w:t>
      </w:r>
      <w:r>
        <w:rPr>
          <w:rFonts w:hint="eastAsia" w:ascii="仿宋_GB2312" w:eastAsia="仿宋_GB2312"/>
          <w:sz w:val="32"/>
          <w:szCs w:val="32"/>
          <w:lang w:val="zh-CN"/>
        </w:rPr>
        <w:t>606.47</w:t>
      </w:r>
      <w:r>
        <w:rPr>
          <w:rFonts w:hint="eastAsia" w:ascii="仿宋_GB2312" w:eastAsia="仿宋_GB2312"/>
          <w:sz w:val="32"/>
          <w:szCs w:val="32"/>
        </w:rPr>
        <w:t>万元，预决算差异率</w:t>
      </w:r>
      <w:r>
        <w:rPr>
          <w:rFonts w:hint="eastAsia" w:ascii="仿宋_GB2312" w:eastAsia="仿宋_GB2312"/>
          <w:sz w:val="32"/>
          <w:szCs w:val="32"/>
          <w:lang w:val="zh-CN"/>
        </w:rPr>
        <w:t>10.47%</w:t>
      </w:r>
      <w:r>
        <w:rPr>
          <w:rFonts w:hint="eastAsia" w:ascii="仿宋_GB2312" w:eastAsia="仿宋_GB2312"/>
          <w:sz w:val="32"/>
          <w:szCs w:val="32"/>
        </w:rPr>
        <w:t>，主要原因是：</w:t>
      </w:r>
      <w:r>
        <w:rPr>
          <w:rFonts w:hint="eastAsia" w:ascii="仿宋_GB2312" w:eastAsia="仿宋_GB2312"/>
          <w:sz w:val="32"/>
          <w:szCs w:val="32"/>
          <w:lang w:val="en-US" w:eastAsia="zh-CN"/>
        </w:rPr>
        <w:t>年中追加</w:t>
      </w:r>
      <w:r>
        <w:rPr>
          <w:rFonts w:hint="eastAsia" w:ascii="仿宋_GB2312" w:eastAsia="仿宋_GB2312"/>
          <w:sz w:val="32"/>
          <w:szCs w:val="32"/>
        </w:rPr>
        <w:t>年终一次性奖金</w:t>
      </w:r>
      <w:r>
        <w:rPr>
          <w:rFonts w:hint="eastAsia" w:ascii="仿宋_GB2312" w:eastAsia="仿宋_GB2312"/>
          <w:sz w:val="32"/>
          <w:szCs w:val="32"/>
          <w:lang w:eastAsia="zh-CN"/>
        </w:rPr>
        <w:t>、基础绩效奖、</w:t>
      </w:r>
      <w:r>
        <w:rPr>
          <w:rFonts w:hint="eastAsia" w:ascii="仿宋_GB2312" w:eastAsia="仿宋_GB2312"/>
          <w:sz w:val="32"/>
          <w:szCs w:val="32"/>
        </w:rPr>
        <w:t>职业年金、丧葬费抚恤金</w:t>
      </w:r>
      <w:r>
        <w:rPr>
          <w:rFonts w:hint="eastAsia" w:ascii="仿宋_GB2312" w:eastAsia="仿宋_GB2312"/>
          <w:sz w:val="32"/>
          <w:szCs w:val="32"/>
          <w:lang w:eastAsia="zh-CN"/>
        </w:rPr>
        <w:t>支出。</w:t>
      </w:r>
    </w:p>
    <w:p w14:paraId="51A78D02">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6E68C70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108.87</w:t>
      </w:r>
      <w:r>
        <w:rPr>
          <w:rFonts w:ascii="仿宋_GB2312" w:eastAsia="仿宋_GB2312"/>
          <w:kern w:val="2"/>
          <w:sz w:val="32"/>
          <w:szCs w:val="32"/>
          <w:lang w:val="zh-CN"/>
        </w:rPr>
        <w:t>万元，占</w:t>
      </w:r>
      <w:r>
        <w:rPr>
          <w:rFonts w:hint="eastAsia" w:ascii="仿宋_GB2312" w:eastAsia="仿宋_GB2312"/>
          <w:kern w:val="2"/>
          <w:sz w:val="32"/>
          <w:szCs w:val="32"/>
          <w:lang w:val="zh-CN"/>
        </w:rPr>
        <w:t>17.95</w:t>
      </w:r>
      <w:r>
        <w:rPr>
          <w:rFonts w:ascii="仿宋_GB2312" w:eastAsia="仿宋_GB2312"/>
          <w:kern w:val="2"/>
          <w:sz w:val="32"/>
          <w:szCs w:val="32"/>
          <w:lang w:val="zh-CN"/>
        </w:rPr>
        <w:t>%；</w:t>
      </w:r>
    </w:p>
    <w:p w14:paraId="62B948A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39.07</w:t>
      </w:r>
      <w:r>
        <w:rPr>
          <w:rFonts w:ascii="仿宋_GB2312" w:eastAsia="仿宋_GB2312"/>
          <w:kern w:val="2"/>
          <w:sz w:val="32"/>
          <w:szCs w:val="32"/>
          <w:lang w:val="zh-CN"/>
        </w:rPr>
        <w:t>万元，占</w:t>
      </w:r>
      <w:r>
        <w:rPr>
          <w:rFonts w:hint="eastAsia" w:ascii="仿宋_GB2312" w:eastAsia="仿宋_GB2312"/>
          <w:kern w:val="2"/>
          <w:sz w:val="32"/>
          <w:szCs w:val="32"/>
          <w:lang w:val="zh-CN"/>
        </w:rPr>
        <w:t>6.44</w:t>
      </w:r>
      <w:r>
        <w:rPr>
          <w:rFonts w:ascii="仿宋_GB2312" w:eastAsia="仿宋_GB2312"/>
          <w:kern w:val="2"/>
          <w:sz w:val="32"/>
          <w:szCs w:val="32"/>
          <w:lang w:val="zh-CN"/>
        </w:rPr>
        <w:t>%；</w:t>
      </w:r>
    </w:p>
    <w:p w14:paraId="7EDBD15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426.21</w:t>
      </w:r>
      <w:r>
        <w:rPr>
          <w:rFonts w:ascii="仿宋_GB2312" w:eastAsia="仿宋_GB2312"/>
          <w:kern w:val="2"/>
          <w:sz w:val="32"/>
          <w:szCs w:val="32"/>
          <w:lang w:val="zh-CN"/>
        </w:rPr>
        <w:t xml:space="preserve">万元，占 </w:t>
      </w:r>
      <w:r>
        <w:rPr>
          <w:rFonts w:hint="eastAsia" w:ascii="仿宋_GB2312" w:eastAsia="仿宋_GB2312"/>
          <w:kern w:val="2"/>
          <w:sz w:val="32"/>
          <w:szCs w:val="32"/>
          <w:lang w:val="zh-CN"/>
        </w:rPr>
        <w:t>70.28</w:t>
      </w:r>
      <w:r>
        <w:rPr>
          <w:rFonts w:ascii="仿宋_GB2312" w:eastAsia="仿宋_GB2312"/>
          <w:kern w:val="2"/>
          <w:sz w:val="32"/>
          <w:szCs w:val="32"/>
          <w:lang w:val="zh-CN"/>
        </w:rPr>
        <w:t>%；</w:t>
      </w:r>
    </w:p>
    <w:p w14:paraId="32BB7AF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32.33</w:t>
      </w:r>
      <w:r>
        <w:rPr>
          <w:rFonts w:ascii="仿宋_GB2312" w:eastAsia="仿宋_GB2312"/>
          <w:kern w:val="2"/>
          <w:sz w:val="32"/>
          <w:szCs w:val="32"/>
          <w:lang w:val="zh-CN"/>
        </w:rPr>
        <w:t>万元，占</w:t>
      </w:r>
      <w:r>
        <w:rPr>
          <w:rFonts w:hint="eastAsia" w:ascii="仿宋_GB2312" w:eastAsia="仿宋_GB2312"/>
          <w:kern w:val="2"/>
          <w:sz w:val="32"/>
          <w:szCs w:val="32"/>
          <w:lang w:val="zh-CN"/>
        </w:rPr>
        <w:t>5.33</w:t>
      </w:r>
      <w:r>
        <w:rPr>
          <w:rFonts w:ascii="仿宋_GB2312" w:eastAsia="仿宋_GB2312"/>
          <w:kern w:val="2"/>
          <w:sz w:val="32"/>
          <w:szCs w:val="32"/>
          <w:lang w:val="zh-CN"/>
        </w:rPr>
        <w:t>%</w:t>
      </w:r>
      <w:r>
        <w:rPr>
          <w:rFonts w:hint="eastAsia" w:ascii="仿宋_GB2312" w:eastAsia="仿宋_GB2312"/>
          <w:kern w:val="2"/>
          <w:sz w:val="32"/>
          <w:szCs w:val="32"/>
          <w:lang w:val="zh-CN"/>
        </w:rPr>
        <w:t>。</w:t>
      </w:r>
    </w:p>
    <w:p w14:paraId="5A0FD8AE">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6C1DCE58">
      <w:pPr>
        <w:ind w:firstLine="640" w:firstLineChars="200"/>
        <w:rPr>
          <w:rFonts w:hint="eastAsia" w:eastAsia="仿宋_GB2312"/>
          <w:sz w:val="32"/>
          <w:szCs w:val="32"/>
          <w:lang w:val="zh-CN"/>
        </w:rPr>
      </w:pPr>
      <w:r>
        <w:rPr>
          <w:rFonts w:hint="eastAsia" w:eastAsia="仿宋_GB2312"/>
          <w:sz w:val="32"/>
          <w:szCs w:val="32"/>
        </w:rPr>
        <w:t>1.卫生健康支出（类）行政事业单位医疗（款）事业单位医疗（项）:支出决算数为20.21万元，比上年决算增加0.82万元，增长4.23%，主要原因是：在职职工调增基础绩效奖，医疗保险缴费基数提高</w:t>
      </w:r>
      <w:r>
        <w:rPr>
          <w:rFonts w:hint="eastAsia" w:eastAsia="仿宋_GB2312"/>
          <w:sz w:val="32"/>
          <w:szCs w:val="32"/>
          <w:lang w:val="zh-CN"/>
        </w:rPr>
        <w:t>。</w:t>
      </w:r>
    </w:p>
    <w:p w14:paraId="1B2D4849">
      <w:pPr>
        <w:ind w:firstLine="640" w:firstLineChars="200"/>
        <w:rPr>
          <w:rFonts w:hint="eastAsia" w:eastAsia="仿宋_GB2312"/>
          <w:sz w:val="32"/>
          <w:szCs w:val="32"/>
          <w:lang w:val="zh-CN"/>
        </w:rPr>
      </w:pPr>
      <w:r>
        <w:rPr>
          <w:rFonts w:hint="eastAsia" w:eastAsia="仿宋_GB2312"/>
          <w:sz w:val="32"/>
          <w:szCs w:val="32"/>
        </w:rPr>
        <w:t>2.卫生健康支出（类）行政事业单位医疗（款）公务员医疗补助（项）:支出决算数为18.86万元，比上年决算增加10.35万元，增长121.61%，主要原因是：在职职工调增基础绩效奖，公务员医疗补助缴费基数提高</w:t>
      </w:r>
      <w:r>
        <w:rPr>
          <w:rFonts w:hint="eastAsia" w:eastAsia="仿宋_GB2312"/>
          <w:sz w:val="32"/>
          <w:szCs w:val="32"/>
          <w:lang w:val="zh-CN"/>
        </w:rPr>
        <w:t>。</w:t>
      </w:r>
    </w:p>
    <w:p w14:paraId="0D1AAF8E">
      <w:pPr>
        <w:ind w:firstLine="640" w:firstLineChars="200"/>
        <w:rPr>
          <w:rFonts w:hint="eastAsia" w:eastAsia="仿宋_GB2312"/>
          <w:sz w:val="32"/>
          <w:szCs w:val="32"/>
          <w:lang w:val="zh-CN"/>
        </w:rPr>
      </w:pPr>
      <w:r>
        <w:rPr>
          <w:rFonts w:hint="eastAsia" w:eastAsia="仿宋_GB2312"/>
          <w:sz w:val="32"/>
          <w:szCs w:val="32"/>
        </w:rPr>
        <w:t>3.交通运输支出（类）公路水路运输（款）公路养护（项）:支出决算数为426.21万元，比上年决算增加33.88万元，增长8.64%，主要原因是：在职及退休职工调增基础绩效奖</w:t>
      </w:r>
      <w:r>
        <w:rPr>
          <w:rFonts w:hint="eastAsia" w:eastAsia="仿宋_GB2312"/>
          <w:sz w:val="32"/>
          <w:szCs w:val="32"/>
          <w:lang w:val="zh-CN"/>
        </w:rPr>
        <w:t>。</w:t>
      </w:r>
    </w:p>
    <w:p w14:paraId="158A4CF1">
      <w:pPr>
        <w:ind w:firstLine="640" w:firstLineChars="200"/>
        <w:rPr>
          <w:rFonts w:hint="eastAsia" w:eastAsia="仿宋_GB2312"/>
          <w:sz w:val="32"/>
          <w:szCs w:val="32"/>
          <w:lang w:val="zh-CN"/>
        </w:rPr>
      </w:pPr>
      <w:r>
        <w:rPr>
          <w:rFonts w:hint="eastAsia" w:eastAsia="仿宋_GB2312"/>
          <w:sz w:val="32"/>
          <w:szCs w:val="32"/>
        </w:rPr>
        <w:t>4.住房保障支出（类）住房改革支出（款）住房公积金（项）:支出决算数为32.33万元，比上年决算增加1.88万元，增长6.17%，主要原因是：在职职工工资调增基础绩效奖，住房公积金缴费基数提高</w:t>
      </w:r>
      <w:r>
        <w:rPr>
          <w:rFonts w:hint="eastAsia" w:eastAsia="仿宋_GB2312"/>
          <w:sz w:val="32"/>
          <w:szCs w:val="32"/>
          <w:lang w:val="zh-CN"/>
        </w:rPr>
        <w:t>。</w:t>
      </w:r>
    </w:p>
    <w:p w14:paraId="175BD92D">
      <w:pPr>
        <w:ind w:firstLine="640" w:firstLineChars="200"/>
        <w:rPr>
          <w:rFonts w:hint="eastAsia" w:eastAsia="仿宋_GB2312"/>
          <w:sz w:val="32"/>
          <w:szCs w:val="32"/>
          <w:lang w:val="zh-CN"/>
        </w:rPr>
      </w:pPr>
      <w:r>
        <w:rPr>
          <w:rFonts w:hint="eastAsia" w:eastAsia="仿宋_GB2312"/>
          <w:sz w:val="32"/>
          <w:szCs w:val="32"/>
        </w:rPr>
        <w:t>5.社会保障和就业支出（类）行政事业单位养老支出（款）事业单位离退休（项）:支出决算数为58.24万元，比上年决算增加24.07万元，增长70.43%，主要原因是：退休职工退休费增加</w:t>
      </w:r>
      <w:r>
        <w:rPr>
          <w:rFonts w:hint="eastAsia" w:eastAsia="仿宋_GB2312"/>
          <w:sz w:val="32"/>
          <w:szCs w:val="32"/>
          <w:lang w:eastAsia="zh-CN"/>
        </w:rPr>
        <w:t>了</w:t>
      </w:r>
      <w:r>
        <w:rPr>
          <w:rFonts w:hint="eastAsia" w:eastAsia="仿宋_GB2312"/>
          <w:sz w:val="32"/>
          <w:szCs w:val="32"/>
        </w:rPr>
        <w:t>基础绩效奖</w:t>
      </w:r>
      <w:r>
        <w:rPr>
          <w:rFonts w:hint="eastAsia" w:eastAsia="仿宋_GB2312"/>
          <w:sz w:val="32"/>
          <w:szCs w:val="32"/>
          <w:lang w:val="zh-CN"/>
        </w:rPr>
        <w:t>。</w:t>
      </w:r>
    </w:p>
    <w:p w14:paraId="0131B847">
      <w:pPr>
        <w:ind w:firstLine="640" w:firstLineChars="200"/>
        <w:rPr>
          <w:rFonts w:eastAsia="仿宋_GB2312"/>
          <w:sz w:val="32"/>
          <w:szCs w:val="32"/>
          <w:lang w:val="zh-CN"/>
        </w:rPr>
      </w:pPr>
      <w:r>
        <w:rPr>
          <w:rFonts w:hint="eastAsia" w:eastAsia="仿宋_GB2312"/>
          <w:sz w:val="32"/>
          <w:szCs w:val="32"/>
        </w:rPr>
        <w:t>6.社会保障和就业支出（类）行政事业单位养老支出（款）机关事业单位职业年金缴费支出（项）:支出决算数为7.52万元，比上年决算增加3.58万元，增长90.</w:t>
      </w:r>
      <w:r>
        <w:rPr>
          <w:rFonts w:hint="eastAsia" w:eastAsia="仿宋_GB2312"/>
          <w:sz w:val="32"/>
          <w:szCs w:val="32"/>
          <w:lang w:val="en-US" w:eastAsia="zh-CN"/>
        </w:rPr>
        <w:t>86</w:t>
      </w:r>
      <w:r>
        <w:rPr>
          <w:rFonts w:hint="eastAsia" w:eastAsia="仿宋_GB2312"/>
          <w:sz w:val="32"/>
          <w:szCs w:val="32"/>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年退休人员职业年金较202</w:t>
      </w:r>
      <w:r>
        <w:rPr>
          <w:rFonts w:hint="eastAsia" w:ascii="仿宋_GB2312" w:eastAsia="仿宋_GB2312"/>
          <w:sz w:val="32"/>
          <w:szCs w:val="32"/>
          <w:lang w:val="en-US" w:eastAsia="zh-CN"/>
        </w:rPr>
        <w:t>2</w:t>
      </w:r>
      <w:r>
        <w:rPr>
          <w:rFonts w:hint="eastAsia" w:ascii="仿宋_GB2312" w:eastAsia="仿宋_GB2312"/>
          <w:sz w:val="32"/>
          <w:szCs w:val="32"/>
        </w:rPr>
        <w:t>年退休人员职业年金</w:t>
      </w:r>
      <w:r>
        <w:rPr>
          <w:rFonts w:hint="eastAsia" w:ascii="仿宋_GB2312" w:eastAsia="仿宋_GB2312"/>
          <w:sz w:val="32"/>
          <w:szCs w:val="32"/>
          <w:lang w:eastAsia="zh-CN"/>
        </w:rPr>
        <w:t>增加</w:t>
      </w:r>
      <w:r>
        <w:rPr>
          <w:rFonts w:hint="eastAsia" w:eastAsia="仿宋_GB2312"/>
          <w:sz w:val="32"/>
          <w:szCs w:val="32"/>
          <w:lang w:val="zh-CN"/>
        </w:rPr>
        <w:t>。</w:t>
      </w:r>
    </w:p>
    <w:p w14:paraId="2D6A5E2D">
      <w:pPr>
        <w:ind w:firstLine="640" w:firstLineChars="200"/>
        <w:rPr>
          <w:rFonts w:hint="eastAsia" w:eastAsia="仿宋_GB2312"/>
          <w:sz w:val="32"/>
          <w:szCs w:val="32"/>
          <w:lang w:val="zh-CN"/>
        </w:rPr>
      </w:pPr>
      <w:r>
        <w:rPr>
          <w:rFonts w:hint="eastAsia" w:eastAsia="仿宋_GB2312"/>
          <w:sz w:val="32"/>
          <w:szCs w:val="32"/>
        </w:rPr>
        <w:t>7.社会保障和就业支出（类）行政事业单位养老支出（款）机关事业单位基本养老保险缴费支出（项）:支出决算数为43.11万元，比上年决算增加9.51万元，增长28.29%，主要原因是：在职职工调增基础绩效奖，养老保险缴费基数提高</w:t>
      </w:r>
      <w:r>
        <w:rPr>
          <w:rFonts w:hint="eastAsia" w:eastAsia="仿宋_GB2312"/>
          <w:sz w:val="32"/>
          <w:szCs w:val="32"/>
          <w:lang w:val="zh-CN"/>
        </w:rPr>
        <w:t>。</w:t>
      </w:r>
    </w:p>
    <w:p w14:paraId="0437398A">
      <w:pPr>
        <w:ind w:firstLine="640" w:firstLineChars="200"/>
        <w:rPr>
          <w:rFonts w:eastAsia="仿宋_GB2312"/>
          <w:sz w:val="32"/>
          <w:szCs w:val="32"/>
          <w:lang w:val="zh-CN"/>
        </w:rPr>
      </w:pPr>
      <w:r>
        <w:rPr>
          <w:rFonts w:hint="eastAsia" w:eastAsia="仿宋_GB2312"/>
          <w:sz w:val="32"/>
          <w:szCs w:val="32"/>
        </w:rPr>
        <w:t>8.交通运输支出（类）公路水路运输（款）其他公路水路运输支出（项）:支出决算数为0.00万元，比上年决算减少31.34万元，下降100%，主要原因是：</w:t>
      </w:r>
      <w:r>
        <w:rPr>
          <w:rFonts w:hint="eastAsia" w:eastAsia="仿宋_GB2312"/>
          <w:sz w:val="32"/>
          <w:szCs w:val="32"/>
          <w:lang w:val="en-US" w:eastAsia="zh-CN"/>
        </w:rPr>
        <w:t>2023年未安排</w:t>
      </w:r>
      <w:r>
        <w:rPr>
          <w:rFonts w:hint="eastAsia" w:eastAsia="仿宋_GB2312"/>
          <w:sz w:val="32"/>
          <w:szCs w:val="32"/>
          <w:lang w:val="zh-CN"/>
        </w:rPr>
        <w:t>其他公路水路运输支出。</w:t>
      </w:r>
    </w:p>
    <w:p w14:paraId="2AC9FB00">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CAE6B8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580.27万元，其中：人员经费507.20万元，包括：基本工资、津贴补贴、奖金、绩效工资、机关事业单位基本养老保险缴费、职业年金缴费、职工基本医疗保险缴费、公务员医疗补助缴费、其他社会保障缴费、住房公积金、退休费、抚恤金、医疗费补助、奖励金、其他对个人和家庭的补助。</w:t>
      </w:r>
    </w:p>
    <w:p w14:paraId="24F0923F">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公用经费73.07万元，包括：办公费、手续费、水费、电费、邮电费、取暖费、差旅费、维修（护）费、工会经费、福利费、公务用车运行维护费、其他交通费用、其他商品和服务支出。</w:t>
      </w:r>
    </w:p>
    <w:p w14:paraId="43B1C61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1042A9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“三公”经费支出3.49万元，</w:t>
      </w:r>
      <w:r>
        <w:rPr>
          <w:rFonts w:hint="eastAsia" w:ascii="仿宋_GB2312" w:eastAsia="仿宋_GB2312"/>
          <w:sz w:val="32"/>
          <w:szCs w:val="32"/>
        </w:rPr>
        <w:t>比上年</w:t>
      </w:r>
      <w:r>
        <w:rPr>
          <w:rFonts w:hint="eastAsia" w:ascii="仿宋_GB2312" w:eastAsia="仿宋_GB2312"/>
          <w:sz w:val="32"/>
          <w:szCs w:val="32"/>
          <w:lang w:val="zh-CN"/>
        </w:rPr>
        <w:t>减少0.03万元，</w:t>
      </w:r>
      <w:r>
        <w:rPr>
          <w:rFonts w:hint="eastAsia" w:ascii="仿宋_GB2312" w:eastAsia="仿宋_GB2312"/>
          <w:sz w:val="32"/>
          <w:szCs w:val="32"/>
        </w:rPr>
        <w:t>下降0.</w:t>
      </w:r>
      <w:r>
        <w:rPr>
          <w:rFonts w:hint="eastAsia" w:ascii="仿宋_GB2312" w:eastAsia="仿宋_GB2312"/>
          <w:sz w:val="32"/>
          <w:szCs w:val="32"/>
          <w:lang w:val="en-US" w:eastAsia="zh-CN"/>
        </w:rPr>
        <w:t>85</w:t>
      </w:r>
      <w:r>
        <w:rPr>
          <w:rFonts w:hint="eastAsia" w:ascii="仿宋_GB2312" w:eastAsia="仿宋_GB2312"/>
          <w:sz w:val="32"/>
          <w:szCs w:val="32"/>
        </w:rPr>
        <w:t>%,</w:t>
      </w:r>
      <w:r>
        <w:rPr>
          <w:rFonts w:hint="eastAsia" w:ascii="仿宋_GB2312" w:eastAsia="仿宋_GB2312"/>
          <w:sz w:val="32"/>
          <w:szCs w:val="32"/>
          <w:lang w:val="zh-CN"/>
        </w:rPr>
        <w:t>主要原因是：</w:t>
      </w:r>
      <w:r>
        <w:rPr>
          <w:rFonts w:ascii="仿宋_GB2312" w:eastAsia="仿宋_GB2312"/>
          <w:sz w:val="32"/>
          <w:szCs w:val="32"/>
        </w:rPr>
        <w:t>我单位认真贯彻落实厉行节约</w:t>
      </w:r>
      <w:r>
        <w:rPr>
          <w:rFonts w:hint="eastAsia" w:ascii="仿宋_GB2312" w:eastAsia="仿宋_GB2312"/>
          <w:sz w:val="32"/>
          <w:szCs w:val="32"/>
          <w:lang w:val="en-US" w:eastAsia="zh-CN"/>
        </w:rPr>
        <w:t>政策</w:t>
      </w:r>
      <w:r>
        <w:rPr>
          <w:rFonts w:ascii="仿宋_GB2312" w:eastAsia="仿宋_GB2312"/>
          <w:sz w:val="32"/>
          <w:szCs w:val="32"/>
        </w:rPr>
        <w:t>，从严控制包括公务用车运行费在内的一般性支出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w:t>
      </w:r>
      <w:r>
        <w:rPr>
          <w:rFonts w:hint="eastAsia" w:ascii="仿宋_GB2312" w:eastAsia="仿宋_GB2312"/>
          <w:sz w:val="32"/>
          <w:szCs w:val="32"/>
          <w:lang w:eastAsia="zh-CN"/>
        </w:rPr>
        <w:t>单位无</w:t>
      </w:r>
      <w:r>
        <w:rPr>
          <w:rFonts w:ascii="仿宋_GB2312" w:eastAsia="仿宋_GB2312"/>
          <w:sz w:val="32"/>
          <w:szCs w:val="32"/>
        </w:rPr>
        <w:t>因公出国（境）费</w:t>
      </w:r>
      <w:r>
        <w:rPr>
          <w:rFonts w:hint="eastAsia" w:ascii="仿宋_GB2312" w:eastAsia="仿宋_GB2312"/>
          <w:sz w:val="32"/>
          <w:szCs w:val="32"/>
          <w:lang w:val="zh-CN"/>
        </w:rPr>
        <w:t>；公务用车购置及运行维护费支出3.49万元，占100.00%，比上年减少0.03万元，</w:t>
      </w:r>
      <w:r>
        <w:rPr>
          <w:rFonts w:hint="eastAsia" w:ascii="仿宋_GB2312" w:eastAsia="仿宋_GB2312"/>
          <w:sz w:val="32"/>
          <w:szCs w:val="32"/>
        </w:rPr>
        <w:t>下降0.</w:t>
      </w:r>
      <w:r>
        <w:rPr>
          <w:rFonts w:hint="eastAsia" w:ascii="仿宋_GB2312" w:eastAsia="仿宋_GB2312"/>
          <w:sz w:val="32"/>
          <w:szCs w:val="32"/>
          <w:lang w:val="en-US" w:eastAsia="zh-CN"/>
        </w:rPr>
        <w:t>85</w:t>
      </w:r>
      <w:r>
        <w:rPr>
          <w:rFonts w:hint="eastAsia" w:ascii="仿宋_GB2312" w:eastAsia="仿宋_GB2312"/>
          <w:sz w:val="32"/>
          <w:szCs w:val="32"/>
        </w:rPr>
        <w:t>%,</w:t>
      </w:r>
      <w:r>
        <w:rPr>
          <w:rFonts w:hint="eastAsia" w:ascii="仿宋_GB2312" w:eastAsia="仿宋_GB2312"/>
          <w:sz w:val="32"/>
          <w:szCs w:val="32"/>
          <w:lang w:val="zh-CN"/>
        </w:rPr>
        <w:t>主要原因是：</w:t>
      </w:r>
      <w:r>
        <w:rPr>
          <w:rFonts w:ascii="仿宋_GB2312" w:eastAsia="仿宋_GB2312"/>
          <w:sz w:val="32"/>
          <w:szCs w:val="32"/>
        </w:rPr>
        <w:t>单位落实车辆节能减排要求，公务用车维护费支出减少</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sz w:val="32"/>
          <w:szCs w:val="32"/>
        </w:rPr>
        <w:t>单位贯彻落实厉行节约要求，202</w:t>
      </w:r>
      <w:r>
        <w:rPr>
          <w:rFonts w:hint="eastAsia" w:ascii="仿宋_GB2312" w:eastAsia="仿宋_GB2312"/>
          <w:sz w:val="32"/>
          <w:szCs w:val="32"/>
          <w:lang w:val="en-US" w:eastAsia="zh-CN"/>
        </w:rPr>
        <w:t>3</w:t>
      </w:r>
      <w:r>
        <w:rPr>
          <w:rFonts w:ascii="仿宋_GB2312" w:eastAsia="仿宋_GB2312"/>
          <w:sz w:val="32"/>
          <w:szCs w:val="32"/>
        </w:rPr>
        <w:t>年</w:t>
      </w:r>
      <w:r>
        <w:rPr>
          <w:rFonts w:hint="eastAsia" w:ascii="仿宋_GB2312" w:eastAsia="仿宋_GB2312"/>
          <w:sz w:val="32"/>
          <w:szCs w:val="32"/>
        </w:rPr>
        <w:t>无</w:t>
      </w:r>
      <w:r>
        <w:rPr>
          <w:rFonts w:ascii="仿宋_GB2312" w:eastAsia="仿宋_GB2312"/>
          <w:sz w:val="32"/>
          <w:szCs w:val="32"/>
        </w:rPr>
        <w:t>公务接待</w:t>
      </w:r>
      <w:r>
        <w:rPr>
          <w:rFonts w:hint="eastAsia" w:ascii="仿宋_GB2312" w:eastAsia="仿宋_GB2312"/>
          <w:sz w:val="32"/>
          <w:szCs w:val="32"/>
          <w:lang w:val="zh-CN"/>
        </w:rPr>
        <w:t>。</w:t>
      </w:r>
    </w:p>
    <w:p w14:paraId="54BC692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4E6251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w:t>
      </w:r>
      <w:r>
        <w:rPr>
          <w:rFonts w:hint="eastAsia" w:ascii="仿宋_GB2312" w:hAnsi="仿宋_GB2312" w:eastAsia="仿宋_GB2312" w:cs="仿宋_GB2312"/>
          <w:sz w:val="32"/>
          <w:szCs w:val="32"/>
          <w:lang w:val="en-US" w:eastAsia="zh-CN"/>
        </w:rPr>
        <w:t>开支内容：</w:t>
      </w:r>
      <w:r>
        <w:rPr>
          <w:rFonts w:hint="eastAsia" w:ascii="仿宋_GB2312" w:eastAsia="仿宋_GB2312"/>
          <w:sz w:val="32"/>
          <w:szCs w:val="32"/>
        </w:rPr>
        <w:t>我</w:t>
      </w:r>
      <w:r>
        <w:rPr>
          <w:rFonts w:hint="eastAsia" w:ascii="仿宋_GB2312" w:eastAsia="仿宋_GB2312"/>
          <w:sz w:val="32"/>
          <w:szCs w:val="32"/>
          <w:lang w:eastAsia="zh-CN"/>
        </w:rPr>
        <w:t>单位无</w:t>
      </w:r>
      <w:r>
        <w:rPr>
          <w:rFonts w:hint="eastAsia" w:ascii="仿宋_GB2312" w:eastAsia="仿宋_GB2312"/>
          <w:sz w:val="32"/>
          <w:szCs w:val="32"/>
        </w:rPr>
        <w:t>因公出国（境）费</w:t>
      </w:r>
      <w:r>
        <w:rPr>
          <w:rFonts w:hint="eastAsia" w:ascii="仿宋_GB2312" w:eastAsia="仿宋_GB2312"/>
          <w:sz w:val="32"/>
          <w:szCs w:val="32"/>
          <w:lang w:val="zh-CN"/>
        </w:rPr>
        <w:t>。单位全年安排的因公出国（境）团组0个，因公出国（境）0人次。</w:t>
      </w:r>
    </w:p>
    <w:p w14:paraId="6063F34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公务用车购置及运行维护费3.49万元，其中：公务用车购置费0.00万元，公务用车运行维护费3.49万元。公务用车运行维护费开支内容包括</w:t>
      </w:r>
      <w:r>
        <w:rPr>
          <w:rFonts w:hint="eastAsia" w:ascii="仿宋_GB2312" w:eastAsia="仿宋_GB2312"/>
          <w:sz w:val="32"/>
          <w:szCs w:val="32"/>
        </w:rPr>
        <w:t>公务用车油料费、维修费、保险费及过路费</w:t>
      </w:r>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我单位固定资产车辆数与公务用车保有量无差异</w:t>
      </w:r>
      <w:r>
        <w:rPr>
          <w:rFonts w:hint="eastAsia" w:ascii="仿宋_GB2312" w:eastAsia="仿宋_GB2312"/>
          <w:sz w:val="32"/>
          <w:szCs w:val="32"/>
          <w:lang w:val="zh-CN"/>
        </w:rPr>
        <w:t>。</w:t>
      </w:r>
    </w:p>
    <w:p w14:paraId="2A8AA95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w:t>
      </w:r>
      <w:r>
        <w:rPr>
          <w:rFonts w:hint="eastAsia" w:ascii="仿宋_GB2312" w:hAnsi="仿宋_GB2312" w:eastAsia="仿宋_GB2312" w:cs="仿宋_GB2312"/>
          <w:sz w:val="32"/>
          <w:szCs w:val="32"/>
          <w:lang w:val="en-US" w:eastAsia="zh-CN"/>
        </w:rPr>
        <w:t>开支内容：</w:t>
      </w:r>
      <w:r>
        <w:rPr>
          <w:rFonts w:hint="eastAsia" w:ascii="仿宋_GB2312" w:eastAsia="仿宋_GB2312"/>
          <w:sz w:val="32"/>
          <w:szCs w:val="32"/>
        </w:rPr>
        <w:t>我</w:t>
      </w:r>
      <w:r>
        <w:rPr>
          <w:rFonts w:hint="eastAsia" w:ascii="仿宋_GB2312" w:eastAsia="仿宋_GB2312"/>
          <w:sz w:val="32"/>
          <w:szCs w:val="32"/>
          <w:lang w:eastAsia="zh-CN"/>
        </w:rPr>
        <w:t>单位无</w:t>
      </w:r>
      <w:r>
        <w:rPr>
          <w:rFonts w:hint="eastAsia" w:ascii="仿宋_GB2312" w:eastAsia="仿宋_GB2312"/>
          <w:sz w:val="32"/>
          <w:szCs w:val="32"/>
        </w:rPr>
        <w:t>公务接待费</w:t>
      </w:r>
      <w:r>
        <w:rPr>
          <w:rFonts w:hint="eastAsia" w:ascii="仿宋_GB2312" w:eastAsia="仿宋_GB2312"/>
          <w:sz w:val="32"/>
          <w:szCs w:val="32"/>
          <w:lang w:val="zh-CN"/>
        </w:rPr>
        <w:t>。单位全年安排的国内公务接待0批次，0人次。</w:t>
      </w:r>
    </w:p>
    <w:p w14:paraId="5120604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预算数3.49万元，决算数3.49万元，预决算差异率0.00%，主要原因是：</w:t>
      </w:r>
      <w:r>
        <w:rPr>
          <w:rFonts w:hint="eastAsia" w:ascii="仿宋_GB2312" w:eastAsia="仿宋_GB2312"/>
          <w:sz w:val="32"/>
          <w:szCs w:val="32"/>
        </w:rPr>
        <w:t>单位严格按照预算进行“三公”经费支出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w:t>
      </w:r>
      <w:r>
        <w:rPr>
          <w:rFonts w:hint="eastAsia" w:ascii="仿宋_GB2312" w:eastAsia="仿宋_GB2312"/>
          <w:sz w:val="32"/>
          <w:szCs w:val="32"/>
          <w:lang w:eastAsia="zh-CN"/>
        </w:rPr>
        <w:t>单位无</w:t>
      </w:r>
      <w:r>
        <w:rPr>
          <w:rFonts w:hint="eastAsia" w:ascii="仿宋_GB2312" w:eastAsia="仿宋_GB2312"/>
          <w:sz w:val="32"/>
          <w:szCs w:val="32"/>
        </w:rPr>
        <w:t>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w:t>
      </w:r>
      <w:r>
        <w:rPr>
          <w:rFonts w:hint="eastAsia" w:ascii="仿宋_GB2312" w:eastAsia="仿宋_GB2312"/>
          <w:sz w:val="32"/>
          <w:szCs w:val="32"/>
          <w:lang w:eastAsia="zh-CN"/>
        </w:rPr>
        <w:t>单位无</w:t>
      </w:r>
      <w:r>
        <w:rPr>
          <w:rFonts w:hint="eastAsia" w:ascii="仿宋_GB2312" w:eastAsia="仿宋_GB2312"/>
          <w:sz w:val="32"/>
          <w:szCs w:val="32"/>
        </w:rPr>
        <w:t>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预算数3.49万元，决算数3.49万元，预决算差异率0.00%，主要原因是：</w:t>
      </w:r>
      <w:r>
        <w:rPr>
          <w:rFonts w:hint="eastAsia" w:ascii="仿宋_GB2312" w:eastAsia="仿宋_GB2312"/>
          <w:sz w:val="32"/>
          <w:szCs w:val="32"/>
        </w:rPr>
        <w:t>单位严格按照预算进行公务用车运行费支出</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我</w:t>
      </w:r>
      <w:r>
        <w:rPr>
          <w:rFonts w:hint="eastAsia" w:ascii="仿宋_GB2312" w:eastAsia="仿宋_GB2312"/>
          <w:sz w:val="32"/>
          <w:szCs w:val="32"/>
          <w:lang w:eastAsia="zh-CN"/>
        </w:rPr>
        <w:t>单位无</w:t>
      </w:r>
      <w:r>
        <w:rPr>
          <w:rFonts w:hint="eastAsia" w:ascii="仿宋_GB2312" w:eastAsia="仿宋_GB2312"/>
          <w:sz w:val="32"/>
          <w:szCs w:val="32"/>
        </w:rPr>
        <w:t>公务接待费预算与支出</w:t>
      </w:r>
      <w:r>
        <w:rPr>
          <w:rFonts w:hint="eastAsia" w:ascii="仿宋_GB2312" w:eastAsia="仿宋_GB2312"/>
          <w:sz w:val="32"/>
          <w:szCs w:val="32"/>
          <w:lang w:val="zh-CN"/>
        </w:rPr>
        <w:t>。</w:t>
      </w:r>
    </w:p>
    <w:p w14:paraId="4D44D5BC">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EDF525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9B80DD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C3172E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156FE7F">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9F4D938">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1B171BB">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新疆维吾尔自治区公路管理局石河子干部学校（事业单位）公用经费支出73.07万元，</w:t>
      </w:r>
      <w:r>
        <w:rPr>
          <w:rFonts w:hint="eastAsia" w:eastAsia="仿宋_GB2312"/>
          <w:sz w:val="32"/>
          <w:szCs w:val="32"/>
          <w:lang w:val="zh-CN"/>
        </w:rPr>
        <w:t>比上年增加61.79万元，增长547.</w:t>
      </w:r>
      <w:r>
        <w:rPr>
          <w:rFonts w:hint="eastAsia" w:eastAsia="仿宋_GB2312"/>
          <w:sz w:val="32"/>
          <w:szCs w:val="32"/>
          <w:lang w:val="en-US" w:eastAsia="zh-CN"/>
        </w:rPr>
        <w:t>78</w:t>
      </w:r>
      <w:r>
        <w:rPr>
          <w:rFonts w:hint="eastAsia" w:eastAsia="仿宋_GB2312"/>
          <w:sz w:val="32"/>
          <w:szCs w:val="32"/>
          <w:lang w:val="zh-CN"/>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年，单位较上年基础设施维修支出</w:t>
      </w:r>
      <w:r>
        <w:rPr>
          <w:rFonts w:hint="eastAsia" w:ascii="仿宋_GB2312" w:eastAsia="仿宋_GB2312"/>
          <w:sz w:val="32"/>
          <w:szCs w:val="32"/>
          <w:lang w:eastAsia="zh-CN"/>
        </w:rPr>
        <w:t>增加</w:t>
      </w:r>
      <w:r>
        <w:rPr>
          <w:rFonts w:hint="eastAsia" w:ascii="仿宋_GB2312" w:eastAsia="仿宋_GB2312"/>
          <w:sz w:val="32"/>
          <w:szCs w:val="32"/>
        </w:rPr>
        <w:t>，公用支出</w:t>
      </w:r>
      <w:r>
        <w:rPr>
          <w:rFonts w:hint="eastAsia" w:ascii="仿宋_GB2312" w:eastAsia="仿宋_GB2312"/>
          <w:sz w:val="32"/>
          <w:szCs w:val="32"/>
          <w:lang w:eastAsia="zh-CN"/>
        </w:rPr>
        <w:t>增加</w:t>
      </w:r>
      <w:r>
        <w:rPr>
          <w:rFonts w:hint="eastAsia" w:eastAsia="仿宋_GB2312"/>
          <w:sz w:val="32"/>
          <w:szCs w:val="32"/>
        </w:rPr>
        <w:t>。</w:t>
      </w:r>
    </w:p>
    <w:p w14:paraId="1602E72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8148A59">
      <w:pPr>
        <w:ind w:firstLine="640" w:firstLineChars="200"/>
        <w:jc w:val="left"/>
        <w:rPr>
          <w:rFonts w:eastAsia="仿宋_GB2312"/>
          <w:sz w:val="32"/>
          <w:szCs w:val="32"/>
          <w:lang w:val="zh-CN"/>
        </w:rPr>
      </w:pPr>
      <w:r>
        <w:rPr>
          <w:rFonts w:hint="eastAsia" w:eastAsia="仿宋_GB2312"/>
          <w:sz w:val="32"/>
          <w:szCs w:val="32"/>
          <w:lang w:val="zh-CN"/>
        </w:rPr>
        <w:t>2023年度政府采购支出总额0.53万元，其中：政府采购货物支出0.33万元、政府采购工程支出0.00万元、政府采购服务支出0.20万元。</w:t>
      </w:r>
    </w:p>
    <w:p w14:paraId="0DCBB731">
      <w:pPr>
        <w:ind w:firstLine="640" w:firstLineChars="200"/>
        <w:jc w:val="left"/>
        <w:rPr>
          <w:rFonts w:eastAsia="仿宋_GB2312"/>
          <w:sz w:val="32"/>
          <w:szCs w:val="32"/>
        </w:rPr>
      </w:pPr>
      <w:r>
        <w:rPr>
          <w:rFonts w:hint="eastAsia" w:eastAsia="仿宋_GB2312"/>
          <w:sz w:val="32"/>
          <w:szCs w:val="32"/>
          <w:lang w:val="zh-CN"/>
        </w:rPr>
        <w:t>授予中小企业合同金额0.53万元，占政府采购支出总额的100.00</w:t>
      </w:r>
      <w:r>
        <w:rPr>
          <w:rFonts w:eastAsia="仿宋_GB2312"/>
          <w:sz w:val="32"/>
          <w:szCs w:val="32"/>
          <w:lang w:val="zh-CN"/>
        </w:rPr>
        <w:t>%</w:t>
      </w:r>
      <w:r>
        <w:rPr>
          <w:rFonts w:hint="eastAsia" w:eastAsia="仿宋_GB2312"/>
          <w:sz w:val="32"/>
          <w:szCs w:val="32"/>
          <w:lang w:val="zh-CN"/>
        </w:rPr>
        <w:t>，其中：授予小微企业合同金额0.53万元，占政府采购支出总额的100.00</w:t>
      </w:r>
      <w:r>
        <w:rPr>
          <w:rFonts w:eastAsia="仿宋_GB2312"/>
          <w:sz w:val="32"/>
          <w:szCs w:val="32"/>
          <w:lang w:val="zh-CN"/>
        </w:rPr>
        <w:t>%</w:t>
      </w:r>
      <w:r>
        <w:rPr>
          <w:rFonts w:hint="eastAsia" w:eastAsia="仿宋_GB2312"/>
          <w:sz w:val="32"/>
          <w:szCs w:val="32"/>
        </w:rPr>
        <w:t>。</w:t>
      </w:r>
    </w:p>
    <w:p w14:paraId="30670B2F">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8BC0A7C">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1,184.56</w:t>
      </w:r>
      <w:r>
        <w:rPr>
          <w:rFonts w:hint="eastAsia" w:eastAsia="仿宋_GB2312"/>
          <w:sz w:val="32"/>
          <w:szCs w:val="32"/>
        </w:rPr>
        <w:t>万元，房</w:t>
      </w:r>
      <w:r>
        <w:rPr>
          <w:rFonts w:hint="eastAsia" w:eastAsia="仿宋_GB2312"/>
          <w:sz w:val="32"/>
          <w:szCs w:val="32"/>
          <w:lang w:val="zh-CN"/>
        </w:rPr>
        <w:t>屋6601.99平方米，价值911.36万元。车辆2辆，价值51.86万元，其中：副部（省）级及以上领导用车0辆、主要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用车0辆、其他用车2辆，其他用车主要是：</w:t>
      </w:r>
      <w:r>
        <w:rPr>
          <w:rFonts w:hint="eastAsia" w:ascii="仿宋_GB2312" w:eastAsia="仿宋_GB2312"/>
          <w:sz w:val="32"/>
          <w:szCs w:val="32"/>
        </w:rPr>
        <w:t>2辆一般公务用车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套）。</w:t>
      </w:r>
    </w:p>
    <w:p w14:paraId="22330C55">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42F08EB3">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根据预算绩效管理要求，我单位2023年度预算绩效评价项目</w:t>
      </w:r>
      <w:r>
        <w:rPr>
          <w:rFonts w:hint="eastAsia" w:ascii="仿宋_GB2312" w:eastAsia="仿宋_GB2312"/>
          <w:sz w:val="32"/>
          <w:szCs w:val="32"/>
          <w:lang w:val="en-US" w:eastAsia="zh-CN"/>
        </w:rPr>
        <w:t>3</w:t>
      </w:r>
      <w:r>
        <w:rPr>
          <w:rFonts w:hint="eastAsia" w:ascii="仿宋_GB2312" w:eastAsia="仿宋_GB2312"/>
          <w:sz w:val="32"/>
          <w:szCs w:val="32"/>
        </w:rPr>
        <w:t>个，全年预算数</w:t>
      </w:r>
      <w:r>
        <w:rPr>
          <w:rFonts w:hint="eastAsia" w:ascii="仿宋_GB2312" w:eastAsia="仿宋_GB2312"/>
          <w:sz w:val="32"/>
          <w:szCs w:val="32"/>
          <w:lang w:val="en-US" w:eastAsia="zh-CN"/>
        </w:rPr>
        <w:t>326.12</w:t>
      </w:r>
      <w:r>
        <w:rPr>
          <w:rFonts w:hint="eastAsia" w:ascii="仿宋_GB2312" w:eastAsia="仿宋_GB2312"/>
          <w:sz w:val="32"/>
          <w:szCs w:val="32"/>
        </w:rPr>
        <w:t>万元，全年执行数</w:t>
      </w:r>
      <w:r>
        <w:rPr>
          <w:rFonts w:hint="eastAsia" w:ascii="仿宋_GB2312" w:eastAsia="仿宋_GB2312"/>
          <w:sz w:val="32"/>
          <w:szCs w:val="32"/>
          <w:lang w:val="en-US" w:eastAsia="zh-CN"/>
        </w:rPr>
        <w:t>326.12</w:t>
      </w:r>
      <w:r>
        <w:rPr>
          <w:rFonts w:hint="eastAsia" w:ascii="仿宋_GB2312" w:eastAsia="仿宋_GB2312"/>
          <w:sz w:val="32"/>
          <w:szCs w:val="32"/>
        </w:rPr>
        <w:t>万元。预算绩效管理取得的成效：</w:t>
      </w:r>
      <w:r>
        <w:rPr>
          <w:rFonts w:ascii="仿宋_GB2312" w:eastAsia="仿宋_GB2312"/>
          <w:sz w:val="32"/>
          <w:szCs w:val="32"/>
        </w:rPr>
        <w:t>一是预算绩效管理有效达成了项目目标，提高了单位管理水平；二是预算绩效管理极大降低了项目目标偏差率，项目成果显著</w:t>
      </w:r>
      <w:r>
        <w:rPr>
          <w:rFonts w:hint="eastAsia" w:ascii="仿宋_GB2312" w:eastAsia="仿宋_GB2312"/>
          <w:sz w:val="32"/>
          <w:szCs w:val="32"/>
        </w:rPr>
        <w:t>。发现的问题及原因：</w:t>
      </w:r>
      <w:r>
        <w:rPr>
          <w:rFonts w:ascii="仿宋_GB2312" w:eastAsia="仿宋_GB2312"/>
          <w:sz w:val="32"/>
          <w:szCs w:val="32"/>
        </w:rPr>
        <w:t>一是项目年度绩效目标设立具体实施标准不明确，不利于后期绩效目标考核和绩效评价；二是绩效指标设置不够细致，项目实施不规范</w:t>
      </w:r>
      <w:r>
        <w:rPr>
          <w:rFonts w:hint="eastAsia" w:ascii="仿宋_GB2312" w:eastAsia="仿宋_GB2312"/>
          <w:sz w:val="32"/>
          <w:szCs w:val="32"/>
        </w:rPr>
        <w:t>。下一步改进措施：</w:t>
      </w:r>
      <w:r>
        <w:rPr>
          <w:rFonts w:ascii="仿宋_GB2312" w:eastAsia="仿宋_GB2312"/>
          <w:sz w:val="32"/>
          <w:szCs w:val="32"/>
        </w:rPr>
        <w:t>一是提高单位预算绩效管理意识，科学应用绩效管理结果，提高单位管理水平；二是加强绩效目标管理，建立一套以目标管理为中心，全面、科学的目标绩效管理制度，以便更好实施绩效管理工作</w:t>
      </w:r>
      <w:r>
        <w:rPr>
          <w:rFonts w:hint="eastAsia" w:ascii="仿宋_GB2312" w:eastAsia="仿宋_GB2312"/>
          <w:sz w:val="32"/>
          <w:szCs w:val="32"/>
        </w:rPr>
        <w:t>。具体项目自评情况附绩效自评表及自评报告。</w:t>
      </w:r>
    </w:p>
    <w:p w14:paraId="7994BD45">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78F6395">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本单位无</w:t>
      </w:r>
      <w:r>
        <w:rPr>
          <w:rFonts w:hint="eastAsia" w:ascii="仿宋_GB2312" w:hAnsi="仿宋_GB2312" w:eastAsia="仿宋_GB2312" w:cs="仿宋_GB2312"/>
          <w:kern w:val="0"/>
          <w:sz w:val="32"/>
          <w:szCs w:val="32"/>
        </w:rPr>
        <w:t>其他需说明事项</w:t>
      </w:r>
    </w:p>
    <w:p w14:paraId="7E88F2B9">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t>第三部分 专业名词解释</w:t>
      </w:r>
      <w:bookmarkEnd w:id="30"/>
      <w:bookmarkEnd w:id="31"/>
    </w:p>
    <w:p w14:paraId="0BAF64D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DE596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75AAF6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7482B9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4382A8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938D9A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2E01E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31E0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2BB99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0E2F7E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D02A7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FA8E20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F31C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C2AF5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E3ACF8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F9D576B">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216439A7">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771857D6">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4CC46192">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0E526374">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6403F574">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682B0002">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210F16BC">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07666C1F">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A02B5E0">
      <w:pPr>
        <w:ind w:firstLine="640" w:firstLineChars="200"/>
        <w:rPr>
          <w:rFonts w:ascii="仿宋_GB2312" w:eastAsia="仿宋_GB2312"/>
          <w:sz w:val="32"/>
          <w:szCs w:val="32"/>
        </w:rPr>
      </w:pPr>
    </w:p>
    <w:p w14:paraId="3E68AA49">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47721">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A6FF756">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ExM2VlZGQ2YTBiN2U3MGFlNmVmMzQ0NTc5YzYzOGYifQ=="/>
    <w:docVar w:name="KSO_WPS_MARK_KEY" w:val="41ee2a61-2d54-4f93-83be-afdb9a40d732"/>
  </w:docVars>
  <w:rsids>
    <w:rsidRoot w:val="002C0394"/>
    <w:rsid w:val="001717FD"/>
    <w:rsid w:val="002033C1"/>
    <w:rsid w:val="00213C59"/>
    <w:rsid w:val="00264E69"/>
    <w:rsid w:val="002C0394"/>
    <w:rsid w:val="002F258B"/>
    <w:rsid w:val="003210CE"/>
    <w:rsid w:val="0035550E"/>
    <w:rsid w:val="00356AEC"/>
    <w:rsid w:val="0045494D"/>
    <w:rsid w:val="004B59A2"/>
    <w:rsid w:val="00580CAD"/>
    <w:rsid w:val="005C1522"/>
    <w:rsid w:val="00686057"/>
    <w:rsid w:val="007A5843"/>
    <w:rsid w:val="00807D8C"/>
    <w:rsid w:val="008F0B4D"/>
    <w:rsid w:val="00991ADF"/>
    <w:rsid w:val="00B70D59"/>
    <w:rsid w:val="00BB7D53"/>
    <w:rsid w:val="00BE73FA"/>
    <w:rsid w:val="00D167AD"/>
    <w:rsid w:val="00F12914"/>
    <w:rsid w:val="00F52A8D"/>
    <w:rsid w:val="00FD5427"/>
    <w:rsid w:val="014D4677"/>
    <w:rsid w:val="019404F8"/>
    <w:rsid w:val="01BA0130"/>
    <w:rsid w:val="01EC3E90"/>
    <w:rsid w:val="02816CCE"/>
    <w:rsid w:val="02BD3108"/>
    <w:rsid w:val="02E84657"/>
    <w:rsid w:val="02F73D26"/>
    <w:rsid w:val="034D4FEF"/>
    <w:rsid w:val="035D1785"/>
    <w:rsid w:val="039F47CE"/>
    <w:rsid w:val="03E05CE8"/>
    <w:rsid w:val="03F973EE"/>
    <w:rsid w:val="043E5B56"/>
    <w:rsid w:val="045301F6"/>
    <w:rsid w:val="04C04386"/>
    <w:rsid w:val="04D96608"/>
    <w:rsid w:val="04FA68C4"/>
    <w:rsid w:val="051C0C39"/>
    <w:rsid w:val="053F5AE6"/>
    <w:rsid w:val="057C0B0F"/>
    <w:rsid w:val="058D7738"/>
    <w:rsid w:val="05DB04A3"/>
    <w:rsid w:val="05EF4B48"/>
    <w:rsid w:val="05F76ECA"/>
    <w:rsid w:val="06792773"/>
    <w:rsid w:val="07093795"/>
    <w:rsid w:val="07760BAA"/>
    <w:rsid w:val="07804730"/>
    <w:rsid w:val="079052BE"/>
    <w:rsid w:val="08145C21"/>
    <w:rsid w:val="08422688"/>
    <w:rsid w:val="085854ED"/>
    <w:rsid w:val="085B3B1D"/>
    <w:rsid w:val="0879188F"/>
    <w:rsid w:val="089601FE"/>
    <w:rsid w:val="089A4646"/>
    <w:rsid w:val="08A0354D"/>
    <w:rsid w:val="08B60D54"/>
    <w:rsid w:val="08CD4C49"/>
    <w:rsid w:val="09114954"/>
    <w:rsid w:val="095A5B83"/>
    <w:rsid w:val="096466E3"/>
    <w:rsid w:val="0968304D"/>
    <w:rsid w:val="09AF3D17"/>
    <w:rsid w:val="0A7809B7"/>
    <w:rsid w:val="0A7B4867"/>
    <w:rsid w:val="0A840954"/>
    <w:rsid w:val="0A9928ED"/>
    <w:rsid w:val="0AD83203"/>
    <w:rsid w:val="0B61769D"/>
    <w:rsid w:val="0B8C3ECC"/>
    <w:rsid w:val="0B9C639D"/>
    <w:rsid w:val="0BB052B2"/>
    <w:rsid w:val="0BB93035"/>
    <w:rsid w:val="0BD33FFC"/>
    <w:rsid w:val="0BE97AC1"/>
    <w:rsid w:val="0C116BED"/>
    <w:rsid w:val="0C1C4780"/>
    <w:rsid w:val="0C3613A3"/>
    <w:rsid w:val="0C556E26"/>
    <w:rsid w:val="0C5E519C"/>
    <w:rsid w:val="0C7227A7"/>
    <w:rsid w:val="0C801DA5"/>
    <w:rsid w:val="0CA52EE8"/>
    <w:rsid w:val="0CB41A4E"/>
    <w:rsid w:val="0CBD6988"/>
    <w:rsid w:val="0CD208AC"/>
    <w:rsid w:val="0D4903E8"/>
    <w:rsid w:val="0D7A4A46"/>
    <w:rsid w:val="0DC14423"/>
    <w:rsid w:val="0E0A401C"/>
    <w:rsid w:val="0E640559"/>
    <w:rsid w:val="0E975183"/>
    <w:rsid w:val="0EC20452"/>
    <w:rsid w:val="0ECC7523"/>
    <w:rsid w:val="0F013807"/>
    <w:rsid w:val="0F1113DA"/>
    <w:rsid w:val="0F78534A"/>
    <w:rsid w:val="0F7A0D2D"/>
    <w:rsid w:val="0F89358A"/>
    <w:rsid w:val="0F8C6D51"/>
    <w:rsid w:val="0FD3043D"/>
    <w:rsid w:val="105B0B5E"/>
    <w:rsid w:val="108D683E"/>
    <w:rsid w:val="112E58D0"/>
    <w:rsid w:val="11731CAC"/>
    <w:rsid w:val="119500A0"/>
    <w:rsid w:val="11C0733B"/>
    <w:rsid w:val="11D50D17"/>
    <w:rsid w:val="11E93F48"/>
    <w:rsid w:val="120E0809"/>
    <w:rsid w:val="127F665A"/>
    <w:rsid w:val="12F7068C"/>
    <w:rsid w:val="14207DC0"/>
    <w:rsid w:val="144C07BE"/>
    <w:rsid w:val="14A405FA"/>
    <w:rsid w:val="14B932DA"/>
    <w:rsid w:val="14DE1D5E"/>
    <w:rsid w:val="14E24C7A"/>
    <w:rsid w:val="150A66AF"/>
    <w:rsid w:val="154C1139"/>
    <w:rsid w:val="15883A78"/>
    <w:rsid w:val="158C5B77"/>
    <w:rsid w:val="15A72150"/>
    <w:rsid w:val="160D1149"/>
    <w:rsid w:val="163563C0"/>
    <w:rsid w:val="164315EF"/>
    <w:rsid w:val="16557DFE"/>
    <w:rsid w:val="167268FB"/>
    <w:rsid w:val="16770D0A"/>
    <w:rsid w:val="16D50C50"/>
    <w:rsid w:val="16E120E1"/>
    <w:rsid w:val="17385A05"/>
    <w:rsid w:val="173B3901"/>
    <w:rsid w:val="176747F9"/>
    <w:rsid w:val="17953714"/>
    <w:rsid w:val="17954A6E"/>
    <w:rsid w:val="180059E9"/>
    <w:rsid w:val="184510FD"/>
    <w:rsid w:val="190648B0"/>
    <w:rsid w:val="19071D6C"/>
    <w:rsid w:val="19D26CD4"/>
    <w:rsid w:val="19E60D19"/>
    <w:rsid w:val="1A02204B"/>
    <w:rsid w:val="1A3E3450"/>
    <w:rsid w:val="1A450189"/>
    <w:rsid w:val="1A974E89"/>
    <w:rsid w:val="1AD807E5"/>
    <w:rsid w:val="1B1705E7"/>
    <w:rsid w:val="1B39345B"/>
    <w:rsid w:val="1BFB2A1F"/>
    <w:rsid w:val="1C015D4A"/>
    <w:rsid w:val="1C290ED5"/>
    <w:rsid w:val="1C317E4F"/>
    <w:rsid w:val="1C472464"/>
    <w:rsid w:val="1D22799A"/>
    <w:rsid w:val="1D5C1A72"/>
    <w:rsid w:val="1DAF458D"/>
    <w:rsid w:val="1E086ACE"/>
    <w:rsid w:val="1E62130A"/>
    <w:rsid w:val="1E97358B"/>
    <w:rsid w:val="1EAA4A5F"/>
    <w:rsid w:val="1EE869A7"/>
    <w:rsid w:val="1F470FBC"/>
    <w:rsid w:val="1FA15E62"/>
    <w:rsid w:val="1FED69B6"/>
    <w:rsid w:val="201E3957"/>
    <w:rsid w:val="2064678E"/>
    <w:rsid w:val="20A83220"/>
    <w:rsid w:val="20DC1AB9"/>
    <w:rsid w:val="20DD6197"/>
    <w:rsid w:val="212631E0"/>
    <w:rsid w:val="21A53757"/>
    <w:rsid w:val="221236C6"/>
    <w:rsid w:val="22543660"/>
    <w:rsid w:val="2284150E"/>
    <w:rsid w:val="22D7662C"/>
    <w:rsid w:val="231D6147"/>
    <w:rsid w:val="23326B7F"/>
    <w:rsid w:val="2380045B"/>
    <w:rsid w:val="23BC04D2"/>
    <w:rsid w:val="23EF1892"/>
    <w:rsid w:val="23F70746"/>
    <w:rsid w:val="2483647E"/>
    <w:rsid w:val="24A32D55"/>
    <w:rsid w:val="25292727"/>
    <w:rsid w:val="252E5CA9"/>
    <w:rsid w:val="256F7692"/>
    <w:rsid w:val="259D3570"/>
    <w:rsid w:val="259F2E44"/>
    <w:rsid w:val="25BA2154"/>
    <w:rsid w:val="25C8773F"/>
    <w:rsid w:val="264A7253"/>
    <w:rsid w:val="26B93CEA"/>
    <w:rsid w:val="26F0170C"/>
    <w:rsid w:val="27201D62"/>
    <w:rsid w:val="27286E73"/>
    <w:rsid w:val="275352E3"/>
    <w:rsid w:val="27800A53"/>
    <w:rsid w:val="278E2DFF"/>
    <w:rsid w:val="27CF2642"/>
    <w:rsid w:val="27E777F5"/>
    <w:rsid w:val="27EA1D4C"/>
    <w:rsid w:val="27EA2E41"/>
    <w:rsid w:val="27EC60E8"/>
    <w:rsid w:val="282459E2"/>
    <w:rsid w:val="283A7FE5"/>
    <w:rsid w:val="285F51FF"/>
    <w:rsid w:val="28D968EF"/>
    <w:rsid w:val="28DF2665"/>
    <w:rsid w:val="29072599"/>
    <w:rsid w:val="291029F3"/>
    <w:rsid w:val="29CB58F0"/>
    <w:rsid w:val="29CE3CF8"/>
    <w:rsid w:val="2A053397"/>
    <w:rsid w:val="2A145E96"/>
    <w:rsid w:val="2A2131BB"/>
    <w:rsid w:val="2AF5378F"/>
    <w:rsid w:val="2B006133"/>
    <w:rsid w:val="2B3B716B"/>
    <w:rsid w:val="2BB313F7"/>
    <w:rsid w:val="2BB94DBF"/>
    <w:rsid w:val="2BE05F64"/>
    <w:rsid w:val="2C097A2B"/>
    <w:rsid w:val="2C31056E"/>
    <w:rsid w:val="2C354C9F"/>
    <w:rsid w:val="2C6F314E"/>
    <w:rsid w:val="2CBD0053"/>
    <w:rsid w:val="2CC206BE"/>
    <w:rsid w:val="2D1136DF"/>
    <w:rsid w:val="2D20606D"/>
    <w:rsid w:val="2DB87198"/>
    <w:rsid w:val="2DB93C54"/>
    <w:rsid w:val="2E3D144C"/>
    <w:rsid w:val="2E891204"/>
    <w:rsid w:val="2F3F0A28"/>
    <w:rsid w:val="2FBF7029"/>
    <w:rsid w:val="2FD0187F"/>
    <w:rsid w:val="2FD27414"/>
    <w:rsid w:val="2FFE4BB0"/>
    <w:rsid w:val="300E7B60"/>
    <w:rsid w:val="300F6E18"/>
    <w:rsid w:val="305D7B83"/>
    <w:rsid w:val="30862F5F"/>
    <w:rsid w:val="314029C9"/>
    <w:rsid w:val="31556AAC"/>
    <w:rsid w:val="31C63837"/>
    <w:rsid w:val="31C82E39"/>
    <w:rsid w:val="32601BAD"/>
    <w:rsid w:val="329F6389"/>
    <w:rsid w:val="3389023A"/>
    <w:rsid w:val="33CB74FA"/>
    <w:rsid w:val="343642F2"/>
    <w:rsid w:val="343F3010"/>
    <w:rsid w:val="345D0A00"/>
    <w:rsid w:val="34713BFD"/>
    <w:rsid w:val="3491429F"/>
    <w:rsid w:val="34C13589"/>
    <w:rsid w:val="350E58F0"/>
    <w:rsid w:val="353369E3"/>
    <w:rsid w:val="35E00D72"/>
    <w:rsid w:val="36965B9D"/>
    <w:rsid w:val="36C549FD"/>
    <w:rsid w:val="378E5E7D"/>
    <w:rsid w:val="37A755DD"/>
    <w:rsid w:val="37B22EAA"/>
    <w:rsid w:val="37CB5D1A"/>
    <w:rsid w:val="37F94FA0"/>
    <w:rsid w:val="380D3381"/>
    <w:rsid w:val="38115B1F"/>
    <w:rsid w:val="38327B47"/>
    <w:rsid w:val="385E3AC3"/>
    <w:rsid w:val="387D6B9E"/>
    <w:rsid w:val="38B75FF0"/>
    <w:rsid w:val="38C5276A"/>
    <w:rsid w:val="38CB685C"/>
    <w:rsid w:val="38D45016"/>
    <w:rsid w:val="38D90432"/>
    <w:rsid w:val="390E6AB3"/>
    <w:rsid w:val="3914510A"/>
    <w:rsid w:val="3926770B"/>
    <w:rsid w:val="398D3668"/>
    <w:rsid w:val="399565E0"/>
    <w:rsid w:val="39DA0497"/>
    <w:rsid w:val="3A893816"/>
    <w:rsid w:val="3A893B6D"/>
    <w:rsid w:val="3AD1763A"/>
    <w:rsid w:val="3ADB44C6"/>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CD4126"/>
    <w:rsid w:val="3EEC6CEF"/>
    <w:rsid w:val="3F183429"/>
    <w:rsid w:val="3F3441A5"/>
    <w:rsid w:val="3FB77A1D"/>
    <w:rsid w:val="3FDC3674"/>
    <w:rsid w:val="3FED7F8A"/>
    <w:rsid w:val="40094AEF"/>
    <w:rsid w:val="405470BD"/>
    <w:rsid w:val="40794A29"/>
    <w:rsid w:val="40834692"/>
    <w:rsid w:val="40D914A8"/>
    <w:rsid w:val="41431AD5"/>
    <w:rsid w:val="414B3C0F"/>
    <w:rsid w:val="417C1CE7"/>
    <w:rsid w:val="418238EE"/>
    <w:rsid w:val="418C2076"/>
    <w:rsid w:val="41900018"/>
    <w:rsid w:val="41944406"/>
    <w:rsid w:val="41CE128F"/>
    <w:rsid w:val="41DA6F12"/>
    <w:rsid w:val="42171FB1"/>
    <w:rsid w:val="427A6373"/>
    <w:rsid w:val="431542ED"/>
    <w:rsid w:val="433E55F2"/>
    <w:rsid w:val="434E6957"/>
    <w:rsid w:val="43BA0E31"/>
    <w:rsid w:val="43C15147"/>
    <w:rsid w:val="43E14DD2"/>
    <w:rsid w:val="43F800E9"/>
    <w:rsid w:val="442742D8"/>
    <w:rsid w:val="443A7E4B"/>
    <w:rsid w:val="452F5B3A"/>
    <w:rsid w:val="454E7FD2"/>
    <w:rsid w:val="45637592"/>
    <w:rsid w:val="45AF27D7"/>
    <w:rsid w:val="46061BDC"/>
    <w:rsid w:val="461404F8"/>
    <w:rsid w:val="46413018"/>
    <w:rsid w:val="464B7E04"/>
    <w:rsid w:val="468041AA"/>
    <w:rsid w:val="468123C6"/>
    <w:rsid w:val="46901EEE"/>
    <w:rsid w:val="469C74D2"/>
    <w:rsid w:val="46DD3374"/>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CF1226"/>
    <w:rsid w:val="4AE12E67"/>
    <w:rsid w:val="4B0C4228"/>
    <w:rsid w:val="4B4C0111"/>
    <w:rsid w:val="4B8553A9"/>
    <w:rsid w:val="4BDB3730"/>
    <w:rsid w:val="4C15535E"/>
    <w:rsid w:val="4C200F7A"/>
    <w:rsid w:val="4CC052CA"/>
    <w:rsid w:val="4CE30FB8"/>
    <w:rsid w:val="4CEE3180"/>
    <w:rsid w:val="4D0F4AF6"/>
    <w:rsid w:val="4D5A04CE"/>
    <w:rsid w:val="4DF94F37"/>
    <w:rsid w:val="4E0A1DD5"/>
    <w:rsid w:val="4E3160E5"/>
    <w:rsid w:val="4E4D37AF"/>
    <w:rsid w:val="4E661EA1"/>
    <w:rsid w:val="4E8C6496"/>
    <w:rsid w:val="4EFD18DE"/>
    <w:rsid w:val="4F144236"/>
    <w:rsid w:val="4F310701"/>
    <w:rsid w:val="4F663C87"/>
    <w:rsid w:val="4F7E29A8"/>
    <w:rsid w:val="4F9E1FFC"/>
    <w:rsid w:val="50447CC2"/>
    <w:rsid w:val="50874A7C"/>
    <w:rsid w:val="50895EE7"/>
    <w:rsid w:val="50921B9D"/>
    <w:rsid w:val="50C40DD7"/>
    <w:rsid w:val="50D16158"/>
    <w:rsid w:val="50DB5F45"/>
    <w:rsid w:val="51025EB1"/>
    <w:rsid w:val="51141503"/>
    <w:rsid w:val="51591CD8"/>
    <w:rsid w:val="518D0ED5"/>
    <w:rsid w:val="51E23F34"/>
    <w:rsid w:val="51F54115"/>
    <w:rsid w:val="525C687F"/>
    <w:rsid w:val="52B534DF"/>
    <w:rsid w:val="52F647F7"/>
    <w:rsid w:val="52F92565"/>
    <w:rsid w:val="53D03877"/>
    <w:rsid w:val="542F73CA"/>
    <w:rsid w:val="5430786D"/>
    <w:rsid w:val="545A1D2A"/>
    <w:rsid w:val="546D50F9"/>
    <w:rsid w:val="54C4758E"/>
    <w:rsid w:val="54C811C0"/>
    <w:rsid w:val="556A442D"/>
    <w:rsid w:val="55DA564E"/>
    <w:rsid w:val="5604127D"/>
    <w:rsid w:val="56166703"/>
    <w:rsid w:val="56510474"/>
    <w:rsid w:val="56861525"/>
    <w:rsid w:val="56A93273"/>
    <w:rsid w:val="56BD550C"/>
    <w:rsid w:val="56E07045"/>
    <w:rsid w:val="56FF28AF"/>
    <w:rsid w:val="57540E7D"/>
    <w:rsid w:val="57541431"/>
    <w:rsid w:val="577B4878"/>
    <w:rsid w:val="57926973"/>
    <w:rsid w:val="58175352"/>
    <w:rsid w:val="581F2200"/>
    <w:rsid w:val="583059FA"/>
    <w:rsid w:val="584A0929"/>
    <w:rsid w:val="58CD2491"/>
    <w:rsid w:val="58DE1F85"/>
    <w:rsid w:val="591B41B2"/>
    <w:rsid w:val="59254A26"/>
    <w:rsid w:val="59326325"/>
    <w:rsid w:val="595C505B"/>
    <w:rsid w:val="595E55C3"/>
    <w:rsid w:val="596E7E20"/>
    <w:rsid w:val="59B166C6"/>
    <w:rsid w:val="5A60780B"/>
    <w:rsid w:val="5AA91A93"/>
    <w:rsid w:val="5AB34579"/>
    <w:rsid w:val="5AFC6609"/>
    <w:rsid w:val="5B113480"/>
    <w:rsid w:val="5BD456CE"/>
    <w:rsid w:val="5C0D1F49"/>
    <w:rsid w:val="5CA70254"/>
    <w:rsid w:val="5CBB0CE2"/>
    <w:rsid w:val="5CC17177"/>
    <w:rsid w:val="5CEE19DF"/>
    <w:rsid w:val="5CF306BC"/>
    <w:rsid w:val="5D3F3D64"/>
    <w:rsid w:val="5D833043"/>
    <w:rsid w:val="5DD92690"/>
    <w:rsid w:val="5DDB1CFD"/>
    <w:rsid w:val="5DFB2606"/>
    <w:rsid w:val="5E767EDE"/>
    <w:rsid w:val="5E7E6D93"/>
    <w:rsid w:val="5ED44800"/>
    <w:rsid w:val="5F350BDE"/>
    <w:rsid w:val="5F61632C"/>
    <w:rsid w:val="5F8328B3"/>
    <w:rsid w:val="5FA17648"/>
    <w:rsid w:val="5FDA449D"/>
    <w:rsid w:val="5FE705CB"/>
    <w:rsid w:val="603D5080"/>
    <w:rsid w:val="60D0261B"/>
    <w:rsid w:val="618E3791"/>
    <w:rsid w:val="61947DCA"/>
    <w:rsid w:val="61A46A97"/>
    <w:rsid w:val="61D1382F"/>
    <w:rsid w:val="61F114A2"/>
    <w:rsid w:val="62206ADF"/>
    <w:rsid w:val="62512BB4"/>
    <w:rsid w:val="625D7D1A"/>
    <w:rsid w:val="62C52F94"/>
    <w:rsid w:val="62DD7D21"/>
    <w:rsid w:val="63273E9D"/>
    <w:rsid w:val="637D586B"/>
    <w:rsid w:val="63A5560B"/>
    <w:rsid w:val="63E9091F"/>
    <w:rsid w:val="64322AF9"/>
    <w:rsid w:val="64C5396E"/>
    <w:rsid w:val="64D6010D"/>
    <w:rsid w:val="64D82665"/>
    <w:rsid w:val="64E47C96"/>
    <w:rsid w:val="651E5741"/>
    <w:rsid w:val="658A4877"/>
    <w:rsid w:val="65A00902"/>
    <w:rsid w:val="65AC6EDD"/>
    <w:rsid w:val="65D97752"/>
    <w:rsid w:val="66085536"/>
    <w:rsid w:val="66105BF7"/>
    <w:rsid w:val="66140709"/>
    <w:rsid w:val="66150023"/>
    <w:rsid w:val="6628010D"/>
    <w:rsid w:val="669B4528"/>
    <w:rsid w:val="66CC12D7"/>
    <w:rsid w:val="66E14363"/>
    <w:rsid w:val="67134CEF"/>
    <w:rsid w:val="671F1ABD"/>
    <w:rsid w:val="67277FC8"/>
    <w:rsid w:val="674520EC"/>
    <w:rsid w:val="67521A59"/>
    <w:rsid w:val="67C304AB"/>
    <w:rsid w:val="68212C69"/>
    <w:rsid w:val="683F0658"/>
    <w:rsid w:val="689C6793"/>
    <w:rsid w:val="68DB0208"/>
    <w:rsid w:val="68F77E6E"/>
    <w:rsid w:val="68FB170C"/>
    <w:rsid w:val="691B3D98"/>
    <w:rsid w:val="693748F0"/>
    <w:rsid w:val="69846A0E"/>
    <w:rsid w:val="69AA1366"/>
    <w:rsid w:val="69AD798C"/>
    <w:rsid w:val="69D005C0"/>
    <w:rsid w:val="69D80B96"/>
    <w:rsid w:val="69DA7573"/>
    <w:rsid w:val="6B68175F"/>
    <w:rsid w:val="6BFD799F"/>
    <w:rsid w:val="6C111246"/>
    <w:rsid w:val="6C4A2E5A"/>
    <w:rsid w:val="6C8138D0"/>
    <w:rsid w:val="6CEF0725"/>
    <w:rsid w:val="6CF43042"/>
    <w:rsid w:val="6D487E19"/>
    <w:rsid w:val="6D4B2604"/>
    <w:rsid w:val="6D8030E4"/>
    <w:rsid w:val="6D995997"/>
    <w:rsid w:val="6DB77BCC"/>
    <w:rsid w:val="6E0E35C4"/>
    <w:rsid w:val="6E0F7A08"/>
    <w:rsid w:val="6E3947F5"/>
    <w:rsid w:val="6E5A5127"/>
    <w:rsid w:val="6E9C74ED"/>
    <w:rsid w:val="6EB8009F"/>
    <w:rsid w:val="6EF72976"/>
    <w:rsid w:val="6F795A80"/>
    <w:rsid w:val="6F7C1D2E"/>
    <w:rsid w:val="6F8E0407"/>
    <w:rsid w:val="6FDD069F"/>
    <w:rsid w:val="6FFB6495"/>
    <w:rsid w:val="702B4D16"/>
    <w:rsid w:val="705535A5"/>
    <w:rsid w:val="70756248"/>
    <w:rsid w:val="70AA6621"/>
    <w:rsid w:val="7111480F"/>
    <w:rsid w:val="71261F49"/>
    <w:rsid w:val="712E6956"/>
    <w:rsid w:val="71473612"/>
    <w:rsid w:val="71504F32"/>
    <w:rsid w:val="7152309F"/>
    <w:rsid w:val="71542301"/>
    <w:rsid w:val="718F7F65"/>
    <w:rsid w:val="71FB452B"/>
    <w:rsid w:val="72312642"/>
    <w:rsid w:val="724C4D86"/>
    <w:rsid w:val="727B234E"/>
    <w:rsid w:val="729C5939"/>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4D4EE2"/>
    <w:rsid w:val="76660D7C"/>
    <w:rsid w:val="766C5968"/>
    <w:rsid w:val="76BE0C8F"/>
    <w:rsid w:val="76CD53B2"/>
    <w:rsid w:val="770719AC"/>
    <w:rsid w:val="776526CC"/>
    <w:rsid w:val="77A262E1"/>
    <w:rsid w:val="77B13C33"/>
    <w:rsid w:val="77ED6F44"/>
    <w:rsid w:val="77F45548"/>
    <w:rsid w:val="77FC0D3A"/>
    <w:rsid w:val="783C5BE7"/>
    <w:rsid w:val="784E7CA6"/>
    <w:rsid w:val="785030F6"/>
    <w:rsid w:val="78574801"/>
    <w:rsid w:val="786848E4"/>
    <w:rsid w:val="7873527F"/>
    <w:rsid w:val="78A376CA"/>
    <w:rsid w:val="78E33F6B"/>
    <w:rsid w:val="790A6425"/>
    <w:rsid w:val="790E2D96"/>
    <w:rsid w:val="791B54B2"/>
    <w:rsid w:val="795A0A34"/>
    <w:rsid w:val="79607369"/>
    <w:rsid w:val="797339C3"/>
    <w:rsid w:val="79D57D57"/>
    <w:rsid w:val="79F00650"/>
    <w:rsid w:val="7A1A39BC"/>
    <w:rsid w:val="7A6242BF"/>
    <w:rsid w:val="7A794513"/>
    <w:rsid w:val="7AE952D2"/>
    <w:rsid w:val="7B4C4049"/>
    <w:rsid w:val="7B65510B"/>
    <w:rsid w:val="7C7248A0"/>
    <w:rsid w:val="7C976D69"/>
    <w:rsid w:val="7CD752DA"/>
    <w:rsid w:val="7CDE40AB"/>
    <w:rsid w:val="7CF057E2"/>
    <w:rsid w:val="7D1548B5"/>
    <w:rsid w:val="7DCE6F97"/>
    <w:rsid w:val="7DF2712A"/>
    <w:rsid w:val="7DF84014"/>
    <w:rsid w:val="7E08691A"/>
    <w:rsid w:val="7E207949"/>
    <w:rsid w:val="7E5C0A47"/>
    <w:rsid w:val="7E670C75"/>
    <w:rsid w:val="7EE24272"/>
    <w:rsid w:val="7EEA6053"/>
    <w:rsid w:val="7F487C04"/>
    <w:rsid w:val="7F6C6A68"/>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15</Pages>
  <Words>5217</Words>
  <Characters>5860</Characters>
  <Lines>44</Lines>
  <Paragraphs>12</Paragraphs>
  <TotalTime>0</TotalTime>
  <ScaleCrop>false</ScaleCrop>
  <LinksUpToDate>false</LinksUpToDate>
  <CharactersWithSpaces>5879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2024-11-04T13:44:34Z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