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69A9A6">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6A2CDB2A">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5009EA79">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塔城公路管理局</w:t>
      </w:r>
    </w:p>
    <w:p w14:paraId="253E4C28">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14:paraId="09500568">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14:paraId="7230422D">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788075DA">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7C97396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528DF169">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5FF4F18C">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481F4F3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466FD8B2">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5909B172">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0F3CC8DF">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63B29FAF">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34F2A430">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7E4FCFD4">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3A58B501">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5BCB4B7E">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0DA8A350">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7541C119">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435F031E">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0B89B1DE">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49ADF87D">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45AF9688">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7176E821">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78B694E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7B3A655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1E904F65">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4A7D1B43">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6B091205">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78600F08">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3326114D">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761662C1">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06668FBB">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77FE7148">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18801C93">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115D1A92">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228BE4C9">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6E944541">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323BCF9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14:paraId="3975CD38">
      <w:pPr>
        <w:rPr>
          <w:rFonts w:ascii="黑体" w:hAnsi="黑体" w:eastAsia="黑体" w:cs="宋体"/>
          <w:bCs/>
          <w:kern w:val="0"/>
          <w:sz w:val="32"/>
          <w:szCs w:val="32"/>
        </w:rPr>
      </w:pPr>
      <w:bookmarkStart w:id="4" w:name="_Toc31238"/>
      <w:bookmarkStart w:id="5" w:name="_Toc2151"/>
      <w:r>
        <w:rPr>
          <w:rFonts w:ascii="仿宋_GB2312" w:eastAsia="仿宋_GB2312"/>
          <w:sz w:val="32"/>
          <w:szCs w:val="32"/>
        </w:rPr>
        <w:t>　　1.负责编报本辖区公路养护管理年度计划和预算，具体管理上级拨付的公路养护专项资金。</w:t>
      </w:r>
      <w:r>
        <w:rPr>
          <w:rFonts w:ascii="仿宋_GB2312" w:eastAsia="仿宋_GB2312"/>
          <w:sz w:val="32"/>
          <w:szCs w:val="32"/>
        </w:rPr>
        <w:br w:type="textWrapping"/>
      </w:r>
      <w:r>
        <w:rPr>
          <w:rFonts w:ascii="仿宋_GB2312" w:eastAsia="仿宋_GB2312"/>
          <w:sz w:val="32"/>
          <w:szCs w:val="32"/>
        </w:rPr>
        <w:t>　　2.负责辖区国道、省道、高速公路、口岸和专用公路及沿线服务设施的养护和质量管理工作，以及公路交通战备、灾害应急处置、抢险救灾等工作。</w:t>
      </w:r>
      <w:r>
        <w:rPr>
          <w:rFonts w:ascii="仿宋_GB2312" w:eastAsia="仿宋_GB2312"/>
          <w:sz w:val="32"/>
          <w:szCs w:val="32"/>
        </w:rPr>
        <w:br w:type="textWrapping"/>
      </w:r>
      <w:r>
        <w:rPr>
          <w:rFonts w:ascii="仿宋_GB2312" w:eastAsia="仿宋_GB2312"/>
          <w:sz w:val="32"/>
          <w:szCs w:val="32"/>
        </w:rPr>
        <w:t>　　3.负责辖区内农村公路质量监督工作。</w:t>
      </w:r>
      <w:r>
        <w:rPr>
          <w:rFonts w:ascii="仿宋_GB2312" w:eastAsia="仿宋_GB2312"/>
          <w:sz w:val="32"/>
          <w:szCs w:val="32"/>
        </w:rPr>
        <w:br w:type="textWrapping"/>
      </w:r>
      <w:r>
        <w:rPr>
          <w:rFonts w:ascii="仿宋_GB2312" w:eastAsia="仿宋_GB2312"/>
          <w:sz w:val="32"/>
          <w:szCs w:val="32"/>
        </w:rPr>
        <w:t>　　4.根据自治区公路事业发展中心授权，负责辖区非经营性收费公路和经营性收费公路的管理工作。</w:t>
      </w:r>
      <w:r>
        <w:rPr>
          <w:rFonts w:ascii="仿宋_GB2312" w:eastAsia="仿宋_GB2312"/>
          <w:sz w:val="32"/>
          <w:szCs w:val="32"/>
        </w:rPr>
        <w:br w:type="textWrapping"/>
      </w:r>
      <w:r>
        <w:rPr>
          <w:rFonts w:ascii="仿宋_GB2312" w:eastAsia="仿宋_GB2312"/>
          <w:sz w:val="32"/>
          <w:szCs w:val="32"/>
        </w:rPr>
        <w:t>　　5.负责公路养护和施工机械设备的管理工作。</w:t>
      </w:r>
      <w:r>
        <w:rPr>
          <w:rFonts w:ascii="仿宋_GB2312" w:eastAsia="仿宋_GB2312"/>
          <w:sz w:val="32"/>
          <w:szCs w:val="32"/>
        </w:rPr>
        <w:br w:type="textWrapping"/>
      </w:r>
      <w:r>
        <w:rPr>
          <w:rFonts w:ascii="仿宋_GB2312" w:eastAsia="仿宋_GB2312"/>
          <w:sz w:val="32"/>
          <w:szCs w:val="32"/>
        </w:rPr>
        <w:t>　　6.负责辖区公路管理系统行业统计、经济调查和信息化建设等工作。</w:t>
      </w:r>
      <w:r>
        <w:rPr>
          <w:rFonts w:ascii="仿宋_GB2312" w:eastAsia="仿宋_GB2312"/>
          <w:sz w:val="32"/>
          <w:szCs w:val="32"/>
        </w:rPr>
        <w:br w:type="textWrapping"/>
      </w:r>
      <w:r>
        <w:rPr>
          <w:rFonts w:ascii="仿宋_GB2312" w:eastAsia="仿宋_GB2312"/>
          <w:sz w:val="32"/>
          <w:szCs w:val="32"/>
        </w:rPr>
        <w:t>　　7.承办自治区公路事业发展中心交办的其他工作</w:t>
      </w:r>
      <w:r>
        <w:rPr>
          <w:rFonts w:hint="eastAsia" w:ascii="仿宋_GB2312" w:eastAsia="仿宋_GB2312"/>
          <w:sz w:val="32"/>
          <w:szCs w:val="32"/>
        </w:rPr>
        <w:t>。</w:t>
      </w:r>
    </w:p>
    <w:p w14:paraId="6C8F07A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5679A12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塔城公路管理局</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1012</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480</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1</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531</w:t>
      </w:r>
      <w:r>
        <w:rPr>
          <w:rFonts w:hint="eastAsia" w:ascii="仿宋_GB2312" w:eastAsia="仿宋_GB2312"/>
          <w:color w:val="auto"/>
          <w:sz w:val="32"/>
          <w:szCs w:val="32"/>
          <w:highlight w:val="none"/>
        </w:rPr>
        <w:t>人。</w:t>
      </w:r>
    </w:p>
    <w:p w14:paraId="7F289303">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ascii="仿宋_GB2312" w:eastAsia="仿宋_GB2312"/>
          <w:sz w:val="32"/>
          <w:szCs w:val="32"/>
        </w:r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13</w:t>
      </w:r>
      <w:r>
        <w:rPr>
          <w:rFonts w:hint="eastAsia" w:ascii="仿宋_GB2312" w:hAnsi="黑体" w:eastAsia="仿宋_GB2312" w:cs="宋体"/>
          <w:bCs/>
          <w:kern w:val="0"/>
          <w:sz w:val="32"/>
          <w:szCs w:val="32"/>
        </w:rPr>
        <w:t>个</w:t>
      </w:r>
      <w:r>
        <w:rPr>
          <w:rFonts w:hint="eastAsia" w:ascii="仿宋_GB2312" w:hAnsi="黑体" w:eastAsia="仿宋_GB2312" w:cs="宋体"/>
          <w:bCs/>
          <w:kern w:val="0"/>
          <w:sz w:val="32"/>
          <w:szCs w:val="32"/>
          <w:lang w:val="en-US" w:eastAsia="zh-CN"/>
        </w:rPr>
        <w:t>科</w:t>
      </w:r>
      <w:r>
        <w:rPr>
          <w:rFonts w:hint="eastAsia" w:ascii="仿宋_GB2312" w:hAnsi="黑体" w:eastAsia="仿宋_GB2312" w:cs="宋体"/>
          <w:bCs/>
          <w:kern w:val="0"/>
          <w:sz w:val="32"/>
          <w:szCs w:val="32"/>
        </w:rPr>
        <w:t>室，分别是：办公室（党委办公室）、组织人事科（团委）、财务审计科、养护管理科（农村公路质量监督办公室）、收费稽查科、监控通讯科、设备管理科、劳动保障科、安全监督保卫科、纪委（监察室）、工会委员会、离退休人员管理科、后勤服务科</w:t>
      </w:r>
      <w:r>
        <w:rPr>
          <w:rFonts w:hint="eastAsia" w:ascii="仿宋_GB2312" w:hAnsi="宋体" w:eastAsia="仿宋_GB2312" w:cs="宋体"/>
          <w:kern w:val="0"/>
          <w:sz w:val="32"/>
          <w:szCs w:val="32"/>
        </w:rPr>
        <w:t>。</w:t>
      </w:r>
    </w:p>
    <w:p w14:paraId="7AEB1EB7">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1A78709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14:paraId="3C11679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13,739.99万元，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13,592.72万元，使用非财政拨款结余37.54万元，年初结转和结余109.73万元。</w:t>
      </w:r>
    </w:p>
    <w:p w14:paraId="119504B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13,739.99万元，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13,737.18万元，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0.00万元，年末结转和结余2.81万元。</w:t>
      </w:r>
    </w:p>
    <w:p w14:paraId="4680A50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减少1,918.16万元</w:t>
      </w:r>
      <w:r>
        <w:rPr>
          <w:rFonts w:hint="eastAsia" w:ascii="仿宋_GB2312" w:eastAsia="仿宋_GB2312"/>
          <w:color w:val="auto"/>
          <w:spacing w:val="0"/>
          <w:sz w:val="32"/>
          <w:szCs w:val="32"/>
          <w:highlight w:val="none"/>
          <w:lang w:eastAsia="zh-CN"/>
        </w:rPr>
        <w:t>，下降12.25%，主要原因是</w:t>
      </w:r>
      <w:r>
        <w:rPr>
          <w:rFonts w:hint="eastAsia" w:ascii="仿宋_GB2312" w:eastAsia="仿宋_GB2312"/>
          <w:color w:val="auto"/>
          <w:spacing w:val="0"/>
          <w:sz w:val="32"/>
          <w:szCs w:val="32"/>
          <w:highlight w:val="none"/>
          <w:lang w:val="en-US" w:eastAsia="zh-CN"/>
        </w:rPr>
        <w:t>：中央对地方专项转移支付养护工程、2021年政府还贷二级公路取消收费后补助资金用于国省干线公路养护工程等项目资金减少。</w:t>
      </w:r>
    </w:p>
    <w:p w14:paraId="74DAEB9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075C5B7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本年收入13,592.72万元，其中：财政拨款收入</w:t>
      </w:r>
      <w:r>
        <w:rPr>
          <w:rFonts w:hint="eastAsia" w:ascii="仿宋_GB2312" w:eastAsia="仿宋_GB2312"/>
          <w:color w:val="auto"/>
          <w:spacing w:val="0"/>
          <w:sz w:val="32"/>
          <w:szCs w:val="32"/>
          <w:highlight w:val="none"/>
          <w:lang w:val="zh-CN" w:eastAsia="zh-CN"/>
        </w:rPr>
        <w:t>13,538.64</w:t>
      </w:r>
      <w:r>
        <w:rPr>
          <w:rFonts w:hint="eastAsia" w:ascii="仿宋_GB2312" w:eastAsia="仿宋_GB2312"/>
          <w:color w:val="auto"/>
          <w:spacing w:val="0"/>
          <w:sz w:val="32"/>
          <w:szCs w:val="32"/>
          <w:highlight w:val="none"/>
          <w:lang w:val="en-US" w:eastAsia="zh-CN"/>
        </w:rPr>
        <w:t>万元，占</w:t>
      </w:r>
      <w:r>
        <w:rPr>
          <w:rFonts w:hint="eastAsia" w:ascii="仿宋_GB2312" w:eastAsia="仿宋_GB2312"/>
          <w:color w:val="auto"/>
          <w:spacing w:val="0"/>
          <w:sz w:val="32"/>
          <w:szCs w:val="32"/>
          <w:highlight w:val="none"/>
          <w:lang w:val="zh-CN" w:eastAsia="zh-CN"/>
        </w:rPr>
        <w:t>99.60</w:t>
      </w:r>
      <w:r>
        <w:rPr>
          <w:rFonts w:hint="eastAsia" w:ascii="仿宋_GB2312" w:eastAsia="仿宋_GB2312"/>
          <w:color w:val="auto"/>
          <w:spacing w:val="0"/>
          <w:sz w:val="32"/>
          <w:szCs w:val="32"/>
          <w:highlight w:val="none"/>
          <w:lang w:val="en-US" w:eastAsia="zh-CN"/>
        </w:rPr>
        <w:t>%；上级补助收入</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val="en-US" w:eastAsia="zh-CN"/>
        </w:rPr>
        <w:t>万元，占</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val="en-US" w:eastAsia="zh-CN"/>
        </w:rPr>
        <w:t>%；事业收入</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val="en-US" w:eastAsia="zh-CN"/>
        </w:rPr>
        <w:t>万元，占</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val="en-US" w:eastAsia="zh-CN"/>
        </w:rPr>
        <w:t>%；经营收入</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val="en-US" w:eastAsia="zh-CN"/>
        </w:rPr>
        <w:t>万元，占</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val="en-US" w:eastAsia="zh-CN"/>
        </w:rPr>
        <w:t>%；附属单位上缴收入</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val="en-US" w:eastAsia="zh-CN"/>
        </w:rPr>
        <w:t>万元，占</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val="en-US" w:eastAsia="zh-CN"/>
        </w:rPr>
        <w:t>%；其他收入</w:t>
      </w:r>
      <w:r>
        <w:rPr>
          <w:rFonts w:hint="eastAsia" w:ascii="仿宋_GB2312" w:eastAsia="仿宋_GB2312"/>
          <w:color w:val="auto"/>
          <w:spacing w:val="0"/>
          <w:sz w:val="32"/>
          <w:szCs w:val="32"/>
          <w:highlight w:val="none"/>
          <w:lang w:val="zh-CN" w:eastAsia="zh-CN"/>
        </w:rPr>
        <w:t>54.07</w:t>
      </w:r>
      <w:r>
        <w:rPr>
          <w:rFonts w:hint="eastAsia" w:ascii="仿宋_GB2312" w:eastAsia="仿宋_GB2312"/>
          <w:color w:val="auto"/>
          <w:spacing w:val="0"/>
          <w:sz w:val="32"/>
          <w:szCs w:val="32"/>
          <w:highlight w:val="none"/>
          <w:lang w:val="en-US" w:eastAsia="zh-CN"/>
        </w:rPr>
        <w:t>万元，占</w:t>
      </w:r>
      <w:r>
        <w:rPr>
          <w:rFonts w:hint="eastAsia" w:ascii="仿宋_GB2312" w:eastAsia="仿宋_GB2312"/>
          <w:color w:val="auto"/>
          <w:spacing w:val="0"/>
          <w:sz w:val="32"/>
          <w:szCs w:val="32"/>
          <w:highlight w:val="none"/>
          <w:lang w:val="zh-CN" w:eastAsia="zh-CN"/>
        </w:rPr>
        <w:t>0.40</w:t>
      </w:r>
      <w:r>
        <w:rPr>
          <w:rFonts w:hint="eastAsia" w:ascii="仿宋_GB2312" w:eastAsia="仿宋_GB2312"/>
          <w:color w:val="auto"/>
          <w:spacing w:val="0"/>
          <w:sz w:val="32"/>
          <w:szCs w:val="32"/>
          <w:highlight w:val="none"/>
          <w:lang w:val="en-US" w:eastAsia="zh-CN"/>
        </w:rPr>
        <w:t>%。</w:t>
      </w:r>
    </w:p>
    <w:p w14:paraId="4DF5016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14:paraId="19D8F3E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zh-CN" w:eastAsia="zh-CN"/>
        </w:rPr>
      </w:pPr>
      <w:r>
        <w:rPr>
          <w:rFonts w:hint="eastAsia" w:ascii="仿宋_GB2312" w:eastAsia="仿宋_GB2312"/>
          <w:color w:val="auto"/>
          <w:spacing w:val="0"/>
          <w:sz w:val="32"/>
          <w:szCs w:val="32"/>
          <w:highlight w:val="none"/>
          <w:lang w:val="zh-CN" w:eastAsia="zh-CN"/>
        </w:rPr>
        <w:t>本年支出13,737.18万元，其中：基本支出10,999.89万元，占80.07%；项目支出2,737.28万元，占19.93%；上缴上级支出0.00万元，占0.00%；经营支出0.00万元，占0.00%；对附属单位补助支出0.00万元，占0.00%。</w:t>
      </w:r>
    </w:p>
    <w:p w14:paraId="4BB9D64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328027E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zh-CN" w:eastAsia="zh-CN"/>
        </w:rPr>
      </w:pPr>
      <w:r>
        <w:rPr>
          <w:rFonts w:hint="eastAsia" w:ascii="仿宋_GB2312" w:eastAsia="仿宋_GB2312"/>
          <w:color w:val="auto"/>
          <w:spacing w:val="0"/>
          <w:sz w:val="32"/>
          <w:szCs w:val="32"/>
          <w:highlight w:val="none"/>
          <w:lang w:val="zh-CN"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13,538.64万元，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13,538.64万元。财政拨款支出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13,538.64万元，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13,538.64万元。</w:t>
      </w:r>
    </w:p>
    <w:p w14:paraId="2722B82D">
      <w:pPr>
        <w:ind w:firstLine="709"/>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减少1,723.93万元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下降11.30%,</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中央对地方专项转移支付养护工程、2021年政府还贷二级公路取消收费后补助资金用于国省干线公路养护工程等项目资金减少。</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12,318.74</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13,538.64</w:t>
      </w:r>
      <w:r>
        <w:rPr>
          <w:rFonts w:hint="eastAsia" w:ascii="仿宋_GB2312" w:eastAsia="仿宋_GB2312"/>
          <w:color w:val="auto"/>
          <w:spacing w:val="0"/>
          <w:sz w:val="32"/>
          <w:szCs w:val="32"/>
          <w:highlight w:val="none"/>
          <w:lang w:eastAsia="zh-CN"/>
        </w:rPr>
        <w:t>万元，预决</w:t>
      </w:r>
      <w:r>
        <w:rPr>
          <w:rFonts w:hint="eastAsia" w:ascii="仿宋_GB2312" w:eastAsia="仿宋_GB2312"/>
          <w:color w:val="auto"/>
          <w:spacing w:val="0"/>
          <w:sz w:val="32"/>
          <w:szCs w:val="32"/>
          <w:highlight w:val="none"/>
          <w:lang w:val="en-US" w:eastAsia="zh-CN"/>
        </w:rPr>
        <w:t>算差异率9.90%，主要原因是：年中追加年终一次性奖金、丧葬费抚恤金、职业年金、2023年车辆购置税收入补助地方用于公路灾损抢修保通项目、2023年车辆购置税收入补助地方预算资金(第二批)用于三项工程项目、2023年政府还贷二级公路取消收费后补助用于国省干线和农村公路养护项目等预算资金。</w:t>
      </w:r>
    </w:p>
    <w:p w14:paraId="6263DE9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6E83444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30708B52">
      <w:pPr>
        <w:ind w:firstLine="709"/>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2023年度一般公共预算财政拨款支出13,538.64万元，占本年支出合计的</w:t>
      </w:r>
      <w:r>
        <w:rPr>
          <w:rFonts w:hint="eastAsia" w:ascii="仿宋_GB2312" w:eastAsia="仿宋_GB2312"/>
          <w:color w:val="auto"/>
          <w:spacing w:val="0"/>
          <w:sz w:val="32"/>
          <w:szCs w:val="32"/>
          <w:highlight w:val="none"/>
          <w:lang w:val="zh-CN" w:eastAsia="zh-CN"/>
        </w:rPr>
        <w:t>98.55%</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减少1,723.93万元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下降11.30%,</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中央对地方专项转移支付养护工程、2021年政府还贷二级公路取消收费后补助资金用于国省干线公路养护工程等项目资金减少。</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12,318.74</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13,538.64</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9.90%</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年中追加年终一次性奖金、丧葬费抚恤金、职业年金、2023年车辆购置税收入补助地方用于公路灾损抢修保通项目、2023年车辆购置税收入补助地方预算资金(第二批)用于三项工程项目、2023年政府还贷二级公路取消收费后补助用于国省干线和农村公路养护项目等预算资金。</w:t>
      </w:r>
    </w:p>
    <w:p w14:paraId="3D125EB7">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2FF6D9FD">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lang w:val="zh-CN"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2,005.99</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14.82</w:t>
      </w:r>
      <w:r>
        <w:rPr>
          <w:rFonts w:hint="default" w:ascii="仿宋_GB2312" w:hAnsi="Times New Roman" w:eastAsia="仿宋_GB2312" w:cs="Times New Roman"/>
          <w:color w:val="auto"/>
          <w:spacing w:val="0"/>
          <w:kern w:val="2"/>
          <w:sz w:val="32"/>
          <w:szCs w:val="32"/>
          <w:highlight w:val="none"/>
          <w:lang w:val="zh-CN" w:eastAsia="zh-CN" w:bidi="ar-SA"/>
        </w:rPr>
        <w:t>%；</w:t>
      </w:r>
    </w:p>
    <w:p w14:paraId="474EB191">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en-US" w:eastAsia="zh-CN" w:bidi="ar-SA"/>
        </w:rPr>
      </w:pPr>
      <w:r>
        <w:rPr>
          <w:rFonts w:hint="default" w:ascii="仿宋_GB2312" w:hAnsi="Times New Roman"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554.53</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4.10</w:t>
      </w:r>
      <w:r>
        <w:rPr>
          <w:rFonts w:hint="default" w:ascii="仿宋_GB2312" w:hAnsi="Times New Roman" w:eastAsia="仿宋_GB2312" w:cs="Times New Roman"/>
          <w:color w:val="auto"/>
          <w:spacing w:val="0"/>
          <w:kern w:val="2"/>
          <w:sz w:val="32"/>
          <w:szCs w:val="32"/>
          <w:highlight w:val="none"/>
          <w:lang w:val="zh-CN" w:eastAsia="zh-CN" w:bidi="ar-SA"/>
        </w:rPr>
        <w:t>%；</w:t>
      </w:r>
    </w:p>
    <w:p w14:paraId="2036E58D">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lang w:val="zh-CN" w:eastAsia="zh-CN" w:bidi="ar-SA"/>
        </w:rPr>
      </w:pPr>
      <w:r>
        <w:rPr>
          <w:rFonts w:hint="default" w:ascii="仿宋_GB2312" w:hAnsi="Times New Roman" w:eastAsia="仿宋_GB2312" w:cs="Times New Roman"/>
          <w:color w:val="auto"/>
          <w:spacing w:val="0"/>
          <w:kern w:val="2"/>
          <w:sz w:val="32"/>
          <w:szCs w:val="32"/>
          <w:lang w:val="zh-CN" w:eastAsia="zh-CN" w:bidi="ar-SA"/>
        </w:rPr>
        <w:t>3.</w:t>
      </w:r>
      <w:r>
        <w:rPr>
          <w:rFonts w:hint="default" w:ascii="仿宋_GB2312" w:hAnsi="Times New Roman" w:eastAsia="仿宋_GB2312" w:cs="Times New Roman"/>
          <w:color w:val="auto"/>
          <w:spacing w:val="0"/>
          <w:kern w:val="2"/>
          <w:sz w:val="32"/>
          <w:szCs w:val="32"/>
          <w:highlight w:val="none"/>
          <w:lang w:val="zh-CN" w:eastAsia="zh-CN" w:bidi="ar-SA"/>
        </w:rPr>
        <w:t>交通运输支出（类）</w:t>
      </w:r>
      <w:r>
        <w:rPr>
          <w:rFonts w:hint="eastAsia" w:ascii="仿宋_GB2312" w:hAnsi="Times New Roman" w:eastAsia="仿宋_GB2312" w:cs="Times New Roman"/>
          <w:color w:val="auto"/>
          <w:spacing w:val="0"/>
          <w:kern w:val="2"/>
          <w:sz w:val="32"/>
          <w:szCs w:val="32"/>
          <w:highlight w:val="none"/>
          <w:lang w:val="zh-CN" w:eastAsia="zh-CN" w:bidi="ar-SA"/>
        </w:rPr>
        <w:t>10,392.83</w:t>
      </w:r>
      <w:r>
        <w:rPr>
          <w:rFonts w:hint="default" w:ascii="仿宋_GB2312" w:hAnsi="Times New Roman" w:eastAsia="仿宋_GB2312" w:cs="Times New Roman"/>
          <w:color w:val="auto"/>
          <w:spacing w:val="0"/>
          <w:kern w:val="2"/>
          <w:sz w:val="32"/>
          <w:szCs w:val="32"/>
          <w:highlight w:val="none"/>
          <w:lang w:val="zh-CN" w:eastAsia="zh-CN" w:bidi="ar-SA"/>
        </w:rPr>
        <w:t xml:space="preserve">万元，占 </w:t>
      </w:r>
      <w:r>
        <w:rPr>
          <w:rFonts w:hint="eastAsia" w:ascii="仿宋_GB2312" w:hAnsi="Times New Roman" w:eastAsia="仿宋_GB2312" w:cs="Times New Roman"/>
          <w:color w:val="auto"/>
          <w:spacing w:val="0"/>
          <w:kern w:val="2"/>
          <w:sz w:val="32"/>
          <w:szCs w:val="32"/>
          <w:highlight w:val="none"/>
          <w:lang w:val="zh-CN" w:eastAsia="zh-CN" w:bidi="ar-SA"/>
        </w:rPr>
        <w:t>76.76</w:t>
      </w:r>
      <w:r>
        <w:rPr>
          <w:rFonts w:hint="default" w:ascii="仿宋_GB2312" w:hAnsi="Times New Roman" w:eastAsia="仿宋_GB2312" w:cs="Times New Roman"/>
          <w:color w:val="auto"/>
          <w:spacing w:val="0"/>
          <w:kern w:val="2"/>
          <w:sz w:val="32"/>
          <w:szCs w:val="32"/>
          <w:highlight w:val="none"/>
          <w:lang w:val="zh-CN" w:eastAsia="zh-CN" w:bidi="ar-SA"/>
        </w:rPr>
        <w:t>%；</w:t>
      </w:r>
    </w:p>
    <w:p w14:paraId="5A80483D">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lang w:val="zh-CN" w:eastAsia="zh-CN" w:bidi="ar-SA"/>
        </w:rPr>
        <w:t>4.</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585.29</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4.32</w:t>
      </w:r>
      <w:r>
        <w:rPr>
          <w:rFonts w:hint="default" w:ascii="仿宋_GB2312" w:hAnsi="Times New Roman" w:eastAsia="仿宋_GB2312" w:cs="Times New Roman"/>
          <w:color w:val="auto"/>
          <w:spacing w:val="0"/>
          <w:kern w:val="2"/>
          <w:sz w:val="32"/>
          <w:szCs w:val="32"/>
          <w:highlight w:val="none"/>
          <w:lang w:val="zh-CN" w:eastAsia="zh-CN" w:bidi="ar-SA"/>
        </w:rPr>
        <w:t>%</w:t>
      </w:r>
      <w:r>
        <w:rPr>
          <w:rFonts w:hint="eastAsia" w:ascii="仿宋_GB2312" w:eastAsia="仿宋_GB2312" w:cs="Times New Roman"/>
          <w:color w:val="auto"/>
          <w:spacing w:val="0"/>
          <w:kern w:val="2"/>
          <w:sz w:val="32"/>
          <w:szCs w:val="32"/>
          <w:highlight w:val="none"/>
          <w:lang w:val="zh-CN" w:eastAsia="zh-CN" w:bidi="ar-SA"/>
        </w:rPr>
        <w:t>。</w:t>
      </w:r>
    </w:p>
    <w:p w14:paraId="7FF6FBE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1C804B05">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zh-CN" w:eastAsia="zh-CN"/>
        </w:rPr>
      </w:pPr>
      <w:r>
        <w:rPr>
          <w:rFonts w:hint="eastAsia" w:ascii="仿宋_GB2312" w:eastAsia="仿宋_GB2312"/>
          <w:color w:val="auto"/>
          <w:spacing w:val="0"/>
          <w:sz w:val="32"/>
          <w:szCs w:val="32"/>
          <w:highlight w:val="none"/>
          <w:lang w:val="en-US" w:eastAsia="zh-CN"/>
        </w:rPr>
        <w:t>1.卫生健康支出（类）行政事业单位医疗（款）事业单位医疗（项）:支出决算数为365.81万元，比上年决算减少6.68万元，下降1.79%，主要原因是：在职人员较上年减少19人</w:t>
      </w:r>
      <w:r>
        <w:rPr>
          <w:rFonts w:hint="eastAsia" w:ascii="仿宋_GB2312" w:eastAsia="仿宋_GB2312"/>
          <w:color w:val="auto"/>
          <w:spacing w:val="0"/>
          <w:sz w:val="32"/>
          <w:szCs w:val="32"/>
          <w:highlight w:val="none"/>
          <w:lang w:eastAsia="zh-CN"/>
        </w:rPr>
        <w:t>。</w:t>
      </w:r>
    </w:p>
    <w:p w14:paraId="3B82F4C0">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zh-CN" w:eastAsia="zh-CN"/>
        </w:rPr>
      </w:pPr>
      <w:r>
        <w:rPr>
          <w:rFonts w:hint="eastAsia" w:ascii="仿宋_GB2312" w:eastAsia="仿宋_GB2312"/>
          <w:color w:val="auto"/>
          <w:spacing w:val="0"/>
          <w:sz w:val="32"/>
          <w:szCs w:val="32"/>
          <w:highlight w:val="none"/>
          <w:lang w:val="en-US" w:eastAsia="zh-CN"/>
        </w:rPr>
        <w:t>2.卫生健康支出（类）行政事业单位医疗（款）公务员医疗补助（项）:支出决算数为188.72万元，比上年决算减少100.99万元，下降34.86%，主要原因是：在职人员较上年减少19人</w:t>
      </w:r>
      <w:r>
        <w:rPr>
          <w:rFonts w:hint="eastAsia" w:ascii="仿宋_GB2312" w:eastAsia="仿宋_GB2312"/>
          <w:color w:val="auto"/>
          <w:spacing w:val="0"/>
          <w:sz w:val="32"/>
          <w:szCs w:val="32"/>
          <w:highlight w:val="none"/>
          <w:lang w:eastAsia="zh-CN"/>
        </w:rPr>
        <w:t>。</w:t>
      </w:r>
    </w:p>
    <w:p w14:paraId="1C5977E0">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3.交通运输支出（类）公路水路运输（款）公路养护（项）:支出决算数为10,077.83万元，比上年决算减少1,474.95万元，下降12.77%，主要原因是：中央对地方专项转移支付养护工程、2021年政府还贷二级公路取消收费后补助资金用于国省干线公路养护工程等项目资金减少。</w:t>
      </w:r>
    </w:p>
    <w:p w14:paraId="2DB34509">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4.交通运输支出（类）车辆购置税支出（款）车辆购置税用于公路等基础设施建设支出（项）:支出决算数为315.00万元，比上年决算增加59.00万元，增长23.05%，主要原因是：</w:t>
      </w:r>
      <w:r>
        <w:rPr>
          <w:rFonts w:hint="eastAsia" w:ascii="仿宋_GB2312" w:eastAsia="仿宋_GB2312"/>
          <w:color w:val="auto"/>
          <w:spacing w:val="0"/>
          <w:sz w:val="32"/>
          <w:szCs w:val="32"/>
          <w:highlight w:val="none"/>
          <w:lang w:eastAsia="zh-CN"/>
        </w:rPr>
        <w:t>202</w:t>
      </w:r>
      <w:r>
        <w:rPr>
          <w:rFonts w:hint="eastAsia" w:ascii="仿宋_GB2312" w:eastAsia="仿宋_GB2312"/>
          <w:color w:val="auto"/>
          <w:spacing w:val="0"/>
          <w:sz w:val="32"/>
          <w:szCs w:val="32"/>
          <w:highlight w:val="none"/>
          <w:lang w:val="en-US" w:eastAsia="zh-CN"/>
        </w:rPr>
        <w:t>3</w:t>
      </w:r>
      <w:r>
        <w:rPr>
          <w:rFonts w:hint="eastAsia" w:ascii="仿宋_GB2312" w:eastAsia="仿宋_GB2312"/>
          <w:color w:val="auto"/>
          <w:spacing w:val="0"/>
          <w:sz w:val="32"/>
          <w:szCs w:val="32"/>
          <w:highlight w:val="none"/>
          <w:lang w:eastAsia="zh-CN"/>
        </w:rPr>
        <w:t>年度增加车辆购置税资金</w:t>
      </w:r>
      <w:r>
        <w:rPr>
          <w:rFonts w:hint="eastAsia" w:ascii="仿宋_GB2312" w:eastAsia="仿宋_GB2312"/>
          <w:color w:val="auto"/>
          <w:spacing w:val="0"/>
          <w:sz w:val="32"/>
          <w:szCs w:val="32"/>
          <w:highlight w:val="none"/>
          <w:lang w:val="zh-CN" w:eastAsia="zh-CN"/>
        </w:rPr>
        <w:t>公路灾害防治工程</w:t>
      </w:r>
      <w:r>
        <w:rPr>
          <w:rFonts w:hint="eastAsia" w:ascii="仿宋_GB2312" w:eastAsia="仿宋_GB2312"/>
          <w:color w:val="auto"/>
          <w:spacing w:val="0"/>
          <w:sz w:val="32"/>
          <w:szCs w:val="32"/>
          <w:highlight w:val="none"/>
          <w:lang w:val="en-US" w:eastAsia="zh-CN"/>
        </w:rPr>
        <w:t>项目预算。</w:t>
      </w:r>
    </w:p>
    <w:p w14:paraId="70A43927">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5.住房保障支出（类）住房改革支出（款）住房公积金（项）:支出决算数为585.29万元，比上年决算增加70.47万元，增长13.69%，主要原因是：</w:t>
      </w:r>
      <w:r>
        <w:rPr>
          <w:rFonts w:hint="eastAsia" w:ascii="仿宋_GB2312" w:eastAsia="仿宋_GB2312"/>
          <w:color w:val="auto"/>
          <w:spacing w:val="0"/>
          <w:sz w:val="32"/>
          <w:szCs w:val="32"/>
          <w:highlight w:val="none"/>
          <w:lang w:eastAsia="zh-CN"/>
        </w:rPr>
        <w:t>人员基本工资基数上调，导致住房公积金缴费基数上调。</w:t>
      </w:r>
    </w:p>
    <w:p w14:paraId="14F99CF4">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zh-CN" w:eastAsia="zh-CN"/>
        </w:rPr>
      </w:pPr>
      <w:r>
        <w:rPr>
          <w:rFonts w:hint="eastAsia" w:ascii="仿宋_GB2312" w:eastAsia="仿宋_GB2312"/>
          <w:color w:val="auto"/>
          <w:spacing w:val="0"/>
          <w:sz w:val="32"/>
          <w:szCs w:val="32"/>
          <w:highlight w:val="none"/>
          <w:lang w:val="en-US" w:eastAsia="zh-CN"/>
        </w:rPr>
        <w:t>6.社会保障和就业支出（类）行政事业单位养老支出（款）事业单位离退休（项）:支出决算数为1,184.50万元，比上年决算减少312.32万元，下降20.87%，主要原因是：调减离退休医疗费预算</w:t>
      </w:r>
      <w:r>
        <w:rPr>
          <w:rFonts w:hint="eastAsia" w:ascii="仿宋_GB2312" w:eastAsia="仿宋_GB2312"/>
          <w:color w:val="auto"/>
          <w:spacing w:val="0"/>
          <w:sz w:val="32"/>
          <w:szCs w:val="32"/>
          <w:highlight w:val="none"/>
          <w:lang w:val="zh-CN" w:eastAsia="zh-CN"/>
        </w:rPr>
        <w:t>。</w:t>
      </w:r>
    </w:p>
    <w:p w14:paraId="0D078726">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pacing w:val="0"/>
          <w:sz w:val="32"/>
          <w:szCs w:val="32"/>
          <w:highlight w:val="yellow"/>
          <w:lang w:val="en-US" w:eastAsia="zh-CN"/>
        </w:rPr>
      </w:pPr>
      <w:r>
        <w:rPr>
          <w:rFonts w:hint="eastAsia" w:ascii="仿宋_GB2312" w:eastAsia="仿宋_GB2312"/>
          <w:color w:val="auto"/>
          <w:spacing w:val="0"/>
          <w:sz w:val="32"/>
          <w:szCs w:val="32"/>
          <w:highlight w:val="none"/>
          <w:lang w:val="en-US" w:eastAsia="zh-CN"/>
        </w:rPr>
        <w:t>7.社会保障和就业支出（类）行政事业单位养老支出（款）机关事业单位职业年金缴费支出（项）:支出决算数为41.11万元，比上年决算减少52.43万元，下降56.05%，主要原因是：2023年仅申报41.11万元职业年金。</w:t>
      </w:r>
    </w:p>
    <w:p w14:paraId="3914517F">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zh-CN" w:eastAsia="zh-CN"/>
        </w:rPr>
      </w:pPr>
      <w:r>
        <w:rPr>
          <w:rFonts w:hint="eastAsia" w:ascii="仿宋_GB2312" w:eastAsia="仿宋_GB2312"/>
          <w:color w:val="auto"/>
          <w:spacing w:val="0"/>
          <w:sz w:val="32"/>
          <w:szCs w:val="32"/>
          <w:highlight w:val="none"/>
          <w:lang w:val="en-US" w:eastAsia="zh-CN"/>
        </w:rPr>
        <w:t>8.社会保障和就业支出（类）行政事业单位养老支出（款）机关事业单位基本养老保险缴费支出（项）:支出决算数为780.39万元，比上年决算增加93.96万元，增长13.69%，主要原因是：</w:t>
      </w:r>
      <w:r>
        <w:rPr>
          <w:rFonts w:hint="eastAsia" w:ascii="仿宋_GB2312" w:eastAsia="仿宋_GB2312"/>
          <w:color w:val="auto"/>
          <w:spacing w:val="0"/>
          <w:sz w:val="32"/>
          <w:szCs w:val="32"/>
          <w:highlight w:val="none"/>
          <w:lang w:eastAsia="zh-CN"/>
        </w:rPr>
        <w:t>人员基本工资基数上调，机关事业单位基本养老保险缴费基数增加。</w:t>
      </w:r>
    </w:p>
    <w:p w14:paraId="0909EE2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4EB7CA18">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10,999.89</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10,101.19</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其他社会保障缴费、住房公积金、其他工资福利支出、离休费、退休费、抚恤金、生活补助、医疗费补助、奖励金、其他对个人和家庭的补助、。</w:t>
      </w:r>
    </w:p>
    <w:p w14:paraId="614296CE">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宋体" w:eastAsia="仿宋_GB2312" w:cs="宋体"/>
          <w:color w:val="auto"/>
          <w:kern w:val="0"/>
          <w:sz w:val="32"/>
          <w:szCs w:val="32"/>
          <w:highlight w:val="none"/>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898.71</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办公费、水费、电费、邮电费、取暖费、差旅费、劳务费、工会经费、福利费、公务用车运行维护费、其他商品和服务支出</w:t>
      </w:r>
      <w:r>
        <w:rPr>
          <w:rFonts w:hint="eastAsia" w:ascii="仿宋_GB2312" w:eastAsia="仿宋_GB2312"/>
          <w:color w:val="auto"/>
          <w:sz w:val="32"/>
          <w:szCs w:val="32"/>
          <w:highlight w:val="none"/>
          <w:lang w:eastAsia="zh-CN"/>
        </w:rPr>
        <w:t>。</w:t>
      </w:r>
    </w:p>
    <w:p w14:paraId="5F1031E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52132DEF">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bookmarkStart w:id="48" w:name="_GoBack"/>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“三公”经费支出98.89万元，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减少1.93万元，</w:t>
      </w:r>
      <w:r>
        <w:rPr>
          <w:rFonts w:hint="eastAsia" w:ascii="仿宋_GB2312" w:eastAsia="仿宋_GB2312"/>
          <w:color w:val="auto"/>
          <w:sz w:val="32"/>
          <w:szCs w:val="32"/>
          <w:highlight w:val="none"/>
          <w:lang w:val="en-US" w:eastAsia="zh-CN"/>
        </w:rPr>
        <w:t>下降1.91%,</w:t>
      </w:r>
      <w:r>
        <w:rPr>
          <w:rFonts w:hint="eastAsia" w:ascii="仿宋_GB2312" w:eastAsia="仿宋_GB2312"/>
          <w:color w:val="auto"/>
          <w:sz w:val="32"/>
          <w:szCs w:val="32"/>
          <w:highlight w:val="none"/>
          <w:lang w:val="zh-CN" w:eastAsia="zh-CN"/>
        </w:rPr>
        <w:t>主要原因是：</w:t>
      </w:r>
      <w:r>
        <w:rPr>
          <w:rFonts w:hint="default" w:ascii="仿宋_GB2312" w:eastAsia="仿宋_GB2312"/>
          <w:color w:val="auto"/>
          <w:sz w:val="32"/>
          <w:szCs w:val="32"/>
          <w:highlight w:val="none"/>
          <w:lang w:val="zh-CN" w:eastAsia="zh-CN"/>
        </w:rPr>
        <w:t>树牢过“紧日子”思想，厉行节约，严格控制</w:t>
      </w:r>
      <w:r>
        <w:rPr>
          <w:rFonts w:hint="eastAsia" w:ascii="仿宋_GB2312" w:eastAsia="仿宋_GB2312"/>
          <w:color w:val="auto"/>
          <w:sz w:val="32"/>
          <w:szCs w:val="32"/>
          <w:highlight w:val="none"/>
          <w:lang w:val="zh-CN" w:eastAsia="zh-CN"/>
        </w:rPr>
        <w:t>“三公”经费</w:t>
      </w:r>
      <w:r>
        <w:rPr>
          <w:rFonts w:hint="default" w:ascii="仿宋_GB2312" w:eastAsia="仿宋_GB2312"/>
          <w:color w:val="auto"/>
          <w:sz w:val="32"/>
          <w:szCs w:val="32"/>
          <w:highlight w:val="none"/>
          <w:lang w:val="zh-CN" w:eastAsia="zh-CN"/>
        </w:rPr>
        <w:t>支出。</w:t>
      </w:r>
      <w:r>
        <w:rPr>
          <w:rFonts w:hint="eastAsia" w:ascii="仿宋_GB2312" w:eastAsia="仿宋_GB2312"/>
          <w:color w:val="auto"/>
          <w:sz w:val="32"/>
          <w:szCs w:val="32"/>
          <w:highlight w:val="none"/>
          <w:lang w:val="zh-CN" w:eastAsia="zh-CN"/>
        </w:rPr>
        <w:t>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ascii="仿宋_GB2312" w:eastAsia="仿宋_GB2312"/>
          <w:color w:val="auto"/>
          <w:sz w:val="32"/>
          <w:szCs w:val="32"/>
          <w:highlight w:val="none"/>
        </w:rPr>
        <w:t>我单位无因公出国（境）费</w:t>
      </w:r>
      <w:r>
        <w:rPr>
          <w:rFonts w:hint="eastAsia" w:ascii="仿宋_GB2312" w:eastAsia="仿宋_GB2312"/>
          <w:color w:val="auto"/>
          <w:sz w:val="32"/>
          <w:szCs w:val="32"/>
          <w:highlight w:val="none"/>
          <w:lang w:val="zh-CN" w:eastAsia="zh-CN"/>
        </w:rPr>
        <w:t>；公务用车购置及运行维护费支出98.89万元，占100.00%，比上年减少1.93万元，</w:t>
      </w:r>
      <w:r>
        <w:rPr>
          <w:rFonts w:hint="eastAsia" w:ascii="仿宋_GB2312" w:eastAsia="仿宋_GB2312"/>
          <w:color w:val="auto"/>
          <w:spacing w:val="0"/>
          <w:sz w:val="32"/>
          <w:szCs w:val="32"/>
          <w:highlight w:val="none"/>
          <w:lang w:val="en-US" w:eastAsia="zh-CN"/>
        </w:rPr>
        <w:t>下降1.91%,</w:t>
      </w:r>
      <w:r>
        <w:rPr>
          <w:rFonts w:hint="eastAsia" w:ascii="仿宋_GB2312" w:eastAsia="仿宋_GB2312"/>
          <w:color w:val="auto"/>
          <w:sz w:val="32"/>
          <w:szCs w:val="32"/>
          <w:highlight w:val="none"/>
          <w:lang w:val="zh-CN" w:eastAsia="zh-CN"/>
        </w:rPr>
        <w:t>主要原因是：</w:t>
      </w:r>
      <w:r>
        <w:rPr>
          <w:rFonts w:hint="default" w:ascii="仿宋_GB2312" w:eastAsia="仿宋_GB2312"/>
          <w:color w:val="auto"/>
          <w:sz w:val="32"/>
          <w:szCs w:val="32"/>
          <w:highlight w:val="none"/>
          <w:lang w:val="zh-CN" w:eastAsia="zh-CN"/>
        </w:rPr>
        <w:t>树牢过“紧日子”思想，厉行节约，严格控制公务用车运行维护费用的支出</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ascii="仿宋_GB2312" w:eastAsia="仿宋_GB2312"/>
          <w:color w:val="auto"/>
          <w:sz w:val="32"/>
          <w:szCs w:val="32"/>
          <w:highlight w:val="none"/>
        </w:rPr>
        <w:t>我单位无公务接待费</w:t>
      </w:r>
      <w:r>
        <w:rPr>
          <w:rFonts w:hint="eastAsia" w:ascii="仿宋_GB2312" w:eastAsia="仿宋_GB2312"/>
          <w:color w:val="auto"/>
          <w:sz w:val="32"/>
          <w:szCs w:val="32"/>
          <w:highlight w:val="none"/>
          <w:lang w:val="zh-CN" w:eastAsia="zh-CN"/>
        </w:rPr>
        <w:t>。</w:t>
      </w:r>
    </w:p>
    <w:p w14:paraId="19F1B4A9">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14:paraId="24C23810">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w:t>
      </w:r>
      <w:r>
        <w:rPr>
          <w:rFonts w:hint="eastAsia" w:ascii="仿宋_GB2312" w:eastAsia="仿宋_GB2312"/>
          <w:color w:val="auto"/>
          <w:sz w:val="32"/>
          <w:szCs w:val="32"/>
          <w:highlight w:val="none"/>
        </w:rPr>
        <w:t>我单位无因公出国（境）费</w:t>
      </w:r>
      <w:r>
        <w:rPr>
          <w:rFonts w:hint="eastAsia" w:ascii="仿宋_GB2312" w:eastAsia="仿宋_GB2312"/>
          <w:color w:val="auto"/>
          <w:sz w:val="32"/>
          <w:szCs w:val="32"/>
          <w:highlight w:val="none"/>
          <w:lang w:val="zh-CN" w:eastAsia="zh-CN"/>
        </w:rPr>
        <w:t>。单位全年安排的因公出国（境）团组0个，因公出国（境）0人次。</w:t>
      </w:r>
    </w:p>
    <w:p w14:paraId="37386036">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公务用车购置及运行维护费98.89万元，其中：公务用车购置费0.00万元，公务用车运行维护费98.89万元。公务用车运行维护费开支内容包括</w:t>
      </w:r>
      <w:r>
        <w:rPr>
          <w:rFonts w:hint="eastAsia" w:ascii="仿宋_GB2312" w:eastAsia="仿宋_GB2312"/>
          <w:color w:val="auto"/>
          <w:sz w:val="32"/>
          <w:szCs w:val="32"/>
          <w:highlight w:val="none"/>
        </w:rPr>
        <w:t>公务用车燃油费、车辆保险费、车辆维修费用等。</w:t>
      </w:r>
      <w:r>
        <w:rPr>
          <w:rFonts w:hint="eastAsia" w:ascii="仿宋_GB2312" w:eastAsia="仿宋_GB2312"/>
          <w:color w:val="auto"/>
          <w:sz w:val="32"/>
          <w:szCs w:val="32"/>
          <w:highlight w:val="none"/>
          <w:lang w:val="zh-CN" w:eastAsia="zh-CN"/>
        </w:rPr>
        <w:t>公务用车购置数0辆，公务用车保有量53辆。国有资产占用情况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168辆，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default" w:ascii="Times New Roman" w:hAnsi="Times New Roman" w:eastAsia="仿宋_GB2312" w:cs="Times New Roman"/>
          <w:color w:val="auto"/>
          <w:sz w:val="32"/>
          <w:szCs w:val="32"/>
          <w:highlight w:val="none"/>
          <w:lang w:val="zh-CN" w:eastAsia="zh-CN"/>
        </w:rPr>
        <w:t>固定资产车辆中还包含</w:t>
      </w:r>
      <w:r>
        <w:rPr>
          <w:rFonts w:hint="eastAsia" w:ascii="仿宋_GB2312" w:eastAsia="仿宋_GB2312"/>
          <w:color w:val="auto"/>
          <w:sz w:val="32"/>
          <w:szCs w:val="32"/>
        </w:rPr>
        <w:t>自卸车、洒水车、皮卡车、依维柯工程车</w:t>
      </w:r>
      <w:r>
        <w:rPr>
          <w:rFonts w:hint="eastAsia" w:ascii="仿宋_GB2312" w:eastAsia="仿宋_GB2312"/>
          <w:color w:val="auto"/>
          <w:sz w:val="32"/>
          <w:szCs w:val="32"/>
          <w:lang w:val="en-US" w:eastAsia="zh-CN"/>
        </w:rPr>
        <w:t>等</w:t>
      </w:r>
      <w:r>
        <w:rPr>
          <w:rFonts w:hint="default" w:ascii="Times New Roman" w:hAnsi="Times New Roman" w:eastAsia="仿宋_GB2312" w:cs="Times New Roman"/>
          <w:color w:val="auto"/>
          <w:sz w:val="32"/>
          <w:szCs w:val="32"/>
          <w:highlight w:val="none"/>
          <w:lang w:val="en-US" w:eastAsia="zh-CN"/>
        </w:rPr>
        <w:t>公路</w:t>
      </w:r>
      <w:r>
        <w:rPr>
          <w:rFonts w:hint="default" w:ascii="Times New Roman" w:hAnsi="Times New Roman" w:eastAsia="仿宋_GB2312" w:cs="Times New Roman"/>
          <w:color w:val="auto"/>
          <w:sz w:val="32"/>
          <w:szCs w:val="32"/>
          <w:highlight w:val="none"/>
          <w:lang w:val="zh-CN" w:eastAsia="zh-CN"/>
        </w:rPr>
        <w:t>养护作业车辆</w:t>
      </w:r>
      <w:r>
        <w:rPr>
          <w:rFonts w:hint="eastAsia" w:ascii="Times New Roman" w:hAnsi="Times New Roman" w:eastAsia="仿宋_GB2312" w:cs="Times New Roman"/>
          <w:color w:val="auto"/>
          <w:sz w:val="32"/>
          <w:szCs w:val="32"/>
          <w:highlight w:val="none"/>
          <w:lang w:val="en-US" w:eastAsia="zh-CN"/>
        </w:rPr>
        <w:t>及特种专业技术车辆</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公路养护专业车辆</w:t>
      </w:r>
      <w:r>
        <w:rPr>
          <w:rFonts w:hint="eastAsia" w:ascii="仿宋_GB2312" w:eastAsia="仿宋_GB2312"/>
          <w:color w:val="auto"/>
          <w:sz w:val="32"/>
          <w:szCs w:val="32"/>
          <w:highlight w:val="none"/>
          <w:lang w:val="zh-CN" w:eastAsia="zh-CN"/>
        </w:rPr>
        <w:t>运行维护</w:t>
      </w:r>
      <w:r>
        <w:rPr>
          <w:rFonts w:hint="eastAsia" w:ascii="Times New Roman" w:hAnsi="Times New Roman" w:eastAsia="仿宋_GB2312" w:cs="Times New Roman"/>
          <w:color w:val="auto"/>
          <w:sz w:val="32"/>
          <w:szCs w:val="32"/>
          <w:highlight w:val="none"/>
          <w:lang w:val="en-US" w:eastAsia="zh-CN"/>
        </w:rPr>
        <w:t>经费来源</w:t>
      </w:r>
      <w:r>
        <w:rPr>
          <w:rFonts w:hint="eastAsia" w:eastAsia="仿宋_GB2312" w:cs="Times New Roman"/>
          <w:color w:val="auto"/>
          <w:sz w:val="32"/>
          <w:szCs w:val="32"/>
          <w:highlight w:val="none"/>
          <w:lang w:val="en-US" w:eastAsia="zh-CN"/>
        </w:rPr>
        <w:t>为专项项目支出</w:t>
      </w:r>
      <w:r>
        <w:rPr>
          <w:rFonts w:hint="default" w:ascii="Times New Roman" w:hAnsi="Times New Roman" w:eastAsia="仿宋_GB2312" w:cs="Times New Roman"/>
          <w:color w:val="auto"/>
          <w:sz w:val="32"/>
          <w:szCs w:val="32"/>
          <w:highlight w:val="none"/>
          <w:lang w:val="zh-CN" w:eastAsia="zh-CN"/>
        </w:rPr>
        <w:t>。</w:t>
      </w:r>
    </w:p>
    <w:p w14:paraId="4EAA87D8">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color w:val="auto"/>
          <w:sz w:val="32"/>
          <w:szCs w:val="32"/>
        </w:rPr>
        <w:t>我单位无公务接待费</w:t>
      </w:r>
      <w:r>
        <w:rPr>
          <w:rFonts w:hint="eastAsia" w:ascii="仿宋_GB2312" w:eastAsia="仿宋_GB2312"/>
          <w:color w:val="auto"/>
          <w:sz w:val="32"/>
          <w:szCs w:val="32"/>
          <w:highlight w:val="none"/>
          <w:lang w:val="zh-CN" w:eastAsia="zh-CN"/>
        </w:rPr>
        <w:t>。单位全年安排的国内公务接待0批次，0人次。</w:t>
      </w:r>
    </w:p>
    <w:p w14:paraId="47DCF3F8">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预算数99.00万元，决算数98.89万元，预决算差异率-0.11%，主要原因是：</w:t>
      </w:r>
      <w:r>
        <w:rPr>
          <w:rFonts w:hint="eastAsia" w:ascii="仿宋_GB2312" w:eastAsia="仿宋_GB2312"/>
          <w:color w:val="auto"/>
          <w:sz w:val="32"/>
          <w:szCs w:val="32"/>
        </w:rPr>
        <w:t>本年度我单位严格按照预算控制“三公”经费支出</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color w:val="auto"/>
          <w:sz w:val="32"/>
          <w:szCs w:val="32"/>
        </w:rPr>
        <w:t>我单位无因公出国（境）费；</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rPr>
        <w:t>我单位无公务用车购置费；</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预算数99.00万元，决算数98.89万元，预决算差异率-0.11%，主要原因是：</w:t>
      </w:r>
      <w:r>
        <w:rPr>
          <w:rFonts w:hint="eastAsia" w:ascii="仿宋_GB2312" w:eastAsia="仿宋_GB2312"/>
          <w:color w:val="auto"/>
          <w:sz w:val="32"/>
          <w:szCs w:val="32"/>
        </w:rPr>
        <w:t>严格按照年初预算控制“三公”经费支出</w:t>
      </w:r>
      <w:r>
        <w:rPr>
          <w:rFonts w:hint="eastAsia" w:ascii="仿宋_GB2312" w:eastAsia="仿宋_GB2312"/>
          <w:color w:val="auto"/>
          <w:sz w:val="32"/>
          <w:szCs w:val="32"/>
          <w:lang w:val="en-US" w:eastAsia="zh-CN"/>
        </w:rPr>
        <w:t>；</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rPr>
        <w:t>我单位无公务接待费</w:t>
      </w:r>
      <w:r>
        <w:rPr>
          <w:rFonts w:hint="eastAsia" w:ascii="仿宋_GB2312" w:eastAsia="仿宋_GB2312"/>
          <w:color w:val="auto"/>
          <w:sz w:val="32"/>
          <w:szCs w:val="32"/>
          <w:highlight w:val="none"/>
          <w:lang w:val="zh-CN" w:eastAsia="zh-CN"/>
        </w:rPr>
        <w:t>。</w:t>
      </w:r>
    </w:p>
    <w:bookmarkEnd w:id="48"/>
    <w:p w14:paraId="1269291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22F6F6E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14:paraId="040E896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24B1769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3785588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5A44109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33F3941E">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Times New Roman" w:hAnsi="Times New Roman" w:eastAsia="仿宋_GB2312" w:cs="Times New Roman"/>
          <w:color w:val="auto"/>
          <w:sz w:val="32"/>
          <w:szCs w:val="32"/>
          <w:highlight w:val="none"/>
          <w:lang w:val="zh-CN" w:eastAsia="zh-CN"/>
        </w:rPr>
      </w:pPr>
      <w:bookmarkStart w:id="24" w:name="_Toc227"/>
      <w:bookmarkStart w:id="25" w:name="_Toc26704"/>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塔城公路管理局</w:t>
      </w:r>
      <w:r>
        <w:rPr>
          <w:rFonts w:hint="eastAsia" w:ascii="Times New Roman" w:hAnsi="Times New Roman" w:eastAsia="仿宋_GB2312" w:cs="Times New Roman"/>
          <w:color w:val="auto"/>
          <w:sz w:val="32"/>
          <w:szCs w:val="32"/>
          <w:highlight w:val="none"/>
          <w:lang w:val="zh-CN" w:eastAsia="zh-CN"/>
        </w:rPr>
        <w:t>（事业单位）公用经费支出898.71万元，比上年增加210.30万元，增长30.55%，主要原因是：</w:t>
      </w:r>
      <w:r>
        <w:rPr>
          <w:rFonts w:hint="eastAsia" w:eastAsia="仿宋_GB2312" w:cs="Times New Roman"/>
          <w:color w:val="auto"/>
          <w:sz w:val="32"/>
          <w:szCs w:val="32"/>
          <w:highlight w:val="none"/>
          <w:lang w:val="en-US" w:eastAsia="zh-CN"/>
        </w:rPr>
        <w:t>因</w:t>
      </w:r>
      <w:r>
        <w:rPr>
          <w:rFonts w:hint="default" w:ascii="Times New Roman" w:hAnsi="Times New Roman" w:eastAsia="仿宋_GB2312" w:cs="Times New Roman"/>
          <w:color w:val="auto"/>
          <w:sz w:val="32"/>
          <w:szCs w:val="32"/>
          <w:highlight w:val="none"/>
          <w:lang w:val="en-US" w:eastAsia="zh-CN"/>
        </w:rPr>
        <w:t>人员工资基数调增</w:t>
      </w:r>
      <w:r>
        <w:rPr>
          <w:rFonts w:hint="eastAsia" w:eastAsia="仿宋_GB2312" w:cs="Times New Roman"/>
          <w:color w:val="auto"/>
          <w:sz w:val="32"/>
          <w:szCs w:val="32"/>
          <w:highlight w:val="none"/>
          <w:lang w:val="en-US" w:eastAsia="zh-CN"/>
        </w:rPr>
        <w:t>故公用支出中</w:t>
      </w:r>
      <w:r>
        <w:rPr>
          <w:rFonts w:hint="default" w:ascii="Times New Roman" w:hAnsi="Times New Roman" w:eastAsia="仿宋_GB2312" w:cs="Times New Roman"/>
          <w:color w:val="auto"/>
          <w:sz w:val="32"/>
          <w:szCs w:val="32"/>
          <w:highlight w:val="none"/>
          <w:lang w:val="en-US" w:eastAsia="zh-CN"/>
        </w:rPr>
        <w:t>工会经费</w:t>
      </w:r>
      <w:r>
        <w:rPr>
          <w:rFonts w:hint="eastAsia" w:eastAsia="仿宋_GB2312" w:cs="Times New Roman"/>
          <w:color w:val="auto"/>
          <w:sz w:val="32"/>
          <w:szCs w:val="32"/>
          <w:highlight w:val="none"/>
          <w:lang w:val="en-US" w:eastAsia="zh-CN"/>
        </w:rPr>
        <w:t>预算</w:t>
      </w:r>
      <w:r>
        <w:rPr>
          <w:rFonts w:hint="default" w:ascii="Times New Roman" w:hAnsi="Times New Roman" w:eastAsia="仿宋_GB2312" w:cs="Times New Roman"/>
          <w:color w:val="auto"/>
          <w:sz w:val="32"/>
          <w:szCs w:val="32"/>
          <w:highlight w:val="none"/>
          <w:lang w:val="en-US" w:eastAsia="zh-CN"/>
        </w:rPr>
        <w:t>增加</w:t>
      </w:r>
      <w:r>
        <w:rPr>
          <w:rFonts w:hint="eastAsia" w:eastAsia="仿宋_GB2312" w:cs="Times New Roman"/>
          <w:color w:val="auto"/>
          <w:sz w:val="32"/>
          <w:szCs w:val="32"/>
          <w:highlight w:val="none"/>
          <w:lang w:val="en-US" w:eastAsia="zh-CN"/>
        </w:rPr>
        <w:t>，相应支出增加</w:t>
      </w:r>
      <w:r>
        <w:rPr>
          <w:rFonts w:hint="default" w:ascii="Times New Roman" w:hAnsi="Times New Roman" w:eastAsia="仿宋_GB2312" w:cs="Times New Roman"/>
          <w:color w:val="auto"/>
          <w:sz w:val="32"/>
          <w:szCs w:val="32"/>
          <w:highlight w:val="none"/>
          <w:lang w:val="zh-CN" w:eastAsia="zh-CN"/>
        </w:rPr>
        <w:t>。</w:t>
      </w:r>
    </w:p>
    <w:p w14:paraId="5884061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4882EEE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261.93万元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其中：政府采购货物支出151.84万元、政府采购工程支出1.85万元、政府采购服务支出108.24万元。</w:t>
      </w:r>
    </w:p>
    <w:p w14:paraId="0010A89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授予中小企业合同金额240.33万元，占政府采购支出总额的91.75</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，其中：授予小微企业合同金额239.00万元，占政府采购支出总额的91.25</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14:paraId="42D746D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14:paraId="67F8035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17,933.02</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屋42937.28平方米，价值6,216.15万元。车辆168辆，价值4,436.98万元，其中：副部（省）级及以上领导用车0辆、主要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用车0辆、机要通信用车0辆、应急保障用车39辆、执法执勤用车0辆、特种专业技术用车1辆、离退休干部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用车0辆、其他用车128辆，其他用车主要是：</w:t>
      </w:r>
      <w:r>
        <w:rPr>
          <w:rFonts w:hint="eastAsia" w:ascii="仿宋_GB2312" w:eastAsia="仿宋_GB2312"/>
          <w:color w:val="auto"/>
          <w:sz w:val="32"/>
          <w:szCs w:val="32"/>
        </w:rPr>
        <w:t>自卸车、洒水车、皮卡车、依维柯工程车</w:t>
      </w:r>
      <w:r>
        <w:rPr>
          <w:rFonts w:hint="eastAsia" w:ascii="仿宋_GB2312" w:eastAsia="仿宋_GB2312"/>
          <w:color w:val="auto"/>
          <w:sz w:val="32"/>
          <w:szCs w:val="32"/>
          <w:lang w:val="en-US" w:eastAsia="zh-CN"/>
        </w:rPr>
        <w:t>等</w:t>
      </w:r>
      <w:r>
        <w:rPr>
          <w:rFonts w:hint="default" w:ascii="Times New Roman" w:hAnsi="Times New Roman" w:eastAsia="方正仿宋_GBK" w:cs="Times New Roman"/>
          <w:sz w:val="32"/>
          <w:szCs w:val="32"/>
        </w:rPr>
        <w:t>公路养护车辆</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单价100万元（含）以上设备（不含车辆）12</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14:paraId="0036CEA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0FEC9BC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zh-CN" w:eastAsia="zh-CN"/>
        </w:rPr>
        <w:t>根据预算绩效管理要求，我</w:t>
      </w:r>
      <w:r>
        <w:rPr>
          <w:rFonts w:hint="eastAsia" w:ascii="Times New Roman" w:hAnsi="Times New Roman" w:eastAsia="仿宋_GB2312" w:cs="Times New Roman"/>
          <w:color w:val="auto"/>
          <w:sz w:val="32"/>
          <w:szCs w:val="32"/>
          <w:highlight w:val="none"/>
          <w:lang w:val="en-US" w:eastAsia="zh-CN"/>
        </w:rPr>
        <w:t>单位</w:t>
      </w:r>
      <w:r>
        <w:rPr>
          <w:rFonts w:hint="eastAsia" w:ascii="Times New Roman" w:hAnsi="Times New Roman" w:eastAsia="仿宋_GB2312" w:cs="Times New Roman"/>
          <w:color w:val="auto"/>
          <w:sz w:val="32"/>
          <w:szCs w:val="32"/>
          <w:highlight w:val="none"/>
          <w:lang w:val="zh-CN" w:eastAsia="zh-CN"/>
        </w:rPr>
        <w:t>2023年度预算绩效评价项目</w:t>
      </w:r>
      <w:r>
        <w:rPr>
          <w:rFonts w:hint="eastAsia" w:ascii="Times New Roman" w:hAnsi="Times New Roman" w:eastAsia="仿宋_GB2312" w:cs="Times New Roman"/>
          <w:color w:val="auto"/>
          <w:sz w:val="32"/>
          <w:szCs w:val="32"/>
          <w:highlight w:val="none"/>
          <w:lang w:val="en-US" w:eastAsia="zh-CN"/>
        </w:rPr>
        <w:t>5</w:t>
      </w:r>
      <w:r>
        <w:rPr>
          <w:rFonts w:hint="eastAsia" w:ascii="Times New Roman" w:hAnsi="Times New Roman" w:eastAsia="仿宋_GB2312" w:cs="Times New Roman"/>
          <w:color w:val="auto"/>
          <w:sz w:val="32"/>
          <w:szCs w:val="32"/>
          <w:highlight w:val="none"/>
          <w:lang w:val="zh-CN" w:eastAsia="zh-CN"/>
        </w:rPr>
        <w:t>个，</w:t>
      </w:r>
      <w:r>
        <w:rPr>
          <w:rFonts w:hint="eastAsia" w:ascii="Times New Roman" w:hAnsi="Times New Roman" w:eastAsia="仿宋_GB2312" w:cs="Times New Roman"/>
          <w:color w:val="auto"/>
          <w:sz w:val="32"/>
          <w:szCs w:val="32"/>
          <w:highlight w:val="none"/>
          <w:lang w:val="en-US" w:eastAsia="zh-CN"/>
        </w:rPr>
        <w:t>全年预算数2</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988</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48</w:t>
      </w:r>
      <w:r>
        <w:rPr>
          <w:rFonts w:hint="eastAsia" w:ascii="Times New Roman" w:hAnsi="Times New Roman" w:eastAsia="仿宋_GB2312" w:cs="Times New Roman"/>
          <w:color w:val="auto"/>
          <w:sz w:val="32"/>
          <w:szCs w:val="32"/>
          <w:highlight w:val="none"/>
          <w:lang w:val="zh-CN" w:eastAsia="zh-CN"/>
        </w:rPr>
        <w:t>万元，</w:t>
      </w:r>
      <w:r>
        <w:rPr>
          <w:rFonts w:hint="eastAsia" w:ascii="Times New Roman" w:hAnsi="Times New Roman" w:eastAsia="仿宋_GB2312" w:cs="Times New Roman"/>
          <w:color w:val="auto"/>
          <w:sz w:val="32"/>
          <w:szCs w:val="32"/>
          <w:highlight w:val="none"/>
          <w:lang w:val="en-US" w:eastAsia="zh-CN"/>
        </w:rPr>
        <w:t>全年执行数2</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988</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48</w:t>
      </w:r>
      <w:r>
        <w:rPr>
          <w:rFonts w:hint="eastAsia" w:ascii="Times New Roman" w:hAnsi="Times New Roman" w:eastAsia="仿宋_GB2312" w:cs="Times New Roman"/>
          <w:color w:val="auto"/>
          <w:sz w:val="32"/>
          <w:szCs w:val="32"/>
          <w:highlight w:val="none"/>
          <w:lang w:val="zh-CN" w:eastAsia="zh-CN"/>
        </w:rPr>
        <w:t>万元。预算绩效管理取得的成效：</w:t>
      </w:r>
      <w:r>
        <w:rPr>
          <w:rFonts w:hint="eastAsia" w:ascii="仿宋_GB2312" w:eastAsia="仿宋_GB2312"/>
          <w:color w:val="auto"/>
          <w:sz w:val="32"/>
          <w:szCs w:val="32"/>
          <w:highlight w:val="none"/>
          <w:lang w:eastAsia="zh-CN"/>
        </w:rPr>
        <w:t>一是</w:t>
      </w:r>
      <w:r>
        <w:rPr>
          <w:rFonts w:hint="default" w:ascii="Times New Roman" w:hAnsi="Times New Roman" w:eastAsia="方正仿宋_GBK" w:cs="Times New Roman"/>
          <w:sz w:val="32"/>
          <w:szCs w:val="32"/>
          <w:highlight w:val="none"/>
        </w:rPr>
        <w:t>绩效目标管理日益加强，资金管理规范，项目管理到位，政策执行有力，有效发挥了财政资金的使用效率</w:t>
      </w:r>
      <w:r>
        <w:rPr>
          <w:rFonts w:hint="eastAsia" w:ascii="仿宋_GB2312" w:eastAsia="仿宋_GB2312"/>
          <w:color w:val="auto"/>
          <w:sz w:val="32"/>
          <w:szCs w:val="32"/>
          <w:highlight w:val="none"/>
          <w:lang w:eastAsia="zh-CN"/>
        </w:rPr>
        <w:t>。</w:t>
      </w:r>
      <w:r>
        <w:rPr>
          <w:rFonts w:hint="eastAsia" w:ascii="仿宋_GB2312" w:hAnsi="仿宋_GB2312" w:eastAsia="仿宋_GB2312" w:cs="仿宋_GB2312"/>
          <w:color w:val="auto"/>
          <w:kern w:val="0"/>
          <w:sz w:val="32"/>
          <w:szCs w:val="32"/>
          <w:highlight w:val="none"/>
          <w:lang w:eastAsia="zh-CN"/>
        </w:rPr>
        <w:t>二是通过事</w:t>
      </w:r>
      <w:r>
        <w:rPr>
          <w:rFonts w:hint="eastAsia" w:ascii="仿宋_GB2312" w:eastAsia="仿宋_GB2312"/>
          <w:sz w:val="32"/>
          <w:szCs w:val="32"/>
          <w:highlight w:val="none"/>
          <w:lang w:eastAsia="zh-CN"/>
        </w:rPr>
        <w:t>前绩效评估、‌审核绩效目标、‌绩效运行监控等措施，‌有效‌提高了财政资金的使用效率。</w:t>
      </w:r>
      <w:r>
        <w:rPr>
          <w:rFonts w:hint="eastAsia" w:ascii="Times New Roman" w:hAnsi="Times New Roman" w:eastAsia="仿宋_GB2312" w:cs="Times New Roman"/>
          <w:color w:val="auto"/>
          <w:sz w:val="32"/>
          <w:szCs w:val="32"/>
          <w:highlight w:val="none"/>
          <w:lang w:val="zh-CN" w:eastAsia="zh-CN"/>
        </w:rPr>
        <w:t>发现的问题及原因：一是</w:t>
      </w:r>
      <w:r>
        <w:rPr>
          <w:rFonts w:hint="eastAsia" w:eastAsia="仿宋_GB2312" w:cs="Times New Roman"/>
          <w:color w:val="auto"/>
          <w:sz w:val="32"/>
          <w:szCs w:val="32"/>
          <w:highlight w:val="none"/>
          <w:lang w:val="en-US" w:eastAsia="zh-CN"/>
        </w:rPr>
        <w:t>养护</w:t>
      </w:r>
      <w:r>
        <w:rPr>
          <w:rFonts w:hint="eastAsia" w:ascii="Times New Roman" w:hAnsi="Times New Roman" w:eastAsia="仿宋_GB2312" w:cs="Times New Roman"/>
          <w:color w:val="auto"/>
          <w:sz w:val="32"/>
          <w:szCs w:val="32"/>
          <w:highlight w:val="none"/>
          <w:lang w:val="zh-CN" w:eastAsia="zh-CN"/>
        </w:rPr>
        <w:t>项目</w:t>
      </w:r>
      <w:r>
        <w:rPr>
          <w:rFonts w:hint="eastAsia" w:eastAsia="仿宋_GB2312" w:cs="Times New Roman"/>
          <w:color w:val="auto"/>
          <w:sz w:val="32"/>
          <w:szCs w:val="32"/>
          <w:highlight w:val="none"/>
          <w:lang w:val="en-US" w:eastAsia="zh-CN"/>
        </w:rPr>
        <w:t>受季节影响</w:t>
      </w:r>
      <w:r>
        <w:rPr>
          <w:rFonts w:hint="eastAsia" w:ascii="Times New Roman" w:hAnsi="Times New Roman" w:eastAsia="仿宋_GB2312" w:cs="Times New Roman"/>
          <w:color w:val="auto"/>
          <w:sz w:val="32"/>
          <w:szCs w:val="32"/>
          <w:highlight w:val="none"/>
          <w:lang w:val="zh-CN" w:eastAsia="zh-CN"/>
        </w:rPr>
        <w:t>，无法在5月、8月绩效监控节点完成财政要求的预算执行率。二是绩效评价工作水平有待提升。下一步改进措施：一是细化测算预算资金，合理确定项目资金额度，注意与绩效目标的匹配度，合理制定项目实施计划。二是根据财政厅全面实施预算绩效管理的要求，进一步建立健全“预算编制有目标、预算执行有监控、预算完成有评价、评价结果有应用、结果应用有问责”的全方位、全过程、全覆盖预算绩效管理体系。具体项目自评情况见附件。</w:t>
      </w:r>
    </w:p>
    <w:p w14:paraId="6DC65326">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lang w:val="en-US" w:eastAsia="zh-CN"/>
        </w:rPr>
        <w:t>二</w:t>
      </w:r>
      <w:r>
        <w:rPr>
          <w:rFonts w:hint="eastAsia" w:ascii="黑体" w:hAnsi="黑体" w:eastAsia="黑体" w:cs="宋体"/>
          <w:bCs/>
          <w:kern w:val="0"/>
          <w:sz w:val="32"/>
          <w:szCs w:val="32"/>
          <w:highlight w:val="none"/>
          <w:lang w:eastAsia="zh-CN"/>
        </w:rPr>
        <w:t>、其他需说明的事项</w:t>
      </w:r>
    </w:p>
    <w:p w14:paraId="0BA7EF93">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14:paraId="3FC44AF7">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6C16383B">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62A1C9D0">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7486274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1A0F001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0B7D087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0F5B0DB0">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294583D6">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5A895FC9">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7890AB0">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61BBC09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51CFA0A8">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545E610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0DE9F9F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1C8F92BD">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4682085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55FDC0B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14:paraId="3727F0B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14:paraId="03DF876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14:paraId="1944652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14:paraId="282A95C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5E60E46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5A5F3D4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14:paraId="13E98BD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0E8A4AA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37E6D5F3">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5D281A1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012691">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7509FE7">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37509FE7">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mODUxNzIwMTAzMjQ0MjUxMmFjNWJjOWQ5YjU0YjUifQ=="/>
    <w:docVar w:name="KSO_WPS_MARK_KEY" w:val="41ee2a61-2d54-4f93-83be-afdb9a40d732"/>
  </w:docVars>
  <w:rsids>
    <w:rsidRoot w:val="00000000"/>
    <w:rsid w:val="00213C59"/>
    <w:rsid w:val="003210CE"/>
    <w:rsid w:val="003C6F73"/>
    <w:rsid w:val="00A972B0"/>
    <w:rsid w:val="00B70D59"/>
    <w:rsid w:val="00F52A8D"/>
    <w:rsid w:val="019404F8"/>
    <w:rsid w:val="023013C0"/>
    <w:rsid w:val="02BD3108"/>
    <w:rsid w:val="02F73D26"/>
    <w:rsid w:val="034D4FEF"/>
    <w:rsid w:val="035D1785"/>
    <w:rsid w:val="039F47CE"/>
    <w:rsid w:val="03C71A42"/>
    <w:rsid w:val="03E05CE8"/>
    <w:rsid w:val="03F973EE"/>
    <w:rsid w:val="043E5B56"/>
    <w:rsid w:val="049D5915"/>
    <w:rsid w:val="04C04386"/>
    <w:rsid w:val="04FA68C4"/>
    <w:rsid w:val="053F5AE6"/>
    <w:rsid w:val="057C0B0F"/>
    <w:rsid w:val="05831998"/>
    <w:rsid w:val="05EF4B48"/>
    <w:rsid w:val="05F76ECA"/>
    <w:rsid w:val="064000C9"/>
    <w:rsid w:val="06792773"/>
    <w:rsid w:val="07093795"/>
    <w:rsid w:val="071B07B5"/>
    <w:rsid w:val="07804730"/>
    <w:rsid w:val="079052BE"/>
    <w:rsid w:val="08145C21"/>
    <w:rsid w:val="08422688"/>
    <w:rsid w:val="085854ED"/>
    <w:rsid w:val="0879188F"/>
    <w:rsid w:val="08A0354D"/>
    <w:rsid w:val="08B466A8"/>
    <w:rsid w:val="08CD4C49"/>
    <w:rsid w:val="09114954"/>
    <w:rsid w:val="093446B7"/>
    <w:rsid w:val="09380026"/>
    <w:rsid w:val="095274DB"/>
    <w:rsid w:val="095A5B83"/>
    <w:rsid w:val="096466E3"/>
    <w:rsid w:val="0968304D"/>
    <w:rsid w:val="09AF3D17"/>
    <w:rsid w:val="0A7809B7"/>
    <w:rsid w:val="0A7B4867"/>
    <w:rsid w:val="0A840954"/>
    <w:rsid w:val="0A9928ED"/>
    <w:rsid w:val="0B61769D"/>
    <w:rsid w:val="0B8C3ECC"/>
    <w:rsid w:val="0B9C639D"/>
    <w:rsid w:val="0BB052B2"/>
    <w:rsid w:val="0BD33FFC"/>
    <w:rsid w:val="0BE27A6B"/>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096FFD"/>
    <w:rsid w:val="14207DC0"/>
    <w:rsid w:val="14944006"/>
    <w:rsid w:val="14B932DA"/>
    <w:rsid w:val="150A66AF"/>
    <w:rsid w:val="154C1139"/>
    <w:rsid w:val="158C5B77"/>
    <w:rsid w:val="15C4372C"/>
    <w:rsid w:val="160D1149"/>
    <w:rsid w:val="163563C0"/>
    <w:rsid w:val="164315EF"/>
    <w:rsid w:val="16557DFE"/>
    <w:rsid w:val="167268FB"/>
    <w:rsid w:val="16770D0A"/>
    <w:rsid w:val="16D50C50"/>
    <w:rsid w:val="16E120E1"/>
    <w:rsid w:val="170822A5"/>
    <w:rsid w:val="17385A05"/>
    <w:rsid w:val="173B3901"/>
    <w:rsid w:val="176747F9"/>
    <w:rsid w:val="17954A6E"/>
    <w:rsid w:val="180059E9"/>
    <w:rsid w:val="184510FD"/>
    <w:rsid w:val="185A43EA"/>
    <w:rsid w:val="190648B0"/>
    <w:rsid w:val="19071D6C"/>
    <w:rsid w:val="19D26CD4"/>
    <w:rsid w:val="19E60D19"/>
    <w:rsid w:val="1A2A4D7A"/>
    <w:rsid w:val="1A3E3450"/>
    <w:rsid w:val="1A620757"/>
    <w:rsid w:val="1AD807E5"/>
    <w:rsid w:val="1B39345B"/>
    <w:rsid w:val="1BFB2A1F"/>
    <w:rsid w:val="1C015D4A"/>
    <w:rsid w:val="1C290ED5"/>
    <w:rsid w:val="1C317E4F"/>
    <w:rsid w:val="1C472464"/>
    <w:rsid w:val="1D22799A"/>
    <w:rsid w:val="1D5C1A72"/>
    <w:rsid w:val="1DAE3F9A"/>
    <w:rsid w:val="1DAF458D"/>
    <w:rsid w:val="1E086ACE"/>
    <w:rsid w:val="1E62130A"/>
    <w:rsid w:val="1E97358B"/>
    <w:rsid w:val="1EAA4A5F"/>
    <w:rsid w:val="1EE869A7"/>
    <w:rsid w:val="1FA15E62"/>
    <w:rsid w:val="1FED69B6"/>
    <w:rsid w:val="2025616F"/>
    <w:rsid w:val="2064678E"/>
    <w:rsid w:val="20D73BEF"/>
    <w:rsid w:val="20DC1AB9"/>
    <w:rsid w:val="20DD6197"/>
    <w:rsid w:val="212631E0"/>
    <w:rsid w:val="21A53757"/>
    <w:rsid w:val="22054661"/>
    <w:rsid w:val="221236C6"/>
    <w:rsid w:val="22D7662C"/>
    <w:rsid w:val="23326B7F"/>
    <w:rsid w:val="2380045B"/>
    <w:rsid w:val="23BC04D2"/>
    <w:rsid w:val="23EF1892"/>
    <w:rsid w:val="2483647E"/>
    <w:rsid w:val="24A32D55"/>
    <w:rsid w:val="25230CFB"/>
    <w:rsid w:val="25292727"/>
    <w:rsid w:val="252E5CA9"/>
    <w:rsid w:val="25353E75"/>
    <w:rsid w:val="256F7692"/>
    <w:rsid w:val="25A13D86"/>
    <w:rsid w:val="25BA2154"/>
    <w:rsid w:val="25C8773F"/>
    <w:rsid w:val="26306192"/>
    <w:rsid w:val="264A7253"/>
    <w:rsid w:val="26F0170C"/>
    <w:rsid w:val="27201D62"/>
    <w:rsid w:val="27286E73"/>
    <w:rsid w:val="27CF2642"/>
    <w:rsid w:val="27E777F5"/>
    <w:rsid w:val="27EA1D4C"/>
    <w:rsid w:val="27EA2E41"/>
    <w:rsid w:val="282459E2"/>
    <w:rsid w:val="283A7FE5"/>
    <w:rsid w:val="285F51FF"/>
    <w:rsid w:val="28B1694E"/>
    <w:rsid w:val="28DF2665"/>
    <w:rsid w:val="29072599"/>
    <w:rsid w:val="291029F3"/>
    <w:rsid w:val="29CB58F0"/>
    <w:rsid w:val="2A053397"/>
    <w:rsid w:val="2A145E96"/>
    <w:rsid w:val="2A2131BB"/>
    <w:rsid w:val="2A417C24"/>
    <w:rsid w:val="2AF5378F"/>
    <w:rsid w:val="2BA6170E"/>
    <w:rsid w:val="2BB94DBF"/>
    <w:rsid w:val="2C6F314E"/>
    <w:rsid w:val="2CC206BE"/>
    <w:rsid w:val="2D1136DF"/>
    <w:rsid w:val="2D20606D"/>
    <w:rsid w:val="2DB87198"/>
    <w:rsid w:val="2DB93C54"/>
    <w:rsid w:val="2E3D144C"/>
    <w:rsid w:val="2E78204D"/>
    <w:rsid w:val="2E891204"/>
    <w:rsid w:val="2F3F0A28"/>
    <w:rsid w:val="2FAB3CBD"/>
    <w:rsid w:val="2FBF7029"/>
    <w:rsid w:val="2FD0187F"/>
    <w:rsid w:val="2FD27414"/>
    <w:rsid w:val="2FFB336C"/>
    <w:rsid w:val="2FFE4BB0"/>
    <w:rsid w:val="300E7B60"/>
    <w:rsid w:val="300F6E18"/>
    <w:rsid w:val="30862F5F"/>
    <w:rsid w:val="314029C9"/>
    <w:rsid w:val="31C63837"/>
    <w:rsid w:val="31C82E39"/>
    <w:rsid w:val="32601BAD"/>
    <w:rsid w:val="329F6389"/>
    <w:rsid w:val="3389023A"/>
    <w:rsid w:val="33CB74FA"/>
    <w:rsid w:val="33F32E69"/>
    <w:rsid w:val="340215A8"/>
    <w:rsid w:val="343642F2"/>
    <w:rsid w:val="343F3010"/>
    <w:rsid w:val="345D0A00"/>
    <w:rsid w:val="345D3677"/>
    <w:rsid w:val="34713BFD"/>
    <w:rsid w:val="34C13589"/>
    <w:rsid w:val="353369E3"/>
    <w:rsid w:val="3570375E"/>
    <w:rsid w:val="35C13BD8"/>
    <w:rsid w:val="35E00D72"/>
    <w:rsid w:val="36965B9D"/>
    <w:rsid w:val="36C549FD"/>
    <w:rsid w:val="37404B77"/>
    <w:rsid w:val="37A755DD"/>
    <w:rsid w:val="37E934A3"/>
    <w:rsid w:val="37F94FA0"/>
    <w:rsid w:val="380D3381"/>
    <w:rsid w:val="38115B1F"/>
    <w:rsid w:val="385E3AC3"/>
    <w:rsid w:val="387D6B9E"/>
    <w:rsid w:val="38B75FF0"/>
    <w:rsid w:val="38D45016"/>
    <w:rsid w:val="38D90432"/>
    <w:rsid w:val="390019F4"/>
    <w:rsid w:val="3914510A"/>
    <w:rsid w:val="3926770B"/>
    <w:rsid w:val="398D3668"/>
    <w:rsid w:val="39A77A91"/>
    <w:rsid w:val="39DA0497"/>
    <w:rsid w:val="3A893816"/>
    <w:rsid w:val="3A893B6D"/>
    <w:rsid w:val="3AD1763A"/>
    <w:rsid w:val="3B6716E3"/>
    <w:rsid w:val="3B6C6B2D"/>
    <w:rsid w:val="3C242659"/>
    <w:rsid w:val="3C7D23CD"/>
    <w:rsid w:val="3C96719C"/>
    <w:rsid w:val="3CA72BE8"/>
    <w:rsid w:val="3CF37F8C"/>
    <w:rsid w:val="3D137554"/>
    <w:rsid w:val="3D5275AC"/>
    <w:rsid w:val="3DB868D1"/>
    <w:rsid w:val="3DCC2473"/>
    <w:rsid w:val="3DDC7D8B"/>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A160E7"/>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713C67"/>
    <w:rsid w:val="488727DB"/>
    <w:rsid w:val="48B82268"/>
    <w:rsid w:val="48C354B3"/>
    <w:rsid w:val="493D58B5"/>
    <w:rsid w:val="494A7A04"/>
    <w:rsid w:val="498540AB"/>
    <w:rsid w:val="49B55BCC"/>
    <w:rsid w:val="4A0A26D2"/>
    <w:rsid w:val="4A2019A5"/>
    <w:rsid w:val="4A241A0B"/>
    <w:rsid w:val="4A7965BA"/>
    <w:rsid w:val="4A7B2875"/>
    <w:rsid w:val="4A934476"/>
    <w:rsid w:val="4AAA220A"/>
    <w:rsid w:val="4ADF5065"/>
    <w:rsid w:val="4AE12E67"/>
    <w:rsid w:val="4B4C0111"/>
    <w:rsid w:val="4B8553A9"/>
    <w:rsid w:val="4B9D0BEA"/>
    <w:rsid w:val="4BDB3730"/>
    <w:rsid w:val="4C200F7A"/>
    <w:rsid w:val="4C5174C5"/>
    <w:rsid w:val="4C5707FE"/>
    <w:rsid w:val="4CEE3180"/>
    <w:rsid w:val="4D0F4AF6"/>
    <w:rsid w:val="4D9709E6"/>
    <w:rsid w:val="4DDE76DE"/>
    <w:rsid w:val="4DF94F37"/>
    <w:rsid w:val="4DFA15BE"/>
    <w:rsid w:val="4E0A1DD5"/>
    <w:rsid w:val="4E3160E5"/>
    <w:rsid w:val="4E4D37AF"/>
    <w:rsid w:val="4E8C6496"/>
    <w:rsid w:val="4EFD18DE"/>
    <w:rsid w:val="4F144236"/>
    <w:rsid w:val="4F305A09"/>
    <w:rsid w:val="4F663C87"/>
    <w:rsid w:val="4F7E29A8"/>
    <w:rsid w:val="4F9E1FFC"/>
    <w:rsid w:val="4FA554F0"/>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C811C0"/>
    <w:rsid w:val="553E6869"/>
    <w:rsid w:val="556A442D"/>
    <w:rsid w:val="55DA564E"/>
    <w:rsid w:val="5604127D"/>
    <w:rsid w:val="56166703"/>
    <w:rsid w:val="56510474"/>
    <w:rsid w:val="56861525"/>
    <w:rsid w:val="56A93273"/>
    <w:rsid w:val="56BD550C"/>
    <w:rsid w:val="56E07045"/>
    <w:rsid w:val="56FF28AF"/>
    <w:rsid w:val="57540E7D"/>
    <w:rsid w:val="5761561C"/>
    <w:rsid w:val="577B4878"/>
    <w:rsid w:val="57926973"/>
    <w:rsid w:val="58163A93"/>
    <w:rsid w:val="58175352"/>
    <w:rsid w:val="581F2200"/>
    <w:rsid w:val="583059FA"/>
    <w:rsid w:val="584A0929"/>
    <w:rsid w:val="587F07D6"/>
    <w:rsid w:val="58CD2491"/>
    <w:rsid w:val="591B41B2"/>
    <w:rsid w:val="59254A26"/>
    <w:rsid w:val="59326325"/>
    <w:rsid w:val="595C505B"/>
    <w:rsid w:val="595E55C3"/>
    <w:rsid w:val="596E7E20"/>
    <w:rsid w:val="5A600155"/>
    <w:rsid w:val="5A60780B"/>
    <w:rsid w:val="5AB34579"/>
    <w:rsid w:val="5AD52312"/>
    <w:rsid w:val="5AFC6609"/>
    <w:rsid w:val="5B113480"/>
    <w:rsid w:val="5BD456CE"/>
    <w:rsid w:val="5C0D1F49"/>
    <w:rsid w:val="5CBB0CE2"/>
    <w:rsid w:val="5CC17177"/>
    <w:rsid w:val="5CF306BC"/>
    <w:rsid w:val="5D3F3D64"/>
    <w:rsid w:val="5D6A35D0"/>
    <w:rsid w:val="5D833043"/>
    <w:rsid w:val="5DA16391"/>
    <w:rsid w:val="5DD92690"/>
    <w:rsid w:val="5DDB1CFD"/>
    <w:rsid w:val="5E7E6D93"/>
    <w:rsid w:val="5ED44800"/>
    <w:rsid w:val="5F350BDE"/>
    <w:rsid w:val="5F4141D5"/>
    <w:rsid w:val="5F61632C"/>
    <w:rsid w:val="5FA17648"/>
    <w:rsid w:val="5FE705CB"/>
    <w:rsid w:val="603D5080"/>
    <w:rsid w:val="60837066"/>
    <w:rsid w:val="60D0261B"/>
    <w:rsid w:val="60D9172E"/>
    <w:rsid w:val="618E3791"/>
    <w:rsid w:val="61947DCA"/>
    <w:rsid w:val="61A46A97"/>
    <w:rsid w:val="61D1382F"/>
    <w:rsid w:val="61F114A2"/>
    <w:rsid w:val="62512BB4"/>
    <w:rsid w:val="625D7D1A"/>
    <w:rsid w:val="62DD7D21"/>
    <w:rsid w:val="637D586B"/>
    <w:rsid w:val="63A5560B"/>
    <w:rsid w:val="63E9091F"/>
    <w:rsid w:val="64322AF9"/>
    <w:rsid w:val="64A12F35"/>
    <w:rsid w:val="64D6010D"/>
    <w:rsid w:val="64D82665"/>
    <w:rsid w:val="64E47C96"/>
    <w:rsid w:val="651E5741"/>
    <w:rsid w:val="658A4877"/>
    <w:rsid w:val="65A00902"/>
    <w:rsid w:val="65AC6EDD"/>
    <w:rsid w:val="65D87EA7"/>
    <w:rsid w:val="65D97752"/>
    <w:rsid w:val="65DD0AAC"/>
    <w:rsid w:val="66085536"/>
    <w:rsid w:val="66105BF7"/>
    <w:rsid w:val="66150023"/>
    <w:rsid w:val="6628010D"/>
    <w:rsid w:val="669B4528"/>
    <w:rsid w:val="66CC12D7"/>
    <w:rsid w:val="67134CEF"/>
    <w:rsid w:val="671F1ABD"/>
    <w:rsid w:val="67521A59"/>
    <w:rsid w:val="67C304AB"/>
    <w:rsid w:val="67EB77CA"/>
    <w:rsid w:val="683F0658"/>
    <w:rsid w:val="688D0395"/>
    <w:rsid w:val="689C6793"/>
    <w:rsid w:val="68DB0208"/>
    <w:rsid w:val="68FB170C"/>
    <w:rsid w:val="691B3D98"/>
    <w:rsid w:val="693748F0"/>
    <w:rsid w:val="69846A0E"/>
    <w:rsid w:val="69AD798C"/>
    <w:rsid w:val="69C22990"/>
    <w:rsid w:val="69D005C0"/>
    <w:rsid w:val="69D80B96"/>
    <w:rsid w:val="6A7711BA"/>
    <w:rsid w:val="6A8C2641"/>
    <w:rsid w:val="6B68175F"/>
    <w:rsid w:val="6B745BDA"/>
    <w:rsid w:val="6BFD799F"/>
    <w:rsid w:val="6C4A2E5A"/>
    <w:rsid w:val="6C8138D0"/>
    <w:rsid w:val="6CEF0725"/>
    <w:rsid w:val="6D4B2604"/>
    <w:rsid w:val="6D8030E4"/>
    <w:rsid w:val="6E0E35C4"/>
    <w:rsid w:val="6E0F7A08"/>
    <w:rsid w:val="6E35795C"/>
    <w:rsid w:val="6E3947F5"/>
    <w:rsid w:val="6E9C74ED"/>
    <w:rsid w:val="6EF72976"/>
    <w:rsid w:val="6F795A80"/>
    <w:rsid w:val="6F7C1D2E"/>
    <w:rsid w:val="6F8E0407"/>
    <w:rsid w:val="6FDD069F"/>
    <w:rsid w:val="6FF675BD"/>
    <w:rsid w:val="702B4D16"/>
    <w:rsid w:val="70AA6621"/>
    <w:rsid w:val="7111480F"/>
    <w:rsid w:val="71261F49"/>
    <w:rsid w:val="712E6956"/>
    <w:rsid w:val="71473612"/>
    <w:rsid w:val="71504F32"/>
    <w:rsid w:val="7152309F"/>
    <w:rsid w:val="718E1C5D"/>
    <w:rsid w:val="718F7F65"/>
    <w:rsid w:val="727B234E"/>
    <w:rsid w:val="72D068C7"/>
    <w:rsid w:val="72E42ED8"/>
    <w:rsid w:val="735F4CB9"/>
    <w:rsid w:val="73674C62"/>
    <w:rsid w:val="73845865"/>
    <w:rsid w:val="739B6D9E"/>
    <w:rsid w:val="739E7F9E"/>
    <w:rsid w:val="73BC1D76"/>
    <w:rsid w:val="73CA1DC1"/>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BF0004"/>
    <w:rsid w:val="77ED6F44"/>
    <w:rsid w:val="77F45548"/>
    <w:rsid w:val="77F574B6"/>
    <w:rsid w:val="784E7CA6"/>
    <w:rsid w:val="78574801"/>
    <w:rsid w:val="7873527F"/>
    <w:rsid w:val="790A6425"/>
    <w:rsid w:val="790E2D96"/>
    <w:rsid w:val="791B54B2"/>
    <w:rsid w:val="795A0A34"/>
    <w:rsid w:val="797339C3"/>
    <w:rsid w:val="79BF6786"/>
    <w:rsid w:val="79D57D57"/>
    <w:rsid w:val="79F00650"/>
    <w:rsid w:val="7A6242BF"/>
    <w:rsid w:val="7A794513"/>
    <w:rsid w:val="7AE952D2"/>
    <w:rsid w:val="7C632682"/>
    <w:rsid w:val="7C7248A0"/>
    <w:rsid w:val="7C976D69"/>
    <w:rsid w:val="7CD752DA"/>
    <w:rsid w:val="7CDE40AB"/>
    <w:rsid w:val="7CF057E2"/>
    <w:rsid w:val="7CFF7097"/>
    <w:rsid w:val="7D1548B5"/>
    <w:rsid w:val="7DF84014"/>
    <w:rsid w:val="7E207949"/>
    <w:rsid w:val="7E5C0A47"/>
    <w:rsid w:val="7E670C75"/>
    <w:rsid w:val="7EE24272"/>
    <w:rsid w:val="7EEA6053"/>
    <w:rsid w:val="7F487C04"/>
    <w:rsid w:val="7F7A4491"/>
    <w:rsid w:val="7FB45F21"/>
    <w:rsid w:val="7FE242F7"/>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line="416" w:lineRule="auto"/>
      <w:outlineLvl w:val="2"/>
    </w:pPr>
    <w:rPr>
      <w:b/>
      <w:kern w:val="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5823</Words>
  <Characters>6640</Characters>
  <Lines>0</Lines>
  <Paragraphs>0</Paragraphs>
  <TotalTime>2</TotalTime>
  <ScaleCrop>false</ScaleCrop>
  <LinksUpToDate>false</LinksUpToDate>
  <CharactersWithSpaces>6666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♥、尛潔</cp:lastModifiedBy>
  <dcterms:modified xsi:type="dcterms:W3CDTF">2024-10-14T03:45:27Z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32E18C7F6E804FCDA6A48B0FE0523B15</vt:lpwstr>
  </property>
</Properties>
</file>