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阿克苏公路管理局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阿克苏公路管理局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康玲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我局管养里程共计1745.474公里(除去G579线石油公路95.156公里)，其中：普通国道5条1253.548公里(G217、G219、G314、G579、G580)；省道5条（S209、S211、S306、S307、S308）291.076公里；专用公路6条（Z598、Z620、Z621、Z627、Z639、Z642、Z644）200.85公里。管养公路桥梁29455.32延米/ 615座。阿克苏公路管理局目前下辖8个公路分局、6个收费站（1个收费站停运）、4个服务区、4个停车区、20个养护站。阿克苏局管养国省主要干线公路里程情况分别是：G217阿库线358.594公里、G219喀东线125.073公里、G314乌红线443.051公里、G579拜城线90.063公里、G580阿康线236.767公里；S209塔阿线18.461公里，S211新沙线36公里，S306阿合线89.279</w:t>
      </w:r>
      <w:r>
        <w:rPr>
          <w:rStyle w:val="18"/>
          <w:rFonts w:hint="eastAsia" w:ascii="楷体" w:hAnsi="楷体" w:eastAsia="楷体"/>
          <w:spacing w:val="-4"/>
          <w:sz w:val="32"/>
          <w:szCs w:val="32"/>
          <w:lang w:eastAsia="zh-CN"/>
        </w:rPr>
        <w:t>公里</w:t>
      </w:r>
      <w:r>
        <w:rPr>
          <w:rStyle w:val="18"/>
          <w:rFonts w:hint="eastAsia" w:ascii="楷体" w:hAnsi="楷体" w:eastAsia="楷体"/>
          <w:spacing w:val="-4"/>
          <w:sz w:val="32"/>
          <w:szCs w:val="32"/>
        </w:rPr>
        <w:t>，S307线拜玉线121.18公里，S308阿柯线26.156公里； Z598阿阿线7.5公里、Z620温库线91.954公里、Z621奥别线69.844公里、Z627水新线6.97公里、Z639拜米线9.68公里、Z641阿恰线5.126公里、Z642库阿线2.035公里、Z644依阿线7.741公里。按公路等级划分：一级公路61.881公里,二级公路12360.24公路,三级公路197.766公里,四级公路125.587公里；其中，铺装(沥青混凝土)路面里程1199.27公里，简易铺装路面里程492.387公里,未铺装路面里程53.817公里。按照年度养护计划需全面完成各项公路养护工作，达到年末MQI是89.49，MQI优良路率82.54%。G580线共计177.75公里。其中沙漠段落K234+000—K364+804共计130.804公里，由阿拉尔分局进行养护。K270—K273沙丘移动速度较快，带来大量风积沙对现有高沙障及草方格进行淹埋，局部出现片状积沙和舌状积沙，直至风积沙上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阿克苏公路管理局隶属于自治区公路事业发展中心，主要负责阿克苏地区国道、省道、高速公路和管辖范围内专用公路的养护管理，负责阿克苏地区普通国省干线公路养护管理，负责对高速公路的监督与管理。阿克苏公路管理局机关内设科室13个，现有班子成员4名，下辖基层分局党组8个，党总支1个，党支部22个。2023年末我局实际在编干部职工692人，离退休职工1024人。阿克苏公路管理局管辖5个收费站共有聘用制收费员183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（1）路基工程：清理边沟302.207公里，开挖边沟3424.7立方米，整修路肩2941996.03平方米，整修边坡7830328.72平方米，维修路基构造物372.28立方米，零星土方25497.12立方米。</w:t>
      </w:r>
      <w:bookmarkStart w:id="0" w:name="_GoBack"/>
      <w:bookmarkEnd w:id="0"/>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路面工程：路面工程：清扫路面64495.23千平方米，修补沥青路面27276.3平方米，修补路面沥青混凝土用量2859.895吨，裂缝处治；压缝带191191.3米，灌缝12843.4米，沥青路面封层14800平方米，清雪工程量2308502.06立方米，投入人工374工日，投入机械103台，融雪剂318吨，清扫路面积沙8529.6立方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桥梁、涵洞工程：维修涵洞5道，疏通涵洞进出水口4647.5立方米，涵洞帽石粉刷616.41平方米，疏通桥梁进出水口756.5立方米，桥梁伸缩缝清理、维护36725.41米，桥梁伸缩缝维修1759.8米，支座、泄水孔清理79652.6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（4）交通安全设施：桥梁栏杆、防撞护栏的粉刷7379.4平方米。砼防腐处理12558.9平方米69座，处治桥梁裂缝3411.85米，护栏板、立柱粉刷2632.2平方米，轮廓标更换427根。标志牌版面更换46.8平方米，里程牌更换108块。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养护资金执行情况：2023年批复给阿克苏公路管理局小修养护资金2199.5万元，其中养护子系统年初批复计划费用1885.3998万元（包含避险车道10.5万），沙害养护109万元，风雪保交通费用78万元，资金使用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公路日常养护项目预算安排总额为2199.5万元，其中财政资金2199.5万元，其他资金0万元，2023年实际收到预算资金2199.5万元，预算资金到位率为100%。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2199.5万元，预算执行率100%。项目资金主要用于支付普通公路、桥隧养护费用1203万元、普通公路沙害养护费用109万元、普通公路避险车道费用10.5万元、普通防雪保交通费28万元、收费公路、桥隧养护费用799万元、收费防雪保交通费50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(2)对管养路段存在的病害进行修复及各项预防性养护，合理实施小修养护延缓公路衰减，增加公路使用寿命,为公众出行提供安全的通行环境。(3)按照《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进行评价，通过在5月底、8月底两个节点监控项目执行情况，提升预算执行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在5月底预算执行达到财政要求的41%，901.59万元。主要采取的措施是：（1）增强绩效观念。积极开展预算绩效培训及宣传工作，健全管理制度，树立预算单位在绩效管理过程中的主体意识，营造“讲绩效”的氛围。（2）以问题为导向。正视绩效运行监控中发现的问题，并及时进行整改，引导预算单位填报绩效目标更加科学规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在8月底预算执行达到财政要求的66%，1451.34万元。主要采取的措施是：（1）充分发挥党委的核心作用，加强党对财务执行的领导。从讲政治的高度看待财务执行效率，加强党的领导，党员干部牢固树立“执行力就是生产力”理念，进一步用创新理念凝聚广大干部职工的力量，共同推进执行率上升水平。（2）站在经济高质量发展的高度，强化执行率结果的运用。合理设定支出进度目标值，健全预算执行挂钩机制，把预算执行作为推动新疆经济高质量发展的衡量标、贡献率，形成“人人抓执行率”的氛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此次我单位根据《项目支出绩效评价管理办法》（财预〔2020〕10号）文件要求对2023年度我单位实施的公路日常养护项目开展部门绩效评价，项目总金额2199.5万元。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（1）在数据采集时，采取客观数据，主管部门审查的形式，以保证各项指标的真实性。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评价指标体系严格按照《项目支出绩效评价管理办法》（财预〔2020〕10号）文件要求设置，指标体系设置一级指标共4个，包括决策指标（20.00%）、过程指标（20.00%）、产出指标（30.00%）、 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评价方法采用比较法，将项目实施情况与绩效目标进行比较，把项目实际完成指标情况与年度指标值进行对比，形成评价结果。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评价方法采用比较法，将项目实施情况与绩效目标进行比较，把项目实际完成指标情况与年度指标值进行对比，形成评价结果。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我单位自评采用定量与定性评价相结合的比较法，将项目实施情况与绩效目标进行比较，把项目实际完成指标情况与年度指标值进行对比，形成评价结果。三级指标分析环节：总体采用比较法，同时辅以文献法、成本效益法、因素分析法以及公众评判法，根据不同三级指标类型进行逐项分析。（1）定量指标分析环节：主要采用比较法，对比三级指标预期指标值和三级指标截止评价日的完成情况，综合分析绩效目标实现程度。详细评价方法的应用如下:  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 ②属于“是”或“否”判断的单一评判定量指标：比较法，符合要求的得满分，不符合要求的不得分或者扣相应的分数。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③满意度指标：主要采用比较法，</w:t>
      </w:r>
      <w:r>
        <w:rPr>
          <w:rStyle w:val="18"/>
          <w:rFonts w:hint="eastAsia" w:ascii="楷体" w:hAnsi="楷体" w:eastAsia="楷体"/>
          <w:spacing w:val="-4"/>
          <w:sz w:val="32"/>
          <w:szCs w:val="32"/>
          <w:lang w:eastAsia="zh-CN"/>
        </w:rPr>
        <w:t>根据</w:t>
      </w:r>
      <w:r>
        <w:rPr>
          <w:rStyle w:val="18"/>
          <w:rFonts w:hint="eastAsia" w:ascii="楷体" w:hAnsi="楷体" w:eastAsia="楷体"/>
          <w:spacing w:val="-4"/>
          <w:sz w:val="32"/>
          <w:szCs w:val="32"/>
        </w:rPr>
        <w:t xml:space="preserve">满意度问卷统计情况计算完成比率与预期指标值对比，达成满意度预期目标的，得满分；未完成指标值的，按照完成值与预期指标值的比例记分；满意度小于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⑦其他定性指标：公众评判法，通过问卷及抽样调查等方式评价本项目实施后社会公众对于其实施效果的满意程度。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标准参照计划标准，以预先制定的目标、计划、预算、定额等作为评价标准。我单位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1.评价组组长：杨筱筠，职责：党委副书记、局长，工作内容：组织、协调解决重大事项，监督指导工作开展;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组成员：阿克木江·依明，职责：党委委员、副局长，工作内容：负责贯彻落实我局预算绩效管理政策，健全完善局预算绩效管理制度，建立符合公路管理行业特点的绩效指标体系、绩效评价体系，做好局预算绩效执行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3.评价组成员：李四化，职责：养护管理科科长，工作内容：牵头负责全局项目支出预算绩效管理工作。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100分，其中：项目决策20分、过程管理20分、项目产出30分、项目效益20分、满意度指标10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项目决策由3个二级指标和6个三级指标构成，权重分20分，实际得分20分。具体如下：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按照交通运输部《公路养护技术规范》、《交通运输部关于进一步加强公路桥梁养护管理的若干意见》交公路发﹝2013﹞321号、《公路长大桥隧养护管理和安全运行若干规定》、《公路桥梁养护管理工作制度》（交公路发﹝2007﹞336号）进行项目测算，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风险评估、绩效评估、集体决策。</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度我单位公路日常养护项目实际开展情况如下：①日常保养：清理边沟302.207公里，开挖边沟3424.7立方米，整修路肩2941996.03平方米，整修边坡7830328.72平方米，维修路基构造物372.28立方米，零星土方25497.12立方米；②路面工程：清扫路面64495.23千平方米，修补沥青路面27276.3平方米，修补路面沥青混凝土用量2859.895吨，裂缝处治；压缝带191191.3米，灌缝12843.4米，沥青路面封层14800平方米，清雪工程量2308502.06立方米，投入人工374工日，投入机械103台，融雪剂318吨，清扫路面积沙8529.6立方米。桥梁、涵洞工程：维修涵洞5道，疏通涵洞进出水口4647.5立方米，涵洞帽石粉刷616.41平方米，疏通桥梁进出水口756.5立方米，桥梁伸缩缝清理、维护36725.41米，桥梁伸缩缝维修1759.8米，支座、泄水孔清理79652.6处；③交通安全设施：桥梁栏杆、防撞护栏的粉刷7379.4平方米。砼防腐处理12558.9平方米69座，处治桥梁裂缝3411.85米，护栏板、立柱粉刷2632.2平方米，轮廓标更换427根。标志牌版面更换46.8平方米，里程牌更换108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项目目标任务数或计划数相对应。开展公路路基、路面、桥涵、隧道、沿线设施的小修养护管理工作。对管养路段存在的病害进行修复及各项预防性养护，合理实施小修养护延缓公路衰减，增加公路使用寿命,为公众出行提供安全的通行环境。按照《公路养护技术规范》要求，积极开展公路经常性检查、定期检查、特殊检查、专项检查和加强日常巡道，及时发现损坏的公路及附属设施，及时修复和更换被损坏的路产。2023年公路日常养护2199.5万元，其中公路、桥隧养护2002万元、沙害养护109万元、避险车道10.5万元、防雪包交通费78万元，与预算确定的项目投资额或资金量相匹配，项目绩效目标明确，将项目绩效目标细化分解为具体的绩效指标，通过清晰、可衡量的指标值予以体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根据自治区公路事业发展中心下达计划，结合基层各分局管养里程和工作内容，2023年公路日常养护2199.5万元，其中公路、桥隧养护2002万元、避险车道10.5万元、防雪保交通费用78万元。用于阿克苏公路局所管养的普通公路的路基、路面、桥涵、隧道、沿线设施的日常保养工作。地州局每年至少开展4次检查自检验收工作。主要针对小修养护质量、数量及养护效果进行检查验收。沙害养护109万元。依据国家公路工程资金管理相关规定、工程招标文件及合同。以科学的态度，实事求是，秉公办事的精神，按合同文件所规定的方法、范围、内容、单位计量，做到计量准确真实，手续齐全，程序合规，确保每一笔资金计量有依有据、合规合法。从检查评价的情况来看，各单位能够合规执行，结合预算资金安排、年初工作计划来提高预算绩效管理，提高资金使用效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资金管理分值12分，得分12分。其中资金到位率分值4分，得分4分；预算执行率分值4分，得分4分；资金使用合规性分值4分，得分4分。该项目预算资金2199.5万元，到位资金2199.5万元，实际支出资金2199.5万元，资金到位率100%，预算执行率100%。资金使用合规，符合国家财经法规和财务管理制度以及有关专项资金管理办法的规定，资金支付均具有完整的审批程序和手续，与预算批复内容相符，不存在截留、挤占、挪用、虚列支出等情况。阿克苏公路管理局对日常养护资金超过5万元的项目由养护管理科立项上党委会通过后进行招投标，财务审计科依据阿克苏公路管理局财务内部控制管理制度根据经领导审批后的发票、计量支付表、中标通知书、党委会议记录、合同、竣工验收报告等进行付款。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开展公路路基、路面、桥涵、隧道、沿线设施的小修养护管理工作。并对管养路段存在的病害进行修复及各项预防性养护，合理实施小修养护延缓公路衰减，增加公路使用寿命,为公众出行提供安全的通行环境。按照《公路养护技术规范》要求，积极开展公路经常性检查、定期检查、特殊检查、专项检查和加强日常巡道，及时发现损坏的公路及附属设施，及时修复和更换被损坏的路产。根据新疆维吾尔自治区交通运输厅下发的《新疆维吾尔自治区国省干线公路管理养护运营监督考核办法（试行）》（新交规〔2020〕8号）、《关于印发&lt;新疆维吾尔自治区经营性公路运营管理监督评价细则（试行）&gt;的通知》（新交规〔2021〕3号）的文件精神，阿克苏公路管理局根据要求，每季度对G3012线K529-K1030段进行了经营性公路行业管理监督检查，随机抽检6公里进行实地评价，对全部路段进行巡检，按照评定细则的要求将《日常评价问题通知单》反馈至受评单位，并撰写《关于G3012线K529-K1030段经营性公路行业管理监督检查的评价报告》上报自治区公路事业发展中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w:t>
      </w:r>
      <w:r>
        <w:rPr>
          <w:rStyle w:val="18"/>
          <w:rFonts w:hint="eastAsia" w:ascii="楷体" w:hAnsi="楷体" w:eastAsia="楷体"/>
          <w:spacing w:val="-4"/>
          <w:sz w:val="32"/>
          <w:szCs w:val="32"/>
        </w:rPr>
        <w:tab/>
      </w:r>
      <w:r>
        <w:rPr>
          <w:rStyle w:val="18"/>
          <w:rFonts w:hint="eastAsia" w:ascii="楷体" w:hAnsi="楷体" w:eastAsia="楷体"/>
          <w:spacing w:val="-4"/>
          <w:sz w:val="32"/>
          <w:szCs w:val="32"/>
        </w:rPr>
        <w:t>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“管养公路日常养护里程覆盖率”指标，预期指标值为≥1660公里，指标完成值为≥1660公里，完成率为100%，分值4分，得分4分。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2023年阿克苏公路管理局完成了管养里程共计1745.474公里公路日常养护工作，G580线沙害防治工程为K275+000-K278+000，共计3KM。主要的工程内容：增设高立式阻沙栅栏、草方格固沙。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w:t>
      </w:r>
      <w:r>
        <w:rPr>
          <w:rStyle w:val="18"/>
          <w:rFonts w:hint="eastAsia" w:ascii="楷体" w:hAnsi="楷体" w:eastAsia="楷体"/>
          <w:spacing w:val="-4"/>
          <w:sz w:val="32"/>
          <w:szCs w:val="32"/>
        </w:rPr>
        <w:tab/>
      </w:r>
      <w:r>
        <w:rPr>
          <w:rStyle w:val="18"/>
          <w:rFonts w:hint="eastAsia" w:ascii="楷体" w:hAnsi="楷体" w:eastAsia="楷体"/>
          <w:spacing w:val="-4"/>
          <w:sz w:val="32"/>
          <w:szCs w:val="32"/>
        </w:rPr>
        <w:t>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“公路日常养护质量合格率”指标，预期指标值为=100%，指标完成值为=100%，完成率为100%，分值4分，得分4分。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2023年G580线3KM的沙害养护工程已完成竣工验收，所有项目都达到质量要求，养护工程的质量合格率为100%。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w:t>
      </w:r>
      <w:r>
        <w:rPr>
          <w:rStyle w:val="18"/>
          <w:rFonts w:hint="eastAsia" w:ascii="楷体" w:hAnsi="楷体" w:eastAsia="楷体"/>
          <w:spacing w:val="-4"/>
          <w:sz w:val="32"/>
          <w:szCs w:val="32"/>
        </w:rPr>
        <w:tab/>
      </w:r>
      <w:r>
        <w:rPr>
          <w:rStyle w:val="18"/>
          <w:rFonts w:hint="eastAsia" w:ascii="楷体" w:hAnsi="楷体" w:eastAsia="楷体"/>
          <w:spacing w:val="-4"/>
          <w:sz w:val="32"/>
          <w:szCs w:val="32"/>
        </w:rPr>
        <w:t>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“年度养护任务按时完成率”指标，预期指标值为&gt;=95%，指标完成值为&gt;=95%，完成率为100%，分值4分，得分4分。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“年度养护任务按时开工率”指标，预期指标值为&gt;=95%，指标完成值为&gt;=95%，完成率为100%，分值4分，得分4分。2023年日常养护工作于2023年12月30日前全部完成，达到年前目标。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w:t>
      </w:r>
      <w:r>
        <w:rPr>
          <w:rStyle w:val="18"/>
          <w:rFonts w:hint="eastAsia" w:ascii="楷体" w:hAnsi="楷体" w:eastAsia="楷体"/>
          <w:spacing w:val="-4"/>
          <w:sz w:val="32"/>
          <w:szCs w:val="32"/>
        </w:rPr>
        <w:tab/>
      </w:r>
      <w:r>
        <w:rPr>
          <w:rStyle w:val="18"/>
          <w:rFonts w:hint="eastAsia" w:ascii="楷体" w:hAnsi="楷体" w:eastAsia="楷体"/>
          <w:spacing w:val="-4"/>
          <w:sz w:val="32"/>
          <w:szCs w:val="32"/>
        </w:rPr>
        <w:t>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指标值为&lt;=100%，指标完成值为&lt;=100%，完成率为100%，分值10，得分10分。2023年公路日常养护预算2199.5万元，截止2023年12月31日，已使用拨付资金2199.5万元，其中普通公路、桥隧养护费用1203万元、普通公路沙害养护费用109万元、普通公路避险车道费用10.5万元、普通防雪保交通费28万元、收费公路、桥隧养护费用799万元、收费防雪保交通费50万元，预算控制率为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1个三级指标构成，权重分20分，实际得分20分。社会效益指标：“管养公路保畅通行率”指标，预期指标值为&gt;=95%，指标完成值为&gt;=95%，完成率为100%，分值20分，得分20分。2023年通过公路日常养护工作，公路技术状况和公路服务水平得到了改善，解决了群众对通行的诉求，改善</w:t>
      </w:r>
      <w:r>
        <w:rPr>
          <w:rStyle w:val="18"/>
          <w:rFonts w:hint="eastAsia" w:ascii="楷体" w:hAnsi="楷体" w:eastAsia="楷体"/>
          <w:spacing w:val="-4"/>
          <w:sz w:val="32"/>
          <w:szCs w:val="32"/>
          <w:lang w:eastAsia="zh-CN"/>
        </w:rPr>
        <w:t>了</w:t>
      </w:r>
      <w:r>
        <w:rPr>
          <w:rStyle w:val="18"/>
          <w:rFonts w:hint="eastAsia" w:ascii="楷体" w:hAnsi="楷体" w:eastAsia="楷体"/>
          <w:spacing w:val="-4"/>
          <w:sz w:val="32"/>
          <w:szCs w:val="32"/>
        </w:rPr>
        <w:t>道路通行能力与服务水平，为群众出行提供了良好条件，有效</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消除了公路安全隐患，使管养公路保畅通行率预期达到了100%，达到了计划标准。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司乘人员满意度”指标，预期指标值为&gt;=85%，指标完成值为&gt;=85%，完成率为100%，分值10分，得分10分。2023年通过公路日常养护工作，保障沿线路容路貌完好，路面干净整洁，路肩整洁，路基边坡顺适，排水设施畅通，完全防护设施完善，线形流畅，各种标志醒目齐全，达到：“畅、安、舒、美”的道路环境，司乘人员满意度预期达到100%，达到了计划标准。</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1、根据《公路养护技术规范》（JTG H10-2009）、《公路技术状况评定标准》（JTG 5210-2018）规范要求，年初做好路线管理模块的各项更新、完善工作，与统计年报数据一致，做好区域管理中的线路自然区域划分及线路通行环境划分工作，在后期实施管理中，对计划任务的变更、巡道信息出现的问题、安全作业区布设录入情况、水毁、除雪等填报信息进行了梳理、汇总、通报，并要求限期整改，监督各分局及时完善工勤技能人员、个人生产任务完成情况、出工率管理、临时工费用执行情况填报工作，做好计量支付的审核、督促工作，将分局迟报、漏报情况进行统计汇总。9月24日养护管理子系统运营公司（奥德奈睿交通科技有限公司）对系统完善项目进行实地调研，养护管理科与各分局技术人员共同进行交流。年末做好养护效果评价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2、根据交通运输厅《关于切实做好国省道融雪型洪水及地质灾害防范工作的通知》</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新交公管[2022]3号</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文件精神，我局高度重视防汛抗旱工作的严峻形势，坚持“人民至上、生命至上”，加强组织领导，密切协调配合，责任到人，做到资金到位、物资储备到位、装备保障到位、应急队伍到位。密切关注气象信息，加强公路巡查工作，严格执行应急值班和信息报送制度。今年</w:t>
      </w:r>
      <w:r>
        <w:rPr>
          <w:rStyle w:val="18"/>
          <w:rFonts w:hint="eastAsia" w:ascii="楷体" w:hAnsi="楷体" w:eastAsia="楷体"/>
          <w:spacing w:val="-4"/>
          <w:sz w:val="32"/>
          <w:szCs w:val="32"/>
          <w:lang w:eastAsia="zh-CN"/>
        </w:rPr>
        <w:t>截至目前</w:t>
      </w:r>
      <w:r>
        <w:rPr>
          <w:rStyle w:val="18"/>
          <w:rFonts w:hint="eastAsia" w:ascii="楷体" w:hAnsi="楷体" w:eastAsia="楷体"/>
          <w:spacing w:val="-4"/>
          <w:sz w:val="32"/>
          <w:szCs w:val="32"/>
        </w:rPr>
        <w:t>累计发生水毁11次，累计经济损失391.0556万元。目前公路水毁抢修已投入资金270万元。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3、阿克苏公路管理局成立了自然灾害风险普查工作领导小组，制定了《阿克苏公路管理局自然灾害风险普查工作实施方案》，按照统一协调、分级负责的原则，全面推进普查工作。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草方格、高立式阻沙栅栏，由近到远设置不同的阻沙设施，协同作用，达到一个共同的阻沙作用。道路附近使用草方格增大地表粗糙度，降低地表风速，削弱风力的侵蚀，减少地表风积沙在风的作用下流动的能力，减少道路两侧风积沙的堆积能力。道路远处，使用高立式阻沙栅栏，通过调整栅栏形态，形成大范围方格，并达到疏导移动沙丘的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固沙、截沙、阻沙：固沙可采用人工埋栽1mx1m的草方格，中间截沙和远处阻沙采用人工埋栽两道高沙障，材料可以使用芦苇、棉花杆、尼龙网。新建高沙障时，必须对原有防沙体系进行草方格恢复，对淹埋后的高沙障形成的沙丘采取芦苇包坡的形式进行处理，让它形成一道自然阻沙屏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高沙障的间距控制：高沙障的间距过小，阻沙区沙源形成叠加，阻沙体量不能形成最大；间距过大，沙障之间形成新的移动沙源，不利于阻沙。通过近四年的实践和总结，两道高沙障的距离为（10-15）H（H为高沙障高度）之间时，高沙障截沙、阻沙效果较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7、高沙障线型：高沙障要起到阻沙、导沙、输沙的作用，就要结合地形和风向（风向是多变的），高沙障不宜设置成直线型，应设置成连续相连的V字型。V字型的优点a.适应多风向；b.线型增长增大阻沙体量；c.沙障稳定性提高；d.有利于阻沙、导沙、输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8、高沙障通透率：高沙障要有一定的通透率，起到输沙的作用，减少沙在高沙障迎风面的堆积，影响高沙障的使用寿命，通过近四年的实践和总结，高沙障通透率30—50%输沙效果较好。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9、高沙障根部草方格：将高沙障迎风面根部1米宽的芦苇草方格增至3米宽，被风面根部1米宽的草方格增至2米宽。通过原材料的改进，沙障的阻沙效果、抗风能力明显提高。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辖区内部分路段路况水平跟不上日益增长的社会需求。G217线K990—K1047路段计57公里（二级公路），2012年起路面就开始出现大量的纵横向裂缝逐步发展成为块状裂缝，在K1003公里前后相续建成多个大型煤矿，2016年初经路况调查路面龟裂、松散、坑槽等路面损坏非常严重，路面破损率达到了60.3%，近年来路况持续下降，小修养护无法维持现有路况下降的趋势。</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公路养护信息化管理水平不够高。如，公路基础数据库基础数据采集质量不高，个别标志牌与实际现场数据不符，录入数据不够统一、不够规范。工作人员专业水平有待提高。如，部分养护人员对各类病害产生的原因不熟悉、分析不够彻底，缺乏工作经验，上报数据差、错、漏情况时有发生，且数据缺乏关联性；部分技术人员掌握新技术与新工艺的能力较弱，养护管理方法缺乏创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一线职工下降比例较高。我局养护里程从2010年至今增加444.828公里，但从事一线养护的人员急剧减少。且一线职工老龄化严重，导致公路养护工作存在一定困难。加之养护人员综合素质不高，因循守旧，推广新技术、新材料、新</w:t>
      </w:r>
      <w:r>
        <w:rPr>
          <w:rStyle w:val="18"/>
          <w:rFonts w:hint="eastAsia" w:ascii="楷体" w:hAnsi="楷体" w:eastAsia="楷体"/>
          <w:spacing w:val="-4"/>
          <w:sz w:val="32"/>
          <w:szCs w:val="32"/>
          <w:lang w:eastAsia="zh-CN"/>
        </w:rPr>
        <w:t>理念</w:t>
      </w:r>
      <w:r>
        <w:rPr>
          <w:rStyle w:val="18"/>
          <w:rFonts w:hint="eastAsia" w:ascii="楷体" w:hAnsi="楷体" w:eastAsia="楷体"/>
          <w:spacing w:val="-4"/>
          <w:sz w:val="32"/>
          <w:szCs w:val="32"/>
        </w:rPr>
        <w:t>受到一定阻力。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部分路段防沙设施老化，沙埋、风毁、风蚀情况严重，失去了防风固沙的作用，其中K248-K278+850、K295+800-K299+400、K304+000-K310+800、K337-K339、K358-K363+400段尤为突出，我局采取加强巡道，对风积沙上路情况第一时间清理，但依靠养护力量无法达到全面治理的效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①加强业务技能的培训，及时补齐短板，提高公路管理工作水平。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②清运垃圾难度较大。因我局公路里程较长，垃圾、杂物较多，沿线就近无任何垃圾清运站，导致垃圾运输不便，建议上级调配压缩式垃圾清运车。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③加强业务技能的培训，及时补齐短板，提高公路管理工作水平。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D496E2-D1F6-42D6-88F4-18391C6E95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913166F-0DFF-4E6D-9BE7-CEE95C07C8D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EDCF336-9CED-48A5-8A4F-B65D4CCC9204}"/>
  </w:font>
  <w:font w:name="华文中宋">
    <w:panose1 w:val="02010600040101010101"/>
    <w:charset w:val="86"/>
    <w:family w:val="auto"/>
    <w:pitch w:val="default"/>
    <w:sig w:usb0="00000287" w:usb1="080F0000" w:usb2="00000000" w:usb3="00000000" w:csb0="0004009F" w:csb1="DFD70000"/>
    <w:embedRegular r:id="rId4" w:fontKey="{2319F998-65B8-415C-B828-CB77794E0B08}"/>
  </w:font>
  <w:font w:name="方正小标宋_GBK">
    <w:panose1 w:val="02000000000000000000"/>
    <w:charset w:val="86"/>
    <w:family w:val="script"/>
    <w:pitch w:val="default"/>
    <w:sig w:usb0="00000001" w:usb1="080E0000" w:usb2="00000000" w:usb3="00000000" w:csb0="00040000" w:csb1="00000000"/>
    <w:embedRegular r:id="rId5" w:fontKey="{7F272807-3CF5-483A-9150-7F770FB24030}"/>
  </w:font>
  <w:font w:name="仿宋_GB2312">
    <w:panose1 w:val="02010609030101010101"/>
    <w:charset w:val="86"/>
    <w:family w:val="modern"/>
    <w:pitch w:val="default"/>
    <w:sig w:usb0="00000001" w:usb1="080E0000" w:usb2="00000000" w:usb3="00000000" w:csb0="00040000" w:csb1="00000000"/>
    <w:embedRegular r:id="rId6" w:fontKey="{525D2EBF-8B13-4239-8429-709DAE42DBFC}"/>
  </w:font>
  <w:font w:name="楷体">
    <w:panose1 w:val="02010609060101010101"/>
    <w:charset w:val="86"/>
    <w:family w:val="modern"/>
    <w:pitch w:val="default"/>
    <w:sig w:usb0="800002BF" w:usb1="38CF7CFA" w:usb2="00000016" w:usb3="00000000" w:csb0="00040001" w:csb1="00000000"/>
    <w:embedRegular r:id="rId7" w:fontKey="{A44176CD-A273-4865-837C-DBDBB4D74A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1NjYxODNhNDYwZjdhMTUzMmVhNGQyOTgzZjQzMzI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92C2DBB"/>
    <w:rsid w:val="0A340AA9"/>
    <w:rsid w:val="0CB44F22"/>
    <w:rsid w:val="126E50C9"/>
    <w:rsid w:val="14397E66"/>
    <w:rsid w:val="3327787D"/>
    <w:rsid w:val="394449CA"/>
    <w:rsid w:val="3EF51064"/>
    <w:rsid w:val="41E47207"/>
    <w:rsid w:val="48D94509"/>
    <w:rsid w:val="4D2606A1"/>
    <w:rsid w:val="57392022"/>
    <w:rsid w:val="5CEA6523"/>
    <w:rsid w:val="726B168B"/>
    <w:rsid w:val="7E917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11335</Words>
  <Characters>12673</Characters>
  <Lines>5</Lines>
  <Paragraphs>1</Paragraphs>
  <TotalTime>8</TotalTime>
  <ScaleCrop>false</ScaleCrop>
  <LinksUpToDate>false</LinksUpToDate>
  <CharactersWithSpaces>12721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流萤染夏</cp:lastModifiedBy>
  <cp:lastPrinted>2018-12-31T10:56:00Z</cp:lastPrinted>
  <dcterms:modified xsi:type="dcterms:W3CDTF">2024-08-26T16:21:13Z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47141E01D5A5481BB65F97C39D8661A2_12</vt:lpwstr>
  </property>
</Properties>
</file>