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254462B">
      <w:pPr>
        <w:keepNext w:val="0"/>
        <w:keepLines w:val="0"/>
        <w:pageBreakBefore w:val="0"/>
        <w:widowControl w:val="0"/>
        <w:kinsoku/>
        <w:wordWrap/>
        <w:overflowPunct/>
        <w:topLinePunct w:val="0"/>
        <w:bidi w:val="0"/>
        <w:adjustRightInd/>
        <w:snapToGrid/>
        <w:spacing w:line="240" w:lineRule="auto"/>
        <w:textAlignment w:val="auto"/>
        <w:rPr>
          <w:rFonts w:ascii="黑体" w:hAnsi="黑体" w:eastAsia="黑体"/>
          <w:color w:val="auto"/>
          <w:sz w:val="32"/>
          <w:szCs w:val="32"/>
          <w:highlight w:val="none"/>
        </w:rPr>
      </w:pPr>
    </w:p>
    <w:p w14:paraId="31472E5F">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14:paraId="264421B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lang w:val="en-US" w:eastAsia="zh-CN"/>
        </w:rPr>
      </w:pPr>
      <w:r>
        <w:rPr>
          <w:rFonts w:hint="eastAsia" w:ascii="方正小标宋_GBK" w:hAnsi="宋体" w:eastAsia="方正小标宋_GBK"/>
          <w:color w:val="auto"/>
          <w:sz w:val="44"/>
          <w:szCs w:val="44"/>
          <w:highlight w:val="none"/>
          <w:lang w:val="en-US" w:eastAsia="zh-CN"/>
        </w:rPr>
        <w:t>阿克苏公路管理局</w:t>
      </w:r>
    </w:p>
    <w:p w14:paraId="462197D5">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lang w:eastAsia="zh-CN"/>
        </w:rPr>
        <w:t xml:space="preserve"> 2023年度</w:t>
      </w:r>
      <w:r>
        <w:rPr>
          <w:rFonts w:hint="eastAsia" w:ascii="方正小标宋_GBK" w:hAnsi="宋体" w:eastAsia="方正小标宋_GBK"/>
          <w:color w:val="auto"/>
          <w:sz w:val="44"/>
          <w:szCs w:val="44"/>
          <w:highlight w:val="none"/>
        </w:rPr>
        <w:t>部门决算</w:t>
      </w:r>
    </w:p>
    <w:p w14:paraId="43489A80">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rPr>
        <w:t>公开说明</w:t>
      </w:r>
    </w:p>
    <w:p w14:paraId="44EAC677">
      <w:pPr>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rPr>
        <w:br w:type="page"/>
      </w:r>
    </w:p>
    <w:p w14:paraId="4C25F53B">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color w:val="auto"/>
          <w:kern w:val="0"/>
          <w:sz w:val="32"/>
          <w:szCs w:val="32"/>
          <w:highlight w:val="none"/>
        </w:rPr>
      </w:pPr>
      <w:r>
        <w:rPr>
          <w:rFonts w:hint="eastAsia" w:ascii="仿宋_GB2312" w:hAnsi="仿宋_GB2312" w:eastAsia="仿宋_GB2312" w:cs="仿宋_GB2312"/>
          <w:b/>
          <w:bCs w:val="0"/>
          <w:color w:val="auto"/>
          <w:kern w:val="0"/>
          <w:sz w:val="36"/>
          <w:szCs w:val="36"/>
          <w:highlight w:val="none"/>
        </w:rPr>
        <w:t>目  录</w:t>
      </w:r>
    </w:p>
    <w:p w14:paraId="03886B3D">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TOC \o "1-3" \n  \h \u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_Toc32314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 xml:space="preserve">第一部分 </w:t>
      </w:r>
      <w:r>
        <w:rPr>
          <w:rFonts w:hint="eastAsia" w:ascii="仿宋_GB2312" w:hAnsi="仿宋_GB2312" w:eastAsia="仿宋_GB2312" w:cs="仿宋_GB2312"/>
          <w:b/>
          <w:bCs/>
          <w:color w:val="auto"/>
          <w:sz w:val="32"/>
          <w:szCs w:val="32"/>
          <w:highlight w:val="none"/>
          <w:lang w:eastAsia="zh-CN"/>
        </w:rPr>
        <w:t>单位</w:t>
      </w:r>
      <w:r>
        <w:rPr>
          <w:rFonts w:hint="eastAsia" w:ascii="仿宋_GB2312" w:hAnsi="仿宋_GB2312" w:eastAsia="仿宋_GB2312" w:cs="仿宋_GB2312"/>
          <w:b/>
          <w:bCs/>
          <w:color w:val="auto"/>
          <w:sz w:val="32"/>
          <w:szCs w:val="32"/>
          <w:highlight w:val="none"/>
        </w:rPr>
        <w:t>概况</w:t>
      </w:r>
      <w:r>
        <w:rPr>
          <w:rFonts w:hint="eastAsia" w:ascii="仿宋_GB2312" w:hAnsi="仿宋_GB2312" w:eastAsia="仿宋_GB2312" w:cs="仿宋_GB2312"/>
          <w:b/>
          <w:bCs/>
          <w:color w:val="auto"/>
          <w:sz w:val="32"/>
          <w:szCs w:val="32"/>
          <w:highlight w:val="none"/>
        </w:rPr>
        <w:fldChar w:fldCharType="end"/>
      </w:r>
    </w:p>
    <w:p w14:paraId="7F668377">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_Toc30567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一、主要职能</w:t>
      </w:r>
      <w:r>
        <w:rPr>
          <w:rFonts w:hint="eastAsia" w:ascii="仿宋_GB2312" w:hAnsi="仿宋_GB2312" w:eastAsia="仿宋_GB2312" w:cs="仿宋_GB2312"/>
          <w:color w:val="auto"/>
          <w:sz w:val="32"/>
          <w:szCs w:val="32"/>
          <w:highlight w:val="none"/>
        </w:rPr>
        <w:fldChar w:fldCharType="end"/>
      </w:r>
    </w:p>
    <w:p w14:paraId="05E0B250">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_Toc2151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二、机构设置</w:t>
      </w:r>
      <w:r>
        <w:rPr>
          <w:rFonts w:hint="eastAsia" w:ascii="仿宋_GB2312" w:hAnsi="仿宋_GB2312" w:eastAsia="仿宋_GB2312" w:cs="仿宋_GB2312"/>
          <w:bCs/>
          <w:color w:val="auto"/>
          <w:kern w:val="0"/>
          <w:sz w:val="32"/>
          <w:szCs w:val="32"/>
          <w:highlight w:val="none"/>
          <w:lang w:eastAsia="zh-CN"/>
        </w:rPr>
        <w:t>及人员</w:t>
      </w:r>
      <w:r>
        <w:rPr>
          <w:rFonts w:hint="eastAsia" w:ascii="仿宋_GB2312" w:hAnsi="仿宋_GB2312" w:eastAsia="仿宋_GB2312" w:cs="仿宋_GB2312"/>
          <w:bCs/>
          <w:color w:val="auto"/>
          <w:kern w:val="0"/>
          <w:sz w:val="32"/>
          <w:szCs w:val="32"/>
          <w:highlight w:val="none"/>
        </w:rPr>
        <w:t>情况</w:t>
      </w:r>
      <w:r>
        <w:rPr>
          <w:rFonts w:hint="eastAsia" w:ascii="仿宋_GB2312" w:hAnsi="仿宋_GB2312" w:eastAsia="仿宋_GB2312" w:cs="仿宋_GB2312"/>
          <w:color w:val="auto"/>
          <w:sz w:val="32"/>
          <w:szCs w:val="32"/>
          <w:highlight w:val="none"/>
        </w:rPr>
        <w:fldChar w:fldCharType="end"/>
      </w:r>
    </w:p>
    <w:p w14:paraId="512C5CBE">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_Toc29374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第二部分 部门决算情况说明</w:t>
      </w:r>
      <w:r>
        <w:rPr>
          <w:rFonts w:hint="eastAsia" w:ascii="仿宋_GB2312" w:hAnsi="仿宋_GB2312" w:eastAsia="仿宋_GB2312" w:cs="仿宋_GB2312"/>
          <w:b/>
          <w:bCs/>
          <w:color w:val="auto"/>
          <w:sz w:val="32"/>
          <w:szCs w:val="32"/>
          <w:highlight w:val="none"/>
        </w:rPr>
        <w:fldChar w:fldCharType="end"/>
      </w:r>
    </w:p>
    <w:p w14:paraId="26EC03C9">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_Toc25314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一、收入支出决算总体情况说明</w:t>
      </w:r>
      <w:r>
        <w:rPr>
          <w:rFonts w:hint="eastAsia" w:ascii="仿宋_GB2312" w:hAnsi="仿宋_GB2312" w:eastAsia="仿宋_GB2312" w:cs="仿宋_GB2312"/>
          <w:color w:val="auto"/>
          <w:sz w:val="32"/>
          <w:szCs w:val="32"/>
          <w:highlight w:val="none"/>
        </w:rPr>
        <w:fldChar w:fldCharType="end"/>
      </w:r>
    </w:p>
    <w:p w14:paraId="5C47BC52">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_Toc12142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二、</w:t>
      </w:r>
      <w:r>
        <w:rPr>
          <w:rFonts w:hint="eastAsia" w:ascii="仿宋_GB2312" w:hAnsi="仿宋_GB2312" w:eastAsia="仿宋_GB2312" w:cs="仿宋_GB2312"/>
          <w:bCs/>
          <w:color w:val="auto"/>
          <w:kern w:val="0"/>
          <w:sz w:val="32"/>
          <w:szCs w:val="32"/>
          <w:highlight w:val="none"/>
        </w:rPr>
        <w:t>收入</w:t>
      </w:r>
      <w:r>
        <w:rPr>
          <w:rFonts w:hint="eastAsia" w:ascii="仿宋_GB2312" w:hAnsi="仿宋_GB2312" w:eastAsia="仿宋_GB2312" w:cs="仿宋_GB2312"/>
          <w:bCs/>
          <w:color w:val="auto"/>
          <w:kern w:val="0"/>
          <w:sz w:val="32"/>
          <w:szCs w:val="32"/>
          <w:highlight w:val="none"/>
          <w:lang w:eastAsia="zh-CN"/>
        </w:rPr>
        <w:t>决算</w:t>
      </w:r>
      <w:r>
        <w:rPr>
          <w:rFonts w:hint="eastAsia" w:ascii="仿宋_GB2312" w:hAnsi="仿宋_GB2312" w:eastAsia="仿宋_GB2312" w:cs="仿宋_GB2312"/>
          <w:bCs/>
          <w:color w:val="auto"/>
          <w:kern w:val="0"/>
          <w:sz w:val="32"/>
          <w:szCs w:val="32"/>
          <w:highlight w:val="none"/>
        </w:rPr>
        <w:t>情况说明</w:t>
      </w:r>
      <w:r>
        <w:rPr>
          <w:rFonts w:hint="eastAsia" w:ascii="仿宋_GB2312" w:hAnsi="仿宋_GB2312" w:eastAsia="仿宋_GB2312" w:cs="仿宋_GB2312"/>
          <w:color w:val="auto"/>
          <w:sz w:val="32"/>
          <w:szCs w:val="32"/>
          <w:highlight w:val="none"/>
        </w:rPr>
        <w:fldChar w:fldCharType="end"/>
      </w:r>
    </w:p>
    <w:p w14:paraId="550A73E3">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_Toc13201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三、支出决算情况说明</w:t>
      </w:r>
      <w:r>
        <w:rPr>
          <w:rFonts w:hint="eastAsia" w:ascii="仿宋_GB2312" w:hAnsi="仿宋_GB2312" w:eastAsia="仿宋_GB2312" w:cs="仿宋_GB2312"/>
          <w:color w:val="auto"/>
          <w:sz w:val="32"/>
          <w:szCs w:val="32"/>
          <w:highlight w:val="none"/>
        </w:rPr>
        <w:fldChar w:fldCharType="end"/>
      </w:r>
    </w:p>
    <w:p w14:paraId="67572A2D">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_Toc26564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四、财政拨款收入支出决算总体情况说明</w:t>
      </w:r>
      <w:r>
        <w:rPr>
          <w:rFonts w:hint="eastAsia" w:ascii="仿宋_GB2312" w:hAnsi="仿宋_GB2312" w:eastAsia="仿宋_GB2312" w:cs="仿宋_GB2312"/>
          <w:color w:val="auto"/>
          <w:sz w:val="32"/>
          <w:szCs w:val="32"/>
          <w:highlight w:val="none"/>
        </w:rPr>
        <w:fldChar w:fldCharType="end"/>
      </w:r>
    </w:p>
    <w:p w14:paraId="62582D25">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_Toc20360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五、一般公共预算财政拨款支出决算情况说明</w:t>
      </w:r>
      <w:r>
        <w:rPr>
          <w:rFonts w:hint="eastAsia" w:ascii="仿宋_GB2312" w:hAnsi="仿宋_GB2312" w:eastAsia="仿宋_GB2312" w:cs="仿宋_GB2312"/>
          <w:color w:val="auto"/>
          <w:sz w:val="32"/>
          <w:szCs w:val="32"/>
          <w:highlight w:val="none"/>
        </w:rPr>
        <w:fldChar w:fldCharType="end"/>
      </w:r>
    </w:p>
    <w:p w14:paraId="1796191E">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_Toc30870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六、一般公共预算财政拨款基本支出决算情况说明</w:t>
      </w:r>
      <w:r>
        <w:rPr>
          <w:rFonts w:hint="eastAsia" w:ascii="仿宋_GB2312" w:hAnsi="仿宋_GB2312" w:eastAsia="仿宋_GB2312" w:cs="仿宋_GB2312"/>
          <w:color w:val="auto"/>
          <w:sz w:val="32"/>
          <w:szCs w:val="32"/>
          <w:highlight w:val="none"/>
        </w:rPr>
        <w:fldChar w:fldCharType="end"/>
      </w:r>
    </w:p>
    <w:p w14:paraId="154D51C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_Toc21518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七</w:t>
      </w:r>
      <w:r>
        <w:rPr>
          <w:rFonts w:hint="eastAsia" w:ascii="仿宋_GB2312" w:hAnsi="仿宋_GB2312" w:eastAsia="仿宋_GB2312" w:cs="仿宋_GB2312"/>
          <w:bCs/>
          <w:color w:val="auto"/>
          <w:kern w:val="0"/>
          <w:sz w:val="32"/>
          <w:szCs w:val="32"/>
          <w:highlight w:val="none"/>
        </w:rPr>
        <w:t>、</w:t>
      </w:r>
      <w:r>
        <w:rPr>
          <w:rFonts w:hint="eastAsia" w:ascii="仿宋_GB2312" w:hAnsi="仿宋_GB2312" w:eastAsia="仿宋_GB2312" w:cs="仿宋_GB2312"/>
          <w:bCs/>
          <w:color w:val="auto"/>
          <w:kern w:val="0"/>
          <w:sz w:val="32"/>
          <w:szCs w:val="32"/>
          <w:highlight w:val="none"/>
          <w:lang w:eastAsia="zh-CN"/>
        </w:rPr>
        <w:t>财政拨款</w:t>
      </w:r>
      <w:r>
        <w:rPr>
          <w:rFonts w:hint="eastAsia" w:ascii="仿宋_GB2312" w:hAnsi="仿宋_GB2312" w:eastAsia="仿宋_GB2312" w:cs="仿宋_GB2312"/>
          <w:bCs/>
          <w:color w:val="auto"/>
          <w:kern w:val="0"/>
          <w:sz w:val="32"/>
          <w:szCs w:val="32"/>
          <w:highlight w:val="none"/>
        </w:rPr>
        <w:t>“三公”经费支出</w:t>
      </w:r>
      <w:r>
        <w:rPr>
          <w:rFonts w:hint="eastAsia" w:ascii="仿宋_GB2312" w:hAnsi="仿宋_GB2312" w:eastAsia="仿宋_GB2312" w:cs="仿宋_GB2312"/>
          <w:bCs/>
          <w:color w:val="auto"/>
          <w:kern w:val="0"/>
          <w:sz w:val="32"/>
          <w:szCs w:val="32"/>
          <w:highlight w:val="none"/>
          <w:lang w:eastAsia="zh-CN"/>
        </w:rPr>
        <w:t>决算</w:t>
      </w:r>
      <w:r>
        <w:rPr>
          <w:rFonts w:hint="eastAsia" w:ascii="仿宋_GB2312" w:hAnsi="仿宋_GB2312" w:eastAsia="仿宋_GB2312" w:cs="仿宋_GB2312"/>
          <w:bCs/>
          <w:color w:val="auto"/>
          <w:kern w:val="0"/>
          <w:sz w:val="32"/>
          <w:szCs w:val="32"/>
          <w:highlight w:val="none"/>
        </w:rPr>
        <w:t>情况</w:t>
      </w:r>
      <w:r>
        <w:rPr>
          <w:rFonts w:hint="eastAsia" w:ascii="仿宋_GB2312" w:hAnsi="仿宋_GB2312" w:eastAsia="仿宋_GB2312" w:cs="仿宋_GB2312"/>
          <w:bCs/>
          <w:color w:val="auto"/>
          <w:kern w:val="0"/>
          <w:sz w:val="32"/>
          <w:szCs w:val="32"/>
          <w:highlight w:val="none"/>
          <w:lang w:eastAsia="zh-CN"/>
        </w:rPr>
        <w:t>说明</w:t>
      </w:r>
      <w:r>
        <w:rPr>
          <w:rFonts w:hint="eastAsia" w:ascii="仿宋_GB2312" w:hAnsi="仿宋_GB2312" w:eastAsia="仿宋_GB2312" w:cs="仿宋_GB2312"/>
          <w:color w:val="auto"/>
          <w:sz w:val="32"/>
          <w:szCs w:val="32"/>
          <w:highlight w:val="none"/>
        </w:rPr>
        <w:fldChar w:fldCharType="end"/>
      </w:r>
    </w:p>
    <w:p w14:paraId="7F0427D9">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_Toc5810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val="en-US" w:eastAsia="zh-CN"/>
        </w:rPr>
        <w:t>八、</w:t>
      </w:r>
      <w:r>
        <w:rPr>
          <w:rFonts w:hint="eastAsia" w:ascii="仿宋_GB2312" w:hAnsi="仿宋_GB2312" w:eastAsia="仿宋_GB2312" w:cs="仿宋_GB2312"/>
          <w:bCs/>
          <w:color w:val="auto"/>
          <w:kern w:val="0"/>
          <w:sz w:val="32"/>
          <w:szCs w:val="32"/>
          <w:highlight w:val="none"/>
          <w:lang w:eastAsia="zh-CN"/>
        </w:rPr>
        <w:t>政府性基金预算财政拨款收入支出决算情况说明</w:t>
      </w:r>
      <w:r>
        <w:rPr>
          <w:rFonts w:hint="eastAsia" w:ascii="仿宋_GB2312" w:hAnsi="仿宋_GB2312" w:eastAsia="仿宋_GB2312" w:cs="仿宋_GB2312"/>
          <w:color w:val="auto"/>
          <w:sz w:val="32"/>
          <w:szCs w:val="32"/>
          <w:highlight w:val="none"/>
        </w:rPr>
        <w:fldChar w:fldCharType="end"/>
      </w:r>
    </w:p>
    <w:p w14:paraId="593915D0">
      <w:pPr>
        <w:rPr>
          <w:rFonts w:hint="eastAsia"/>
          <w:color w:val="auto"/>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_Toc5810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val="en-US" w:eastAsia="zh-CN"/>
        </w:rPr>
        <w:t>九</w:t>
      </w:r>
      <w:r>
        <w:rPr>
          <w:rFonts w:hint="eastAsia" w:ascii="仿宋_GB2312" w:hAnsi="仿宋_GB2312" w:eastAsia="仿宋_GB2312" w:cs="仿宋_GB2312"/>
          <w:bCs/>
          <w:color w:val="auto"/>
          <w:kern w:val="0"/>
          <w:sz w:val="32"/>
          <w:szCs w:val="32"/>
          <w:highlight w:val="none"/>
          <w:lang w:eastAsia="zh-CN"/>
        </w:rPr>
        <w:t>、国有资本经营预算财政拨款收入支出决算情况说明</w:t>
      </w:r>
      <w:r>
        <w:rPr>
          <w:rFonts w:hint="eastAsia" w:ascii="仿宋_GB2312" w:hAnsi="仿宋_GB2312" w:eastAsia="仿宋_GB2312" w:cs="仿宋_GB2312"/>
          <w:color w:val="auto"/>
          <w:sz w:val="32"/>
          <w:szCs w:val="32"/>
          <w:highlight w:val="none"/>
        </w:rPr>
        <w:fldChar w:fldCharType="end"/>
      </w:r>
    </w:p>
    <w:p w14:paraId="1B733C04">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_Toc1235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十</w:t>
      </w:r>
      <w:r>
        <w:rPr>
          <w:rFonts w:hint="eastAsia" w:ascii="仿宋_GB2312" w:hAnsi="仿宋_GB2312" w:eastAsia="仿宋_GB2312" w:cs="仿宋_GB2312"/>
          <w:bCs/>
          <w:color w:val="auto"/>
          <w:kern w:val="0"/>
          <w:sz w:val="32"/>
          <w:szCs w:val="32"/>
          <w:highlight w:val="none"/>
        </w:rPr>
        <w:t>、其他重要事项的情况</w:t>
      </w:r>
      <w:r>
        <w:rPr>
          <w:rFonts w:hint="eastAsia" w:ascii="仿宋_GB2312" w:hAnsi="仿宋_GB2312" w:eastAsia="仿宋_GB2312" w:cs="仿宋_GB2312"/>
          <w:bCs/>
          <w:color w:val="auto"/>
          <w:kern w:val="0"/>
          <w:sz w:val="32"/>
          <w:szCs w:val="32"/>
          <w:highlight w:val="none"/>
          <w:lang w:eastAsia="zh-CN"/>
        </w:rPr>
        <w:t>说明</w:t>
      </w:r>
      <w:r>
        <w:rPr>
          <w:rFonts w:hint="eastAsia" w:ascii="仿宋_GB2312" w:hAnsi="仿宋_GB2312" w:eastAsia="仿宋_GB2312" w:cs="仿宋_GB2312"/>
          <w:color w:val="auto"/>
          <w:sz w:val="32"/>
          <w:szCs w:val="32"/>
          <w:highlight w:val="none"/>
        </w:rPr>
        <w:fldChar w:fldCharType="end"/>
      </w:r>
    </w:p>
    <w:p w14:paraId="54F1060C">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_Toc14519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（一）</w:t>
      </w:r>
      <w:r>
        <w:rPr>
          <w:rFonts w:hint="eastAsia" w:ascii="仿宋_GB2312" w:hAnsi="仿宋_GB2312" w:eastAsia="仿宋_GB2312" w:cs="仿宋_GB2312"/>
          <w:color w:val="auto"/>
          <w:sz w:val="32"/>
          <w:szCs w:val="32"/>
          <w:highlight w:val="none"/>
        </w:rPr>
        <w:t>机关运行经费支出情况</w:t>
      </w:r>
      <w:r>
        <w:rPr>
          <w:rFonts w:hint="eastAsia" w:ascii="仿宋_GB2312" w:hAnsi="仿宋_GB2312" w:eastAsia="仿宋_GB2312" w:cs="仿宋_GB2312"/>
          <w:color w:val="auto"/>
          <w:sz w:val="32"/>
          <w:szCs w:val="32"/>
          <w:highlight w:val="none"/>
        </w:rPr>
        <w:fldChar w:fldCharType="end"/>
      </w:r>
    </w:p>
    <w:p w14:paraId="76A56158">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_Toc227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（二）政府采购情况</w:t>
      </w:r>
      <w:r>
        <w:rPr>
          <w:rFonts w:hint="eastAsia" w:ascii="仿宋_GB2312" w:hAnsi="仿宋_GB2312" w:eastAsia="仿宋_GB2312" w:cs="仿宋_GB2312"/>
          <w:color w:val="auto"/>
          <w:sz w:val="32"/>
          <w:szCs w:val="32"/>
          <w:highlight w:val="none"/>
        </w:rPr>
        <w:fldChar w:fldCharType="end"/>
      </w:r>
    </w:p>
    <w:p w14:paraId="5FB733D7">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_Toc8391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（三）国有资产占用情况说明</w:t>
      </w:r>
      <w:r>
        <w:rPr>
          <w:rFonts w:hint="eastAsia" w:ascii="仿宋_GB2312" w:hAnsi="仿宋_GB2312" w:eastAsia="仿宋_GB2312" w:cs="仿宋_GB2312"/>
          <w:color w:val="auto"/>
          <w:sz w:val="32"/>
          <w:szCs w:val="32"/>
          <w:highlight w:val="none"/>
        </w:rPr>
        <w:fldChar w:fldCharType="end"/>
      </w:r>
    </w:p>
    <w:p w14:paraId="38067910">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_Toc11283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十</w:t>
      </w:r>
      <w:r>
        <w:rPr>
          <w:rFonts w:hint="eastAsia" w:ascii="仿宋_GB2312" w:hAnsi="仿宋_GB2312" w:eastAsia="仿宋_GB2312" w:cs="仿宋_GB2312"/>
          <w:bCs/>
          <w:color w:val="auto"/>
          <w:kern w:val="0"/>
          <w:sz w:val="32"/>
          <w:szCs w:val="32"/>
          <w:highlight w:val="none"/>
          <w:lang w:val="en-US" w:eastAsia="zh-CN"/>
        </w:rPr>
        <w:t>一</w:t>
      </w:r>
      <w:r>
        <w:rPr>
          <w:rFonts w:hint="eastAsia" w:ascii="仿宋_GB2312" w:hAnsi="仿宋_GB2312" w:eastAsia="仿宋_GB2312" w:cs="仿宋_GB2312"/>
          <w:bCs/>
          <w:color w:val="auto"/>
          <w:kern w:val="0"/>
          <w:sz w:val="32"/>
          <w:szCs w:val="32"/>
          <w:highlight w:val="none"/>
          <w:lang w:eastAsia="zh-CN"/>
        </w:rPr>
        <w:t>、预算绩效的情况说明</w:t>
      </w:r>
      <w:r>
        <w:rPr>
          <w:rFonts w:hint="eastAsia" w:ascii="仿宋_GB2312" w:hAnsi="仿宋_GB2312" w:eastAsia="仿宋_GB2312" w:cs="仿宋_GB2312"/>
          <w:color w:val="auto"/>
          <w:sz w:val="32"/>
          <w:szCs w:val="32"/>
          <w:highlight w:val="none"/>
        </w:rPr>
        <w:fldChar w:fldCharType="end"/>
      </w:r>
    </w:p>
    <w:p w14:paraId="34EA58F0">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十二、其他需说明的事项</w:t>
      </w:r>
    </w:p>
    <w:p w14:paraId="5DB0B353">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_Toc3250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第三部分 专业名词解释</w:t>
      </w:r>
      <w:r>
        <w:rPr>
          <w:rFonts w:hint="eastAsia" w:ascii="仿宋_GB2312" w:hAnsi="仿宋_GB2312" w:eastAsia="仿宋_GB2312" w:cs="仿宋_GB2312"/>
          <w:b/>
          <w:bCs/>
          <w:color w:val="auto"/>
          <w:sz w:val="32"/>
          <w:szCs w:val="32"/>
          <w:highlight w:val="none"/>
        </w:rPr>
        <w:fldChar w:fldCharType="end"/>
      </w:r>
    </w:p>
    <w:p w14:paraId="21152CD7">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_Toc22784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第四部分 部门决算报表（见附表）</w:t>
      </w:r>
      <w:r>
        <w:rPr>
          <w:rFonts w:hint="eastAsia" w:ascii="仿宋_GB2312" w:hAnsi="仿宋_GB2312" w:eastAsia="仿宋_GB2312" w:cs="仿宋_GB2312"/>
          <w:b/>
          <w:bCs/>
          <w:color w:val="auto"/>
          <w:sz w:val="32"/>
          <w:szCs w:val="32"/>
          <w:highlight w:val="none"/>
        </w:rPr>
        <w:fldChar w:fldCharType="end"/>
      </w:r>
    </w:p>
    <w:p w14:paraId="1A9ABC78">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_Toc2183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一、《收入支出决算总表》</w:t>
      </w:r>
      <w:r>
        <w:rPr>
          <w:rFonts w:hint="eastAsia" w:ascii="仿宋_GB2312" w:hAnsi="仿宋_GB2312" w:eastAsia="仿宋_GB2312" w:cs="仿宋_GB2312"/>
          <w:color w:val="auto"/>
          <w:sz w:val="32"/>
          <w:szCs w:val="32"/>
          <w:highlight w:val="none"/>
        </w:rPr>
        <w:fldChar w:fldCharType="end"/>
      </w:r>
    </w:p>
    <w:p w14:paraId="7D4A6895">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_Toc24532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二、《收入决算表》</w:t>
      </w:r>
      <w:r>
        <w:rPr>
          <w:rFonts w:hint="eastAsia" w:ascii="仿宋_GB2312" w:hAnsi="仿宋_GB2312" w:eastAsia="仿宋_GB2312" w:cs="仿宋_GB2312"/>
          <w:color w:val="auto"/>
          <w:sz w:val="32"/>
          <w:szCs w:val="32"/>
          <w:highlight w:val="none"/>
        </w:rPr>
        <w:fldChar w:fldCharType="end"/>
      </w:r>
    </w:p>
    <w:p w14:paraId="2C137226">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_Toc32434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三、《支出决算表》</w:t>
      </w:r>
      <w:r>
        <w:rPr>
          <w:rFonts w:hint="eastAsia" w:ascii="仿宋_GB2312" w:hAnsi="仿宋_GB2312" w:eastAsia="仿宋_GB2312" w:cs="仿宋_GB2312"/>
          <w:color w:val="auto"/>
          <w:sz w:val="32"/>
          <w:szCs w:val="32"/>
          <w:highlight w:val="none"/>
        </w:rPr>
        <w:fldChar w:fldCharType="end"/>
      </w:r>
    </w:p>
    <w:p w14:paraId="46D5F6FB">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_Toc28786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四、《财政拨款收入支出决算总表》</w:t>
      </w:r>
      <w:r>
        <w:rPr>
          <w:rFonts w:hint="eastAsia" w:ascii="仿宋_GB2312" w:hAnsi="仿宋_GB2312" w:eastAsia="仿宋_GB2312" w:cs="仿宋_GB2312"/>
          <w:color w:val="auto"/>
          <w:sz w:val="32"/>
          <w:szCs w:val="32"/>
          <w:highlight w:val="none"/>
        </w:rPr>
        <w:fldChar w:fldCharType="end"/>
      </w:r>
    </w:p>
    <w:p w14:paraId="5F18B3F1">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_Toc14869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五、《一般公共预算财政拨款支出决算表》</w:t>
      </w:r>
      <w:r>
        <w:rPr>
          <w:rFonts w:hint="eastAsia" w:ascii="仿宋_GB2312" w:hAnsi="仿宋_GB2312" w:eastAsia="仿宋_GB2312" w:cs="仿宋_GB2312"/>
          <w:color w:val="auto"/>
          <w:sz w:val="32"/>
          <w:szCs w:val="32"/>
          <w:highlight w:val="none"/>
        </w:rPr>
        <w:fldChar w:fldCharType="end"/>
      </w:r>
    </w:p>
    <w:p w14:paraId="54417978">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_Toc8884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六、《一般公共预算财政拨款基本支出决算表》</w:t>
      </w:r>
      <w:r>
        <w:rPr>
          <w:rFonts w:hint="eastAsia" w:ascii="仿宋_GB2312" w:hAnsi="仿宋_GB2312" w:eastAsia="仿宋_GB2312" w:cs="仿宋_GB2312"/>
          <w:color w:val="auto"/>
          <w:sz w:val="32"/>
          <w:szCs w:val="32"/>
          <w:highlight w:val="none"/>
        </w:rPr>
        <w:fldChar w:fldCharType="end"/>
      </w:r>
    </w:p>
    <w:p w14:paraId="581C5AD7">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_Toc29106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七、《财政拨款“三公”经费支出决算表》</w:t>
      </w:r>
      <w:r>
        <w:rPr>
          <w:rFonts w:hint="eastAsia" w:ascii="仿宋_GB2312" w:hAnsi="仿宋_GB2312" w:eastAsia="仿宋_GB2312" w:cs="仿宋_GB2312"/>
          <w:color w:val="auto"/>
          <w:sz w:val="32"/>
          <w:szCs w:val="32"/>
          <w:highlight w:val="none"/>
        </w:rPr>
        <w:fldChar w:fldCharType="end"/>
      </w:r>
    </w:p>
    <w:p w14:paraId="74ACC9CF">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Cs/>
          <w:color w:val="auto"/>
          <w:kern w:val="0"/>
          <w:sz w:val="32"/>
          <w:szCs w:val="32"/>
          <w:highlight w:val="none"/>
        </w:rPr>
      </w:pPr>
      <w:r>
        <w:rPr>
          <w:rFonts w:hint="eastAsia" w:ascii="仿宋_GB2312" w:hAnsi="仿宋_GB2312" w:eastAsia="仿宋_GB2312" w:cs="仿宋_GB2312"/>
          <w:bCs/>
          <w:color w:val="auto"/>
          <w:kern w:val="0"/>
          <w:sz w:val="32"/>
          <w:szCs w:val="32"/>
          <w:highlight w:val="none"/>
        </w:rPr>
        <w:fldChar w:fldCharType="begin"/>
      </w:r>
      <w:r>
        <w:rPr>
          <w:rFonts w:hint="eastAsia" w:ascii="仿宋_GB2312" w:hAnsi="仿宋_GB2312" w:eastAsia="仿宋_GB2312" w:cs="仿宋_GB2312"/>
          <w:bCs/>
          <w:color w:val="auto"/>
          <w:kern w:val="0"/>
          <w:sz w:val="32"/>
          <w:szCs w:val="32"/>
          <w:highlight w:val="none"/>
        </w:rPr>
        <w:instrText xml:space="preserve"> HYPERLINK \l _Toc7643 </w:instrText>
      </w:r>
      <w:r>
        <w:rPr>
          <w:rFonts w:hint="eastAsia" w:ascii="仿宋_GB2312" w:hAnsi="仿宋_GB2312" w:eastAsia="仿宋_GB2312" w:cs="仿宋_GB2312"/>
          <w:bCs/>
          <w:color w:val="auto"/>
          <w:kern w:val="0"/>
          <w:sz w:val="32"/>
          <w:szCs w:val="32"/>
          <w:highlight w:val="none"/>
        </w:rPr>
        <w:fldChar w:fldCharType="separate"/>
      </w:r>
      <w:r>
        <w:rPr>
          <w:rFonts w:hint="eastAsia" w:ascii="仿宋_GB2312" w:hAnsi="仿宋_GB2312" w:eastAsia="仿宋_GB2312" w:cs="仿宋_GB2312"/>
          <w:bCs/>
          <w:color w:val="auto"/>
          <w:kern w:val="0"/>
          <w:sz w:val="32"/>
          <w:szCs w:val="32"/>
          <w:highlight w:val="none"/>
          <w:lang w:val="en-US" w:eastAsia="zh-CN"/>
        </w:rPr>
        <w:t>八、</w:t>
      </w:r>
      <w:r>
        <w:rPr>
          <w:rFonts w:hint="eastAsia" w:ascii="仿宋_GB2312" w:hAnsi="仿宋_GB2312" w:eastAsia="仿宋_GB2312" w:cs="仿宋_GB2312"/>
          <w:bCs/>
          <w:color w:val="auto"/>
          <w:kern w:val="0"/>
          <w:sz w:val="32"/>
          <w:szCs w:val="32"/>
          <w:highlight w:val="none"/>
        </w:rPr>
        <w:t>《政府性基金预算财政拨款收入支出决算表》</w:t>
      </w:r>
      <w:r>
        <w:rPr>
          <w:rFonts w:hint="eastAsia" w:ascii="仿宋_GB2312" w:hAnsi="仿宋_GB2312" w:eastAsia="仿宋_GB2312" w:cs="仿宋_GB2312"/>
          <w:bCs/>
          <w:color w:val="auto"/>
          <w:kern w:val="0"/>
          <w:sz w:val="32"/>
          <w:szCs w:val="32"/>
          <w:highlight w:val="none"/>
        </w:rPr>
        <w:fldChar w:fldCharType="end"/>
      </w:r>
    </w:p>
    <w:p w14:paraId="592857AF">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Cs/>
          <w:color w:val="auto"/>
          <w:kern w:val="0"/>
          <w:sz w:val="32"/>
          <w:szCs w:val="32"/>
          <w:highlight w:val="none"/>
          <w:lang w:eastAsia="zh-CN"/>
        </w:rPr>
      </w:pPr>
      <w:r>
        <w:rPr>
          <w:rFonts w:hint="eastAsia" w:ascii="仿宋_GB2312" w:hAnsi="仿宋_GB2312" w:eastAsia="仿宋_GB2312" w:cs="仿宋_GB2312"/>
          <w:bCs/>
          <w:color w:val="auto"/>
          <w:kern w:val="0"/>
          <w:sz w:val="32"/>
          <w:szCs w:val="32"/>
          <w:highlight w:val="none"/>
          <w:lang w:val="en-US" w:eastAsia="zh-CN"/>
        </w:rPr>
        <w:t>九</w:t>
      </w:r>
      <w:r>
        <w:rPr>
          <w:rFonts w:hint="eastAsia" w:ascii="仿宋_GB2312" w:hAnsi="仿宋_GB2312" w:eastAsia="仿宋_GB2312" w:cs="仿宋_GB2312"/>
          <w:bCs/>
          <w:color w:val="auto"/>
          <w:kern w:val="0"/>
          <w:sz w:val="32"/>
          <w:szCs w:val="32"/>
          <w:highlight w:val="none"/>
          <w:lang w:eastAsia="zh-CN"/>
        </w:rPr>
        <w:t>、《国有资本经营</w:t>
      </w:r>
      <w:r>
        <w:rPr>
          <w:rFonts w:hint="eastAsia" w:ascii="仿宋_GB2312" w:hAnsi="仿宋_GB2312" w:eastAsia="仿宋_GB2312" w:cs="仿宋_GB2312"/>
          <w:bCs/>
          <w:color w:val="auto"/>
          <w:kern w:val="0"/>
          <w:sz w:val="32"/>
          <w:szCs w:val="32"/>
          <w:highlight w:val="none"/>
        </w:rPr>
        <w:t>预算财政拨款收入支出决算表</w:t>
      </w:r>
      <w:r>
        <w:rPr>
          <w:rFonts w:hint="eastAsia" w:ascii="仿宋_GB2312" w:hAnsi="仿宋_GB2312" w:eastAsia="仿宋_GB2312" w:cs="仿宋_GB2312"/>
          <w:bCs/>
          <w:color w:val="auto"/>
          <w:kern w:val="0"/>
          <w:sz w:val="32"/>
          <w:szCs w:val="32"/>
          <w:highlight w:val="none"/>
          <w:lang w:eastAsia="zh-CN"/>
        </w:rPr>
        <w:t>》</w:t>
      </w:r>
    </w:p>
    <w:p w14:paraId="46BF77A5">
      <w:pPr>
        <w:keepNext w:val="0"/>
        <w:keepLines w:val="0"/>
        <w:pageBreakBefore w:val="0"/>
        <w:widowControl w:val="0"/>
        <w:kinsoku/>
        <w:wordWrap/>
        <w:overflowPunct/>
        <w:topLinePunct w:val="0"/>
        <w:autoSpaceDE/>
        <w:autoSpaceDN/>
        <w:bidi w:val="0"/>
        <w:adjustRightInd/>
        <w:snapToGrid/>
        <w:ind w:left="0" w:leftChars="0"/>
        <w:jc w:val="both"/>
        <w:textAlignment w:val="auto"/>
        <w:rPr>
          <w:color w:val="auto"/>
          <w:highlight w:val="none"/>
        </w:rPr>
      </w:pPr>
      <w:r>
        <w:rPr>
          <w:rFonts w:hint="eastAsia" w:ascii="仿宋_GB2312" w:hAnsi="仿宋_GB2312" w:eastAsia="仿宋_GB2312" w:cs="仿宋_GB2312"/>
          <w:color w:val="auto"/>
          <w:sz w:val="32"/>
          <w:szCs w:val="32"/>
          <w:highlight w:val="none"/>
        </w:rPr>
        <w:fldChar w:fldCharType="end"/>
      </w:r>
    </w:p>
    <w:p w14:paraId="77BFD445">
      <w:pPr>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br w:type="page"/>
      </w:r>
    </w:p>
    <w:p w14:paraId="22EDBE1B">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bookmarkStart w:id="0" w:name="_Toc24028"/>
      <w:bookmarkStart w:id="1" w:name="_Toc32314"/>
      <w:r>
        <w:rPr>
          <w:rFonts w:hint="eastAsia" w:ascii="黑体" w:hAnsi="黑体" w:eastAsia="黑体"/>
          <w:color w:val="auto"/>
          <w:sz w:val="32"/>
          <w:szCs w:val="32"/>
          <w:highlight w:val="none"/>
        </w:rPr>
        <w:t xml:space="preserve">第一部分 </w:t>
      </w:r>
      <w:r>
        <w:rPr>
          <w:rFonts w:hint="eastAsia" w:ascii="黑体" w:hAnsi="黑体" w:eastAsia="黑体"/>
          <w:color w:val="auto"/>
          <w:sz w:val="32"/>
          <w:szCs w:val="32"/>
          <w:highlight w:val="none"/>
          <w:lang w:eastAsia="zh-CN"/>
        </w:rPr>
        <w:t>单位</w:t>
      </w:r>
      <w:r>
        <w:rPr>
          <w:rFonts w:hint="eastAsia" w:ascii="黑体" w:hAnsi="黑体" w:eastAsia="黑体"/>
          <w:color w:val="auto"/>
          <w:sz w:val="32"/>
          <w:szCs w:val="32"/>
          <w:highlight w:val="none"/>
        </w:rPr>
        <w:t>概况</w:t>
      </w:r>
      <w:bookmarkEnd w:id="0"/>
      <w:bookmarkEnd w:id="1"/>
    </w:p>
    <w:p w14:paraId="32A8BFC6">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ascii="黑体" w:hAnsi="黑体" w:eastAsia="黑体" w:cs="宋体"/>
          <w:bCs/>
          <w:color w:val="auto"/>
          <w:kern w:val="0"/>
          <w:sz w:val="32"/>
          <w:szCs w:val="32"/>
          <w:highlight w:val="none"/>
        </w:rPr>
      </w:pPr>
      <w:bookmarkStart w:id="2" w:name="_Toc30738"/>
      <w:bookmarkStart w:id="3" w:name="_Toc30567"/>
      <w:r>
        <w:rPr>
          <w:rFonts w:hint="eastAsia" w:ascii="黑体" w:hAnsi="黑体" w:eastAsia="黑体" w:cs="宋体"/>
          <w:bCs/>
          <w:color w:val="auto"/>
          <w:kern w:val="0"/>
          <w:sz w:val="32"/>
          <w:szCs w:val="32"/>
          <w:highlight w:val="none"/>
        </w:rPr>
        <w:t>一、主要职能</w:t>
      </w:r>
      <w:bookmarkEnd w:id="2"/>
      <w:bookmarkEnd w:id="3"/>
    </w:p>
    <w:p w14:paraId="6971A1EA">
      <w:pPr>
        <w:ind w:firstLine="640" w:firstLineChars="200"/>
        <w:rPr>
          <w:rFonts w:ascii="黑体" w:hAnsi="黑体" w:eastAsia="黑体" w:cs="宋体"/>
          <w:bCs/>
          <w:kern w:val="0"/>
          <w:sz w:val="32"/>
          <w:szCs w:val="32"/>
        </w:rPr>
      </w:pPr>
      <w:bookmarkStart w:id="4" w:name="_Toc31238"/>
      <w:bookmarkStart w:id="5" w:name="_Toc2151"/>
      <w:r>
        <w:rPr>
          <w:rFonts w:ascii="仿宋_GB2312" w:eastAsia="仿宋_GB2312"/>
          <w:sz w:val="32"/>
          <w:szCs w:val="32"/>
        </w:rPr>
        <w:t>阿克苏公路管理局主要负责阿克苏地区国道、省道和管辖范围内专用公路的养护管理，负责阿克苏地区非经营性收费公路的运营与管理，负责阿克苏地区高速公路的监督与管理</w:t>
      </w:r>
      <w:r>
        <w:rPr>
          <w:rFonts w:hint="eastAsia" w:ascii="仿宋_GB2312" w:eastAsia="仿宋_GB2312"/>
          <w:sz w:val="32"/>
          <w:szCs w:val="32"/>
        </w:rPr>
        <w:t>。</w:t>
      </w:r>
    </w:p>
    <w:p w14:paraId="137B7FF2">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r>
        <w:rPr>
          <w:rFonts w:hint="eastAsia" w:ascii="黑体" w:hAnsi="黑体" w:eastAsia="黑体" w:cs="宋体"/>
          <w:bCs/>
          <w:color w:val="auto"/>
          <w:kern w:val="0"/>
          <w:sz w:val="32"/>
          <w:szCs w:val="32"/>
          <w:highlight w:val="none"/>
        </w:rPr>
        <w:t>二、机构设置</w:t>
      </w:r>
      <w:r>
        <w:rPr>
          <w:rFonts w:hint="eastAsia" w:ascii="黑体" w:hAnsi="黑体" w:eastAsia="黑体" w:cs="宋体"/>
          <w:bCs/>
          <w:color w:val="auto"/>
          <w:kern w:val="0"/>
          <w:sz w:val="32"/>
          <w:szCs w:val="32"/>
          <w:highlight w:val="none"/>
          <w:lang w:eastAsia="zh-CN"/>
        </w:rPr>
        <w:t>及</w:t>
      </w:r>
      <w:bookmarkEnd w:id="4"/>
      <w:r>
        <w:rPr>
          <w:rFonts w:hint="eastAsia" w:ascii="黑体" w:hAnsi="黑体" w:eastAsia="黑体" w:cs="宋体"/>
          <w:bCs/>
          <w:color w:val="auto"/>
          <w:kern w:val="0"/>
          <w:sz w:val="32"/>
          <w:szCs w:val="32"/>
          <w:highlight w:val="none"/>
          <w:lang w:eastAsia="zh-CN"/>
        </w:rPr>
        <w:t>人员</w:t>
      </w:r>
      <w:r>
        <w:rPr>
          <w:rFonts w:hint="eastAsia" w:ascii="黑体" w:hAnsi="黑体" w:eastAsia="黑体" w:cs="宋体"/>
          <w:bCs/>
          <w:color w:val="auto"/>
          <w:kern w:val="0"/>
          <w:sz w:val="32"/>
          <w:szCs w:val="32"/>
          <w:highlight w:val="none"/>
        </w:rPr>
        <w:t>情况</w:t>
      </w:r>
      <w:bookmarkEnd w:id="5"/>
    </w:p>
    <w:p w14:paraId="2760F1B6">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hAnsi="仿宋_GB2312" w:eastAsia="仿宋_GB2312" w:cs="仿宋_GB2312"/>
          <w:b/>
          <w:color w:val="auto"/>
          <w:sz w:val="32"/>
          <w:szCs w:val="32"/>
          <w:highlight w:val="none"/>
        </w:rPr>
      </w:pPr>
      <w:r>
        <w:rPr>
          <w:rFonts w:hint="eastAsia" w:ascii="仿宋_GB2312" w:eastAsia="仿宋_GB2312"/>
          <w:color w:val="auto"/>
          <w:sz w:val="32"/>
          <w:szCs w:val="32"/>
          <w:highlight w:val="none"/>
          <w:lang w:val="en-US" w:eastAsia="zh-CN"/>
        </w:rPr>
        <w:t>阿克苏公路管理局</w:t>
      </w:r>
      <w:r>
        <w:rPr>
          <w:rFonts w:hint="eastAsia" w:ascii="仿宋_GB2312" w:eastAsia="仿宋_GB2312"/>
          <w:color w:val="auto"/>
          <w:sz w:val="32"/>
          <w:szCs w:val="32"/>
          <w:highlight w:val="none"/>
          <w:lang w:eastAsia="zh-CN"/>
        </w:rPr>
        <w:t>2023年度，</w:t>
      </w:r>
      <w:r>
        <w:rPr>
          <w:rFonts w:hint="eastAsia" w:ascii="仿宋_GB2312" w:eastAsia="仿宋_GB2312"/>
          <w:color w:val="auto"/>
          <w:sz w:val="32"/>
          <w:szCs w:val="32"/>
          <w:highlight w:val="none"/>
        </w:rPr>
        <w:t>实有人数</w:t>
      </w:r>
      <w:r>
        <w:rPr>
          <w:rFonts w:hint="eastAsia" w:ascii="仿宋_GB2312" w:eastAsia="仿宋_GB2312"/>
          <w:color w:val="auto"/>
          <w:sz w:val="32"/>
          <w:szCs w:val="32"/>
          <w:highlight w:val="none"/>
          <w:lang w:val="zh-CN" w:eastAsia="zh-CN"/>
        </w:rPr>
        <w:t>1736</w:t>
      </w:r>
      <w:r>
        <w:rPr>
          <w:rFonts w:hint="eastAsia" w:ascii="仿宋_GB2312" w:eastAsia="仿宋_GB2312"/>
          <w:color w:val="auto"/>
          <w:sz w:val="32"/>
          <w:szCs w:val="32"/>
          <w:highlight w:val="none"/>
        </w:rPr>
        <w:t>人，其中：在职人员</w:t>
      </w:r>
      <w:r>
        <w:rPr>
          <w:rFonts w:hint="eastAsia" w:ascii="仿宋_GB2312" w:eastAsia="仿宋_GB2312"/>
          <w:color w:val="auto"/>
          <w:sz w:val="32"/>
          <w:szCs w:val="32"/>
          <w:highlight w:val="none"/>
          <w:lang w:val="zh-CN" w:eastAsia="zh-CN"/>
        </w:rPr>
        <w:t>692</w:t>
      </w:r>
      <w:r>
        <w:rPr>
          <w:rFonts w:hint="eastAsia" w:ascii="仿宋_GB2312" w:eastAsia="仿宋_GB2312"/>
          <w:color w:val="auto"/>
          <w:sz w:val="32"/>
          <w:szCs w:val="32"/>
          <w:highlight w:val="none"/>
        </w:rPr>
        <w:t>人</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离休人员</w:t>
      </w:r>
      <w:r>
        <w:rPr>
          <w:rFonts w:hint="eastAsia" w:ascii="仿宋_GB2312" w:eastAsia="仿宋_GB2312"/>
          <w:color w:val="auto"/>
          <w:sz w:val="32"/>
          <w:szCs w:val="32"/>
          <w:highlight w:val="none"/>
          <w:lang w:val="zh-CN" w:eastAsia="zh-CN"/>
        </w:rPr>
        <w:t>0</w:t>
      </w:r>
      <w:r>
        <w:rPr>
          <w:rFonts w:hint="eastAsia" w:ascii="仿宋_GB2312" w:eastAsia="仿宋_GB2312"/>
          <w:color w:val="auto"/>
          <w:sz w:val="32"/>
          <w:szCs w:val="32"/>
          <w:highlight w:val="none"/>
        </w:rPr>
        <w:t>人，退休人员</w:t>
      </w:r>
      <w:r>
        <w:rPr>
          <w:rFonts w:hint="eastAsia" w:ascii="仿宋_GB2312" w:eastAsia="仿宋_GB2312"/>
          <w:color w:val="auto"/>
          <w:sz w:val="32"/>
          <w:szCs w:val="32"/>
          <w:highlight w:val="none"/>
          <w:lang w:val="zh-CN" w:eastAsia="zh-CN"/>
        </w:rPr>
        <w:t>1044</w:t>
      </w:r>
      <w:r>
        <w:rPr>
          <w:rFonts w:hint="eastAsia" w:ascii="仿宋_GB2312" w:eastAsia="仿宋_GB2312"/>
          <w:color w:val="auto"/>
          <w:sz w:val="32"/>
          <w:szCs w:val="32"/>
          <w:highlight w:val="none"/>
        </w:rPr>
        <w:t>人。</w:t>
      </w:r>
    </w:p>
    <w:p w14:paraId="31BE49CC">
      <w:pPr>
        <w:ind w:firstLine="640" w:firstLineChars="200"/>
        <w:rPr>
          <w:rFonts w:ascii="仿宋_GB2312" w:eastAsia="仿宋_GB2312"/>
          <w:sz w:val="32"/>
          <w:szCs w:val="32"/>
        </w:rPr>
      </w:pPr>
      <w:r>
        <w:rPr>
          <w:rFonts w:hint="eastAsia" w:ascii="仿宋_GB2312" w:hAnsi="黑体" w:eastAsia="仿宋_GB2312" w:cs="宋体"/>
          <w:bCs/>
          <w:kern w:val="0"/>
          <w:sz w:val="32"/>
          <w:szCs w:val="32"/>
        </w:rPr>
        <w:t>单位无下属预算单位，下设</w:t>
      </w:r>
      <w:r>
        <w:rPr>
          <w:rFonts w:hint="eastAsia" w:ascii="仿宋_GB2312" w:eastAsia="仿宋_GB2312"/>
          <w:sz w:val="32"/>
          <w:szCs w:val="32"/>
        </w:rPr>
        <w:t>13</w:t>
      </w:r>
      <w:r>
        <w:rPr>
          <w:rFonts w:hint="eastAsia" w:ascii="仿宋_GB2312" w:hAnsi="黑体" w:eastAsia="仿宋_GB2312" w:cs="宋体"/>
          <w:bCs/>
          <w:kern w:val="0"/>
          <w:sz w:val="32"/>
          <w:szCs w:val="32"/>
        </w:rPr>
        <w:t>个</w:t>
      </w:r>
      <w:r>
        <w:rPr>
          <w:rFonts w:hint="eastAsia" w:ascii="仿宋_GB2312" w:hAnsi="黑体" w:eastAsia="仿宋_GB2312" w:cs="宋体"/>
          <w:bCs/>
          <w:color w:val="auto"/>
          <w:kern w:val="0"/>
          <w:sz w:val="32"/>
          <w:szCs w:val="32"/>
        </w:rPr>
        <w:t>处室</w:t>
      </w:r>
      <w:r>
        <w:rPr>
          <w:rFonts w:hint="eastAsia" w:ascii="仿宋_GB2312" w:hAnsi="黑体" w:eastAsia="仿宋_GB2312" w:cs="宋体"/>
          <w:bCs/>
          <w:kern w:val="0"/>
          <w:sz w:val="32"/>
          <w:szCs w:val="32"/>
        </w:rPr>
        <w:t>，分别是：办公室（党委办公室）、组织人事科、财务审计科、养护管理科、收费稽查科、设备管理科、劳动保障科、安全监督保卫科、监控通讯科、纪委监察室、离退休管理科、工会、后勤服务科</w:t>
      </w:r>
      <w:r>
        <w:rPr>
          <w:rFonts w:hint="eastAsia" w:ascii="仿宋_GB2312" w:hAnsi="宋体" w:eastAsia="仿宋_GB2312" w:cs="宋体"/>
          <w:kern w:val="0"/>
          <w:sz w:val="32"/>
          <w:szCs w:val="32"/>
        </w:rPr>
        <w:t>。</w:t>
      </w:r>
    </w:p>
    <w:p w14:paraId="6C712B4D">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hAnsi="宋体" w:eastAsia="仿宋_GB2312" w:cs="宋体"/>
          <w:color w:val="00B0F0"/>
          <w:kern w:val="0"/>
          <w:sz w:val="32"/>
          <w:szCs w:val="32"/>
          <w:highlight w:val="none"/>
        </w:rPr>
        <w:sectPr>
          <w:footerReference r:id="rId3" w:type="default"/>
          <w:pgSz w:w="11906" w:h="16838"/>
          <w:pgMar w:top="1440" w:right="1800" w:bottom="1440" w:left="1800" w:header="851" w:footer="992" w:gutter="0"/>
          <w:cols w:space="720" w:num="1"/>
          <w:docGrid w:type="lines" w:linePitch="312" w:charSpace="0"/>
        </w:sectPr>
      </w:pPr>
    </w:p>
    <w:p w14:paraId="0A8A83BC">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bookmarkStart w:id="6" w:name="_Toc3092"/>
      <w:bookmarkStart w:id="7" w:name="_Toc29374"/>
      <w:r>
        <w:rPr>
          <w:rFonts w:hint="eastAsia" w:ascii="黑体" w:hAnsi="黑体" w:eastAsia="黑体"/>
          <w:color w:val="auto"/>
          <w:sz w:val="32"/>
          <w:szCs w:val="32"/>
          <w:highlight w:val="none"/>
        </w:rPr>
        <w:t>第</w:t>
      </w:r>
      <w:r>
        <w:rPr>
          <w:rFonts w:hint="eastAsia" w:ascii="黑体" w:hAnsi="黑体" w:eastAsia="黑体"/>
          <w:color w:val="auto"/>
          <w:sz w:val="32"/>
          <w:szCs w:val="32"/>
          <w:highlight w:val="none"/>
          <w:lang w:val="en-US" w:eastAsia="zh-CN"/>
        </w:rPr>
        <w:t>二</w:t>
      </w:r>
      <w:r>
        <w:rPr>
          <w:rFonts w:hint="eastAsia" w:ascii="黑体" w:hAnsi="黑体" w:eastAsia="黑体"/>
          <w:color w:val="auto"/>
          <w:sz w:val="32"/>
          <w:szCs w:val="32"/>
          <w:highlight w:val="none"/>
        </w:rPr>
        <w:t>部分 部门决算情况说明</w:t>
      </w:r>
      <w:bookmarkEnd w:id="6"/>
      <w:bookmarkEnd w:id="7"/>
    </w:p>
    <w:p w14:paraId="228228D7">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8" w:name="_Toc12566"/>
      <w:bookmarkStart w:id="9" w:name="_Toc25314"/>
      <w:r>
        <w:rPr>
          <w:rFonts w:hint="eastAsia" w:ascii="黑体" w:hAnsi="黑体" w:eastAsia="黑体" w:cs="宋体"/>
          <w:bCs/>
          <w:color w:val="auto"/>
          <w:kern w:val="0"/>
          <w:sz w:val="32"/>
          <w:szCs w:val="32"/>
          <w:highlight w:val="none"/>
        </w:rPr>
        <w:t>一、收入支出决算总体情况说明</w:t>
      </w:r>
      <w:bookmarkEnd w:id="8"/>
      <w:bookmarkEnd w:id="9"/>
    </w:p>
    <w:p w14:paraId="43ACD491">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pacing w:val="0"/>
          <w:sz w:val="32"/>
          <w:szCs w:val="32"/>
          <w:highlight w:val="none"/>
          <w:lang w:eastAsia="zh-CN"/>
        </w:rPr>
      </w:pPr>
      <w:r>
        <w:rPr>
          <w:rFonts w:hint="eastAsia" w:ascii="仿宋_GB2312" w:eastAsia="仿宋_GB2312"/>
          <w:color w:val="auto"/>
          <w:spacing w:val="0"/>
          <w:sz w:val="32"/>
          <w:szCs w:val="32"/>
          <w:highlight w:val="none"/>
          <w:lang w:eastAsia="zh-CN"/>
        </w:rPr>
        <w:t>2023年度</w:t>
      </w:r>
      <w:r>
        <w:rPr>
          <w:rFonts w:hint="eastAsia" w:ascii="仿宋_GB2312" w:eastAsia="仿宋_GB2312"/>
          <w:color w:val="auto"/>
          <w:spacing w:val="0"/>
          <w:sz w:val="32"/>
          <w:szCs w:val="32"/>
          <w:highlight w:val="none"/>
          <w:lang w:val="en-US" w:eastAsia="zh-CN"/>
        </w:rPr>
        <w:t>收入总计</w:t>
      </w:r>
      <w:r>
        <w:rPr>
          <w:rFonts w:hint="eastAsia" w:ascii="仿宋_GB2312" w:eastAsia="仿宋_GB2312"/>
          <w:color w:val="auto"/>
          <w:spacing w:val="0"/>
          <w:sz w:val="32"/>
          <w:szCs w:val="32"/>
          <w:highlight w:val="none"/>
          <w:lang w:eastAsia="zh-CN"/>
        </w:rPr>
        <w:t>25,071.07万元，</w:t>
      </w:r>
      <w:r>
        <w:rPr>
          <w:rFonts w:hint="eastAsia" w:ascii="仿宋_GB2312" w:eastAsia="仿宋_GB2312"/>
          <w:color w:val="auto"/>
          <w:spacing w:val="0"/>
          <w:sz w:val="32"/>
          <w:szCs w:val="32"/>
          <w:highlight w:val="none"/>
          <w:lang w:val="en-US" w:eastAsia="zh-CN"/>
        </w:rPr>
        <w:t>其中：本年收入合计</w:t>
      </w:r>
      <w:r>
        <w:rPr>
          <w:rFonts w:hint="eastAsia" w:ascii="仿宋_GB2312" w:eastAsia="仿宋_GB2312"/>
          <w:color w:val="auto"/>
          <w:spacing w:val="0"/>
          <w:sz w:val="32"/>
          <w:szCs w:val="32"/>
          <w:highlight w:val="none"/>
          <w:lang w:eastAsia="zh-CN"/>
        </w:rPr>
        <w:t>25,049.38万元，使用非财政拨款结余21.69万元，年初结转和结余0.00万元。</w:t>
      </w:r>
    </w:p>
    <w:p w14:paraId="0B635B68">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pacing w:val="0"/>
          <w:sz w:val="32"/>
          <w:szCs w:val="32"/>
          <w:highlight w:val="none"/>
          <w:lang w:eastAsia="zh-CN"/>
        </w:rPr>
      </w:pPr>
      <w:r>
        <w:rPr>
          <w:rFonts w:hint="eastAsia" w:ascii="仿宋_GB2312" w:eastAsia="仿宋_GB2312"/>
          <w:color w:val="auto"/>
          <w:spacing w:val="0"/>
          <w:sz w:val="32"/>
          <w:szCs w:val="32"/>
          <w:highlight w:val="none"/>
          <w:lang w:val="en-US" w:eastAsia="zh-CN"/>
        </w:rPr>
        <w:t>2023</w:t>
      </w:r>
      <w:r>
        <w:rPr>
          <w:rFonts w:hint="eastAsia" w:ascii="仿宋_GB2312" w:eastAsia="仿宋_GB2312"/>
          <w:color w:val="auto"/>
          <w:spacing w:val="0"/>
          <w:sz w:val="32"/>
          <w:szCs w:val="32"/>
          <w:highlight w:val="none"/>
          <w:lang w:eastAsia="zh-CN"/>
        </w:rPr>
        <w:t>年</w:t>
      </w:r>
      <w:r>
        <w:rPr>
          <w:rFonts w:hint="eastAsia" w:ascii="仿宋_GB2312" w:eastAsia="仿宋_GB2312"/>
          <w:color w:val="auto"/>
          <w:spacing w:val="0"/>
          <w:sz w:val="32"/>
          <w:szCs w:val="32"/>
          <w:highlight w:val="none"/>
          <w:lang w:val="en-US" w:eastAsia="zh-CN"/>
        </w:rPr>
        <w:t>度</w:t>
      </w:r>
      <w:r>
        <w:rPr>
          <w:rFonts w:hint="eastAsia" w:ascii="仿宋_GB2312" w:eastAsia="仿宋_GB2312"/>
          <w:color w:val="auto"/>
          <w:spacing w:val="0"/>
          <w:sz w:val="32"/>
          <w:szCs w:val="32"/>
          <w:highlight w:val="none"/>
          <w:lang w:eastAsia="zh-CN"/>
        </w:rPr>
        <w:t>支出</w:t>
      </w:r>
      <w:r>
        <w:rPr>
          <w:rFonts w:hint="eastAsia" w:ascii="仿宋_GB2312" w:eastAsia="仿宋_GB2312"/>
          <w:color w:val="auto"/>
          <w:spacing w:val="0"/>
          <w:sz w:val="32"/>
          <w:szCs w:val="32"/>
          <w:highlight w:val="none"/>
          <w:lang w:val="en-US" w:eastAsia="zh-CN"/>
        </w:rPr>
        <w:t>总计</w:t>
      </w:r>
      <w:r>
        <w:rPr>
          <w:rFonts w:hint="eastAsia" w:ascii="仿宋_GB2312" w:eastAsia="仿宋_GB2312"/>
          <w:color w:val="auto"/>
          <w:spacing w:val="0"/>
          <w:sz w:val="32"/>
          <w:szCs w:val="32"/>
          <w:highlight w:val="none"/>
          <w:lang w:eastAsia="zh-CN"/>
        </w:rPr>
        <w:t>25,071.07万元，</w:t>
      </w:r>
      <w:r>
        <w:rPr>
          <w:rFonts w:hint="eastAsia" w:ascii="仿宋_GB2312" w:eastAsia="仿宋_GB2312"/>
          <w:color w:val="auto"/>
          <w:spacing w:val="0"/>
          <w:sz w:val="32"/>
          <w:szCs w:val="32"/>
          <w:highlight w:val="none"/>
          <w:lang w:val="en-US" w:eastAsia="zh-CN"/>
        </w:rPr>
        <w:t>其中：本年支出合计</w:t>
      </w:r>
      <w:r>
        <w:rPr>
          <w:rFonts w:hint="eastAsia" w:ascii="仿宋_GB2312" w:eastAsia="仿宋_GB2312"/>
          <w:color w:val="auto"/>
          <w:spacing w:val="0"/>
          <w:sz w:val="32"/>
          <w:szCs w:val="32"/>
          <w:highlight w:val="none"/>
          <w:lang w:eastAsia="zh-CN"/>
        </w:rPr>
        <w:t>25,071.07万元，</w:t>
      </w:r>
      <w:r>
        <w:rPr>
          <w:rFonts w:hint="eastAsia" w:ascii="仿宋_GB2312" w:eastAsia="仿宋_GB2312"/>
          <w:color w:val="auto"/>
          <w:spacing w:val="0"/>
          <w:sz w:val="32"/>
          <w:szCs w:val="32"/>
          <w:highlight w:val="none"/>
          <w:lang w:val="en-US" w:eastAsia="zh-CN"/>
        </w:rPr>
        <w:t>结余分配</w:t>
      </w:r>
      <w:r>
        <w:rPr>
          <w:rFonts w:hint="eastAsia" w:ascii="仿宋_GB2312" w:eastAsia="仿宋_GB2312"/>
          <w:color w:val="auto"/>
          <w:spacing w:val="0"/>
          <w:sz w:val="32"/>
          <w:szCs w:val="32"/>
          <w:highlight w:val="none"/>
          <w:lang w:eastAsia="zh-CN"/>
        </w:rPr>
        <w:t>0.00万元，年末结转和结余0.00万元。</w:t>
      </w:r>
    </w:p>
    <w:p w14:paraId="683CD7CD">
      <w:pPr>
        <w:ind w:firstLine="640" w:firstLineChars="200"/>
        <w:rPr>
          <w:rFonts w:ascii="仿宋_GB2312" w:eastAsia="仿宋_GB2312"/>
          <w:color w:val="auto"/>
          <w:sz w:val="32"/>
          <w:szCs w:val="32"/>
        </w:rPr>
      </w:pPr>
      <w:r>
        <w:rPr>
          <w:rFonts w:hint="eastAsia" w:ascii="仿宋_GB2312" w:eastAsia="仿宋_GB2312"/>
          <w:color w:val="auto"/>
          <w:spacing w:val="0"/>
          <w:sz w:val="32"/>
          <w:szCs w:val="32"/>
          <w:highlight w:val="none"/>
          <w:lang w:val="en-US" w:eastAsia="zh-CN"/>
        </w:rPr>
        <w:t>收入支出总体与上年相比</w:t>
      </w:r>
      <w:r>
        <w:rPr>
          <w:rFonts w:hint="eastAsia" w:ascii="仿宋_GB2312" w:eastAsia="仿宋_GB2312"/>
          <w:color w:val="auto"/>
          <w:spacing w:val="0"/>
          <w:sz w:val="32"/>
          <w:szCs w:val="32"/>
          <w:highlight w:val="none"/>
          <w:lang w:eastAsia="zh-CN"/>
        </w:rPr>
        <w:t>，</w:t>
      </w:r>
      <w:r>
        <w:rPr>
          <w:rFonts w:hint="eastAsia" w:ascii="仿宋_GB2312" w:eastAsia="仿宋_GB2312"/>
          <w:color w:val="auto"/>
          <w:spacing w:val="0"/>
          <w:sz w:val="32"/>
          <w:szCs w:val="32"/>
          <w:highlight w:val="none"/>
          <w:lang w:val="zh-CN" w:eastAsia="zh-CN"/>
        </w:rPr>
        <w:t>减少3,422.76万元</w:t>
      </w:r>
      <w:r>
        <w:rPr>
          <w:rFonts w:hint="eastAsia" w:ascii="仿宋_GB2312" w:eastAsia="仿宋_GB2312"/>
          <w:color w:val="auto"/>
          <w:spacing w:val="0"/>
          <w:sz w:val="32"/>
          <w:szCs w:val="32"/>
          <w:highlight w:val="none"/>
          <w:lang w:eastAsia="zh-CN"/>
        </w:rPr>
        <w:t>，下降12.01%，主要原因是：</w:t>
      </w:r>
      <w:r>
        <w:rPr>
          <w:rFonts w:hint="eastAsia" w:ascii="仿宋_GB2312" w:eastAsia="仿宋_GB2312"/>
          <w:color w:val="auto"/>
          <w:sz w:val="32"/>
          <w:szCs w:val="32"/>
          <w:lang w:eastAsia="zh-CN"/>
        </w:rPr>
        <w:t>在职职工人员减少，导致</w:t>
      </w:r>
      <w:r>
        <w:rPr>
          <w:rFonts w:hint="eastAsia" w:ascii="仿宋_GB2312" w:eastAsia="仿宋_GB2312"/>
          <w:color w:val="auto"/>
          <w:sz w:val="32"/>
          <w:szCs w:val="32"/>
        </w:rPr>
        <w:t>职工基本工资、艰边津贴、基础绩效奖、社会保障缴费、住房公积金</w:t>
      </w:r>
      <w:r>
        <w:rPr>
          <w:rFonts w:hint="eastAsia" w:ascii="仿宋_GB2312" w:eastAsia="仿宋_GB2312"/>
          <w:color w:val="auto"/>
          <w:sz w:val="32"/>
          <w:szCs w:val="32"/>
          <w:lang w:eastAsia="zh-CN"/>
        </w:rPr>
        <w:t>、公用经费</w:t>
      </w:r>
      <w:r>
        <w:rPr>
          <w:rFonts w:hint="eastAsia" w:ascii="仿宋_GB2312" w:eastAsia="仿宋_GB2312"/>
          <w:color w:val="auto"/>
          <w:sz w:val="32"/>
          <w:szCs w:val="32"/>
        </w:rPr>
        <w:t>等收入</w:t>
      </w:r>
      <w:r>
        <w:rPr>
          <w:rFonts w:hint="eastAsia" w:ascii="仿宋_GB2312" w:eastAsia="仿宋_GB2312"/>
          <w:color w:val="auto"/>
          <w:sz w:val="32"/>
          <w:szCs w:val="32"/>
          <w:lang w:eastAsia="zh-CN"/>
        </w:rPr>
        <w:t>减少，</w:t>
      </w:r>
      <w:r>
        <w:rPr>
          <w:rFonts w:hint="eastAsia" w:ascii="仿宋_GB2312" w:eastAsia="仿宋_GB2312"/>
          <w:color w:val="auto"/>
          <w:sz w:val="32"/>
          <w:szCs w:val="32"/>
          <w:lang w:val="en-US" w:eastAsia="zh-CN"/>
        </w:rPr>
        <w:t>2023年度项目预算收入减少</w:t>
      </w:r>
      <w:r>
        <w:rPr>
          <w:rFonts w:hint="eastAsia" w:ascii="仿宋_GB2312" w:eastAsia="仿宋_GB2312"/>
          <w:color w:val="auto"/>
          <w:sz w:val="32"/>
          <w:szCs w:val="32"/>
        </w:rPr>
        <w:t>。</w:t>
      </w:r>
    </w:p>
    <w:p w14:paraId="0FE807C9">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rPr>
      </w:pPr>
      <w:bookmarkStart w:id="10" w:name="_Toc12142"/>
      <w:bookmarkStart w:id="11" w:name="_Toc1979"/>
      <w:r>
        <w:rPr>
          <w:rFonts w:hint="eastAsia" w:ascii="黑体" w:hAnsi="黑体" w:eastAsia="黑体" w:cs="宋体"/>
          <w:bCs/>
          <w:color w:val="auto"/>
          <w:kern w:val="0"/>
          <w:sz w:val="32"/>
          <w:szCs w:val="32"/>
          <w:highlight w:val="none"/>
          <w:lang w:eastAsia="zh-CN"/>
        </w:rPr>
        <w:t>二、</w:t>
      </w:r>
      <w:r>
        <w:rPr>
          <w:rFonts w:hint="eastAsia" w:ascii="黑体" w:hAnsi="黑体" w:eastAsia="黑体" w:cs="宋体"/>
          <w:bCs/>
          <w:color w:val="auto"/>
          <w:kern w:val="0"/>
          <w:sz w:val="32"/>
          <w:szCs w:val="32"/>
          <w:highlight w:val="none"/>
        </w:rPr>
        <w:t>收入</w:t>
      </w:r>
      <w:r>
        <w:rPr>
          <w:rFonts w:hint="eastAsia" w:ascii="黑体" w:hAnsi="黑体" w:eastAsia="黑体" w:cs="宋体"/>
          <w:bCs/>
          <w:color w:val="auto"/>
          <w:kern w:val="0"/>
          <w:sz w:val="32"/>
          <w:szCs w:val="32"/>
          <w:highlight w:val="none"/>
          <w:lang w:eastAsia="zh-CN"/>
        </w:rPr>
        <w:t>决算</w:t>
      </w:r>
      <w:r>
        <w:rPr>
          <w:rFonts w:hint="eastAsia" w:ascii="黑体" w:hAnsi="黑体" w:eastAsia="黑体" w:cs="宋体"/>
          <w:bCs/>
          <w:color w:val="auto"/>
          <w:kern w:val="0"/>
          <w:sz w:val="32"/>
          <w:szCs w:val="32"/>
          <w:highlight w:val="none"/>
        </w:rPr>
        <w:t>情况说明</w:t>
      </w:r>
      <w:bookmarkEnd w:id="10"/>
      <w:bookmarkEnd w:id="11"/>
    </w:p>
    <w:p w14:paraId="3CA9BD30">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本年收入</w:t>
      </w:r>
      <w:r>
        <w:rPr>
          <w:rFonts w:hint="eastAsia" w:ascii="仿宋_GB2312" w:eastAsia="仿宋_GB2312"/>
          <w:color w:val="auto"/>
          <w:sz w:val="32"/>
          <w:szCs w:val="32"/>
          <w:highlight w:val="none"/>
          <w:lang w:eastAsia="zh-CN"/>
        </w:rPr>
        <w:t>25,049.38</w:t>
      </w:r>
      <w:r>
        <w:rPr>
          <w:rFonts w:hint="eastAsia" w:ascii="仿宋_GB2312" w:eastAsia="仿宋_GB2312"/>
          <w:color w:val="auto"/>
          <w:sz w:val="32"/>
          <w:szCs w:val="32"/>
          <w:highlight w:val="none"/>
        </w:rPr>
        <w:t>万元，其中：财政拨款收入</w:t>
      </w:r>
      <w:r>
        <w:rPr>
          <w:rFonts w:hint="eastAsia" w:ascii="仿宋_GB2312" w:eastAsia="仿宋_GB2312"/>
          <w:color w:val="auto"/>
          <w:sz w:val="32"/>
          <w:szCs w:val="32"/>
          <w:highlight w:val="none"/>
          <w:lang w:val="zh-CN"/>
        </w:rPr>
        <w:t>24,979.01</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99.72</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；上级补助收入</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；事业收入</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；经营收入</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附属单位上缴收入</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；其他收入</w:t>
      </w:r>
      <w:r>
        <w:rPr>
          <w:rFonts w:hint="eastAsia" w:ascii="仿宋_GB2312" w:eastAsia="仿宋_GB2312"/>
          <w:color w:val="auto"/>
          <w:sz w:val="32"/>
          <w:szCs w:val="32"/>
          <w:highlight w:val="none"/>
          <w:lang w:val="zh-CN"/>
        </w:rPr>
        <w:t>70.36</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0.28</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w:t>
      </w:r>
    </w:p>
    <w:p w14:paraId="0FD40DFD">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12" w:name="_Toc27961"/>
      <w:bookmarkStart w:id="13" w:name="_Toc13201"/>
      <w:r>
        <w:rPr>
          <w:rFonts w:hint="eastAsia" w:ascii="黑体" w:hAnsi="黑体" w:eastAsia="黑体" w:cs="宋体"/>
          <w:bCs/>
          <w:color w:val="auto"/>
          <w:kern w:val="0"/>
          <w:sz w:val="32"/>
          <w:szCs w:val="32"/>
          <w:highlight w:val="none"/>
          <w:lang w:eastAsia="zh-CN"/>
        </w:rPr>
        <w:t>三、支出决算情况说明</w:t>
      </w:r>
      <w:bookmarkEnd w:id="12"/>
      <w:bookmarkEnd w:id="13"/>
    </w:p>
    <w:p w14:paraId="229A3ABD">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仿宋_GB2312" w:cs="仿宋_GB2312"/>
          <w:color w:val="auto"/>
          <w:sz w:val="30"/>
          <w:szCs w:val="30"/>
          <w:highlight w:val="none"/>
          <w:lang w:val="zh-CN" w:eastAsia="zh-CN"/>
        </w:rPr>
      </w:pPr>
      <w:r>
        <w:rPr>
          <w:rFonts w:hint="eastAsia" w:ascii="Times New Roman" w:hAnsi="Times New Roman" w:eastAsia="仿宋_GB2312" w:cs="仿宋_GB2312"/>
          <w:color w:val="auto"/>
          <w:sz w:val="32"/>
          <w:szCs w:val="32"/>
          <w:highlight w:val="none"/>
          <w:lang w:val="zh-CN" w:eastAsia="zh-CN"/>
        </w:rPr>
        <w:t>本年支出25,071.07万元，其中：基本支出20,432.09万元，占81.50%；项目支出4,638.98万元，占18.50%；上缴上级支出0.00万元，占0.00%；经营支出0.00万元，占0.00%；对附属单位补助支出0.00万元，占0.00%。</w:t>
      </w:r>
    </w:p>
    <w:p w14:paraId="6F7051A9">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14" w:name="_Toc26564"/>
      <w:bookmarkStart w:id="15" w:name="_Toc4393"/>
      <w:r>
        <w:rPr>
          <w:rFonts w:hint="eastAsia" w:ascii="黑体" w:hAnsi="黑体" w:eastAsia="黑体" w:cs="宋体"/>
          <w:bCs/>
          <w:color w:val="auto"/>
          <w:kern w:val="0"/>
          <w:sz w:val="32"/>
          <w:szCs w:val="32"/>
          <w:highlight w:val="none"/>
          <w:lang w:eastAsia="zh-CN"/>
        </w:rPr>
        <w:t>四、财政拨款收入支出决算总体情况说明</w:t>
      </w:r>
      <w:bookmarkEnd w:id="14"/>
      <w:bookmarkEnd w:id="15"/>
    </w:p>
    <w:p w14:paraId="616AC3B0">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pacing w:val="0"/>
          <w:sz w:val="32"/>
          <w:szCs w:val="32"/>
          <w:highlight w:val="none"/>
          <w:lang w:eastAsia="zh-CN"/>
        </w:rPr>
      </w:pPr>
      <w:r>
        <w:rPr>
          <w:rFonts w:hint="eastAsia" w:ascii="仿宋_GB2312" w:eastAsia="仿宋_GB2312"/>
          <w:color w:val="auto"/>
          <w:spacing w:val="0"/>
          <w:sz w:val="32"/>
          <w:szCs w:val="32"/>
          <w:highlight w:val="none"/>
          <w:lang w:eastAsia="zh-CN"/>
        </w:rPr>
        <w:t>2023年度财政拨款收入</w:t>
      </w:r>
      <w:r>
        <w:rPr>
          <w:rFonts w:hint="eastAsia" w:ascii="仿宋_GB2312" w:eastAsia="仿宋_GB2312"/>
          <w:color w:val="auto"/>
          <w:spacing w:val="0"/>
          <w:sz w:val="32"/>
          <w:szCs w:val="32"/>
          <w:highlight w:val="none"/>
          <w:lang w:val="en-US" w:eastAsia="zh-CN"/>
        </w:rPr>
        <w:t>总计</w:t>
      </w:r>
      <w:r>
        <w:rPr>
          <w:rFonts w:hint="eastAsia" w:ascii="仿宋_GB2312" w:eastAsia="仿宋_GB2312"/>
          <w:color w:val="auto"/>
          <w:spacing w:val="0"/>
          <w:sz w:val="32"/>
          <w:szCs w:val="32"/>
          <w:highlight w:val="none"/>
          <w:lang w:val="zh-CN" w:eastAsia="zh-CN"/>
        </w:rPr>
        <w:t>24,979.01</w:t>
      </w:r>
      <w:r>
        <w:rPr>
          <w:rFonts w:hint="eastAsia" w:ascii="仿宋_GB2312" w:eastAsia="仿宋_GB2312"/>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其中：年初财政拨款结转和结余</w:t>
      </w:r>
      <w:r>
        <w:rPr>
          <w:rFonts w:hint="eastAsia" w:ascii="仿宋_GB2312" w:eastAsia="仿宋_GB2312"/>
          <w:color w:val="auto"/>
          <w:spacing w:val="0"/>
          <w:sz w:val="32"/>
          <w:szCs w:val="32"/>
          <w:highlight w:val="none"/>
          <w:lang w:val="zh-CN" w:eastAsia="zh-CN"/>
        </w:rPr>
        <w:t>0.00</w:t>
      </w:r>
      <w:r>
        <w:rPr>
          <w:rFonts w:hint="eastAsia" w:ascii="仿宋_GB2312" w:eastAsia="仿宋_GB2312"/>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本年财政拨款收入</w:t>
      </w:r>
      <w:r>
        <w:rPr>
          <w:rFonts w:hint="eastAsia" w:ascii="仿宋_GB2312" w:eastAsia="仿宋_GB2312"/>
          <w:color w:val="auto"/>
          <w:spacing w:val="0"/>
          <w:sz w:val="32"/>
          <w:szCs w:val="32"/>
          <w:highlight w:val="none"/>
          <w:lang w:val="zh-CN" w:eastAsia="zh-CN"/>
        </w:rPr>
        <w:t>24,979.01</w:t>
      </w:r>
      <w:r>
        <w:rPr>
          <w:rFonts w:hint="eastAsia" w:ascii="仿宋_GB2312" w:eastAsia="仿宋_GB2312"/>
          <w:color w:val="auto"/>
          <w:spacing w:val="0"/>
          <w:sz w:val="32"/>
          <w:szCs w:val="32"/>
          <w:highlight w:val="none"/>
          <w:lang w:eastAsia="zh-CN"/>
        </w:rPr>
        <w:t>万元。财政拨款支出</w:t>
      </w:r>
      <w:r>
        <w:rPr>
          <w:rFonts w:hint="eastAsia" w:ascii="仿宋_GB2312" w:eastAsia="仿宋_GB2312"/>
          <w:color w:val="auto"/>
          <w:spacing w:val="0"/>
          <w:sz w:val="32"/>
          <w:szCs w:val="32"/>
          <w:highlight w:val="none"/>
          <w:lang w:val="en-US" w:eastAsia="zh-CN"/>
        </w:rPr>
        <w:t>总计</w:t>
      </w:r>
      <w:r>
        <w:rPr>
          <w:rFonts w:hint="eastAsia" w:ascii="仿宋_GB2312" w:eastAsia="仿宋_GB2312"/>
          <w:color w:val="auto"/>
          <w:spacing w:val="0"/>
          <w:sz w:val="32"/>
          <w:szCs w:val="32"/>
          <w:highlight w:val="none"/>
          <w:lang w:val="zh-CN" w:eastAsia="zh-CN"/>
        </w:rPr>
        <w:t>24,979.01</w:t>
      </w:r>
      <w:r>
        <w:rPr>
          <w:rFonts w:hint="eastAsia" w:ascii="仿宋_GB2312" w:eastAsia="仿宋_GB2312"/>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其中：年末财政拨款结转和结余</w:t>
      </w:r>
      <w:r>
        <w:rPr>
          <w:rFonts w:hint="eastAsia" w:ascii="仿宋_GB2312" w:eastAsia="仿宋_GB2312"/>
          <w:color w:val="auto"/>
          <w:spacing w:val="0"/>
          <w:sz w:val="32"/>
          <w:szCs w:val="32"/>
          <w:highlight w:val="none"/>
          <w:lang w:val="zh-CN" w:eastAsia="zh-CN"/>
        </w:rPr>
        <w:t>0.00</w:t>
      </w:r>
      <w:r>
        <w:rPr>
          <w:rFonts w:hint="eastAsia" w:ascii="仿宋_GB2312" w:eastAsia="仿宋_GB2312"/>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本年财政拨款支出</w:t>
      </w:r>
      <w:r>
        <w:rPr>
          <w:rFonts w:hint="eastAsia" w:ascii="仿宋_GB2312" w:eastAsia="仿宋_GB2312"/>
          <w:color w:val="auto"/>
          <w:spacing w:val="0"/>
          <w:sz w:val="32"/>
          <w:szCs w:val="32"/>
          <w:highlight w:val="none"/>
          <w:lang w:val="zh-CN" w:eastAsia="zh-CN"/>
        </w:rPr>
        <w:t>24,979.01</w:t>
      </w:r>
      <w:r>
        <w:rPr>
          <w:rFonts w:hint="eastAsia" w:ascii="仿宋_GB2312" w:eastAsia="仿宋_GB2312"/>
          <w:color w:val="auto"/>
          <w:spacing w:val="0"/>
          <w:sz w:val="32"/>
          <w:szCs w:val="32"/>
          <w:highlight w:val="none"/>
          <w:lang w:eastAsia="zh-CN"/>
        </w:rPr>
        <w:t>万元。</w:t>
      </w:r>
    </w:p>
    <w:p w14:paraId="7B1AB479">
      <w:pPr>
        <w:ind w:firstLine="640" w:firstLineChars="200"/>
        <w:rPr>
          <w:rFonts w:hint="eastAsia" w:ascii="仿宋_GB2312" w:eastAsia="仿宋_GB2312"/>
          <w:color w:val="auto"/>
          <w:sz w:val="32"/>
          <w:szCs w:val="32"/>
        </w:rPr>
      </w:pPr>
      <w:r>
        <w:rPr>
          <w:rFonts w:hint="eastAsia" w:ascii="仿宋_GB2312" w:eastAsia="仿宋_GB2312"/>
          <w:color w:val="auto"/>
          <w:spacing w:val="0"/>
          <w:sz w:val="32"/>
          <w:szCs w:val="32"/>
          <w:highlight w:val="none"/>
          <w:lang w:eastAsia="zh-CN"/>
        </w:rPr>
        <w:t>财政拨款收入支出总体与上年相比</w:t>
      </w:r>
      <w:r>
        <w:rPr>
          <w:rFonts w:hint="eastAsia" w:ascii="仿宋_GB2312" w:eastAsia="仿宋_GB2312"/>
          <w:color w:val="auto"/>
          <w:spacing w:val="0"/>
          <w:sz w:val="32"/>
          <w:szCs w:val="32"/>
          <w:highlight w:val="none"/>
          <w:lang w:val="en-US" w:eastAsia="zh-CN"/>
        </w:rPr>
        <w:t>,</w:t>
      </w:r>
      <w:r>
        <w:rPr>
          <w:rFonts w:hint="eastAsia" w:ascii="仿宋_GB2312" w:eastAsia="仿宋_GB2312"/>
          <w:color w:val="auto"/>
          <w:spacing w:val="0"/>
          <w:sz w:val="32"/>
          <w:szCs w:val="32"/>
          <w:highlight w:val="none"/>
          <w:lang w:val="zh-CN" w:eastAsia="zh-CN"/>
        </w:rPr>
        <w:t>减少3,150.09万元</w:t>
      </w:r>
      <w:r>
        <w:rPr>
          <w:rFonts w:hint="eastAsia" w:ascii="仿宋_GB2312" w:eastAsia="仿宋_GB2312"/>
          <w:color w:val="auto"/>
          <w:spacing w:val="0"/>
          <w:sz w:val="32"/>
          <w:szCs w:val="32"/>
          <w:highlight w:val="none"/>
          <w:lang w:eastAsia="zh-CN"/>
        </w:rPr>
        <w:t>，</w:t>
      </w:r>
      <w:r>
        <w:rPr>
          <w:rFonts w:hint="eastAsia" w:ascii="仿宋_GB2312" w:eastAsia="仿宋_GB2312"/>
          <w:color w:val="auto"/>
          <w:spacing w:val="0"/>
          <w:sz w:val="32"/>
          <w:szCs w:val="32"/>
          <w:highlight w:val="none"/>
          <w:lang w:val="en-US" w:eastAsia="zh-CN"/>
        </w:rPr>
        <w:t>下降11.20%,</w:t>
      </w:r>
      <w:r>
        <w:rPr>
          <w:rFonts w:hint="eastAsia" w:ascii="仿宋_GB2312" w:eastAsia="仿宋_GB2312"/>
          <w:color w:val="auto"/>
          <w:spacing w:val="0"/>
          <w:sz w:val="32"/>
          <w:szCs w:val="32"/>
          <w:highlight w:val="none"/>
          <w:lang w:eastAsia="zh-CN"/>
        </w:rPr>
        <w:t>主要原因是：</w:t>
      </w:r>
      <w:r>
        <w:rPr>
          <w:rFonts w:hint="eastAsia" w:ascii="仿宋_GB2312" w:eastAsia="仿宋_GB2312"/>
          <w:color w:val="auto"/>
          <w:sz w:val="32"/>
          <w:szCs w:val="32"/>
          <w:lang w:eastAsia="zh-CN"/>
        </w:rPr>
        <w:t>在职职工人员减少，导致</w:t>
      </w:r>
      <w:r>
        <w:rPr>
          <w:rFonts w:hint="eastAsia" w:ascii="仿宋_GB2312" w:eastAsia="仿宋_GB2312"/>
          <w:color w:val="auto"/>
          <w:sz w:val="32"/>
          <w:szCs w:val="32"/>
        </w:rPr>
        <w:t>职工基本工资、艰边津贴、基础绩效奖、社会保障缴费、住房公积金</w:t>
      </w:r>
      <w:r>
        <w:rPr>
          <w:rFonts w:hint="eastAsia" w:ascii="仿宋_GB2312" w:eastAsia="仿宋_GB2312"/>
          <w:color w:val="auto"/>
          <w:sz w:val="32"/>
          <w:szCs w:val="32"/>
          <w:lang w:eastAsia="zh-CN"/>
        </w:rPr>
        <w:t>、公用经费</w:t>
      </w:r>
      <w:r>
        <w:rPr>
          <w:rFonts w:hint="eastAsia" w:ascii="仿宋_GB2312" w:eastAsia="仿宋_GB2312"/>
          <w:color w:val="auto"/>
          <w:sz w:val="32"/>
          <w:szCs w:val="32"/>
        </w:rPr>
        <w:t>等收入</w:t>
      </w:r>
      <w:r>
        <w:rPr>
          <w:rFonts w:hint="eastAsia" w:ascii="仿宋_GB2312" w:eastAsia="仿宋_GB2312"/>
          <w:color w:val="auto"/>
          <w:sz w:val="32"/>
          <w:szCs w:val="32"/>
          <w:lang w:eastAsia="zh-CN"/>
        </w:rPr>
        <w:t>减少，</w:t>
      </w:r>
      <w:r>
        <w:rPr>
          <w:rFonts w:hint="eastAsia" w:ascii="仿宋_GB2312" w:eastAsia="仿宋_GB2312"/>
          <w:color w:val="auto"/>
          <w:sz w:val="32"/>
          <w:szCs w:val="32"/>
          <w:lang w:val="en-US" w:eastAsia="zh-CN"/>
        </w:rPr>
        <w:t>2023年度项目预算收入减少</w:t>
      </w:r>
      <w:r>
        <w:rPr>
          <w:rFonts w:hint="eastAsia" w:ascii="仿宋_GB2312" w:eastAsia="仿宋_GB2312"/>
          <w:color w:val="auto"/>
          <w:sz w:val="32"/>
          <w:szCs w:val="32"/>
        </w:rPr>
        <w:t>。</w:t>
      </w:r>
    </w:p>
    <w:p w14:paraId="53810781">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eastAsia="zh-CN"/>
        </w:rPr>
        <w:t>与年初预算相比，年初预算数</w:t>
      </w:r>
      <w:r>
        <w:rPr>
          <w:rFonts w:hint="eastAsia" w:ascii="仿宋_GB2312" w:eastAsia="仿宋_GB2312"/>
          <w:color w:val="auto"/>
          <w:spacing w:val="0"/>
          <w:sz w:val="32"/>
          <w:szCs w:val="32"/>
          <w:highlight w:val="none"/>
          <w:lang w:val="zh-CN" w:eastAsia="zh-CN"/>
        </w:rPr>
        <w:t>23,850.92</w:t>
      </w:r>
      <w:r>
        <w:rPr>
          <w:rFonts w:hint="eastAsia" w:ascii="仿宋_GB2312" w:eastAsia="仿宋_GB2312"/>
          <w:color w:val="auto"/>
          <w:spacing w:val="0"/>
          <w:sz w:val="32"/>
          <w:szCs w:val="32"/>
          <w:highlight w:val="none"/>
          <w:lang w:eastAsia="zh-CN"/>
        </w:rPr>
        <w:t>万元，决算数</w:t>
      </w:r>
      <w:r>
        <w:rPr>
          <w:rFonts w:hint="eastAsia" w:ascii="仿宋_GB2312" w:eastAsia="仿宋_GB2312"/>
          <w:color w:val="auto"/>
          <w:spacing w:val="0"/>
          <w:sz w:val="32"/>
          <w:szCs w:val="32"/>
          <w:highlight w:val="none"/>
          <w:lang w:val="zh-CN" w:eastAsia="zh-CN"/>
        </w:rPr>
        <w:t>24,979.01</w:t>
      </w:r>
      <w:r>
        <w:rPr>
          <w:rFonts w:hint="eastAsia" w:ascii="仿宋_GB2312" w:eastAsia="仿宋_GB2312"/>
          <w:color w:val="auto"/>
          <w:spacing w:val="0"/>
          <w:sz w:val="32"/>
          <w:szCs w:val="32"/>
          <w:highlight w:val="none"/>
          <w:lang w:eastAsia="zh-CN"/>
        </w:rPr>
        <w:t>万元，预决算差异率4.73%，主要原因是：</w:t>
      </w:r>
      <w:r>
        <w:rPr>
          <w:rFonts w:hint="eastAsia" w:ascii="仿宋_GB2312" w:eastAsia="仿宋_GB2312"/>
          <w:color w:val="auto"/>
          <w:sz w:val="32"/>
          <w:szCs w:val="32"/>
        </w:rPr>
        <w:t>追加年度考核奖、</w:t>
      </w:r>
      <w:r>
        <w:rPr>
          <w:rFonts w:hint="eastAsia" w:ascii="仿宋_GB2312" w:eastAsia="仿宋_GB2312"/>
          <w:color w:val="auto"/>
          <w:sz w:val="32"/>
          <w:szCs w:val="32"/>
          <w:lang w:eastAsia="zh-CN"/>
        </w:rPr>
        <w:t>职业年金、</w:t>
      </w:r>
      <w:r>
        <w:rPr>
          <w:rFonts w:hint="eastAsia" w:ascii="仿宋_GB2312" w:eastAsia="仿宋_GB2312"/>
          <w:color w:val="auto"/>
          <w:sz w:val="32"/>
          <w:szCs w:val="32"/>
        </w:rPr>
        <w:t>丧葬费、抚恤金预算、车辆购置税收入补助地方资金项目预算、政府还贷二级公路取消收费后补助资金项目预算。</w:t>
      </w:r>
    </w:p>
    <w:p w14:paraId="097EA6E9">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16" w:name="_Toc13833"/>
      <w:bookmarkStart w:id="17" w:name="_Toc20360"/>
      <w:r>
        <w:rPr>
          <w:rFonts w:hint="eastAsia" w:ascii="黑体" w:hAnsi="黑体" w:eastAsia="黑体" w:cs="宋体"/>
          <w:bCs/>
          <w:color w:val="auto"/>
          <w:kern w:val="0"/>
          <w:sz w:val="32"/>
          <w:szCs w:val="32"/>
          <w:highlight w:val="none"/>
          <w:lang w:eastAsia="zh-CN"/>
        </w:rPr>
        <w:t>五、一般公共预算财政拨款支出决算情况说明</w:t>
      </w:r>
      <w:bookmarkEnd w:id="16"/>
      <w:bookmarkEnd w:id="17"/>
    </w:p>
    <w:p w14:paraId="5894F37F">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（一）一般公共预算财政拨款支出决算总体情况</w:t>
      </w:r>
    </w:p>
    <w:p w14:paraId="448AFD98">
      <w:pPr>
        <w:spacing w:line="600" w:lineRule="exact"/>
        <w:ind w:firstLine="640" w:firstLineChars="200"/>
        <w:rPr>
          <w:rFonts w:hint="eastAsia" w:ascii="仿宋_GB2312" w:eastAsia="仿宋_GB2312"/>
          <w:color w:val="auto"/>
          <w:spacing w:val="0"/>
          <w:sz w:val="32"/>
          <w:szCs w:val="32"/>
          <w:highlight w:val="yellow"/>
          <w:lang w:val="en-US" w:eastAsia="zh-CN"/>
        </w:rPr>
      </w:pPr>
      <w:r>
        <w:rPr>
          <w:rFonts w:hint="eastAsia" w:ascii="仿宋_GB2312" w:eastAsia="仿宋_GB2312"/>
          <w:color w:val="auto"/>
          <w:spacing w:val="0"/>
          <w:sz w:val="32"/>
          <w:szCs w:val="32"/>
          <w:highlight w:val="none"/>
          <w:lang w:eastAsia="zh-CN"/>
        </w:rPr>
        <w:t>2023年度一般公共预算财政拨款支出24,979.01万元，占本年支出合计的</w:t>
      </w:r>
      <w:r>
        <w:rPr>
          <w:rFonts w:hint="eastAsia" w:ascii="仿宋_GB2312" w:eastAsia="仿宋_GB2312"/>
          <w:color w:val="auto"/>
          <w:spacing w:val="0"/>
          <w:sz w:val="32"/>
          <w:szCs w:val="32"/>
          <w:highlight w:val="none"/>
          <w:lang w:val="zh-CN" w:eastAsia="zh-CN"/>
        </w:rPr>
        <w:t>99.63%</w:t>
      </w:r>
      <w:r>
        <w:rPr>
          <w:rFonts w:hint="eastAsia" w:ascii="仿宋_GB2312" w:eastAsia="仿宋_GB2312"/>
          <w:color w:val="auto"/>
          <w:spacing w:val="0"/>
          <w:sz w:val="32"/>
          <w:szCs w:val="32"/>
          <w:highlight w:val="none"/>
          <w:lang w:eastAsia="zh-CN"/>
        </w:rPr>
        <w:t>。与上年相比，</w:t>
      </w:r>
      <w:r>
        <w:rPr>
          <w:rFonts w:hint="eastAsia" w:ascii="仿宋_GB2312" w:eastAsia="仿宋_GB2312"/>
          <w:color w:val="auto"/>
          <w:spacing w:val="0"/>
          <w:sz w:val="32"/>
          <w:szCs w:val="32"/>
          <w:highlight w:val="none"/>
          <w:lang w:val="zh-CN" w:eastAsia="zh-CN"/>
        </w:rPr>
        <w:t>减少3,150.09万元</w:t>
      </w:r>
      <w:r>
        <w:rPr>
          <w:rFonts w:hint="eastAsia" w:ascii="仿宋_GB2312" w:eastAsia="仿宋_GB2312"/>
          <w:color w:val="auto"/>
          <w:spacing w:val="0"/>
          <w:sz w:val="32"/>
          <w:szCs w:val="32"/>
          <w:highlight w:val="none"/>
          <w:lang w:eastAsia="zh-CN"/>
        </w:rPr>
        <w:t>，</w:t>
      </w:r>
      <w:r>
        <w:rPr>
          <w:rFonts w:hint="eastAsia" w:ascii="仿宋_GB2312" w:eastAsia="仿宋_GB2312"/>
          <w:color w:val="auto"/>
          <w:spacing w:val="0"/>
          <w:sz w:val="32"/>
          <w:szCs w:val="32"/>
          <w:highlight w:val="none"/>
          <w:lang w:val="en-US" w:eastAsia="zh-CN"/>
        </w:rPr>
        <w:t>下降11.20%,</w:t>
      </w:r>
      <w:r>
        <w:rPr>
          <w:rFonts w:hint="eastAsia" w:ascii="仿宋_GB2312" w:eastAsia="仿宋_GB2312"/>
          <w:color w:val="auto"/>
          <w:spacing w:val="0"/>
          <w:sz w:val="32"/>
          <w:szCs w:val="32"/>
          <w:highlight w:val="none"/>
          <w:lang w:eastAsia="zh-CN"/>
        </w:rPr>
        <w:t>主要原因是：</w:t>
      </w:r>
      <w:r>
        <w:rPr>
          <w:rFonts w:hint="eastAsia" w:ascii="仿宋_GB2312" w:eastAsia="仿宋_GB2312"/>
          <w:color w:val="auto"/>
          <w:sz w:val="32"/>
          <w:szCs w:val="32"/>
          <w:lang w:eastAsia="zh-CN"/>
        </w:rPr>
        <w:t>在职职工人员减少，导致</w:t>
      </w:r>
      <w:r>
        <w:rPr>
          <w:rFonts w:hint="eastAsia" w:ascii="仿宋_GB2312" w:eastAsia="仿宋_GB2312"/>
          <w:color w:val="auto"/>
          <w:sz w:val="32"/>
          <w:szCs w:val="32"/>
        </w:rPr>
        <w:t>职工基本工资、艰边津贴、基础绩效奖、社会保障缴费、住房公积金</w:t>
      </w:r>
      <w:r>
        <w:rPr>
          <w:rFonts w:hint="eastAsia" w:ascii="仿宋_GB2312" w:eastAsia="仿宋_GB2312"/>
          <w:color w:val="auto"/>
          <w:sz w:val="32"/>
          <w:szCs w:val="32"/>
          <w:lang w:eastAsia="zh-CN"/>
        </w:rPr>
        <w:t>、公用经费</w:t>
      </w:r>
      <w:r>
        <w:rPr>
          <w:rFonts w:hint="eastAsia" w:ascii="仿宋_GB2312" w:eastAsia="仿宋_GB2312"/>
          <w:color w:val="auto"/>
          <w:sz w:val="32"/>
          <w:szCs w:val="32"/>
        </w:rPr>
        <w:t>等收入</w:t>
      </w:r>
      <w:r>
        <w:rPr>
          <w:rFonts w:hint="eastAsia" w:ascii="仿宋_GB2312" w:eastAsia="仿宋_GB2312"/>
          <w:color w:val="auto"/>
          <w:sz w:val="32"/>
          <w:szCs w:val="32"/>
          <w:lang w:eastAsia="zh-CN"/>
        </w:rPr>
        <w:t>减少，</w:t>
      </w:r>
      <w:r>
        <w:rPr>
          <w:rFonts w:hint="eastAsia" w:ascii="仿宋_GB2312" w:eastAsia="仿宋_GB2312"/>
          <w:color w:val="auto"/>
          <w:sz w:val="32"/>
          <w:szCs w:val="32"/>
          <w:lang w:val="en-US" w:eastAsia="zh-CN"/>
        </w:rPr>
        <w:t>2023年度项目预算收入减少</w:t>
      </w:r>
      <w:r>
        <w:rPr>
          <w:rFonts w:hint="eastAsia" w:ascii="仿宋_GB2312" w:eastAsia="仿宋_GB2312"/>
          <w:color w:val="auto"/>
          <w:sz w:val="32"/>
          <w:szCs w:val="32"/>
        </w:rPr>
        <w:t>。</w:t>
      </w:r>
      <w:r>
        <w:rPr>
          <w:rFonts w:hint="eastAsia" w:ascii="仿宋_GB2312" w:eastAsia="仿宋_GB2312"/>
          <w:color w:val="auto"/>
          <w:spacing w:val="0"/>
          <w:sz w:val="32"/>
          <w:szCs w:val="32"/>
          <w:highlight w:val="none"/>
          <w:lang w:eastAsia="zh-CN"/>
        </w:rPr>
        <w:t>与年初预算相比，年初预算数</w:t>
      </w:r>
      <w:r>
        <w:rPr>
          <w:rFonts w:hint="eastAsia" w:ascii="仿宋_GB2312" w:eastAsia="仿宋_GB2312"/>
          <w:color w:val="auto"/>
          <w:spacing w:val="0"/>
          <w:sz w:val="32"/>
          <w:szCs w:val="32"/>
          <w:highlight w:val="none"/>
          <w:lang w:val="zh-CN" w:eastAsia="zh-CN"/>
        </w:rPr>
        <w:t>23,850.92</w:t>
      </w:r>
      <w:r>
        <w:rPr>
          <w:rFonts w:hint="eastAsia" w:ascii="仿宋_GB2312" w:eastAsia="仿宋_GB2312"/>
          <w:color w:val="auto"/>
          <w:spacing w:val="0"/>
          <w:sz w:val="32"/>
          <w:szCs w:val="32"/>
          <w:highlight w:val="none"/>
          <w:lang w:eastAsia="zh-CN"/>
        </w:rPr>
        <w:t>万元，决算数</w:t>
      </w:r>
      <w:r>
        <w:rPr>
          <w:rFonts w:hint="eastAsia" w:ascii="仿宋_GB2312" w:eastAsia="仿宋_GB2312"/>
          <w:color w:val="auto"/>
          <w:spacing w:val="0"/>
          <w:sz w:val="32"/>
          <w:szCs w:val="32"/>
          <w:highlight w:val="none"/>
          <w:lang w:val="zh-CN" w:eastAsia="zh-CN"/>
        </w:rPr>
        <w:t>24,979.01</w:t>
      </w:r>
      <w:r>
        <w:rPr>
          <w:rFonts w:hint="eastAsia" w:ascii="仿宋_GB2312" w:eastAsia="仿宋_GB2312"/>
          <w:color w:val="auto"/>
          <w:spacing w:val="0"/>
          <w:sz w:val="32"/>
          <w:szCs w:val="32"/>
          <w:highlight w:val="none"/>
          <w:lang w:eastAsia="zh-CN"/>
        </w:rPr>
        <w:t>万元，预决算差异率</w:t>
      </w:r>
      <w:r>
        <w:rPr>
          <w:rFonts w:hint="eastAsia" w:ascii="仿宋_GB2312" w:eastAsia="仿宋_GB2312"/>
          <w:color w:val="auto"/>
          <w:spacing w:val="0"/>
          <w:sz w:val="32"/>
          <w:szCs w:val="32"/>
          <w:highlight w:val="none"/>
          <w:lang w:val="zh-CN" w:eastAsia="zh-CN"/>
        </w:rPr>
        <w:t>4.73%</w:t>
      </w:r>
      <w:r>
        <w:rPr>
          <w:rFonts w:hint="eastAsia" w:ascii="仿宋_GB2312" w:eastAsia="仿宋_GB2312"/>
          <w:color w:val="auto"/>
          <w:spacing w:val="0"/>
          <w:sz w:val="32"/>
          <w:szCs w:val="32"/>
          <w:highlight w:val="none"/>
          <w:lang w:eastAsia="zh-CN"/>
        </w:rPr>
        <w:t>，主要原因是：</w:t>
      </w:r>
      <w:r>
        <w:rPr>
          <w:rFonts w:hint="eastAsia" w:ascii="仿宋_GB2312" w:eastAsia="仿宋_GB2312"/>
          <w:color w:val="auto"/>
          <w:spacing w:val="0"/>
          <w:sz w:val="32"/>
          <w:szCs w:val="32"/>
          <w:highlight w:val="none"/>
          <w:lang w:val="en-US" w:eastAsia="zh-CN"/>
        </w:rPr>
        <w:t>年初预算中不包含</w:t>
      </w:r>
      <w:r>
        <w:rPr>
          <w:rFonts w:hint="eastAsia" w:ascii="仿宋_GB2312" w:eastAsia="仿宋_GB2312"/>
          <w:color w:val="auto"/>
          <w:sz w:val="32"/>
          <w:szCs w:val="32"/>
        </w:rPr>
        <w:t>202</w:t>
      </w:r>
      <w:r>
        <w:rPr>
          <w:rFonts w:hint="eastAsia" w:ascii="仿宋_GB2312" w:eastAsia="仿宋_GB2312"/>
          <w:color w:val="auto"/>
          <w:sz w:val="32"/>
          <w:szCs w:val="32"/>
          <w:lang w:val="en-US" w:eastAsia="zh-CN"/>
        </w:rPr>
        <w:t>3</w:t>
      </w:r>
      <w:r>
        <w:rPr>
          <w:rFonts w:hint="eastAsia" w:ascii="仿宋_GB2312" w:eastAsia="仿宋_GB2312"/>
          <w:color w:val="auto"/>
          <w:sz w:val="32"/>
          <w:szCs w:val="32"/>
        </w:rPr>
        <w:t>年</w:t>
      </w:r>
      <w:r>
        <w:rPr>
          <w:rFonts w:hint="eastAsia" w:ascii="仿宋_GB2312" w:eastAsia="仿宋_GB2312"/>
          <w:color w:val="auto"/>
          <w:sz w:val="32"/>
          <w:szCs w:val="32"/>
          <w:lang w:val="en-US" w:eastAsia="zh-CN"/>
        </w:rPr>
        <w:t>度年中</w:t>
      </w:r>
      <w:r>
        <w:rPr>
          <w:rFonts w:hint="eastAsia" w:ascii="仿宋_GB2312" w:eastAsia="仿宋_GB2312"/>
          <w:color w:val="auto"/>
          <w:sz w:val="32"/>
          <w:szCs w:val="32"/>
          <w:lang w:eastAsia="zh-CN"/>
        </w:rPr>
        <w:t>追加</w:t>
      </w:r>
      <w:r>
        <w:rPr>
          <w:rFonts w:hint="eastAsia" w:ascii="仿宋_GB2312" w:eastAsia="仿宋_GB2312"/>
          <w:color w:val="auto"/>
          <w:sz w:val="32"/>
          <w:szCs w:val="32"/>
        </w:rPr>
        <w:t>机关事业单位职业年金缴费</w:t>
      </w:r>
      <w:r>
        <w:rPr>
          <w:rFonts w:hint="eastAsia" w:ascii="仿宋_GB2312" w:eastAsia="仿宋_GB2312"/>
          <w:color w:val="auto"/>
          <w:sz w:val="32"/>
          <w:szCs w:val="32"/>
          <w:lang w:val="en-US" w:eastAsia="zh-CN"/>
        </w:rPr>
        <w:t>等</w:t>
      </w:r>
      <w:r>
        <w:rPr>
          <w:rFonts w:hint="eastAsia" w:ascii="仿宋_GB2312" w:eastAsia="仿宋_GB2312"/>
          <w:color w:val="auto"/>
          <w:sz w:val="32"/>
          <w:szCs w:val="32"/>
        </w:rPr>
        <w:t>预算</w:t>
      </w:r>
      <w:r>
        <w:rPr>
          <w:rFonts w:hint="eastAsia" w:ascii="仿宋_GB2312" w:eastAsia="仿宋_GB2312"/>
          <w:color w:val="auto"/>
          <w:sz w:val="32"/>
          <w:szCs w:val="32"/>
          <w:lang w:eastAsia="zh-CN"/>
        </w:rPr>
        <w:t>。</w:t>
      </w:r>
    </w:p>
    <w:p w14:paraId="37D88537">
      <w:pPr>
        <w:keepNext w:val="0"/>
        <w:keepLines w:val="0"/>
        <w:pageBreakBefore w:val="0"/>
        <w:widowControl w:val="0"/>
        <w:numPr>
          <w:ilvl w:val="0"/>
          <w:numId w:val="1"/>
        </w:numPr>
        <w:kinsoku/>
        <w:wordWrap/>
        <w:overflowPunct/>
        <w:topLinePunct w:val="0"/>
        <w:autoSpaceDE/>
        <w:autoSpaceDN/>
        <w:bidi w:val="0"/>
        <w:adjustRightInd/>
        <w:snapToGrid/>
        <w:spacing w:line="240" w:lineRule="auto"/>
        <w:ind w:firstLine="640" w:firstLineChars="200"/>
        <w:jc w:val="left"/>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一般公共预算</w:t>
      </w:r>
      <w:r>
        <w:rPr>
          <w:rFonts w:hint="eastAsia" w:ascii="黑体" w:hAnsi="黑体" w:eastAsia="黑体"/>
          <w:color w:val="auto"/>
          <w:sz w:val="32"/>
          <w:szCs w:val="32"/>
          <w:highlight w:val="none"/>
          <w:lang w:val="en-US" w:eastAsia="zh-CN"/>
        </w:rPr>
        <w:t>财政拨款支出决算</w:t>
      </w:r>
      <w:r>
        <w:rPr>
          <w:rFonts w:hint="eastAsia" w:ascii="黑体" w:hAnsi="黑体" w:eastAsia="黑体"/>
          <w:color w:val="auto"/>
          <w:sz w:val="32"/>
          <w:szCs w:val="32"/>
          <w:highlight w:val="none"/>
          <w:lang w:eastAsia="zh-CN"/>
        </w:rPr>
        <w:t>结构情况</w:t>
      </w:r>
    </w:p>
    <w:p w14:paraId="6B6A11B2">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40" w:firstLineChars="200"/>
        <w:jc w:val="left"/>
        <w:textAlignment w:val="auto"/>
        <w:rPr>
          <w:rFonts w:hint="default" w:ascii="仿宋_GB2312" w:hAnsi="Times New Roman" w:eastAsia="仿宋_GB2312" w:cs="Times New Roman"/>
          <w:color w:val="auto"/>
          <w:spacing w:val="0"/>
          <w:kern w:val="2"/>
          <w:sz w:val="32"/>
          <w:szCs w:val="32"/>
          <w:highlight w:val="none"/>
          <w:lang w:val="zh-CN" w:eastAsia="zh-CN" w:bidi="ar-SA"/>
        </w:rPr>
      </w:pPr>
      <w:r>
        <w:rPr>
          <w:rFonts w:hint="default" w:ascii="仿宋_GB2312" w:hAnsi="Times New Roman" w:eastAsia="仿宋_GB2312" w:cs="Times New Roman"/>
          <w:color w:val="auto"/>
          <w:spacing w:val="0"/>
          <w:kern w:val="2"/>
          <w:sz w:val="32"/>
          <w:szCs w:val="32"/>
          <w:lang w:val="zh-CN" w:eastAsia="zh-CN" w:bidi="ar-SA"/>
        </w:rPr>
        <w:t>1.</w:t>
      </w:r>
      <w:r>
        <w:rPr>
          <w:rFonts w:hint="default" w:ascii="仿宋_GB2312" w:hAnsi="Times New Roman" w:eastAsia="仿宋_GB2312" w:cs="Times New Roman"/>
          <w:color w:val="auto"/>
          <w:spacing w:val="0"/>
          <w:kern w:val="2"/>
          <w:sz w:val="32"/>
          <w:szCs w:val="32"/>
          <w:highlight w:val="none"/>
          <w:lang w:val="zh-CN" w:eastAsia="zh-CN" w:bidi="ar-SA"/>
        </w:rPr>
        <w:t>社会保障和就业支出（类）</w:t>
      </w:r>
      <w:r>
        <w:rPr>
          <w:rFonts w:hint="eastAsia" w:ascii="仿宋_GB2312" w:hAnsi="Times New Roman" w:eastAsia="仿宋_GB2312" w:cs="Times New Roman"/>
          <w:color w:val="auto"/>
          <w:spacing w:val="0"/>
          <w:kern w:val="2"/>
          <w:sz w:val="32"/>
          <w:szCs w:val="32"/>
          <w:highlight w:val="none"/>
          <w:lang w:val="zh-CN" w:eastAsia="zh-CN" w:bidi="ar-SA"/>
        </w:rPr>
        <w:t>4,192.03</w:t>
      </w:r>
      <w:r>
        <w:rPr>
          <w:rFonts w:hint="default" w:ascii="仿宋_GB2312" w:hAnsi="Times New Roman" w:eastAsia="仿宋_GB2312" w:cs="Times New Roman"/>
          <w:color w:val="auto"/>
          <w:spacing w:val="0"/>
          <w:kern w:val="2"/>
          <w:sz w:val="32"/>
          <w:szCs w:val="32"/>
          <w:highlight w:val="none"/>
          <w:lang w:val="zh-CN" w:eastAsia="zh-CN" w:bidi="ar-SA"/>
        </w:rPr>
        <w:t>万元，占</w:t>
      </w:r>
      <w:r>
        <w:rPr>
          <w:rFonts w:hint="eastAsia" w:ascii="仿宋_GB2312" w:hAnsi="Times New Roman" w:eastAsia="仿宋_GB2312" w:cs="Times New Roman"/>
          <w:color w:val="auto"/>
          <w:spacing w:val="0"/>
          <w:kern w:val="2"/>
          <w:sz w:val="32"/>
          <w:szCs w:val="32"/>
          <w:highlight w:val="none"/>
          <w:lang w:val="zh-CN" w:eastAsia="zh-CN" w:bidi="ar-SA"/>
        </w:rPr>
        <w:t>16.78</w:t>
      </w:r>
      <w:r>
        <w:rPr>
          <w:rFonts w:hint="default" w:ascii="仿宋_GB2312" w:hAnsi="Times New Roman" w:eastAsia="仿宋_GB2312" w:cs="Times New Roman"/>
          <w:color w:val="auto"/>
          <w:spacing w:val="0"/>
          <w:kern w:val="2"/>
          <w:sz w:val="32"/>
          <w:szCs w:val="32"/>
          <w:highlight w:val="none"/>
          <w:lang w:val="zh-CN" w:eastAsia="zh-CN" w:bidi="ar-SA"/>
        </w:rPr>
        <w:t>%；</w:t>
      </w:r>
    </w:p>
    <w:p w14:paraId="408FAD18">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40" w:firstLineChars="200"/>
        <w:jc w:val="left"/>
        <w:textAlignment w:val="auto"/>
        <w:rPr>
          <w:rFonts w:hint="default" w:ascii="仿宋_GB2312" w:hAnsi="Times New Roman" w:eastAsia="仿宋_GB2312" w:cs="Times New Roman"/>
          <w:color w:val="auto"/>
          <w:spacing w:val="0"/>
          <w:kern w:val="2"/>
          <w:sz w:val="32"/>
          <w:szCs w:val="32"/>
          <w:highlight w:val="none"/>
          <w:lang w:val="en-US" w:eastAsia="zh-CN" w:bidi="ar-SA"/>
        </w:rPr>
      </w:pPr>
      <w:r>
        <w:rPr>
          <w:rFonts w:hint="default" w:ascii="仿宋_GB2312" w:hAnsi="Times New Roman" w:eastAsia="仿宋_GB2312" w:cs="Times New Roman"/>
          <w:color w:val="auto"/>
          <w:spacing w:val="0"/>
          <w:kern w:val="2"/>
          <w:sz w:val="32"/>
          <w:szCs w:val="32"/>
          <w:lang w:val="en-US" w:eastAsia="zh-CN" w:bidi="ar-SA"/>
        </w:rPr>
        <w:t>2.</w:t>
      </w:r>
      <w:r>
        <w:rPr>
          <w:rFonts w:hint="default" w:ascii="仿宋_GB2312" w:hAnsi="Times New Roman" w:eastAsia="仿宋_GB2312" w:cs="Times New Roman"/>
          <w:color w:val="auto"/>
          <w:spacing w:val="0"/>
          <w:kern w:val="2"/>
          <w:sz w:val="32"/>
          <w:szCs w:val="32"/>
          <w:highlight w:val="none"/>
          <w:lang w:val="zh-CN" w:eastAsia="zh-CN" w:bidi="ar-SA"/>
        </w:rPr>
        <w:t>卫生健康支出（类）</w:t>
      </w:r>
      <w:r>
        <w:rPr>
          <w:rFonts w:hint="eastAsia" w:ascii="仿宋_GB2312" w:hAnsi="Times New Roman" w:eastAsia="仿宋_GB2312" w:cs="Times New Roman"/>
          <w:color w:val="auto"/>
          <w:spacing w:val="0"/>
          <w:kern w:val="2"/>
          <w:sz w:val="32"/>
          <w:szCs w:val="32"/>
          <w:highlight w:val="none"/>
          <w:lang w:val="zh-CN" w:eastAsia="zh-CN" w:bidi="ar-SA"/>
        </w:rPr>
        <w:t>1,278.65</w:t>
      </w:r>
      <w:r>
        <w:rPr>
          <w:rFonts w:hint="default" w:ascii="仿宋_GB2312" w:hAnsi="Times New Roman" w:eastAsia="仿宋_GB2312" w:cs="Times New Roman"/>
          <w:color w:val="auto"/>
          <w:spacing w:val="0"/>
          <w:kern w:val="2"/>
          <w:sz w:val="32"/>
          <w:szCs w:val="32"/>
          <w:highlight w:val="none"/>
          <w:lang w:val="zh-CN" w:eastAsia="zh-CN" w:bidi="ar-SA"/>
        </w:rPr>
        <w:t>万元，占</w:t>
      </w:r>
      <w:r>
        <w:rPr>
          <w:rFonts w:hint="eastAsia" w:ascii="仿宋_GB2312" w:hAnsi="Times New Roman" w:eastAsia="仿宋_GB2312" w:cs="Times New Roman"/>
          <w:color w:val="auto"/>
          <w:spacing w:val="0"/>
          <w:kern w:val="2"/>
          <w:sz w:val="32"/>
          <w:szCs w:val="32"/>
          <w:highlight w:val="none"/>
          <w:lang w:val="zh-CN" w:eastAsia="zh-CN" w:bidi="ar-SA"/>
        </w:rPr>
        <w:t>5.12</w:t>
      </w:r>
      <w:r>
        <w:rPr>
          <w:rFonts w:hint="default" w:ascii="仿宋_GB2312" w:hAnsi="Times New Roman" w:eastAsia="仿宋_GB2312" w:cs="Times New Roman"/>
          <w:color w:val="auto"/>
          <w:spacing w:val="0"/>
          <w:kern w:val="2"/>
          <w:sz w:val="32"/>
          <w:szCs w:val="32"/>
          <w:highlight w:val="none"/>
          <w:lang w:val="zh-CN" w:eastAsia="zh-CN" w:bidi="ar-SA"/>
        </w:rPr>
        <w:t>%；</w:t>
      </w:r>
    </w:p>
    <w:p w14:paraId="5A0E4D1E">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40" w:firstLineChars="200"/>
        <w:jc w:val="left"/>
        <w:textAlignment w:val="auto"/>
        <w:rPr>
          <w:rFonts w:hint="default" w:ascii="仿宋_GB2312" w:hAnsi="Times New Roman" w:eastAsia="仿宋_GB2312" w:cs="Times New Roman"/>
          <w:color w:val="auto"/>
          <w:spacing w:val="0"/>
          <w:kern w:val="2"/>
          <w:sz w:val="32"/>
          <w:szCs w:val="32"/>
          <w:highlight w:val="none"/>
          <w:lang w:val="zh-CN" w:eastAsia="zh-CN" w:bidi="ar-SA"/>
        </w:rPr>
      </w:pPr>
      <w:r>
        <w:rPr>
          <w:rFonts w:hint="default" w:ascii="仿宋_GB2312" w:hAnsi="Times New Roman" w:eastAsia="仿宋_GB2312" w:cs="Times New Roman"/>
          <w:color w:val="auto"/>
          <w:spacing w:val="0"/>
          <w:kern w:val="2"/>
          <w:sz w:val="32"/>
          <w:szCs w:val="32"/>
          <w:lang w:val="zh-CN" w:eastAsia="zh-CN" w:bidi="ar-SA"/>
        </w:rPr>
        <w:t>3.</w:t>
      </w:r>
      <w:r>
        <w:rPr>
          <w:rFonts w:hint="default" w:ascii="仿宋_GB2312" w:hAnsi="Times New Roman" w:eastAsia="仿宋_GB2312" w:cs="Times New Roman"/>
          <w:color w:val="auto"/>
          <w:spacing w:val="0"/>
          <w:kern w:val="2"/>
          <w:sz w:val="32"/>
          <w:szCs w:val="32"/>
          <w:highlight w:val="none"/>
          <w:lang w:val="zh-CN" w:eastAsia="zh-CN" w:bidi="ar-SA"/>
        </w:rPr>
        <w:t>交通运输支出（类）</w:t>
      </w:r>
      <w:r>
        <w:rPr>
          <w:rFonts w:hint="eastAsia" w:ascii="仿宋_GB2312" w:hAnsi="Times New Roman" w:eastAsia="仿宋_GB2312" w:cs="Times New Roman"/>
          <w:color w:val="auto"/>
          <w:spacing w:val="0"/>
          <w:kern w:val="2"/>
          <w:sz w:val="32"/>
          <w:szCs w:val="32"/>
          <w:highlight w:val="none"/>
          <w:lang w:val="zh-CN" w:eastAsia="zh-CN" w:bidi="ar-SA"/>
        </w:rPr>
        <w:t>18,549.46</w:t>
      </w:r>
      <w:r>
        <w:rPr>
          <w:rFonts w:hint="default" w:ascii="仿宋_GB2312" w:hAnsi="Times New Roman" w:eastAsia="仿宋_GB2312" w:cs="Times New Roman"/>
          <w:color w:val="auto"/>
          <w:spacing w:val="0"/>
          <w:kern w:val="2"/>
          <w:sz w:val="32"/>
          <w:szCs w:val="32"/>
          <w:highlight w:val="none"/>
          <w:lang w:val="zh-CN" w:eastAsia="zh-CN" w:bidi="ar-SA"/>
        </w:rPr>
        <w:t xml:space="preserve">万元，占 </w:t>
      </w:r>
      <w:r>
        <w:rPr>
          <w:rFonts w:hint="eastAsia" w:ascii="仿宋_GB2312" w:hAnsi="Times New Roman" w:eastAsia="仿宋_GB2312" w:cs="Times New Roman"/>
          <w:color w:val="auto"/>
          <w:spacing w:val="0"/>
          <w:kern w:val="2"/>
          <w:sz w:val="32"/>
          <w:szCs w:val="32"/>
          <w:highlight w:val="none"/>
          <w:lang w:val="zh-CN" w:eastAsia="zh-CN" w:bidi="ar-SA"/>
        </w:rPr>
        <w:t>74.26</w:t>
      </w:r>
      <w:r>
        <w:rPr>
          <w:rFonts w:hint="default" w:ascii="仿宋_GB2312" w:hAnsi="Times New Roman" w:eastAsia="仿宋_GB2312" w:cs="Times New Roman"/>
          <w:color w:val="auto"/>
          <w:spacing w:val="0"/>
          <w:kern w:val="2"/>
          <w:sz w:val="32"/>
          <w:szCs w:val="32"/>
          <w:highlight w:val="none"/>
          <w:lang w:val="zh-CN" w:eastAsia="zh-CN" w:bidi="ar-SA"/>
        </w:rPr>
        <w:t>%；</w:t>
      </w:r>
    </w:p>
    <w:p w14:paraId="351597AA">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40" w:firstLineChars="200"/>
        <w:jc w:val="left"/>
        <w:textAlignment w:val="auto"/>
        <w:rPr>
          <w:rFonts w:hint="default" w:ascii="仿宋_GB2312" w:hAnsi="Times New Roman" w:eastAsia="仿宋_GB2312" w:cs="Times New Roman"/>
          <w:color w:val="auto"/>
          <w:spacing w:val="0"/>
          <w:kern w:val="2"/>
          <w:sz w:val="32"/>
          <w:szCs w:val="32"/>
          <w:highlight w:val="none"/>
          <w:lang w:val="en-US" w:eastAsia="zh-CN" w:bidi="ar-SA"/>
        </w:rPr>
      </w:pPr>
      <w:r>
        <w:rPr>
          <w:rFonts w:hint="default" w:ascii="仿宋_GB2312" w:hAnsi="Times New Roman" w:eastAsia="仿宋_GB2312" w:cs="Times New Roman"/>
          <w:color w:val="auto"/>
          <w:spacing w:val="0"/>
          <w:kern w:val="2"/>
          <w:sz w:val="32"/>
          <w:szCs w:val="32"/>
          <w:lang w:val="zh-CN" w:eastAsia="zh-CN" w:bidi="ar-SA"/>
        </w:rPr>
        <w:t>4.</w:t>
      </w:r>
      <w:r>
        <w:rPr>
          <w:rFonts w:hint="default" w:ascii="仿宋_GB2312" w:hAnsi="Times New Roman" w:eastAsia="仿宋_GB2312" w:cs="Times New Roman"/>
          <w:color w:val="auto"/>
          <w:spacing w:val="0"/>
          <w:kern w:val="2"/>
          <w:sz w:val="32"/>
          <w:szCs w:val="32"/>
          <w:highlight w:val="none"/>
          <w:lang w:val="zh-CN" w:eastAsia="zh-CN" w:bidi="ar-SA"/>
        </w:rPr>
        <w:t>住房保障支出（类）</w:t>
      </w:r>
      <w:r>
        <w:rPr>
          <w:rFonts w:hint="eastAsia" w:ascii="仿宋_GB2312" w:hAnsi="Times New Roman" w:eastAsia="仿宋_GB2312" w:cs="Times New Roman"/>
          <w:color w:val="auto"/>
          <w:spacing w:val="0"/>
          <w:kern w:val="2"/>
          <w:sz w:val="32"/>
          <w:szCs w:val="32"/>
          <w:highlight w:val="none"/>
          <w:lang w:val="zh-CN" w:eastAsia="zh-CN" w:bidi="ar-SA"/>
        </w:rPr>
        <w:t>958.88</w:t>
      </w:r>
      <w:r>
        <w:rPr>
          <w:rFonts w:hint="default" w:ascii="仿宋_GB2312" w:hAnsi="Times New Roman" w:eastAsia="仿宋_GB2312" w:cs="Times New Roman"/>
          <w:color w:val="auto"/>
          <w:spacing w:val="0"/>
          <w:kern w:val="2"/>
          <w:sz w:val="32"/>
          <w:szCs w:val="32"/>
          <w:highlight w:val="none"/>
          <w:lang w:val="zh-CN" w:eastAsia="zh-CN" w:bidi="ar-SA"/>
        </w:rPr>
        <w:t>万元，占</w:t>
      </w:r>
      <w:r>
        <w:rPr>
          <w:rFonts w:hint="eastAsia" w:ascii="仿宋_GB2312" w:hAnsi="Times New Roman" w:eastAsia="仿宋_GB2312" w:cs="Times New Roman"/>
          <w:color w:val="auto"/>
          <w:spacing w:val="0"/>
          <w:kern w:val="2"/>
          <w:sz w:val="32"/>
          <w:szCs w:val="32"/>
          <w:highlight w:val="none"/>
          <w:lang w:val="zh-CN" w:eastAsia="zh-CN" w:bidi="ar-SA"/>
        </w:rPr>
        <w:t>3.84</w:t>
      </w:r>
      <w:r>
        <w:rPr>
          <w:rFonts w:hint="default" w:ascii="仿宋_GB2312" w:hAnsi="Times New Roman" w:eastAsia="仿宋_GB2312" w:cs="Times New Roman"/>
          <w:color w:val="auto"/>
          <w:spacing w:val="0"/>
          <w:kern w:val="2"/>
          <w:sz w:val="32"/>
          <w:szCs w:val="32"/>
          <w:highlight w:val="none"/>
          <w:lang w:val="zh-CN" w:eastAsia="zh-CN" w:bidi="ar-SA"/>
        </w:rPr>
        <w:t>%</w:t>
      </w:r>
      <w:r>
        <w:rPr>
          <w:rFonts w:hint="eastAsia" w:ascii="仿宋_GB2312" w:eastAsia="仿宋_GB2312" w:cs="Times New Roman"/>
          <w:color w:val="auto"/>
          <w:spacing w:val="0"/>
          <w:kern w:val="2"/>
          <w:sz w:val="32"/>
          <w:szCs w:val="32"/>
          <w:highlight w:val="none"/>
          <w:lang w:val="zh-CN" w:eastAsia="zh-CN" w:bidi="ar-SA"/>
        </w:rPr>
        <w:t>。</w:t>
      </w:r>
    </w:p>
    <w:p w14:paraId="20D6163B">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（三）一般公共预算财政拨款支出决算具体情况</w:t>
      </w:r>
    </w:p>
    <w:p w14:paraId="6AA3CDC8">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1.卫生健康支出（类）行政事业单位医疗（款）事业单位医疗（项）:支出决算数为719.30</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增加</w:t>
      </w:r>
      <w:r>
        <w:rPr>
          <w:rFonts w:hint="eastAsia" w:ascii="Times New Roman" w:hAnsi="Times New Roman" w:eastAsia="仿宋_GB2312" w:cs="Times New Roman"/>
          <w:color w:val="auto"/>
          <w:kern w:val="2"/>
          <w:sz w:val="32"/>
          <w:szCs w:val="32"/>
          <w:highlight w:val="none"/>
          <w:lang w:val="en-US" w:eastAsia="zh-CN" w:bidi="ar-SA"/>
        </w:rPr>
        <w:t>110.01</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增长</w:t>
      </w:r>
      <w:r>
        <w:rPr>
          <w:rFonts w:hint="eastAsia" w:ascii="Times New Roman" w:hAnsi="Times New Roman" w:eastAsia="仿宋_GB2312" w:cs="Times New Roman"/>
          <w:color w:val="auto"/>
          <w:kern w:val="2"/>
          <w:sz w:val="32"/>
          <w:szCs w:val="32"/>
          <w:highlight w:val="none"/>
          <w:lang w:val="en-US" w:eastAsia="zh-CN" w:bidi="ar-SA"/>
        </w:rPr>
        <w:t>18.06%，主要原因是：</w:t>
      </w:r>
      <w:r>
        <w:rPr>
          <w:rFonts w:hint="eastAsia" w:ascii="仿宋_GB2312" w:eastAsia="仿宋_GB2312"/>
          <w:color w:val="auto"/>
          <w:sz w:val="32"/>
          <w:szCs w:val="32"/>
        </w:rPr>
        <w:t>202</w:t>
      </w:r>
      <w:r>
        <w:rPr>
          <w:rFonts w:hint="eastAsia" w:ascii="仿宋_GB2312" w:eastAsia="仿宋_GB2312"/>
          <w:color w:val="auto"/>
          <w:sz w:val="32"/>
          <w:szCs w:val="32"/>
          <w:lang w:val="en-US" w:eastAsia="zh-CN"/>
        </w:rPr>
        <w:t>3</w:t>
      </w:r>
      <w:r>
        <w:rPr>
          <w:rFonts w:hint="eastAsia" w:ascii="仿宋_GB2312" w:eastAsia="仿宋_GB2312"/>
          <w:color w:val="auto"/>
          <w:sz w:val="32"/>
          <w:szCs w:val="32"/>
        </w:rPr>
        <w:t>年增资使</w:t>
      </w:r>
      <w:r>
        <w:rPr>
          <w:rFonts w:hint="eastAsia" w:ascii="仿宋_GB2312" w:eastAsia="仿宋_GB2312"/>
          <w:color w:val="auto"/>
          <w:sz w:val="32"/>
          <w:szCs w:val="32"/>
          <w:lang w:eastAsia="zh-CN"/>
        </w:rPr>
        <w:t>医疗保险</w:t>
      </w:r>
      <w:r>
        <w:rPr>
          <w:rFonts w:hint="eastAsia" w:ascii="仿宋_GB2312" w:eastAsia="仿宋_GB2312"/>
          <w:color w:val="auto"/>
          <w:sz w:val="32"/>
          <w:szCs w:val="32"/>
        </w:rPr>
        <w:t>基数增长，事业单位医疗缴费金额增加。</w:t>
      </w:r>
    </w:p>
    <w:p w14:paraId="28BC7D03">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2.卫生健康支出（类）行政事业单位医疗（款）公务员医疗补助（项）:支出决算数为559.35</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增加</w:t>
      </w:r>
      <w:r>
        <w:rPr>
          <w:rFonts w:hint="eastAsia" w:ascii="Times New Roman" w:hAnsi="Times New Roman" w:eastAsia="仿宋_GB2312" w:cs="Times New Roman"/>
          <w:color w:val="auto"/>
          <w:kern w:val="2"/>
          <w:sz w:val="32"/>
          <w:szCs w:val="32"/>
          <w:highlight w:val="none"/>
          <w:lang w:val="en-US" w:eastAsia="zh-CN" w:bidi="ar-SA"/>
        </w:rPr>
        <w:t>235.46</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增长</w:t>
      </w:r>
      <w:r>
        <w:rPr>
          <w:rFonts w:hint="eastAsia" w:ascii="Times New Roman" w:hAnsi="Times New Roman" w:eastAsia="仿宋_GB2312" w:cs="Times New Roman"/>
          <w:color w:val="auto"/>
          <w:kern w:val="2"/>
          <w:sz w:val="32"/>
          <w:szCs w:val="32"/>
          <w:highlight w:val="none"/>
          <w:lang w:val="en-US" w:eastAsia="zh-CN" w:bidi="ar-SA"/>
        </w:rPr>
        <w:t>72.70%，主要原因是：</w:t>
      </w:r>
      <w:r>
        <w:rPr>
          <w:rFonts w:hint="eastAsia" w:ascii="仿宋_GB2312" w:eastAsia="仿宋_GB2312"/>
          <w:color w:val="auto"/>
          <w:sz w:val="32"/>
          <w:szCs w:val="32"/>
        </w:rPr>
        <w:t>202</w:t>
      </w:r>
      <w:r>
        <w:rPr>
          <w:rFonts w:hint="eastAsia" w:ascii="仿宋_GB2312" w:eastAsia="仿宋_GB2312"/>
          <w:color w:val="auto"/>
          <w:sz w:val="32"/>
          <w:szCs w:val="32"/>
          <w:lang w:val="en-US" w:eastAsia="zh-CN"/>
        </w:rPr>
        <w:t>3</w:t>
      </w:r>
      <w:r>
        <w:rPr>
          <w:rFonts w:hint="eastAsia" w:ascii="仿宋_GB2312" w:eastAsia="仿宋_GB2312"/>
          <w:color w:val="auto"/>
          <w:sz w:val="32"/>
          <w:szCs w:val="32"/>
        </w:rPr>
        <w:t>年增资使</w:t>
      </w:r>
      <w:r>
        <w:rPr>
          <w:rFonts w:hint="eastAsia" w:ascii="仿宋_GB2312" w:eastAsia="仿宋_GB2312"/>
          <w:color w:val="auto"/>
          <w:sz w:val="32"/>
          <w:szCs w:val="32"/>
          <w:lang w:eastAsia="zh-CN"/>
        </w:rPr>
        <w:t>医疗保险</w:t>
      </w:r>
      <w:r>
        <w:rPr>
          <w:rFonts w:hint="eastAsia" w:ascii="仿宋_GB2312" w:eastAsia="仿宋_GB2312"/>
          <w:color w:val="auto"/>
          <w:sz w:val="32"/>
          <w:szCs w:val="32"/>
        </w:rPr>
        <w:t>基数增长，公务员医疗补助金额增加。</w:t>
      </w:r>
    </w:p>
    <w:p w14:paraId="65F2ED74">
      <w:pPr>
        <w:ind w:firstLine="640" w:firstLineChars="200"/>
        <w:outlineLvl w:val="1"/>
        <w:rPr>
          <w:rFonts w:ascii="黑体" w:hAnsi="黑体" w:eastAsia="黑体" w:cs="宋体"/>
          <w:bCs/>
          <w:color w:val="auto"/>
          <w:kern w:val="0"/>
          <w:sz w:val="32"/>
          <w:szCs w:val="32"/>
        </w:rPr>
      </w:pPr>
      <w:r>
        <w:rPr>
          <w:rFonts w:hint="eastAsia" w:ascii="Times New Roman" w:hAnsi="Times New Roman" w:eastAsia="仿宋_GB2312" w:cs="Times New Roman"/>
          <w:color w:val="auto"/>
          <w:kern w:val="2"/>
          <w:sz w:val="32"/>
          <w:szCs w:val="32"/>
          <w:highlight w:val="none"/>
          <w:lang w:val="en-US" w:eastAsia="zh-CN" w:bidi="ar-SA"/>
        </w:rPr>
        <w:t>3.交通运输支出（类）公路水路运输（款）公路养护（项）:支出决算数为18,058.46</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减少</w:t>
      </w:r>
      <w:r>
        <w:rPr>
          <w:rFonts w:hint="eastAsia" w:ascii="Times New Roman" w:hAnsi="Times New Roman" w:eastAsia="仿宋_GB2312" w:cs="Times New Roman"/>
          <w:color w:val="auto"/>
          <w:kern w:val="2"/>
          <w:sz w:val="32"/>
          <w:szCs w:val="32"/>
          <w:highlight w:val="none"/>
          <w:lang w:val="en-US" w:eastAsia="zh-CN" w:bidi="ar-SA"/>
        </w:rPr>
        <w:t>3,629.39</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下降</w:t>
      </w:r>
      <w:r>
        <w:rPr>
          <w:rFonts w:hint="eastAsia" w:ascii="Times New Roman" w:hAnsi="Times New Roman" w:eastAsia="仿宋_GB2312" w:cs="Times New Roman"/>
          <w:color w:val="auto"/>
          <w:kern w:val="2"/>
          <w:sz w:val="32"/>
          <w:szCs w:val="32"/>
          <w:highlight w:val="none"/>
          <w:lang w:val="en-US" w:eastAsia="zh-CN" w:bidi="ar-SA"/>
        </w:rPr>
        <w:t>16.73%，主要原因是：</w:t>
      </w:r>
      <w:r>
        <w:rPr>
          <w:rFonts w:hint="eastAsia" w:ascii="仿宋_GB2312" w:eastAsia="仿宋_GB2312"/>
          <w:color w:val="auto"/>
          <w:sz w:val="32"/>
          <w:szCs w:val="32"/>
        </w:rPr>
        <w:t>202</w:t>
      </w:r>
      <w:r>
        <w:rPr>
          <w:rFonts w:hint="eastAsia" w:ascii="仿宋_GB2312" w:eastAsia="仿宋_GB2312"/>
          <w:color w:val="auto"/>
          <w:sz w:val="32"/>
          <w:szCs w:val="32"/>
          <w:lang w:val="en-US" w:eastAsia="zh-CN"/>
        </w:rPr>
        <w:t>3</w:t>
      </w:r>
      <w:r>
        <w:rPr>
          <w:rFonts w:hint="eastAsia" w:ascii="仿宋_GB2312" w:eastAsia="仿宋_GB2312"/>
          <w:color w:val="auto"/>
          <w:sz w:val="32"/>
          <w:szCs w:val="32"/>
        </w:rPr>
        <w:t>年养护任务</w:t>
      </w:r>
      <w:r>
        <w:rPr>
          <w:rFonts w:hint="eastAsia" w:ascii="仿宋_GB2312" w:eastAsia="仿宋_GB2312"/>
          <w:color w:val="auto"/>
          <w:sz w:val="32"/>
          <w:szCs w:val="32"/>
          <w:lang w:eastAsia="zh-CN"/>
        </w:rPr>
        <w:t>减少</w:t>
      </w:r>
      <w:r>
        <w:rPr>
          <w:rFonts w:hint="eastAsia" w:ascii="仿宋_GB2312" w:eastAsia="仿宋_GB2312"/>
          <w:color w:val="auto"/>
          <w:sz w:val="32"/>
          <w:szCs w:val="32"/>
        </w:rPr>
        <w:t>，项目预算较上年有所</w:t>
      </w:r>
      <w:r>
        <w:rPr>
          <w:rFonts w:hint="eastAsia" w:ascii="仿宋_GB2312" w:eastAsia="仿宋_GB2312"/>
          <w:color w:val="auto"/>
          <w:sz w:val="32"/>
          <w:szCs w:val="32"/>
          <w:lang w:eastAsia="zh-CN"/>
        </w:rPr>
        <w:t>减少</w:t>
      </w:r>
      <w:r>
        <w:rPr>
          <w:rFonts w:hint="eastAsia" w:ascii="仿宋_GB2312" w:eastAsia="仿宋_GB2312"/>
          <w:color w:val="auto"/>
          <w:sz w:val="32"/>
          <w:szCs w:val="32"/>
        </w:rPr>
        <w:t>。</w:t>
      </w:r>
    </w:p>
    <w:p w14:paraId="5CE48DFC">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default" w:ascii="仿宋_GB2312" w:hAnsi="Times New Roman" w:eastAsia="仿宋_GB2312" w:cs="Times New Roman"/>
          <w:color w:val="auto"/>
          <w:kern w:val="2"/>
          <w:sz w:val="32"/>
          <w:szCs w:val="32"/>
          <w:highlight w:val="none"/>
          <w:lang w:val="en-US" w:eastAsia="zh-CN" w:bidi="ar-SA"/>
        </w:rPr>
      </w:pPr>
      <w:r>
        <w:rPr>
          <w:rFonts w:hint="eastAsia" w:ascii="Times New Roman" w:hAnsi="Times New Roman" w:eastAsia="仿宋_GB2312" w:cs="Times New Roman"/>
          <w:color w:val="auto"/>
          <w:kern w:val="2"/>
          <w:sz w:val="32"/>
          <w:szCs w:val="32"/>
          <w:highlight w:val="none"/>
          <w:lang w:val="en-US" w:eastAsia="zh-CN" w:bidi="ar-SA"/>
        </w:rPr>
        <w:t>4.交通运输支出（类）车辆购置税支出（款）车辆购置税用于公路等基础设施建设支出（项）:支出决算数为491.00</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增加</w:t>
      </w:r>
      <w:r>
        <w:rPr>
          <w:rFonts w:hint="eastAsia" w:ascii="Times New Roman" w:hAnsi="Times New Roman" w:eastAsia="仿宋_GB2312" w:cs="Times New Roman"/>
          <w:color w:val="auto"/>
          <w:kern w:val="2"/>
          <w:sz w:val="32"/>
          <w:szCs w:val="32"/>
          <w:highlight w:val="none"/>
          <w:lang w:val="en-US" w:eastAsia="zh-CN" w:bidi="ar-SA"/>
        </w:rPr>
        <w:t>469.00</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增长</w:t>
      </w:r>
      <w:r>
        <w:rPr>
          <w:rFonts w:hint="eastAsia" w:ascii="Times New Roman" w:hAnsi="Times New Roman" w:eastAsia="仿宋_GB2312" w:cs="Times New Roman"/>
          <w:color w:val="auto"/>
          <w:kern w:val="2"/>
          <w:sz w:val="32"/>
          <w:szCs w:val="32"/>
          <w:highlight w:val="none"/>
          <w:lang w:val="en-US" w:eastAsia="zh-CN" w:bidi="ar-SA"/>
        </w:rPr>
        <w:t>2131.82%，主要原因是：2023年车辆购置</w:t>
      </w:r>
      <w:bookmarkStart w:id="48" w:name="_GoBack"/>
      <w:bookmarkEnd w:id="48"/>
      <w:r>
        <w:rPr>
          <w:rFonts w:hint="eastAsia" w:ascii="Times New Roman" w:hAnsi="Times New Roman" w:eastAsia="仿宋_GB2312" w:cs="Times New Roman"/>
          <w:color w:val="auto"/>
          <w:kern w:val="2"/>
          <w:sz w:val="32"/>
          <w:szCs w:val="32"/>
          <w:highlight w:val="none"/>
          <w:lang w:val="en-US" w:eastAsia="zh-CN" w:bidi="ar-SA"/>
        </w:rPr>
        <w:t>税收入补助地方资金较2022年增加</w:t>
      </w:r>
      <w:r>
        <w:rPr>
          <w:rFonts w:hint="eastAsia" w:eastAsia="仿宋_GB2312" w:cs="Times New Roman"/>
          <w:color w:val="auto"/>
          <w:kern w:val="2"/>
          <w:sz w:val="32"/>
          <w:szCs w:val="32"/>
          <w:highlight w:val="none"/>
          <w:lang w:val="en-US" w:eastAsia="zh-CN" w:bidi="ar-SA"/>
        </w:rPr>
        <w:t>。</w:t>
      </w:r>
    </w:p>
    <w:p w14:paraId="0D035712">
      <w:pPr>
        <w:ind w:firstLine="640" w:firstLineChars="200"/>
        <w:outlineLvl w:val="1"/>
        <w:rPr>
          <w:rFonts w:ascii="黑体" w:hAnsi="黑体" w:eastAsia="黑体" w:cs="宋体"/>
          <w:bCs/>
          <w:color w:val="auto"/>
          <w:kern w:val="0"/>
          <w:sz w:val="32"/>
          <w:szCs w:val="32"/>
        </w:rPr>
      </w:pPr>
      <w:r>
        <w:rPr>
          <w:rFonts w:hint="eastAsia" w:ascii="Times New Roman" w:hAnsi="Times New Roman" w:eastAsia="仿宋_GB2312" w:cs="Times New Roman"/>
          <w:color w:val="auto"/>
          <w:kern w:val="2"/>
          <w:sz w:val="32"/>
          <w:szCs w:val="32"/>
          <w:highlight w:val="none"/>
          <w:lang w:val="en-US" w:eastAsia="zh-CN" w:bidi="ar-SA"/>
        </w:rPr>
        <w:t>5.住房保障支出（类）住房改革支出（款）住房公积金（项）:支出决算数为958.88</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增加</w:t>
      </w:r>
      <w:r>
        <w:rPr>
          <w:rFonts w:hint="eastAsia" w:ascii="Times New Roman" w:hAnsi="Times New Roman" w:eastAsia="仿宋_GB2312" w:cs="Times New Roman"/>
          <w:color w:val="auto"/>
          <w:kern w:val="2"/>
          <w:sz w:val="32"/>
          <w:szCs w:val="32"/>
          <w:highlight w:val="none"/>
          <w:lang w:val="en-US" w:eastAsia="zh-CN" w:bidi="ar-SA"/>
        </w:rPr>
        <w:t>18.13</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增长</w:t>
      </w:r>
      <w:r>
        <w:rPr>
          <w:rFonts w:hint="eastAsia" w:ascii="Times New Roman" w:hAnsi="Times New Roman" w:eastAsia="仿宋_GB2312" w:cs="Times New Roman"/>
          <w:color w:val="auto"/>
          <w:kern w:val="2"/>
          <w:sz w:val="32"/>
          <w:szCs w:val="32"/>
          <w:highlight w:val="none"/>
          <w:lang w:val="en-US" w:eastAsia="zh-CN" w:bidi="ar-SA"/>
        </w:rPr>
        <w:t>1.93%，主要原因是：</w:t>
      </w:r>
      <w:r>
        <w:rPr>
          <w:rFonts w:hint="eastAsia" w:ascii="仿宋_GB2312" w:eastAsia="仿宋_GB2312"/>
          <w:color w:val="auto"/>
          <w:sz w:val="32"/>
          <w:szCs w:val="32"/>
        </w:rPr>
        <w:t>202</w:t>
      </w:r>
      <w:r>
        <w:rPr>
          <w:rFonts w:hint="eastAsia" w:ascii="仿宋_GB2312" w:eastAsia="仿宋_GB2312"/>
          <w:color w:val="auto"/>
          <w:sz w:val="32"/>
          <w:szCs w:val="32"/>
          <w:lang w:val="en-US" w:eastAsia="zh-CN"/>
        </w:rPr>
        <w:t>3</w:t>
      </w:r>
      <w:r>
        <w:rPr>
          <w:rFonts w:hint="eastAsia" w:ascii="仿宋_GB2312" w:eastAsia="仿宋_GB2312"/>
          <w:color w:val="auto"/>
          <w:sz w:val="32"/>
          <w:szCs w:val="32"/>
        </w:rPr>
        <w:t>年增资使公积金缴费基数增加。</w:t>
      </w:r>
    </w:p>
    <w:p w14:paraId="684159DA">
      <w:pPr>
        <w:ind w:firstLine="640" w:firstLineChars="200"/>
        <w:rPr>
          <w:rFonts w:hint="eastAsia" w:ascii="Times New Roman" w:hAnsi="Times New Roman" w:eastAsia="仿宋_GB2312" w:cs="Times New Roman"/>
          <w:color w:val="auto"/>
          <w:kern w:val="2"/>
          <w:sz w:val="32"/>
          <w:szCs w:val="32"/>
          <w:highlight w:val="yellow"/>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6.社会保障和就业支出（类）行政事业单位养老支出（款）事业单位离退休（项）:支出决算数为2,834.49</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减少</w:t>
      </w:r>
      <w:r>
        <w:rPr>
          <w:rFonts w:hint="eastAsia" w:ascii="Times New Roman" w:hAnsi="Times New Roman" w:eastAsia="仿宋_GB2312" w:cs="Times New Roman"/>
          <w:color w:val="auto"/>
          <w:kern w:val="2"/>
          <w:sz w:val="32"/>
          <w:szCs w:val="32"/>
          <w:highlight w:val="none"/>
          <w:lang w:val="en-US" w:eastAsia="zh-CN" w:bidi="ar-SA"/>
        </w:rPr>
        <w:t>689.72</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下降</w:t>
      </w:r>
      <w:r>
        <w:rPr>
          <w:rFonts w:hint="eastAsia" w:ascii="Times New Roman" w:hAnsi="Times New Roman" w:eastAsia="仿宋_GB2312" w:cs="Times New Roman"/>
          <w:color w:val="auto"/>
          <w:kern w:val="2"/>
          <w:sz w:val="32"/>
          <w:szCs w:val="32"/>
          <w:highlight w:val="none"/>
          <w:lang w:val="en-US" w:eastAsia="zh-CN" w:bidi="ar-SA"/>
        </w:rPr>
        <w:t>19.57%，主要原因是：</w:t>
      </w:r>
      <w:r>
        <w:rPr>
          <w:rFonts w:hint="eastAsia" w:ascii="仿宋_GB2312" w:eastAsia="仿宋_GB2312"/>
          <w:color w:val="auto"/>
          <w:sz w:val="32"/>
          <w:szCs w:val="32"/>
          <w:highlight w:val="none"/>
        </w:rPr>
        <w:t>退休职工</w:t>
      </w:r>
      <w:r>
        <w:rPr>
          <w:rFonts w:hint="eastAsia" w:ascii="仿宋_GB2312" w:eastAsia="仿宋_GB2312"/>
          <w:color w:val="auto"/>
          <w:sz w:val="32"/>
          <w:szCs w:val="32"/>
          <w:highlight w:val="none"/>
          <w:lang w:eastAsia="zh-CN"/>
        </w:rPr>
        <w:t>医疗</w:t>
      </w:r>
      <w:r>
        <w:rPr>
          <w:rFonts w:hint="eastAsia" w:ascii="仿宋_GB2312" w:eastAsia="仿宋_GB2312"/>
          <w:color w:val="auto"/>
          <w:sz w:val="32"/>
          <w:szCs w:val="32"/>
          <w:highlight w:val="none"/>
          <w:lang w:val="en-US" w:eastAsia="zh-CN"/>
        </w:rPr>
        <w:t>保险由当地社保部门缴纳，</w:t>
      </w:r>
      <w:r>
        <w:rPr>
          <w:rFonts w:hint="eastAsia" w:ascii="仿宋_GB2312" w:eastAsia="仿宋_GB2312"/>
          <w:color w:val="auto"/>
          <w:sz w:val="32"/>
          <w:szCs w:val="32"/>
          <w:highlight w:val="none"/>
          <w:lang w:eastAsia="zh-CN"/>
        </w:rPr>
        <w:t>导致退休费用减少</w:t>
      </w:r>
      <w:r>
        <w:rPr>
          <w:rFonts w:hint="eastAsia" w:ascii="仿宋_GB2312" w:eastAsia="仿宋_GB2312"/>
          <w:color w:val="auto"/>
          <w:sz w:val="32"/>
          <w:szCs w:val="32"/>
          <w:highlight w:val="none"/>
        </w:rPr>
        <w:t>。</w:t>
      </w:r>
    </w:p>
    <w:p w14:paraId="7B5D2233">
      <w:pPr>
        <w:ind w:firstLine="640" w:firstLineChars="200"/>
        <w:outlineLvl w:val="1"/>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7.社会保障和就业支出（类）行政事业单位养老支出（款）机关事业单位职业年金缴费支出（项）:支出决算数为76.10</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增加</w:t>
      </w:r>
      <w:r>
        <w:rPr>
          <w:rFonts w:hint="eastAsia" w:ascii="Times New Roman" w:hAnsi="Times New Roman" w:eastAsia="仿宋_GB2312" w:cs="Times New Roman"/>
          <w:color w:val="auto"/>
          <w:kern w:val="2"/>
          <w:sz w:val="32"/>
          <w:szCs w:val="32"/>
          <w:highlight w:val="none"/>
          <w:lang w:val="en-US" w:eastAsia="zh-CN" w:bidi="ar-SA"/>
        </w:rPr>
        <w:t>76.10</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增长</w:t>
      </w:r>
      <w:r>
        <w:rPr>
          <w:rFonts w:hint="eastAsia" w:ascii="Times New Roman" w:hAnsi="Times New Roman" w:eastAsia="仿宋_GB2312" w:cs="Times New Roman"/>
          <w:color w:val="auto"/>
          <w:kern w:val="2"/>
          <w:sz w:val="32"/>
          <w:szCs w:val="32"/>
          <w:highlight w:val="none"/>
          <w:lang w:val="en-US" w:eastAsia="zh-CN" w:bidi="ar-SA"/>
        </w:rPr>
        <w:t>100%，主要原因是：</w:t>
      </w:r>
      <w:r>
        <w:rPr>
          <w:rFonts w:hint="eastAsia" w:ascii="仿宋_GB2312" w:eastAsia="仿宋_GB2312"/>
          <w:color w:val="auto"/>
          <w:sz w:val="32"/>
          <w:szCs w:val="32"/>
        </w:rPr>
        <w:t>202</w:t>
      </w:r>
      <w:r>
        <w:rPr>
          <w:rFonts w:hint="eastAsia" w:ascii="仿宋_GB2312" w:eastAsia="仿宋_GB2312"/>
          <w:color w:val="auto"/>
          <w:sz w:val="32"/>
          <w:szCs w:val="32"/>
          <w:lang w:val="en-US" w:eastAsia="zh-CN"/>
        </w:rPr>
        <w:t>3</w:t>
      </w:r>
      <w:r>
        <w:rPr>
          <w:rFonts w:hint="eastAsia" w:ascii="仿宋_GB2312" w:eastAsia="仿宋_GB2312"/>
          <w:color w:val="auto"/>
          <w:sz w:val="32"/>
          <w:szCs w:val="32"/>
        </w:rPr>
        <w:t>年</w:t>
      </w:r>
      <w:r>
        <w:rPr>
          <w:rFonts w:hint="eastAsia" w:ascii="仿宋_GB2312" w:eastAsia="仿宋_GB2312"/>
          <w:color w:val="auto"/>
          <w:sz w:val="32"/>
          <w:szCs w:val="32"/>
          <w:lang w:eastAsia="zh-CN"/>
        </w:rPr>
        <w:t>追加</w:t>
      </w:r>
      <w:r>
        <w:rPr>
          <w:rFonts w:hint="eastAsia" w:ascii="仿宋_GB2312" w:eastAsia="仿宋_GB2312"/>
          <w:color w:val="auto"/>
          <w:sz w:val="32"/>
          <w:szCs w:val="32"/>
        </w:rPr>
        <w:t>机关事业单位职业年金缴费预算。</w:t>
      </w:r>
    </w:p>
    <w:p w14:paraId="102798CB">
      <w:pPr>
        <w:ind w:firstLine="640" w:firstLineChars="200"/>
        <w:outlineLvl w:val="1"/>
        <w:rPr>
          <w:rFonts w:ascii="黑体" w:hAnsi="黑体" w:eastAsia="黑体" w:cs="宋体"/>
          <w:bCs/>
          <w:color w:val="auto"/>
          <w:kern w:val="0"/>
          <w:sz w:val="32"/>
          <w:szCs w:val="32"/>
        </w:rPr>
      </w:pPr>
      <w:r>
        <w:rPr>
          <w:rFonts w:hint="eastAsia" w:ascii="Times New Roman" w:hAnsi="Times New Roman" w:eastAsia="仿宋_GB2312" w:cs="Times New Roman"/>
          <w:color w:val="auto"/>
          <w:kern w:val="2"/>
          <w:sz w:val="32"/>
          <w:szCs w:val="32"/>
          <w:highlight w:val="none"/>
          <w:lang w:val="en-US" w:eastAsia="zh-CN" w:bidi="ar-SA"/>
        </w:rPr>
        <w:t>8.社会保障和就业支出（类）行政事业单位养老支出（款）机关事业单位基本养老保险缴费支出（项）:支出决算数为1,281.44</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增加</w:t>
      </w:r>
      <w:r>
        <w:rPr>
          <w:rFonts w:hint="eastAsia" w:ascii="Times New Roman" w:hAnsi="Times New Roman" w:eastAsia="仿宋_GB2312" w:cs="Times New Roman"/>
          <w:color w:val="auto"/>
          <w:kern w:val="2"/>
          <w:sz w:val="32"/>
          <w:szCs w:val="32"/>
          <w:highlight w:val="none"/>
          <w:lang w:val="en-US" w:eastAsia="zh-CN" w:bidi="ar-SA"/>
        </w:rPr>
        <w:t>260.32</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增长</w:t>
      </w:r>
      <w:r>
        <w:rPr>
          <w:rFonts w:hint="eastAsia" w:ascii="Times New Roman" w:hAnsi="Times New Roman" w:eastAsia="仿宋_GB2312" w:cs="Times New Roman"/>
          <w:color w:val="auto"/>
          <w:kern w:val="2"/>
          <w:sz w:val="32"/>
          <w:szCs w:val="32"/>
          <w:highlight w:val="none"/>
          <w:lang w:val="en-US" w:eastAsia="zh-CN" w:bidi="ar-SA"/>
        </w:rPr>
        <w:t>25.49%，主要原因是：</w:t>
      </w:r>
      <w:r>
        <w:rPr>
          <w:rFonts w:hint="eastAsia" w:ascii="仿宋_GB2312" w:eastAsia="仿宋_GB2312"/>
          <w:color w:val="auto"/>
          <w:sz w:val="32"/>
          <w:szCs w:val="32"/>
        </w:rPr>
        <w:t>202</w:t>
      </w:r>
      <w:r>
        <w:rPr>
          <w:rFonts w:hint="eastAsia" w:ascii="仿宋_GB2312" w:eastAsia="仿宋_GB2312"/>
          <w:color w:val="auto"/>
          <w:sz w:val="32"/>
          <w:szCs w:val="32"/>
          <w:lang w:val="en-US" w:eastAsia="zh-CN"/>
        </w:rPr>
        <w:t>3</w:t>
      </w:r>
      <w:r>
        <w:rPr>
          <w:rFonts w:hint="eastAsia" w:ascii="仿宋_GB2312" w:eastAsia="仿宋_GB2312"/>
          <w:color w:val="auto"/>
          <w:sz w:val="32"/>
          <w:szCs w:val="32"/>
        </w:rPr>
        <w:t>年增资使社保基数增长，养老保险缴费金额增加。</w:t>
      </w:r>
    </w:p>
    <w:p w14:paraId="750B1058">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eastAsia="zh-CN"/>
        </w:rPr>
        <w:t>六、一般公共预算财政拨款基本支出决算情况说明</w:t>
      </w:r>
    </w:p>
    <w:p w14:paraId="4D2ECF66">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pacing w:val="0"/>
          <w:sz w:val="32"/>
          <w:szCs w:val="32"/>
          <w:highlight w:val="none"/>
          <w:lang w:eastAsia="zh-CN"/>
        </w:rPr>
        <w:t>2023年度</w:t>
      </w:r>
      <w:r>
        <w:rPr>
          <w:rFonts w:hint="eastAsia" w:ascii="仿宋_GB2312" w:eastAsia="仿宋_GB2312"/>
          <w:color w:val="auto"/>
          <w:sz w:val="32"/>
          <w:szCs w:val="32"/>
          <w:highlight w:val="none"/>
        </w:rPr>
        <w:t>一般公共预算财政拨款基本支出</w:t>
      </w:r>
      <w:r>
        <w:rPr>
          <w:rFonts w:hint="eastAsia" w:ascii="仿宋_GB2312" w:eastAsia="仿宋_GB2312"/>
          <w:color w:val="auto"/>
          <w:sz w:val="32"/>
          <w:szCs w:val="32"/>
          <w:highlight w:val="none"/>
          <w:lang w:eastAsia="zh-CN"/>
        </w:rPr>
        <w:t>20,384.11</w:t>
      </w:r>
      <w:r>
        <w:rPr>
          <w:rFonts w:hint="eastAsia" w:ascii="仿宋_GB2312" w:eastAsia="仿宋_GB2312"/>
          <w:color w:val="auto"/>
          <w:sz w:val="32"/>
          <w:szCs w:val="32"/>
          <w:highlight w:val="none"/>
        </w:rPr>
        <w:t>万元，其中：人员经费</w:t>
      </w:r>
      <w:r>
        <w:rPr>
          <w:rFonts w:hint="eastAsia" w:ascii="仿宋_GB2312" w:eastAsia="仿宋_GB2312"/>
          <w:color w:val="auto"/>
          <w:sz w:val="32"/>
          <w:szCs w:val="32"/>
          <w:highlight w:val="none"/>
          <w:lang w:eastAsia="zh-CN"/>
        </w:rPr>
        <w:t>19,106.47</w:t>
      </w:r>
      <w:r>
        <w:rPr>
          <w:rFonts w:hint="eastAsia" w:ascii="仿宋_GB2312" w:eastAsia="仿宋_GB2312"/>
          <w:color w:val="auto"/>
          <w:sz w:val="32"/>
          <w:szCs w:val="32"/>
          <w:highlight w:val="none"/>
        </w:rPr>
        <w:t>万元，包括：</w:t>
      </w:r>
      <w:r>
        <w:rPr>
          <w:rFonts w:hint="eastAsia" w:ascii="仿宋_GB2312" w:eastAsia="仿宋_GB2312"/>
          <w:color w:val="auto"/>
          <w:sz w:val="32"/>
          <w:szCs w:val="32"/>
          <w:highlight w:val="none"/>
          <w:lang w:val="en-US" w:eastAsia="zh-CN"/>
        </w:rPr>
        <w:t>基本工资、津贴补贴、奖金、绩效工资、机关事业单位基本养老保险缴费、职业年金缴费、职工基本医疗保险缴费、公务员医疗补助缴费、其他社会保障缴费、住房公积金、其他工资福利支出、退休费、抚恤金、生活补助、医疗费补助、奖励金、其他对个人和家庭的补助。</w:t>
      </w:r>
    </w:p>
    <w:p w14:paraId="71DB3E1F">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hAnsi="宋体" w:eastAsia="仿宋_GB2312" w:cs="宋体"/>
          <w:color w:val="auto"/>
          <w:kern w:val="0"/>
          <w:sz w:val="32"/>
          <w:szCs w:val="32"/>
          <w:highlight w:val="none"/>
        </w:rPr>
      </w:pPr>
      <w:r>
        <w:rPr>
          <w:rFonts w:hint="eastAsia" w:ascii="仿宋_GB2312" w:eastAsia="仿宋_GB2312"/>
          <w:color w:val="auto"/>
          <w:sz w:val="32"/>
          <w:szCs w:val="32"/>
          <w:highlight w:val="none"/>
        </w:rPr>
        <w:t>公用经费</w:t>
      </w:r>
      <w:r>
        <w:rPr>
          <w:rFonts w:hint="eastAsia" w:ascii="仿宋_GB2312" w:eastAsia="仿宋_GB2312"/>
          <w:color w:val="auto"/>
          <w:sz w:val="32"/>
          <w:szCs w:val="32"/>
          <w:highlight w:val="none"/>
          <w:lang w:eastAsia="zh-CN"/>
        </w:rPr>
        <w:t>1,277.65</w:t>
      </w:r>
      <w:r>
        <w:rPr>
          <w:rFonts w:hint="eastAsia" w:ascii="仿宋_GB2312" w:eastAsia="仿宋_GB2312"/>
          <w:color w:val="auto"/>
          <w:sz w:val="32"/>
          <w:szCs w:val="32"/>
          <w:highlight w:val="none"/>
        </w:rPr>
        <w:t>万元，包括：</w:t>
      </w:r>
      <w:r>
        <w:rPr>
          <w:rFonts w:hint="eastAsia" w:ascii="仿宋_GB2312" w:eastAsia="仿宋_GB2312"/>
          <w:color w:val="auto"/>
          <w:sz w:val="32"/>
          <w:szCs w:val="32"/>
          <w:highlight w:val="none"/>
          <w:lang w:val="en-US" w:eastAsia="zh-CN"/>
        </w:rPr>
        <w:t>办公费、水费、电费、邮电费、取暖费、物业管理费、差旅费、维修（护）费、委托业务费、工会经费、福利费、公务用车运行维护费、其他商品和服务支出</w:t>
      </w:r>
      <w:r>
        <w:rPr>
          <w:rFonts w:hint="eastAsia" w:ascii="仿宋_GB2312" w:eastAsia="仿宋_GB2312"/>
          <w:color w:val="auto"/>
          <w:sz w:val="32"/>
          <w:szCs w:val="32"/>
          <w:highlight w:val="none"/>
          <w:lang w:eastAsia="zh-CN"/>
        </w:rPr>
        <w:t>。</w:t>
      </w:r>
    </w:p>
    <w:p w14:paraId="43AAD8F6">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val="en-US" w:eastAsia="zh-CN"/>
        </w:rPr>
        <w:t>七、</w:t>
      </w:r>
      <w:r>
        <w:rPr>
          <w:rFonts w:hint="eastAsia" w:ascii="黑体" w:hAnsi="黑体" w:eastAsia="黑体" w:cs="宋体"/>
          <w:bCs/>
          <w:color w:val="auto"/>
          <w:kern w:val="0"/>
          <w:sz w:val="32"/>
          <w:szCs w:val="32"/>
          <w:highlight w:val="none"/>
          <w:lang w:eastAsia="zh-CN"/>
        </w:rPr>
        <w:t>财政拨款</w:t>
      </w:r>
      <w:r>
        <w:rPr>
          <w:rFonts w:hint="eastAsia" w:ascii="黑体" w:hAnsi="黑体" w:eastAsia="黑体" w:cs="宋体"/>
          <w:bCs/>
          <w:color w:val="auto"/>
          <w:kern w:val="0"/>
          <w:sz w:val="32"/>
          <w:szCs w:val="32"/>
          <w:highlight w:val="none"/>
        </w:rPr>
        <w:t>“三公”经费支出</w:t>
      </w:r>
      <w:r>
        <w:rPr>
          <w:rFonts w:hint="eastAsia" w:ascii="黑体" w:hAnsi="黑体" w:eastAsia="黑体" w:cs="宋体"/>
          <w:bCs/>
          <w:color w:val="auto"/>
          <w:kern w:val="0"/>
          <w:sz w:val="32"/>
          <w:szCs w:val="32"/>
          <w:highlight w:val="none"/>
          <w:lang w:eastAsia="zh-CN"/>
        </w:rPr>
        <w:t>决算</w:t>
      </w:r>
      <w:r>
        <w:rPr>
          <w:rFonts w:hint="eastAsia" w:ascii="黑体" w:hAnsi="黑体" w:eastAsia="黑体" w:cs="宋体"/>
          <w:bCs/>
          <w:color w:val="auto"/>
          <w:kern w:val="0"/>
          <w:sz w:val="32"/>
          <w:szCs w:val="32"/>
          <w:highlight w:val="none"/>
        </w:rPr>
        <w:t>情况</w:t>
      </w:r>
      <w:r>
        <w:rPr>
          <w:rFonts w:hint="eastAsia" w:ascii="黑体" w:hAnsi="黑体" w:eastAsia="黑体" w:cs="宋体"/>
          <w:bCs/>
          <w:color w:val="auto"/>
          <w:kern w:val="0"/>
          <w:sz w:val="32"/>
          <w:szCs w:val="32"/>
          <w:highlight w:val="none"/>
          <w:lang w:eastAsia="zh-CN"/>
        </w:rPr>
        <w:t>说明</w:t>
      </w:r>
    </w:p>
    <w:p w14:paraId="51F9FD45">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2023年度</w:t>
      </w:r>
      <w:r>
        <w:rPr>
          <w:rFonts w:hint="eastAsia" w:ascii="仿宋_GB2312" w:eastAsia="仿宋_GB2312"/>
          <w:color w:val="auto"/>
          <w:sz w:val="32"/>
          <w:szCs w:val="32"/>
          <w:highlight w:val="none"/>
          <w:lang w:val="en-US" w:eastAsia="zh-CN"/>
        </w:rPr>
        <w:t>财政拨款</w:t>
      </w:r>
      <w:r>
        <w:rPr>
          <w:rFonts w:hint="eastAsia" w:ascii="仿宋_GB2312" w:eastAsia="仿宋_GB2312"/>
          <w:color w:val="auto"/>
          <w:sz w:val="32"/>
          <w:szCs w:val="32"/>
          <w:highlight w:val="none"/>
          <w:lang w:val="zh-CN" w:eastAsia="zh-CN"/>
        </w:rPr>
        <w:t>“三公”经费支出116.42万元，</w:t>
      </w:r>
      <w:r>
        <w:rPr>
          <w:rFonts w:hint="eastAsia" w:ascii="仿宋_GB2312" w:eastAsia="仿宋_GB2312"/>
          <w:color w:val="auto"/>
          <w:sz w:val="32"/>
          <w:szCs w:val="32"/>
          <w:highlight w:val="none"/>
          <w:lang w:val="en-US" w:eastAsia="zh-CN"/>
        </w:rPr>
        <w:t>比上年</w:t>
      </w:r>
      <w:r>
        <w:rPr>
          <w:rFonts w:hint="eastAsia" w:ascii="仿宋_GB2312" w:eastAsia="仿宋_GB2312"/>
          <w:color w:val="auto"/>
          <w:sz w:val="32"/>
          <w:szCs w:val="32"/>
          <w:highlight w:val="none"/>
          <w:lang w:val="zh-CN" w:eastAsia="zh-CN"/>
        </w:rPr>
        <w:t>减少6.13万元，</w:t>
      </w:r>
      <w:r>
        <w:rPr>
          <w:rFonts w:hint="eastAsia" w:ascii="仿宋_GB2312" w:eastAsia="仿宋_GB2312"/>
          <w:color w:val="auto"/>
          <w:spacing w:val="0"/>
          <w:sz w:val="32"/>
          <w:szCs w:val="32"/>
          <w:highlight w:val="none"/>
          <w:lang w:val="en-US" w:eastAsia="zh-CN"/>
        </w:rPr>
        <w:t>下降5.00%,</w:t>
      </w:r>
      <w:r>
        <w:rPr>
          <w:rFonts w:hint="eastAsia" w:ascii="仿宋_GB2312" w:eastAsia="仿宋_GB2312"/>
          <w:color w:val="auto"/>
          <w:sz w:val="32"/>
          <w:szCs w:val="32"/>
          <w:highlight w:val="none"/>
          <w:lang w:val="zh-CN" w:eastAsia="zh-CN"/>
        </w:rPr>
        <w:t>主要原因是：</w:t>
      </w:r>
      <w:r>
        <w:rPr>
          <w:rFonts w:ascii="仿宋_GB2312" w:eastAsia="仿宋_GB2312"/>
          <w:color w:val="auto"/>
          <w:sz w:val="32"/>
          <w:szCs w:val="32"/>
        </w:rPr>
        <w:t>我单位本年无公务接待，同时降低车况较差的车辆出勤率，降低公务用车维护成本，采取派车单制度，整合相同路线外出人员乘坐同一辆车，降低车辆加油成本，多措并举降低了公务用车运行维护费支出</w:t>
      </w:r>
      <w:r>
        <w:rPr>
          <w:rFonts w:hint="eastAsia" w:ascii="仿宋_GB2312" w:eastAsia="仿宋_GB2312"/>
          <w:color w:val="auto"/>
          <w:sz w:val="32"/>
          <w:szCs w:val="32"/>
          <w:highlight w:val="none"/>
          <w:lang w:val="zh-CN" w:eastAsia="zh-CN"/>
        </w:rPr>
        <w:t>。其中：因公出国（境）费支出0.00万元，占0.00%，比上年增加0.00万元，</w:t>
      </w:r>
      <w:r>
        <w:rPr>
          <w:rFonts w:hint="eastAsia" w:ascii="仿宋_GB2312" w:eastAsia="仿宋_GB2312"/>
          <w:color w:val="auto"/>
          <w:spacing w:val="0"/>
          <w:sz w:val="32"/>
          <w:szCs w:val="32"/>
          <w:highlight w:val="none"/>
          <w:lang w:val="en-US" w:eastAsia="zh-CN"/>
        </w:rPr>
        <w:t>增长0.00%,</w:t>
      </w:r>
      <w:r>
        <w:rPr>
          <w:rFonts w:hint="eastAsia" w:ascii="仿宋_GB2312" w:eastAsia="仿宋_GB2312"/>
          <w:color w:val="auto"/>
          <w:sz w:val="32"/>
          <w:szCs w:val="32"/>
          <w:highlight w:val="none"/>
          <w:lang w:val="zh-CN" w:eastAsia="zh-CN"/>
        </w:rPr>
        <w:t>主要原因是：</w:t>
      </w:r>
      <w:r>
        <w:rPr>
          <w:rFonts w:ascii="仿宋_GB2312" w:eastAsia="仿宋_GB2312"/>
          <w:color w:val="auto"/>
          <w:sz w:val="32"/>
          <w:szCs w:val="32"/>
        </w:rPr>
        <w:t>我单位无因公出国（境）费</w:t>
      </w:r>
      <w:r>
        <w:rPr>
          <w:rFonts w:hint="eastAsia" w:ascii="仿宋_GB2312" w:eastAsia="仿宋_GB2312"/>
          <w:color w:val="auto"/>
          <w:sz w:val="32"/>
          <w:szCs w:val="32"/>
          <w:highlight w:val="none"/>
          <w:lang w:val="zh-CN" w:eastAsia="zh-CN"/>
        </w:rPr>
        <w:t>；公务用车购置及运行维护费支出116.42万元，占100.00%，比上年减少6.13万元，</w:t>
      </w:r>
      <w:r>
        <w:rPr>
          <w:rFonts w:hint="eastAsia" w:ascii="仿宋_GB2312" w:eastAsia="仿宋_GB2312"/>
          <w:color w:val="auto"/>
          <w:spacing w:val="0"/>
          <w:sz w:val="32"/>
          <w:szCs w:val="32"/>
          <w:highlight w:val="none"/>
          <w:lang w:val="en-US" w:eastAsia="zh-CN"/>
        </w:rPr>
        <w:t>下降5.00%,</w:t>
      </w:r>
      <w:r>
        <w:rPr>
          <w:rFonts w:hint="eastAsia" w:ascii="仿宋_GB2312" w:eastAsia="仿宋_GB2312"/>
          <w:color w:val="auto"/>
          <w:sz w:val="32"/>
          <w:szCs w:val="32"/>
          <w:highlight w:val="none"/>
          <w:lang w:val="zh-CN" w:eastAsia="zh-CN"/>
        </w:rPr>
        <w:t>主要原因是：</w:t>
      </w:r>
      <w:r>
        <w:rPr>
          <w:rFonts w:ascii="仿宋_GB2312" w:eastAsia="仿宋_GB2312"/>
          <w:color w:val="auto"/>
          <w:sz w:val="32"/>
          <w:szCs w:val="32"/>
        </w:rPr>
        <w:t>我单位无公务用车购置费，同时降低车况较差的车辆出勤率，降低公务用车维护成本，采取派车单制度，整合相同路线外出人员乘坐同一辆车，降低车辆加油成本，多措并举降低了公务用车运行维护费支出</w:t>
      </w:r>
      <w:r>
        <w:rPr>
          <w:rFonts w:hint="eastAsia" w:ascii="仿宋_GB2312" w:eastAsia="仿宋_GB2312"/>
          <w:color w:val="auto"/>
          <w:sz w:val="32"/>
          <w:szCs w:val="32"/>
          <w:highlight w:val="none"/>
          <w:lang w:val="zh-CN" w:eastAsia="zh-CN"/>
        </w:rPr>
        <w:t>；公务接待费支出0.00万元，占0.00%，比上年增加0.00万元，</w:t>
      </w:r>
      <w:r>
        <w:rPr>
          <w:rFonts w:hint="eastAsia" w:ascii="仿宋_GB2312" w:eastAsia="仿宋_GB2312"/>
          <w:color w:val="auto"/>
          <w:spacing w:val="0"/>
          <w:sz w:val="32"/>
          <w:szCs w:val="32"/>
          <w:highlight w:val="none"/>
          <w:lang w:val="en-US" w:eastAsia="zh-CN"/>
        </w:rPr>
        <w:t>增长0.00%,</w:t>
      </w:r>
      <w:r>
        <w:rPr>
          <w:rFonts w:hint="eastAsia" w:ascii="仿宋_GB2312" w:eastAsia="仿宋_GB2312"/>
          <w:color w:val="auto"/>
          <w:sz w:val="32"/>
          <w:szCs w:val="32"/>
          <w:highlight w:val="none"/>
          <w:lang w:val="zh-CN" w:eastAsia="zh-CN"/>
        </w:rPr>
        <w:t>主要原因是：</w:t>
      </w:r>
      <w:r>
        <w:rPr>
          <w:rFonts w:ascii="仿宋_GB2312" w:eastAsia="仿宋_GB2312"/>
          <w:color w:val="auto"/>
          <w:sz w:val="32"/>
          <w:szCs w:val="32"/>
        </w:rPr>
        <w:t>我单位无公务接待费</w:t>
      </w:r>
      <w:r>
        <w:rPr>
          <w:rFonts w:hint="eastAsia" w:ascii="仿宋_GB2312" w:eastAsia="仿宋_GB2312"/>
          <w:color w:val="auto"/>
          <w:sz w:val="32"/>
          <w:szCs w:val="32"/>
          <w:highlight w:val="none"/>
          <w:lang w:val="zh-CN" w:eastAsia="zh-CN"/>
        </w:rPr>
        <w:t>。具体情况如下：</w:t>
      </w:r>
    </w:p>
    <w:p w14:paraId="66AA98B6">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因公出国（境）费支出0.00万元，开支内容包括</w:t>
      </w:r>
      <w:r>
        <w:rPr>
          <w:rFonts w:hint="eastAsia" w:ascii="仿宋_GB2312" w:eastAsia="仿宋_GB2312"/>
          <w:color w:val="auto"/>
          <w:sz w:val="32"/>
          <w:szCs w:val="32"/>
        </w:rPr>
        <w:t>我单位无因公出国（境）费</w:t>
      </w:r>
      <w:r>
        <w:rPr>
          <w:rFonts w:hint="eastAsia" w:ascii="仿宋_GB2312" w:eastAsia="仿宋_GB2312"/>
          <w:color w:val="auto"/>
          <w:sz w:val="32"/>
          <w:szCs w:val="32"/>
          <w:highlight w:val="none"/>
          <w:lang w:val="zh-CN" w:eastAsia="zh-CN"/>
        </w:rPr>
        <w:t>。单位全年安排的因公出国（境）团组0个，因公出国（境）0人次。</w:t>
      </w:r>
    </w:p>
    <w:p w14:paraId="7F3370BB">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zh-CN" w:eastAsia="zh-CN"/>
        </w:rPr>
        <w:t>公务用车购置及运行维护费116.42万元，其中：公务用车购置费0.00万元，公务用车运行维护费116.42万元。公务用车运行维护费开支内容包括</w:t>
      </w:r>
      <w:r>
        <w:rPr>
          <w:rFonts w:hint="eastAsia" w:ascii="仿宋_GB2312" w:eastAsia="仿宋_GB2312"/>
          <w:color w:val="auto"/>
          <w:sz w:val="32"/>
          <w:szCs w:val="32"/>
        </w:rPr>
        <w:t>公务用车油料、维修费及保险费</w:t>
      </w:r>
      <w:r>
        <w:rPr>
          <w:rFonts w:hint="eastAsia" w:ascii="仿宋_GB2312" w:eastAsia="仿宋_GB2312"/>
          <w:color w:val="auto"/>
          <w:sz w:val="32"/>
          <w:szCs w:val="32"/>
          <w:highlight w:val="none"/>
          <w:lang w:val="zh-CN" w:eastAsia="zh-CN"/>
        </w:rPr>
        <w:t>。公务用车购置数0辆，公务用车保有量86辆。国有资产占用情况</w:t>
      </w:r>
      <w:r>
        <w:rPr>
          <w:rFonts w:hint="eastAsia" w:ascii="仿宋_GB2312" w:eastAsia="仿宋_GB2312"/>
          <w:color w:val="auto"/>
          <w:sz w:val="32"/>
          <w:szCs w:val="32"/>
          <w:highlight w:val="none"/>
          <w:lang w:val="en-US" w:eastAsia="zh-CN"/>
        </w:rPr>
        <w:t>中固定资产车辆</w:t>
      </w:r>
      <w:r>
        <w:rPr>
          <w:rFonts w:hint="eastAsia" w:ascii="仿宋_GB2312" w:eastAsia="仿宋_GB2312"/>
          <w:color w:val="auto"/>
          <w:sz w:val="32"/>
          <w:szCs w:val="32"/>
          <w:highlight w:val="none"/>
          <w:lang w:val="zh-CN" w:eastAsia="zh-CN"/>
        </w:rPr>
        <w:t>128辆，</w:t>
      </w:r>
      <w:r>
        <w:rPr>
          <w:rFonts w:hint="eastAsia" w:ascii="仿宋_GB2312" w:eastAsia="仿宋_GB2312"/>
          <w:color w:val="auto"/>
          <w:sz w:val="32"/>
          <w:szCs w:val="32"/>
          <w:highlight w:val="none"/>
          <w:lang w:val="en-US" w:eastAsia="zh-CN"/>
        </w:rPr>
        <w:t>与</w:t>
      </w:r>
      <w:r>
        <w:rPr>
          <w:rFonts w:hint="eastAsia" w:ascii="仿宋_GB2312" w:eastAsia="仿宋_GB2312"/>
          <w:color w:val="auto"/>
          <w:sz w:val="32"/>
          <w:szCs w:val="32"/>
          <w:highlight w:val="none"/>
          <w:lang w:val="zh-CN" w:eastAsia="zh-CN"/>
        </w:rPr>
        <w:t>公务用车</w:t>
      </w:r>
      <w:r>
        <w:rPr>
          <w:rFonts w:hint="eastAsia" w:ascii="仿宋_GB2312" w:eastAsia="仿宋_GB2312"/>
          <w:color w:val="auto"/>
          <w:sz w:val="32"/>
          <w:szCs w:val="32"/>
          <w:highlight w:val="none"/>
          <w:lang w:val="en-US" w:eastAsia="zh-CN"/>
        </w:rPr>
        <w:t>保有量差异</w:t>
      </w:r>
      <w:r>
        <w:rPr>
          <w:rFonts w:hint="eastAsia" w:ascii="仿宋_GB2312" w:eastAsia="仿宋_GB2312"/>
          <w:color w:val="auto"/>
          <w:sz w:val="32"/>
          <w:szCs w:val="32"/>
          <w:highlight w:val="none"/>
          <w:lang w:val="zh-CN" w:eastAsia="zh-CN"/>
        </w:rPr>
        <w:t>原因是：因为我单位承担公路养护任务，差异车辆为养护机械车辆</w:t>
      </w:r>
      <w:r>
        <w:rPr>
          <w:rFonts w:hint="eastAsia" w:ascii="仿宋_GB2312" w:eastAsia="仿宋_GB2312"/>
          <w:color w:val="auto"/>
          <w:sz w:val="32"/>
          <w:szCs w:val="32"/>
          <w:highlight w:val="none"/>
          <w:lang w:val="en-US" w:eastAsia="zh-CN"/>
        </w:rPr>
        <w:t>不属于</w:t>
      </w:r>
      <w:r>
        <w:rPr>
          <w:rFonts w:hint="eastAsia" w:ascii="仿宋_GB2312" w:eastAsia="仿宋_GB2312"/>
          <w:color w:val="auto"/>
          <w:sz w:val="32"/>
          <w:szCs w:val="32"/>
          <w:highlight w:val="none"/>
          <w:lang w:val="zh-CN" w:eastAsia="zh-CN"/>
        </w:rPr>
        <w:t>公务用车，养护机械车辆运行维护经费来源为</w:t>
      </w:r>
      <w:r>
        <w:rPr>
          <w:rFonts w:hint="eastAsia" w:eastAsia="仿宋_GB2312" w:cs="Times New Roman"/>
          <w:color w:val="auto"/>
          <w:sz w:val="32"/>
          <w:szCs w:val="32"/>
          <w:highlight w:val="none"/>
          <w:lang w:val="en-US" w:eastAsia="zh-CN"/>
        </w:rPr>
        <w:t>专项项目支出</w:t>
      </w:r>
      <w:r>
        <w:rPr>
          <w:rFonts w:hint="default" w:ascii="Times New Roman" w:hAnsi="Times New Roman" w:eastAsia="仿宋_GB2312" w:cs="Times New Roman"/>
          <w:color w:val="auto"/>
          <w:sz w:val="32"/>
          <w:szCs w:val="32"/>
          <w:highlight w:val="none"/>
          <w:lang w:val="zh-CN" w:eastAsia="zh-CN"/>
        </w:rPr>
        <w:t>。</w:t>
      </w:r>
      <w:r>
        <w:rPr>
          <w:rFonts w:hint="eastAsia" w:ascii="仿宋_GB2312" w:eastAsia="仿宋_GB2312"/>
          <w:color w:val="auto"/>
          <w:sz w:val="32"/>
          <w:szCs w:val="32"/>
          <w:highlight w:val="none"/>
          <w:lang w:val="zh-CN" w:eastAsia="zh-CN"/>
        </w:rPr>
        <w:t>。</w:t>
      </w:r>
    </w:p>
    <w:p w14:paraId="45A88E73">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公务接待费0.00万元，开支内容包括</w:t>
      </w:r>
      <w:r>
        <w:rPr>
          <w:rFonts w:hint="eastAsia" w:ascii="仿宋_GB2312" w:eastAsia="仿宋_GB2312"/>
          <w:color w:val="auto"/>
          <w:sz w:val="32"/>
          <w:szCs w:val="32"/>
        </w:rPr>
        <w:t>我单位无公务接待费</w:t>
      </w:r>
      <w:r>
        <w:rPr>
          <w:rFonts w:hint="eastAsia" w:ascii="仿宋_GB2312" w:eastAsia="仿宋_GB2312"/>
          <w:color w:val="auto"/>
          <w:sz w:val="32"/>
          <w:szCs w:val="32"/>
          <w:highlight w:val="none"/>
          <w:lang w:val="zh-CN" w:eastAsia="zh-CN"/>
        </w:rPr>
        <w:t>。单位全年安排的国内公务接待0批次，0人次。</w:t>
      </w:r>
    </w:p>
    <w:p w14:paraId="2467F378">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与</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预算相比</w:t>
      </w:r>
      <w:r>
        <w:rPr>
          <w:rFonts w:hint="eastAsia" w:ascii="仿宋_GB2312" w:eastAsia="仿宋_GB2312"/>
          <w:color w:val="auto"/>
          <w:sz w:val="32"/>
          <w:szCs w:val="32"/>
          <w:highlight w:val="none"/>
          <w:lang w:val="en-US" w:eastAsia="zh-CN"/>
        </w:rPr>
        <w:t>,</w:t>
      </w:r>
      <w:r>
        <w:rPr>
          <w:rFonts w:hint="eastAsia" w:ascii="仿宋_GB2312" w:eastAsia="仿宋_GB2312"/>
          <w:color w:val="auto"/>
          <w:sz w:val="32"/>
          <w:szCs w:val="32"/>
          <w:highlight w:val="none"/>
          <w:lang w:val="zh-CN" w:eastAsia="zh-CN"/>
        </w:rPr>
        <w:t>财政拨款“三公”经费支出</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预算数116.42万元，决算数116.42万元，预决算差异率0.00%，主要原因是：</w:t>
      </w:r>
      <w:r>
        <w:rPr>
          <w:rFonts w:hint="eastAsia" w:ascii="仿宋_GB2312" w:eastAsia="仿宋_GB2312"/>
          <w:color w:val="auto"/>
          <w:sz w:val="32"/>
          <w:szCs w:val="32"/>
        </w:rPr>
        <w:t>我单位预算与支出经过科学化安排，没有结余</w:t>
      </w:r>
      <w:r>
        <w:rPr>
          <w:rFonts w:hint="eastAsia" w:ascii="仿宋_GB2312" w:eastAsia="仿宋_GB2312"/>
          <w:color w:val="auto"/>
          <w:sz w:val="32"/>
          <w:szCs w:val="32"/>
          <w:highlight w:val="none"/>
          <w:lang w:val="zh-CN" w:eastAsia="zh-CN"/>
        </w:rPr>
        <w:t>。其中：因公出国（境）费</w:t>
      </w:r>
      <w:r>
        <w:rPr>
          <w:rFonts w:hint="eastAsia" w:ascii="仿宋_GB2312" w:eastAsia="仿宋_GB2312"/>
          <w:color w:val="auto"/>
          <w:sz w:val="32"/>
          <w:szCs w:val="32"/>
          <w:highlight w:val="none"/>
          <w:lang w:val="en-US" w:eastAsia="zh-CN"/>
        </w:rPr>
        <w:t>全年预算数</w:t>
      </w:r>
      <w:r>
        <w:rPr>
          <w:rFonts w:hint="eastAsia" w:ascii="仿宋_GB2312" w:eastAsia="仿宋_GB2312"/>
          <w:color w:val="auto"/>
          <w:sz w:val="32"/>
          <w:szCs w:val="32"/>
          <w:highlight w:val="none"/>
          <w:lang w:val="zh-CN" w:eastAsia="zh-CN"/>
        </w:rPr>
        <w:t>0.00万元，决算数0.00万元，预决算差异率0.00%，主要原因是：</w:t>
      </w:r>
      <w:r>
        <w:rPr>
          <w:rFonts w:hint="eastAsia" w:ascii="仿宋_GB2312" w:eastAsia="仿宋_GB2312"/>
          <w:color w:val="auto"/>
          <w:sz w:val="32"/>
          <w:szCs w:val="32"/>
        </w:rPr>
        <w:t>我单位无因公出国（境）费</w:t>
      </w:r>
      <w:r>
        <w:rPr>
          <w:rFonts w:hint="eastAsia" w:ascii="仿宋_GB2312" w:eastAsia="仿宋_GB2312"/>
          <w:color w:val="auto"/>
          <w:sz w:val="32"/>
          <w:szCs w:val="32"/>
          <w:highlight w:val="none"/>
          <w:lang w:val="zh-CN" w:eastAsia="zh-CN"/>
        </w:rPr>
        <w:t>；公务用车购置费</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预算数0.00万元，决算数0.00万元，预决算差异率0.00%，主要原因是：</w:t>
      </w:r>
      <w:r>
        <w:rPr>
          <w:rFonts w:hint="eastAsia" w:ascii="仿宋_GB2312" w:eastAsia="仿宋_GB2312"/>
          <w:color w:val="auto"/>
          <w:sz w:val="32"/>
          <w:szCs w:val="32"/>
        </w:rPr>
        <w:t>我单位无公务用车购置费；</w:t>
      </w:r>
      <w:r>
        <w:rPr>
          <w:rFonts w:hint="eastAsia" w:ascii="仿宋_GB2312" w:eastAsia="仿宋_GB2312"/>
          <w:color w:val="auto"/>
          <w:sz w:val="32"/>
          <w:szCs w:val="32"/>
          <w:highlight w:val="none"/>
          <w:lang w:val="zh-CN" w:eastAsia="zh-CN"/>
        </w:rPr>
        <w:t>公务用车运行费</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预算数116.42万元，决算数116.42万元，预决算差异率0.00%，主要原因是：</w:t>
      </w:r>
      <w:r>
        <w:rPr>
          <w:rFonts w:hint="eastAsia" w:ascii="仿宋_GB2312" w:eastAsia="仿宋_GB2312"/>
          <w:color w:val="auto"/>
          <w:sz w:val="32"/>
          <w:szCs w:val="32"/>
        </w:rPr>
        <w:t>我单位严格按照公务用车运行费全年预算数</w:t>
      </w:r>
      <w:r>
        <w:rPr>
          <w:rFonts w:hint="eastAsia" w:ascii="仿宋_GB2312" w:eastAsia="仿宋_GB2312"/>
          <w:color w:val="auto"/>
          <w:sz w:val="32"/>
          <w:szCs w:val="32"/>
          <w:lang w:val="en-US" w:eastAsia="zh-CN"/>
        </w:rPr>
        <w:t>进行开支</w:t>
      </w:r>
      <w:r>
        <w:rPr>
          <w:rFonts w:hint="eastAsia" w:ascii="仿宋_GB2312" w:eastAsia="仿宋_GB2312"/>
          <w:color w:val="auto"/>
          <w:sz w:val="32"/>
          <w:szCs w:val="32"/>
        </w:rPr>
        <w:t>执行，杜绝超支现象</w:t>
      </w:r>
      <w:r>
        <w:rPr>
          <w:rFonts w:hint="eastAsia" w:ascii="仿宋_GB2312" w:eastAsia="仿宋_GB2312"/>
          <w:color w:val="auto"/>
          <w:sz w:val="32"/>
          <w:szCs w:val="32"/>
          <w:highlight w:val="none"/>
          <w:lang w:val="zh-CN" w:eastAsia="zh-CN"/>
        </w:rPr>
        <w:t>；公务接待费</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预算数0.00万元，决算数0.00万元，预决算差异率0.00%，主要原因是：</w:t>
      </w:r>
      <w:r>
        <w:rPr>
          <w:rFonts w:hint="eastAsia" w:ascii="仿宋_GB2312" w:eastAsia="仿宋_GB2312"/>
          <w:color w:val="auto"/>
          <w:sz w:val="32"/>
          <w:szCs w:val="32"/>
        </w:rPr>
        <w:t>我单位无公务接待费</w:t>
      </w:r>
      <w:r>
        <w:rPr>
          <w:rFonts w:hint="eastAsia" w:ascii="仿宋_GB2312" w:eastAsia="仿宋_GB2312"/>
          <w:color w:val="auto"/>
          <w:sz w:val="32"/>
          <w:szCs w:val="32"/>
          <w:highlight w:val="none"/>
          <w:lang w:val="zh-CN" w:eastAsia="zh-CN"/>
        </w:rPr>
        <w:t>。</w:t>
      </w:r>
    </w:p>
    <w:p w14:paraId="1367C7C4">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18" w:name="_Toc5810"/>
      <w:bookmarkStart w:id="19" w:name="_Toc7927"/>
      <w:r>
        <w:rPr>
          <w:rFonts w:hint="eastAsia" w:ascii="黑体" w:hAnsi="黑体" w:eastAsia="黑体" w:cs="宋体"/>
          <w:bCs/>
          <w:color w:val="auto"/>
          <w:kern w:val="0"/>
          <w:sz w:val="32"/>
          <w:szCs w:val="32"/>
          <w:highlight w:val="none"/>
          <w:lang w:val="en-US" w:eastAsia="zh-CN"/>
        </w:rPr>
        <w:t>八</w:t>
      </w:r>
      <w:r>
        <w:rPr>
          <w:rFonts w:hint="eastAsia" w:ascii="黑体" w:hAnsi="黑体" w:eastAsia="黑体" w:cs="宋体"/>
          <w:bCs/>
          <w:color w:val="auto"/>
          <w:kern w:val="0"/>
          <w:sz w:val="32"/>
          <w:szCs w:val="32"/>
          <w:highlight w:val="none"/>
          <w:lang w:eastAsia="zh-CN"/>
        </w:rPr>
        <w:t>、政府性基金预算财政拨款收入支出决算情况说明</w:t>
      </w:r>
      <w:bookmarkEnd w:id="18"/>
      <w:bookmarkEnd w:id="19"/>
    </w:p>
    <w:p w14:paraId="178DA8F6">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eastAsia="zh-CN"/>
        </w:rPr>
        <w:t>我</w:t>
      </w:r>
      <w:r>
        <w:rPr>
          <w:rFonts w:hint="eastAsia" w:ascii="仿宋_GB2312" w:eastAsia="仿宋_GB2312"/>
          <w:color w:val="auto"/>
          <w:sz w:val="32"/>
          <w:szCs w:val="32"/>
          <w:highlight w:val="none"/>
          <w:lang w:val="en-US" w:eastAsia="zh-CN"/>
        </w:rPr>
        <w:t>单位</w:t>
      </w:r>
      <w:r>
        <w:rPr>
          <w:rFonts w:hint="eastAsia" w:ascii="仿宋_GB2312" w:eastAsia="仿宋_GB2312"/>
          <w:color w:val="auto"/>
          <w:sz w:val="32"/>
          <w:szCs w:val="32"/>
          <w:highlight w:val="none"/>
          <w:lang w:eastAsia="zh-CN"/>
        </w:rPr>
        <w:t>本年度无政府性基金预算财政拨款收入、支出</w:t>
      </w:r>
      <w:r>
        <w:rPr>
          <w:rFonts w:hint="eastAsia" w:ascii="仿宋_GB2312" w:eastAsia="仿宋_GB2312"/>
          <w:color w:val="auto"/>
          <w:sz w:val="32"/>
          <w:szCs w:val="32"/>
          <w:highlight w:val="none"/>
          <w:lang w:val="en-US" w:eastAsia="zh-CN"/>
        </w:rPr>
        <w:t>及结转和结余</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政府性基金预算财政拨款收入支出决算表为空表。</w:t>
      </w:r>
    </w:p>
    <w:p w14:paraId="52617302">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val="en-US" w:eastAsia="zh-CN"/>
        </w:rPr>
        <w:t>九</w:t>
      </w:r>
      <w:r>
        <w:rPr>
          <w:rFonts w:hint="eastAsia" w:ascii="黑体" w:hAnsi="黑体" w:eastAsia="黑体" w:cs="宋体"/>
          <w:bCs/>
          <w:color w:val="auto"/>
          <w:kern w:val="0"/>
          <w:sz w:val="32"/>
          <w:szCs w:val="32"/>
          <w:highlight w:val="none"/>
          <w:lang w:eastAsia="zh-CN"/>
        </w:rPr>
        <w:t>、国有资本经营预算财政拨款收入支出决算情况说明</w:t>
      </w:r>
    </w:p>
    <w:p w14:paraId="6A9581FB">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eastAsia="zh-CN"/>
        </w:rPr>
        <w:t>我</w:t>
      </w:r>
      <w:r>
        <w:rPr>
          <w:rFonts w:hint="eastAsia" w:ascii="仿宋_GB2312" w:eastAsia="仿宋_GB2312"/>
          <w:color w:val="auto"/>
          <w:sz w:val="32"/>
          <w:szCs w:val="32"/>
          <w:highlight w:val="none"/>
          <w:lang w:val="en-US" w:eastAsia="zh-CN"/>
        </w:rPr>
        <w:t>单位</w:t>
      </w:r>
      <w:r>
        <w:rPr>
          <w:rFonts w:hint="eastAsia" w:ascii="仿宋_GB2312" w:eastAsia="仿宋_GB2312"/>
          <w:color w:val="auto"/>
          <w:sz w:val="32"/>
          <w:szCs w:val="32"/>
          <w:highlight w:val="none"/>
          <w:lang w:eastAsia="zh-CN"/>
        </w:rPr>
        <w:t>本年度无国有资本经营预算财政拨款收入、支出</w:t>
      </w:r>
      <w:r>
        <w:rPr>
          <w:rFonts w:hint="eastAsia" w:ascii="仿宋_GB2312" w:eastAsia="仿宋_GB2312"/>
          <w:color w:val="auto"/>
          <w:sz w:val="32"/>
          <w:szCs w:val="32"/>
          <w:highlight w:val="none"/>
          <w:lang w:val="en-US" w:eastAsia="zh-CN"/>
        </w:rPr>
        <w:t>及结转和结余</w:t>
      </w:r>
      <w:r>
        <w:rPr>
          <w:rFonts w:hint="eastAsia" w:ascii="仿宋_GB2312" w:eastAsia="仿宋_GB2312"/>
          <w:color w:val="auto"/>
          <w:sz w:val="32"/>
          <w:szCs w:val="32"/>
          <w:highlight w:val="none"/>
          <w:lang w:eastAsia="zh-CN"/>
        </w:rPr>
        <w:t>，国有资本经营</w:t>
      </w:r>
      <w:r>
        <w:rPr>
          <w:rFonts w:hint="eastAsia" w:ascii="仿宋_GB2312" w:eastAsia="仿宋_GB2312"/>
          <w:color w:val="auto"/>
          <w:sz w:val="32"/>
          <w:szCs w:val="32"/>
          <w:highlight w:val="none"/>
        </w:rPr>
        <w:t>预算财政拨款收入支出决算表为空表。</w:t>
      </w:r>
    </w:p>
    <w:p w14:paraId="7A8551C1">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20" w:name="_Toc7314"/>
      <w:bookmarkStart w:id="21" w:name="_Toc1235"/>
      <w:r>
        <w:rPr>
          <w:rFonts w:hint="eastAsia" w:ascii="黑体" w:hAnsi="黑体" w:eastAsia="黑体" w:cs="宋体"/>
          <w:bCs/>
          <w:color w:val="auto"/>
          <w:kern w:val="0"/>
          <w:sz w:val="32"/>
          <w:szCs w:val="32"/>
          <w:highlight w:val="none"/>
          <w:lang w:eastAsia="zh-CN"/>
        </w:rPr>
        <w:t>十</w:t>
      </w:r>
      <w:r>
        <w:rPr>
          <w:rFonts w:hint="eastAsia" w:ascii="黑体" w:hAnsi="黑体" w:eastAsia="黑体" w:cs="宋体"/>
          <w:bCs/>
          <w:color w:val="auto"/>
          <w:kern w:val="0"/>
          <w:sz w:val="32"/>
          <w:szCs w:val="32"/>
          <w:highlight w:val="none"/>
        </w:rPr>
        <w:t>、其他重要事项的情况</w:t>
      </w:r>
      <w:r>
        <w:rPr>
          <w:rFonts w:hint="eastAsia" w:ascii="黑体" w:hAnsi="黑体" w:eastAsia="黑体" w:cs="宋体"/>
          <w:bCs/>
          <w:color w:val="auto"/>
          <w:kern w:val="0"/>
          <w:sz w:val="32"/>
          <w:szCs w:val="32"/>
          <w:highlight w:val="none"/>
          <w:lang w:eastAsia="zh-CN"/>
        </w:rPr>
        <w:t>说明</w:t>
      </w:r>
      <w:bookmarkEnd w:id="20"/>
      <w:bookmarkEnd w:id="21"/>
    </w:p>
    <w:p w14:paraId="3A35BAD4">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2"/>
        <w:rPr>
          <w:rFonts w:hint="eastAsia" w:ascii="黑体" w:hAnsi="黑体" w:eastAsia="黑体"/>
          <w:color w:val="auto"/>
          <w:sz w:val="32"/>
          <w:szCs w:val="32"/>
          <w:highlight w:val="none"/>
        </w:rPr>
      </w:pPr>
      <w:bookmarkStart w:id="22" w:name="_Toc13105"/>
      <w:bookmarkStart w:id="23" w:name="_Toc14519"/>
      <w:r>
        <w:rPr>
          <w:rFonts w:hint="eastAsia" w:ascii="黑体" w:hAnsi="黑体" w:eastAsia="黑体"/>
          <w:color w:val="auto"/>
          <w:sz w:val="32"/>
          <w:szCs w:val="32"/>
          <w:highlight w:val="none"/>
          <w:lang w:eastAsia="zh-CN"/>
        </w:rPr>
        <w:t>（一）</w:t>
      </w:r>
      <w:r>
        <w:rPr>
          <w:rFonts w:hint="eastAsia" w:ascii="黑体" w:hAnsi="黑体" w:eastAsia="黑体"/>
          <w:color w:val="auto"/>
          <w:sz w:val="32"/>
          <w:szCs w:val="32"/>
          <w:highlight w:val="none"/>
        </w:rPr>
        <w:t>机关运行经费支出情况</w:t>
      </w:r>
      <w:bookmarkEnd w:id="22"/>
      <w:bookmarkEnd w:id="23"/>
    </w:p>
    <w:p w14:paraId="798F30BE">
      <w:pPr>
        <w:ind w:firstLine="640" w:firstLineChars="200"/>
        <w:outlineLvl w:val="2"/>
        <w:rPr>
          <w:rFonts w:ascii="黑体" w:hAnsi="黑体" w:eastAsia="黑体"/>
          <w:color w:val="auto"/>
          <w:sz w:val="32"/>
          <w:szCs w:val="32"/>
        </w:rPr>
      </w:pPr>
      <w:bookmarkStart w:id="24" w:name="_Toc26704"/>
      <w:bookmarkStart w:id="25" w:name="_Toc227"/>
      <w:r>
        <w:rPr>
          <w:rFonts w:hint="eastAsia" w:ascii="Times New Roman" w:hAnsi="Times New Roman" w:eastAsia="仿宋_GB2312" w:cs="Times New Roman"/>
          <w:color w:val="auto"/>
          <w:sz w:val="32"/>
          <w:szCs w:val="32"/>
          <w:highlight w:val="none"/>
          <w:lang w:val="zh-CN" w:eastAsia="zh-CN"/>
        </w:rPr>
        <w:t>2023年度</w:t>
      </w:r>
      <w:r>
        <w:rPr>
          <w:rFonts w:hint="eastAsia" w:ascii="Times New Roman" w:hAnsi="Times New Roman" w:eastAsia="仿宋_GB2312" w:cs="Times New Roman"/>
          <w:color w:val="auto"/>
          <w:sz w:val="32"/>
          <w:szCs w:val="32"/>
          <w:highlight w:val="none"/>
          <w:lang w:val="en-US" w:eastAsia="zh-CN"/>
        </w:rPr>
        <w:t>阿克苏公路管理局（事业单位）公用经费支出1,277.65万元，</w:t>
      </w:r>
      <w:r>
        <w:rPr>
          <w:rFonts w:hint="eastAsia" w:ascii="Times New Roman" w:hAnsi="Times New Roman" w:eastAsia="仿宋_GB2312" w:cs="Times New Roman"/>
          <w:color w:val="auto"/>
          <w:sz w:val="32"/>
          <w:szCs w:val="32"/>
          <w:highlight w:val="none"/>
          <w:lang w:val="zh-CN" w:eastAsia="zh-CN"/>
        </w:rPr>
        <w:t>比上年减少105.72万元，下降7.64%，主要原因是：</w:t>
      </w:r>
      <w:r>
        <w:rPr>
          <w:rFonts w:hint="eastAsia" w:ascii="仿宋_GB2312" w:eastAsia="仿宋_GB2312"/>
          <w:color w:val="auto"/>
          <w:sz w:val="32"/>
          <w:szCs w:val="32"/>
        </w:rPr>
        <w:t>本年度我单位严格控制公用经费，导致支出减少。</w:t>
      </w:r>
    </w:p>
    <w:p w14:paraId="6BC7058F">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黑体" w:cs="Times New Roman"/>
          <w:color w:val="auto"/>
          <w:sz w:val="32"/>
          <w:szCs w:val="30"/>
          <w:highlight w:val="none"/>
          <w:lang w:val="zh-CN" w:eastAsia="zh-CN"/>
        </w:rPr>
      </w:pPr>
      <w:r>
        <w:rPr>
          <w:rFonts w:hint="eastAsia" w:ascii="Times New Roman" w:hAnsi="Times New Roman" w:eastAsia="黑体" w:cs="Times New Roman"/>
          <w:color w:val="auto"/>
          <w:sz w:val="32"/>
          <w:szCs w:val="30"/>
          <w:highlight w:val="none"/>
          <w:lang w:val="zh-CN" w:eastAsia="zh-CN"/>
        </w:rPr>
        <w:t>（二）政府采购情况</w:t>
      </w:r>
      <w:bookmarkEnd w:id="24"/>
      <w:bookmarkEnd w:id="25"/>
    </w:p>
    <w:p w14:paraId="2C594650">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仿宋_GB2312" w:cs="Times New Roman"/>
          <w:color w:val="auto"/>
          <w:sz w:val="32"/>
          <w:szCs w:val="32"/>
          <w:highlight w:val="none"/>
          <w:lang w:val="zh-CN"/>
        </w:rPr>
      </w:pPr>
      <w:r>
        <w:rPr>
          <w:rFonts w:hint="eastAsia" w:ascii="Times New Roman" w:hAnsi="Times New Roman" w:eastAsia="仿宋_GB2312" w:cs="Times New Roman"/>
          <w:color w:val="auto"/>
          <w:sz w:val="32"/>
          <w:szCs w:val="32"/>
          <w:highlight w:val="none"/>
          <w:lang w:val="zh-CN" w:eastAsia="zh-CN"/>
        </w:rPr>
        <w:t>2023年度</w:t>
      </w:r>
      <w:r>
        <w:rPr>
          <w:rFonts w:hint="eastAsia" w:ascii="Times New Roman" w:hAnsi="Times New Roman" w:eastAsia="仿宋_GB2312" w:cs="Times New Roman"/>
          <w:color w:val="auto"/>
          <w:sz w:val="32"/>
          <w:szCs w:val="32"/>
          <w:highlight w:val="none"/>
          <w:lang w:val="zh-CN"/>
        </w:rPr>
        <w:t>政府采购支出总额</w:t>
      </w:r>
      <w:r>
        <w:rPr>
          <w:rFonts w:hint="eastAsia" w:ascii="Times New Roman" w:hAnsi="Times New Roman" w:eastAsia="仿宋_GB2312" w:cs="Times New Roman"/>
          <w:color w:val="auto"/>
          <w:sz w:val="32"/>
          <w:szCs w:val="32"/>
          <w:highlight w:val="none"/>
          <w:lang w:val="zh-CN" w:eastAsia="zh-CN"/>
        </w:rPr>
        <w:t>436.52万元</w:t>
      </w:r>
      <w:r>
        <w:rPr>
          <w:rFonts w:hint="eastAsia" w:ascii="Times New Roman" w:hAnsi="Times New Roman" w:eastAsia="仿宋_GB2312" w:cs="Times New Roman"/>
          <w:color w:val="auto"/>
          <w:sz w:val="32"/>
          <w:szCs w:val="32"/>
          <w:highlight w:val="none"/>
          <w:lang w:val="zh-CN"/>
        </w:rPr>
        <w:t>，</w:t>
      </w:r>
      <w:r>
        <w:rPr>
          <w:rFonts w:hint="eastAsia" w:ascii="Times New Roman" w:hAnsi="Times New Roman" w:eastAsia="仿宋_GB2312" w:cs="Times New Roman"/>
          <w:color w:val="auto"/>
          <w:sz w:val="32"/>
          <w:szCs w:val="32"/>
          <w:highlight w:val="none"/>
          <w:lang w:val="zh-CN" w:eastAsia="zh-CN"/>
        </w:rPr>
        <w:t>其中：政府采购货物支出6.74万元、政府采购工程支出0.00万元、政府采购服务支出429.79万元。</w:t>
      </w:r>
    </w:p>
    <w:p w14:paraId="78A4E443">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仿宋_GB2312" w:cs="Times New Roman"/>
          <w:color w:val="auto"/>
          <w:sz w:val="32"/>
          <w:szCs w:val="32"/>
          <w:highlight w:val="none"/>
          <w:lang w:val="en-US" w:eastAsia="zh-CN"/>
        </w:rPr>
      </w:pPr>
      <w:r>
        <w:rPr>
          <w:rFonts w:hint="eastAsia" w:ascii="Times New Roman" w:hAnsi="Times New Roman" w:eastAsia="仿宋_GB2312" w:cs="Times New Roman"/>
          <w:color w:val="auto"/>
          <w:sz w:val="32"/>
          <w:szCs w:val="32"/>
          <w:highlight w:val="none"/>
          <w:lang w:val="zh-CN" w:eastAsia="zh-CN"/>
        </w:rPr>
        <w:t>授予中小企业合同金额358.08万元，占政府采购支出总额的82.03</w:t>
      </w:r>
      <w:r>
        <w:rPr>
          <w:rFonts w:hint="default" w:ascii="Times New Roman" w:hAnsi="Times New Roman" w:eastAsia="仿宋_GB2312" w:cs="Times New Roman"/>
          <w:color w:val="auto"/>
          <w:sz w:val="32"/>
          <w:szCs w:val="32"/>
          <w:highlight w:val="none"/>
          <w:lang w:val="zh-CN" w:eastAsia="zh-CN"/>
        </w:rPr>
        <w:t>%</w:t>
      </w:r>
      <w:r>
        <w:rPr>
          <w:rFonts w:hint="eastAsia" w:ascii="Times New Roman" w:hAnsi="Times New Roman" w:eastAsia="仿宋_GB2312" w:cs="Times New Roman"/>
          <w:color w:val="auto"/>
          <w:sz w:val="32"/>
          <w:szCs w:val="32"/>
          <w:highlight w:val="none"/>
          <w:lang w:val="zh-CN" w:eastAsia="zh-CN"/>
        </w:rPr>
        <w:t>，其中：授予小微企业合同金额350.75万元，占政府采购支出总额的80.35</w:t>
      </w:r>
      <w:r>
        <w:rPr>
          <w:rFonts w:hint="default" w:ascii="Times New Roman" w:hAnsi="Times New Roman" w:eastAsia="仿宋_GB2312" w:cs="Times New Roman"/>
          <w:color w:val="auto"/>
          <w:sz w:val="32"/>
          <w:szCs w:val="32"/>
          <w:highlight w:val="none"/>
          <w:lang w:val="zh-CN" w:eastAsia="zh-CN"/>
        </w:rPr>
        <w:t>%</w:t>
      </w:r>
      <w:r>
        <w:rPr>
          <w:rFonts w:hint="eastAsia" w:ascii="Times New Roman" w:hAnsi="Times New Roman" w:eastAsia="仿宋_GB2312" w:cs="Times New Roman"/>
          <w:color w:val="auto"/>
          <w:sz w:val="32"/>
          <w:szCs w:val="32"/>
          <w:highlight w:val="none"/>
          <w:lang w:val="en-US" w:eastAsia="zh-CN"/>
        </w:rPr>
        <w:t>。</w:t>
      </w:r>
    </w:p>
    <w:p w14:paraId="6FF563E4">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黑体" w:cs="Times New Roman"/>
          <w:color w:val="auto"/>
          <w:sz w:val="32"/>
          <w:szCs w:val="30"/>
          <w:highlight w:val="none"/>
          <w:lang w:val="zh-CN" w:eastAsia="zh-CN"/>
        </w:rPr>
      </w:pPr>
      <w:bookmarkStart w:id="26" w:name="_Toc8391"/>
      <w:bookmarkStart w:id="27" w:name="_Toc4591"/>
      <w:r>
        <w:rPr>
          <w:rFonts w:hint="eastAsia" w:ascii="Times New Roman" w:hAnsi="Times New Roman" w:eastAsia="黑体" w:cs="Times New Roman"/>
          <w:color w:val="auto"/>
          <w:sz w:val="32"/>
          <w:szCs w:val="30"/>
          <w:highlight w:val="none"/>
          <w:lang w:val="zh-CN" w:eastAsia="zh-CN"/>
        </w:rPr>
        <w:t>（三）国有资产占用情况说明</w:t>
      </w:r>
      <w:bookmarkEnd w:id="26"/>
      <w:bookmarkEnd w:id="27"/>
    </w:p>
    <w:p w14:paraId="78FBA5E1">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仿宋_GB2312" w:cs="Times New Roman"/>
          <w:color w:val="auto"/>
          <w:sz w:val="32"/>
          <w:szCs w:val="32"/>
          <w:highlight w:val="none"/>
          <w:lang w:val="zh-CN" w:eastAsia="zh-CN"/>
        </w:rPr>
      </w:pPr>
      <w:r>
        <w:rPr>
          <w:rFonts w:hint="eastAsia" w:ascii="Times New Roman" w:hAnsi="Times New Roman" w:eastAsia="仿宋_GB2312" w:cs="Times New Roman"/>
          <w:color w:val="auto"/>
          <w:sz w:val="32"/>
          <w:szCs w:val="32"/>
          <w:highlight w:val="none"/>
          <w:lang w:val="en-US" w:eastAsia="zh-CN"/>
        </w:rPr>
        <w:t>截至2023</w:t>
      </w:r>
      <w:r>
        <w:rPr>
          <w:rFonts w:hint="eastAsia" w:ascii="Times New Roman" w:hAnsi="Times New Roman" w:eastAsia="仿宋_GB2312" w:cs="Times New Roman"/>
          <w:color w:val="auto"/>
          <w:sz w:val="32"/>
          <w:szCs w:val="32"/>
          <w:highlight w:val="none"/>
          <w:lang w:val="zh-CN" w:eastAsia="zh-CN"/>
        </w:rPr>
        <w:t>年</w:t>
      </w:r>
      <w:r>
        <w:rPr>
          <w:rFonts w:hint="eastAsia" w:ascii="Times New Roman" w:hAnsi="Times New Roman" w:eastAsia="仿宋_GB2312" w:cs="Times New Roman"/>
          <w:color w:val="auto"/>
          <w:sz w:val="32"/>
          <w:szCs w:val="32"/>
          <w:highlight w:val="none"/>
          <w:lang w:val="en-US" w:eastAsia="zh-CN"/>
        </w:rPr>
        <w:t>12月31日</w:t>
      </w:r>
      <w:r>
        <w:rPr>
          <w:rFonts w:hint="eastAsia" w:ascii="Times New Roman" w:hAnsi="Times New Roman" w:eastAsia="仿宋_GB2312" w:cs="Times New Roman"/>
          <w:color w:val="auto"/>
          <w:sz w:val="32"/>
          <w:szCs w:val="32"/>
          <w:highlight w:val="none"/>
          <w:lang w:val="zh-CN" w:eastAsia="zh-CN"/>
        </w:rPr>
        <w:t>，</w:t>
      </w:r>
      <w:r>
        <w:rPr>
          <w:rFonts w:hint="eastAsia" w:ascii="Times New Roman" w:hAnsi="Times New Roman" w:eastAsia="仿宋_GB2312" w:cs="Times New Roman"/>
          <w:color w:val="auto"/>
          <w:sz w:val="32"/>
          <w:szCs w:val="32"/>
          <w:highlight w:val="none"/>
          <w:lang w:val="en-US" w:eastAsia="zh-CN"/>
        </w:rPr>
        <w:t>固定资产原值</w:t>
      </w:r>
      <w:r>
        <w:rPr>
          <w:rFonts w:hint="eastAsia" w:ascii="Times New Roman" w:hAnsi="Times New Roman" w:eastAsia="仿宋_GB2312" w:cs="Times New Roman"/>
          <w:color w:val="auto"/>
          <w:sz w:val="32"/>
          <w:szCs w:val="32"/>
          <w:highlight w:val="none"/>
          <w:lang w:val="zh-CN" w:eastAsia="zh-CN"/>
        </w:rPr>
        <w:t>16,060.48</w:t>
      </w:r>
      <w:r>
        <w:rPr>
          <w:rFonts w:hint="eastAsia" w:ascii="Times New Roman" w:hAnsi="Times New Roman" w:eastAsia="仿宋_GB2312" w:cs="Times New Roman"/>
          <w:color w:val="auto"/>
          <w:sz w:val="32"/>
          <w:szCs w:val="32"/>
          <w:highlight w:val="none"/>
          <w:lang w:val="en-US" w:eastAsia="zh-CN"/>
        </w:rPr>
        <w:t>万元，房</w:t>
      </w:r>
      <w:r>
        <w:rPr>
          <w:rFonts w:hint="eastAsia" w:ascii="Times New Roman" w:hAnsi="Times New Roman" w:eastAsia="仿宋_GB2312" w:cs="Times New Roman"/>
          <w:color w:val="auto"/>
          <w:sz w:val="32"/>
          <w:szCs w:val="32"/>
          <w:highlight w:val="none"/>
          <w:lang w:val="zh-CN" w:eastAsia="zh-CN"/>
        </w:rPr>
        <w:t>屋69210.21平方米，价值9,592.22万元。车辆128辆，价值3,237.21万元，其中：副部（省）级及以上领导用车0辆、主要</w:t>
      </w:r>
      <w:r>
        <w:rPr>
          <w:rFonts w:hint="eastAsia" w:ascii="Times New Roman" w:hAnsi="Times New Roman" w:eastAsia="仿宋_GB2312" w:cs="Times New Roman"/>
          <w:color w:val="auto"/>
          <w:sz w:val="32"/>
          <w:szCs w:val="32"/>
          <w:highlight w:val="none"/>
          <w:lang w:val="en-US" w:eastAsia="zh-CN"/>
        </w:rPr>
        <w:t>负责人</w:t>
      </w:r>
      <w:r>
        <w:rPr>
          <w:rFonts w:hint="eastAsia" w:ascii="Times New Roman" w:hAnsi="Times New Roman" w:eastAsia="仿宋_GB2312" w:cs="Times New Roman"/>
          <w:color w:val="auto"/>
          <w:sz w:val="32"/>
          <w:szCs w:val="32"/>
          <w:highlight w:val="none"/>
          <w:lang w:val="zh-CN" w:eastAsia="zh-CN"/>
        </w:rPr>
        <w:t>用车0辆、机要通信用车0辆、应急保障用车20辆、执法执勤用车0辆、特种专业技术用车23辆、离退休干部</w:t>
      </w:r>
      <w:r>
        <w:rPr>
          <w:rFonts w:hint="eastAsia" w:ascii="Times New Roman" w:hAnsi="Times New Roman" w:eastAsia="仿宋_GB2312" w:cs="Times New Roman"/>
          <w:color w:val="auto"/>
          <w:sz w:val="32"/>
          <w:szCs w:val="32"/>
          <w:highlight w:val="none"/>
          <w:lang w:val="en-US" w:eastAsia="zh-CN"/>
        </w:rPr>
        <w:t>服务</w:t>
      </w:r>
      <w:r>
        <w:rPr>
          <w:rFonts w:hint="eastAsia" w:ascii="Times New Roman" w:hAnsi="Times New Roman" w:eastAsia="仿宋_GB2312" w:cs="Times New Roman"/>
          <w:color w:val="auto"/>
          <w:sz w:val="32"/>
          <w:szCs w:val="32"/>
          <w:highlight w:val="none"/>
          <w:lang w:val="zh-CN" w:eastAsia="zh-CN"/>
        </w:rPr>
        <w:t>用车0辆、其他用车85辆，其他用车主要是</w:t>
      </w:r>
      <w:r>
        <w:rPr>
          <w:rFonts w:hint="eastAsia" w:ascii="仿宋_GB2312" w:eastAsia="仿宋_GB2312"/>
          <w:color w:val="auto"/>
          <w:sz w:val="32"/>
          <w:szCs w:val="32"/>
        </w:rPr>
        <w:t>道路维修养护车、自卸车、洒水车、皮卡车、依维柯工程车、高空作业车、厢式运输车</w:t>
      </w:r>
      <w:r>
        <w:rPr>
          <w:rFonts w:hint="eastAsia" w:ascii="仿宋_GB2312" w:eastAsia="仿宋_GB2312"/>
          <w:color w:val="auto"/>
          <w:sz w:val="32"/>
          <w:szCs w:val="32"/>
          <w:lang w:val="en-US" w:eastAsia="zh-CN"/>
        </w:rPr>
        <w:t>等养护</w:t>
      </w:r>
      <w:r>
        <w:rPr>
          <w:rFonts w:hint="eastAsia" w:ascii="Times New Roman" w:hAnsi="Times New Roman" w:eastAsia="仿宋_GB2312" w:cs="Times New Roman"/>
          <w:color w:val="auto"/>
          <w:sz w:val="32"/>
          <w:szCs w:val="32"/>
          <w:highlight w:val="none"/>
          <w:lang w:val="en-US" w:eastAsia="zh-CN"/>
        </w:rPr>
        <w:t>生产用车</w:t>
      </w:r>
      <w:r>
        <w:rPr>
          <w:rFonts w:hint="eastAsia" w:ascii="仿宋_GB2312" w:eastAsia="仿宋_GB2312"/>
          <w:color w:val="auto"/>
          <w:sz w:val="32"/>
          <w:szCs w:val="32"/>
        </w:rPr>
        <w:t>；</w:t>
      </w:r>
      <w:r>
        <w:rPr>
          <w:rFonts w:hint="eastAsia" w:ascii="Times New Roman" w:hAnsi="Times New Roman" w:eastAsia="仿宋_GB2312" w:cs="Times New Roman"/>
          <w:color w:val="auto"/>
          <w:sz w:val="32"/>
          <w:szCs w:val="32"/>
          <w:highlight w:val="none"/>
          <w:lang w:val="zh-CN" w:eastAsia="zh-CN"/>
        </w:rPr>
        <w:t>单价100万元（含）以上设备（不含车辆）0</w:t>
      </w:r>
      <w:r>
        <w:rPr>
          <w:rFonts w:hint="eastAsia" w:ascii="Times New Roman" w:hAnsi="Times New Roman" w:eastAsia="仿宋_GB2312" w:cs="Times New Roman"/>
          <w:color w:val="auto"/>
          <w:sz w:val="32"/>
          <w:szCs w:val="32"/>
          <w:highlight w:val="none"/>
          <w:lang w:val="en-US" w:eastAsia="zh-CN"/>
        </w:rPr>
        <w:t>台（</w:t>
      </w:r>
      <w:r>
        <w:rPr>
          <w:rFonts w:hint="eastAsia" w:ascii="Times New Roman" w:hAnsi="Times New Roman" w:eastAsia="仿宋_GB2312" w:cs="Times New Roman"/>
          <w:color w:val="auto"/>
          <w:sz w:val="32"/>
          <w:szCs w:val="32"/>
          <w:highlight w:val="none"/>
          <w:lang w:val="zh-CN" w:eastAsia="zh-CN"/>
        </w:rPr>
        <w:t>套）。</w:t>
      </w:r>
    </w:p>
    <w:p w14:paraId="612A614C">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28" w:name="_Toc11283"/>
      <w:bookmarkStart w:id="29" w:name="_Toc435"/>
      <w:r>
        <w:rPr>
          <w:rFonts w:hint="eastAsia" w:ascii="黑体" w:hAnsi="黑体" w:eastAsia="黑体" w:cs="宋体"/>
          <w:bCs/>
          <w:color w:val="auto"/>
          <w:kern w:val="0"/>
          <w:sz w:val="32"/>
          <w:szCs w:val="32"/>
          <w:highlight w:val="none"/>
          <w:lang w:eastAsia="zh-CN"/>
        </w:rPr>
        <w:t>十</w:t>
      </w:r>
      <w:r>
        <w:rPr>
          <w:rFonts w:hint="eastAsia" w:ascii="黑体" w:hAnsi="黑体" w:eastAsia="黑体" w:cs="宋体"/>
          <w:bCs/>
          <w:color w:val="auto"/>
          <w:kern w:val="0"/>
          <w:sz w:val="32"/>
          <w:szCs w:val="32"/>
          <w:highlight w:val="none"/>
          <w:lang w:val="en-US" w:eastAsia="zh-CN"/>
        </w:rPr>
        <w:t>一</w:t>
      </w:r>
      <w:r>
        <w:rPr>
          <w:rFonts w:hint="eastAsia" w:ascii="黑体" w:hAnsi="黑体" w:eastAsia="黑体" w:cs="宋体"/>
          <w:bCs/>
          <w:color w:val="auto"/>
          <w:kern w:val="0"/>
          <w:sz w:val="32"/>
          <w:szCs w:val="32"/>
          <w:highlight w:val="none"/>
          <w:lang w:eastAsia="zh-CN"/>
        </w:rPr>
        <w:t>、预算绩效的情况说明</w:t>
      </w:r>
      <w:bookmarkEnd w:id="28"/>
      <w:bookmarkEnd w:id="29"/>
    </w:p>
    <w:p w14:paraId="1E84232F">
      <w:pPr>
        <w:ind w:firstLine="640" w:firstLineChars="200"/>
        <w:rPr>
          <w:rFonts w:hint="eastAsia" w:ascii="仿宋_GB2312" w:hAnsi="仿宋_GB2312" w:eastAsia="仿宋_GB2312" w:cs="仿宋_GB2312"/>
          <w:color w:val="auto"/>
          <w:kern w:val="0"/>
          <w:sz w:val="32"/>
          <w:szCs w:val="32"/>
          <w:highlight w:val="none"/>
          <w:lang w:val="en-US" w:eastAsia="zh-Hans"/>
        </w:rPr>
      </w:pPr>
      <w:r>
        <w:rPr>
          <w:rFonts w:hint="eastAsia" w:ascii="仿宋_GB2312" w:eastAsia="仿宋_GB2312"/>
          <w:color w:val="auto"/>
          <w:sz w:val="32"/>
          <w:szCs w:val="32"/>
          <w:highlight w:val="none"/>
          <w:lang w:eastAsia="zh-CN"/>
        </w:rPr>
        <w:t>根据预算绩效管理要求，我</w:t>
      </w:r>
      <w:r>
        <w:rPr>
          <w:rFonts w:hint="eastAsia" w:ascii="仿宋_GB2312" w:eastAsia="仿宋_GB2312"/>
          <w:color w:val="auto"/>
          <w:sz w:val="32"/>
          <w:szCs w:val="32"/>
          <w:highlight w:val="none"/>
          <w:lang w:val="en-US" w:eastAsia="zh-CN"/>
        </w:rPr>
        <w:t>单位</w:t>
      </w:r>
      <w:r>
        <w:rPr>
          <w:rFonts w:hint="eastAsia" w:ascii="仿宋_GB2312" w:eastAsia="仿宋_GB2312"/>
          <w:color w:val="auto"/>
          <w:sz w:val="32"/>
          <w:szCs w:val="32"/>
          <w:highlight w:val="none"/>
          <w:lang w:eastAsia="zh-CN"/>
        </w:rPr>
        <w:t>2023年度预算绩效评价项目</w:t>
      </w:r>
      <w:r>
        <w:rPr>
          <w:rFonts w:hint="eastAsia" w:ascii="仿宋_GB2312" w:eastAsia="仿宋_GB2312"/>
          <w:color w:val="auto"/>
          <w:sz w:val="32"/>
          <w:szCs w:val="32"/>
          <w:highlight w:val="none"/>
          <w:lang w:val="en-US" w:eastAsia="zh-CN"/>
        </w:rPr>
        <w:t>5</w:t>
      </w:r>
      <w:r>
        <w:rPr>
          <w:rFonts w:hint="eastAsia" w:ascii="仿宋_GB2312" w:eastAsia="仿宋_GB2312"/>
          <w:color w:val="auto"/>
          <w:sz w:val="32"/>
          <w:szCs w:val="32"/>
          <w:highlight w:val="none"/>
          <w:lang w:eastAsia="zh-CN"/>
        </w:rPr>
        <w:t>个，</w:t>
      </w:r>
      <w:r>
        <w:rPr>
          <w:rFonts w:hint="eastAsia" w:ascii="仿宋_GB2312" w:eastAsia="仿宋_GB2312"/>
          <w:color w:val="auto"/>
          <w:sz w:val="32"/>
          <w:szCs w:val="32"/>
          <w:highlight w:val="none"/>
          <w:lang w:val="en-US" w:eastAsia="zh-CN"/>
        </w:rPr>
        <w:t>全年预算数</w:t>
      </w:r>
      <w:r>
        <w:rPr>
          <w:rFonts w:hint="eastAsia" w:ascii="Times New Roman" w:hAnsi="Times New Roman" w:eastAsia="仿宋_GB2312" w:cs="Times New Roman"/>
          <w:color w:val="auto"/>
          <w:sz w:val="32"/>
          <w:szCs w:val="32"/>
          <w:highlight w:val="none"/>
          <w:lang w:val="zh-CN" w:eastAsia="zh-CN"/>
        </w:rPr>
        <w:t>6,848.36</w:t>
      </w:r>
      <w:r>
        <w:rPr>
          <w:rFonts w:hint="eastAsia" w:ascii="仿宋_GB2312" w:eastAsia="仿宋_GB2312"/>
          <w:color w:val="auto"/>
          <w:sz w:val="32"/>
          <w:szCs w:val="32"/>
          <w:highlight w:val="none"/>
        </w:rPr>
        <w:t>万元</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lang w:val="en-US" w:eastAsia="zh-CN"/>
        </w:rPr>
        <w:t>全年执行数</w:t>
      </w:r>
      <w:r>
        <w:rPr>
          <w:rFonts w:hint="eastAsia" w:ascii="Times New Roman" w:hAnsi="Times New Roman" w:eastAsia="仿宋_GB2312" w:cs="Times New Roman"/>
          <w:color w:val="auto"/>
          <w:sz w:val="32"/>
          <w:szCs w:val="32"/>
          <w:highlight w:val="none"/>
          <w:lang w:val="zh-CN" w:eastAsia="zh-CN"/>
        </w:rPr>
        <w:t>6,848.36</w:t>
      </w:r>
      <w:r>
        <w:rPr>
          <w:rFonts w:hint="eastAsia" w:ascii="仿宋_GB2312" w:eastAsia="仿宋_GB2312"/>
          <w:color w:val="auto"/>
          <w:sz w:val="32"/>
          <w:szCs w:val="32"/>
          <w:highlight w:val="none"/>
        </w:rPr>
        <w:t>万元</w:t>
      </w:r>
      <w:r>
        <w:rPr>
          <w:rFonts w:hint="eastAsia" w:ascii="仿宋_GB2312" w:eastAsia="仿宋_GB2312"/>
          <w:color w:val="auto"/>
          <w:sz w:val="32"/>
          <w:szCs w:val="32"/>
          <w:highlight w:val="none"/>
          <w:lang w:eastAsia="zh-CN"/>
        </w:rPr>
        <w:t>。预算绩效管理取得的成效：</w:t>
      </w:r>
      <w:r>
        <w:rPr>
          <w:rFonts w:ascii="仿宋_GB2312" w:eastAsia="仿宋_GB2312"/>
          <w:color w:val="auto"/>
          <w:sz w:val="32"/>
          <w:szCs w:val="32"/>
        </w:rPr>
        <w:t>一是提高了财政资金的使用效益；二是预算绩效管理工作质量和水平有所增长；三是增强了单位的目标意识</w:t>
      </w:r>
      <w:r>
        <w:rPr>
          <w:rFonts w:hint="eastAsia" w:ascii="仿宋_GB2312" w:eastAsia="仿宋_GB2312"/>
          <w:color w:val="auto"/>
          <w:sz w:val="32"/>
          <w:szCs w:val="32"/>
          <w:highlight w:val="none"/>
          <w:lang w:eastAsia="zh-CN"/>
        </w:rPr>
        <w:t>。发现的问题及原因：</w:t>
      </w:r>
      <w:r>
        <w:rPr>
          <w:rFonts w:ascii="仿宋_GB2312" w:eastAsia="仿宋_GB2312"/>
          <w:color w:val="auto"/>
          <w:sz w:val="32"/>
          <w:szCs w:val="32"/>
        </w:rPr>
        <w:t>一是成本效益指标很难直观反映绩效管理成效；</w:t>
      </w:r>
      <w:r>
        <w:rPr>
          <w:rFonts w:hint="eastAsia" w:ascii="仿宋_GB2312" w:eastAsia="仿宋_GB2312"/>
          <w:color w:val="auto"/>
          <w:sz w:val="32"/>
          <w:szCs w:val="32"/>
          <w:lang w:val="en-US" w:eastAsia="zh-CN"/>
        </w:rPr>
        <w:t>二</w:t>
      </w:r>
      <w:r>
        <w:rPr>
          <w:rFonts w:ascii="仿宋_GB2312" w:eastAsia="仿宋_GB2312"/>
          <w:color w:val="auto"/>
          <w:sz w:val="32"/>
          <w:szCs w:val="32"/>
        </w:rPr>
        <w:t>是绩效实施不到位</w:t>
      </w:r>
      <w:r>
        <w:rPr>
          <w:rFonts w:hint="eastAsia" w:ascii="仿宋_GB2312" w:eastAsia="仿宋_GB2312"/>
          <w:color w:val="auto"/>
          <w:sz w:val="32"/>
          <w:szCs w:val="32"/>
        </w:rPr>
        <w:t>。</w:t>
      </w:r>
      <w:r>
        <w:rPr>
          <w:rFonts w:hint="eastAsia" w:ascii="仿宋_GB2312" w:eastAsia="仿宋_GB2312"/>
          <w:color w:val="auto"/>
          <w:sz w:val="32"/>
          <w:szCs w:val="32"/>
          <w:highlight w:val="none"/>
          <w:lang w:eastAsia="zh-CN"/>
        </w:rPr>
        <w:t>下一步改进措施：</w:t>
      </w:r>
      <w:r>
        <w:rPr>
          <w:rFonts w:ascii="仿宋_GB2312" w:eastAsia="仿宋_GB2312"/>
          <w:color w:val="auto"/>
          <w:sz w:val="32"/>
          <w:szCs w:val="32"/>
        </w:rPr>
        <w:t>一是设置</w:t>
      </w:r>
      <w:r>
        <w:rPr>
          <w:rFonts w:hint="eastAsia" w:ascii="仿宋_GB2312" w:eastAsia="仿宋_GB2312"/>
          <w:color w:val="auto"/>
          <w:sz w:val="32"/>
          <w:szCs w:val="32"/>
          <w:lang w:val="en-US" w:eastAsia="zh-CN"/>
        </w:rPr>
        <w:t>更为</w:t>
      </w:r>
      <w:r>
        <w:rPr>
          <w:rFonts w:ascii="仿宋_GB2312" w:eastAsia="仿宋_GB2312"/>
          <w:color w:val="auto"/>
          <w:sz w:val="32"/>
          <w:szCs w:val="32"/>
        </w:rPr>
        <w:t>合理的绩效指标；二是加强绩效目标管理；三是提高绩效评价结果运用</w:t>
      </w:r>
      <w:r>
        <w:rPr>
          <w:rFonts w:hint="eastAsia" w:ascii="仿宋_GB2312" w:eastAsia="仿宋_GB2312"/>
          <w:color w:val="auto"/>
          <w:sz w:val="32"/>
          <w:szCs w:val="32"/>
        </w:rPr>
        <w:t>。</w:t>
      </w:r>
      <w:r>
        <w:rPr>
          <w:rFonts w:hint="eastAsia" w:ascii="仿宋_GB2312" w:eastAsia="仿宋_GB2312"/>
          <w:color w:val="auto"/>
          <w:sz w:val="32"/>
          <w:szCs w:val="32"/>
          <w:highlight w:val="none"/>
          <w:lang w:eastAsia="zh-CN"/>
        </w:rPr>
        <w:t>具体</w:t>
      </w:r>
      <w:r>
        <w:rPr>
          <w:rFonts w:hint="eastAsia" w:ascii="仿宋_GB2312" w:eastAsia="仿宋_GB2312"/>
          <w:color w:val="auto"/>
          <w:sz w:val="32"/>
          <w:szCs w:val="32"/>
          <w:highlight w:val="none"/>
        </w:rPr>
        <w:t>项目自评情况附绩效自评表</w:t>
      </w:r>
      <w:r>
        <w:rPr>
          <w:rFonts w:hint="eastAsia" w:ascii="仿宋_GB2312" w:eastAsia="仿宋_GB2312"/>
          <w:color w:val="auto"/>
          <w:sz w:val="32"/>
          <w:szCs w:val="32"/>
          <w:highlight w:val="none"/>
          <w:lang w:val="en-US" w:eastAsia="zh-CN"/>
        </w:rPr>
        <w:t>及自评报告</w:t>
      </w:r>
      <w:r>
        <w:rPr>
          <w:rFonts w:hint="eastAsia" w:ascii="仿宋_GB2312" w:eastAsia="仿宋_GB2312"/>
          <w:color w:val="auto"/>
          <w:sz w:val="32"/>
          <w:szCs w:val="32"/>
          <w:highlight w:val="none"/>
        </w:rPr>
        <w:t>。</w:t>
      </w:r>
    </w:p>
    <w:p w14:paraId="2A0B81A8">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eastAsia="zh-CN"/>
        </w:rPr>
        <w:t>十</w:t>
      </w:r>
      <w:r>
        <w:rPr>
          <w:rFonts w:hint="eastAsia" w:ascii="黑体" w:hAnsi="黑体" w:eastAsia="黑体" w:cs="宋体"/>
          <w:bCs/>
          <w:color w:val="auto"/>
          <w:kern w:val="0"/>
          <w:sz w:val="32"/>
          <w:szCs w:val="32"/>
          <w:highlight w:val="none"/>
          <w:lang w:val="en-US" w:eastAsia="zh-CN"/>
        </w:rPr>
        <w:t>二</w:t>
      </w:r>
      <w:r>
        <w:rPr>
          <w:rFonts w:hint="eastAsia" w:ascii="黑体" w:hAnsi="黑体" w:eastAsia="黑体" w:cs="宋体"/>
          <w:bCs/>
          <w:color w:val="auto"/>
          <w:kern w:val="0"/>
          <w:sz w:val="32"/>
          <w:szCs w:val="32"/>
          <w:highlight w:val="none"/>
          <w:lang w:eastAsia="zh-CN"/>
        </w:rPr>
        <w:t>、其他需说明的事项</w:t>
      </w:r>
    </w:p>
    <w:p w14:paraId="119C5AF7">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hAnsi="仿宋_GB2312" w:eastAsia="仿宋_GB2312" w:cs="仿宋_GB2312"/>
          <w:color w:val="auto"/>
          <w:kern w:val="0"/>
          <w:sz w:val="32"/>
          <w:szCs w:val="32"/>
          <w:highlight w:val="none"/>
          <w:lang w:val="en-US" w:eastAsia="zh-CN"/>
        </w:rPr>
      </w:pPr>
      <w:r>
        <w:rPr>
          <w:rFonts w:hint="eastAsia" w:ascii="仿宋_GB2312" w:hAnsi="仿宋_GB2312" w:eastAsia="仿宋_GB2312" w:cs="仿宋_GB2312"/>
          <w:color w:val="auto"/>
          <w:kern w:val="0"/>
          <w:sz w:val="32"/>
          <w:szCs w:val="32"/>
          <w:highlight w:val="none"/>
          <w:lang w:val="en-US" w:eastAsia="zh-CN"/>
        </w:rPr>
        <w:t>本单位无其他需说明事项。</w:t>
      </w:r>
    </w:p>
    <w:p w14:paraId="294FCDEC">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hAnsi="仿宋_GB2312" w:eastAsia="仿宋_GB2312" w:cs="仿宋_GB2312"/>
          <w:color w:val="auto"/>
          <w:kern w:val="0"/>
          <w:sz w:val="32"/>
          <w:szCs w:val="32"/>
          <w:highlight w:val="none"/>
          <w:lang w:val="en-US" w:eastAsia="zh-CN"/>
        </w:rPr>
      </w:pPr>
    </w:p>
    <w:p w14:paraId="46F12DF4">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bookmarkStart w:id="30" w:name="_Toc24143"/>
      <w:bookmarkStart w:id="31" w:name="_Toc3250"/>
      <w:r>
        <w:rPr>
          <w:rFonts w:hint="eastAsia" w:ascii="黑体" w:hAnsi="黑体" w:eastAsia="黑体"/>
          <w:color w:val="auto"/>
          <w:sz w:val="32"/>
          <w:szCs w:val="32"/>
          <w:highlight w:val="none"/>
        </w:rPr>
        <w:br w:type="page"/>
      </w:r>
      <w:r>
        <w:rPr>
          <w:rFonts w:hint="eastAsia" w:ascii="黑体" w:hAnsi="黑体" w:eastAsia="黑体"/>
          <w:color w:val="auto"/>
          <w:sz w:val="32"/>
          <w:szCs w:val="32"/>
          <w:highlight w:val="none"/>
        </w:rPr>
        <w:t>第</w:t>
      </w:r>
      <w:r>
        <w:rPr>
          <w:rFonts w:hint="eastAsia" w:ascii="黑体" w:hAnsi="黑体" w:eastAsia="黑体"/>
          <w:color w:val="auto"/>
          <w:sz w:val="32"/>
          <w:szCs w:val="32"/>
          <w:highlight w:val="none"/>
          <w:lang w:val="en-US" w:eastAsia="zh-CN"/>
        </w:rPr>
        <w:t>三</w:t>
      </w:r>
      <w:r>
        <w:rPr>
          <w:rFonts w:hint="eastAsia" w:ascii="黑体" w:hAnsi="黑体" w:eastAsia="黑体"/>
          <w:color w:val="auto"/>
          <w:sz w:val="32"/>
          <w:szCs w:val="32"/>
          <w:highlight w:val="none"/>
        </w:rPr>
        <w:t>部分 专业名词解释</w:t>
      </w:r>
      <w:bookmarkEnd w:id="30"/>
      <w:bookmarkEnd w:id="31"/>
    </w:p>
    <w:p w14:paraId="24634C3C">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一、</w:t>
      </w:r>
      <w:r>
        <w:rPr>
          <w:rFonts w:hint="eastAsia" w:ascii="仿宋_GB2312" w:eastAsia="仿宋_GB2312"/>
          <w:b/>
          <w:bCs/>
          <w:color w:val="auto"/>
          <w:sz w:val="32"/>
          <w:szCs w:val="32"/>
          <w:highlight w:val="none"/>
        </w:rPr>
        <w:t>财政拨款收入：</w:t>
      </w:r>
      <w:r>
        <w:rPr>
          <w:rFonts w:hint="eastAsia" w:ascii="仿宋_GB2312" w:eastAsia="仿宋_GB2312"/>
          <w:color w:val="auto"/>
          <w:sz w:val="32"/>
          <w:szCs w:val="32"/>
          <w:highlight w:val="none"/>
        </w:rPr>
        <w:t>指同级财政当年拨付的资金。</w:t>
      </w:r>
    </w:p>
    <w:p w14:paraId="2053B737">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二、</w:t>
      </w:r>
      <w:r>
        <w:rPr>
          <w:rFonts w:hint="eastAsia" w:ascii="仿宋_GB2312" w:eastAsia="仿宋_GB2312"/>
          <w:b/>
          <w:bCs/>
          <w:color w:val="auto"/>
          <w:sz w:val="32"/>
          <w:szCs w:val="32"/>
          <w:highlight w:val="none"/>
        </w:rPr>
        <w:t>上级补助收入：</w:t>
      </w:r>
      <w:r>
        <w:rPr>
          <w:rFonts w:hint="eastAsia" w:ascii="仿宋_GB2312" w:eastAsia="仿宋_GB2312"/>
          <w:color w:val="auto"/>
          <w:sz w:val="32"/>
          <w:szCs w:val="32"/>
          <w:highlight w:val="none"/>
        </w:rPr>
        <w:t>指事业单位从主管部门和上级单位取得的非财政补助收入。</w:t>
      </w:r>
    </w:p>
    <w:p w14:paraId="4D86B98A">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三、</w:t>
      </w:r>
      <w:r>
        <w:rPr>
          <w:rFonts w:hint="eastAsia" w:ascii="仿宋_GB2312" w:eastAsia="仿宋_GB2312"/>
          <w:b/>
          <w:bCs/>
          <w:color w:val="auto"/>
          <w:sz w:val="32"/>
          <w:szCs w:val="32"/>
          <w:highlight w:val="none"/>
        </w:rPr>
        <w:t>事业收入：</w:t>
      </w:r>
      <w:r>
        <w:rPr>
          <w:rFonts w:hint="eastAsia" w:ascii="仿宋_GB2312" w:eastAsia="仿宋_GB2312"/>
          <w:color w:val="auto"/>
          <w:sz w:val="32"/>
          <w:szCs w:val="32"/>
          <w:highlight w:val="none"/>
        </w:rPr>
        <w:t>指事业单位开展专业业务活动及其辅助活动所取得的收入。</w:t>
      </w:r>
    </w:p>
    <w:p w14:paraId="39FBFAB6">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四、</w:t>
      </w:r>
      <w:r>
        <w:rPr>
          <w:rFonts w:hint="eastAsia" w:ascii="仿宋_GB2312" w:eastAsia="仿宋_GB2312"/>
          <w:b/>
          <w:bCs/>
          <w:color w:val="auto"/>
          <w:sz w:val="32"/>
          <w:szCs w:val="32"/>
          <w:highlight w:val="none"/>
        </w:rPr>
        <w:t>经营收入：</w:t>
      </w:r>
      <w:r>
        <w:rPr>
          <w:rFonts w:hint="eastAsia" w:ascii="仿宋_GB2312" w:eastAsia="仿宋_GB2312"/>
          <w:color w:val="auto"/>
          <w:sz w:val="32"/>
          <w:szCs w:val="32"/>
          <w:highlight w:val="none"/>
        </w:rPr>
        <w:t>指事业单位在专业业务活动及其辅助活动之外开展非独立核算经营活动取得的收入。</w:t>
      </w:r>
    </w:p>
    <w:p w14:paraId="0C0ED085">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五、</w:t>
      </w:r>
      <w:r>
        <w:rPr>
          <w:rFonts w:hint="eastAsia" w:ascii="仿宋_GB2312" w:eastAsia="仿宋_GB2312"/>
          <w:b/>
          <w:bCs/>
          <w:color w:val="auto"/>
          <w:sz w:val="32"/>
          <w:szCs w:val="32"/>
          <w:highlight w:val="none"/>
        </w:rPr>
        <w:t>附属单位上缴收入：</w:t>
      </w:r>
      <w:r>
        <w:rPr>
          <w:rFonts w:hint="eastAsia" w:ascii="仿宋_GB2312" w:eastAsia="仿宋_GB2312"/>
          <w:color w:val="auto"/>
          <w:sz w:val="32"/>
          <w:szCs w:val="32"/>
          <w:highlight w:val="none"/>
        </w:rPr>
        <w:t>指事业单位附属的独立核算单位按有关规定上缴的收入。</w:t>
      </w:r>
    </w:p>
    <w:p w14:paraId="081F8F8F">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六、</w:t>
      </w:r>
      <w:r>
        <w:rPr>
          <w:rFonts w:hint="eastAsia" w:ascii="仿宋_GB2312" w:eastAsia="仿宋_GB2312"/>
          <w:b/>
          <w:bCs/>
          <w:color w:val="auto"/>
          <w:sz w:val="32"/>
          <w:szCs w:val="32"/>
          <w:highlight w:val="none"/>
        </w:rPr>
        <w:t>其他收入：</w:t>
      </w:r>
      <w:r>
        <w:rPr>
          <w:rFonts w:hint="eastAsia" w:ascii="仿宋_GB2312" w:eastAsia="仿宋_GB2312"/>
          <w:color w:val="auto"/>
          <w:sz w:val="32"/>
          <w:szCs w:val="32"/>
          <w:highlight w:val="none"/>
        </w:rPr>
        <w:t>指除上述“财政拨款收入”、“事业收入”、“经营收入”、“附属单位上缴收入”等之外取得的收入。</w:t>
      </w:r>
    </w:p>
    <w:p w14:paraId="49772719">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七、</w:t>
      </w:r>
      <w:r>
        <w:rPr>
          <w:rFonts w:hint="eastAsia" w:ascii="仿宋_GB2312" w:eastAsia="仿宋_GB2312"/>
          <w:b/>
          <w:bCs/>
          <w:color w:val="auto"/>
          <w:sz w:val="32"/>
          <w:szCs w:val="32"/>
          <w:highlight w:val="none"/>
          <w:lang w:eastAsia="zh-CN"/>
        </w:rPr>
        <w:t>年初</w:t>
      </w:r>
      <w:r>
        <w:rPr>
          <w:rFonts w:hint="eastAsia" w:ascii="仿宋_GB2312" w:eastAsia="仿宋_GB2312"/>
          <w:b/>
          <w:bCs/>
          <w:color w:val="auto"/>
          <w:sz w:val="32"/>
          <w:szCs w:val="32"/>
          <w:highlight w:val="none"/>
        </w:rPr>
        <w:t>结转和结余：</w:t>
      </w:r>
      <w:r>
        <w:rPr>
          <w:rFonts w:hint="eastAsia" w:ascii="仿宋_GB2312" w:eastAsia="仿宋_GB2312"/>
          <w:color w:val="auto"/>
          <w:sz w:val="32"/>
          <w:szCs w:val="32"/>
          <w:highlight w:val="none"/>
        </w:rPr>
        <w:t>指以前年度支出预算因客观条件变化未执行完毕、结转到本年度按有关规定继续使用的资金，既包括财政拨款结转和结余，也包括事业收入、经营收入、其他收入的结转和结余。</w:t>
      </w:r>
    </w:p>
    <w:p w14:paraId="253D971A">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八、</w:t>
      </w:r>
      <w:r>
        <w:rPr>
          <w:rFonts w:hint="eastAsia" w:ascii="仿宋_GB2312" w:eastAsia="仿宋_GB2312"/>
          <w:b/>
          <w:bCs/>
          <w:color w:val="auto"/>
          <w:sz w:val="32"/>
          <w:szCs w:val="32"/>
          <w:highlight w:val="none"/>
        </w:rPr>
        <w:t>年末结转和结余：</w:t>
      </w:r>
      <w:r>
        <w:rPr>
          <w:rFonts w:hint="eastAsia" w:ascii="仿宋_GB2312" w:eastAsia="仿宋_GB2312"/>
          <w:color w:val="auto"/>
          <w:sz w:val="32"/>
          <w:szCs w:val="32"/>
          <w:highlight w:val="none"/>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49C48E59">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九、</w:t>
      </w:r>
      <w:r>
        <w:rPr>
          <w:rFonts w:hint="eastAsia" w:ascii="仿宋_GB2312" w:eastAsia="仿宋_GB2312"/>
          <w:b/>
          <w:bCs/>
          <w:color w:val="auto"/>
          <w:sz w:val="32"/>
          <w:szCs w:val="32"/>
          <w:highlight w:val="none"/>
        </w:rPr>
        <w:t>基本支出：</w:t>
      </w:r>
      <w:r>
        <w:rPr>
          <w:rFonts w:hint="eastAsia" w:ascii="仿宋_GB2312" w:eastAsia="仿宋_GB2312"/>
          <w:color w:val="auto"/>
          <w:sz w:val="32"/>
          <w:szCs w:val="32"/>
          <w:highlight w:val="none"/>
        </w:rPr>
        <w:t>指为保障机构正常运转、完成日常工作任务而发生的人员支出和公用支出。</w:t>
      </w:r>
    </w:p>
    <w:p w14:paraId="52752AF7">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w:t>
      </w:r>
      <w:r>
        <w:rPr>
          <w:rFonts w:hint="eastAsia" w:ascii="仿宋_GB2312" w:eastAsia="仿宋_GB2312"/>
          <w:b/>
          <w:bCs/>
          <w:color w:val="auto"/>
          <w:sz w:val="32"/>
          <w:szCs w:val="32"/>
          <w:highlight w:val="none"/>
        </w:rPr>
        <w:t>项目支出：</w:t>
      </w:r>
      <w:r>
        <w:rPr>
          <w:rFonts w:hint="eastAsia" w:ascii="仿宋_GB2312" w:eastAsia="仿宋_GB2312"/>
          <w:color w:val="auto"/>
          <w:sz w:val="32"/>
          <w:szCs w:val="32"/>
          <w:highlight w:val="none"/>
        </w:rPr>
        <w:t>指在基本支出之外为完成特定行政任务和事业发展目标所发生的支出。</w:t>
      </w:r>
    </w:p>
    <w:p w14:paraId="1A20CF24">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十一、</w:t>
      </w:r>
      <w:r>
        <w:rPr>
          <w:rFonts w:hint="eastAsia" w:ascii="仿宋_GB2312" w:eastAsia="仿宋_GB2312"/>
          <w:b/>
          <w:bCs/>
          <w:color w:val="auto"/>
          <w:sz w:val="32"/>
          <w:szCs w:val="32"/>
          <w:highlight w:val="none"/>
        </w:rPr>
        <w:t>经营支出：</w:t>
      </w:r>
      <w:r>
        <w:rPr>
          <w:rFonts w:hint="eastAsia" w:ascii="仿宋_GB2312" w:eastAsia="仿宋_GB2312"/>
          <w:color w:val="auto"/>
          <w:sz w:val="32"/>
          <w:szCs w:val="32"/>
          <w:highlight w:val="none"/>
        </w:rPr>
        <w:t>指事业单位在专业业务活动及其辅助活动之外开展非独立核算经营活动发生的支出。</w:t>
      </w:r>
    </w:p>
    <w:p w14:paraId="66974263">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十二、</w:t>
      </w:r>
      <w:r>
        <w:rPr>
          <w:rFonts w:hint="eastAsia" w:ascii="仿宋_GB2312" w:eastAsia="仿宋_GB2312"/>
          <w:b/>
          <w:bCs/>
          <w:color w:val="auto"/>
          <w:sz w:val="32"/>
          <w:szCs w:val="32"/>
          <w:highlight w:val="none"/>
        </w:rPr>
        <w:t>对附属单位补助支出：</w:t>
      </w:r>
      <w:r>
        <w:rPr>
          <w:rFonts w:hint="eastAsia" w:ascii="仿宋_GB2312" w:eastAsia="仿宋_GB2312"/>
          <w:color w:val="auto"/>
          <w:sz w:val="32"/>
          <w:szCs w:val="32"/>
          <w:highlight w:val="none"/>
        </w:rPr>
        <w:t>指事业单位发生的用非财政预算资金对附属单位的补助支出。</w:t>
      </w:r>
    </w:p>
    <w:p w14:paraId="3111B21A">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textAlignment w:val="auto"/>
        <w:rPr>
          <w:rFonts w:hint="eastAsia" w:ascii="仿宋_GB2312" w:eastAsia="仿宋_GB2312"/>
          <w:color w:val="auto"/>
          <w:sz w:val="32"/>
          <w:szCs w:val="32"/>
          <w:highlight w:val="none"/>
          <w:lang w:eastAsia="zh-CN"/>
        </w:rPr>
      </w:pPr>
      <w:r>
        <w:rPr>
          <w:rFonts w:hint="eastAsia" w:ascii="仿宋_GB2312" w:eastAsia="仿宋_GB2312"/>
          <w:b/>
          <w:bCs/>
          <w:color w:val="auto"/>
          <w:sz w:val="32"/>
          <w:szCs w:val="32"/>
          <w:highlight w:val="none"/>
          <w:lang w:val="en-US" w:eastAsia="zh-CN"/>
        </w:rPr>
        <w:t>十三、</w:t>
      </w:r>
      <w:r>
        <w:rPr>
          <w:rFonts w:hint="eastAsia" w:ascii="仿宋_GB2312" w:eastAsia="仿宋_GB2312"/>
          <w:b/>
          <w:bCs/>
          <w:color w:val="auto"/>
          <w:sz w:val="32"/>
          <w:szCs w:val="32"/>
          <w:highlight w:val="none"/>
        </w:rPr>
        <w:t>“三公”经费：</w:t>
      </w:r>
      <w:r>
        <w:rPr>
          <w:rFonts w:hint="eastAsia" w:ascii="仿宋_GB2312" w:eastAsia="仿宋_GB2312"/>
          <w:color w:val="auto"/>
          <w:sz w:val="32"/>
          <w:szCs w:val="32"/>
          <w:highlight w:val="none"/>
        </w:rPr>
        <w:t>指用财政拨款安排的因公出国（境）费、公务用车购置及运行费和公务接待费。其中，因公出国（境）费反映单位公务出国（境）的</w:t>
      </w:r>
      <w:r>
        <w:rPr>
          <w:rFonts w:hint="eastAsia" w:ascii="仿宋_GB2312" w:eastAsia="仿宋_GB2312"/>
          <w:color w:val="auto"/>
          <w:sz w:val="32"/>
          <w:szCs w:val="32"/>
          <w:highlight w:val="none"/>
          <w:lang w:eastAsia="zh-CN"/>
        </w:rPr>
        <w:t>国际旅费、国外城市间交通费、</w:t>
      </w:r>
      <w:r>
        <w:rPr>
          <w:rFonts w:hint="eastAsia" w:ascii="仿宋_GB2312" w:eastAsia="仿宋_GB2312"/>
          <w:color w:val="auto"/>
          <w:sz w:val="32"/>
          <w:szCs w:val="32"/>
          <w:highlight w:val="none"/>
        </w:rPr>
        <w:t>住宿费、伙食费、培训费、</w:t>
      </w:r>
      <w:r>
        <w:rPr>
          <w:rFonts w:hint="eastAsia" w:ascii="仿宋_GB2312" w:eastAsia="仿宋_GB2312"/>
          <w:color w:val="auto"/>
          <w:sz w:val="32"/>
          <w:szCs w:val="32"/>
          <w:highlight w:val="none"/>
          <w:lang w:eastAsia="zh-CN"/>
        </w:rPr>
        <w:t>公</w:t>
      </w:r>
      <w:r>
        <w:rPr>
          <w:rFonts w:hint="eastAsia" w:ascii="仿宋_GB2312" w:eastAsia="仿宋_GB2312"/>
          <w:color w:val="auto"/>
          <w:sz w:val="32"/>
          <w:szCs w:val="32"/>
          <w:highlight w:val="none"/>
        </w:rPr>
        <w:t>杂费等支出；公务用车购置费</w:t>
      </w:r>
      <w:r>
        <w:rPr>
          <w:rFonts w:hint="eastAsia" w:ascii="仿宋_GB2312" w:eastAsia="仿宋_GB2312"/>
          <w:color w:val="auto"/>
          <w:sz w:val="32"/>
          <w:szCs w:val="32"/>
          <w:highlight w:val="none"/>
          <w:lang w:eastAsia="zh-CN"/>
        </w:rPr>
        <w:t>反映公务用车购置支出（含车辆购置税、牌照费）；</w:t>
      </w:r>
      <w:r>
        <w:rPr>
          <w:rFonts w:hint="eastAsia" w:ascii="仿宋_GB2312" w:eastAsia="仿宋_GB2312"/>
          <w:color w:val="auto"/>
          <w:sz w:val="32"/>
          <w:szCs w:val="32"/>
          <w:highlight w:val="none"/>
        </w:rPr>
        <w:t>公务用车运行</w:t>
      </w:r>
      <w:r>
        <w:rPr>
          <w:rFonts w:hint="eastAsia" w:ascii="仿宋_GB2312" w:eastAsia="仿宋_GB2312"/>
          <w:color w:val="auto"/>
          <w:sz w:val="32"/>
          <w:szCs w:val="32"/>
          <w:highlight w:val="none"/>
          <w:lang w:eastAsia="zh-CN"/>
        </w:rPr>
        <w:t>维护</w:t>
      </w:r>
      <w:r>
        <w:rPr>
          <w:rFonts w:hint="eastAsia" w:ascii="仿宋_GB2312" w:eastAsia="仿宋_GB2312"/>
          <w:color w:val="auto"/>
          <w:sz w:val="32"/>
          <w:szCs w:val="32"/>
          <w:highlight w:val="none"/>
        </w:rPr>
        <w:t>费反映</w:t>
      </w:r>
      <w:r>
        <w:rPr>
          <w:rFonts w:hint="eastAsia" w:ascii="仿宋_GB2312" w:eastAsia="仿宋_GB2312"/>
          <w:color w:val="auto"/>
          <w:sz w:val="32"/>
          <w:szCs w:val="32"/>
          <w:highlight w:val="none"/>
          <w:lang w:eastAsia="zh-CN"/>
        </w:rPr>
        <w:t>单位按规定保留的公务用车燃料费、维修费、</w:t>
      </w:r>
      <w:r>
        <w:rPr>
          <w:rFonts w:hint="eastAsia" w:ascii="仿宋_GB2312" w:eastAsia="仿宋_GB2312"/>
          <w:color w:val="auto"/>
          <w:sz w:val="32"/>
          <w:szCs w:val="32"/>
          <w:highlight w:val="none"/>
        </w:rPr>
        <w:t>过路过桥费、保险费、安全奖励费用等支出</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公务接待费反映单位按规定开支的各类公务接待（含外宾接待）</w:t>
      </w:r>
      <w:r>
        <w:rPr>
          <w:rFonts w:hint="eastAsia" w:ascii="仿宋_GB2312" w:eastAsia="仿宋_GB2312"/>
          <w:color w:val="auto"/>
          <w:sz w:val="32"/>
          <w:szCs w:val="32"/>
          <w:highlight w:val="none"/>
          <w:lang w:eastAsia="zh-CN"/>
        </w:rPr>
        <w:t>费用</w:t>
      </w:r>
      <w:r>
        <w:rPr>
          <w:rFonts w:hint="eastAsia" w:ascii="仿宋_GB2312" w:eastAsia="仿宋_GB2312"/>
          <w:color w:val="auto"/>
          <w:sz w:val="32"/>
          <w:szCs w:val="32"/>
          <w:highlight w:val="none"/>
        </w:rPr>
        <w:t>。</w:t>
      </w:r>
    </w:p>
    <w:p w14:paraId="226BE9E7">
      <w:pPr>
        <w:keepNext w:val="0"/>
        <w:keepLines w:val="0"/>
        <w:pageBreakBefore w:val="0"/>
        <w:widowControl w:val="0"/>
        <w:kinsoku/>
        <w:wordWrap/>
        <w:overflowPunct/>
        <w:topLinePunct w:val="0"/>
        <w:bidi w:val="0"/>
        <w:adjustRightInd/>
        <w:snapToGrid/>
        <w:spacing w:line="240" w:lineRule="auto"/>
        <w:ind w:firstLine="643" w:firstLineChars="200"/>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十四、</w:t>
      </w:r>
      <w:r>
        <w:rPr>
          <w:rFonts w:hint="eastAsia" w:ascii="仿宋_GB2312" w:eastAsia="仿宋_GB2312"/>
          <w:b/>
          <w:bCs/>
          <w:color w:val="auto"/>
          <w:sz w:val="32"/>
          <w:szCs w:val="32"/>
          <w:highlight w:val="none"/>
        </w:rPr>
        <w:t>机关运行经费：</w:t>
      </w:r>
      <w:r>
        <w:rPr>
          <w:rFonts w:hint="eastAsia" w:ascii="仿宋_GB2312" w:eastAsia="仿宋_GB2312"/>
          <w:color w:val="auto"/>
          <w:sz w:val="32"/>
          <w:szCs w:val="32"/>
          <w:highlight w:val="none"/>
        </w:rPr>
        <w:t>行政单位和参照公务员法管理的事业单位财政拨款基本支出中的公用经费支出。</w:t>
      </w:r>
    </w:p>
    <w:p w14:paraId="100C09EF">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color w:val="auto"/>
          <w:sz w:val="32"/>
          <w:szCs w:val="32"/>
          <w:highlight w:val="none"/>
        </w:rPr>
      </w:pPr>
      <w:r>
        <w:rPr>
          <w:rFonts w:hint="eastAsia" w:ascii="仿宋_GB2312" w:eastAsia="仿宋_GB2312"/>
          <w:color w:val="auto"/>
          <w:sz w:val="32"/>
          <w:szCs w:val="32"/>
          <w:highlight w:val="none"/>
        </w:rPr>
        <w:br w:type="page"/>
      </w:r>
      <w:r>
        <w:rPr>
          <w:rFonts w:hint="eastAsia" w:ascii="黑体" w:hAnsi="黑体" w:eastAsia="黑体"/>
          <w:color w:val="auto"/>
          <w:sz w:val="32"/>
          <w:szCs w:val="32"/>
          <w:highlight w:val="none"/>
        </w:rPr>
        <w:t>第四部分 部门决算报表（见附表）</w:t>
      </w:r>
    </w:p>
    <w:p w14:paraId="4F73F520">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2" w:name="_Toc6062"/>
      <w:bookmarkStart w:id="33" w:name="_Toc2183"/>
      <w:r>
        <w:rPr>
          <w:rFonts w:hint="eastAsia" w:ascii="黑体" w:hAnsi="黑体" w:eastAsia="仿宋_GB2312" w:cs="宋体"/>
          <w:bCs/>
          <w:color w:val="auto"/>
          <w:kern w:val="0"/>
          <w:sz w:val="32"/>
          <w:szCs w:val="32"/>
          <w:highlight w:val="none"/>
        </w:rPr>
        <w:t>一、《收入支出决算总表》</w:t>
      </w:r>
      <w:bookmarkEnd w:id="32"/>
      <w:bookmarkEnd w:id="33"/>
    </w:p>
    <w:p w14:paraId="19144DC3">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4" w:name="_Toc30364"/>
      <w:bookmarkStart w:id="35" w:name="_Toc24532"/>
      <w:r>
        <w:rPr>
          <w:rFonts w:hint="eastAsia" w:ascii="黑体" w:hAnsi="黑体" w:eastAsia="仿宋_GB2312" w:cs="宋体"/>
          <w:bCs/>
          <w:color w:val="auto"/>
          <w:kern w:val="0"/>
          <w:sz w:val="32"/>
          <w:szCs w:val="32"/>
          <w:highlight w:val="none"/>
        </w:rPr>
        <w:t>二、《收入决算表》</w:t>
      </w:r>
      <w:bookmarkEnd w:id="34"/>
      <w:bookmarkEnd w:id="35"/>
    </w:p>
    <w:p w14:paraId="16F9E385">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6" w:name="_Toc32434"/>
      <w:bookmarkStart w:id="37" w:name="_Toc21304"/>
      <w:r>
        <w:rPr>
          <w:rFonts w:hint="eastAsia" w:ascii="黑体" w:hAnsi="黑体" w:eastAsia="仿宋_GB2312" w:cs="宋体"/>
          <w:bCs/>
          <w:color w:val="auto"/>
          <w:kern w:val="0"/>
          <w:sz w:val="32"/>
          <w:szCs w:val="32"/>
          <w:highlight w:val="none"/>
        </w:rPr>
        <w:t>三、《支出决算表》</w:t>
      </w:r>
      <w:bookmarkEnd w:id="36"/>
      <w:bookmarkEnd w:id="37"/>
    </w:p>
    <w:p w14:paraId="1CC6A6E5">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8" w:name="_Toc28786"/>
      <w:bookmarkStart w:id="39" w:name="_Toc14238"/>
      <w:r>
        <w:rPr>
          <w:rFonts w:hint="eastAsia" w:ascii="黑体" w:hAnsi="黑体" w:eastAsia="仿宋_GB2312" w:cs="宋体"/>
          <w:bCs/>
          <w:color w:val="auto"/>
          <w:kern w:val="0"/>
          <w:sz w:val="32"/>
          <w:szCs w:val="32"/>
          <w:highlight w:val="none"/>
        </w:rPr>
        <w:t>四、《财政拨款收入支出决算总表》</w:t>
      </w:r>
      <w:bookmarkEnd w:id="38"/>
      <w:bookmarkEnd w:id="39"/>
    </w:p>
    <w:p w14:paraId="3B56624A">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40" w:name="_Toc10347"/>
      <w:bookmarkStart w:id="41" w:name="_Toc14869"/>
      <w:r>
        <w:rPr>
          <w:rFonts w:hint="eastAsia" w:ascii="黑体" w:hAnsi="黑体" w:eastAsia="仿宋_GB2312" w:cs="宋体"/>
          <w:bCs/>
          <w:color w:val="auto"/>
          <w:kern w:val="0"/>
          <w:sz w:val="32"/>
          <w:szCs w:val="32"/>
          <w:highlight w:val="none"/>
        </w:rPr>
        <w:t>五、《一般公共预算财政拨款支出决算表》</w:t>
      </w:r>
      <w:bookmarkEnd w:id="40"/>
      <w:bookmarkEnd w:id="41"/>
    </w:p>
    <w:p w14:paraId="2FCEAAE0">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42" w:name="_Toc5626"/>
      <w:bookmarkStart w:id="43" w:name="_Toc8884"/>
      <w:r>
        <w:rPr>
          <w:rFonts w:hint="eastAsia" w:ascii="黑体" w:hAnsi="黑体" w:eastAsia="仿宋_GB2312" w:cs="宋体"/>
          <w:bCs/>
          <w:color w:val="auto"/>
          <w:kern w:val="0"/>
          <w:sz w:val="32"/>
          <w:szCs w:val="32"/>
          <w:highlight w:val="none"/>
        </w:rPr>
        <w:t>六、《一般公共预算财政拨款基本支出决算表》</w:t>
      </w:r>
      <w:bookmarkEnd w:id="42"/>
      <w:bookmarkEnd w:id="43"/>
    </w:p>
    <w:p w14:paraId="5A2EAEA4">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r>
        <w:rPr>
          <w:rFonts w:hint="eastAsia" w:ascii="黑体" w:hAnsi="黑体" w:eastAsia="仿宋_GB2312" w:cs="宋体"/>
          <w:bCs/>
          <w:color w:val="auto"/>
          <w:kern w:val="0"/>
          <w:sz w:val="32"/>
          <w:szCs w:val="32"/>
          <w:highlight w:val="none"/>
        </w:rPr>
        <w:t>七、</w:t>
      </w:r>
      <w:bookmarkStart w:id="44" w:name="_Toc32663"/>
      <w:bookmarkStart w:id="45" w:name="_Toc29106"/>
      <w:r>
        <w:rPr>
          <w:rFonts w:hint="eastAsia" w:ascii="黑体" w:hAnsi="黑体" w:eastAsia="仿宋_GB2312" w:cs="宋体"/>
          <w:bCs/>
          <w:color w:val="auto"/>
          <w:kern w:val="0"/>
          <w:sz w:val="32"/>
          <w:szCs w:val="32"/>
          <w:highlight w:val="none"/>
        </w:rPr>
        <w:t>《财政拨款“三公”经费支出决算表》</w:t>
      </w:r>
      <w:bookmarkEnd w:id="44"/>
      <w:bookmarkEnd w:id="45"/>
    </w:p>
    <w:p w14:paraId="070C2207">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46" w:name="_Toc7643"/>
      <w:bookmarkStart w:id="47" w:name="_Toc5453"/>
      <w:r>
        <w:rPr>
          <w:rFonts w:hint="eastAsia" w:ascii="黑体" w:hAnsi="黑体" w:eastAsia="仿宋_GB2312" w:cs="宋体"/>
          <w:bCs/>
          <w:color w:val="auto"/>
          <w:kern w:val="0"/>
          <w:sz w:val="32"/>
          <w:szCs w:val="32"/>
          <w:highlight w:val="none"/>
        </w:rPr>
        <w:t>八、《政府性基金预算财政拨款收入支出决算表》</w:t>
      </w:r>
      <w:bookmarkEnd w:id="46"/>
      <w:bookmarkEnd w:id="47"/>
    </w:p>
    <w:p w14:paraId="777822B3">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r>
        <w:rPr>
          <w:rFonts w:hint="eastAsia" w:ascii="黑体" w:hAnsi="黑体" w:eastAsia="仿宋_GB2312" w:cs="宋体"/>
          <w:bCs/>
          <w:color w:val="auto"/>
          <w:kern w:val="0"/>
          <w:sz w:val="32"/>
          <w:szCs w:val="32"/>
          <w:highlight w:val="none"/>
          <w:lang w:val="en-US" w:eastAsia="zh-CN"/>
        </w:rPr>
        <w:t>九</w:t>
      </w:r>
      <w:r>
        <w:rPr>
          <w:rFonts w:hint="eastAsia" w:ascii="黑体" w:hAnsi="黑体" w:eastAsia="仿宋_GB2312" w:cs="宋体"/>
          <w:bCs/>
          <w:color w:val="auto"/>
          <w:kern w:val="0"/>
          <w:sz w:val="32"/>
          <w:szCs w:val="32"/>
          <w:highlight w:val="none"/>
        </w:rPr>
        <w:t>、《</w:t>
      </w:r>
      <w:r>
        <w:rPr>
          <w:rFonts w:hint="eastAsia" w:ascii="黑体" w:hAnsi="黑体" w:eastAsia="仿宋_GB2312" w:cs="宋体"/>
          <w:bCs/>
          <w:color w:val="auto"/>
          <w:kern w:val="0"/>
          <w:sz w:val="32"/>
          <w:szCs w:val="32"/>
          <w:highlight w:val="none"/>
          <w:lang w:eastAsia="zh-CN"/>
        </w:rPr>
        <w:t>国有资本经营</w:t>
      </w:r>
      <w:r>
        <w:rPr>
          <w:rFonts w:hint="eastAsia" w:ascii="黑体" w:hAnsi="黑体" w:eastAsia="仿宋_GB2312" w:cs="宋体"/>
          <w:bCs/>
          <w:color w:val="auto"/>
          <w:kern w:val="0"/>
          <w:sz w:val="32"/>
          <w:szCs w:val="32"/>
          <w:highlight w:val="none"/>
        </w:rPr>
        <w:t>预算财政拨款收入支出决算表》</w:t>
      </w:r>
    </w:p>
    <w:p w14:paraId="5D67C2A0">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rPr>
      </w:pPr>
    </w:p>
    <w:p w14:paraId="04B6B7A2">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_GBK">
    <w:panose1 w:val="03000509000000000000"/>
    <w:charset w:val="86"/>
    <w:family w:val="script"/>
    <w:pitch w:val="default"/>
    <w:sig w:usb0="00000001" w:usb1="080E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01CC25F">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196D8265">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196D8265">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03F031D"/>
    <w:multiLevelType w:val="singleLevel"/>
    <w:tmpl w:val="103F031D"/>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RmODUxNzIwMTAzMjQ0MjUxMmFjNWJjOWQ5YjU0YjUifQ=="/>
    <w:docVar w:name="KSO_WPS_MARK_KEY" w:val="41ee2a61-2d54-4f93-83be-afdb9a40d732"/>
  </w:docVars>
  <w:rsids>
    <w:rsidRoot w:val="00000000"/>
    <w:rsid w:val="00213C59"/>
    <w:rsid w:val="003210CE"/>
    <w:rsid w:val="00B70D59"/>
    <w:rsid w:val="00F52A8D"/>
    <w:rsid w:val="016851B2"/>
    <w:rsid w:val="019404F8"/>
    <w:rsid w:val="02BD3108"/>
    <w:rsid w:val="02F73D26"/>
    <w:rsid w:val="034D4FEF"/>
    <w:rsid w:val="035D1785"/>
    <w:rsid w:val="039F47CE"/>
    <w:rsid w:val="03E05CE8"/>
    <w:rsid w:val="03F973EE"/>
    <w:rsid w:val="043E5B56"/>
    <w:rsid w:val="04C04386"/>
    <w:rsid w:val="04D96608"/>
    <w:rsid w:val="04FA68C4"/>
    <w:rsid w:val="053F5AE6"/>
    <w:rsid w:val="057C0B0F"/>
    <w:rsid w:val="05EF4B48"/>
    <w:rsid w:val="05F76ECA"/>
    <w:rsid w:val="06792773"/>
    <w:rsid w:val="07093795"/>
    <w:rsid w:val="07804730"/>
    <w:rsid w:val="079052BE"/>
    <w:rsid w:val="08145C21"/>
    <w:rsid w:val="08422688"/>
    <w:rsid w:val="085854ED"/>
    <w:rsid w:val="0879188F"/>
    <w:rsid w:val="08A0354D"/>
    <w:rsid w:val="08CD4C49"/>
    <w:rsid w:val="09114954"/>
    <w:rsid w:val="095A5B83"/>
    <w:rsid w:val="096466E3"/>
    <w:rsid w:val="0968304D"/>
    <w:rsid w:val="097529B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4903E8"/>
    <w:rsid w:val="0D7A4A46"/>
    <w:rsid w:val="0E640559"/>
    <w:rsid w:val="0F1113DA"/>
    <w:rsid w:val="0F78534A"/>
    <w:rsid w:val="0F89358A"/>
    <w:rsid w:val="0F8C6D51"/>
    <w:rsid w:val="105B0B5E"/>
    <w:rsid w:val="112E58D0"/>
    <w:rsid w:val="11456FD4"/>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D50C50"/>
    <w:rsid w:val="16E120E1"/>
    <w:rsid w:val="17385A05"/>
    <w:rsid w:val="173B3901"/>
    <w:rsid w:val="176747F9"/>
    <w:rsid w:val="17954A6E"/>
    <w:rsid w:val="180059E9"/>
    <w:rsid w:val="184510FD"/>
    <w:rsid w:val="190648B0"/>
    <w:rsid w:val="19071D6C"/>
    <w:rsid w:val="19D26CD4"/>
    <w:rsid w:val="19E60D19"/>
    <w:rsid w:val="1A3E3450"/>
    <w:rsid w:val="1AD807E5"/>
    <w:rsid w:val="1B39345B"/>
    <w:rsid w:val="1B9032D2"/>
    <w:rsid w:val="1BFB2A1F"/>
    <w:rsid w:val="1C015D4A"/>
    <w:rsid w:val="1C290ED5"/>
    <w:rsid w:val="1C317E4F"/>
    <w:rsid w:val="1C472464"/>
    <w:rsid w:val="1D22799A"/>
    <w:rsid w:val="1D5C1A72"/>
    <w:rsid w:val="1DAF458D"/>
    <w:rsid w:val="1DC55869"/>
    <w:rsid w:val="1E086ACE"/>
    <w:rsid w:val="1E62130A"/>
    <w:rsid w:val="1E97358B"/>
    <w:rsid w:val="1EAA4A5F"/>
    <w:rsid w:val="1EE869A7"/>
    <w:rsid w:val="1FA15E62"/>
    <w:rsid w:val="1FED69B6"/>
    <w:rsid w:val="2064678E"/>
    <w:rsid w:val="20DC1AB9"/>
    <w:rsid w:val="20DD6197"/>
    <w:rsid w:val="212631E0"/>
    <w:rsid w:val="21A53757"/>
    <w:rsid w:val="21AA1BC7"/>
    <w:rsid w:val="221236C6"/>
    <w:rsid w:val="22D16A5E"/>
    <w:rsid w:val="22D7662C"/>
    <w:rsid w:val="23326B7F"/>
    <w:rsid w:val="2380045B"/>
    <w:rsid w:val="23BC04D2"/>
    <w:rsid w:val="23EF1892"/>
    <w:rsid w:val="23F724F4"/>
    <w:rsid w:val="2483647E"/>
    <w:rsid w:val="24A32D55"/>
    <w:rsid w:val="25292727"/>
    <w:rsid w:val="252E5CA9"/>
    <w:rsid w:val="256F7692"/>
    <w:rsid w:val="25BA2154"/>
    <w:rsid w:val="25C8773F"/>
    <w:rsid w:val="264A7253"/>
    <w:rsid w:val="26F0170C"/>
    <w:rsid w:val="27201D62"/>
    <w:rsid w:val="27286E73"/>
    <w:rsid w:val="27CF2642"/>
    <w:rsid w:val="27E777F5"/>
    <w:rsid w:val="27EA1D4C"/>
    <w:rsid w:val="27EA2E41"/>
    <w:rsid w:val="282459E2"/>
    <w:rsid w:val="283A7FE5"/>
    <w:rsid w:val="285F51FF"/>
    <w:rsid w:val="28DF2665"/>
    <w:rsid w:val="29072599"/>
    <w:rsid w:val="291029F3"/>
    <w:rsid w:val="29CB58F0"/>
    <w:rsid w:val="2A053397"/>
    <w:rsid w:val="2A145E96"/>
    <w:rsid w:val="2A2131BB"/>
    <w:rsid w:val="2AF5378F"/>
    <w:rsid w:val="2BB94DBF"/>
    <w:rsid w:val="2C6F314E"/>
    <w:rsid w:val="2CC206BE"/>
    <w:rsid w:val="2D1136DF"/>
    <w:rsid w:val="2D20606D"/>
    <w:rsid w:val="2DB87198"/>
    <w:rsid w:val="2DB93C54"/>
    <w:rsid w:val="2E272243"/>
    <w:rsid w:val="2E3D144C"/>
    <w:rsid w:val="2E891204"/>
    <w:rsid w:val="2F3F0A28"/>
    <w:rsid w:val="2FBF7029"/>
    <w:rsid w:val="2FD0187F"/>
    <w:rsid w:val="2FD27414"/>
    <w:rsid w:val="2FFE4BB0"/>
    <w:rsid w:val="300E7B60"/>
    <w:rsid w:val="300F6E18"/>
    <w:rsid w:val="30862F5F"/>
    <w:rsid w:val="30A36116"/>
    <w:rsid w:val="314029C9"/>
    <w:rsid w:val="31C63837"/>
    <w:rsid w:val="31C82E39"/>
    <w:rsid w:val="32601BAD"/>
    <w:rsid w:val="329F6389"/>
    <w:rsid w:val="33492641"/>
    <w:rsid w:val="3389023A"/>
    <w:rsid w:val="33CB74FA"/>
    <w:rsid w:val="343642F2"/>
    <w:rsid w:val="343F3010"/>
    <w:rsid w:val="345D0A00"/>
    <w:rsid w:val="34713BFD"/>
    <w:rsid w:val="34C13589"/>
    <w:rsid w:val="353369E3"/>
    <w:rsid w:val="35E00D72"/>
    <w:rsid w:val="36965B9D"/>
    <w:rsid w:val="36C549FD"/>
    <w:rsid w:val="37A755DD"/>
    <w:rsid w:val="37F94FA0"/>
    <w:rsid w:val="380D3381"/>
    <w:rsid w:val="38115B1F"/>
    <w:rsid w:val="385E3AC3"/>
    <w:rsid w:val="387D6B9E"/>
    <w:rsid w:val="38B75FF0"/>
    <w:rsid w:val="38D45016"/>
    <w:rsid w:val="38D90432"/>
    <w:rsid w:val="3914510A"/>
    <w:rsid w:val="3926770B"/>
    <w:rsid w:val="398D3668"/>
    <w:rsid w:val="39DA0497"/>
    <w:rsid w:val="3A893816"/>
    <w:rsid w:val="3A893B6D"/>
    <w:rsid w:val="3AD1763A"/>
    <w:rsid w:val="3B6716E3"/>
    <w:rsid w:val="3B6C6B2D"/>
    <w:rsid w:val="3C242659"/>
    <w:rsid w:val="3C96719C"/>
    <w:rsid w:val="3CA72BE8"/>
    <w:rsid w:val="3CF37F8C"/>
    <w:rsid w:val="3D137554"/>
    <w:rsid w:val="3D5275AC"/>
    <w:rsid w:val="3DCC2473"/>
    <w:rsid w:val="3DEB0883"/>
    <w:rsid w:val="3DED2BF0"/>
    <w:rsid w:val="3E2527BF"/>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34E6957"/>
    <w:rsid w:val="43BA0E31"/>
    <w:rsid w:val="43C15147"/>
    <w:rsid w:val="43E14DD2"/>
    <w:rsid w:val="43F531DC"/>
    <w:rsid w:val="43F800E9"/>
    <w:rsid w:val="443A7E4B"/>
    <w:rsid w:val="452F5B3A"/>
    <w:rsid w:val="454E7FD2"/>
    <w:rsid w:val="46061BDC"/>
    <w:rsid w:val="461404F8"/>
    <w:rsid w:val="46236D21"/>
    <w:rsid w:val="46413018"/>
    <w:rsid w:val="464B7E04"/>
    <w:rsid w:val="468041AA"/>
    <w:rsid w:val="468123C6"/>
    <w:rsid w:val="46901EEE"/>
    <w:rsid w:val="469C74D2"/>
    <w:rsid w:val="473D3E13"/>
    <w:rsid w:val="47445515"/>
    <w:rsid w:val="474B4782"/>
    <w:rsid w:val="47D90D14"/>
    <w:rsid w:val="48387FB0"/>
    <w:rsid w:val="483A6114"/>
    <w:rsid w:val="488727DB"/>
    <w:rsid w:val="48B82268"/>
    <w:rsid w:val="48C354B3"/>
    <w:rsid w:val="493D58B5"/>
    <w:rsid w:val="494A7A04"/>
    <w:rsid w:val="4A0A26D2"/>
    <w:rsid w:val="4A2019A5"/>
    <w:rsid w:val="4A241A0B"/>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8D0ED5"/>
    <w:rsid w:val="525C687F"/>
    <w:rsid w:val="52F647F7"/>
    <w:rsid w:val="52F92565"/>
    <w:rsid w:val="53D03877"/>
    <w:rsid w:val="542F73CA"/>
    <w:rsid w:val="5430786D"/>
    <w:rsid w:val="545A1D2A"/>
    <w:rsid w:val="54C811C0"/>
    <w:rsid w:val="556A442D"/>
    <w:rsid w:val="55DA564E"/>
    <w:rsid w:val="5604127D"/>
    <w:rsid w:val="56166703"/>
    <w:rsid w:val="56510474"/>
    <w:rsid w:val="56861525"/>
    <w:rsid w:val="56A93273"/>
    <w:rsid w:val="56BD550C"/>
    <w:rsid w:val="56E07045"/>
    <w:rsid w:val="56FF28AF"/>
    <w:rsid w:val="57540E7D"/>
    <w:rsid w:val="577B4878"/>
    <w:rsid w:val="57926973"/>
    <w:rsid w:val="57C13CF9"/>
    <w:rsid w:val="58175352"/>
    <w:rsid w:val="581F2200"/>
    <w:rsid w:val="583059FA"/>
    <w:rsid w:val="584A0929"/>
    <w:rsid w:val="58CD2491"/>
    <w:rsid w:val="591B41B2"/>
    <w:rsid w:val="59254A26"/>
    <w:rsid w:val="59326325"/>
    <w:rsid w:val="595C505B"/>
    <w:rsid w:val="595E55C3"/>
    <w:rsid w:val="596E7E20"/>
    <w:rsid w:val="5A60780B"/>
    <w:rsid w:val="5AB34579"/>
    <w:rsid w:val="5AFC6609"/>
    <w:rsid w:val="5B113480"/>
    <w:rsid w:val="5BD456CE"/>
    <w:rsid w:val="5C0D1F49"/>
    <w:rsid w:val="5CBB0CE2"/>
    <w:rsid w:val="5CC17177"/>
    <w:rsid w:val="5CF306BC"/>
    <w:rsid w:val="5D3F3D64"/>
    <w:rsid w:val="5D833043"/>
    <w:rsid w:val="5DD92690"/>
    <w:rsid w:val="5DDB1CFD"/>
    <w:rsid w:val="5E7E6D93"/>
    <w:rsid w:val="5ED44800"/>
    <w:rsid w:val="5F350BDE"/>
    <w:rsid w:val="5F61632C"/>
    <w:rsid w:val="5FA17648"/>
    <w:rsid w:val="5FE705CB"/>
    <w:rsid w:val="6031230F"/>
    <w:rsid w:val="603D5080"/>
    <w:rsid w:val="60D0261B"/>
    <w:rsid w:val="618E3791"/>
    <w:rsid w:val="61947DCA"/>
    <w:rsid w:val="61A46A97"/>
    <w:rsid w:val="61D1382F"/>
    <w:rsid w:val="61F114A2"/>
    <w:rsid w:val="62512BB4"/>
    <w:rsid w:val="625D7D1A"/>
    <w:rsid w:val="62DD7D21"/>
    <w:rsid w:val="637D586B"/>
    <w:rsid w:val="63A5560B"/>
    <w:rsid w:val="63E9091F"/>
    <w:rsid w:val="64322AF9"/>
    <w:rsid w:val="64D6010D"/>
    <w:rsid w:val="64D82665"/>
    <w:rsid w:val="64E47C96"/>
    <w:rsid w:val="651E5741"/>
    <w:rsid w:val="658A4877"/>
    <w:rsid w:val="65A00902"/>
    <w:rsid w:val="65AC6EDD"/>
    <w:rsid w:val="65D97752"/>
    <w:rsid w:val="66085536"/>
    <w:rsid w:val="66105BF7"/>
    <w:rsid w:val="66150023"/>
    <w:rsid w:val="6628010D"/>
    <w:rsid w:val="669B4528"/>
    <w:rsid w:val="66CC12D7"/>
    <w:rsid w:val="67134CEF"/>
    <w:rsid w:val="671F1ABD"/>
    <w:rsid w:val="67521A59"/>
    <w:rsid w:val="67C304AB"/>
    <w:rsid w:val="67D616EB"/>
    <w:rsid w:val="683F0658"/>
    <w:rsid w:val="689C6793"/>
    <w:rsid w:val="68DB0208"/>
    <w:rsid w:val="68FB170C"/>
    <w:rsid w:val="691B3D98"/>
    <w:rsid w:val="693748F0"/>
    <w:rsid w:val="69846A0E"/>
    <w:rsid w:val="69AA1366"/>
    <w:rsid w:val="69AD798C"/>
    <w:rsid w:val="69D005C0"/>
    <w:rsid w:val="69D80B96"/>
    <w:rsid w:val="6B68175F"/>
    <w:rsid w:val="6BFD799F"/>
    <w:rsid w:val="6C4A2E5A"/>
    <w:rsid w:val="6C8138D0"/>
    <w:rsid w:val="6CEF0725"/>
    <w:rsid w:val="6D4847CA"/>
    <w:rsid w:val="6D4B2604"/>
    <w:rsid w:val="6D8030E4"/>
    <w:rsid w:val="6E0E35C4"/>
    <w:rsid w:val="6E0F7A08"/>
    <w:rsid w:val="6E3947F5"/>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27B234E"/>
    <w:rsid w:val="72D068C7"/>
    <w:rsid w:val="72E42ED8"/>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70719AC"/>
    <w:rsid w:val="776526CC"/>
    <w:rsid w:val="77A262E1"/>
    <w:rsid w:val="77B13C33"/>
    <w:rsid w:val="77BA64B9"/>
    <w:rsid w:val="77ED6F44"/>
    <w:rsid w:val="77F45548"/>
    <w:rsid w:val="784E7CA6"/>
    <w:rsid w:val="78574801"/>
    <w:rsid w:val="7873527F"/>
    <w:rsid w:val="790A6425"/>
    <w:rsid w:val="790E2D96"/>
    <w:rsid w:val="791B54B2"/>
    <w:rsid w:val="795A0A34"/>
    <w:rsid w:val="797339C3"/>
    <w:rsid w:val="79D57D57"/>
    <w:rsid w:val="79F00650"/>
    <w:rsid w:val="7A6242BF"/>
    <w:rsid w:val="7A794513"/>
    <w:rsid w:val="7AE952D2"/>
    <w:rsid w:val="7C7248A0"/>
    <w:rsid w:val="7C976D69"/>
    <w:rsid w:val="7CD752DA"/>
    <w:rsid w:val="7CDE40AB"/>
    <w:rsid w:val="7CF057E2"/>
    <w:rsid w:val="7D1548B5"/>
    <w:rsid w:val="7D9831BB"/>
    <w:rsid w:val="7DF84014"/>
    <w:rsid w:val="7E207949"/>
    <w:rsid w:val="7E5C0A47"/>
    <w:rsid w:val="7E670C75"/>
    <w:rsid w:val="7EE24272"/>
    <w:rsid w:val="7EEA6053"/>
    <w:rsid w:val="7F487C04"/>
    <w:rsid w:val="7FB45F21"/>
    <w:rsid w:val="7FE57088"/>
    <w:rsid w:val="7FF37FA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autoRedefine/>
    <w:semiHidden/>
    <w:qFormat/>
    <w:uiPriority w:val="0"/>
  </w:style>
  <w:style w:type="table" w:default="1" w:styleId="9">
    <w:name w:val="Normal Table"/>
    <w:autoRedefin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autoRedefine/>
    <w:qFormat/>
    <w:uiPriority w:val="0"/>
  </w:style>
  <w:style w:type="paragraph" w:styleId="7">
    <w:name w:val="toc 2"/>
    <w:basedOn w:val="1"/>
    <w:next w:val="1"/>
    <w:qFormat/>
    <w:uiPriority w:val="0"/>
    <w:pPr>
      <w:ind w:left="420" w:leftChars="200"/>
    </w:pPr>
  </w:style>
  <w:style w:type="paragraph" w:styleId="8">
    <w:name w:val="Normal (Web)"/>
    <w:basedOn w:val="1"/>
    <w:qFormat/>
    <w:uiPriority w:val="0"/>
    <w:pPr>
      <w:spacing w:before="100" w:beforeAutospacing="1" w:after="100" w:afterAutospacing="1"/>
      <w:ind w:left="0" w:right="0"/>
      <w:jc w:val="left"/>
    </w:pPr>
    <w:rPr>
      <w:kern w:val="0"/>
      <w:sz w:val="24"/>
      <w:lang w:val="en-US" w:eastAsia="zh-CN" w:bidi="ar"/>
    </w:rPr>
  </w:style>
  <w:style w:type="character" w:styleId="11">
    <w:name w:val="Strong"/>
    <w:basedOn w:val="10"/>
    <w:autoRedefine/>
    <w:qFormat/>
    <w:uiPriority w:val="0"/>
    <w:rPr>
      <w:b/>
    </w:rPr>
  </w:style>
  <w:style w:type="paragraph" w:customStyle="1" w:styleId="12">
    <w:name w:val="WPSOffice手动目录 3"/>
    <w:qFormat/>
    <w:uiPriority w:val="0"/>
    <w:pPr>
      <w:ind w:leftChars="400"/>
    </w:pPr>
    <w:rPr>
      <w:rFonts w:ascii="Times New Roman" w:hAnsi="Times New Roman" w:eastAsia="宋体" w:cs="Times New Roman"/>
      <w:sz w:val="20"/>
      <w:szCs w:val="20"/>
    </w:rPr>
  </w:style>
  <w:style w:type="paragraph" w:customStyle="1" w:styleId="13">
    <w:name w:val="WPSOffice手动目录 2"/>
    <w:qFormat/>
    <w:uiPriority w:val="0"/>
    <w:pPr>
      <w:ind w:leftChars="200"/>
    </w:pPr>
    <w:rPr>
      <w:rFonts w:ascii="Times New Roman" w:hAnsi="Times New Roman" w:eastAsia="宋体" w:cs="Times New Roman"/>
      <w:sz w:val="20"/>
      <w:szCs w:val="20"/>
    </w:rPr>
  </w:style>
  <w:style w:type="paragraph" w:customStyle="1" w:styleId="14">
    <w:name w:val="WPSOffice手动目录 1"/>
    <w:autoRedefine/>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16</Pages>
  <Words>5516</Words>
  <Characters>6333</Characters>
  <Lines>0</Lines>
  <Paragraphs>0</Paragraphs>
  <TotalTime>6</TotalTime>
  <ScaleCrop>false</ScaleCrop>
  <LinksUpToDate>false</LinksUpToDate>
  <CharactersWithSpaces>6345</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♥、尛潔</cp:lastModifiedBy>
  <dcterms:modified xsi:type="dcterms:W3CDTF">2024-10-14T02:19:04Z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D624B15633CD43C8BF9435464A96BF70</vt:lpwstr>
  </property>
</Properties>
</file>