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DC46F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B2483F0">
      <w:pPr>
        <w:spacing w:line="540" w:lineRule="exact"/>
        <w:jc w:val="center"/>
        <w:rPr>
          <w:rFonts w:ascii="华文中宋" w:hAnsi="华文中宋" w:eastAsia="华文中宋" w:cs="宋体"/>
          <w:b/>
          <w:kern w:val="0"/>
          <w:sz w:val="52"/>
          <w:szCs w:val="52"/>
        </w:rPr>
      </w:pPr>
    </w:p>
    <w:p w14:paraId="7DA9D0B9">
      <w:pPr>
        <w:spacing w:line="540" w:lineRule="exact"/>
        <w:jc w:val="center"/>
        <w:rPr>
          <w:rFonts w:ascii="华文中宋" w:hAnsi="华文中宋" w:eastAsia="华文中宋" w:cs="宋体"/>
          <w:b/>
          <w:kern w:val="0"/>
          <w:sz w:val="52"/>
          <w:szCs w:val="52"/>
        </w:rPr>
      </w:pPr>
    </w:p>
    <w:p w14:paraId="54EFF172">
      <w:pPr>
        <w:spacing w:line="540" w:lineRule="exact"/>
        <w:jc w:val="center"/>
        <w:rPr>
          <w:rFonts w:ascii="华文中宋" w:hAnsi="华文中宋" w:eastAsia="华文中宋" w:cs="宋体"/>
          <w:b/>
          <w:kern w:val="0"/>
          <w:sz w:val="52"/>
          <w:szCs w:val="52"/>
        </w:rPr>
      </w:pPr>
    </w:p>
    <w:p w14:paraId="645476CE">
      <w:pPr>
        <w:spacing w:line="540" w:lineRule="exact"/>
        <w:jc w:val="center"/>
        <w:rPr>
          <w:rFonts w:ascii="华文中宋" w:hAnsi="华文中宋" w:eastAsia="华文中宋" w:cs="宋体"/>
          <w:b/>
          <w:kern w:val="0"/>
          <w:sz w:val="52"/>
          <w:szCs w:val="52"/>
        </w:rPr>
      </w:pPr>
    </w:p>
    <w:p w14:paraId="54220C7C">
      <w:pPr>
        <w:spacing w:line="540" w:lineRule="exact"/>
        <w:jc w:val="center"/>
        <w:rPr>
          <w:rFonts w:ascii="华文中宋" w:hAnsi="华文中宋" w:eastAsia="华文中宋" w:cs="宋体"/>
          <w:b/>
          <w:kern w:val="0"/>
          <w:sz w:val="52"/>
          <w:szCs w:val="52"/>
        </w:rPr>
      </w:pPr>
    </w:p>
    <w:p w14:paraId="0B8E4121">
      <w:pPr>
        <w:spacing w:line="540" w:lineRule="exact"/>
        <w:jc w:val="center"/>
        <w:rPr>
          <w:rFonts w:ascii="华文中宋" w:hAnsi="华文中宋" w:eastAsia="华文中宋" w:cs="宋体"/>
          <w:b/>
          <w:kern w:val="0"/>
          <w:sz w:val="52"/>
          <w:szCs w:val="52"/>
        </w:rPr>
      </w:pPr>
    </w:p>
    <w:p w14:paraId="760FE29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B02AB03">
      <w:pPr>
        <w:spacing w:line="540" w:lineRule="exact"/>
        <w:jc w:val="center"/>
        <w:rPr>
          <w:rFonts w:ascii="华文中宋" w:hAnsi="华文中宋" w:eastAsia="华文中宋" w:cs="宋体"/>
          <w:b/>
          <w:kern w:val="0"/>
          <w:sz w:val="52"/>
          <w:szCs w:val="52"/>
        </w:rPr>
      </w:pPr>
    </w:p>
    <w:p w14:paraId="6A67FB3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2B41936">
      <w:pPr>
        <w:spacing w:line="540" w:lineRule="exact"/>
        <w:jc w:val="center"/>
        <w:rPr>
          <w:rFonts w:hAnsi="宋体" w:eastAsia="仿宋_GB2312" w:cs="宋体"/>
          <w:kern w:val="0"/>
          <w:sz w:val="30"/>
          <w:szCs w:val="30"/>
        </w:rPr>
      </w:pPr>
    </w:p>
    <w:p w14:paraId="5A306160">
      <w:pPr>
        <w:spacing w:line="540" w:lineRule="exact"/>
        <w:jc w:val="center"/>
        <w:rPr>
          <w:rFonts w:hAnsi="宋体" w:eastAsia="仿宋_GB2312" w:cs="宋体"/>
          <w:kern w:val="0"/>
          <w:sz w:val="30"/>
          <w:szCs w:val="30"/>
        </w:rPr>
      </w:pPr>
    </w:p>
    <w:p w14:paraId="5B093FBE">
      <w:pPr>
        <w:spacing w:line="540" w:lineRule="exact"/>
        <w:jc w:val="center"/>
        <w:rPr>
          <w:rFonts w:hAnsi="宋体" w:eastAsia="仿宋_GB2312" w:cs="宋体"/>
          <w:kern w:val="0"/>
          <w:sz w:val="30"/>
          <w:szCs w:val="30"/>
        </w:rPr>
      </w:pPr>
      <w:bookmarkStart w:id="0" w:name="_GoBack"/>
      <w:bookmarkEnd w:id="0"/>
    </w:p>
    <w:p w14:paraId="13EAC36F">
      <w:pPr>
        <w:spacing w:line="540" w:lineRule="exact"/>
        <w:jc w:val="center"/>
        <w:rPr>
          <w:rFonts w:hAnsi="宋体" w:eastAsia="仿宋_GB2312" w:cs="宋体"/>
          <w:kern w:val="0"/>
          <w:sz w:val="30"/>
          <w:szCs w:val="30"/>
        </w:rPr>
      </w:pPr>
    </w:p>
    <w:p w14:paraId="3DB7D4F5">
      <w:pPr>
        <w:spacing w:line="540" w:lineRule="exact"/>
        <w:jc w:val="center"/>
        <w:rPr>
          <w:rFonts w:hAnsi="宋体" w:eastAsia="仿宋_GB2312" w:cs="宋体"/>
          <w:kern w:val="0"/>
          <w:sz w:val="30"/>
          <w:szCs w:val="30"/>
        </w:rPr>
      </w:pPr>
    </w:p>
    <w:p w14:paraId="46D24006">
      <w:pPr>
        <w:spacing w:line="540" w:lineRule="exact"/>
        <w:rPr>
          <w:rFonts w:hAnsi="宋体" w:eastAsia="仿宋_GB2312" w:cs="宋体"/>
          <w:kern w:val="0"/>
          <w:sz w:val="30"/>
          <w:szCs w:val="30"/>
        </w:rPr>
      </w:pPr>
    </w:p>
    <w:p w14:paraId="07DB4E2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1B538D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公路日常养护</w:t>
      </w:r>
    </w:p>
    <w:p w14:paraId="057F1FE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阿勒泰公路管理局</w:t>
      </w:r>
    </w:p>
    <w:p w14:paraId="4E16115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阿勒泰公路管理局</w:t>
      </w:r>
    </w:p>
    <w:p w14:paraId="7A7380E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侯军</w:t>
      </w:r>
    </w:p>
    <w:p w14:paraId="4C204E82">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2024年03月11日</w:t>
      </w:r>
    </w:p>
    <w:p w14:paraId="713DC136">
      <w:pPr>
        <w:spacing w:line="700" w:lineRule="exact"/>
        <w:ind w:firstLine="708" w:firstLineChars="236"/>
        <w:jc w:val="left"/>
        <w:rPr>
          <w:rFonts w:hAnsi="宋体" w:eastAsia="仿宋_GB2312" w:cs="宋体"/>
          <w:kern w:val="0"/>
          <w:sz w:val="30"/>
          <w:szCs w:val="30"/>
        </w:rPr>
      </w:pPr>
    </w:p>
    <w:p w14:paraId="4709FDFC">
      <w:pPr>
        <w:spacing w:line="540" w:lineRule="exact"/>
        <w:rPr>
          <w:rStyle w:val="18"/>
          <w:rFonts w:ascii="黑体" w:hAnsi="黑体" w:eastAsia="黑体"/>
          <w:b w:val="0"/>
          <w:spacing w:val="-4"/>
          <w:sz w:val="32"/>
          <w:szCs w:val="32"/>
        </w:rPr>
      </w:pPr>
    </w:p>
    <w:p w14:paraId="1FCA80E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76A9A6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14:paraId="726688D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在全年的公路日常养护工作中阿勒泰公路管理局需要开展春融路况恢复工作、公路技术状况调查、路域环境整治、公路小修养护、路面裂缝处治专项行动、示范化路段创建、避险车道养护、次差路提升、除雪保交通等工作。通过合理使用公路日常养护资金，提高公路技术状况指标，提升道路通行质量。</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2.项目实施主体</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阿勒泰公路管理局下设8个分局、6个收费站、4个服务区、6个停车区、24个养护站（道班）。在职人员805人，其中干部226人，工勤579人。养护总里程为2468公里（含匝道里程2公里），考核里程2465.912km，共计21条线路，其中：5条国道1354公里，10条省道1022公里，6条专用线90公里。公路桥梁10097.22延米/286座，涵洞3758道，隧道1座/910米。公路桥梁按跨径类型分：特大桥0座；大桥17座，占桥梁总数的6%；中桥40座，占桥梁总数的14%；小桥229座，占桥梁总数的80%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开展公路路基、路面、桥涵、隧道、沿线设施的小修养护管理工作；对管养路段存在的病害进行修复及各项预防性养护，合理实施小修养护延缓公路衰减，增加公路使用寿命,为公众出行提供安全的通行环境；开展公路防风雪保交通，及时有效清除路面、中央分隔带、路肩积冰、积雪、风积雪，撒布防滑砂、融雪剂，修补路面坑槽，确保冬季除雪任务按《公路养护技术规范》要求的时限完成；积极开展公路经常性检查、定期检查、特殊检查、专项检查和日常巡道</w:t>
      </w:r>
      <w:r>
        <w:rPr>
          <w:rStyle w:val="18"/>
          <w:rFonts w:hint="eastAsia" w:ascii="楷体" w:hAnsi="楷体" w:eastAsia="楷体"/>
          <w:spacing w:val="-4"/>
          <w:sz w:val="32"/>
          <w:szCs w:val="32"/>
          <w:lang w:eastAsia="zh-CN"/>
        </w:rPr>
        <w:t>检查</w:t>
      </w:r>
      <w:r>
        <w:rPr>
          <w:rStyle w:val="18"/>
          <w:rFonts w:hint="eastAsia" w:ascii="楷体" w:hAnsi="楷体" w:eastAsia="楷体"/>
          <w:spacing w:val="-4"/>
          <w:sz w:val="32"/>
          <w:szCs w:val="32"/>
        </w:rPr>
        <w:t>，及时发现损坏的公路及附属设施，及时修复更换。</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（1）项目资金安排落实、总投入等情况分析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公路日常养护项目预算安排总额为3010.5万元，其中财政资金3010.5万元，其他资金0万元，2023年实际收到预算资金3010.5万元，预算资金到位率为100%。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（2）项目资金实际使用情况分析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本项目实际支付资金3010.5万元，预算执行率100%。项目资金主要用于支付公路桥隧养护费用2433万元、风雪保交通费用532万元、避险车道费用45.5万元。</w:t>
      </w:r>
    </w:p>
    <w:p w14:paraId="7F02E99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14:paraId="69B7C5A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公路养护技术规范》、《交通运输部关于进一步加强公路桥梁养护管理的若干意见》交公路发〔2013〕321号、《公路长大桥隧养护管理和安全运行若干规定》、《公路桥梁养护管理工作制度》（交公路发〔2007〕336号）要求，开展公路路基、路面、桥涵、隧道、沿线设施的小修养护管理工作。对管养路段存在的病害进行修复及各项预防性养护，合理实施小修养护延缓公路衰减，增加公路使用寿命,为公众出行提供安全的通行环境。依据交通运输部颁发的《公路养护技术规范》，用于管养的公路防风雪保交通，及时有效清除路面、中央分隔带、路肩积冰、积雪、风积雪，撒布防滑砂、融雪剂，修补路面坑槽，确保冬季除雪任务按《公路养护技术规范》要求的时限完成。按照《公路养护技术规范》要求，积极开展公路经常性检查、定期检查、特殊检查、专项检查和加强日常巡道，及时发现损坏的公路及附属设施，及时修复和更换被损坏的路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我单位制定《阿勒泰公路管理局计量支付管理办法》等相关管理制度，结合项目实施单位的规章制度以及财务相关资料，对项目进行评价，在5月底及8月底两个节点执行率均达到财政要求，在执行过程中按照时间要求对预算进行分解，每月进行执行率跟踪，对每月未达到执行率情况进行分析，及时提升预算执行率，确保在5月及8月达到执行率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（1）2023年5月31日，完成年度养护计划编制，实现管养公路、桥梁按计划养护，年度养护任务按计划开工率100%。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（2）2023年8月31日，完成管养路段存在的病害进行修复及各项预防性养护。公路日常养护质量合格率100%。</w:t>
      </w:r>
    </w:p>
    <w:p w14:paraId="2F43A87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14:paraId="1113A6B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4B0A9B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开展本次部门绩效评价工作，全面了解该项目预算编制的合理性、资金使用的合规性、项目管理的规范性、项目目标的实现情况、服务对象的满意度等，从中总结经验及教训，促进项目成果转化和应用，为今后类似项目的长效管理，提供可行性参考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2.绩效评价对象和范围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此次我单位根据《项目支出绩效评价管理办法》（财预〔2020〕10号）文件要求对2023年度我单位实施的公路日常养护项目开展部门绩效评价，项目总金额3010.5万元。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14:paraId="2CA5ED2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14:paraId="204AB68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依据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公路日常养护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根据以上原则，绩效评价应遵循如下要求：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（1）在数据采集时，采取客观数据，根据日常养护计量支付报表和预算执行报表进行统计，以保证各项指标的真实性。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（2）保证评价结果的真实性、公正性，提高评价报告的公信力。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（3）绩效评价报告应当简明扼要，除了对绩效评价的过程、结果描述外，还应总结经验，指出问题，并就共性问题提出可操作性改进建议。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单位根据项目的实施资料研读及前期调研，结合项目的实际开展情况，将项目的指标体系进行了调整和完善，最终形成了项目绩效评价指标体系。评价指标体系严格按照《项目支出绩效评价管理办法》（财预〔2020〕10号）文件要求设置，指标体系设置一级指标共5个，包括决策指标、过程指标、产出指标、效益指标、满意度指标五类指标；主要围绕资金使用、项目管理、资源配置等方面，客观分析项目的产出和效果，从而考察项目预算定额标准的合理性，进而提出完善意见。整个评价框架构成体现从投入、过程到产出、效果和影响的绩效逻辑路径。具体指标分类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一级指标为：决策、过程、产出、效益、满意度。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二级指标为：项目立项、绩效目标、资金投入、资金管理、组织实施、数量指标、质量指标、时效指标、经济成本指标、社会效益、满意度指标。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等年初设置的其他三级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指标体系为评分所用，综合评价表中各指标的权重由该项目绩效评价小组根据绩效评价原理和评价需求，在调研基础上依据指标的重要性制定形成，我单位已将项目绩效评价指标体系模板上传到系统中。</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三级指标分析环节：总体采用比较法，同时辅以文献法、成本效益法、因素分析法以及公众评判法，根据不同三级指标类型进行逐项分析。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（1）定量指标分析环节：主要采用比较法，对比三级指标预期指标值和三级指标截止评价日的完成情况，综合分析绩效目标实现程度。详细评价方法的应用如下: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②属于“是”或“否”判断的单一评判定量指标：比较法，符合要求的得满分，不符合要求的不得分或者扣相应的分数。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③满意度指标：主要采用比较法，</w:t>
      </w:r>
      <w:r>
        <w:rPr>
          <w:rStyle w:val="18"/>
          <w:rFonts w:hint="eastAsia" w:ascii="楷体" w:hAnsi="楷体" w:eastAsia="楷体"/>
          <w:spacing w:val="-4"/>
          <w:sz w:val="32"/>
          <w:szCs w:val="32"/>
          <w:lang w:eastAsia="zh-CN"/>
        </w:rPr>
        <w:t>根</w:t>
      </w:r>
      <w:r>
        <w:rPr>
          <w:rStyle w:val="18"/>
          <w:rFonts w:hint="eastAsia" w:ascii="楷体" w:hAnsi="楷体" w:eastAsia="楷体"/>
          <w:spacing w:val="-4"/>
          <w:sz w:val="32"/>
          <w:szCs w:val="32"/>
        </w:rPr>
        <w:t xml:space="preserve">据满意度问卷统计情况计算完成比率与预期指标值对比，达成满意度预期目标的，得满分；未完成指标值的，按照完成值与预期指标值的比例记分；满意度小于 60%不得分。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（2）定性指标分析环节：主要采用公众评判法，通过问卷及抽样调查等方式评价本项目实施后社会公众对于其实施效果的满意程度，将调研结果按照《项目支出绩效评价管理办法》（财预〔2020〕10 号）《关于印发&lt;自治区项目支出绩效目标设置指引&gt;的通知）（新财预〔2022〔42 号）文要求分为基本达成目标、部分实现目标、实现目标程度较低三档，分别按照该指标对应分值区间 100.00%-80%（含）、80%-60%（含）、60%-0%合理确定分值，详细评价方法的应用如下：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①立项依据充分性：比较法和文献法，查找法律法规政策以及规划，对比实际执行内容和政策支持内容是否匹配，分析立项依据充分性。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立项程序规范性：比较法和文献法，查找相关项目设立的政策和文件要求，对比分析实际执行程序是否按照政策及文件要求执行，分析立项程序的规范性。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②绩效目标合理性：比较法和因素分析法，对比分析年初编制项目支出绩效目标表与项目内容的相关性、资金的匹配性等。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绩效指标明确性：比较法和因素分析法，比较分析年初编制项目支出绩效目标表是否符合双七原则，是否可衡量。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③预算编制科学性：专项资金分配采取因素分析法，应当主要选取自然、经济、社会、绩效等客观因素，并在资金管理办法中明确相应的权重或标准。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资金分配合理性：因素分析法，综合分析资金的分配依据是否充分，分配金额是否与项目实施单位需求金额一致。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④资金到位率：按照完成比率得分，并分析实际完成值和预期指标值之间的差距和原因。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预算执行率：按照完成比率得分，并分析实际完成值和预期指标值之间的差距和原因。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⑤资金使用合规性：比较法、文献法和因素分析法等，通过实地调研，检查项目资金使用情况，对比专项资金管理办法要求，分析资金使用合规性。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⑥管理制度健全性：文献法、比较法和因素分析法等，通过查阅项目实施单位提供的财务和业务管理制度，将已建立的制度与现行的法律法规和政策要求进行对比，分析项目制度的合法性、合规性、完整性。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制度执行有效性：比较法，结合项目实际实施过程性文件，根据已建设的财务管理制度和项目管理制度综合分析制度执行的有效性。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⑦其他定性指标：公众评判法，通过问卷及抽样调查等方式评价本项目实施后社会公众对于其实施效果的满意程度。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14:paraId="2A44D34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7629EE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1、成立绩效评价小组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本次评价成立了由专业绩效评价工作人员组成的评价工作组，充分按工作要求考虑人员结构、业务能力、利益关系回避等情况，并同步建立项目人员联系清单，成员如下：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①评价组组长：赵金生，职责：党委副书记、局长，工作内容：负责局绩效评价工作总体安排、统筹协调、指导推进；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②评价组成员：杨金书，职责：局财务审计科科长，工作内容：负责局绩效监控工作数据汇总，分析及上报并督促预算执行进度；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评价组成员：汪秀娟，职责：局养护管理科副科长，工作内容：负责局养护管理项目支出的绩效申报、绩效评价、绩效分析及绩效考核，统筹安排，协调推进，预算执行及项目进度，汇总各项目支出的执行比率，问题分析及改进措施等。</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2、完善评价指标体系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指标体系是评价实施方案的核心。绩效评价小组通过对项目绩效目标已有指标进行分析研究，根据项目的资料研读及前期调研，结合项目的实际开展情况，严格按照《项目支出绩效评价管理办法》（财预〔2020〕10号）文件要求设置完善绩效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3、核查资金使用情况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评价组根据项目实施过程及指标评价需求判断，针对项目进行核查，重点关注资金使用是否存在截留、挪用财政专项资金的情况；资金支付审批情况是否合规；资金支付所需材料是否齐备；是否存在擅自改变、扩大支出范围的情况；是否存在擅自提高支出标准、虚列项目支出等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4、采集评价基础数据及相关资料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全面收集项目相关资料和基础数据，完成绩效评价内容和评价指标体系的评价印证资料。整理该项目主要采用查阅相关文件政策、会计凭证等资料，采集项目资金支出情况、项目完成情况及项目成本构成等数据资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5、形成综合评价意见</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14:paraId="40FDF1EE">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14:paraId="1E0D894E">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此次绩效评价通过组论证的评价指标体系及评分标准，采用的方法为比较法，对公路运营管理项目绩效进行客观评价.</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得出综合评价结论如下：公路日常养护项目共设置绩效目标19（三级指标）个，实现目标19个，完成率100%。其中项目决策指标共设置6个，满分指标6个，得分率100%；项目过程指标共设置5个，满分指标5个，得分率100%；项目产出指标共设置6个，满分指标6个，得分率100%；效益指标共设置1个，满分指标1个，得分率100%；项目满意度指标共设置1个，满分指标1个，得分率100%。该项目组织比较规范，目标完成情况良好，基本指标实现了预期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最终评分结果：总分为100分，其中：项目决策20分、过程管理20分、项目产出30分、项目效益20分、满意度指标10分。绩效评级为“优”。（优：90-100分，包含90分；良：80-90分，包含80分；中：60-80分，包含60分；差：60分以下）</w:t>
      </w:r>
    </w:p>
    <w:p w14:paraId="36D119E6">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14:paraId="718648A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A6748F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项目决策由3个二级指标和6个三级指标构成，权重分20分，实际得分20分。具体如下：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立项分值5分，得分5分。其中：立项依据充分性分值2分，得分2分；立项程序规范性分值3分，得分3分。该项目符合国家法律法规、国民经济发展规划和相关政策，符合行业发展规划和政策要求，与部门职责范围相符，属于部门履职所需，属于公共财政支持范围，符合中央、地方事权支出责任划分原则，项目没有重复立项，立项依据充分；该项目按照规定的程序申请设立，审批文件、材料符合相关要求，事前已经过必要的可行性研究、专家论证、风险评估、绩效评估、集体决策。根据区中中心《关于下达2023年公路养护计划的通知》、《关于下达2023年收费公路支出计划的通知》文件要求进行立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目标分值10分，得分10分。其中：绩效目标合理性分值5分，得分5分；绩效指标明确性分值5分，得分5分。该项目设置了绩效目标，且绩效目标与实际工作内容具有相关性，项目预期产出效益和效果符合正常的业绩水平，与预算确定的项目投资额或资金量相匹配，项目绩效目标明确，将项目绩效目标细化分解为具体的绩效指标，通过清晰、可衡量的指标值予以体现，与项目目标任务数或计划数相对应。通过管养路段实际情况和该项目预算资金实施后取得的效果对绩效目标进行细化，共设置4个一级指标，6个二级指标，8个三级指标，根据管养公路日常养护里程数、公路日常养护质量合格率、符合《公路养护技术规范》要求验收率等要求开展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投入分值5分，得分5分。其中预算编制科学性分值2分，得分2分；资金分配合理性分值3分，得分3分。该项目预算编制合理，经过科学论证，预算内容与项目内容相匹配，预算额度按照标准编制，测算依据充分，预算确定的项目投资额或资金量与工作任务相匹配，预算资金分配依据充分，资金分配额度合理，与实际相适应。资金投入3010.5万元，根据各分局路况调查数据编制公路桥隧养护预算费用，根据冬季除雪保交通实际情况编制冬季除雪保交通预算费用，根据各分局避险车道养护情况编制避险车道预算费用。</w:t>
      </w:r>
    </w:p>
    <w:p w14:paraId="1EECDC9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A1D45E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项目过程管理类指标由2个二级指标和5个三级指标构成，权重分20分，实际得分20分。具体如下：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管理分值12分，得分12分。其中资金到位率分值4分，得分4分；预算执行率分值4分，得分4分；资金使用合规性分值4分，得分4分。该项目预算资金3010.5万元，到位资金3010.5万元，实际支出资金3010.5万元，资金到位率100%，预算执行率100%。资金使用合规，符合国家财经法规和财务管理制度以及有关专项资金管理办法的规定，资金支付均具有完整的审批程序和手续，与预算批复内容相符，不存在截留、挤占、挪用、虚列支出等情况。财务审计科依据财务内部控制管理制度根据经领导审批后的发票、计量支付表、中标通知书、党委会议记录、合同、竣工验收报告等进行付款。</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组织实施分值8分，得分8分。其中管理制度健全性分值4分，得分4分；制度执行有效性分值4分，得分4分。该项目组织实施工程中严格按照阿勒泰公路管理局《计划管理办法》《计量支付管理办法》《日常养护管理办法》《等执行，财务和业务管理制度健全，且合法、合规、完整，制度执行遵守相关法律法规和相关管理规定；制度执行有效性分值4分，得分4分。每年与分局签订《目标责任书》，完成日常养护策略分析，审核下达年度养护计划，按月进行计量支付，项目合同书、验收报告、技术鉴定等资料齐全并及时归档，项目实施的人员条件、场地设备、信息支撑等落实到位。</w:t>
      </w:r>
    </w:p>
    <w:p w14:paraId="0A268D4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3DCAAA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项目产出类指标由4个二级指标和6个三级指标构成，权重分30分，实际得分30分。具体如下：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①数量指标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“管养公路日常养护里程数”指标，预期指标值为≥2544公里，指标完成值为2544公里，完成率为100%，分值4分，得分4分。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②质量指标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“公路日常养护质量合格率”指标，预期指标值为=100%，指标完成值为100%，完成率为100%，分值4分，得分4分。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“符合《公路养护技术规范》要求验收率”指标，预期指标值为=100%，指标完成值为100%，完成率为100%，分值4分，得分4分。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③时效指标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“年度养护任务按计划开工率”指标，预期指标值为≥95%，指标完成值为100%，完成率为100%，分值4分，得分4分。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“年度养护任务按计划完成率”指标，预期指标值为≥95%，指标完成值为100%，完成率为100%，分值4分，得分4分。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④成本指标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“公路日常养护预算控制率”指标，预期指标值为≤100%，指标完成值为100%，完成率为100%，分值10分，得分10分。</w:t>
      </w:r>
    </w:p>
    <w:p w14:paraId="3AF2BE0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D31D00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项目效益类指标由1个二级指标和1个三级指标构成，权重分20分，实际得分20分。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①社会效益指标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“管养公路保畅通行率”指标，预期指标值为≥95%，指标完成值为100%，完成率为100%，分值20分，得分20分。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阿勒泰管理局始终秉持高度的责任感和专业精神，积极投入到管养公路日常养护工作当中，致力于提升公路服务水平。通过我们的不懈努力，公路服务水平得到了显著的改善。我们精心打造了优良的通行环境，为司乘人员提供了安全、舒适的出行条件。在提升道路通行能力与服务水平的同时，也为群众的出行创造了更为便利的条件。在当年，即便遭遇了各种自然灾害和复杂情况，我们仍然成功地避免了公路交通阻断情况的发生，确保了管养公路保畅通行率达到了预期的100%。我局将继续坚定地致力于公路日常养护工作，不断优化工作流程，提升服务质量，以更加饱满的热情和更加专业的态度，为社会经济的持续发展贡献更大的力量。</w:t>
      </w:r>
    </w:p>
    <w:p w14:paraId="2C31654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14:paraId="02ADB511">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项目满意度指标由1个二级指标和1个三级指标构成，权重分10分，实际得分10分。具体如下：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“司乘人员满意度”指标，预期指标值为≥85%，指标完成值为90%，完成率为100%，分值10分，得分10分。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阿勒泰公路管理局借由公路日常养护工作，切实保障了沿线路容路貌的完好无损，促使路面保持干净整洁，令路肩规整，让路基边坡顺适，使排水设施畅通无阻，将安全防护设施打造得完备完善，确保线形流畅，并实现各种标志的醒目齐全，成功营造出了“畅安舒美绿智”的道路环境，司乘人员满意度预期达到了90%，达到了既定的计划标准。</w:t>
      </w:r>
    </w:p>
    <w:p w14:paraId="51229AC7">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14:paraId="404B46FA">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 xml:space="preserve">经过自评，该项目按照财政部设定的绩效目标较好完成，未出现偏离情况。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1、根据技术状况评定数据，制定科学的养护策略，制定公路日常养护计划。在公路养护经费紧张的状况下，实施精细化养护，合理精准地分配资金，确保资金使用效益最大化</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推广四新技术，提升养护工作的科学性与规范性。不断总结经验寻求创新，结合管养公路实际情况，制定可实施的公路养护的技术标准与管理流程。与此同时，强化对养护人员的培训，提升安全意识及技术水平，确保养护工作的质量及效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3、建立联动机制，与交通执法、公安交警、气象等部门建立合作关系，共享路况信息，共同应对管养路线存在的各类问题。通过定期召开联席会议，协调各方资源，提升工作效率，确保管养公路的安全畅通。</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（二）存在的问题及原因分析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1、公路养护管理治理能力需要提高。一是管理创新、技术创新方面缺乏活力，推广“四新”技术力度不够。二是协调能动方面还需进一步提升，应急处突能力有待增强。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公路服务功能需进一步强化。当前公众对公路交通的要求越来越高，单纯的“畅通”已经远远无法满足需求，保持国省干线公路安全的公路出行环境、良好的路域环境、较好的路面路况通行能力、完善的公路服务功能，才能与人民群众日益增长的出行环境需求相适应。</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3、人员配备方面需要完善。我局一线养护作业职工老龄化严重，在目前接养路段持续增多，一线养护生产力明显不足。</w:t>
      </w:r>
    </w:p>
    <w:p w14:paraId="5F3C1294">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14:paraId="266EF83A">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1、加强绩效管理学习和培训，提升项目整体预算绩效管理水平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，通过学习和培训了解预算绩效管理的基本理论，掌握项目支出绩效管理中目标设置、运行监控、绩效评价、结果应用等环节关注重点以及对应环节的成果输出，并做好及时归档整理。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深化养护市场化改革。处理好公益性服务与市场高效资源配置的关系，根据区域发展水平和养护发展实际，因地制宜、分类有序推进养护市场化改革。普通国省道的日常养护、应急养护等可采取政府兜底、市场补充的供给方式，依托有资质的基层养护单位按照“平急结合、抢养兼顾”的思路承担日常保养与应急抢险工作，其他养护服务均引入市场机制。</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加强管养基础能力建设。提升普通国省道养护的机械化、专业化能力，是加强管养基础能力建设的重点，根据普通国省道管理养护和作业特点，加强对一线管理养护机构的设备配置，引导和鼓励养护单位提高养护机械化水平。推进建立健全养护专业技术能力认定工作机制，强化养护队伍保障。</w:t>
      </w:r>
    </w:p>
    <w:p w14:paraId="2F8B7537">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14:paraId="7E9E146F">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无其他说明内容</w:t>
      </w:r>
    </w:p>
    <w:p w14:paraId="18985A6A">
      <w:pPr>
        <w:spacing w:line="540" w:lineRule="exact"/>
        <w:ind w:firstLine="567"/>
        <w:rPr>
          <w:rStyle w:val="18"/>
          <w:rFonts w:ascii="仿宋" w:hAnsi="仿宋" w:eastAsia="仿宋"/>
          <w:b w:val="0"/>
          <w:spacing w:val="-4"/>
          <w:sz w:val="32"/>
          <w:szCs w:val="32"/>
        </w:rPr>
      </w:pPr>
    </w:p>
    <w:p w14:paraId="0A5CDEDB">
      <w:pPr>
        <w:spacing w:line="540" w:lineRule="exact"/>
        <w:ind w:firstLine="567"/>
        <w:rPr>
          <w:rStyle w:val="18"/>
          <w:rFonts w:ascii="仿宋" w:hAnsi="仿宋" w:eastAsia="仿宋"/>
          <w:b w:val="0"/>
          <w:spacing w:val="-4"/>
          <w:sz w:val="32"/>
          <w:szCs w:val="32"/>
        </w:rPr>
      </w:pPr>
    </w:p>
    <w:p w14:paraId="756E57B6">
      <w:pPr>
        <w:spacing w:line="540" w:lineRule="exact"/>
        <w:ind w:firstLine="567"/>
        <w:rPr>
          <w:rStyle w:val="18"/>
          <w:rFonts w:ascii="仿宋" w:hAnsi="仿宋" w:eastAsia="仿宋"/>
          <w:b w:val="0"/>
          <w:spacing w:val="-4"/>
          <w:sz w:val="32"/>
          <w:szCs w:val="32"/>
        </w:rPr>
      </w:pPr>
    </w:p>
    <w:p w14:paraId="3931369F">
      <w:pPr>
        <w:spacing w:line="540" w:lineRule="exact"/>
        <w:ind w:firstLine="567"/>
        <w:rPr>
          <w:rStyle w:val="18"/>
          <w:rFonts w:ascii="仿宋" w:hAnsi="仿宋" w:eastAsia="仿宋"/>
          <w:b w:val="0"/>
          <w:spacing w:val="-4"/>
          <w:sz w:val="32"/>
          <w:szCs w:val="32"/>
        </w:rPr>
      </w:pPr>
    </w:p>
    <w:p w14:paraId="0220F2F2">
      <w:pPr>
        <w:spacing w:line="540" w:lineRule="exact"/>
        <w:ind w:firstLine="567"/>
        <w:rPr>
          <w:rStyle w:val="18"/>
          <w:rFonts w:ascii="仿宋" w:hAnsi="仿宋" w:eastAsia="仿宋"/>
          <w:b w:val="0"/>
          <w:spacing w:val="-4"/>
          <w:sz w:val="32"/>
          <w:szCs w:val="32"/>
        </w:rPr>
      </w:pPr>
    </w:p>
    <w:p w14:paraId="06E8A25D">
      <w:pPr>
        <w:spacing w:line="540" w:lineRule="exact"/>
        <w:ind w:firstLine="567"/>
        <w:rPr>
          <w:rStyle w:val="18"/>
          <w:rFonts w:ascii="仿宋" w:hAnsi="仿宋" w:eastAsia="仿宋"/>
          <w:b w:val="0"/>
          <w:spacing w:val="-4"/>
          <w:sz w:val="32"/>
          <w:szCs w:val="32"/>
        </w:rPr>
      </w:pPr>
    </w:p>
    <w:p w14:paraId="36BFA392">
      <w:pPr>
        <w:spacing w:line="540" w:lineRule="exact"/>
        <w:ind w:firstLine="567"/>
        <w:rPr>
          <w:rStyle w:val="18"/>
          <w:rFonts w:ascii="仿宋" w:hAnsi="仿宋" w:eastAsia="仿宋"/>
          <w:b w:val="0"/>
          <w:spacing w:val="-4"/>
          <w:sz w:val="32"/>
          <w:szCs w:val="32"/>
        </w:rPr>
      </w:pPr>
    </w:p>
    <w:p w14:paraId="4E650E8B">
      <w:pPr>
        <w:spacing w:line="540" w:lineRule="exact"/>
        <w:ind w:firstLine="567"/>
        <w:rPr>
          <w:rStyle w:val="18"/>
          <w:rFonts w:ascii="仿宋" w:hAnsi="仿宋" w:eastAsia="仿宋"/>
          <w:b w:val="0"/>
          <w:spacing w:val="-4"/>
          <w:sz w:val="32"/>
          <w:szCs w:val="32"/>
        </w:rPr>
      </w:pPr>
    </w:p>
    <w:p w14:paraId="4F966D6E">
      <w:pPr>
        <w:spacing w:line="540" w:lineRule="exact"/>
        <w:ind w:firstLine="567"/>
        <w:rPr>
          <w:rStyle w:val="18"/>
          <w:rFonts w:ascii="仿宋" w:hAnsi="仿宋" w:eastAsia="仿宋"/>
          <w:b w:val="0"/>
          <w:spacing w:val="-4"/>
          <w:sz w:val="32"/>
          <w:szCs w:val="32"/>
        </w:rPr>
      </w:pPr>
    </w:p>
    <w:p w14:paraId="5E401462">
      <w:pPr>
        <w:spacing w:line="540" w:lineRule="exact"/>
        <w:ind w:firstLine="567"/>
        <w:rPr>
          <w:rStyle w:val="18"/>
          <w:rFonts w:ascii="仿宋" w:hAnsi="仿宋" w:eastAsia="仿宋"/>
          <w:b w:val="0"/>
          <w:spacing w:val="-4"/>
          <w:sz w:val="32"/>
          <w:szCs w:val="32"/>
        </w:rPr>
      </w:pPr>
    </w:p>
    <w:p w14:paraId="0C0317F1">
      <w:pPr>
        <w:spacing w:line="540" w:lineRule="exact"/>
        <w:ind w:firstLine="567"/>
        <w:rPr>
          <w:rStyle w:val="18"/>
          <w:rFonts w:ascii="仿宋" w:hAnsi="仿宋" w:eastAsia="仿宋"/>
          <w:b w:val="0"/>
          <w:spacing w:val="-4"/>
          <w:sz w:val="32"/>
          <w:szCs w:val="32"/>
        </w:rPr>
      </w:pPr>
    </w:p>
    <w:p w14:paraId="0F508FC9">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E7C1A9B">
        <w:pPr>
          <w:pStyle w:val="12"/>
          <w:jc w:val="center"/>
        </w:pPr>
        <w:r>
          <w:fldChar w:fldCharType="begin"/>
        </w:r>
        <w:r>
          <w:instrText xml:space="preserve">PAGE   \* MERGEFORMAT</w:instrText>
        </w:r>
        <w:r>
          <w:fldChar w:fldCharType="separate"/>
        </w:r>
        <w:r>
          <w:rPr>
            <w:lang w:val="zh-CN"/>
          </w:rPr>
          <w:t>1</w:t>
        </w:r>
        <w:r>
          <w:fldChar w:fldCharType="end"/>
        </w:r>
      </w:p>
    </w:sdtContent>
  </w:sdt>
  <w:p w14:paraId="32D1E43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ODUxNzIwMTAzMjQ0MjUxMmFjNWJjOWQ5YjU0YjU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17F025DE"/>
    <w:rsid w:val="3806665D"/>
    <w:rsid w:val="40B01C80"/>
    <w:rsid w:val="4B48324A"/>
    <w:rsid w:val="4D2606A1"/>
    <w:rsid w:val="6E5D3FC8"/>
    <w:rsid w:val="77280BFD"/>
    <w:rsid w:val="7F6D0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9137</Words>
  <Characters>9527</Characters>
  <Lines>5</Lines>
  <Paragraphs>1</Paragraphs>
  <TotalTime>8</TotalTime>
  <ScaleCrop>false</ScaleCrop>
  <LinksUpToDate>false</LinksUpToDate>
  <CharactersWithSpaces>9570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♥、尛潔</cp:lastModifiedBy>
  <cp:lastPrinted>2018-12-31T10:56:00Z</cp:lastPrinted>
  <dcterms:modified xsi:type="dcterms:W3CDTF">2024-08-26T08:11:19Z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5F5AE501F3E343BF805E5FABB571F23C_12</vt:lpwstr>
  </property>
</Properties>
</file>