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4365A">
      <w:pPr>
        <w:keepNext w:val="0"/>
        <w:keepLines w:val="0"/>
        <w:pageBreakBefore w:val="0"/>
        <w:widowControl w:val="0"/>
        <w:kinsoku/>
        <w:wordWrap/>
        <w:overflowPunct/>
        <w:topLinePunct w:val="0"/>
        <w:bidi w:val="0"/>
        <w:adjustRightInd/>
        <w:snapToGrid/>
        <w:spacing w:line="560" w:lineRule="exact"/>
        <w:textAlignment w:val="auto"/>
        <w:rPr>
          <w:rFonts w:hint="eastAsia" w:ascii="黑体" w:hAnsi="黑体" w:eastAsia="黑体"/>
          <w:color w:val="auto"/>
          <w:sz w:val="32"/>
          <w:szCs w:val="32"/>
          <w:highlight w:val="none"/>
          <w:lang w:val="en-US" w:eastAsia="zh-CN"/>
        </w:rPr>
      </w:pPr>
    </w:p>
    <w:p w14:paraId="10A2AADB">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_GBK" w:hAnsi="宋体" w:eastAsia="方正小标宋_GBK"/>
          <w:color w:val="auto"/>
          <w:sz w:val="44"/>
          <w:szCs w:val="44"/>
          <w:highlight w:val="none"/>
        </w:rPr>
      </w:pPr>
    </w:p>
    <w:p w14:paraId="78672614">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伊犁公路管理局</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14:paraId="47B6AA04">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2ED647CD">
      <w:pPr>
        <w:keepNext w:val="0"/>
        <w:keepLines w:val="0"/>
        <w:pageBreakBefore w:val="0"/>
        <w:kinsoku/>
        <w:wordWrap/>
        <w:overflowPunct/>
        <w:topLinePunct w:val="0"/>
        <w:bidi w:val="0"/>
        <w:adjustRightInd/>
        <w:snapToGrid/>
        <w:spacing w:line="560" w:lineRule="exact"/>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1819467E">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3B1DE0D3">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5C1D059A">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3C3C119F">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573B4AD5">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45B932F5">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02C59B6B">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7C4AD5D2">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5233B912">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06CD18C7">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5982C4CD">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0C919F60">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5426C2A">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1E0059AE">
      <w:pPr>
        <w:keepNext w:val="0"/>
        <w:keepLines w:val="0"/>
        <w:pageBreakBefore w:val="0"/>
        <w:kinsoku/>
        <w:wordWrap/>
        <w:overflowPunct/>
        <w:topLinePunct w:val="0"/>
        <w:bidi w:val="0"/>
        <w:adjustRightInd/>
        <w:snapToGrid/>
        <w:spacing w:line="560" w:lineRule="exact"/>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08FF4104">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25FDEB3">
      <w:pPr>
        <w:pStyle w:val="4"/>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1AA40ABB">
      <w:pPr>
        <w:pStyle w:val="4"/>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4AE3C1A6">
      <w:pPr>
        <w:pStyle w:val="4"/>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4C557FA1">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1BEE5219">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173EFC32">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6686ED92">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1D68FEF2">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18417982">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1C66E686">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5825D062">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325FBC03">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4106DEA0">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654106D8">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72BE19F6">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2045798E">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33A44549">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00BC4203">
      <w:pPr>
        <w:keepNext w:val="0"/>
        <w:keepLines w:val="0"/>
        <w:pageBreakBefore w:val="0"/>
        <w:kinsoku/>
        <w:wordWrap/>
        <w:overflowPunct/>
        <w:topLinePunct w:val="0"/>
        <w:bidi w:val="0"/>
        <w:adjustRightInd/>
        <w:snapToGrid/>
        <w:spacing w:line="560" w:lineRule="exac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43D708C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04C6F65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550038F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eastAsia="仿宋_GB2312"/>
          <w:color w:val="0000FF"/>
          <w:sz w:val="32"/>
          <w:szCs w:val="32"/>
        </w:rPr>
      </w:pPr>
      <w:bookmarkStart w:id="4" w:name="_Toc31238"/>
      <w:bookmarkStart w:id="5" w:name="_Toc2151"/>
      <w:r>
        <w:rPr>
          <w:rFonts w:ascii="仿宋_GB2312" w:eastAsia="仿宋_GB2312"/>
          <w:color w:val="auto"/>
          <w:sz w:val="32"/>
          <w:szCs w:val="32"/>
        </w:rPr>
        <w:t>负责辖线国道、省道、口岸公路和专用公路的养护管理及大中修工程，以及公路沿线服务设施的管理；负责非经营性收费公路的运营与管理，具体如下：</w:t>
      </w:r>
      <w:r>
        <w:rPr>
          <w:rFonts w:ascii="仿宋_GB2312" w:eastAsia="仿宋_GB2312"/>
          <w:color w:val="auto"/>
          <w:sz w:val="32"/>
          <w:szCs w:val="32"/>
        </w:rPr>
        <w:br w:type="textWrapping"/>
      </w:r>
      <w:r>
        <w:rPr>
          <w:rFonts w:ascii="仿宋_GB2312" w:eastAsia="仿宋_GB2312"/>
          <w:color w:val="auto"/>
          <w:sz w:val="32"/>
          <w:szCs w:val="32"/>
        </w:rPr>
        <w:t>　　(1)贯彻执行国家、自治区有关公路养护管理的政策法规和方针政策，参与制定相关技术标准、规范和定额。</w:t>
      </w:r>
      <w:r>
        <w:rPr>
          <w:rFonts w:ascii="仿宋_GB2312" w:eastAsia="仿宋_GB2312"/>
          <w:color w:val="auto"/>
          <w:sz w:val="32"/>
          <w:szCs w:val="32"/>
        </w:rPr>
        <w:br w:type="textWrapping"/>
      </w:r>
      <w:r>
        <w:rPr>
          <w:rFonts w:ascii="仿宋_GB2312" w:eastAsia="仿宋_GB2312"/>
          <w:color w:val="auto"/>
          <w:sz w:val="32"/>
          <w:szCs w:val="32"/>
        </w:rPr>
        <w:t>　　(2)参与编报实施年度公路养护计划和预算，具体管理公路养护专项资金。</w:t>
      </w:r>
      <w:r>
        <w:rPr>
          <w:rFonts w:ascii="仿宋_GB2312" w:eastAsia="仿宋_GB2312"/>
          <w:color w:val="auto"/>
          <w:sz w:val="32"/>
          <w:szCs w:val="32"/>
        </w:rPr>
        <w:br w:type="textWrapping"/>
      </w:r>
      <w:r>
        <w:rPr>
          <w:rFonts w:ascii="仿宋_GB2312" w:eastAsia="仿宋_GB2312"/>
          <w:color w:val="auto"/>
          <w:sz w:val="32"/>
          <w:szCs w:val="32"/>
        </w:rPr>
        <w:t>　　(3)负责管辖范围内国省干线及专用公路的养护和质量管理，以及公路沿线服务设施的管理；负责公路大中修项目的实施工作。</w:t>
      </w:r>
      <w:r>
        <w:rPr>
          <w:rFonts w:ascii="仿宋_GB2312" w:eastAsia="仿宋_GB2312"/>
          <w:color w:val="auto"/>
          <w:sz w:val="32"/>
          <w:szCs w:val="32"/>
        </w:rPr>
        <w:br w:type="textWrapping"/>
      </w:r>
      <w:r>
        <w:rPr>
          <w:rFonts w:ascii="仿宋_GB2312" w:eastAsia="仿宋_GB2312"/>
          <w:color w:val="auto"/>
          <w:sz w:val="32"/>
          <w:szCs w:val="32"/>
        </w:rPr>
        <w:t>　　(4)负责伊犁农村公路质量监督工作。</w:t>
      </w:r>
      <w:r>
        <w:rPr>
          <w:rFonts w:ascii="仿宋_GB2312" w:eastAsia="仿宋_GB2312"/>
          <w:color w:val="auto"/>
          <w:sz w:val="32"/>
          <w:szCs w:val="32"/>
        </w:rPr>
        <w:br w:type="textWrapping"/>
      </w:r>
      <w:r>
        <w:rPr>
          <w:rFonts w:ascii="仿宋_GB2312" w:eastAsia="仿宋_GB2312"/>
          <w:color w:val="auto"/>
          <w:sz w:val="32"/>
          <w:szCs w:val="32"/>
        </w:rPr>
        <w:t>　　(5)负责培育、规范、完善、管理伊犁州公路养护市场。</w:t>
      </w:r>
      <w:r>
        <w:rPr>
          <w:rFonts w:ascii="仿宋_GB2312" w:eastAsia="仿宋_GB2312"/>
          <w:color w:val="auto"/>
          <w:sz w:val="32"/>
          <w:szCs w:val="32"/>
        </w:rPr>
        <w:br w:type="textWrapping"/>
      </w:r>
      <w:r>
        <w:rPr>
          <w:rFonts w:ascii="仿宋_GB2312" w:eastAsia="仿宋_GB2312"/>
          <w:color w:val="auto"/>
          <w:sz w:val="32"/>
          <w:szCs w:val="32"/>
        </w:rPr>
        <w:t>　　(6)负责非经营性收费公路的运营与管理；根据交通运输厅授权，负责经营性收费公路的行业管理工作。</w:t>
      </w:r>
      <w:r>
        <w:rPr>
          <w:rFonts w:ascii="仿宋_GB2312" w:eastAsia="仿宋_GB2312"/>
          <w:color w:val="auto"/>
          <w:sz w:val="32"/>
          <w:szCs w:val="32"/>
        </w:rPr>
        <w:br w:type="textWrapping"/>
      </w:r>
      <w:r>
        <w:rPr>
          <w:rFonts w:ascii="仿宋_GB2312" w:eastAsia="仿宋_GB2312"/>
          <w:color w:val="auto"/>
          <w:sz w:val="32"/>
          <w:szCs w:val="32"/>
        </w:rPr>
        <w:t>　　(7)自治区公路事业发展中心交办的其他工作</w:t>
      </w:r>
      <w:r>
        <w:rPr>
          <w:rFonts w:hint="eastAsia" w:ascii="仿宋_GB2312" w:eastAsia="仿宋_GB2312"/>
          <w:color w:val="auto"/>
          <w:sz w:val="32"/>
          <w:szCs w:val="32"/>
        </w:rPr>
        <w:t>。</w:t>
      </w:r>
    </w:p>
    <w:p w14:paraId="67BD392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382C8F9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伊犁公路管理局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2220</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924</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1296</w:t>
      </w:r>
      <w:r>
        <w:rPr>
          <w:rFonts w:hint="eastAsia" w:ascii="仿宋_GB2312" w:eastAsia="仿宋_GB2312"/>
          <w:color w:val="auto"/>
          <w:sz w:val="32"/>
          <w:szCs w:val="32"/>
          <w:highlight w:val="none"/>
        </w:rPr>
        <w:t>人。</w:t>
      </w:r>
    </w:p>
    <w:p w14:paraId="2539804D">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rPr>
        <w:t>单位无下属预算单位，下设</w:t>
      </w:r>
      <w:r>
        <w:rPr>
          <w:rFonts w:hint="eastAsia" w:ascii="仿宋_GB2312" w:eastAsia="仿宋_GB2312"/>
          <w:color w:val="auto"/>
          <w:sz w:val="32"/>
          <w:szCs w:val="32"/>
        </w:rPr>
        <w:t>13</w:t>
      </w:r>
      <w:r>
        <w:rPr>
          <w:rFonts w:hint="eastAsia" w:ascii="仿宋_GB2312" w:hAnsi="黑体" w:eastAsia="仿宋_GB2312" w:cs="宋体"/>
          <w:bCs/>
          <w:color w:val="auto"/>
          <w:kern w:val="0"/>
          <w:sz w:val="32"/>
          <w:szCs w:val="32"/>
        </w:rPr>
        <w:t>个</w:t>
      </w:r>
      <w:r>
        <w:rPr>
          <w:rFonts w:hint="eastAsia" w:ascii="仿宋_GB2312" w:hAnsi="黑体" w:eastAsia="仿宋_GB2312" w:cs="宋体"/>
          <w:bCs/>
          <w:color w:val="auto"/>
          <w:kern w:val="0"/>
          <w:sz w:val="32"/>
          <w:szCs w:val="32"/>
          <w:lang w:val="en-US" w:eastAsia="zh-CN"/>
        </w:rPr>
        <w:t>科</w:t>
      </w:r>
      <w:r>
        <w:rPr>
          <w:rFonts w:hint="eastAsia" w:ascii="仿宋_GB2312" w:hAnsi="黑体" w:eastAsia="仿宋_GB2312" w:cs="宋体"/>
          <w:bCs/>
          <w:color w:val="auto"/>
          <w:kern w:val="0"/>
          <w:sz w:val="32"/>
          <w:szCs w:val="32"/>
        </w:rPr>
        <w:t>室，分别是：办公室（党委办公室）、养护管理科、财务审计科、劳动保障科、设备管理科、组织人事科、安全监督保卫科、监察室、工会、监控通讯科、收费稽查科、离退休管理科、后勤服务科</w:t>
      </w:r>
      <w:r>
        <w:rPr>
          <w:rFonts w:hint="eastAsia" w:ascii="仿宋_GB2312" w:hAnsi="宋体" w:eastAsia="仿宋_GB2312" w:cs="宋体"/>
          <w:color w:val="auto"/>
          <w:kern w:val="0"/>
          <w:sz w:val="32"/>
          <w:szCs w:val="32"/>
          <w:highlight w:val="none"/>
        </w:rPr>
        <w:t>。</w:t>
      </w:r>
    </w:p>
    <w:p w14:paraId="7F5933B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03AC895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5D920AE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29,288.80万元，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29,234.26万元，使用非财政拨款结余54.54万元，年初结转和结余0.00万元。</w:t>
      </w:r>
    </w:p>
    <w:p w14:paraId="39FB9EC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29,288.80万元，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29,288.80万元，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14:paraId="67C038D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减少4,761.68万元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下降13.98%</w:t>
      </w:r>
      <w:r>
        <w:rPr>
          <w:rFonts w:hint="eastAsia" w:ascii="仿宋_GB2312" w:eastAsia="仿宋_GB2312"/>
          <w:color w:val="auto"/>
          <w:spacing w:val="0"/>
          <w:sz w:val="32"/>
          <w:szCs w:val="32"/>
          <w:highlight w:val="none"/>
          <w:lang w:eastAsia="zh-CN"/>
        </w:rPr>
        <w:t>，主要原因是：较上年公路养护工程等项目财政拨款收入有所</w:t>
      </w:r>
      <w:r>
        <w:rPr>
          <w:rFonts w:hint="eastAsia" w:ascii="仿宋_GB2312" w:eastAsia="仿宋_GB2312"/>
          <w:color w:val="auto"/>
          <w:spacing w:val="0"/>
          <w:sz w:val="32"/>
          <w:szCs w:val="32"/>
          <w:highlight w:val="none"/>
          <w:lang w:val="en-US" w:eastAsia="zh-CN"/>
        </w:rPr>
        <w:t>减少，相应的项目支出减少</w:t>
      </w:r>
      <w:r>
        <w:rPr>
          <w:rFonts w:hint="eastAsia" w:ascii="仿宋_GB2312" w:eastAsia="仿宋_GB2312"/>
          <w:color w:val="auto"/>
          <w:spacing w:val="0"/>
          <w:sz w:val="32"/>
          <w:szCs w:val="32"/>
          <w:highlight w:val="none"/>
          <w:lang w:eastAsia="zh-CN"/>
        </w:rPr>
        <w:t>。</w:t>
      </w:r>
    </w:p>
    <w:p w14:paraId="22DCE31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0C5D081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29,234.26</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29,227.19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99.98</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7.07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129489F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65BF292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本年支出29,288.80万元，其中：基本支出22,729.10万元，占77.60%；项目支出6,559.70万元，占22.40%；上缴上级支出0.00万元，占0.00%；经营支出0.00万元，占0.00%；对附属单位补助支出0.00万元，占0.00%。</w:t>
      </w:r>
    </w:p>
    <w:p w14:paraId="0ECCD3C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429FF6D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29,227.19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29,227.19</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29,227.19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29,227.19</w:t>
      </w:r>
      <w:r>
        <w:rPr>
          <w:rFonts w:hint="eastAsia" w:ascii="仿宋_GB2312" w:eastAsia="仿宋_GB2312"/>
          <w:color w:val="auto"/>
          <w:spacing w:val="0"/>
          <w:sz w:val="32"/>
          <w:szCs w:val="32"/>
          <w:highlight w:val="none"/>
          <w:lang w:eastAsia="zh-CN"/>
        </w:rPr>
        <w:t>万元。</w:t>
      </w:r>
    </w:p>
    <w:p w14:paraId="3F2A725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减少4,488.61万元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下降13.31%，</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z w:val="32"/>
          <w:szCs w:val="32"/>
        </w:rPr>
        <w:t>较上年公路养护工程等项目</w:t>
      </w:r>
      <w:r>
        <w:rPr>
          <w:rFonts w:hint="eastAsia" w:ascii="仿宋_GB2312" w:eastAsia="仿宋_GB2312"/>
          <w:color w:val="auto"/>
          <w:sz w:val="32"/>
          <w:szCs w:val="32"/>
          <w:lang w:val="en-US" w:eastAsia="zh-CN"/>
        </w:rPr>
        <w:t>资金预算减少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27,435.06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29,227.19</w:t>
      </w:r>
      <w:r>
        <w:rPr>
          <w:rFonts w:hint="eastAsia" w:ascii="仿宋_GB2312" w:eastAsia="仿宋_GB2312"/>
          <w:color w:val="auto"/>
          <w:spacing w:val="0"/>
          <w:sz w:val="32"/>
          <w:szCs w:val="32"/>
          <w:highlight w:val="none"/>
          <w:lang w:eastAsia="zh-CN"/>
        </w:rPr>
        <w:t>万元，预决算差异率6.53%，主要原因是：</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年追加</w:t>
      </w:r>
      <w:r>
        <w:rPr>
          <w:rFonts w:hint="eastAsia" w:ascii="仿宋_GB2312" w:eastAsia="仿宋_GB2312"/>
          <w:color w:val="auto"/>
          <w:sz w:val="32"/>
          <w:szCs w:val="32"/>
          <w:lang w:val="en-US" w:eastAsia="zh-CN"/>
        </w:rPr>
        <w:t>当年丧葬抚恤金、职业年金和车购税下达项目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等预算</w:t>
      </w:r>
      <w:r>
        <w:rPr>
          <w:rFonts w:hint="eastAsia" w:ascii="仿宋_GB2312" w:eastAsia="仿宋_GB2312"/>
          <w:color w:val="auto"/>
          <w:spacing w:val="0"/>
          <w:sz w:val="32"/>
          <w:szCs w:val="32"/>
          <w:highlight w:val="none"/>
          <w:lang w:eastAsia="zh-CN"/>
        </w:rPr>
        <w:t>。</w:t>
      </w:r>
    </w:p>
    <w:p w14:paraId="52A856D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64EE6E4E">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outlineLvl w:val="2"/>
        <w:rPr>
          <w:rFonts w:hint="eastAsia" w:ascii="方正楷体_GB2312" w:hAnsi="方正楷体_GB2312" w:eastAsia="方正楷体_GB2312" w:cs="方正楷体_GB2312"/>
          <w:b/>
          <w:bCs/>
          <w:color w:val="auto"/>
          <w:sz w:val="32"/>
          <w:szCs w:val="32"/>
          <w:highlight w:val="none"/>
          <w:lang w:eastAsia="zh-CN"/>
        </w:rPr>
      </w:pPr>
      <w:r>
        <w:rPr>
          <w:rFonts w:hint="eastAsia" w:ascii="方正楷体_GB2312" w:hAnsi="方正楷体_GB2312" w:eastAsia="方正楷体_GB2312" w:cs="方正楷体_GB2312"/>
          <w:b/>
          <w:bCs/>
          <w:color w:val="auto"/>
          <w:sz w:val="32"/>
          <w:szCs w:val="32"/>
          <w:highlight w:val="none"/>
          <w:lang w:eastAsia="zh-CN"/>
        </w:rPr>
        <w:t>（一）一般公共预算财政拨款支出决算总体情况</w:t>
      </w:r>
    </w:p>
    <w:p w14:paraId="6DDFE5F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2023年度一般公共预算财政拨款支出29,227.19万元，占本年支出合计的</w:t>
      </w:r>
      <w:r>
        <w:rPr>
          <w:rFonts w:hint="eastAsia" w:ascii="仿宋_GB2312" w:eastAsia="仿宋_GB2312"/>
          <w:color w:val="auto"/>
          <w:spacing w:val="0"/>
          <w:sz w:val="32"/>
          <w:szCs w:val="32"/>
          <w:highlight w:val="none"/>
          <w:lang w:val="zh-CN" w:eastAsia="zh-CN"/>
        </w:rPr>
        <w:t>99.79%</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减少4,488.61万元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下降13.31%，</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z w:val="32"/>
          <w:szCs w:val="32"/>
        </w:rPr>
        <w:t>较上年公路养护工程等项目</w:t>
      </w:r>
      <w:r>
        <w:rPr>
          <w:rFonts w:hint="eastAsia" w:ascii="仿宋_GB2312" w:eastAsia="仿宋_GB2312"/>
          <w:color w:val="auto"/>
          <w:sz w:val="32"/>
          <w:szCs w:val="32"/>
          <w:lang w:val="en-US" w:eastAsia="zh-CN"/>
        </w:rPr>
        <w:t>资金预算减少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27,435.06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29,227.19</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6.53%</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年追加</w:t>
      </w:r>
      <w:r>
        <w:rPr>
          <w:rFonts w:hint="eastAsia" w:ascii="仿宋_GB2312" w:eastAsia="仿宋_GB2312"/>
          <w:color w:val="auto"/>
          <w:sz w:val="32"/>
          <w:szCs w:val="32"/>
          <w:lang w:val="en-US" w:eastAsia="zh-CN"/>
        </w:rPr>
        <w:t>当年丧葬抚恤金、职业年金和车购税下达项目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等预算</w:t>
      </w:r>
      <w:r>
        <w:rPr>
          <w:rFonts w:hint="eastAsia" w:ascii="仿宋_GB2312" w:eastAsia="仿宋_GB2312"/>
          <w:color w:val="auto"/>
          <w:spacing w:val="0"/>
          <w:sz w:val="32"/>
          <w:szCs w:val="32"/>
          <w:highlight w:val="none"/>
          <w:lang w:eastAsia="zh-CN"/>
        </w:rPr>
        <w:t>。</w:t>
      </w:r>
    </w:p>
    <w:p w14:paraId="4F61DD5A">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jc w:val="left"/>
        <w:textAlignment w:val="auto"/>
        <w:outlineLvl w:val="2"/>
        <w:rPr>
          <w:rFonts w:hint="eastAsia" w:ascii="方正楷体_GB2312" w:hAnsi="方正楷体_GB2312" w:eastAsia="方正楷体_GB2312" w:cs="方正楷体_GB2312"/>
          <w:b/>
          <w:bCs/>
          <w:color w:val="auto"/>
          <w:spacing w:val="0"/>
          <w:kern w:val="2"/>
          <w:sz w:val="32"/>
          <w:szCs w:val="32"/>
          <w:highlight w:val="none"/>
          <w:lang w:val="zh-CN" w:eastAsia="zh-CN" w:bidi="ar-SA"/>
        </w:rPr>
      </w:pPr>
      <w:r>
        <w:rPr>
          <w:rFonts w:hint="eastAsia" w:ascii="方正楷体_GB2312" w:hAnsi="方正楷体_GB2312" w:eastAsia="方正楷体_GB2312" w:cs="方正楷体_GB2312"/>
          <w:b/>
          <w:bCs/>
          <w:color w:val="auto"/>
          <w:sz w:val="32"/>
          <w:szCs w:val="32"/>
          <w:highlight w:val="none"/>
          <w:lang w:eastAsia="zh-CN"/>
        </w:rPr>
        <w:t>一般公共预算</w:t>
      </w:r>
      <w:r>
        <w:rPr>
          <w:rFonts w:hint="eastAsia" w:ascii="方正楷体_GB2312" w:hAnsi="方正楷体_GB2312" w:eastAsia="方正楷体_GB2312" w:cs="方正楷体_GB2312"/>
          <w:b/>
          <w:bCs/>
          <w:color w:val="auto"/>
          <w:sz w:val="32"/>
          <w:szCs w:val="32"/>
          <w:highlight w:val="none"/>
          <w:lang w:val="en-US" w:eastAsia="zh-CN"/>
        </w:rPr>
        <w:t>财政拨款支出决算</w:t>
      </w:r>
      <w:r>
        <w:rPr>
          <w:rFonts w:hint="eastAsia" w:ascii="方正楷体_GB2312" w:hAnsi="方正楷体_GB2312" w:eastAsia="方正楷体_GB2312" w:cs="方正楷体_GB2312"/>
          <w:b/>
          <w:bCs/>
          <w:color w:val="auto"/>
          <w:sz w:val="32"/>
          <w:szCs w:val="32"/>
          <w:highlight w:val="none"/>
          <w:lang w:eastAsia="zh-CN"/>
        </w:rPr>
        <w:t>结构情况</w:t>
      </w:r>
    </w:p>
    <w:p w14:paraId="2EFA552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4,550.53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15.57</w:t>
      </w:r>
      <w:r>
        <w:rPr>
          <w:rFonts w:hint="default" w:ascii="仿宋_GB2312" w:hAnsi="Times New Roman" w:eastAsia="仿宋_GB2312" w:cs="Times New Roman"/>
          <w:color w:val="auto"/>
          <w:spacing w:val="0"/>
          <w:kern w:val="2"/>
          <w:sz w:val="32"/>
          <w:szCs w:val="32"/>
          <w:highlight w:val="none"/>
          <w:lang w:val="zh-CN" w:eastAsia="zh-CN" w:bidi="ar-SA"/>
        </w:rPr>
        <w:t>%；</w:t>
      </w:r>
    </w:p>
    <w:p w14:paraId="5F1C990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1,089.54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3.73</w:t>
      </w:r>
      <w:r>
        <w:rPr>
          <w:rFonts w:hint="default" w:ascii="仿宋_GB2312" w:hAnsi="Times New Roman" w:eastAsia="仿宋_GB2312" w:cs="Times New Roman"/>
          <w:color w:val="auto"/>
          <w:spacing w:val="0"/>
          <w:kern w:val="2"/>
          <w:sz w:val="32"/>
          <w:szCs w:val="32"/>
          <w:highlight w:val="none"/>
          <w:lang w:val="zh-CN" w:eastAsia="zh-CN" w:bidi="ar-SA"/>
        </w:rPr>
        <w:t>%；</w:t>
      </w:r>
    </w:p>
    <w:p w14:paraId="6FB89EC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22,345.77</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76.4</w:t>
      </w:r>
      <w:r>
        <w:rPr>
          <w:rFonts w:hint="eastAsia" w:ascii="仿宋_GB2312" w:eastAsia="仿宋_GB2312" w:cs="Times New Roman"/>
          <w:color w:val="auto"/>
          <w:spacing w:val="0"/>
          <w:kern w:val="2"/>
          <w:sz w:val="32"/>
          <w:szCs w:val="32"/>
          <w:highlight w:val="none"/>
          <w:lang w:val="en-US" w:eastAsia="zh-CN" w:bidi="ar-SA"/>
        </w:rPr>
        <w:t>5</w:t>
      </w:r>
      <w:r>
        <w:rPr>
          <w:rFonts w:hint="default" w:ascii="仿宋_GB2312" w:hAnsi="Times New Roman" w:eastAsia="仿宋_GB2312" w:cs="Times New Roman"/>
          <w:color w:val="auto"/>
          <w:spacing w:val="0"/>
          <w:kern w:val="2"/>
          <w:sz w:val="32"/>
          <w:szCs w:val="32"/>
          <w:highlight w:val="none"/>
          <w:lang w:val="zh-CN" w:eastAsia="zh-CN" w:bidi="ar-SA"/>
        </w:rPr>
        <w:t>%；</w:t>
      </w:r>
    </w:p>
    <w:p w14:paraId="1E2D60A8">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1,241.35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4.25</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69D890EA">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outlineLvl w:val="2"/>
        <w:rPr>
          <w:rFonts w:hint="eastAsia" w:ascii="方正楷体_GB2312" w:hAnsi="方正楷体_GB2312" w:eastAsia="方正楷体_GB2312" w:cs="方正楷体_GB2312"/>
          <w:b/>
          <w:bCs/>
          <w:color w:val="auto"/>
          <w:sz w:val="32"/>
          <w:szCs w:val="32"/>
          <w:highlight w:val="none"/>
          <w:lang w:eastAsia="zh-CN"/>
        </w:rPr>
      </w:pPr>
      <w:r>
        <w:rPr>
          <w:rFonts w:hint="eastAsia" w:ascii="方正楷体_GB2312" w:hAnsi="方正楷体_GB2312" w:eastAsia="方正楷体_GB2312" w:cs="方正楷体_GB2312"/>
          <w:b/>
          <w:bCs/>
          <w:color w:val="auto"/>
          <w:sz w:val="32"/>
          <w:szCs w:val="32"/>
          <w:highlight w:val="none"/>
          <w:lang w:eastAsia="zh-CN"/>
        </w:rPr>
        <w:t>（三）一般公共预算财政拨款支出决算具体情况</w:t>
      </w:r>
    </w:p>
    <w:p w14:paraId="6E5FEF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1.卫生健康支出（类）行政事业单位医疗（款）事业单位医疗（项）:支出决算数为744.59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48.36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6.95%，主要原因是：</w:t>
      </w:r>
      <w:r>
        <w:rPr>
          <w:rFonts w:hint="eastAsia" w:eastAsia="仿宋_GB2312" w:cs="Times New Roman"/>
          <w:color w:val="auto"/>
          <w:kern w:val="2"/>
          <w:sz w:val="32"/>
          <w:szCs w:val="32"/>
          <w:highlight w:val="none"/>
          <w:lang w:val="en-US" w:eastAsia="zh-CN" w:bidi="ar-SA"/>
        </w:rPr>
        <w:t>在职职工正常晋升、艰苦津贴调整，医疗</w:t>
      </w:r>
      <w:r>
        <w:rPr>
          <w:rFonts w:hint="eastAsia" w:ascii="Times New Roman" w:hAnsi="Times New Roman" w:eastAsia="仿宋_GB2312" w:cs="Times New Roman"/>
          <w:color w:val="auto"/>
          <w:kern w:val="2"/>
          <w:sz w:val="32"/>
          <w:szCs w:val="32"/>
          <w:highlight w:val="none"/>
          <w:lang w:val="en-US" w:eastAsia="zh-CN" w:bidi="ar-SA"/>
        </w:rPr>
        <w:t>缴费基数增加</w:t>
      </w:r>
      <w:r>
        <w:rPr>
          <w:rFonts w:hint="eastAsia" w:eastAsia="仿宋_GB2312" w:cs="Times New Roman"/>
          <w:color w:val="auto"/>
          <w:kern w:val="2"/>
          <w:sz w:val="32"/>
          <w:szCs w:val="32"/>
          <w:highlight w:val="none"/>
          <w:lang w:val="zh-CN" w:eastAsia="zh-CN" w:bidi="ar-SA"/>
        </w:rPr>
        <w:t>。</w:t>
      </w:r>
    </w:p>
    <w:p w14:paraId="33041F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FF"/>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2.卫生健康支出（类）行政事业单位医疗（款）公务员医疗补助（项）:支出决算数为344.95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3.45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0.99%，主要原因是：</w:t>
      </w:r>
      <w:r>
        <w:rPr>
          <w:rFonts w:hint="eastAsia" w:ascii="仿宋_GB2312" w:eastAsia="仿宋_GB2312"/>
          <w:color w:val="auto"/>
          <w:sz w:val="32"/>
          <w:szCs w:val="32"/>
        </w:rPr>
        <w:t>本年度在</w:t>
      </w:r>
      <w:r>
        <w:rPr>
          <w:rFonts w:hint="eastAsia" w:ascii="仿宋_GB2312" w:eastAsia="仿宋_GB2312"/>
          <w:color w:val="auto"/>
          <w:sz w:val="32"/>
          <w:szCs w:val="32"/>
          <w:lang w:val="en-US" w:eastAsia="zh-CN"/>
        </w:rPr>
        <w:t>职</w:t>
      </w:r>
      <w:r>
        <w:rPr>
          <w:rFonts w:hint="eastAsia" w:ascii="Times New Roman" w:hAnsi="Times New Roman" w:eastAsia="仿宋_GB2312" w:cs="Times New Roman"/>
          <w:color w:val="auto"/>
          <w:kern w:val="2"/>
          <w:sz w:val="32"/>
          <w:szCs w:val="32"/>
          <w:highlight w:val="none"/>
          <w:lang w:val="en-US" w:eastAsia="zh-CN" w:bidi="ar-SA"/>
        </w:rPr>
        <w:t>人员</w:t>
      </w:r>
      <w:r>
        <w:rPr>
          <w:rFonts w:hint="eastAsia" w:eastAsia="仿宋_GB2312" w:cs="Times New Roman"/>
          <w:color w:val="auto"/>
          <w:kern w:val="2"/>
          <w:sz w:val="32"/>
          <w:szCs w:val="32"/>
          <w:highlight w:val="none"/>
          <w:lang w:val="en-US" w:eastAsia="zh-CN" w:bidi="ar-SA"/>
        </w:rPr>
        <w:t>较上年因退休、自然减员和辞职等原因减少</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仿宋_GB2312" w:eastAsia="仿宋_GB2312"/>
          <w:color w:val="auto"/>
          <w:sz w:val="32"/>
          <w:szCs w:val="32"/>
        </w:rPr>
        <w:t>相应公务员医疗补助减少</w:t>
      </w:r>
      <w:r>
        <w:rPr>
          <w:rFonts w:hint="eastAsia" w:eastAsia="仿宋_GB2312" w:cs="Times New Roman"/>
          <w:color w:val="auto"/>
          <w:kern w:val="2"/>
          <w:sz w:val="32"/>
          <w:szCs w:val="32"/>
          <w:highlight w:val="none"/>
          <w:lang w:val="zh-CN" w:eastAsia="zh-CN" w:bidi="ar-SA"/>
        </w:rPr>
        <w:t>。</w:t>
      </w:r>
    </w:p>
    <w:p w14:paraId="0954EF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3.交通运输支出（类）公路水路运输（款）公路养护（项）:支出决算数为20,745.77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4,935.90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19.22%，主要原因是：</w:t>
      </w:r>
      <w:r>
        <w:rPr>
          <w:rFonts w:hint="eastAsia" w:ascii="仿宋_GB2312" w:eastAsia="仿宋_GB2312"/>
          <w:color w:val="auto"/>
          <w:sz w:val="32"/>
          <w:szCs w:val="32"/>
        </w:rPr>
        <w:t>较上年公路养护工程等项目</w:t>
      </w:r>
      <w:r>
        <w:rPr>
          <w:rFonts w:hint="eastAsia" w:ascii="仿宋_GB2312" w:eastAsia="仿宋_GB2312"/>
          <w:color w:val="auto"/>
          <w:sz w:val="32"/>
          <w:szCs w:val="32"/>
          <w:lang w:val="en-US" w:eastAsia="zh-CN"/>
        </w:rPr>
        <w:t>资金预算减少</w:t>
      </w:r>
      <w:r>
        <w:rPr>
          <w:rFonts w:hint="eastAsia" w:ascii="仿宋_GB2312" w:eastAsia="仿宋_GB2312"/>
          <w:color w:val="auto"/>
          <w:spacing w:val="0"/>
          <w:sz w:val="32"/>
          <w:szCs w:val="32"/>
          <w:highlight w:val="none"/>
          <w:lang w:eastAsia="zh-CN"/>
        </w:rPr>
        <w:t>。</w:t>
      </w:r>
    </w:p>
    <w:p w14:paraId="6E77CF52">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ascii="黑体" w:hAnsi="黑体" w:eastAsia="黑体" w:cs="宋体"/>
          <w:bCs/>
          <w:color w:val="auto"/>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4.交通运输支出（类）车辆购置税支出（款）车辆购置税用于公路等基础设施建设支出（项）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支出决算数为1,600.00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552.00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52.67%，主要原因是</w:t>
      </w:r>
      <w:r>
        <w:rPr>
          <w:rFonts w:hint="eastAsia" w:eastAsia="仿宋_GB2312" w:cs="Times New Roman"/>
          <w:color w:val="auto"/>
          <w:kern w:val="2"/>
          <w:sz w:val="32"/>
          <w:szCs w:val="32"/>
          <w:highlight w:val="none"/>
          <w:lang w:val="en-US" w:eastAsia="zh-CN" w:bidi="ar-SA"/>
        </w:rPr>
        <w:t>：</w:t>
      </w:r>
      <w:r>
        <w:rPr>
          <w:rFonts w:hint="eastAsia" w:ascii="仿宋_GB2312" w:eastAsia="仿宋_GB2312"/>
          <w:color w:val="auto"/>
          <w:sz w:val="32"/>
          <w:szCs w:val="32"/>
        </w:rPr>
        <w:t>2023年车辆购置税收入补助地方资金</w:t>
      </w:r>
      <w:r>
        <w:rPr>
          <w:rFonts w:hint="eastAsia" w:ascii="仿宋_GB2312" w:eastAsia="仿宋_GB2312"/>
          <w:color w:val="auto"/>
          <w:sz w:val="32"/>
          <w:szCs w:val="32"/>
          <w:lang w:val="en-US" w:eastAsia="zh-CN"/>
        </w:rPr>
        <w:t>安排的用于</w:t>
      </w:r>
      <w:r>
        <w:rPr>
          <w:rFonts w:hint="eastAsia" w:ascii="仿宋_GB2312" w:eastAsia="仿宋_GB2312"/>
          <w:color w:val="auto"/>
          <w:sz w:val="32"/>
          <w:szCs w:val="32"/>
        </w:rPr>
        <w:t>三项工程项目</w:t>
      </w:r>
      <w:r>
        <w:rPr>
          <w:rFonts w:hint="eastAsia" w:ascii="仿宋_GB2312" w:eastAsia="仿宋_GB2312"/>
          <w:color w:val="auto"/>
          <w:sz w:val="32"/>
          <w:szCs w:val="32"/>
          <w:lang w:val="en-US" w:eastAsia="zh-CN"/>
        </w:rPr>
        <w:t>资金较上年增加</w:t>
      </w:r>
      <w:r>
        <w:rPr>
          <w:rFonts w:hint="eastAsia" w:ascii="仿宋_GB2312" w:eastAsia="仿宋_GB2312"/>
          <w:color w:val="auto"/>
          <w:sz w:val="32"/>
          <w:szCs w:val="32"/>
        </w:rPr>
        <w:t>。</w:t>
      </w:r>
    </w:p>
    <w:p w14:paraId="0688B6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5.住房保障支出（类）住房改革支出（款）住房公积金（项）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支出决算数为1,241.35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9.88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0.79%，主要原因是：</w:t>
      </w:r>
      <w:r>
        <w:rPr>
          <w:rFonts w:hint="eastAsia" w:ascii="仿宋_GB2312" w:eastAsia="仿宋_GB2312"/>
          <w:color w:val="auto"/>
          <w:sz w:val="32"/>
          <w:szCs w:val="32"/>
        </w:rPr>
        <w:t>本年度在</w:t>
      </w:r>
      <w:r>
        <w:rPr>
          <w:rFonts w:hint="eastAsia" w:ascii="仿宋_GB2312" w:eastAsia="仿宋_GB2312"/>
          <w:color w:val="auto"/>
          <w:sz w:val="32"/>
          <w:szCs w:val="32"/>
          <w:lang w:val="en-US" w:eastAsia="zh-CN"/>
        </w:rPr>
        <w:t>职</w:t>
      </w:r>
      <w:r>
        <w:rPr>
          <w:rFonts w:hint="eastAsia" w:ascii="Times New Roman" w:hAnsi="Times New Roman" w:eastAsia="仿宋_GB2312" w:cs="Times New Roman"/>
          <w:color w:val="auto"/>
          <w:kern w:val="2"/>
          <w:sz w:val="32"/>
          <w:szCs w:val="32"/>
          <w:highlight w:val="none"/>
          <w:lang w:val="en-US" w:eastAsia="zh-CN" w:bidi="ar-SA"/>
        </w:rPr>
        <w:t>人员</w:t>
      </w:r>
      <w:r>
        <w:rPr>
          <w:rFonts w:hint="eastAsia" w:eastAsia="仿宋_GB2312" w:cs="Times New Roman"/>
          <w:color w:val="auto"/>
          <w:kern w:val="2"/>
          <w:sz w:val="32"/>
          <w:szCs w:val="32"/>
          <w:highlight w:val="none"/>
          <w:lang w:val="en-US" w:eastAsia="zh-CN" w:bidi="ar-SA"/>
        </w:rPr>
        <w:t>数量因退休、辞职、自然减员等原因较上年减少</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仿宋_GB2312" w:eastAsia="仿宋_GB2312"/>
          <w:color w:val="auto"/>
          <w:sz w:val="32"/>
          <w:szCs w:val="32"/>
          <w:lang w:val="en-US" w:eastAsia="zh-CN"/>
        </w:rPr>
        <w:t>在职人员</w:t>
      </w:r>
      <w:r>
        <w:rPr>
          <w:rFonts w:hint="eastAsia" w:ascii="仿宋_GB2312" w:eastAsia="仿宋_GB2312"/>
          <w:color w:val="auto"/>
          <w:sz w:val="32"/>
          <w:szCs w:val="32"/>
        </w:rPr>
        <w:t>住房公积金支出相应减少</w:t>
      </w:r>
      <w:r>
        <w:rPr>
          <w:rFonts w:hint="eastAsia" w:eastAsia="仿宋_GB2312" w:cs="Times New Roman"/>
          <w:color w:val="auto"/>
          <w:kern w:val="2"/>
          <w:sz w:val="32"/>
          <w:szCs w:val="32"/>
          <w:highlight w:val="none"/>
          <w:lang w:val="zh-CN" w:eastAsia="zh-CN" w:bidi="ar-SA"/>
        </w:rPr>
        <w:t>。</w:t>
      </w:r>
    </w:p>
    <w:p w14:paraId="41FA9A8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outlineLvl w:val="0"/>
        <w:rPr>
          <w:rFonts w:hint="default" w:ascii="Times New Roman" w:hAnsi="Times New Roman" w:eastAsia="仿宋_GB2312" w:cs="Times New Roman"/>
          <w:color w:val="auto"/>
          <w:spacing w:val="0"/>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6.社会保障和就业支出（类）行政事业单位养老支出（款）事业单位离退休（项）:支出决算数为2,866.29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406.05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12.41%，主要原因是：</w:t>
      </w:r>
      <w:r>
        <w:rPr>
          <w:rFonts w:hint="default" w:ascii="Times New Roman" w:hAnsi="Times New Roman" w:eastAsia="仿宋_GB2312" w:cs="Times New Roman"/>
          <w:bCs/>
          <w:sz w:val="32"/>
          <w:szCs w:val="32"/>
          <w:highlight w:val="none"/>
          <w:lang w:val="en-US" w:eastAsia="zh-CN"/>
        </w:rPr>
        <w:t>根据2023年年末</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关于收回2023年自治区本级机关事业单位离退休人员基本医疗保险单位缴费部分资金的通知</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新财社</w:t>
      </w:r>
      <w:r>
        <w:rPr>
          <w:rFonts w:hint="default" w:ascii="Times New Roman" w:hAnsi="Times New Roman" w:eastAsia="仿宋_GB2312" w:cs="Times New Roman"/>
          <w:bCs/>
          <w:sz w:val="32"/>
          <w:szCs w:val="32"/>
          <w:highlight w:val="none"/>
        </w:rPr>
        <w:t>〔202</w:t>
      </w:r>
      <w:r>
        <w:rPr>
          <w:rFonts w:hint="default" w:ascii="Times New Roman" w:hAnsi="Times New Roman" w:eastAsia="仿宋_GB2312" w:cs="Times New Roman"/>
          <w:bCs/>
          <w:sz w:val="32"/>
          <w:szCs w:val="32"/>
          <w:highlight w:val="none"/>
          <w:lang w:val="en-US" w:eastAsia="zh-CN"/>
        </w:rPr>
        <w:t>3</w:t>
      </w:r>
      <w:r>
        <w:rPr>
          <w:rFonts w:hint="default" w:ascii="Times New Roman" w:hAnsi="Times New Roman" w:eastAsia="仿宋_GB2312" w:cs="Times New Roman"/>
          <w:bCs/>
          <w:sz w:val="32"/>
          <w:szCs w:val="32"/>
          <w:highlight w:val="none"/>
        </w:rPr>
        <w:t>〕</w:t>
      </w:r>
      <w:r>
        <w:rPr>
          <w:rFonts w:hint="default" w:ascii="Times New Roman" w:hAnsi="Times New Roman" w:eastAsia="仿宋_GB2312" w:cs="Times New Roman"/>
          <w:bCs/>
          <w:sz w:val="32"/>
          <w:szCs w:val="32"/>
          <w:highlight w:val="none"/>
          <w:lang w:val="en-US" w:eastAsia="zh-CN"/>
        </w:rPr>
        <w:t>168</w:t>
      </w:r>
      <w:r>
        <w:rPr>
          <w:rFonts w:hint="default" w:ascii="Times New Roman" w:hAnsi="Times New Roman" w:eastAsia="仿宋_GB2312" w:cs="Times New Roman"/>
          <w:bCs/>
          <w:sz w:val="32"/>
          <w:szCs w:val="32"/>
          <w:highlight w:val="none"/>
        </w:rPr>
        <w:t>号</w:t>
      </w:r>
      <w:r>
        <w:rPr>
          <w:rFonts w:hint="default" w:ascii="Times New Roman" w:hAnsi="Times New Roman" w:eastAsia="仿宋_GB2312" w:cs="Times New Roman"/>
          <w:bCs/>
          <w:sz w:val="32"/>
          <w:szCs w:val="32"/>
          <w:highlight w:val="none"/>
          <w:lang w:eastAsia="zh-CN"/>
        </w:rPr>
        <w:t>）要求，</w:t>
      </w:r>
      <w:r>
        <w:rPr>
          <w:rFonts w:hint="eastAsia" w:eastAsia="仿宋_GB2312" w:cs="Times New Roman"/>
          <w:b w:val="0"/>
          <w:bCs/>
          <w:sz w:val="32"/>
          <w:szCs w:val="32"/>
          <w:lang w:val="en-US" w:eastAsia="zh-CN"/>
        </w:rPr>
        <w:t>退休人员</w:t>
      </w:r>
      <w:r>
        <w:rPr>
          <w:rFonts w:hint="default" w:ascii="Times New Roman" w:hAnsi="Times New Roman" w:eastAsia="仿宋_GB2312" w:cs="Times New Roman"/>
          <w:b w:val="0"/>
          <w:bCs/>
          <w:sz w:val="32"/>
          <w:szCs w:val="32"/>
          <w:lang w:val="en-US" w:eastAsia="zh-CN"/>
        </w:rPr>
        <w:t>医疗费</w:t>
      </w:r>
      <w:r>
        <w:rPr>
          <w:rFonts w:hint="eastAsia" w:eastAsia="仿宋_GB2312" w:cs="Times New Roman"/>
          <w:b w:val="0"/>
          <w:bCs/>
          <w:sz w:val="32"/>
          <w:szCs w:val="32"/>
          <w:lang w:val="en-US" w:eastAsia="zh-CN"/>
        </w:rPr>
        <w:t>由当地社保部门缴纳，单位不再承担此部分费用</w:t>
      </w:r>
      <w:r>
        <w:rPr>
          <w:rFonts w:hint="default" w:ascii="Times New Roman" w:hAnsi="Times New Roman" w:eastAsia="仿宋_GB2312" w:cs="Times New Roman"/>
          <w:b w:val="0"/>
          <w:bCs/>
          <w:sz w:val="32"/>
          <w:szCs w:val="32"/>
          <w:lang w:val="en-US" w:eastAsia="zh-CN"/>
        </w:rPr>
        <w:t>。</w:t>
      </w:r>
    </w:p>
    <w:p w14:paraId="7B4FFD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7.社会保障和就业支出（类）行政事业单位养老支出（款）机关事业单位职业年金缴费支出（项）:支出决算数为115.78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90.15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351.71%，主要原因是：</w:t>
      </w:r>
      <w:r>
        <w:rPr>
          <w:rFonts w:hint="eastAsia" w:eastAsia="仿宋_GB2312" w:cs="Times New Roman"/>
          <w:color w:val="auto"/>
          <w:kern w:val="2"/>
          <w:sz w:val="32"/>
          <w:szCs w:val="32"/>
          <w:highlight w:val="none"/>
          <w:lang w:val="en-US" w:eastAsia="zh-CN" w:bidi="ar-SA"/>
        </w:rPr>
        <w:t>本年度在职转退休人员较上年增多，</w:t>
      </w:r>
      <w:r>
        <w:rPr>
          <w:rFonts w:hint="eastAsia" w:ascii="Times New Roman" w:hAnsi="Times New Roman" w:eastAsia="仿宋_GB2312" w:cs="Times New Roman"/>
          <w:color w:val="auto"/>
          <w:kern w:val="2"/>
          <w:sz w:val="32"/>
          <w:szCs w:val="32"/>
          <w:highlight w:val="none"/>
          <w:lang w:val="en-US" w:eastAsia="zh-CN" w:bidi="ar-SA"/>
        </w:rPr>
        <w:t>机关事业单位职业年金</w:t>
      </w:r>
      <w:r>
        <w:rPr>
          <w:rFonts w:hint="eastAsia" w:eastAsia="仿宋_GB2312" w:cs="Times New Roman"/>
          <w:color w:val="auto"/>
          <w:kern w:val="2"/>
          <w:sz w:val="32"/>
          <w:szCs w:val="32"/>
          <w:highlight w:val="none"/>
          <w:lang w:val="en-US" w:eastAsia="zh-CN" w:bidi="ar-SA"/>
        </w:rPr>
        <w:t>单位部分</w:t>
      </w:r>
      <w:r>
        <w:rPr>
          <w:rFonts w:hint="eastAsia" w:ascii="Times New Roman" w:hAnsi="Times New Roman" w:eastAsia="仿宋_GB2312" w:cs="Times New Roman"/>
          <w:color w:val="auto"/>
          <w:kern w:val="2"/>
          <w:sz w:val="32"/>
          <w:szCs w:val="32"/>
          <w:highlight w:val="none"/>
          <w:lang w:val="en-US" w:eastAsia="zh-CN" w:bidi="ar-SA"/>
        </w:rPr>
        <w:t>缴费支出</w:t>
      </w:r>
      <w:r>
        <w:rPr>
          <w:rFonts w:hint="eastAsia" w:eastAsia="仿宋_GB2312" w:cs="Times New Roman"/>
          <w:color w:val="auto"/>
          <w:kern w:val="2"/>
          <w:sz w:val="32"/>
          <w:szCs w:val="32"/>
          <w:highlight w:val="none"/>
          <w:lang w:val="en-US" w:eastAsia="zh-CN" w:bidi="ar-SA"/>
        </w:rPr>
        <w:t>较上年增加</w:t>
      </w:r>
      <w:r>
        <w:rPr>
          <w:rFonts w:hint="eastAsia" w:eastAsia="仿宋_GB2312" w:cs="Times New Roman"/>
          <w:color w:val="auto"/>
          <w:kern w:val="2"/>
          <w:sz w:val="32"/>
          <w:szCs w:val="32"/>
          <w:highlight w:val="none"/>
          <w:lang w:val="zh-CN" w:eastAsia="zh-CN" w:bidi="ar-SA"/>
        </w:rPr>
        <w:t>。</w:t>
      </w:r>
    </w:p>
    <w:p w14:paraId="47A684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FF"/>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8.社会保障和就业支出（类）行政事业单位养老支出（款）机关事业单位基本养老保险缴费支出（项）:支出决算数为1,568.46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176.16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12.65%，主要原因是：</w:t>
      </w:r>
      <w:r>
        <w:rPr>
          <w:rFonts w:hint="eastAsia" w:eastAsia="仿宋_GB2312" w:cs="Times New Roman"/>
          <w:color w:val="auto"/>
          <w:kern w:val="2"/>
          <w:sz w:val="32"/>
          <w:szCs w:val="32"/>
          <w:highlight w:val="none"/>
          <w:lang w:val="en-US" w:eastAsia="zh-CN" w:bidi="ar-SA"/>
        </w:rPr>
        <w:t>在职职工正常晋升、艰苦津贴调整，</w:t>
      </w:r>
      <w:r>
        <w:rPr>
          <w:rFonts w:hint="eastAsia" w:ascii="Times New Roman" w:hAnsi="Times New Roman" w:eastAsia="仿宋_GB2312" w:cs="Times New Roman"/>
          <w:color w:val="auto"/>
          <w:kern w:val="2"/>
          <w:sz w:val="32"/>
          <w:szCs w:val="32"/>
          <w:highlight w:val="none"/>
          <w:lang w:val="en-US" w:eastAsia="zh-CN" w:bidi="ar-SA"/>
        </w:rPr>
        <w:t>基本养老保险缴费</w:t>
      </w:r>
      <w:r>
        <w:rPr>
          <w:rFonts w:hint="eastAsia" w:eastAsia="仿宋_GB2312" w:cs="Times New Roman"/>
          <w:color w:val="auto"/>
          <w:kern w:val="2"/>
          <w:sz w:val="32"/>
          <w:szCs w:val="32"/>
          <w:highlight w:val="none"/>
          <w:lang w:val="en-US" w:eastAsia="zh-CN" w:bidi="ar-SA"/>
        </w:rPr>
        <w:t>基数</w:t>
      </w:r>
      <w:r>
        <w:rPr>
          <w:rFonts w:hint="eastAsia" w:ascii="Times New Roman" w:hAnsi="Times New Roman" w:eastAsia="仿宋_GB2312" w:cs="Times New Roman"/>
          <w:color w:val="auto"/>
          <w:kern w:val="2"/>
          <w:sz w:val="32"/>
          <w:szCs w:val="32"/>
          <w:highlight w:val="none"/>
          <w:lang w:val="en-US" w:eastAsia="zh-CN" w:bidi="ar-SA"/>
        </w:rPr>
        <w:t>增加</w:t>
      </w:r>
      <w:r>
        <w:rPr>
          <w:rFonts w:hint="eastAsia" w:eastAsia="仿宋_GB2312" w:cs="Times New Roman"/>
          <w:color w:val="auto"/>
          <w:kern w:val="2"/>
          <w:sz w:val="32"/>
          <w:szCs w:val="32"/>
          <w:highlight w:val="none"/>
          <w:lang w:val="zh-CN" w:eastAsia="zh-CN" w:bidi="ar-SA"/>
        </w:rPr>
        <w:t>。</w:t>
      </w:r>
    </w:p>
    <w:p w14:paraId="0B4A297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4CAD93D0">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22,673.09</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21,315.37</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离休费、退休费、抚恤金、生活补助、医疗费补助、其他对个人和家庭的补助。</w:t>
      </w:r>
    </w:p>
    <w:p w14:paraId="3BD53752">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1,357.72</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办公费、水费、电费、邮电费、取暖费、差旅费、工会经费、福利费、公务用车运行维护费、其他交通费用、其他商品和服务支出。</w:t>
      </w:r>
    </w:p>
    <w:p w14:paraId="7A95C39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0B634964">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“三公”经费支出184.11万元，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减少1.88万元，下降1.01%，主要原因是：</w:t>
      </w:r>
      <w:r>
        <w:rPr>
          <w:rFonts w:hint="default" w:ascii="Times New Roman" w:hAnsi="Times New Roman" w:eastAsia="方正仿宋_GBK" w:cs="Times New Roman"/>
          <w:sz w:val="32"/>
          <w:szCs w:val="32"/>
          <w:lang w:eastAsia="zh-CN"/>
        </w:rPr>
        <w:t>树牢过“紧日子”思想</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厉行节约，</w:t>
      </w:r>
      <w:r>
        <w:rPr>
          <w:rFonts w:ascii="仿宋_GB2312" w:eastAsia="仿宋_GB2312"/>
          <w:color w:val="auto"/>
          <w:sz w:val="32"/>
          <w:szCs w:val="32"/>
        </w:rPr>
        <w:t>严控“三公”经费总规模，降低经费开支</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ascii="仿宋_GB2312" w:eastAsia="仿宋_GB2312"/>
          <w:color w:val="auto"/>
          <w:sz w:val="32"/>
          <w:szCs w:val="32"/>
        </w:rPr>
        <w:t>我单位无因公出国（境）费</w:t>
      </w:r>
      <w:r>
        <w:rPr>
          <w:rFonts w:hint="eastAsia" w:ascii="仿宋_GB2312" w:eastAsia="仿宋_GB2312"/>
          <w:color w:val="auto"/>
          <w:sz w:val="32"/>
          <w:szCs w:val="32"/>
          <w:highlight w:val="none"/>
          <w:lang w:val="zh-CN" w:eastAsia="zh-CN"/>
        </w:rPr>
        <w:t>；公务用车购置及运行维护费支出184.11万元，占100.00%，比上年减少1.86万元，下降1.00%，主要原因是：</w:t>
      </w:r>
      <w:r>
        <w:rPr>
          <w:rFonts w:hint="default" w:ascii="Times New Roman" w:hAnsi="Times New Roman" w:eastAsia="方正仿宋_GBK" w:cs="Times New Roman"/>
          <w:sz w:val="32"/>
          <w:szCs w:val="32"/>
          <w:lang w:eastAsia="zh-CN"/>
        </w:rPr>
        <w:t>树牢过“紧日子”思想</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厉行节约，</w:t>
      </w:r>
      <w:r>
        <w:rPr>
          <w:rFonts w:ascii="仿宋_GB2312" w:eastAsia="仿宋_GB2312"/>
          <w:color w:val="auto"/>
          <w:sz w:val="32"/>
          <w:szCs w:val="32"/>
        </w:rPr>
        <w:t>严控公务用车购置及运行维护费支出</w:t>
      </w:r>
      <w:r>
        <w:rPr>
          <w:rFonts w:hint="eastAsia" w:ascii="仿宋_GB2312" w:eastAsia="仿宋_GB2312"/>
          <w:color w:val="auto"/>
          <w:sz w:val="32"/>
          <w:szCs w:val="32"/>
          <w:highlight w:val="none"/>
          <w:lang w:val="zh-CN" w:eastAsia="zh-CN"/>
        </w:rPr>
        <w:t>；公务接待费支出0.00万元，占0.00%，比上年减少0.02万元，下降100.00%，主要原因是：</w:t>
      </w:r>
      <w:r>
        <w:rPr>
          <w:rFonts w:ascii="仿宋_GB2312" w:eastAsia="仿宋_GB2312"/>
          <w:color w:val="auto"/>
          <w:sz w:val="32"/>
          <w:szCs w:val="32"/>
        </w:rPr>
        <w:t>我单位</w:t>
      </w:r>
      <w:r>
        <w:rPr>
          <w:rFonts w:hint="eastAsia" w:ascii="仿宋_GB2312" w:eastAsia="仿宋_GB2312"/>
          <w:color w:val="auto"/>
          <w:sz w:val="32"/>
          <w:szCs w:val="32"/>
          <w:lang w:val="en-US" w:eastAsia="zh-CN"/>
        </w:rPr>
        <w:t>本年度</w:t>
      </w:r>
      <w:r>
        <w:rPr>
          <w:rFonts w:ascii="仿宋_GB2312" w:eastAsia="仿宋_GB2312"/>
          <w:color w:val="auto"/>
          <w:sz w:val="32"/>
          <w:szCs w:val="32"/>
        </w:rPr>
        <w:t>无</w:t>
      </w:r>
      <w:r>
        <w:rPr>
          <w:rFonts w:hint="eastAsia" w:ascii="仿宋_GB2312" w:eastAsia="仿宋_GB2312"/>
          <w:color w:val="auto"/>
          <w:sz w:val="32"/>
          <w:szCs w:val="32"/>
          <w:lang w:val="en-US" w:eastAsia="zh-CN"/>
        </w:rPr>
        <w:t>公务接待费开支</w:t>
      </w:r>
      <w:r>
        <w:rPr>
          <w:rFonts w:hint="eastAsia" w:ascii="仿宋_GB2312" w:eastAsia="仿宋_GB2312"/>
          <w:color w:val="auto"/>
          <w:sz w:val="32"/>
          <w:szCs w:val="32"/>
          <w:highlight w:val="none"/>
          <w:lang w:val="zh-CN" w:eastAsia="zh-CN"/>
        </w:rPr>
        <w:t>。</w:t>
      </w:r>
    </w:p>
    <w:p w14:paraId="25CC6CB0">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7AE85DE9">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14:paraId="1315561B">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公务用车购置及运行维护费184.11万元，其中：公务用车购置费0.00万元，公务用车运行维护费184.11万元。公务用车运行维护费开支内容包括</w:t>
      </w:r>
      <w:r>
        <w:rPr>
          <w:rFonts w:hint="eastAsia" w:ascii="仿宋_GB2312" w:eastAsia="仿宋_GB2312"/>
          <w:color w:val="auto"/>
          <w:sz w:val="32"/>
          <w:szCs w:val="32"/>
          <w:highlight w:val="none"/>
          <w:lang w:val="en-US" w:eastAsia="zh-CN"/>
        </w:rPr>
        <w:t>车辆保险费、维护修理费、燃油费等</w:t>
      </w:r>
      <w:r>
        <w:rPr>
          <w:rFonts w:hint="eastAsia" w:ascii="仿宋_GB2312" w:eastAsia="仿宋_GB2312"/>
          <w:color w:val="auto"/>
          <w:sz w:val="32"/>
          <w:szCs w:val="32"/>
          <w:highlight w:val="none"/>
          <w:lang w:val="zh-CN" w:eastAsia="zh-CN"/>
        </w:rPr>
        <w:t>。公务用车购置数0辆，公务用车保有量106辆。国有资产占用情况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183辆，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我单位是公路养护事业单位，除公务用车外，还存在</w:t>
      </w:r>
      <w:r>
        <w:rPr>
          <w:rFonts w:hint="eastAsia" w:ascii="仿宋_GB2312" w:eastAsia="仿宋_GB2312"/>
          <w:color w:val="auto"/>
          <w:sz w:val="32"/>
          <w:szCs w:val="32"/>
          <w:highlight w:val="none"/>
          <w:lang w:val="zh-CN" w:eastAsia="zh-CN"/>
        </w:rPr>
        <w:t>自卸车、洒水车、皮卡车、依维柯工程车</w:t>
      </w:r>
      <w:r>
        <w:rPr>
          <w:rFonts w:hint="eastAsia" w:ascii="仿宋_GB2312" w:eastAsia="仿宋_GB2312"/>
          <w:color w:val="auto"/>
          <w:sz w:val="32"/>
          <w:szCs w:val="32"/>
          <w:highlight w:val="none"/>
          <w:lang w:val="en-US" w:eastAsia="zh-CN"/>
        </w:rPr>
        <w:t>等</w:t>
      </w:r>
      <w:r>
        <w:rPr>
          <w:rFonts w:hint="default" w:ascii="仿宋_GB2312" w:eastAsia="仿宋_GB2312"/>
          <w:color w:val="auto"/>
          <w:sz w:val="32"/>
          <w:szCs w:val="32"/>
          <w:highlight w:val="none"/>
          <w:lang w:val="en-US" w:eastAsia="zh-CN"/>
        </w:rPr>
        <w:t>公路</w:t>
      </w:r>
      <w:r>
        <w:rPr>
          <w:rFonts w:hint="default" w:ascii="仿宋_GB2312" w:eastAsia="仿宋_GB2312"/>
          <w:color w:val="auto"/>
          <w:sz w:val="32"/>
          <w:szCs w:val="32"/>
          <w:highlight w:val="none"/>
          <w:lang w:val="zh-CN" w:eastAsia="zh-CN"/>
        </w:rPr>
        <w:t>养护作业车辆</w:t>
      </w:r>
      <w:r>
        <w:rPr>
          <w:rFonts w:hint="eastAsia" w:ascii="仿宋_GB2312" w:eastAsia="仿宋_GB2312"/>
          <w:color w:val="auto"/>
          <w:sz w:val="32"/>
          <w:szCs w:val="32"/>
          <w:highlight w:val="none"/>
          <w:lang w:val="en-US" w:eastAsia="zh-CN"/>
        </w:rPr>
        <w:t>及特种专业技术车辆，</w:t>
      </w:r>
      <w:r>
        <w:rPr>
          <w:rFonts w:hint="eastAsia" w:ascii="Times New Roman" w:hAnsi="Times New Roman" w:eastAsia="仿宋_GB2312" w:cs="Times New Roman"/>
          <w:color w:val="auto"/>
          <w:sz w:val="32"/>
          <w:szCs w:val="32"/>
          <w:highlight w:val="none"/>
          <w:lang w:val="en-US" w:eastAsia="zh-CN"/>
        </w:rPr>
        <w:t>公路养护专业车辆</w:t>
      </w:r>
      <w:r>
        <w:rPr>
          <w:rFonts w:hint="eastAsia" w:ascii="仿宋_GB2312" w:eastAsia="仿宋_GB2312"/>
          <w:color w:val="auto"/>
          <w:sz w:val="32"/>
          <w:szCs w:val="32"/>
          <w:highlight w:val="none"/>
          <w:lang w:val="zh-CN" w:eastAsia="zh-CN"/>
        </w:rPr>
        <w:t>运行维护</w:t>
      </w:r>
      <w:r>
        <w:rPr>
          <w:rFonts w:hint="eastAsia" w:ascii="Times New Roman" w:hAnsi="Times New Roman" w:eastAsia="仿宋_GB2312" w:cs="Times New Roman"/>
          <w:color w:val="auto"/>
          <w:sz w:val="32"/>
          <w:szCs w:val="32"/>
          <w:highlight w:val="none"/>
          <w:lang w:val="en-US" w:eastAsia="zh-CN"/>
        </w:rPr>
        <w:t>经费来源</w:t>
      </w:r>
      <w:r>
        <w:rPr>
          <w:rFonts w:hint="eastAsia" w:eastAsia="仿宋_GB2312" w:cs="Times New Roman"/>
          <w:color w:val="auto"/>
          <w:sz w:val="32"/>
          <w:szCs w:val="32"/>
          <w:highlight w:val="none"/>
          <w:lang w:val="en-US" w:eastAsia="zh-CN"/>
        </w:rPr>
        <w:t>为专项项目支出</w:t>
      </w:r>
      <w:bookmarkStart w:id="48" w:name="_GoBack"/>
      <w:bookmarkEnd w:id="48"/>
      <w:r>
        <w:rPr>
          <w:rFonts w:hint="default" w:ascii="仿宋_GB2312" w:eastAsia="仿宋_GB2312"/>
          <w:color w:val="auto"/>
          <w:sz w:val="32"/>
          <w:szCs w:val="32"/>
          <w:highlight w:val="none"/>
          <w:lang w:val="en-US" w:eastAsia="zh-CN"/>
        </w:rPr>
        <w:t>。</w:t>
      </w:r>
    </w:p>
    <w:p w14:paraId="53288861">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我单位无公务接待费</w:t>
      </w:r>
      <w:r>
        <w:rPr>
          <w:rFonts w:hint="eastAsia" w:ascii="仿宋_GB2312" w:eastAsia="仿宋_GB2312"/>
          <w:color w:val="auto"/>
          <w:sz w:val="32"/>
          <w:szCs w:val="32"/>
          <w:highlight w:val="none"/>
          <w:lang w:val="zh-CN" w:eastAsia="zh-CN"/>
        </w:rPr>
        <w:t>。单位全年安排的国内公务接待0批次，0人次。</w:t>
      </w:r>
    </w:p>
    <w:p w14:paraId="26C04FB0">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预算数184.11万元，决算数184.11万元，预决算差异率0.00%，主要原因是：本年度我单位严格按照预算控制“三公”经费支出。其中：因公出国（境）费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预算数184.11万元，决算数184.11万元，预决算差异率0.00%，主要原因是：我单位严格按照年初预算执行公务用车运行费，本年预算数与决算数无差异；公务接待费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我单位本年度未发生公务接待费</w:t>
      </w:r>
      <w:r>
        <w:rPr>
          <w:rFonts w:hint="eastAsia" w:ascii="仿宋_GB2312" w:eastAsia="仿宋_GB2312"/>
          <w:color w:val="auto"/>
          <w:sz w:val="32"/>
          <w:szCs w:val="32"/>
          <w:highlight w:val="none"/>
          <w:lang w:val="zh-CN" w:eastAsia="zh-CN"/>
        </w:rPr>
        <w:t>。</w:t>
      </w:r>
    </w:p>
    <w:p w14:paraId="37AD122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76FD20E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w:t>
      </w:r>
      <w:r>
        <w:rPr>
          <w:rFonts w:hint="eastAsia" w:ascii="仿宋_GB2312" w:eastAsia="仿宋_GB2312"/>
          <w:color w:val="auto"/>
          <w:sz w:val="32"/>
          <w:szCs w:val="32"/>
          <w:highlight w:val="none"/>
          <w:lang w:val="zh-CN" w:eastAsia="zh-CN"/>
        </w:rPr>
        <w:t>无</w:t>
      </w:r>
      <w:r>
        <w:rPr>
          <w:rFonts w:hint="eastAsia" w:ascii="仿宋_GB2312" w:eastAsia="仿宋_GB2312"/>
          <w:color w:val="auto"/>
          <w:sz w:val="32"/>
          <w:szCs w:val="32"/>
          <w:highlight w:val="none"/>
          <w:lang w:eastAsia="zh-CN"/>
        </w:rPr>
        <w:t>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14D4BCC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7E3952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7ECE6A7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2931908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75E26E73">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伊犁公路管理局</w:t>
      </w:r>
      <w:r>
        <w:rPr>
          <w:rFonts w:hint="eastAsia" w:ascii="Times New Roman" w:hAnsi="Times New Roman" w:eastAsia="仿宋_GB2312" w:cs="Times New Roman"/>
          <w:color w:val="auto"/>
          <w:sz w:val="32"/>
          <w:szCs w:val="32"/>
          <w:highlight w:val="none"/>
          <w:lang w:val="zh-CN" w:eastAsia="zh-CN"/>
        </w:rPr>
        <w:t>（事业单位）公用经费支出1,357.72万元，比上年增加118.31万元，增长9.55%，主要原因是：</w:t>
      </w:r>
      <w:r>
        <w:rPr>
          <w:rFonts w:hint="eastAsia" w:eastAsia="仿宋_GB2312" w:cs="Times New Roman"/>
          <w:color w:val="auto"/>
          <w:sz w:val="32"/>
          <w:szCs w:val="32"/>
          <w:highlight w:val="none"/>
          <w:lang w:val="en-US" w:eastAsia="zh-CN"/>
        </w:rPr>
        <w:t>本年度调整在职人员工资增加了基础性绩效奖，因工资基数变大使得工会会费预算及福利费预算增加，相应公用经费支出较上年增加</w:t>
      </w:r>
      <w:r>
        <w:rPr>
          <w:rFonts w:hint="eastAsia" w:ascii="Times New Roman" w:hAnsi="Times New Roman" w:eastAsia="仿宋_GB2312" w:cs="Times New Roman"/>
          <w:color w:val="auto"/>
          <w:sz w:val="32"/>
          <w:szCs w:val="32"/>
          <w:highlight w:val="none"/>
          <w:lang w:val="zh-CN" w:eastAsia="zh-CN"/>
        </w:rPr>
        <w:t>。</w:t>
      </w:r>
    </w:p>
    <w:p w14:paraId="48F982A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0DD958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283.36万元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其中：政府采购货物支出17.41万元、政府采购工程支出0.00万元、政府采购服务支出265.95万元。</w:t>
      </w:r>
    </w:p>
    <w:p w14:paraId="3B7D14C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授予中小企业合同金额264.12万元，占政府采购支出总额的93.21</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，其中：授予小微企业合同金额251.64万元，占政府采购支出总额的88.81</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441EA6B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25A3310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22,150.25</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屋71816.9平方米，价值11,270.06万元。车辆183辆，价值4,588.02万元，其中：副部（省）级及以上领导用车0辆、主要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用车0辆、其他用车183辆，其他用车主要是：</w:t>
      </w:r>
      <w:r>
        <w:rPr>
          <w:rFonts w:hint="eastAsia" w:ascii="仿宋_GB2312" w:eastAsia="仿宋_GB2312"/>
          <w:color w:val="auto"/>
          <w:sz w:val="32"/>
          <w:szCs w:val="32"/>
        </w:rPr>
        <w:t>客车、自卸汽车、道路维修养护车、吸污车、平板车、综合养护车等</w:t>
      </w:r>
      <w:r>
        <w:rPr>
          <w:rFonts w:hint="eastAsia" w:ascii="Times New Roman" w:hAnsi="Times New Roman" w:eastAsia="仿宋_GB2312" w:cs="Times New Roman"/>
          <w:color w:val="auto"/>
          <w:sz w:val="32"/>
          <w:szCs w:val="32"/>
          <w:highlight w:val="none"/>
          <w:lang w:val="zh-CN" w:eastAsia="zh-CN"/>
        </w:rPr>
        <w:t>；单价100万元（含）以上设备（不含车辆）6</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74E1668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472D1919">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2023年度预算绩效评价项目</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全年预算数5836.07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全年执行数5836.07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default" w:ascii="Times New Roman" w:hAnsi="Times New Roman" w:eastAsia="仿宋_GB2312" w:cs="Times New Roman"/>
          <w:color w:val="auto"/>
          <w:sz w:val="32"/>
          <w:szCs w:val="32"/>
          <w:highlight w:val="none"/>
          <w:lang w:eastAsia="zh-CN"/>
        </w:rPr>
        <w:t>一是</w:t>
      </w:r>
      <w:r>
        <w:rPr>
          <w:rFonts w:hint="default" w:ascii="Times New Roman" w:hAnsi="Times New Roman" w:eastAsia="方正仿宋_GBK" w:cs="Times New Roman"/>
          <w:sz w:val="32"/>
          <w:szCs w:val="32"/>
          <w:highlight w:val="none"/>
        </w:rPr>
        <w:t>绩效目标管理日益加强，资金管理规范，项目管理到位，政策执行有力，有效发挥了财政资金的使用效率</w:t>
      </w:r>
      <w:r>
        <w:rPr>
          <w:rFonts w:hint="default" w:ascii="Times New Roman" w:hAnsi="Times New Roman" w:eastAsia="仿宋_GB2312" w:cs="Times New Roman"/>
          <w:color w:val="auto"/>
          <w:sz w:val="32"/>
          <w:szCs w:val="32"/>
          <w:highlight w:val="none"/>
          <w:lang w:eastAsia="zh-CN"/>
        </w:rPr>
        <w:t>；二是</w:t>
      </w:r>
      <w:r>
        <w:rPr>
          <w:rFonts w:hint="default" w:ascii="Times New Roman" w:hAnsi="Times New Roman" w:eastAsia="仿宋_GB2312" w:cs="Times New Roman"/>
          <w:sz w:val="32"/>
          <w:szCs w:val="32"/>
          <w:highlight w:val="none"/>
        </w:rPr>
        <w:t>全过程预算绩效管理框架逐渐清晰，各</w:t>
      </w:r>
      <w:r>
        <w:rPr>
          <w:rFonts w:hint="default" w:ascii="Times New Roman" w:hAnsi="Times New Roman" w:eastAsia="仿宋_GB2312" w:cs="Times New Roman"/>
          <w:sz w:val="32"/>
          <w:szCs w:val="32"/>
          <w:highlight w:val="none"/>
          <w:lang w:val="en-US" w:eastAsia="zh-CN"/>
        </w:rPr>
        <w:t>部门、各分局</w:t>
      </w:r>
      <w:r>
        <w:rPr>
          <w:rFonts w:hint="default" w:ascii="Times New Roman" w:hAnsi="Times New Roman" w:eastAsia="仿宋_GB2312" w:cs="Times New Roman"/>
          <w:sz w:val="32"/>
          <w:szCs w:val="32"/>
          <w:highlight w:val="none"/>
        </w:rPr>
        <w:t>协同推进，预算绩效管理工作有序开展</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部分养护工程</w:t>
      </w:r>
      <w:r>
        <w:rPr>
          <w:rFonts w:hint="eastAsia" w:ascii="仿宋_GB2312" w:eastAsia="仿宋_GB2312"/>
          <w:color w:val="auto"/>
          <w:sz w:val="32"/>
          <w:szCs w:val="32"/>
          <w:highlight w:val="none"/>
          <w:lang w:eastAsia="zh-CN"/>
        </w:rPr>
        <w:t>项目实施</w:t>
      </w:r>
      <w:r>
        <w:rPr>
          <w:rFonts w:hint="eastAsia" w:ascii="仿宋_GB2312" w:eastAsia="仿宋_GB2312"/>
          <w:color w:val="auto"/>
          <w:sz w:val="32"/>
          <w:szCs w:val="32"/>
          <w:highlight w:val="none"/>
          <w:lang w:val="en-US" w:eastAsia="zh-CN"/>
        </w:rPr>
        <w:t>受季节因素制约，</w:t>
      </w:r>
      <w:r>
        <w:rPr>
          <w:rFonts w:hint="eastAsia" w:ascii="仿宋_GB2312" w:eastAsia="仿宋_GB2312"/>
          <w:color w:val="auto"/>
          <w:sz w:val="32"/>
          <w:szCs w:val="32"/>
          <w:highlight w:val="none"/>
          <w:lang w:eastAsia="zh-CN"/>
        </w:rPr>
        <w:t>无法在5月绩效监控节点完成</w:t>
      </w:r>
      <w:r>
        <w:rPr>
          <w:rFonts w:hint="eastAsia" w:ascii="仿宋_GB2312" w:eastAsia="仿宋_GB2312"/>
          <w:color w:val="auto"/>
          <w:sz w:val="32"/>
          <w:szCs w:val="32"/>
          <w:highlight w:val="none"/>
          <w:lang w:val="en-US" w:eastAsia="zh-CN"/>
        </w:rPr>
        <w:t>达到财政续规定</w:t>
      </w:r>
      <w:r>
        <w:rPr>
          <w:rFonts w:hint="eastAsia" w:ascii="仿宋_GB2312" w:eastAsia="仿宋_GB2312"/>
          <w:color w:val="auto"/>
          <w:sz w:val="32"/>
          <w:szCs w:val="32"/>
          <w:highlight w:val="none"/>
          <w:lang w:eastAsia="zh-CN"/>
        </w:rPr>
        <w:t>预算执行率。下一步改进措施：</w:t>
      </w:r>
      <w:r>
        <w:rPr>
          <w:rFonts w:hint="eastAsia" w:ascii="仿宋_GB2312" w:eastAsia="仿宋_GB2312"/>
          <w:sz w:val="32"/>
          <w:szCs w:val="32"/>
          <w:highlight w:val="none"/>
          <w:lang w:val="en-US" w:eastAsia="zh-CN"/>
        </w:rPr>
        <w:t>完</w:t>
      </w:r>
      <w:r>
        <w:rPr>
          <w:rFonts w:hint="eastAsia" w:ascii="仿宋_GB2312" w:eastAsia="仿宋_GB2312"/>
          <w:sz w:val="32"/>
          <w:szCs w:val="32"/>
          <w:highlight w:val="none"/>
          <w:lang w:eastAsia="zh-CN"/>
        </w:rPr>
        <w:t>善指标体系规范评价标准</w:t>
      </w:r>
      <w:r>
        <w:rPr>
          <w:rFonts w:hint="default" w:ascii="仿宋_GB2312" w:eastAsia="仿宋_GB2312"/>
          <w:sz w:val="32"/>
          <w:szCs w:val="32"/>
          <w:highlight w:val="none"/>
          <w:lang w:eastAsia="zh-CN"/>
        </w:rPr>
        <w:t>。准确把握预算绩效管理的制度规定，‌深入研究符合实际情况的推进措施，‌积极探索适用于</w:t>
      </w:r>
      <w:r>
        <w:rPr>
          <w:rFonts w:hint="eastAsia" w:ascii="仿宋_GB2312" w:eastAsia="仿宋_GB2312"/>
          <w:sz w:val="32"/>
          <w:szCs w:val="32"/>
          <w:highlight w:val="none"/>
          <w:lang w:val="en-US" w:eastAsia="zh-CN"/>
        </w:rPr>
        <w:t>不同科室</w:t>
      </w:r>
      <w:r>
        <w:rPr>
          <w:rFonts w:hint="default" w:ascii="仿宋_GB2312" w:eastAsia="仿宋_GB2312"/>
          <w:sz w:val="32"/>
          <w:szCs w:val="32"/>
          <w:highlight w:val="none"/>
          <w:lang w:eastAsia="zh-CN"/>
        </w:rPr>
        <w:t>、‌不同项目的绩效指标，‌突出绩效特色、‌细化量化、‌便于考核的统一规范的绩效评价指标体系</w:t>
      </w:r>
      <w:r>
        <w:rPr>
          <w:rFonts w:hint="eastAsia" w:ascii="仿宋_GB2312" w:eastAsia="仿宋_GB2312"/>
          <w:sz w:val="32"/>
          <w:szCs w:val="32"/>
          <w:highlight w:val="none"/>
          <w:lang w:eastAsia="zh-CN"/>
        </w:rPr>
        <w:t>。</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70E17579">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558EDD0C">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00F6034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1FC48E50">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3A53E12D">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13E58BB6">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4517880D">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4E826EFB">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29704C48">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0930BCD1">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2B211558">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936CDB">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219F706C">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7B29A9AE">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21100830">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57018277">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0BA6FA25">
      <w:pPr>
        <w:keepNext w:val="0"/>
        <w:keepLines w:val="0"/>
        <w:pageBreakBefore w:val="0"/>
        <w:widowControl w:val="0"/>
        <w:kinsoku/>
        <w:wordWrap/>
        <w:overflowPunct/>
        <w:topLinePunct w:val="0"/>
        <w:bidi w:val="0"/>
        <w:adjustRightInd/>
        <w:snapToGrid/>
        <w:spacing w:line="560" w:lineRule="exact"/>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2EF0506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759BD7B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4B30F1E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6271A0B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1828ED0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5740FC9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61AAEA4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48597DA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7D8B185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1C4A840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6A21DF27">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color w:val="auto"/>
          <w:sz w:val="32"/>
          <w:szCs w:val="32"/>
          <w:highlight w:val="none"/>
        </w:rPr>
      </w:pPr>
    </w:p>
    <w:p w14:paraId="0F65FEC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90BC6C3-B4AE-4F16-903C-C8D8D2D2075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57BB015A-810B-48F3-8615-EE6A926B3787}"/>
  </w:font>
  <w:font w:name="仿宋_GB2312">
    <w:panose1 w:val="02010609030101010101"/>
    <w:charset w:val="86"/>
    <w:family w:val="modern"/>
    <w:pitch w:val="default"/>
    <w:sig w:usb0="00000001" w:usb1="080E0000" w:usb2="00000000" w:usb3="00000000" w:csb0="00040000" w:csb1="00000000"/>
    <w:embedRegular r:id="rId3" w:fontKey="{E727812C-458A-4922-9575-F1A445513DDC}"/>
  </w:font>
  <w:font w:name="方正楷体_GB2312">
    <w:panose1 w:val="02000000000000000000"/>
    <w:charset w:val="86"/>
    <w:family w:val="auto"/>
    <w:pitch w:val="default"/>
    <w:sig w:usb0="A00002BF" w:usb1="184F6CFA" w:usb2="00000012" w:usb3="00000000" w:csb0="00040001" w:csb1="00000000"/>
    <w:embedRegular r:id="rId4" w:fontKey="{648BC585-1AA8-43B4-B172-7AFB4E80D612}"/>
  </w:font>
  <w:font w:name="方正仿宋_GBK">
    <w:panose1 w:val="03000509000000000000"/>
    <w:charset w:val="86"/>
    <w:family w:val="auto"/>
    <w:pitch w:val="default"/>
    <w:sig w:usb0="00000001" w:usb1="080E0000" w:usb2="00000000" w:usb3="00000000" w:csb0="00040000" w:csb1="00000000"/>
    <w:embedRegular r:id="rId5" w:fontKey="{D90E9C32-C199-4093-8D95-85A870C878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132A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BA3044">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9BA3044">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 w:name="KSO_WPS_MARK_KEY" w:val="41ee2a61-2d54-4f93-83be-afdb9a40d732"/>
  </w:docVars>
  <w:rsids>
    <w:rsidRoot w:val="00000000"/>
    <w:rsid w:val="00213C59"/>
    <w:rsid w:val="002C4449"/>
    <w:rsid w:val="003210CE"/>
    <w:rsid w:val="00380C50"/>
    <w:rsid w:val="00B70D59"/>
    <w:rsid w:val="00F52A8D"/>
    <w:rsid w:val="019404F8"/>
    <w:rsid w:val="021B40CE"/>
    <w:rsid w:val="02BD3108"/>
    <w:rsid w:val="02F73D26"/>
    <w:rsid w:val="033C5E44"/>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BB3B7C"/>
    <w:rsid w:val="08CD4C49"/>
    <w:rsid w:val="09114954"/>
    <w:rsid w:val="095A5B83"/>
    <w:rsid w:val="096466E3"/>
    <w:rsid w:val="0968304D"/>
    <w:rsid w:val="096F7BC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0FC24F45"/>
    <w:rsid w:val="105B0B5E"/>
    <w:rsid w:val="112E58D0"/>
    <w:rsid w:val="11731CAC"/>
    <w:rsid w:val="119500A0"/>
    <w:rsid w:val="11C0733B"/>
    <w:rsid w:val="11D50D17"/>
    <w:rsid w:val="120E0809"/>
    <w:rsid w:val="127F665A"/>
    <w:rsid w:val="12C72A04"/>
    <w:rsid w:val="12F7068C"/>
    <w:rsid w:val="14207DC0"/>
    <w:rsid w:val="14B932DA"/>
    <w:rsid w:val="150A66AF"/>
    <w:rsid w:val="154C1139"/>
    <w:rsid w:val="158C5B77"/>
    <w:rsid w:val="158E3F0C"/>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C37D36"/>
    <w:rsid w:val="1FED69B6"/>
    <w:rsid w:val="20052811"/>
    <w:rsid w:val="2064678E"/>
    <w:rsid w:val="20DC1AB9"/>
    <w:rsid w:val="20DD6197"/>
    <w:rsid w:val="212631E0"/>
    <w:rsid w:val="21A53757"/>
    <w:rsid w:val="221236C6"/>
    <w:rsid w:val="22D7662C"/>
    <w:rsid w:val="23326B7F"/>
    <w:rsid w:val="2380045B"/>
    <w:rsid w:val="23BC04D2"/>
    <w:rsid w:val="23EF1892"/>
    <w:rsid w:val="247E677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984C9E"/>
    <w:rsid w:val="29AE64B2"/>
    <w:rsid w:val="29CB58F0"/>
    <w:rsid w:val="29D23D21"/>
    <w:rsid w:val="2A053397"/>
    <w:rsid w:val="2A145E96"/>
    <w:rsid w:val="2AF5378F"/>
    <w:rsid w:val="2BB94DBF"/>
    <w:rsid w:val="2BD0369A"/>
    <w:rsid w:val="2C472C8F"/>
    <w:rsid w:val="2C6F314E"/>
    <w:rsid w:val="2CC206BE"/>
    <w:rsid w:val="2CCE2D92"/>
    <w:rsid w:val="2D1136DF"/>
    <w:rsid w:val="2D20606D"/>
    <w:rsid w:val="2DB87198"/>
    <w:rsid w:val="2DB93C54"/>
    <w:rsid w:val="2E3D144C"/>
    <w:rsid w:val="2E891204"/>
    <w:rsid w:val="2EEF0EFD"/>
    <w:rsid w:val="2F3F0A28"/>
    <w:rsid w:val="2FBF7029"/>
    <w:rsid w:val="2FD0187F"/>
    <w:rsid w:val="2FD27414"/>
    <w:rsid w:val="2FFE4BB0"/>
    <w:rsid w:val="300E7B60"/>
    <w:rsid w:val="300F6E18"/>
    <w:rsid w:val="30862F5F"/>
    <w:rsid w:val="314029C9"/>
    <w:rsid w:val="31C63837"/>
    <w:rsid w:val="31C82E39"/>
    <w:rsid w:val="322F554F"/>
    <w:rsid w:val="32601BAD"/>
    <w:rsid w:val="329F6389"/>
    <w:rsid w:val="32F01183"/>
    <w:rsid w:val="3389023A"/>
    <w:rsid w:val="33CB74FA"/>
    <w:rsid w:val="343155AF"/>
    <w:rsid w:val="343642F2"/>
    <w:rsid w:val="343F3010"/>
    <w:rsid w:val="345D0A00"/>
    <w:rsid w:val="34713BFD"/>
    <w:rsid w:val="34C13589"/>
    <w:rsid w:val="353164D3"/>
    <w:rsid w:val="353369E3"/>
    <w:rsid w:val="35E00D72"/>
    <w:rsid w:val="36965B9D"/>
    <w:rsid w:val="36C549FD"/>
    <w:rsid w:val="36C61C73"/>
    <w:rsid w:val="36D027C9"/>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4C7ECC"/>
    <w:rsid w:val="417C1CE7"/>
    <w:rsid w:val="41900018"/>
    <w:rsid w:val="41944406"/>
    <w:rsid w:val="41CE128F"/>
    <w:rsid w:val="41DA6F12"/>
    <w:rsid w:val="42171FB1"/>
    <w:rsid w:val="423127E9"/>
    <w:rsid w:val="432621D1"/>
    <w:rsid w:val="434E6957"/>
    <w:rsid w:val="43BA0E31"/>
    <w:rsid w:val="43C15147"/>
    <w:rsid w:val="43E14DD2"/>
    <w:rsid w:val="43F800E9"/>
    <w:rsid w:val="440F29C8"/>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BF3B21"/>
    <w:rsid w:val="4BDB3730"/>
    <w:rsid w:val="4C200F7A"/>
    <w:rsid w:val="4CEE3180"/>
    <w:rsid w:val="4D0F4AF6"/>
    <w:rsid w:val="4DF94F37"/>
    <w:rsid w:val="4E0A1DD5"/>
    <w:rsid w:val="4E3160E5"/>
    <w:rsid w:val="4E4D37AF"/>
    <w:rsid w:val="4E8C6496"/>
    <w:rsid w:val="4EFD18DE"/>
    <w:rsid w:val="4F144236"/>
    <w:rsid w:val="4F663C87"/>
    <w:rsid w:val="4F7E29A8"/>
    <w:rsid w:val="4F897CB5"/>
    <w:rsid w:val="4F9E1FFC"/>
    <w:rsid w:val="50447CC2"/>
    <w:rsid w:val="50874A7C"/>
    <w:rsid w:val="50895EE7"/>
    <w:rsid w:val="50921B9D"/>
    <w:rsid w:val="50D16158"/>
    <w:rsid w:val="50DB5F45"/>
    <w:rsid w:val="51025EB1"/>
    <w:rsid w:val="51141503"/>
    <w:rsid w:val="518D0ED5"/>
    <w:rsid w:val="525C687F"/>
    <w:rsid w:val="52F647F7"/>
    <w:rsid w:val="52F92565"/>
    <w:rsid w:val="53CF4878"/>
    <w:rsid w:val="53D03877"/>
    <w:rsid w:val="542F73CA"/>
    <w:rsid w:val="5430786D"/>
    <w:rsid w:val="54C811C0"/>
    <w:rsid w:val="5552317F"/>
    <w:rsid w:val="556A442D"/>
    <w:rsid w:val="55800B30"/>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06D41"/>
    <w:rsid w:val="59326325"/>
    <w:rsid w:val="595C505B"/>
    <w:rsid w:val="595E55C3"/>
    <w:rsid w:val="596E7E20"/>
    <w:rsid w:val="5A08675B"/>
    <w:rsid w:val="5A60780B"/>
    <w:rsid w:val="5AB34579"/>
    <w:rsid w:val="5AFC6609"/>
    <w:rsid w:val="5B113480"/>
    <w:rsid w:val="5BD456CE"/>
    <w:rsid w:val="5C0D1F49"/>
    <w:rsid w:val="5CBB0CE2"/>
    <w:rsid w:val="5CC17177"/>
    <w:rsid w:val="5CF306BC"/>
    <w:rsid w:val="5D3F3D64"/>
    <w:rsid w:val="5D833043"/>
    <w:rsid w:val="5DD92690"/>
    <w:rsid w:val="5DDB1CFD"/>
    <w:rsid w:val="5E7E6D93"/>
    <w:rsid w:val="5EAF519E"/>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5327B5"/>
    <w:rsid w:val="64D6010D"/>
    <w:rsid w:val="64D82665"/>
    <w:rsid w:val="64E47C96"/>
    <w:rsid w:val="651E5741"/>
    <w:rsid w:val="658A4877"/>
    <w:rsid w:val="65A00902"/>
    <w:rsid w:val="65AC6EDD"/>
    <w:rsid w:val="65D97752"/>
    <w:rsid w:val="66085536"/>
    <w:rsid w:val="66105BF7"/>
    <w:rsid w:val="66150023"/>
    <w:rsid w:val="6628010D"/>
    <w:rsid w:val="66956927"/>
    <w:rsid w:val="669B4528"/>
    <w:rsid w:val="66CC12D7"/>
    <w:rsid w:val="67134CEF"/>
    <w:rsid w:val="671F1ABD"/>
    <w:rsid w:val="67521A59"/>
    <w:rsid w:val="67C304AB"/>
    <w:rsid w:val="67E907F7"/>
    <w:rsid w:val="683F0658"/>
    <w:rsid w:val="689C6793"/>
    <w:rsid w:val="68DB0208"/>
    <w:rsid w:val="68FB170C"/>
    <w:rsid w:val="691B3D98"/>
    <w:rsid w:val="693748F0"/>
    <w:rsid w:val="69846A0E"/>
    <w:rsid w:val="698978D0"/>
    <w:rsid w:val="69AD798C"/>
    <w:rsid w:val="69D005C0"/>
    <w:rsid w:val="69D80B96"/>
    <w:rsid w:val="6B68175F"/>
    <w:rsid w:val="6BFD799F"/>
    <w:rsid w:val="6C4A2E5A"/>
    <w:rsid w:val="6C8138D0"/>
    <w:rsid w:val="6CEF0725"/>
    <w:rsid w:val="6D1A174C"/>
    <w:rsid w:val="6D4B2604"/>
    <w:rsid w:val="6D8030E4"/>
    <w:rsid w:val="6E0E35C4"/>
    <w:rsid w:val="6E0F7A08"/>
    <w:rsid w:val="6E3947F5"/>
    <w:rsid w:val="6E9C74ED"/>
    <w:rsid w:val="6EF72976"/>
    <w:rsid w:val="6F795A80"/>
    <w:rsid w:val="6F7C1D2E"/>
    <w:rsid w:val="6F8E0407"/>
    <w:rsid w:val="6FDD069F"/>
    <w:rsid w:val="6FF45414"/>
    <w:rsid w:val="702B4D16"/>
    <w:rsid w:val="70AA6621"/>
    <w:rsid w:val="70CD5D8E"/>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27BAF"/>
    <w:rsid w:val="73FB6630"/>
    <w:rsid w:val="748D790E"/>
    <w:rsid w:val="749820CC"/>
    <w:rsid w:val="74CE04EC"/>
    <w:rsid w:val="74E76DCD"/>
    <w:rsid w:val="751D7C0A"/>
    <w:rsid w:val="75722D56"/>
    <w:rsid w:val="75DB5477"/>
    <w:rsid w:val="75FC6AC3"/>
    <w:rsid w:val="7616619B"/>
    <w:rsid w:val="762F0C47"/>
    <w:rsid w:val="76660D7C"/>
    <w:rsid w:val="766703E1"/>
    <w:rsid w:val="766C5968"/>
    <w:rsid w:val="76BE0C8F"/>
    <w:rsid w:val="76CD53B2"/>
    <w:rsid w:val="770719AC"/>
    <w:rsid w:val="776526CC"/>
    <w:rsid w:val="77A262E1"/>
    <w:rsid w:val="77B13C33"/>
    <w:rsid w:val="77ED6F44"/>
    <w:rsid w:val="77F45548"/>
    <w:rsid w:val="784E7CA6"/>
    <w:rsid w:val="78533115"/>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416" w:lineRule="auto"/>
      <w:outlineLvl w:val="2"/>
    </w:pPr>
    <w:rPr>
      <w:b/>
      <w:kern w:val="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5772</Words>
  <Characters>6583</Characters>
  <Lines>0</Lines>
  <Paragraphs>0</Paragraphs>
  <TotalTime>0</TotalTime>
  <ScaleCrop>false</ScaleCrop>
  <LinksUpToDate>false</LinksUpToDate>
  <CharactersWithSpaces>6608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♥、尛潔</cp:lastModifiedBy>
  <dcterms:modified xsi:type="dcterms:W3CDTF">2024-10-12T10:45:13Z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134C20D0739144B49D7D7132ACD8A299</vt:lpwstr>
  </property>
</Properties>
</file>