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B405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CE48222">
      <w:pPr>
        <w:spacing w:line="540" w:lineRule="exact"/>
        <w:jc w:val="center"/>
        <w:rPr>
          <w:rFonts w:ascii="华文中宋" w:hAnsi="华文中宋" w:eastAsia="华文中宋" w:cs="宋体"/>
          <w:b/>
          <w:kern w:val="0"/>
          <w:sz w:val="52"/>
          <w:szCs w:val="52"/>
        </w:rPr>
      </w:pPr>
    </w:p>
    <w:p w14:paraId="1A5EC058">
      <w:pPr>
        <w:spacing w:line="540" w:lineRule="exact"/>
        <w:jc w:val="center"/>
        <w:rPr>
          <w:rFonts w:ascii="华文中宋" w:hAnsi="华文中宋" w:eastAsia="华文中宋" w:cs="宋体"/>
          <w:b/>
          <w:kern w:val="0"/>
          <w:sz w:val="52"/>
          <w:szCs w:val="52"/>
        </w:rPr>
      </w:pPr>
    </w:p>
    <w:p w14:paraId="675F3071">
      <w:pPr>
        <w:spacing w:line="540" w:lineRule="exact"/>
        <w:jc w:val="center"/>
        <w:rPr>
          <w:rFonts w:ascii="华文中宋" w:hAnsi="华文中宋" w:eastAsia="华文中宋" w:cs="宋体"/>
          <w:b/>
          <w:kern w:val="0"/>
          <w:sz w:val="52"/>
          <w:szCs w:val="52"/>
        </w:rPr>
      </w:pPr>
    </w:p>
    <w:p w14:paraId="2AE0F7AE">
      <w:pPr>
        <w:spacing w:line="540" w:lineRule="exact"/>
        <w:jc w:val="center"/>
        <w:rPr>
          <w:rFonts w:ascii="华文中宋" w:hAnsi="华文中宋" w:eastAsia="华文中宋" w:cs="宋体"/>
          <w:b/>
          <w:kern w:val="0"/>
          <w:sz w:val="52"/>
          <w:szCs w:val="52"/>
        </w:rPr>
      </w:pPr>
    </w:p>
    <w:p w14:paraId="1FE0F2B0">
      <w:pPr>
        <w:spacing w:line="540" w:lineRule="exact"/>
        <w:jc w:val="center"/>
        <w:rPr>
          <w:rFonts w:ascii="华文中宋" w:hAnsi="华文中宋" w:eastAsia="华文中宋" w:cs="宋体"/>
          <w:b/>
          <w:kern w:val="0"/>
          <w:sz w:val="52"/>
          <w:szCs w:val="52"/>
        </w:rPr>
      </w:pPr>
    </w:p>
    <w:p w14:paraId="5DEC4320">
      <w:pPr>
        <w:spacing w:line="540" w:lineRule="exact"/>
        <w:jc w:val="center"/>
        <w:rPr>
          <w:rFonts w:ascii="华文中宋" w:hAnsi="华文中宋" w:eastAsia="华文中宋" w:cs="宋体"/>
          <w:b/>
          <w:kern w:val="0"/>
          <w:sz w:val="52"/>
          <w:szCs w:val="52"/>
        </w:rPr>
      </w:pPr>
    </w:p>
    <w:p w14:paraId="5923039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76ABB4D2">
      <w:pPr>
        <w:spacing w:line="540" w:lineRule="exact"/>
        <w:jc w:val="center"/>
        <w:rPr>
          <w:rFonts w:ascii="华文中宋" w:hAnsi="华文中宋" w:eastAsia="华文中宋" w:cs="宋体"/>
          <w:b/>
          <w:kern w:val="0"/>
          <w:sz w:val="52"/>
          <w:szCs w:val="52"/>
        </w:rPr>
      </w:pPr>
    </w:p>
    <w:p w14:paraId="21349AA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9277642">
      <w:pPr>
        <w:spacing w:line="540" w:lineRule="exact"/>
        <w:jc w:val="center"/>
        <w:rPr>
          <w:rFonts w:hAnsi="宋体" w:eastAsia="仿宋_GB2312" w:cs="宋体"/>
          <w:kern w:val="0"/>
          <w:sz w:val="30"/>
          <w:szCs w:val="30"/>
        </w:rPr>
      </w:pPr>
    </w:p>
    <w:p w14:paraId="4019614B">
      <w:pPr>
        <w:spacing w:line="540" w:lineRule="exact"/>
        <w:jc w:val="center"/>
        <w:rPr>
          <w:rFonts w:hAnsi="宋体" w:eastAsia="仿宋_GB2312" w:cs="宋体"/>
          <w:kern w:val="0"/>
          <w:sz w:val="30"/>
          <w:szCs w:val="30"/>
        </w:rPr>
      </w:pPr>
    </w:p>
    <w:p w14:paraId="77502212">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p>
    <w:p w14:paraId="4C0BFC01">
      <w:pPr>
        <w:spacing w:line="540" w:lineRule="exact"/>
        <w:jc w:val="center"/>
        <w:rPr>
          <w:rFonts w:hAnsi="宋体" w:eastAsia="仿宋_GB2312" w:cs="宋体"/>
          <w:kern w:val="0"/>
          <w:sz w:val="30"/>
          <w:szCs w:val="30"/>
        </w:rPr>
      </w:pPr>
    </w:p>
    <w:p w14:paraId="69741499">
      <w:pPr>
        <w:spacing w:line="540" w:lineRule="exact"/>
        <w:jc w:val="center"/>
        <w:rPr>
          <w:rFonts w:hAnsi="宋体" w:eastAsia="仿宋_GB2312" w:cs="宋体"/>
          <w:kern w:val="0"/>
          <w:sz w:val="30"/>
          <w:szCs w:val="30"/>
        </w:rPr>
      </w:pPr>
    </w:p>
    <w:p w14:paraId="6C6A6994">
      <w:pPr>
        <w:spacing w:line="540" w:lineRule="exact"/>
        <w:rPr>
          <w:rFonts w:hAnsi="宋体" w:eastAsia="仿宋_GB2312" w:cs="宋体"/>
          <w:kern w:val="0"/>
          <w:sz w:val="30"/>
          <w:szCs w:val="30"/>
        </w:rPr>
      </w:pPr>
    </w:p>
    <w:p w14:paraId="11FAF97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5ADF0D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206C5D3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叶城公路管理局</w:t>
      </w:r>
    </w:p>
    <w:p w14:paraId="258F062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叶城公路管理局</w:t>
      </w:r>
    </w:p>
    <w:p w14:paraId="6607F85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李美林</w:t>
      </w:r>
    </w:p>
    <w:p w14:paraId="3A6E402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14:paraId="4EFA4A73">
      <w:pPr>
        <w:spacing w:line="700" w:lineRule="exact"/>
        <w:ind w:firstLine="708" w:firstLineChars="236"/>
        <w:jc w:val="left"/>
        <w:rPr>
          <w:rFonts w:hAnsi="宋体" w:eastAsia="仿宋_GB2312" w:cs="宋体"/>
          <w:kern w:val="0"/>
          <w:sz w:val="30"/>
          <w:szCs w:val="30"/>
        </w:rPr>
      </w:pPr>
    </w:p>
    <w:p w14:paraId="2F15341D">
      <w:pPr>
        <w:spacing w:line="540" w:lineRule="exact"/>
        <w:rPr>
          <w:rStyle w:val="18"/>
          <w:rFonts w:ascii="黑体" w:hAnsi="黑体" w:eastAsia="黑体"/>
          <w:b w:val="0"/>
          <w:spacing w:val="-4"/>
          <w:sz w:val="32"/>
          <w:szCs w:val="32"/>
        </w:rPr>
      </w:pPr>
    </w:p>
    <w:p w14:paraId="288FD6A4">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一、基本情况</w:t>
      </w:r>
    </w:p>
    <w:p w14:paraId="5D171890">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（一）项目概况。包括项目背景、主要内容及实施情况、资金投入和使用情况等。</w:t>
      </w:r>
    </w:p>
    <w:p w14:paraId="60D9CDDC">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1.项目背景</w:t>
      </w:r>
    </w:p>
    <w:p w14:paraId="6732E201">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叶城公路管理局主要担负263.324公里的养护管理任务，国道2条（G315线及G3012线），省道1条（S234线），其中国道G315线二级公路51.051公里；一级公路1.6公里；国道G3012线一级公路85.319公里；省道S234线81.565公里；专用公路43.789公里。管养桥梁206座，全长7559.62延米，其中：大桥9座，1744.38延米、中桥44座2496.76延米、小桥153座3318.48延米；涵洞532道。战备钢桥81米。叶城公路管理局严格按照《公路养护日常养护手册》《公路养护技术规范》《日常养护工程施工技术规范》《公路养护桥梁养护规范》《公路养护安全作业规范》《公路小修养护定额标准》及相关技术规范要求，对我局管养的公路、桥涵、沿线设施等病害日常养护和维修工作。为群众出行提供优质、方便、快捷服务。</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2.项目实施主体</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项目实施主体叶城公路管理局负责编报本辖区公路养护管理年度计划，具体管理上级拨付的公路养护专项资金；负责辖区国道、省道，高速公路和专用公路及沿线服务设施的养护和质量管理工作，以及公路交通战备、灾害应急处置、抢险救灾等工作；负责辖区内农村公路质量监督工作；根据自治区公路事业发展中心的授权，负责辖区非经营性收费公路和经营性收费公路的管理工作；负责公路养护和施工机械设备的管理工作；负责辖区公路管理系统行业统计、经济调查和信息化建设等工作；局委托（辅助）</w:t>
      </w:r>
      <w:r>
        <w:rPr>
          <w:rFonts w:hint="eastAsia" w:eastAsia="仿宋_GB2312" w:cs="Times New Roman"/>
          <w:sz w:val="32"/>
          <w:szCs w:val="32"/>
          <w:highlight w:val="none"/>
          <w:lang w:val="en-US" w:eastAsia="zh-CN"/>
        </w:rPr>
        <w:t>权力事项</w:t>
      </w:r>
      <w:r>
        <w:rPr>
          <w:rFonts w:hint="eastAsia" w:ascii="Times New Roman" w:hAnsi="Times New Roman" w:eastAsia="仿宋_GB2312" w:cs="Times New Roman"/>
          <w:sz w:val="32"/>
          <w:szCs w:val="32"/>
          <w:highlight w:val="none"/>
          <w:lang w:val="en-US" w:eastAsia="zh-CN"/>
        </w:rPr>
        <w:t>；承办自治区公路事业发展中心交办的其他工作。</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全局管养公路里程263.324公里，其中：国道137.97公里（国家高速85.319公里），省道81.565公里，专用公路43.879公里，管养桥梁206座，全长7559.62延米，其中：大桥9座，1744.38延米、中桥44座2496.76延米、小桥153座3318.48延米；涵洞532道。战备钢桥81米。</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3.主要内容及实施情况</w:t>
      </w:r>
      <w:r>
        <w:rPr>
          <w:rFonts w:hint="eastAsia" w:ascii="Times New Roman" w:hAnsi="Times New Roman" w:eastAsia="仿宋_GB2312" w:cs="Times New Roman"/>
          <w:sz w:val="32"/>
          <w:szCs w:val="32"/>
          <w:highlight w:val="none"/>
          <w:lang w:val="en-US" w:eastAsia="zh-CN"/>
        </w:rPr>
        <w:t xml:space="preserve"> </w:t>
      </w:r>
    </w:p>
    <w:p w14:paraId="70874A4C">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严格按照《公路养护技术规范》《日常养护工程施工技术规范》《日常养护规范化管理手册》《公路养护桥梁养护规范》《公路养护安全作业规范》《公路小修养护定额标准》及相关技术规范要求开展公路路基、路面、桥涵、隧道、沿线设施的小修养护管理工作，其次对管养路段存在的病害进行修复及各项预防性养护，合理实施小修养护延缓公路衰减，增加公路使用寿命,为公众出行提供安全的通行环境，积极开展公路经常性检查、定期检查、特殊检查、专项检查和加强日常巡道，及时发现损坏的公路及附属设施，及时修复和更换被损坏的路产。对我局管养的公路、桥涵、沿线设施等病害日常养护和维修工作，为群众出行提供优质、方便、快捷服务。</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4.资金投入和使用情况</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（1）项目资金安排落实、总投入等情况分析公路日常养护项目预算安排总额为399万元，其中财政资金399万元，其他资金0万元，2023年实际收到预算资金399万元，预算资金到位率为100%。</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（2）项目资金实际使用情况分析本项目实际支付资金399万元，预算执行率100.00%。项目资金主要用于支付日常养护费用399万元。</w:t>
      </w:r>
    </w:p>
    <w:p w14:paraId="078DD623">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（二）项目绩效目标。包括总体目标和阶段性目标。</w:t>
      </w:r>
    </w:p>
    <w:p w14:paraId="092156CA">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通过《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对管养路段存在的病害进行修复及各项预防性养护，合理实施小修养护延缓公路衰减，增加公路使用寿命，为公众出行提供安全的通行环境。依据交通运输</w:t>
      </w:r>
      <w:bookmarkStart w:id="0" w:name="_GoBack"/>
      <w:bookmarkEnd w:id="0"/>
      <w:r>
        <w:rPr>
          <w:rFonts w:hint="eastAsia" w:ascii="Times New Roman" w:hAnsi="Times New Roman" w:eastAsia="仿宋_GB2312" w:cs="Times New Roman"/>
          <w:sz w:val="32"/>
          <w:szCs w:val="32"/>
          <w:highlight w:val="none"/>
          <w:lang w:val="en-US" w:eastAsia="zh-CN"/>
        </w:rPr>
        <w:t>部颁发的《公路养护技术规范》，用于管养的公路防风雪保交通，及时有效清除路面、中央分隔带、路肩积冰、积雪、风积雪，撒布防滑砂、融雪剂，修补路面坑槽，确保冬季除雪任务按《公路养护技术规范》要求的时限完成。按照《公路养护技术规范》要求，积极开展公路经常性检查、定期检查、特殊检查、专项检查和加强日常巡道，及时发现损坏的公路及附属设施，及时修复和更换被损坏的路产。</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2.阶段性目标</w:t>
      </w:r>
      <w:r>
        <w:rPr>
          <w:rFonts w:hint="eastAsia" w:ascii="方正黑体_GBK" w:hAnsi="方正黑体_GBK" w:eastAsia="方正黑体_GBK" w:cs="方正黑体_GBK"/>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根据</w:t>
      </w:r>
      <w:r>
        <w:rPr>
          <w:rFonts w:hint="eastAsia" w:eastAsia="仿宋_GB2312" w:cs="Times New Roman"/>
          <w:sz w:val="32"/>
          <w:szCs w:val="32"/>
          <w:highlight w:val="none"/>
          <w:lang w:val="en-US" w:eastAsia="zh-CN"/>
        </w:rPr>
        <w:t>《中华人民共和国预算法》</w:t>
      </w:r>
      <w:r>
        <w:rPr>
          <w:rFonts w:hint="eastAsia" w:ascii="Times New Roman" w:hAnsi="Times New Roman" w:eastAsia="仿宋_GB2312" w:cs="Times New Roman"/>
          <w:sz w:val="32"/>
          <w:szCs w:val="32"/>
          <w:highlight w:val="none"/>
          <w:lang w:val="en-US" w:eastAsia="zh-CN"/>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对项目进行评价，通过在5月底、8月底两个节点监控项目执行情况，提升预算执行质量。</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1）2023年5月底执行情况一般，根据公路养护工作的实际情况和辖区气候情况，3月初能够开展公路技术状况评定后，虽然立即组织技术人员进行调查与评定并于3月底完成数据录入与评定工作，但是仍然只能在4月根据路况结果编制养护计划。4月底完成年度养护计划的编制、下达，月度养护计划的分解，计划批复后，所属分局立即开展了招投标等前期工作。</w:t>
      </w:r>
      <w:r>
        <w:rPr>
          <w:rFonts w:hint="eastAsia" w:ascii="Times New Roman" w:hAnsi="Times New Roman" w:eastAsia="仿宋_GB2312" w:cs="Times New Roman"/>
          <w:sz w:val="32"/>
          <w:szCs w:val="32"/>
          <w:highlight w:val="none"/>
          <w:lang w:val="en-US" w:eastAsia="zh-CN"/>
        </w:rPr>
        <w:cr/>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采取的措施：一是自养项目迅速根据计划选择合规的方式采购养护物资，加快合同审核流程和材料到场验收，尽快办理资金支付；二是外包计划招标结束后加快合同审核流程，依规</w:t>
      </w:r>
      <w:r>
        <w:rPr>
          <w:rFonts w:hint="eastAsia" w:eastAsia="仿宋_GB2312" w:cs="Times New Roman"/>
          <w:sz w:val="32"/>
          <w:szCs w:val="32"/>
          <w:highlight w:val="none"/>
          <w:lang w:val="en-US" w:eastAsia="zh-CN"/>
        </w:rPr>
        <w:t>办理预付款</w:t>
      </w:r>
      <w:r>
        <w:rPr>
          <w:rFonts w:hint="eastAsia" w:ascii="Times New Roman" w:hAnsi="Times New Roman" w:eastAsia="仿宋_GB2312" w:cs="Times New Roman"/>
          <w:sz w:val="32"/>
          <w:szCs w:val="32"/>
          <w:highlight w:val="none"/>
          <w:lang w:val="en-US" w:eastAsia="zh-CN"/>
        </w:rPr>
        <w:t xml:space="preserve">，加强项目实施进度和验收，尽快办理资金支付。    </w:t>
      </w:r>
    </w:p>
    <w:p w14:paraId="07061EEC">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（2）2023年8月底执行情况较好，完成路基、路面、交安设施、桥涵隧道日常维修、保洁工作，实现“路况好、路域美、服务优、畅行安、治理强”的效果。</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提升措施：一是加快对7月已完工项目的抽检验收和办理计量支付；二是8月初立即开展融雪剂等冬季养护物资的采购，加快冬季防风雪保交通费用的执行。</w:t>
      </w:r>
    </w:p>
    <w:p w14:paraId="6C2B92FC">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二、绩效评价工作开展情况</w:t>
      </w:r>
    </w:p>
    <w:p w14:paraId="4596BA58">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（一）绩效评价目的、对象和范围。</w:t>
      </w:r>
    </w:p>
    <w:p w14:paraId="6C38C952">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1.绩效评价目的</w:t>
      </w:r>
      <w:r>
        <w:rPr>
          <w:rFonts w:hint="eastAsia" w:ascii="方正黑体_GBK" w:hAnsi="方正黑体_GBK" w:eastAsia="方正黑体_GBK" w:cs="方正黑体_GBK"/>
          <w:sz w:val="32"/>
          <w:szCs w:val="32"/>
          <w:highlight w:val="none"/>
          <w:lang w:val="en-US" w:eastAsia="zh-CN"/>
        </w:rPr>
        <w:cr/>
      </w:r>
      <w:r>
        <w:rPr>
          <w:rFonts w:hint="eastAsia" w:ascii="方正黑体_GBK" w:hAnsi="方正黑体_GBK" w:eastAsia="方正黑体_GBK" w:cs="方正黑体_GBK"/>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2.绩效评价对象和范围</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此次我单位根据《项目支出绩效评价管理办法》（财预〔2020〕10号）文件要求对2023年度我单位实施的</w:t>
      </w:r>
      <w:r>
        <w:rPr>
          <w:rFonts w:hint="eastAsia" w:eastAsia="仿宋_GB2312" w:cs="Times New Roman"/>
          <w:sz w:val="32"/>
          <w:szCs w:val="32"/>
          <w:highlight w:val="none"/>
          <w:lang w:val="en-US" w:eastAsia="zh-CN"/>
        </w:rPr>
        <w:t>399个项目开展</w:t>
      </w:r>
      <w:r>
        <w:rPr>
          <w:rFonts w:hint="eastAsia" w:ascii="Times New Roman" w:hAnsi="Times New Roman" w:eastAsia="仿宋_GB2312" w:cs="Times New Roman"/>
          <w:sz w:val="32"/>
          <w:szCs w:val="32"/>
          <w:highlight w:val="none"/>
          <w:lang w:val="en-US" w:eastAsia="zh-CN"/>
        </w:rPr>
        <w:t>部门绩效评价，项目总金额399万元。</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5D42C610">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（二）绩效评价原则、评价指标体系（附表说明）、评价方法、评价标准等。</w:t>
      </w:r>
    </w:p>
    <w:p w14:paraId="53B2AC66">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1.绩效评价原则</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依据</w:t>
      </w:r>
      <w:r>
        <w:rPr>
          <w:rFonts w:hint="eastAsia" w:eastAsia="仿宋_GB2312" w:cs="Times New Roman"/>
          <w:sz w:val="32"/>
          <w:szCs w:val="32"/>
          <w:highlight w:val="none"/>
          <w:lang w:val="en-US" w:eastAsia="zh-CN"/>
        </w:rPr>
        <w:t>《中华人民共和国预算法》</w:t>
      </w:r>
      <w:r>
        <w:rPr>
          <w:rFonts w:hint="eastAsia" w:ascii="Times New Roman" w:hAnsi="Times New Roman" w:eastAsia="仿宋_GB2312" w:cs="Times New Roman"/>
          <w:sz w:val="32"/>
          <w:szCs w:val="32"/>
          <w:highlight w:val="none"/>
          <w:lang w:val="en-US" w:eastAsia="zh-CN"/>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日常养护项目实际开展情况，运用定量和定性分析相结合的方法，总结经验做法，反思项目实施和管理中的问题，以切实提升财政资金管理的科学化、规范化和精细化水平。</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根据以上原则，绩效评价应遵循如下要求：</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（1）在数据采集时，采取客观数据，</w:t>
      </w:r>
    </w:p>
    <w:p w14:paraId="522B8321">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（2）在数据采集时，采取客观数据，主管部门审查相结合的形式，以保证各项指标的真实性。</w:t>
      </w:r>
    </w:p>
    <w:p w14:paraId="475BDDBD">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（3）保证评价结果的真实性、公正性，提高评价报告的公信力。</w:t>
      </w:r>
    </w:p>
    <w:p w14:paraId="036A76A8">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（4）绩效评价报告应当简明扼要，除了对绩效评价的过程、结果描述外，还应总结经验，指出问题，并就共性问题提出可操作性改进建议，以保证各项指标的真实性。</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2.绩效评价指标体系</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我单位根据项目的实施资料研读及前期调研，结合项目的实际开展情况，将项目的指标体系进行了调整和完善，最终形成了项目绩效评价指标体系。我单位已将项目绩效评价指标体系模板上传到系统中。</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1.评价方法评价方法采用比较法，将项目实施情况与绩效目标进行比较，把项目实际完成指标情况与年度指标值进行对比，形成评价结果。</w:t>
      </w:r>
    </w:p>
    <w:p w14:paraId="4DCFA015">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2.评价方法采用比较法，将项目实施情况与绩效目标进行比较，把项目实际完成指标情况与年度指标值进行对比，形成评价结果。单位自评采用定量与定性评价相结合的比较法，将项目实施情况与绩效目标进行比较，把项目实际完成指标情况与年度指标值进行对比，形成评价结果。三级指标分析环节：总体采用比较法，同时辅以文献法、成本效益法、因素分析法以及公众评判法，根据不同三级指标类型进行逐项分析。 </w:t>
      </w:r>
    </w:p>
    <w:p w14:paraId="2664F149">
      <w:pPr>
        <w:spacing w:line="540" w:lineRule="exact"/>
        <w:ind w:firstLine="320" w:firstLineChars="1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（1）定量指标分析环节：主要采用比较法，对比三级指标预期指标值和三级指标截止评价日的完成情况，综合分析绩效目标实现程度。详细评价方法的应用如下: </w:t>
      </w:r>
    </w:p>
    <w:p w14:paraId="643C7926">
      <w:pPr>
        <w:spacing w:line="540" w:lineRule="exact"/>
        <w:ind w:firstLine="320" w:firstLineChars="1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p>
    <w:p w14:paraId="63BC1BFE">
      <w:pPr>
        <w:spacing w:line="540" w:lineRule="exact"/>
        <w:ind w:left="319" w:leftChars="152" w:firstLine="0" w:firstLineChars="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②属于“是”或“否”判断的单一评判定量指标：比较法，符合要求的得满分，不符合要求的不得分或者扣相应的分数。 </w:t>
      </w:r>
      <w:r>
        <w:rPr>
          <w:rFonts w:hint="eastAsia" w:ascii="Times New Roman" w:hAnsi="Times New Roman" w:eastAsia="仿宋_GB2312" w:cs="Times New Roman"/>
          <w:sz w:val="32"/>
          <w:szCs w:val="32"/>
          <w:highlight w:val="none"/>
          <w:lang w:val="en-US" w:eastAsia="zh-CN"/>
        </w:rPr>
        <w:cr/>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③满意度指标：主要采用比较法，</w:t>
      </w:r>
      <w:r>
        <w:rPr>
          <w:rFonts w:hint="eastAsia" w:eastAsia="仿宋_GB2312" w:cs="Times New Roman"/>
          <w:sz w:val="32"/>
          <w:szCs w:val="32"/>
          <w:highlight w:val="none"/>
          <w:lang w:val="en-US" w:eastAsia="zh-CN"/>
        </w:rPr>
        <w:t>根据满意度</w:t>
      </w:r>
      <w:r>
        <w:rPr>
          <w:rFonts w:hint="eastAsia" w:ascii="Times New Roman" w:hAnsi="Times New Roman" w:eastAsia="仿宋_GB2312" w:cs="Times New Roman"/>
          <w:sz w:val="32"/>
          <w:szCs w:val="32"/>
          <w:highlight w:val="none"/>
          <w:lang w:val="en-US" w:eastAsia="zh-CN"/>
        </w:rPr>
        <w:t xml:space="preserve">问卷统计情况计算完成比率与预期指标值对比，达成满意度预期目标的，得满分；未完成指标值的，按照完成值与预期指标值的比例记分；满意度小于 60%不得分。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（2）定性指标分析环节：主要采用公众评判法，通过问卷及抽样调查等方式评价本项目实施后社会公众对于其实施效果的满意程度，将调研结果按照《项目支出绩效评价管理办法》（财预〔2020〕10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①立项依据充分性：比较法和文献法，查找法律法规政策以及规划，对比实际执行内容和政策支持内容是否匹配，分析立项依据充分性。 </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立项程序规范性：比较法和文献法，查找相关项目设立的政策和文件要求，对比分析实际执行程序是否按照政策及文件要求执行，分析立项程序的规范性。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②绩效目标合理性：比较法和因素分析法，对比分析年初编制项目支出绩效目标表与项目内容的相关性、资金的匹配性等。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绩效指标明确性：比较法和因素分析法，比较分析年初编制项目支出绩效目标表是否符合双七原则，是否可衡量。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③预算编制科学性：专项资金分配采取因素分析法，应当主要选取自然、经济、社会、绩效等客观因素，并在资金管理办法中明确相应的权重或标准。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资金分配合理性：因素分析法，综合分析资金的分配依据是否充分，分配金额是否与项目实施单位需求金额一致。 </w:t>
      </w:r>
      <w:r>
        <w:rPr>
          <w:rFonts w:hint="eastAsia" w:ascii="Times New Roman" w:hAnsi="Times New Roman" w:eastAsia="仿宋_GB2312" w:cs="Times New Roman"/>
          <w:sz w:val="32"/>
          <w:szCs w:val="32"/>
          <w:highlight w:val="none"/>
          <w:lang w:val="en-US" w:eastAsia="zh-CN"/>
        </w:rPr>
        <w:cr/>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④资金到位率：按照完成比率得分，并分析实际完成值和预期指标值之间的差距和原因。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预算执行率：按照完成比率得分，并分析实际完成值和预期指标值之间的差距和原因。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⑤资金使用合规性：比较法、文献法和因素分析法等，通过实地调研，检查项目资金使用情况，对比专项资金管理办法要求，分析资金使用合规性。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 xml:space="preserve">制度执行有效性：比较法，结合项目实际实施过程性文件，根据已建设的财务管理制度和项目管理制度综合分析制度执行的有效性。 </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⑦其他定性指标：公众评判法，通过问卷及抽样调查等方式评价本项目实施后社会公众对于其实施效果的满意程度。</w:t>
      </w:r>
    </w:p>
    <w:p w14:paraId="1601610F">
      <w:pPr>
        <w:spacing w:line="540" w:lineRule="exact"/>
        <w:ind w:firstLine="960" w:firstLineChars="300"/>
        <w:rPr>
          <w:rFonts w:hint="eastAsia" w:ascii="Times New Roman" w:hAnsi="Times New Roman" w:eastAsia="仿宋_GB2312" w:cs="Times New Roman"/>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4.评价标准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1467FFB2">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（三）绩效评价工作过程。</w:t>
      </w:r>
    </w:p>
    <w:p w14:paraId="4FBA807E">
      <w:pPr>
        <w:spacing w:line="540" w:lineRule="exact"/>
        <w:ind w:left="638" w:leftChars="304" w:firstLine="0" w:firstLineChars="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本次评价成立了评价工作组，成员如下：</w:t>
      </w:r>
    </w:p>
    <w:p w14:paraId="49168766">
      <w:pPr>
        <w:spacing w:line="240" w:lineRule="auto"/>
        <w:ind w:left="0" w:leftChars="0"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1.评价组组长：阿布都艾尼</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阿巴拜克力，职责：党委委员、副局长，工作内容：负责局绩效评价工作总体安排、统筹协调、指导推进；</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2.评价组成员：夏米西努尔</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马木提，工作内容：负责局养护管理项目支出的绩效申报、绩效评价、绩效分析及绩效考核，统筹安排，协调推进，预算执行及项目进度，汇总各项目支出的执行比率，问题分析及改进措施等。</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3.评价组成员：木热迪力</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买买提，工作内容：负责局绩效监控工作数据汇总，分析及上报并督促预算执行进度；</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4A6A411E">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三、综合评价情况及评价结论</w:t>
      </w:r>
    </w:p>
    <w:p w14:paraId="256961CA">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此次绩效评价通过组论证的评价指标体系及评分标准，采用的方法为比较法，对日常养护项目绩效进行客观评价，最终评分结果：总分为100分，其中：项目决策20分、过程管理20分、项目产出30分、项目效益20分、满意度指标10分。绩效评级为“优”。</w:t>
      </w:r>
    </w:p>
    <w:p w14:paraId="274CD3AF">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 xml:space="preserve">四、绩效评价指标分析 </w:t>
      </w:r>
    </w:p>
    <w:p w14:paraId="00647B34">
      <w:pPr>
        <w:spacing w:line="540" w:lineRule="exact"/>
        <w:ind w:left="638" w:leftChars="304" w:firstLine="0" w:firstLineChars="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（一）项目决策情况</w:t>
      </w:r>
    </w:p>
    <w:p w14:paraId="10F73692">
      <w:pPr>
        <w:spacing w:line="240" w:lineRule="auto"/>
        <w:ind w:left="0" w:leftChars="0"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项目决策由3个二级指标和6个三级指标构成，权重分20分，实际得分20分。具体如下：</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党委会议）进行了可行性研究、专家论证、风险评估、绩效评估。按照新疆维吾尔自治区公路事业发展中心公路养护科学决策制度（试行）规定的程序申请设立，审批文件、材料符合相关要求，没有重复立项，立项依据充分，按照《公路养护技术规范》（JTG H10—2009）标准、《公路长大桥隧养护管理和安全运行若干规定》《交通运输部关于进一步加强公路桥梁养护管理的若干意见》（交公路发﹝2013﹞321号）、《公路桥梁养护管理工作制度》（交公路发〔2007〕336号）文件要求，该项目按照规定的程序申请设立，审批文件、材料符合相关要求，事前已经过必要的可行性研究、专家论证、风险评估、绩效评估、集体决策。</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绩效目标分值10分，得分10分。其中：绩效目标合理性分值5分，得分5分；绩效指标明确性分值5分，得分5分。本单位通过坚持“目标精准、计划精准、管理精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资金投入分值5分，得分5分。其中预算编制科学性分值2分，得分2分；资金分配合理性分值3分，得分3分。</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该项目预算编制合理，经过科学论证，预算内容与项目内容相匹配，预算额度按照标准编制，测算依据充分，预算确定的项目投资额或资金量与工作任务相匹配，预算资金分配依据充分，资金分配额度合理，与实际相适应。</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该项目预算编制合理，经过科学论证，预算内容与项目内容相匹配，预算额度按照标准编制，测算依据充分，本单位按公路病害程度、路容路貌和公众出行安全通行环境等公路技术状况的轻重缓急、统筹考虑计划年度日常养护费用，上年度即科学合理编制下一年度日常养护支出建议计划。预算确定的项目投资额或资金量与工作任务相匹配，预算分配提交局党委审议通过，确保了年度预算资金分配依据充分，资金分配额度合理，与实际相适应。本单位严格规范计划管理程序，强化计划项目的严肃性，加强计划执行管理工作，充分发挥年度计划资金投资效益。并按各分局年初编制的公路养护计划，将费用分解到各分局，进一步明确了各分局的养护工作任务，保证各项工作的正常运转。</w:t>
      </w:r>
    </w:p>
    <w:p w14:paraId="134D7B64">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（二）项目过程情况。</w:t>
      </w:r>
    </w:p>
    <w:p w14:paraId="447573E4">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项目过程管理类指标由2个二级指标和5个三级指标构成，权重分20分，实际得分20分。具体如下：</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资金管理分值12分，得分12分。其中资金到位率分值4分，得分4分；预算执行率分值4分，得分4分；资金使用合规性分值4分，得分4分。该项目预算资金399万元，到位资金399万元，实际支出资金399万元，资金到位率100.00%，预算执行率100.00%。</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该项目资金使用合规，符合国家财经法规和财务管理制度以及有关专项资金管理办法的规定，资金支付均具有完整的审批程序和手续，与预算批复内容相符，不存在截留、挤占、挪用、虚列支出等情况。叶城公路管理局对日常养护资金超过5万元的项目由相关科室立项上党委会通过后进行招投标，财务审计科依据叶城公路管理局财务内部控制管理制度根据经领导审批后的发票、计量支付表、中标通知书、党委会议记录、合同、竣工验收报告等进行付款。</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组织实施分值8分，得分8分。其中管理制度健全性分值4分，得分4分；制度执行有效性分值4分，得分4分。</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该项目财务和业务管理制度健全，且合法、合规、完整，制度执行遵守相关法律法规和相关管理规定，项目调整及支出调整手续完备，项目合同书、验收报告、技术鉴定等资料齐全并及时归档，项目实施的人员每年定期开展培训工作，保证业务水平和安全意识达标，及时对机械设备进行维护维修，确保了机械化养护的配合，各单位组织机构建立健全，职责分工明确，相关制度能够落实到位。</w:t>
      </w:r>
    </w:p>
    <w:p w14:paraId="6D8241C7">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（三）项目产出情况。</w:t>
      </w:r>
    </w:p>
    <w:p w14:paraId="0A1E242A">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项目产出类指标由4个二级指标和6个三级指标构成，权重分30分，实际得分30分。具体如下：</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①数量指标</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“管养公路日常养护里程数”指标，预期指标值为≥263公里，指标完成值=263公里，完成率为100%，分值4分，得分4分。</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②质量指标</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“公路日常养护质量合格率”指标，预期指标值为100%，指标完成值=100%，完成率为100%，分值4分，得分4分。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“符合《公路养护技术规范》要求验收率”指标，预期指标值为100%，指标完成值=100%，完成率为100%，分值4分，得分4分。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③时效指标</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“年度养护任务按计划开工率”指标，预期指标值为≥95%，指标完成值=95%，完成率为100%，分值4分，得分4分。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“年度养护任务按计划完成率”指标，预期指标值为≥95%，指标完成值=95%，完成率为100%，分值4分，得分4分。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④成本指标</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“公路日常养护预算控制率”指标，预期指标值为≤100%，指标完成值=100%，完成率为100%，分值10分，得分10分。</w:t>
      </w:r>
    </w:p>
    <w:p w14:paraId="14F3EE82">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（四）项目效益情况。</w:t>
      </w:r>
    </w:p>
    <w:p w14:paraId="66FF850C">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项目效益类指标由1个二级指标和1个三级指标构成，权重分20分，实际得分20分。</w:t>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 xml:space="preserve">    </w:t>
      </w:r>
      <w:r>
        <w:rPr>
          <w:rFonts w:hint="eastAsia" w:ascii="方正黑体_GBK" w:hAnsi="方正黑体_GBK" w:eastAsia="方正黑体_GBK" w:cs="方正黑体_GBK"/>
          <w:sz w:val="32"/>
          <w:szCs w:val="32"/>
          <w:highlight w:val="none"/>
          <w:lang w:val="en-US" w:eastAsia="zh-CN"/>
        </w:rPr>
        <w:t xml:space="preserve"> ①社会效益指标</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“管养公路保畅通行率”指标，预期指标值为≥95%，指标完成值为=95%，完成率为100%,权重分20分，实际得分20分。</w:t>
      </w:r>
    </w:p>
    <w:p w14:paraId="6CEB7B23">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val="en-US" w:eastAsia="zh-CN"/>
        </w:rPr>
        <w:t>（五）满意度指标完成情况分析。</w:t>
      </w:r>
    </w:p>
    <w:p w14:paraId="4FDCD7FD">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项目满意度指标由1个二级指标和1个三级指标构成，权重分10分，实际得分10分。具体如下：</w:t>
      </w:r>
      <w:r>
        <w:rPr>
          <w:rFonts w:hint="eastAsia" w:ascii="Times New Roman" w:hAnsi="Times New Roman" w:eastAsia="仿宋_GB2312" w:cs="Times New Roman"/>
          <w:sz w:val="32"/>
          <w:szCs w:val="32"/>
          <w:highlight w:val="none"/>
          <w:lang w:val="en-US" w:eastAsia="zh-CN"/>
        </w:rPr>
        <w:cr/>
      </w:r>
      <w:r>
        <w:rPr>
          <w:rFonts w:hint="eastAsia" w:ascii="Times New Roman" w:hAnsi="Times New Roman" w:eastAsia="仿宋_GB2312" w:cs="Times New Roman"/>
          <w:sz w:val="32"/>
          <w:szCs w:val="32"/>
          <w:highlight w:val="none"/>
          <w:lang w:val="en-US" w:eastAsia="zh-CN"/>
        </w:rPr>
        <w:br w:type="textWrapping"/>
      </w:r>
      <w:r>
        <w:rPr>
          <w:rFonts w:hint="eastAsia" w:ascii="Times New Roman" w:hAnsi="Times New Roman" w:eastAsia="仿宋_GB2312" w:cs="Times New Roman"/>
          <w:sz w:val="32"/>
          <w:szCs w:val="32"/>
          <w:highlight w:val="none"/>
          <w:lang w:val="en-US" w:eastAsia="zh-CN"/>
        </w:rPr>
        <w:t>“司乘人员满意度”指标，预期指标值为≥85%，指标完成值=85%，完成率为100%，分值10分，得分10分。</w:t>
      </w:r>
    </w:p>
    <w:p w14:paraId="77EA2BBC">
      <w:pPr>
        <w:spacing w:line="540" w:lineRule="exact"/>
        <w:ind w:firstLine="640" w:firstLineChars="200"/>
        <w:rPr>
          <w:rFonts w:hint="eastAsia" w:ascii="方正楷体_GBK" w:hAnsi="方正楷体_GBK" w:eastAsia="方正楷体_GBK" w:cs="方正楷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五、主要经验及做法、存在的问题及原因分析</w:t>
      </w:r>
    </w:p>
    <w:p w14:paraId="6781E22E">
      <w:pPr>
        <w:spacing w:line="240" w:lineRule="auto"/>
        <w:ind w:firstLine="0" w:firstLineChars="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一是严格遵照执行上级交通主管部门下发的普通国省干线公路路面、桥梁相关工程的养护施工规程、《公路养护工程质量检验评定标准》《自治区公路管理局全区国省干线公路养护管理评价细则》《日常养护规范化管理手册》等规范和办法进行公路养护，定期对施工过程进行监督，发现问题责令分局在规定时间内进行整改，确保了养护工程质量。开展公路技术状况调查，首先组织技术人员针对技术状况调查规范、病害分类和病害界定等进行了学习和探讨，管辖G3012线K1548+609-K1633+928段、G315线K2686+724-K2739+375段、S234线K40-K121+565段、Z701，Z702，Z703，Z704，Z705，Z708线路段路基、路面、桥涵、沿线设施进行共两次病害调查，并录入了养护子系统，划分了区段，根据实际编制了养护策略、年度计划，并分解到每月，每星期组织技术人员定期验收养护质量和养护数量，计量支付工作按照要求开展。二是泽普公路管理分局试点公路市场化养护管养路段G3012线K1548+609-K1575+000（国道、吐和高速），里程为26.391公里，Z708专用线Z708线K0+000-K6+529（一级普通公路），里程为6.529公里，合计总里程为32.92公里；主要工程内容：整修路肩，路基边坡的修整、路域环境整治、路面裂缝处置，桥梁梁板、桥墩、桥台、台帽裂缝、泛白等病害的处置。1.专业技术人员缺乏，科技应用水平低。目前我局公路养护技术人才资源相对匮乏，许多养护工作无法得到专业人员的有效执行。在公路养护工作中，科技应用水平低是制约工作效率和质量的重要因素之一。传统的手工操作和简单的机械设备已经无法满足现代化公路养护的需求。</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2.一线养护人员不足，并且整体技能水平偏低。公路养护队伍普遍老龄化，一线养护工人不足，对公路养护的知识及技能水平不高，难以充分发挥他们的工作效率及保证养护质量。</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3.创新型养护工作能力不足。养护人员专业技术水平已不适应当前公路养护高质量发展的要求。掌握新材料、新技术、新工艺的创新能力不足，直接影响了公路养护的质量和水平。</w:t>
      </w:r>
    </w:p>
    <w:p w14:paraId="2B112222">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六、有关建议</w:t>
      </w:r>
    </w:p>
    <w:p w14:paraId="6C4BE939">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一)有效推进养护市场化改革。根据南疆区域发展水平和养护发展实际，因地制宜、分类有序推进养护市场化改革。依托有资质的基层养护单位按照“平急结合、抢养兼顾”的思路承担日常保养与应急抢险工作，其他养护服务均引入市场机制。</w:t>
      </w:r>
      <w:r>
        <w:rPr>
          <w:rFonts w:hint="eastAsia" w:ascii="Times New Roman" w:hAnsi="Times New Roman" w:eastAsia="仿宋_GB2312" w:cs="Times New Roman"/>
          <w:sz w:val="32"/>
          <w:szCs w:val="32"/>
          <w:highlight w:val="none"/>
          <w:lang w:val="en-US" w:eastAsia="zh-CN"/>
        </w:rPr>
        <w:br w:type="textWrapping"/>
      </w:r>
      <w:r>
        <w:rPr>
          <w:rFonts w:hint="eastAsia" w:eastAsia="仿宋_GB2312" w:cs="Times New Roman"/>
          <w:sz w:val="32"/>
          <w:szCs w:val="32"/>
          <w:highlight w:val="none"/>
          <w:lang w:val="en-US" w:eastAsia="zh-CN"/>
        </w:rPr>
        <w:t xml:space="preserve">   </w:t>
      </w:r>
      <w:r>
        <w:rPr>
          <w:rFonts w:hint="eastAsia" w:ascii="Times New Roman" w:hAnsi="Times New Roman" w:eastAsia="仿宋_GB2312" w:cs="Times New Roman"/>
          <w:sz w:val="32"/>
          <w:szCs w:val="32"/>
          <w:highlight w:val="none"/>
          <w:lang w:val="en-US" w:eastAsia="zh-CN"/>
        </w:rPr>
        <w:t>(二)对养护资金的投入与实际需求相结合，始终保持路况整体水平，为公众的出行提供优质的通行环境；严格执行政府采购程序，加强专项资金专款专用支出管理；科学合理编制年度养护计划，自觉维护计划项目的严肃性，加强计划执行管理工作，充分发挥年度计划资金投资效益。</w:t>
      </w:r>
    </w:p>
    <w:p w14:paraId="78EFCCE5">
      <w:pPr>
        <w:spacing w:line="540" w:lineRule="exact"/>
        <w:ind w:firstLine="640" w:firstLineChars="200"/>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七、其他需要说明的问题</w:t>
      </w:r>
    </w:p>
    <w:p w14:paraId="4877AB73">
      <w:pPr>
        <w:spacing w:line="54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无</w:t>
      </w:r>
    </w:p>
    <w:p w14:paraId="4DD10495">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3FF85C8C">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61B85E89">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21B22F2C">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143D2A68">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6467BD50">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51E3044B">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1D673618">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327F2E6A">
      <w:pPr>
        <w:spacing w:line="540" w:lineRule="exact"/>
        <w:ind w:firstLine="640" w:firstLineChars="200"/>
        <w:rPr>
          <w:rFonts w:hint="eastAsia" w:ascii="Times New Roman" w:hAnsi="Times New Roman" w:eastAsia="仿宋_GB2312" w:cs="Times New Roman"/>
          <w:sz w:val="32"/>
          <w:szCs w:val="32"/>
          <w:highlight w:val="none"/>
          <w:lang w:val="en-US" w:eastAsia="zh-CN"/>
        </w:rPr>
      </w:pPr>
    </w:p>
    <w:p w14:paraId="4A13A8CD">
      <w:pPr>
        <w:spacing w:line="540" w:lineRule="exact"/>
        <w:ind w:firstLine="567"/>
        <w:rPr>
          <w:rStyle w:val="18"/>
          <w:rFonts w:ascii="仿宋" w:hAnsi="仿宋" w:eastAsia="仿宋"/>
          <w:b w:val="0"/>
          <w:spacing w:val="-4"/>
          <w:sz w:val="32"/>
          <w:szCs w:val="32"/>
        </w:rPr>
      </w:pPr>
    </w:p>
    <w:p w14:paraId="54448705">
      <w:pPr>
        <w:spacing w:line="540" w:lineRule="exact"/>
        <w:ind w:firstLine="567"/>
        <w:rPr>
          <w:rStyle w:val="18"/>
          <w:rFonts w:ascii="仿宋" w:hAnsi="仿宋" w:eastAsia="仿宋"/>
          <w:b w:val="0"/>
          <w:spacing w:val="-4"/>
          <w:sz w:val="32"/>
          <w:szCs w:val="32"/>
        </w:rPr>
      </w:pPr>
    </w:p>
    <w:p w14:paraId="3967377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651007B">
        <w:pPr>
          <w:pStyle w:val="12"/>
          <w:jc w:val="center"/>
        </w:pPr>
        <w:r>
          <w:fldChar w:fldCharType="begin"/>
        </w:r>
        <w:r>
          <w:instrText xml:space="preserve">PAGE   \* MERGEFORMAT</w:instrText>
        </w:r>
        <w:r>
          <w:fldChar w:fldCharType="separate"/>
        </w:r>
        <w:r>
          <w:rPr>
            <w:lang w:val="zh-CN"/>
          </w:rPr>
          <w:t>1</w:t>
        </w:r>
        <w:r>
          <w:fldChar w:fldCharType="end"/>
        </w:r>
      </w:p>
    </w:sdtContent>
  </w:sdt>
  <w:p w14:paraId="4177C53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A865030"/>
    <w:rsid w:val="0CB44F22"/>
    <w:rsid w:val="23E173EB"/>
    <w:rsid w:val="4D2606A1"/>
    <w:rsid w:val="5D5E3134"/>
    <w:rsid w:val="62A54844"/>
    <w:rsid w:val="6D3E7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8607</Words>
  <Characters>9142</Characters>
  <Lines>5</Lines>
  <Paragraphs>1</Paragraphs>
  <TotalTime>0</TotalTime>
  <ScaleCrop>false</ScaleCrop>
  <LinksUpToDate>false</LinksUpToDate>
  <CharactersWithSpaces>9402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2024-08-26T11:25:21Z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B6E1379580D440AC92209AA25FA30242_12</vt:lpwstr>
  </property>
</Properties>
</file>