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6B1522">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4A5A88B8">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6F3ED2E2">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乌鲁木齐公路管理局</w:t>
      </w:r>
    </w:p>
    <w:p w14:paraId="2AA60A76">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14:paraId="7DF59246">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491E93D6">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55F0523F">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31B1FFB5">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1AD61BE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2EE6ED5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09C53915">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282FA916">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5184DC5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0D053BF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38C54A8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2FD44DA5">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4EF8043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7E4CF405">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2169BAF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2AD58ACE">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17D1942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0C47889E">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79A5564A">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1F09FAA0">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57AD849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7DC7CED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6458BE48">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2EA18E53">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7D5899D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4D5C1FF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175BF1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7D5155D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33DF07D6">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7E1CAE1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1CD090D5">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2DC1562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78A59769">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71A129D1">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351A50A8">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26EB9933">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7D3C631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14:paraId="21D12D88">
      <w:pPr>
        <w:ind w:firstLine="640" w:firstLineChars="200"/>
        <w:rPr>
          <w:rFonts w:hint="default" w:ascii="黑体" w:hAnsi="黑体" w:eastAsia="仿宋_GB2312" w:cs="宋体"/>
          <w:bCs/>
          <w:kern w:val="0"/>
          <w:sz w:val="32"/>
          <w:szCs w:val="32"/>
          <w:highlight w:val="yellow"/>
          <w:lang w:val="en-US" w:eastAsia="zh-CN"/>
        </w:rPr>
      </w:pPr>
      <w:bookmarkStart w:id="4" w:name="_Toc31238"/>
      <w:bookmarkStart w:id="5" w:name="_Toc2151"/>
      <w:r>
        <w:rPr>
          <w:rFonts w:ascii="仿宋_GB2312" w:eastAsia="仿宋_GB2312"/>
          <w:sz w:val="32"/>
          <w:szCs w:val="32"/>
          <w:highlight w:val="none"/>
        </w:rPr>
        <w:t>乌鲁木齐公路管理局主要负责辖区国道、省道、高速公路和管辖范围内专用公路</w:t>
      </w:r>
      <w:r>
        <w:rPr>
          <w:rFonts w:hint="eastAsia" w:ascii="仿宋_GB2312" w:eastAsia="仿宋_GB2312"/>
          <w:sz w:val="32"/>
          <w:szCs w:val="32"/>
          <w:highlight w:val="none"/>
          <w:lang w:val="en-US" w:eastAsia="zh-CN"/>
        </w:rPr>
        <w:t>及沿线服务设施</w:t>
      </w:r>
      <w:r>
        <w:rPr>
          <w:rFonts w:ascii="仿宋_GB2312" w:eastAsia="仿宋_GB2312"/>
          <w:sz w:val="32"/>
          <w:szCs w:val="32"/>
          <w:highlight w:val="none"/>
        </w:rPr>
        <w:t>的养护和质量管理，</w:t>
      </w:r>
      <w:r>
        <w:rPr>
          <w:rFonts w:hint="eastAsia" w:ascii="仿宋_GB2312" w:eastAsia="仿宋_GB2312"/>
          <w:sz w:val="32"/>
          <w:szCs w:val="32"/>
          <w:highlight w:val="none"/>
          <w:lang w:val="en-US" w:eastAsia="zh-CN"/>
        </w:rPr>
        <w:t>以及灾害应急处置、抢险救灾；辖区农村公路质量监督；公路养护和施工机械设备管理；辖区公路管理行业统计，经济调查和信息化建设等工作。</w:t>
      </w:r>
    </w:p>
    <w:p w14:paraId="3A0EEF2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69F8E8A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乌鲁木齐公路管理局</w:t>
      </w:r>
      <w:r>
        <w:rPr>
          <w:rFonts w:hint="default" w:ascii="Times New Roman" w:hAnsi="Times New Roman" w:eastAsia="仿宋_GB2312" w:cs="Times New Roman"/>
          <w:color w:val="auto"/>
          <w:sz w:val="32"/>
          <w:szCs w:val="32"/>
          <w:highlight w:val="none"/>
          <w:lang w:eastAsia="zh-CN"/>
        </w:rPr>
        <w:t>2023年度，</w:t>
      </w:r>
      <w:r>
        <w:rPr>
          <w:rFonts w:hint="default" w:ascii="Times New Roman" w:hAnsi="Times New Roman" w:eastAsia="仿宋_GB2312" w:cs="Times New Roman"/>
          <w:color w:val="auto"/>
          <w:sz w:val="32"/>
          <w:szCs w:val="32"/>
          <w:highlight w:val="none"/>
        </w:rPr>
        <w:t>实有人数</w:t>
      </w:r>
      <w:r>
        <w:rPr>
          <w:rFonts w:hint="default" w:ascii="Times New Roman" w:hAnsi="Times New Roman" w:eastAsia="仿宋_GB2312" w:cs="Times New Roman"/>
          <w:color w:val="auto"/>
          <w:sz w:val="32"/>
          <w:szCs w:val="32"/>
          <w:highlight w:val="none"/>
          <w:lang w:val="zh-CN" w:eastAsia="zh-CN"/>
        </w:rPr>
        <w:t>1656</w:t>
      </w:r>
      <w:r>
        <w:rPr>
          <w:rFonts w:hint="default" w:ascii="Times New Roman" w:hAnsi="Times New Roman" w:eastAsia="仿宋_GB2312" w:cs="Times New Roman"/>
          <w:color w:val="auto"/>
          <w:sz w:val="32"/>
          <w:szCs w:val="32"/>
          <w:highlight w:val="none"/>
        </w:rPr>
        <w:t>人，其中：在职人员</w:t>
      </w:r>
      <w:r>
        <w:rPr>
          <w:rFonts w:hint="default" w:ascii="Times New Roman" w:hAnsi="Times New Roman" w:eastAsia="仿宋_GB2312" w:cs="Times New Roman"/>
          <w:color w:val="auto"/>
          <w:sz w:val="32"/>
          <w:szCs w:val="32"/>
          <w:highlight w:val="none"/>
          <w:lang w:val="zh-CN" w:eastAsia="zh-CN"/>
        </w:rPr>
        <w:t>691</w:t>
      </w:r>
      <w:r>
        <w:rPr>
          <w:rFonts w:hint="default" w:ascii="Times New Roman" w:hAnsi="Times New Roman" w:eastAsia="仿宋_GB2312" w:cs="Times New Roman"/>
          <w:color w:val="auto"/>
          <w:sz w:val="32"/>
          <w:szCs w:val="32"/>
          <w:highlight w:val="none"/>
        </w:rPr>
        <w:t>人</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离休人员</w:t>
      </w:r>
      <w:r>
        <w:rPr>
          <w:rFonts w:hint="default" w:ascii="Times New Roman" w:hAnsi="Times New Roman" w:eastAsia="仿宋_GB2312" w:cs="Times New Roman"/>
          <w:color w:val="auto"/>
          <w:sz w:val="32"/>
          <w:szCs w:val="32"/>
          <w:highlight w:val="none"/>
          <w:lang w:val="zh-CN" w:eastAsia="zh-CN"/>
        </w:rPr>
        <w:t>3</w:t>
      </w:r>
      <w:r>
        <w:rPr>
          <w:rFonts w:hint="default" w:ascii="Times New Roman" w:hAnsi="Times New Roman" w:eastAsia="仿宋_GB2312" w:cs="Times New Roman"/>
          <w:color w:val="auto"/>
          <w:sz w:val="32"/>
          <w:szCs w:val="32"/>
          <w:highlight w:val="none"/>
        </w:rPr>
        <w:t>人，退休人员</w:t>
      </w:r>
      <w:r>
        <w:rPr>
          <w:rFonts w:hint="default" w:ascii="Times New Roman" w:hAnsi="Times New Roman" w:eastAsia="仿宋_GB2312" w:cs="Times New Roman"/>
          <w:color w:val="auto"/>
          <w:sz w:val="32"/>
          <w:szCs w:val="32"/>
          <w:highlight w:val="none"/>
          <w:lang w:val="zh-CN" w:eastAsia="zh-CN"/>
        </w:rPr>
        <w:t>962</w:t>
      </w:r>
      <w:r>
        <w:rPr>
          <w:rFonts w:hint="default" w:ascii="Times New Roman" w:hAnsi="Times New Roman" w:eastAsia="仿宋_GB2312" w:cs="Times New Roman"/>
          <w:color w:val="auto"/>
          <w:sz w:val="32"/>
          <w:szCs w:val="32"/>
          <w:highlight w:val="none"/>
        </w:rPr>
        <w:t>人。</w:t>
      </w:r>
    </w:p>
    <w:p w14:paraId="0DC39C0A">
      <w:pPr>
        <w:ind w:firstLine="640" w:firstLineChars="200"/>
        <w:rPr>
          <w:rFonts w:hint="default" w:ascii="Times New Roman" w:hAnsi="Times New Roman" w:eastAsia="方正仿宋_GBK" w:cs="Times New Roman"/>
          <w:color w:val="auto"/>
          <w:kern w:val="0"/>
          <w:sz w:val="32"/>
          <w:szCs w:val="32"/>
          <w:highlight w:val="none"/>
          <w:lang w:eastAsia="zh-CN"/>
        </w:rPr>
        <w:sectPr>
          <w:footerReference r:id="rId3" w:type="default"/>
          <w:pgSz w:w="11906" w:h="16838"/>
          <w:pgMar w:top="1440" w:right="1800" w:bottom="1440" w:left="1800" w:header="851" w:footer="992" w:gutter="0"/>
          <w:cols w:space="720" w:num="1"/>
          <w:docGrid w:type="lines" w:linePitch="312" w:charSpace="0"/>
        </w:sectPr>
      </w:pPr>
      <w:r>
        <w:rPr>
          <w:rFonts w:hint="default" w:ascii="Times New Roman" w:hAnsi="Times New Roman" w:eastAsia="仿宋_GB2312" w:cs="Times New Roman"/>
          <w:sz w:val="32"/>
          <w:szCs w:val="32"/>
          <w:highlight w:val="none"/>
        </w:rPr>
        <w:t>乌鲁木齐公路管理局</w:t>
      </w:r>
      <w:r>
        <w:rPr>
          <w:rFonts w:hint="default" w:ascii="Times New Roman" w:hAnsi="Times New Roman" w:eastAsia="仿宋_GB2312" w:cs="Times New Roman"/>
          <w:bCs/>
          <w:kern w:val="0"/>
          <w:sz w:val="32"/>
          <w:szCs w:val="32"/>
          <w:highlight w:val="none"/>
        </w:rPr>
        <w:t>无下属预算单位，下设</w:t>
      </w:r>
      <w:r>
        <w:rPr>
          <w:rFonts w:hint="default" w:ascii="Times New Roman" w:hAnsi="Times New Roman" w:eastAsia="仿宋_GB2312" w:cs="Times New Roman"/>
          <w:sz w:val="32"/>
          <w:szCs w:val="32"/>
          <w:highlight w:val="none"/>
        </w:rPr>
        <w:t>13</w:t>
      </w:r>
      <w:r>
        <w:rPr>
          <w:rFonts w:hint="default" w:ascii="Times New Roman" w:hAnsi="Times New Roman" w:eastAsia="仿宋_GB2312" w:cs="Times New Roman"/>
          <w:bCs/>
          <w:kern w:val="0"/>
          <w:sz w:val="32"/>
          <w:szCs w:val="32"/>
          <w:highlight w:val="none"/>
        </w:rPr>
        <w:t>个</w:t>
      </w:r>
      <w:r>
        <w:rPr>
          <w:rFonts w:hint="default" w:ascii="Times New Roman" w:hAnsi="Times New Roman" w:eastAsia="仿宋_GB2312" w:cs="Times New Roman"/>
          <w:bCs/>
          <w:kern w:val="0"/>
          <w:sz w:val="32"/>
          <w:szCs w:val="32"/>
          <w:highlight w:val="none"/>
          <w:lang w:val="en-US" w:eastAsia="zh-CN"/>
        </w:rPr>
        <w:t>科</w:t>
      </w:r>
      <w:r>
        <w:rPr>
          <w:rFonts w:hint="default" w:ascii="Times New Roman" w:hAnsi="Times New Roman" w:eastAsia="仿宋_GB2312" w:cs="Times New Roman"/>
          <w:bCs/>
          <w:kern w:val="0"/>
          <w:sz w:val="32"/>
          <w:szCs w:val="32"/>
          <w:highlight w:val="none"/>
        </w:rPr>
        <w:t>室</w:t>
      </w:r>
      <w:r>
        <w:rPr>
          <w:rFonts w:hint="default" w:ascii="Times New Roman" w:hAnsi="Times New Roman" w:eastAsia="仿宋_GB2312" w:cs="Times New Roman"/>
          <w:bCs/>
          <w:kern w:val="0"/>
          <w:sz w:val="32"/>
          <w:szCs w:val="32"/>
          <w:highlight w:val="none"/>
          <w:lang w:val="en-US" w:eastAsia="zh-CN"/>
        </w:rPr>
        <w:t>及6个分局</w:t>
      </w:r>
      <w:r>
        <w:rPr>
          <w:rFonts w:hint="default" w:ascii="Times New Roman" w:hAnsi="Times New Roman" w:eastAsia="仿宋_GB2312" w:cs="Times New Roman"/>
          <w:bCs/>
          <w:kern w:val="0"/>
          <w:sz w:val="32"/>
          <w:szCs w:val="32"/>
          <w:highlight w:val="none"/>
          <w:lang w:eastAsia="zh-CN"/>
        </w:rPr>
        <w:t>。</w:t>
      </w:r>
      <w:r>
        <w:rPr>
          <w:rFonts w:hint="default" w:ascii="Times New Roman" w:hAnsi="Times New Roman" w:eastAsia="仿宋_GB2312" w:cs="Times New Roman"/>
          <w:bCs/>
          <w:kern w:val="0"/>
          <w:sz w:val="32"/>
          <w:szCs w:val="32"/>
          <w:highlight w:val="none"/>
          <w:lang w:val="en-US" w:eastAsia="zh-CN"/>
        </w:rPr>
        <w:t>13个科室</w:t>
      </w:r>
      <w:r>
        <w:rPr>
          <w:rFonts w:hint="default" w:ascii="Times New Roman" w:hAnsi="Times New Roman" w:eastAsia="仿宋_GB2312" w:cs="Times New Roman"/>
          <w:bCs/>
          <w:kern w:val="0"/>
          <w:sz w:val="32"/>
          <w:szCs w:val="32"/>
          <w:highlight w:val="none"/>
        </w:rPr>
        <w:t>分别是：办公室（党委办公室）、组织人事科、财务审计科、养护管理科、收费稽查科、监控通讯科、设备管理科、劳动保障科、安全监督保卫科、监察室、工会、离退休人员管理科、后勤服务科</w:t>
      </w:r>
      <w:r>
        <w:rPr>
          <w:rFonts w:hint="default" w:ascii="Times New Roman" w:hAnsi="Times New Roman" w:eastAsia="仿宋_GB2312" w:cs="Times New Roman"/>
          <w:bCs/>
          <w:kern w:val="0"/>
          <w:sz w:val="32"/>
          <w:szCs w:val="32"/>
          <w:highlight w:val="none"/>
          <w:lang w:eastAsia="zh-CN"/>
        </w:rPr>
        <w:t>；</w:t>
      </w:r>
      <w:r>
        <w:rPr>
          <w:rFonts w:hint="default" w:ascii="Times New Roman" w:hAnsi="Times New Roman" w:eastAsia="仿宋_GB2312" w:cs="Times New Roman"/>
          <w:bCs/>
          <w:kern w:val="0"/>
          <w:sz w:val="32"/>
          <w:szCs w:val="32"/>
          <w:highlight w:val="none"/>
          <w:lang w:val="en-US" w:eastAsia="zh-CN"/>
        </w:rPr>
        <w:t>6个分局分别是：</w:t>
      </w:r>
      <w:r>
        <w:rPr>
          <w:rFonts w:hint="default" w:ascii="Times New Roman" w:hAnsi="Times New Roman" w:eastAsia="方正仿宋_GBK" w:cs="Times New Roman"/>
          <w:kern w:val="0"/>
          <w:sz w:val="32"/>
          <w:szCs w:val="32"/>
        </w:rPr>
        <w:t>燕儿窝分局、仓房沟分局、达坂城分局、地窝堡分局、米东分局、乌鲁木齐分局</w:t>
      </w:r>
      <w:r>
        <w:rPr>
          <w:rFonts w:hint="default" w:ascii="Times New Roman" w:hAnsi="Times New Roman" w:eastAsia="方正仿宋_GBK" w:cs="Times New Roman"/>
          <w:kern w:val="0"/>
          <w:sz w:val="32"/>
          <w:szCs w:val="32"/>
          <w:lang w:eastAsia="zh-CN"/>
        </w:rPr>
        <w:t>。</w:t>
      </w:r>
    </w:p>
    <w:p w14:paraId="73B11A07">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29374"/>
      <w:bookmarkStart w:id="7"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33F70C7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14:paraId="46BD6D6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eastAsia="zh-CN"/>
        </w:rPr>
        <w:t>2023年度</w:t>
      </w:r>
      <w:r>
        <w:rPr>
          <w:rFonts w:hint="default" w:ascii="Times New Roman" w:hAnsi="Times New Roman" w:eastAsia="仿宋_GB2312" w:cs="Times New Roman"/>
          <w:color w:val="auto"/>
          <w:spacing w:val="0"/>
          <w:sz w:val="32"/>
          <w:szCs w:val="32"/>
          <w:highlight w:val="none"/>
          <w:lang w:val="en-US" w:eastAsia="zh-CN"/>
        </w:rPr>
        <w:t>收入总计</w:t>
      </w:r>
      <w:r>
        <w:rPr>
          <w:rFonts w:hint="default" w:ascii="Times New Roman" w:hAnsi="Times New Roman" w:eastAsia="仿宋_GB2312" w:cs="Times New Roman"/>
          <w:color w:val="auto"/>
          <w:spacing w:val="0"/>
          <w:sz w:val="32"/>
          <w:szCs w:val="32"/>
          <w:highlight w:val="none"/>
          <w:lang w:eastAsia="zh-CN"/>
        </w:rPr>
        <w:t>18,971.51万元，</w:t>
      </w:r>
      <w:r>
        <w:rPr>
          <w:rFonts w:hint="default" w:ascii="Times New Roman" w:hAnsi="Times New Roman" w:eastAsia="仿宋_GB2312" w:cs="Times New Roman"/>
          <w:color w:val="auto"/>
          <w:spacing w:val="0"/>
          <w:sz w:val="32"/>
          <w:szCs w:val="32"/>
          <w:highlight w:val="none"/>
          <w:lang w:val="en-US" w:eastAsia="zh-CN"/>
        </w:rPr>
        <w:t>其中：本年收入合计</w:t>
      </w:r>
      <w:r>
        <w:rPr>
          <w:rFonts w:hint="default" w:ascii="Times New Roman" w:hAnsi="Times New Roman" w:eastAsia="仿宋_GB2312" w:cs="Times New Roman"/>
          <w:color w:val="auto"/>
          <w:spacing w:val="0"/>
          <w:sz w:val="32"/>
          <w:szCs w:val="32"/>
          <w:highlight w:val="none"/>
          <w:lang w:eastAsia="zh-CN"/>
        </w:rPr>
        <w:t>18,954.51万元，使用非财政拨款结余0.00万元，年初结转和结余17.00万元。</w:t>
      </w:r>
    </w:p>
    <w:p w14:paraId="2FF5BB9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val="en-US" w:eastAsia="zh-CN"/>
        </w:rPr>
        <w:t>2023</w:t>
      </w:r>
      <w:r>
        <w:rPr>
          <w:rFonts w:hint="default" w:ascii="Times New Roman" w:hAnsi="Times New Roman" w:eastAsia="仿宋_GB2312" w:cs="Times New Roman"/>
          <w:color w:val="auto"/>
          <w:spacing w:val="0"/>
          <w:sz w:val="32"/>
          <w:szCs w:val="32"/>
          <w:highlight w:val="none"/>
          <w:lang w:eastAsia="zh-CN"/>
        </w:rPr>
        <w:t>年</w:t>
      </w:r>
      <w:r>
        <w:rPr>
          <w:rFonts w:hint="default" w:ascii="Times New Roman" w:hAnsi="Times New Roman" w:eastAsia="仿宋_GB2312" w:cs="Times New Roman"/>
          <w:color w:val="auto"/>
          <w:spacing w:val="0"/>
          <w:sz w:val="32"/>
          <w:szCs w:val="32"/>
          <w:highlight w:val="none"/>
          <w:lang w:val="en-US" w:eastAsia="zh-CN"/>
        </w:rPr>
        <w:t>度</w:t>
      </w:r>
      <w:r>
        <w:rPr>
          <w:rFonts w:hint="default" w:ascii="Times New Roman" w:hAnsi="Times New Roman" w:eastAsia="仿宋_GB2312" w:cs="Times New Roman"/>
          <w:color w:val="auto"/>
          <w:spacing w:val="0"/>
          <w:sz w:val="32"/>
          <w:szCs w:val="32"/>
          <w:highlight w:val="none"/>
          <w:lang w:eastAsia="zh-CN"/>
        </w:rPr>
        <w:t>支出</w:t>
      </w:r>
      <w:r>
        <w:rPr>
          <w:rFonts w:hint="default" w:ascii="Times New Roman" w:hAnsi="Times New Roman" w:eastAsia="仿宋_GB2312" w:cs="Times New Roman"/>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eastAsia="zh-CN"/>
        </w:rPr>
        <w:t>18,971.51万元，</w:t>
      </w:r>
      <w:r>
        <w:rPr>
          <w:rFonts w:hint="default" w:ascii="Times New Roman" w:hAnsi="Times New Roman" w:eastAsia="仿宋_GB2312" w:cs="Times New Roman"/>
          <w:color w:val="auto"/>
          <w:spacing w:val="0"/>
          <w:sz w:val="32"/>
          <w:szCs w:val="32"/>
          <w:highlight w:val="none"/>
          <w:lang w:val="en-US" w:eastAsia="zh-CN"/>
        </w:rPr>
        <w:t>其中：本年支出合计</w:t>
      </w:r>
      <w:r>
        <w:rPr>
          <w:rFonts w:hint="default" w:ascii="Times New Roman" w:hAnsi="Times New Roman" w:eastAsia="仿宋_GB2312" w:cs="Times New Roman"/>
          <w:color w:val="auto"/>
          <w:spacing w:val="0"/>
          <w:sz w:val="32"/>
          <w:szCs w:val="32"/>
          <w:highlight w:val="none"/>
          <w:lang w:eastAsia="zh-CN"/>
        </w:rPr>
        <w:t>18,962.92万元，</w:t>
      </w:r>
      <w:r>
        <w:rPr>
          <w:rFonts w:hint="default" w:ascii="Times New Roman" w:hAnsi="Times New Roman" w:eastAsia="仿宋_GB2312" w:cs="Times New Roman"/>
          <w:color w:val="auto"/>
          <w:spacing w:val="0"/>
          <w:sz w:val="32"/>
          <w:szCs w:val="32"/>
          <w:highlight w:val="none"/>
          <w:lang w:val="en-US" w:eastAsia="zh-CN"/>
        </w:rPr>
        <w:t>结余分配</w:t>
      </w:r>
      <w:r>
        <w:rPr>
          <w:rFonts w:hint="default" w:ascii="Times New Roman" w:hAnsi="Times New Roman" w:eastAsia="仿宋_GB2312" w:cs="Times New Roman"/>
          <w:color w:val="auto"/>
          <w:spacing w:val="0"/>
          <w:sz w:val="32"/>
          <w:szCs w:val="32"/>
          <w:highlight w:val="none"/>
          <w:lang w:eastAsia="zh-CN"/>
        </w:rPr>
        <w:t>0.00万元，年末结转和结余8.58万元。</w:t>
      </w:r>
    </w:p>
    <w:p w14:paraId="79721478">
      <w:pPr>
        <w:ind w:firstLine="640" w:firstLineChars="200"/>
        <w:rPr>
          <w:rFonts w:hint="default" w:ascii="Times New Roman" w:hAnsi="Times New Roman" w:eastAsia="仿宋_GB2312" w:cs="Times New Roman"/>
          <w:color w:val="auto"/>
          <w:spacing w:val="0"/>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val="en-US" w:eastAsia="zh-CN"/>
        </w:rPr>
        <w:t>收入支出总体与上年相比</w:t>
      </w:r>
      <w:r>
        <w:rPr>
          <w:rFonts w:hint="default" w:ascii="Times New Roman" w:hAnsi="Times New Roman" w:eastAsia="仿宋_GB2312" w:cs="Times New Roman"/>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val="zh-CN" w:eastAsia="zh-CN"/>
        </w:rPr>
        <w:t>减少1,514.04万元</w:t>
      </w:r>
      <w:r>
        <w:rPr>
          <w:rFonts w:hint="default" w:ascii="Times New Roman" w:hAnsi="Times New Roman" w:eastAsia="仿宋_GB2312" w:cs="Times New Roman"/>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val="en-US" w:eastAsia="zh-CN"/>
        </w:rPr>
        <w:t>下降7.39%</w:t>
      </w:r>
      <w:r>
        <w:rPr>
          <w:rFonts w:hint="default" w:ascii="Times New Roman" w:hAnsi="Times New Roman" w:eastAsia="仿宋_GB2312" w:cs="Times New Roman"/>
          <w:color w:val="auto"/>
          <w:spacing w:val="0"/>
          <w:sz w:val="32"/>
          <w:szCs w:val="32"/>
          <w:highlight w:val="none"/>
          <w:lang w:eastAsia="zh-CN"/>
        </w:rPr>
        <w:t>，主要原因是：</w:t>
      </w:r>
      <w:r>
        <w:rPr>
          <w:rFonts w:hint="eastAsia" w:eastAsia="仿宋_GB2312" w:cs="Times New Roman"/>
          <w:color w:val="auto"/>
          <w:spacing w:val="0"/>
          <w:sz w:val="32"/>
          <w:szCs w:val="32"/>
          <w:highlight w:val="none"/>
          <w:lang w:val="en-US" w:eastAsia="zh-CN"/>
        </w:rPr>
        <w:t>1、</w:t>
      </w:r>
      <w:r>
        <w:rPr>
          <w:rFonts w:hint="default" w:ascii="Times New Roman" w:hAnsi="Times New Roman" w:eastAsia="仿宋_GB2312" w:cs="Times New Roman"/>
          <w:color w:val="auto"/>
          <w:spacing w:val="0"/>
          <w:sz w:val="32"/>
          <w:szCs w:val="32"/>
          <w:highlight w:val="none"/>
          <w:lang w:val="en-US" w:eastAsia="zh-CN"/>
        </w:rPr>
        <w:t>本年公路日常养护</w:t>
      </w:r>
      <w:r>
        <w:rPr>
          <w:rFonts w:hint="eastAsia" w:eastAsia="仿宋_GB2312" w:cs="Times New Roman"/>
          <w:color w:val="auto"/>
          <w:spacing w:val="0"/>
          <w:sz w:val="32"/>
          <w:szCs w:val="32"/>
          <w:highlight w:val="none"/>
          <w:lang w:val="en-US" w:eastAsia="zh-CN"/>
        </w:rPr>
        <w:t>、</w:t>
      </w:r>
      <w:r>
        <w:rPr>
          <w:rFonts w:hint="default" w:ascii="Times New Roman" w:hAnsi="Times New Roman" w:eastAsia="仿宋_GB2312" w:cs="Times New Roman"/>
          <w:color w:val="auto"/>
          <w:spacing w:val="0"/>
          <w:sz w:val="32"/>
          <w:szCs w:val="32"/>
          <w:highlight w:val="none"/>
          <w:lang w:val="en-US" w:eastAsia="zh-CN"/>
        </w:rPr>
        <w:t>公路运营</w:t>
      </w:r>
      <w:r>
        <w:rPr>
          <w:rFonts w:hint="eastAsia" w:eastAsia="仿宋_GB2312" w:cs="Times New Roman"/>
          <w:color w:val="auto"/>
          <w:spacing w:val="0"/>
          <w:sz w:val="32"/>
          <w:szCs w:val="32"/>
          <w:highlight w:val="none"/>
          <w:lang w:val="en-US" w:eastAsia="zh-CN"/>
        </w:rPr>
        <w:t>管理及</w:t>
      </w:r>
      <w:r>
        <w:rPr>
          <w:rFonts w:hint="default" w:ascii="Times New Roman" w:hAnsi="Times New Roman" w:eastAsia="仿宋_GB2312" w:cs="Times New Roman"/>
          <w:color w:val="auto"/>
          <w:spacing w:val="0"/>
          <w:sz w:val="32"/>
          <w:szCs w:val="32"/>
          <w:highlight w:val="none"/>
          <w:lang w:val="en-US" w:eastAsia="zh-CN"/>
        </w:rPr>
        <w:t>中央资金项目比上年减少；2、上年支出总计中包含</w:t>
      </w:r>
      <w:r>
        <w:rPr>
          <w:rFonts w:hint="default" w:ascii="Times New Roman" w:hAnsi="Times New Roman" w:eastAsia="仿宋_GB2312" w:cs="Times New Roman"/>
          <w:sz w:val="32"/>
          <w:szCs w:val="32"/>
          <w:highlight w:val="none"/>
        </w:rPr>
        <w:t>执行年初结转结余4</w:t>
      </w:r>
      <w:r>
        <w:rPr>
          <w:rFonts w:hint="default" w:ascii="Times New Roman" w:hAnsi="Times New Roman" w:eastAsia="仿宋_GB2312" w:cs="Times New Roman"/>
          <w:sz w:val="32"/>
          <w:szCs w:val="32"/>
          <w:highlight w:val="none"/>
          <w:lang w:val="en-US" w:eastAsia="zh-CN"/>
        </w:rPr>
        <w:t>22.81</w:t>
      </w:r>
      <w:r>
        <w:rPr>
          <w:rFonts w:hint="default" w:ascii="Times New Roman" w:hAnsi="Times New Roman" w:eastAsia="仿宋_GB2312" w:cs="Times New Roman"/>
          <w:sz w:val="32"/>
          <w:szCs w:val="32"/>
          <w:highlight w:val="none"/>
        </w:rPr>
        <w:t>万元及使用非财政拨款结余</w:t>
      </w:r>
      <w:r>
        <w:rPr>
          <w:rFonts w:hint="default" w:ascii="Times New Roman" w:hAnsi="Times New Roman" w:eastAsia="仿宋_GB2312" w:cs="Times New Roman"/>
          <w:sz w:val="32"/>
          <w:szCs w:val="32"/>
          <w:highlight w:val="none"/>
          <w:lang w:val="en-US" w:eastAsia="zh-CN"/>
        </w:rPr>
        <w:t>0.79</w:t>
      </w:r>
      <w:r>
        <w:rPr>
          <w:rFonts w:hint="default" w:ascii="Times New Roman" w:hAnsi="Times New Roman" w:eastAsia="仿宋_GB2312" w:cs="Times New Roman"/>
          <w:sz w:val="32"/>
          <w:szCs w:val="32"/>
          <w:highlight w:val="none"/>
        </w:rPr>
        <w:t>万元</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因此</w:t>
      </w:r>
      <w:r>
        <w:rPr>
          <w:rFonts w:hint="default" w:ascii="Times New Roman" w:hAnsi="Times New Roman" w:eastAsia="仿宋_GB2312" w:cs="Times New Roman"/>
          <w:sz w:val="32"/>
          <w:szCs w:val="32"/>
          <w:highlight w:val="none"/>
        </w:rPr>
        <w:t>本年</w:t>
      </w:r>
      <w:r>
        <w:rPr>
          <w:rFonts w:hint="default" w:ascii="Times New Roman" w:hAnsi="Times New Roman" w:eastAsia="仿宋_GB2312" w:cs="Times New Roman"/>
          <w:sz w:val="32"/>
          <w:szCs w:val="32"/>
          <w:highlight w:val="none"/>
          <w:lang w:val="en-US" w:eastAsia="zh-CN"/>
        </w:rPr>
        <w:t>收入</w:t>
      </w:r>
      <w:r>
        <w:rPr>
          <w:rFonts w:hint="default" w:ascii="Times New Roman" w:hAnsi="Times New Roman" w:eastAsia="仿宋_GB2312" w:cs="Times New Roman"/>
          <w:sz w:val="32"/>
          <w:szCs w:val="32"/>
          <w:highlight w:val="none"/>
        </w:rPr>
        <w:t>支出</w:t>
      </w:r>
      <w:r>
        <w:rPr>
          <w:rFonts w:hint="default" w:ascii="Times New Roman" w:hAnsi="Times New Roman" w:eastAsia="仿宋_GB2312" w:cs="Times New Roman"/>
          <w:sz w:val="32"/>
          <w:szCs w:val="32"/>
          <w:highlight w:val="none"/>
          <w:lang w:val="en-US" w:eastAsia="zh-CN"/>
        </w:rPr>
        <w:t>总体</w:t>
      </w:r>
      <w:r>
        <w:rPr>
          <w:rFonts w:hint="default" w:ascii="Times New Roman" w:hAnsi="Times New Roman" w:eastAsia="仿宋_GB2312" w:cs="Times New Roman"/>
          <w:sz w:val="32"/>
          <w:szCs w:val="32"/>
          <w:highlight w:val="none"/>
        </w:rPr>
        <w:t>较上年减少。</w:t>
      </w:r>
    </w:p>
    <w:p w14:paraId="04BCD20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50135A8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本年收入</w:t>
      </w:r>
      <w:r>
        <w:rPr>
          <w:rFonts w:hint="default" w:ascii="Times New Roman" w:hAnsi="Times New Roman" w:eastAsia="仿宋_GB2312" w:cs="Times New Roman"/>
          <w:color w:val="auto"/>
          <w:sz w:val="32"/>
          <w:szCs w:val="32"/>
          <w:highlight w:val="none"/>
          <w:lang w:eastAsia="zh-CN"/>
        </w:rPr>
        <w:t>18,954.51</w:t>
      </w:r>
      <w:r>
        <w:rPr>
          <w:rFonts w:hint="default" w:ascii="Times New Roman" w:hAnsi="Times New Roman" w:eastAsia="仿宋_GB2312" w:cs="Times New Roman"/>
          <w:color w:val="auto"/>
          <w:sz w:val="32"/>
          <w:szCs w:val="32"/>
          <w:highlight w:val="none"/>
        </w:rPr>
        <w:t>万元，其中：财政拨款收入</w:t>
      </w:r>
      <w:r>
        <w:rPr>
          <w:rFonts w:hint="default" w:ascii="Times New Roman" w:hAnsi="Times New Roman" w:eastAsia="仿宋_GB2312" w:cs="Times New Roman"/>
          <w:color w:val="auto"/>
          <w:sz w:val="32"/>
          <w:szCs w:val="32"/>
          <w:highlight w:val="none"/>
          <w:lang w:val="zh-CN"/>
        </w:rPr>
        <w:t>18,907.53</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99.75</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；上级补助收入</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；事业收入</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；经营收入</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附属单位上缴收入</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；其他收入</w:t>
      </w:r>
      <w:r>
        <w:rPr>
          <w:rFonts w:hint="default" w:ascii="Times New Roman" w:hAnsi="Times New Roman" w:eastAsia="仿宋_GB2312" w:cs="Times New Roman"/>
          <w:color w:val="auto"/>
          <w:sz w:val="32"/>
          <w:szCs w:val="32"/>
          <w:highlight w:val="none"/>
          <w:lang w:val="zh-CN"/>
        </w:rPr>
        <w:t>46.98</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0.25</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w:t>
      </w:r>
    </w:p>
    <w:p w14:paraId="38687E1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14:paraId="24771B0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0"/>
          <w:szCs w:val="30"/>
          <w:highlight w:val="none"/>
          <w:lang w:val="zh-CN" w:eastAsia="zh-CN"/>
        </w:rPr>
      </w:pPr>
      <w:r>
        <w:rPr>
          <w:rFonts w:hint="default" w:ascii="Times New Roman" w:hAnsi="Times New Roman" w:eastAsia="仿宋_GB2312" w:cs="Times New Roman"/>
          <w:color w:val="auto"/>
          <w:sz w:val="32"/>
          <w:szCs w:val="32"/>
          <w:highlight w:val="none"/>
          <w:lang w:val="zh-CN" w:eastAsia="zh-CN"/>
        </w:rPr>
        <w:t>本年支出18,962.92万元，其中：基本支出17,056.02万元，占89.94%；项目支出1,906.90万元，占10.06%；上缴上级支出0.00万元，占0.00%；经营支出0.00万元，占0.00%；对附属单位补助支出0.00万元，占0.00%。</w:t>
      </w:r>
    </w:p>
    <w:p w14:paraId="374AA47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24B030F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eastAsia="zh-CN"/>
        </w:rPr>
        <w:t>2023年度财政拨款收入</w:t>
      </w:r>
      <w:r>
        <w:rPr>
          <w:rFonts w:hint="default" w:ascii="Times New Roman" w:hAnsi="Times New Roman" w:eastAsia="仿宋_GB2312" w:cs="Times New Roman"/>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val="zh-CN" w:eastAsia="zh-CN"/>
        </w:rPr>
        <w:t>18,907.53</w:t>
      </w:r>
      <w:r>
        <w:rPr>
          <w:rFonts w:hint="default" w:ascii="Times New Roman" w:hAnsi="Times New Roman" w:eastAsia="仿宋_GB2312" w:cs="Times New Roman"/>
          <w:color w:val="auto"/>
          <w:spacing w:val="0"/>
          <w:sz w:val="32"/>
          <w:szCs w:val="32"/>
          <w:highlight w:val="none"/>
          <w:lang w:eastAsia="zh-CN"/>
        </w:rPr>
        <w:t>万元，</w:t>
      </w:r>
      <w:r>
        <w:rPr>
          <w:rFonts w:hint="default" w:ascii="Times New Roman" w:hAnsi="Times New Roman" w:eastAsia="仿宋_GB2312" w:cs="Times New Roman"/>
          <w:color w:val="auto"/>
          <w:spacing w:val="0"/>
          <w:sz w:val="32"/>
          <w:szCs w:val="32"/>
          <w:highlight w:val="none"/>
          <w:lang w:val="en-US" w:eastAsia="zh-CN"/>
        </w:rPr>
        <w:t>其中：年</w:t>
      </w:r>
      <w:r>
        <w:rPr>
          <w:rFonts w:hint="default" w:ascii="Times New Roman" w:hAnsi="Times New Roman" w:eastAsia="仿宋_GB2312" w:cs="Times New Roman"/>
          <w:color w:val="auto"/>
          <w:spacing w:val="-6"/>
          <w:sz w:val="32"/>
          <w:szCs w:val="32"/>
          <w:highlight w:val="none"/>
          <w:lang w:val="en-US" w:eastAsia="zh-CN"/>
        </w:rPr>
        <w:t>初财政拨款结转和结余</w:t>
      </w:r>
      <w:r>
        <w:rPr>
          <w:rFonts w:hint="default" w:ascii="Times New Roman" w:hAnsi="Times New Roman" w:eastAsia="仿宋_GB2312" w:cs="Times New Roman"/>
          <w:color w:val="auto"/>
          <w:spacing w:val="-6"/>
          <w:sz w:val="32"/>
          <w:szCs w:val="32"/>
          <w:highlight w:val="none"/>
          <w:lang w:val="zh-CN" w:eastAsia="zh-CN"/>
        </w:rPr>
        <w:t>0.00</w:t>
      </w:r>
      <w:r>
        <w:rPr>
          <w:rFonts w:hint="default" w:ascii="Times New Roman" w:hAnsi="Times New Roman" w:eastAsia="仿宋_GB2312" w:cs="Times New Roman"/>
          <w:color w:val="auto"/>
          <w:spacing w:val="-6"/>
          <w:sz w:val="32"/>
          <w:szCs w:val="32"/>
          <w:highlight w:val="none"/>
          <w:lang w:eastAsia="zh-CN"/>
        </w:rPr>
        <w:t>万元，</w:t>
      </w:r>
      <w:r>
        <w:rPr>
          <w:rFonts w:hint="default" w:ascii="Times New Roman" w:hAnsi="Times New Roman" w:eastAsia="仿宋_GB2312" w:cs="Times New Roman"/>
          <w:color w:val="auto"/>
          <w:spacing w:val="-6"/>
          <w:sz w:val="32"/>
          <w:szCs w:val="32"/>
          <w:highlight w:val="none"/>
          <w:lang w:val="en-US" w:eastAsia="zh-CN"/>
        </w:rPr>
        <w:t>本年财政拨款收入</w:t>
      </w:r>
      <w:r>
        <w:rPr>
          <w:rFonts w:hint="default" w:ascii="Times New Roman" w:hAnsi="Times New Roman" w:eastAsia="仿宋_GB2312" w:cs="Times New Roman"/>
          <w:color w:val="auto"/>
          <w:spacing w:val="0"/>
          <w:sz w:val="32"/>
          <w:szCs w:val="32"/>
          <w:highlight w:val="none"/>
          <w:lang w:val="zh-CN" w:eastAsia="zh-CN"/>
        </w:rPr>
        <w:t>18,907.53</w:t>
      </w:r>
      <w:r>
        <w:rPr>
          <w:rFonts w:hint="default" w:ascii="Times New Roman" w:hAnsi="Times New Roman" w:eastAsia="仿宋_GB2312" w:cs="Times New Roman"/>
          <w:color w:val="auto"/>
          <w:spacing w:val="0"/>
          <w:sz w:val="32"/>
          <w:szCs w:val="32"/>
          <w:highlight w:val="none"/>
          <w:lang w:eastAsia="zh-CN"/>
        </w:rPr>
        <w:t>万元。财政拨款支出</w:t>
      </w:r>
      <w:r>
        <w:rPr>
          <w:rFonts w:hint="default" w:ascii="Times New Roman" w:hAnsi="Times New Roman" w:eastAsia="仿宋_GB2312" w:cs="Times New Roman"/>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val="zh-CN" w:eastAsia="zh-CN"/>
        </w:rPr>
        <w:t>18,907.53</w:t>
      </w:r>
      <w:r>
        <w:rPr>
          <w:rFonts w:hint="default" w:ascii="Times New Roman" w:hAnsi="Times New Roman" w:eastAsia="仿宋_GB2312" w:cs="Times New Roman"/>
          <w:color w:val="auto"/>
          <w:spacing w:val="0"/>
          <w:sz w:val="32"/>
          <w:szCs w:val="32"/>
          <w:highlight w:val="none"/>
          <w:lang w:eastAsia="zh-CN"/>
        </w:rPr>
        <w:t>万元，</w:t>
      </w:r>
      <w:r>
        <w:rPr>
          <w:rFonts w:hint="default" w:ascii="Times New Roman" w:hAnsi="Times New Roman" w:eastAsia="仿宋_GB2312" w:cs="Times New Roman"/>
          <w:color w:val="auto"/>
          <w:spacing w:val="0"/>
          <w:sz w:val="32"/>
          <w:szCs w:val="32"/>
          <w:highlight w:val="none"/>
          <w:lang w:val="en-US" w:eastAsia="zh-CN"/>
        </w:rPr>
        <w:t>其中：年末财政拨款结转和结余</w:t>
      </w:r>
      <w:r>
        <w:rPr>
          <w:rFonts w:hint="default" w:ascii="Times New Roman" w:hAnsi="Times New Roman" w:eastAsia="仿宋_GB2312" w:cs="Times New Roman"/>
          <w:color w:val="auto"/>
          <w:spacing w:val="0"/>
          <w:sz w:val="32"/>
          <w:szCs w:val="32"/>
          <w:highlight w:val="none"/>
          <w:lang w:val="zh-CN" w:eastAsia="zh-CN"/>
        </w:rPr>
        <w:t>0.00</w:t>
      </w:r>
      <w:r>
        <w:rPr>
          <w:rFonts w:hint="default" w:ascii="Times New Roman" w:hAnsi="Times New Roman" w:eastAsia="仿宋_GB2312" w:cs="Times New Roman"/>
          <w:color w:val="auto"/>
          <w:spacing w:val="0"/>
          <w:sz w:val="32"/>
          <w:szCs w:val="32"/>
          <w:highlight w:val="none"/>
          <w:lang w:eastAsia="zh-CN"/>
        </w:rPr>
        <w:t>万元，</w:t>
      </w:r>
      <w:r>
        <w:rPr>
          <w:rFonts w:hint="default" w:ascii="Times New Roman" w:hAnsi="Times New Roman" w:eastAsia="仿宋_GB2312" w:cs="Times New Roman"/>
          <w:color w:val="auto"/>
          <w:spacing w:val="0"/>
          <w:sz w:val="32"/>
          <w:szCs w:val="32"/>
          <w:highlight w:val="none"/>
          <w:lang w:val="en-US" w:eastAsia="zh-CN"/>
        </w:rPr>
        <w:t>本年财政拨款支出</w:t>
      </w:r>
      <w:r>
        <w:rPr>
          <w:rFonts w:hint="default" w:ascii="Times New Roman" w:hAnsi="Times New Roman" w:eastAsia="仿宋_GB2312" w:cs="Times New Roman"/>
          <w:color w:val="auto"/>
          <w:spacing w:val="0"/>
          <w:sz w:val="32"/>
          <w:szCs w:val="32"/>
          <w:highlight w:val="none"/>
          <w:lang w:val="zh-CN" w:eastAsia="zh-CN"/>
        </w:rPr>
        <w:t>18,907.53</w:t>
      </w:r>
      <w:r>
        <w:rPr>
          <w:rFonts w:hint="default" w:ascii="Times New Roman" w:hAnsi="Times New Roman" w:eastAsia="仿宋_GB2312" w:cs="Times New Roman"/>
          <w:color w:val="auto"/>
          <w:spacing w:val="0"/>
          <w:sz w:val="32"/>
          <w:szCs w:val="32"/>
          <w:highlight w:val="none"/>
          <w:lang w:eastAsia="zh-CN"/>
        </w:rPr>
        <w:t>万元。</w:t>
      </w:r>
    </w:p>
    <w:p w14:paraId="1EE5ECF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pacing w:val="0"/>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eastAsia="zh-CN"/>
        </w:rPr>
        <w:t>财政拨款收入支出总体与上年相比</w:t>
      </w:r>
      <w:r>
        <w:rPr>
          <w:rFonts w:hint="default" w:ascii="Times New Roman" w:hAnsi="Times New Roman" w:eastAsia="仿宋_GB2312" w:cs="Times New Roman"/>
          <w:color w:val="auto"/>
          <w:spacing w:val="0"/>
          <w:sz w:val="32"/>
          <w:szCs w:val="32"/>
          <w:highlight w:val="none"/>
          <w:lang w:val="en-US" w:eastAsia="zh-CN"/>
        </w:rPr>
        <w:t>,</w:t>
      </w:r>
      <w:r>
        <w:rPr>
          <w:rFonts w:hint="default" w:ascii="Times New Roman" w:hAnsi="Times New Roman" w:eastAsia="仿宋_GB2312" w:cs="Times New Roman"/>
          <w:color w:val="auto"/>
          <w:spacing w:val="0"/>
          <w:sz w:val="32"/>
          <w:szCs w:val="32"/>
          <w:highlight w:val="none"/>
          <w:lang w:val="zh-CN" w:eastAsia="zh-CN"/>
        </w:rPr>
        <w:t>减少1,073.93万元</w:t>
      </w:r>
      <w:r>
        <w:rPr>
          <w:rFonts w:hint="default" w:ascii="Times New Roman" w:hAnsi="Times New Roman" w:eastAsia="仿宋_GB2312" w:cs="Times New Roman"/>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val="zh-CN" w:eastAsia="zh-CN"/>
        </w:rPr>
        <w:t>下降5.37%，</w:t>
      </w:r>
      <w:r>
        <w:rPr>
          <w:rFonts w:hint="default" w:ascii="Times New Roman" w:hAnsi="Times New Roman" w:eastAsia="仿宋_GB2312" w:cs="Times New Roman"/>
          <w:color w:val="auto"/>
          <w:spacing w:val="0"/>
          <w:sz w:val="32"/>
          <w:szCs w:val="32"/>
          <w:highlight w:val="none"/>
          <w:lang w:eastAsia="zh-CN"/>
        </w:rPr>
        <w:t>主要原因是：</w:t>
      </w:r>
      <w:r>
        <w:rPr>
          <w:rFonts w:hint="default" w:ascii="Times New Roman" w:hAnsi="Times New Roman" w:eastAsia="仿宋_GB2312" w:cs="Times New Roman"/>
          <w:color w:val="auto"/>
          <w:spacing w:val="0"/>
          <w:sz w:val="32"/>
          <w:szCs w:val="32"/>
          <w:highlight w:val="none"/>
          <w:lang w:val="en-US" w:eastAsia="zh-CN"/>
        </w:rPr>
        <w:t>根据财政批复，本年项目支出中公路日常养护、公路运营管理、中央资金项目均比上年减少；</w:t>
      </w:r>
      <w:r>
        <w:rPr>
          <w:rFonts w:hint="default" w:ascii="Times New Roman" w:hAnsi="Times New Roman" w:eastAsia="仿宋_GB2312" w:cs="Times New Roman"/>
          <w:color w:val="auto"/>
          <w:spacing w:val="-6"/>
          <w:sz w:val="32"/>
          <w:szCs w:val="32"/>
          <w:highlight w:val="none"/>
          <w:lang w:eastAsia="zh-CN"/>
        </w:rPr>
        <w:t>与年初预算相比，年初预算数</w:t>
      </w:r>
      <w:r>
        <w:rPr>
          <w:rFonts w:hint="default" w:ascii="Times New Roman" w:hAnsi="Times New Roman" w:eastAsia="仿宋_GB2312" w:cs="Times New Roman"/>
          <w:color w:val="auto"/>
          <w:spacing w:val="-6"/>
          <w:sz w:val="32"/>
          <w:szCs w:val="32"/>
          <w:highlight w:val="none"/>
          <w:lang w:val="zh-CN" w:eastAsia="zh-CN"/>
        </w:rPr>
        <w:t>17,128.71</w:t>
      </w:r>
      <w:r>
        <w:rPr>
          <w:rFonts w:hint="default" w:ascii="Times New Roman" w:hAnsi="Times New Roman" w:eastAsia="仿宋_GB2312" w:cs="Times New Roman"/>
          <w:color w:val="auto"/>
          <w:spacing w:val="-6"/>
          <w:sz w:val="32"/>
          <w:szCs w:val="32"/>
          <w:highlight w:val="none"/>
          <w:lang w:eastAsia="zh-CN"/>
        </w:rPr>
        <w:t>万元，决算数</w:t>
      </w:r>
      <w:r>
        <w:rPr>
          <w:rFonts w:hint="default" w:ascii="Times New Roman" w:hAnsi="Times New Roman" w:eastAsia="仿宋_GB2312" w:cs="Times New Roman"/>
          <w:color w:val="auto"/>
          <w:spacing w:val="0"/>
          <w:sz w:val="32"/>
          <w:szCs w:val="32"/>
          <w:highlight w:val="none"/>
          <w:lang w:val="zh-CN" w:eastAsia="zh-CN"/>
        </w:rPr>
        <w:t>18,907.53</w:t>
      </w:r>
      <w:r>
        <w:rPr>
          <w:rFonts w:hint="default" w:ascii="Times New Roman" w:hAnsi="Times New Roman" w:eastAsia="仿宋_GB2312" w:cs="Times New Roman"/>
          <w:color w:val="auto"/>
          <w:spacing w:val="0"/>
          <w:sz w:val="32"/>
          <w:szCs w:val="32"/>
          <w:highlight w:val="none"/>
          <w:lang w:eastAsia="zh-CN"/>
        </w:rPr>
        <w:t>万元，预决算差异率10.39%，主要原因是：</w:t>
      </w:r>
      <w:r>
        <w:rPr>
          <w:rFonts w:hint="eastAsia" w:eastAsia="仿宋_GB2312" w:cs="Times New Roman"/>
          <w:color w:val="auto"/>
          <w:spacing w:val="0"/>
          <w:sz w:val="32"/>
          <w:szCs w:val="32"/>
          <w:highlight w:val="none"/>
          <w:lang w:val="en-US" w:eastAsia="zh-CN"/>
        </w:rPr>
        <w:t>年中</w:t>
      </w:r>
      <w:r>
        <w:rPr>
          <w:rFonts w:hint="default" w:ascii="Times New Roman" w:hAnsi="Times New Roman" w:eastAsia="仿宋_GB2312" w:cs="Times New Roman"/>
          <w:color w:val="auto"/>
          <w:spacing w:val="0"/>
          <w:sz w:val="32"/>
          <w:szCs w:val="32"/>
          <w:highlight w:val="none"/>
          <w:lang w:val="en-US" w:eastAsia="zh-CN"/>
        </w:rPr>
        <w:t>财政追加在职及离休人员绩效奖励、追加人员经费、丧葬费抚恤金、职业年金、2023年车辆购置税收入补助地方预算资金(第二批)用于三项工程项目和2023年政府还贷二级公路取消收费后补助用于国省干线和农村公路养护项目资金</w:t>
      </w:r>
      <w:r>
        <w:rPr>
          <w:rFonts w:hint="default" w:ascii="Times New Roman" w:hAnsi="Times New Roman" w:eastAsia="仿宋_GB2312" w:cs="Times New Roman"/>
          <w:color w:val="auto"/>
          <w:spacing w:val="0"/>
          <w:sz w:val="32"/>
          <w:szCs w:val="32"/>
          <w:highlight w:val="none"/>
          <w:lang w:eastAsia="zh-CN"/>
        </w:rPr>
        <w:t>。</w:t>
      </w:r>
    </w:p>
    <w:p w14:paraId="642CE6D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58F11A4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7DD6982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pacing w:val="0"/>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eastAsia="zh-CN"/>
        </w:rPr>
        <w:t>2023年度一般公共预算财政拨款支出18,907.53万元，占本年支出合计的</w:t>
      </w:r>
      <w:r>
        <w:rPr>
          <w:rFonts w:hint="default" w:ascii="Times New Roman" w:hAnsi="Times New Roman" w:eastAsia="仿宋_GB2312" w:cs="Times New Roman"/>
          <w:color w:val="auto"/>
          <w:spacing w:val="0"/>
          <w:sz w:val="32"/>
          <w:szCs w:val="32"/>
          <w:highlight w:val="none"/>
          <w:lang w:val="zh-CN" w:eastAsia="zh-CN"/>
        </w:rPr>
        <w:t>99.71%</w:t>
      </w:r>
      <w:r>
        <w:rPr>
          <w:rFonts w:hint="eastAsia" w:eastAsia="仿宋_GB2312" w:cs="Times New Roman"/>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eastAsia="zh-CN"/>
        </w:rPr>
        <w:t>与上年相比，</w:t>
      </w:r>
      <w:r>
        <w:rPr>
          <w:rFonts w:hint="default" w:ascii="Times New Roman" w:hAnsi="Times New Roman" w:eastAsia="仿宋_GB2312" w:cs="Times New Roman"/>
          <w:color w:val="auto"/>
          <w:spacing w:val="0"/>
          <w:sz w:val="32"/>
          <w:szCs w:val="32"/>
          <w:highlight w:val="none"/>
          <w:lang w:val="zh-CN" w:eastAsia="zh-CN"/>
        </w:rPr>
        <w:t>减少1,071.62万元</w:t>
      </w:r>
      <w:r>
        <w:rPr>
          <w:rFonts w:hint="default" w:ascii="Times New Roman" w:hAnsi="Times New Roman" w:eastAsia="仿宋_GB2312" w:cs="Times New Roman"/>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val="zh-CN" w:eastAsia="zh-CN"/>
        </w:rPr>
        <w:t>下降5.36%，</w:t>
      </w:r>
      <w:r>
        <w:rPr>
          <w:rFonts w:hint="default" w:ascii="Times New Roman" w:hAnsi="Times New Roman" w:eastAsia="仿宋_GB2312" w:cs="Times New Roman"/>
          <w:color w:val="auto"/>
          <w:spacing w:val="0"/>
          <w:sz w:val="32"/>
          <w:szCs w:val="32"/>
          <w:highlight w:val="none"/>
          <w:lang w:eastAsia="zh-CN"/>
        </w:rPr>
        <w:t>主要原因是：</w:t>
      </w:r>
      <w:r>
        <w:rPr>
          <w:rFonts w:hint="default" w:ascii="Times New Roman" w:hAnsi="Times New Roman" w:eastAsia="仿宋_GB2312" w:cs="Times New Roman"/>
          <w:color w:val="auto"/>
          <w:spacing w:val="0"/>
          <w:sz w:val="32"/>
          <w:szCs w:val="32"/>
          <w:highlight w:val="none"/>
          <w:lang w:val="en-US" w:eastAsia="zh-CN"/>
        </w:rPr>
        <w:t>根据财政批复，本年项目支出中公路日常养护、公路运营管理、中央资金项目均比上年减少</w:t>
      </w:r>
      <w:r>
        <w:rPr>
          <w:rFonts w:hint="default" w:ascii="Times New Roman" w:hAnsi="Times New Roman" w:eastAsia="仿宋_GB2312" w:cs="Times New Roman"/>
          <w:color w:val="auto"/>
          <w:spacing w:val="0"/>
          <w:sz w:val="32"/>
          <w:szCs w:val="32"/>
          <w:highlight w:val="none"/>
          <w:lang w:eastAsia="zh-CN"/>
        </w:rPr>
        <w:t>。</w:t>
      </w:r>
      <w:r>
        <w:rPr>
          <w:rFonts w:hint="default" w:ascii="Times New Roman" w:hAnsi="Times New Roman" w:eastAsia="仿宋_GB2312" w:cs="Times New Roman"/>
          <w:color w:val="auto"/>
          <w:spacing w:val="-6"/>
          <w:sz w:val="32"/>
          <w:szCs w:val="32"/>
          <w:highlight w:val="none"/>
          <w:lang w:eastAsia="zh-CN"/>
        </w:rPr>
        <w:t>与年初预算相比，年初预算数</w:t>
      </w:r>
      <w:r>
        <w:rPr>
          <w:rFonts w:hint="default" w:ascii="Times New Roman" w:hAnsi="Times New Roman" w:eastAsia="仿宋_GB2312" w:cs="Times New Roman"/>
          <w:color w:val="auto"/>
          <w:spacing w:val="-6"/>
          <w:sz w:val="32"/>
          <w:szCs w:val="32"/>
          <w:highlight w:val="none"/>
          <w:lang w:val="zh-CN" w:eastAsia="zh-CN"/>
        </w:rPr>
        <w:t>17,128.71</w:t>
      </w:r>
      <w:r>
        <w:rPr>
          <w:rFonts w:hint="default" w:ascii="Times New Roman" w:hAnsi="Times New Roman" w:eastAsia="仿宋_GB2312" w:cs="Times New Roman"/>
          <w:color w:val="auto"/>
          <w:spacing w:val="-6"/>
          <w:sz w:val="32"/>
          <w:szCs w:val="32"/>
          <w:highlight w:val="none"/>
          <w:lang w:eastAsia="zh-CN"/>
        </w:rPr>
        <w:t>万元，决算数</w:t>
      </w:r>
      <w:r>
        <w:rPr>
          <w:rFonts w:hint="default" w:ascii="Times New Roman" w:hAnsi="Times New Roman" w:eastAsia="仿宋_GB2312" w:cs="Times New Roman"/>
          <w:color w:val="auto"/>
          <w:spacing w:val="0"/>
          <w:sz w:val="32"/>
          <w:szCs w:val="32"/>
          <w:highlight w:val="none"/>
          <w:lang w:val="zh-CN" w:eastAsia="zh-CN"/>
        </w:rPr>
        <w:t>18,907.53</w:t>
      </w:r>
      <w:r>
        <w:rPr>
          <w:rFonts w:hint="default" w:ascii="Times New Roman" w:hAnsi="Times New Roman" w:eastAsia="仿宋_GB2312" w:cs="Times New Roman"/>
          <w:color w:val="auto"/>
          <w:spacing w:val="0"/>
          <w:sz w:val="32"/>
          <w:szCs w:val="32"/>
          <w:highlight w:val="none"/>
          <w:lang w:eastAsia="zh-CN"/>
        </w:rPr>
        <w:t>万元，预决算差异率</w:t>
      </w:r>
      <w:r>
        <w:rPr>
          <w:rFonts w:hint="default" w:ascii="Times New Roman" w:hAnsi="Times New Roman" w:eastAsia="仿宋_GB2312" w:cs="Times New Roman"/>
          <w:color w:val="auto"/>
          <w:spacing w:val="0"/>
          <w:sz w:val="32"/>
          <w:szCs w:val="32"/>
          <w:highlight w:val="none"/>
          <w:lang w:val="zh-CN" w:eastAsia="zh-CN"/>
        </w:rPr>
        <w:t>10.39%</w:t>
      </w:r>
      <w:r>
        <w:rPr>
          <w:rFonts w:hint="default" w:ascii="Times New Roman" w:hAnsi="Times New Roman" w:eastAsia="仿宋_GB2312" w:cs="Times New Roman"/>
          <w:color w:val="auto"/>
          <w:spacing w:val="0"/>
          <w:sz w:val="32"/>
          <w:szCs w:val="32"/>
          <w:highlight w:val="none"/>
          <w:lang w:eastAsia="zh-CN"/>
        </w:rPr>
        <w:t>，主要原因是：</w:t>
      </w:r>
      <w:r>
        <w:rPr>
          <w:rFonts w:hint="default" w:ascii="Times New Roman" w:hAnsi="Times New Roman" w:eastAsia="仿宋_GB2312" w:cs="Times New Roman"/>
          <w:color w:val="auto"/>
          <w:spacing w:val="0"/>
          <w:sz w:val="32"/>
          <w:szCs w:val="32"/>
          <w:highlight w:val="none"/>
          <w:lang w:val="en-US" w:eastAsia="zh-CN"/>
        </w:rPr>
        <w:t>本年财政追加在职人员</w:t>
      </w:r>
      <w:r>
        <w:rPr>
          <w:rFonts w:hint="eastAsia" w:eastAsia="仿宋_GB2312" w:cs="Times New Roman"/>
          <w:color w:val="auto"/>
          <w:spacing w:val="0"/>
          <w:sz w:val="32"/>
          <w:szCs w:val="32"/>
          <w:highlight w:val="none"/>
          <w:lang w:val="en-US" w:eastAsia="zh-CN"/>
        </w:rPr>
        <w:t>基础绩效奖</w:t>
      </w:r>
      <w:r>
        <w:rPr>
          <w:rFonts w:hint="default" w:ascii="Times New Roman" w:hAnsi="Times New Roman" w:eastAsia="仿宋_GB2312" w:cs="Times New Roman"/>
          <w:color w:val="auto"/>
          <w:spacing w:val="0"/>
          <w:sz w:val="32"/>
          <w:szCs w:val="32"/>
          <w:highlight w:val="none"/>
          <w:lang w:val="en-US" w:eastAsia="zh-CN"/>
        </w:rPr>
        <w:t>、</w:t>
      </w:r>
      <w:r>
        <w:rPr>
          <w:rFonts w:hint="eastAsia" w:eastAsia="仿宋_GB2312" w:cs="Times New Roman"/>
          <w:color w:val="auto"/>
          <w:spacing w:val="0"/>
          <w:sz w:val="32"/>
          <w:szCs w:val="32"/>
          <w:highlight w:val="none"/>
          <w:lang w:val="en-US" w:eastAsia="zh-CN"/>
        </w:rPr>
        <w:t>年度考核奖、</w:t>
      </w:r>
      <w:r>
        <w:rPr>
          <w:rFonts w:hint="default" w:ascii="Times New Roman" w:hAnsi="Times New Roman" w:eastAsia="仿宋_GB2312" w:cs="Times New Roman"/>
          <w:color w:val="auto"/>
          <w:spacing w:val="0"/>
          <w:sz w:val="32"/>
          <w:szCs w:val="32"/>
          <w:highlight w:val="none"/>
          <w:lang w:val="en-US" w:eastAsia="zh-CN"/>
        </w:rPr>
        <w:t>追加人员经费、丧葬费抚恤金、职业年金、2023年车辆购置税收入补助地方预算资金(第二批)用于三项工程项目和2023年政府还贷二级公路取消收费后补助用于国省干线和农村公路养护项目资金</w:t>
      </w:r>
      <w:r>
        <w:rPr>
          <w:rFonts w:hint="default" w:ascii="Times New Roman" w:hAnsi="Times New Roman" w:eastAsia="仿宋_GB2312" w:cs="Times New Roman"/>
          <w:color w:val="auto"/>
          <w:spacing w:val="0"/>
          <w:sz w:val="32"/>
          <w:szCs w:val="32"/>
          <w:highlight w:val="none"/>
          <w:lang w:eastAsia="zh-CN"/>
        </w:rPr>
        <w:t>。</w:t>
      </w:r>
    </w:p>
    <w:p w14:paraId="3546A206">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1293C8C5">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right="0" w:rightChars="0" w:firstLine="640" w:firstLineChars="200"/>
        <w:jc w:val="left"/>
        <w:textAlignment w:val="auto"/>
        <w:rPr>
          <w:rFonts w:hint="default" w:ascii="Times New Roman" w:hAnsi="Times New Roman" w:eastAsia="仿宋_GB2312" w:cs="Times New Roman"/>
          <w:color w:val="auto"/>
          <w:spacing w:val="0"/>
          <w:kern w:val="2"/>
          <w:sz w:val="32"/>
          <w:szCs w:val="32"/>
          <w:highlight w:val="none"/>
          <w:lang w:val="zh-CN" w:eastAsia="zh-CN" w:bidi="ar-SA"/>
        </w:rPr>
      </w:pPr>
      <w:r>
        <w:rPr>
          <w:rFonts w:hint="default" w:ascii="Times New Roman" w:hAnsi="Times New Roman" w:eastAsia="仿宋_GB2312" w:cs="Times New Roman"/>
          <w:color w:val="auto"/>
          <w:spacing w:val="0"/>
          <w:kern w:val="2"/>
          <w:sz w:val="32"/>
          <w:szCs w:val="32"/>
          <w:lang w:val="en-US" w:eastAsia="zh-CN" w:bidi="ar-SA"/>
        </w:rPr>
        <w:t>1</w:t>
      </w:r>
      <w:r>
        <w:rPr>
          <w:rFonts w:hint="default" w:ascii="Times New Roman" w:hAnsi="Times New Roman" w:eastAsia="仿宋_GB2312" w:cs="Times New Roman"/>
          <w:color w:val="auto"/>
          <w:spacing w:val="0"/>
          <w:kern w:val="2"/>
          <w:sz w:val="32"/>
          <w:szCs w:val="32"/>
          <w:lang w:val="zh-CN" w:eastAsia="zh-CN" w:bidi="ar-SA"/>
        </w:rPr>
        <w:t>.</w:t>
      </w:r>
      <w:r>
        <w:rPr>
          <w:rFonts w:hint="default" w:ascii="Times New Roman" w:hAnsi="Times New Roman" w:eastAsia="仿宋_GB2312" w:cs="Times New Roman"/>
          <w:color w:val="auto"/>
          <w:spacing w:val="0"/>
          <w:kern w:val="2"/>
          <w:sz w:val="32"/>
          <w:szCs w:val="32"/>
          <w:highlight w:val="none"/>
          <w:lang w:val="zh-CN" w:eastAsia="zh-CN" w:bidi="ar-SA"/>
        </w:rPr>
        <w:t>社会保障和就业支出（类）4,261.51万元，占22.54%；</w:t>
      </w:r>
    </w:p>
    <w:p w14:paraId="0C7DE07F">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right="0" w:rightChars="0" w:firstLine="640" w:firstLineChars="200"/>
        <w:jc w:val="left"/>
        <w:textAlignment w:val="auto"/>
        <w:rPr>
          <w:rFonts w:hint="default" w:ascii="Times New Roman" w:hAnsi="Times New Roman" w:eastAsia="仿宋_GB2312" w:cs="Times New Roman"/>
          <w:color w:val="auto"/>
          <w:spacing w:val="0"/>
          <w:kern w:val="2"/>
          <w:sz w:val="32"/>
          <w:szCs w:val="32"/>
          <w:highlight w:val="none"/>
          <w:lang w:val="zh-CN" w:eastAsia="zh-CN" w:bidi="ar-SA"/>
        </w:rPr>
      </w:pPr>
      <w:r>
        <w:rPr>
          <w:rFonts w:hint="default" w:ascii="Times New Roman" w:hAnsi="Times New Roman" w:eastAsia="仿宋_GB2312" w:cs="Times New Roman"/>
          <w:color w:val="auto"/>
          <w:spacing w:val="0"/>
          <w:kern w:val="2"/>
          <w:sz w:val="32"/>
          <w:szCs w:val="32"/>
          <w:lang w:val="en-US" w:eastAsia="zh-CN" w:bidi="ar-SA"/>
        </w:rPr>
        <w:t>2</w:t>
      </w:r>
      <w:r>
        <w:rPr>
          <w:rFonts w:hint="default" w:ascii="Times New Roman" w:hAnsi="Times New Roman" w:eastAsia="仿宋_GB2312" w:cs="Times New Roman"/>
          <w:color w:val="auto"/>
          <w:spacing w:val="0"/>
          <w:kern w:val="2"/>
          <w:sz w:val="32"/>
          <w:szCs w:val="32"/>
          <w:lang w:val="zh-CN" w:eastAsia="zh-CN" w:bidi="ar-SA"/>
        </w:rPr>
        <w:t>.</w:t>
      </w:r>
      <w:r>
        <w:rPr>
          <w:rFonts w:hint="default" w:ascii="Times New Roman" w:hAnsi="Times New Roman" w:eastAsia="仿宋_GB2312" w:cs="Times New Roman"/>
          <w:color w:val="auto"/>
          <w:spacing w:val="0"/>
          <w:kern w:val="2"/>
          <w:sz w:val="32"/>
          <w:szCs w:val="32"/>
          <w:highlight w:val="none"/>
          <w:lang w:val="zh-CN" w:eastAsia="zh-CN" w:bidi="ar-SA"/>
        </w:rPr>
        <w:t>卫生健康支出（类）1,107.95万元，占5.86%；</w:t>
      </w:r>
    </w:p>
    <w:p w14:paraId="44C1E44F">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right="0" w:rightChars="0" w:firstLine="640" w:firstLineChars="200"/>
        <w:jc w:val="left"/>
        <w:textAlignment w:val="auto"/>
        <w:rPr>
          <w:rFonts w:hint="default" w:ascii="Times New Roman" w:hAnsi="Times New Roman" w:eastAsia="仿宋_GB2312" w:cs="Times New Roman"/>
          <w:color w:val="auto"/>
          <w:spacing w:val="0"/>
          <w:kern w:val="2"/>
          <w:sz w:val="32"/>
          <w:szCs w:val="32"/>
          <w:highlight w:val="none"/>
          <w:lang w:val="zh-CN" w:eastAsia="zh-CN" w:bidi="ar-SA"/>
        </w:rPr>
      </w:pPr>
      <w:r>
        <w:rPr>
          <w:rFonts w:hint="default" w:ascii="Times New Roman" w:hAnsi="Times New Roman" w:eastAsia="仿宋_GB2312" w:cs="Times New Roman"/>
          <w:color w:val="auto"/>
          <w:spacing w:val="0"/>
          <w:kern w:val="2"/>
          <w:sz w:val="32"/>
          <w:szCs w:val="32"/>
          <w:lang w:val="en-US" w:eastAsia="zh-CN" w:bidi="ar-SA"/>
        </w:rPr>
        <w:t>3</w:t>
      </w:r>
      <w:r>
        <w:rPr>
          <w:rFonts w:hint="default" w:ascii="Times New Roman" w:hAnsi="Times New Roman" w:eastAsia="仿宋_GB2312" w:cs="Times New Roman"/>
          <w:color w:val="auto"/>
          <w:spacing w:val="0"/>
          <w:kern w:val="2"/>
          <w:sz w:val="32"/>
          <w:szCs w:val="32"/>
          <w:lang w:val="zh-CN" w:eastAsia="zh-CN" w:bidi="ar-SA"/>
        </w:rPr>
        <w:t>.</w:t>
      </w:r>
      <w:r>
        <w:rPr>
          <w:rFonts w:hint="default" w:ascii="Times New Roman" w:hAnsi="Times New Roman" w:eastAsia="仿宋_GB2312" w:cs="Times New Roman"/>
          <w:color w:val="auto"/>
          <w:spacing w:val="0"/>
          <w:kern w:val="2"/>
          <w:sz w:val="32"/>
          <w:szCs w:val="32"/>
          <w:highlight w:val="none"/>
          <w:lang w:val="zh-CN" w:eastAsia="zh-CN" w:bidi="ar-SA"/>
        </w:rPr>
        <w:t>交通运输支出（类）12,633.90万元，占 66.82%；</w:t>
      </w:r>
    </w:p>
    <w:p w14:paraId="48145AF4">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right="0" w:rightChars="0" w:firstLine="640" w:firstLineChars="200"/>
        <w:jc w:val="left"/>
        <w:textAlignment w:val="auto"/>
        <w:rPr>
          <w:rFonts w:hint="default" w:ascii="Times New Roman" w:hAnsi="Times New Roman" w:eastAsia="仿宋_GB2312" w:cs="Times New Roman"/>
          <w:color w:val="auto"/>
          <w:spacing w:val="0"/>
          <w:kern w:val="2"/>
          <w:sz w:val="32"/>
          <w:szCs w:val="32"/>
          <w:highlight w:val="none"/>
          <w:lang w:val="zh-CN" w:eastAsia="zh-CN" w:bidi="ar-SA"/>
        </w:rPr>
      </w:pPr>
      <w:r>
        <w:rPr>
          <w:rFonts w:hint="default" w:ascii="Times New Roman" w:hAnsi="Times New Roman" w:eastAsia="仿宋_GB2312" w:cs="Times New Roman"/>
          <w:color w:val="auto"/>
          <w:spacing w:val="0"/>
          <w:kern w:val="2"/>
          <w:sz w:val="32"/>
          <w:szCs w:val="32"/>
          <w:lang w:val="en-US" w:eastAsia="zh-CN" w:bidi="ar-SA"/>
        </w:rPr>
        <w:t>4</w:t>
      </w:r>
      <w:r>
        <w:rPr>
          <w:rFonts w:hint="default" w:ascii="Times New Roman" w:hAnsi="Times New Roman" w:eastAsia="仿宋_GB2312" w:cs="Times New Roman"/>
          <w:color w:val="auto"/>
          <w:spacing w:val="0"/>
          <w:kern w:val="2"/>
          <w:sz w:val="32"/>
          <w:szCs w:val="32"/>
          <w:lang w:val="zh-CN" w:eastAsia="zh-CN" w:bidi="ar-SA"/>
        </w:rPr>
        <w:t>.</w:t>
      </w:r>
      <w:r>
        <w:rPr>
          <w:rFonts w:hint="default" w:ascii="Times New Roman" w:hAnsi="Times New Roman" w:eastAsia="仿宋_GB2312" w:cs="Times New Roman"/>
          <w:color w:val="auto"/>
          <w:spacing w:val="0"/>
          <w:kern w:val="2"/>
          <w:sz w:val="32"/>
          <w:szCs w:val="32"/>
          <w:highlight w:val="none"/>
          <w:lang w:val="zh-CN" w:eastAsia="zh-CN" w:bidi="ar-SA"/>
        </w:rPr>
        <w:t>住房保障支出（类）904.17万元，占4.78%</w:t>
      </w:r>
      <w:r>
        <w:rPr>
          <w:rFonts w:hint="eastAsia" w:eastAsia="仿宋_GB2312" w:cs="Times New Roman"/>
          <w:color w:val="auto"/>
          <w:spacing w:val="0"/>
          <w:kern w:val="2"/>
          <w:sz w:val="32"/>
          <w:szCs w:val="32"/>
          <w:highlight w:val="none"/>
          <w:lang w:val="zh-CN" w:eastAsia="zh-CN" w:bidi="ar-SA"/>
        </w:rPr>
        <w:t>。</w:t>
      </w:r>
    </w:p>
    <w:p w14:paraId="4A46306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0226481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1.卫生健康支出（类）行政事业单位医疗（款）事业单位医疗（项）</w:t>
      </w:r>
      <w:r>
        <w:rPr>
          <w:rFonts w:hint="eastAsia"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支出决算数为574.83万元，比上年决算增加51.25万元，增长9.79%，主要原因是：</w:t>
      </w:r>
      <w:r>
        <w:rPr>
          <w:rFonts w:hint="default" w:ascii="Times New Roman" w:hAnsi="Times New Roman" w:eastAsia="仿宋_GB2312" w:cs="Times New Roman"/>
          <w:sz w:val="32"/>
          <w:szCs w:val="32"/>
          <w:highlight w:val="none"/>
        </w:rPr>
        <w:t>工资调整，导致本年社会保障缴费基数增加、社会保障缴费支出增加</w:t>
      </w:r>
      <w:r>
        <w:rPr>
          <w:rFonts w:hint="default" w:ascii="Times New Roman" w:hAnsi="Times New Roman" w:eastAsia="仿宋_GB2312" w:cs="Times New Roman"/>
          <w:color w:val="auto"/>
          <w:kern w:val="2"/>
          <w:sz w:val="32"/>
          <w:szCs w:val="32"/>
          <w:highlight w:val="none"/>
          <w:lang w:val="zh-CN" w:eastAsia="zh-CN" w:bidi="ar-SA"/>
        </w:rPr>
        <w:t>。</w:t>
      </w:r>
    </w:p>
    <w:p w14:paraId="697472D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2.卫生健康支出（类）行政事业单位医疗（款）公务员医疗补助（项）</w:t>
      </w:r>
      <w:r>
        <w:rPr>
          <w:rFonts w:hint="eastAsia"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支出决算数为533.13万元，比上年决算增加125.90万元，增长30.92%，主要原因是</w:t>
      </w:r>
      <w:r>
        <w:rPr>
          <w:rFonts w:hint="eastAsia"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sz w:val="32"/>
          <w:szCs w:val="32"/>
          <w:highlight w:val="none"/>
        </w:rPr>
        <w:t>工资调整，导致本年社会保障缴费基数增加、社会保障缴费支出增加</w:t>
      </w:r>
      <w:r>
        <w:rPr>
          <w:rFonts w:hint="default" w:ascii="Times New Roman" w:hAnsi="Times New Roman" w:eastAsia="仿宋_GB2312" w:cs="Times New Roman"/>
          <w:color w:val="auto"/>
          <w:kern w:val="2"/>
          <w:sz w:val="32"/>
          <w:szCs w:val="32"/>
          <w:highlight w:val="none"/>
          <w:lang w:val="zh-CN" w:eastAsia="zh-CN" w:bidi="ar-SA"/>
        </w:rPr>
        <w:t>。</w:t>
      </w:r>
    </w:p>
    <w:p w14:paraId="4D1A645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3.交通运输支出（类）公路水路运输（款）公路养护（项）:支出决算数为12,543.90万元，比上年决算减少1,432.99万元，下降10.25%，主要原因是：</w:t>
      </w:r>
      <w:r>
        <w:rPr>
          <w:rFonts w:hint="default" w:ascii="Times New Roman" w:hAnsi="Times New Roman" w:eastAsia="仿宋_GB2312" w:cs="Times New Roman"/>
          <w:color w:val="auto"/>
          <w:spacing w:val="0"/>
          <w:sz w:val="32"/>
          <w:szCs w:val="32"/>
          <w:highlight w:val="none"/>
          <w:lang w:val="en-US" w:eastAsia="zh-CN"/>
        </w:rPr>
        <w:t>根据财政批复，本年项目支出中公路日常养护、公路运营管理、中央资金项目均比上年减少。</w:t>
      </w:r>
    </w:p>
    <w:p w14:paraId="6B40667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4.交通运输支出（类）车辆购置税支出（款）车辆购置税用于公路等基础设施建设支出（项）</w:t>
      </w:r>
      <w:r>
        <w:rPr>
          <w:rFonts w:hint="eastAsia"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支出决算数为90.00万元，比上年决算减少269.00万元，下降74.93%，主要原因是：</w:t>
      </w:r>
      <w:r>
        <w:rPr>
          <w:rFonts w:hint="default" w:ascii="Times New Roman" w:hAnsi="Times New Roman" w:eastAsia="仿宋_GB2312" w:cs="Times New Roman"/>
          <w:color w:val="auto"/>
          <w:spacing w:val="0"/>
          <w:sz w:val="32"/>
          <w:szCs w:val="32"/>
          <w:highlight w:val="none"/>
          <w:lang w:val="en-US" w:eastAsia="zh-CN"/>
        </w:rPr>
        <w:t>根据财政批复，2023年车辆购置税收入补助地方用于公路灾损抢修保通项目批复项目资金</w:t>
      </w:r>
      <w:r>
        <w:rPr>
          <w:rFonts w:hint="eastAsia" w:eastAsia="仿宋_GB2312" w:cs="Times New Roman"/>
          <w:color w:val="auto"/>
          <w:spacing w:val="0"/>
          <w:sz w:val="32"/>
          <w:szCs w:val="32"/>
          <w:highlight w:val="none"/>
          <w:lang w:val="en-US" w:eastAsia="zh-CN"/>
        </w:rPr>
        <w:t>减少</w:t>
      </w:r>
      <w:r>
        <w:rPr>
          <w:rFonts w:hint="default" w:ascii="Times New Roman" w:hAnsi="Times New Roman" w:eastAsia="仿宋_GB2312" w:cs="Times New Roman"/>
          <w:color w:val="auto"/>
          <w:kern w:val="2"/>
          <w:sz w:val="32"/>
          <w:szCs w:val="32"/>
          <w:highlight w:val="none"/>
          <w:lang w:val="zh-CN" w:eastAsia="zh-CN" w:bidi="ar-SA"/>
        </w:rPr>
        <w:t>。</w:t>
      </w:r>
    </w:p>
    <w:p w14:paraId="252A3EB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5.住房保障支出（类）住房改革支出（款）住房公积金（项）</w:t>
      </w:r>
      <w:r>
        <w:rPr>
          <w:rFonts w:hint="eastAsia"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支出决算数为904.17万元，比上年决算增加176.93万元，增长24.33%，主要原因是：</w:t>
      </w:r>
      <w:r>
        <w:rPr>
          <w:rFonts w:hint="default" w:ascii="Times New Roman" w:hAnsi="Times New Roman" w:eastAsia="仿宋_GB2312" w:cs="Times New Roman"/>
          <w:sz w:val="32"/>
          <w:szCs w:val="32"/>
          <w:highlight w:val="none"/>
          <w:lang w:val="en-US" w:eastAsia="zh-CN"/>
        </w:rPr>
        <w:t>人员</w:t>
      </w:r>
      <w:r>
        <w:rPr>
          <w:rFonts w:hint="default" w:ascii="Times New Roman" w:hAnsi="Times New Roman" w:eastAsia="仿宋_GB2312" w:cs="Times New Roman"/>
          <w:sz w:val="32"/>
          <w:szCs w:val="32"/>
          <w:highlight w:val="none"/>
        </w:rPr>
        <w:t>工资</w:t>
      </w:r>
      <w:r>
        <w:rPr>
          <w:rFonts w:hint="default" w:ascii="Times New Roman" w:hAnsi="Times New Roman" w:eastAsia="仿宋_GB2312" w:cs="Times New Roman"/>
          <w:sz w:val="32"/>
          <w:szCs w:val="32"/>
          <w:highlight w:val="none"/>
          <w:lang w:val="en-US" w:eastAsia="zh-CN"/>
        </w:rPr>
        <w:t>增加</w:t>
      </w:r>
      <w:r>
        <w:rPr>
          <w:rFonts w:hint="default" w:ascii="Times New Roman" w:hAnsi="Times New Roman" w:eastAsia="仿宋_GB2312" w:cs="Times New Roman"/>
          <w:sz w:val="32"/>
          <w:szCs w:val="32"/>
          <w:highlight w:val="none"/>
        </w:rPr>
        <w:t>，导致本年</w:t>
      </w:r>
      <w:r>
        <w:rPr>
          <w:rFonts w:hint="default" w:ascii="Times New Roman" w:hAnsi="Times New Roman" w:eastAsia="仿宋_GB2312" w:cs="Times New Roman"/>
          <w:sz w:val="32"/>
          <w:szCs w:val="32"/>
          <w:highlight w:val="none"/>
          <w:lang w:val="en-US" w:eastAsia="zh-CN"/>
        </w:rPr>
        <w:t>住房公积金</w:t>
      </w:r>
      <w:r>
        <w:rPr>
          <w:rFonts w:hint="default" w:ascii="Times New Roman" w:hAnsi="Times New Roman" w:eastAsia="仿宋_GB2312" w:cs="Times New Roman"/>
          <w:sz w:val="32"/>
          <w:szCs w:val="32"/>
          <w:highlight w:val="none"/>
        </w:rPr>
        <w:t>缴费基数增加、</w:t>
      </w:r>
      <w:r>
        <w:rPr>
          <w:rFonts w:hint="default" w:ascii="Times New Roman" w:hAnsi="Times New Roman" w:eastAsia="仿宋_GB2312" w:cs="Times New Roman"/>
          <w:sz w:val="32"/>
          <w:szCs w:val="32"/>
          <w:highlight w:val="none"/>
          <w:lang w:val="en-US" w:eastAsia="zh-CN"/>
        </w:rPr>
        <w:t>住房公积金</w:t>
      </w:r>
      <w:r>
        <w:rPr>
          <w:rFonts w:hint="default" w:ascii="Times New Roman" w:hAnsi="Times New Roman" w:eastAsia="仿宋_GB2312" w:cs="Times New Roman"/>
          <w:sz w:val="32"/>
          <w:szCs w:val="32"/>
          <w:highlight w:val="none"/>
        </w:rPr>
        <w:t>缴费支出增加</w:t>
      </w:r>
      <w:r>
        <w:rPr>
          <w:rFonts w:hint="default" w:ascii="Times New Roman" w:hAnsi="Times New Roman" w:eastAsia="仿宋_GB2312" w:cs="Times New Roman"/>
          <w:color w:val="auto"/>
          <w:kern w:val="2"/>
          <w:sz w:val="32"/>
          <w:szCs w:val="32"/>
          <w:highlight w:val="none"/>
          <w:lang w:val="zh-CN" w:eastAsia="zh-CN" w:bidi="ar-SA"/>
        </w:rPr>
        <w:t>。</w:t>
      </w:r>
    </w:p>
    <w:p w14:paraId="0F6DAEC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6.社会保障和就业支出（类）行政事业单位养老支出（款）事业单位离退休（项）</w:t>
      </w:r>
      <w:r>
        <w:rPr>
          <w:rFonts w:hint="eastAsia"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支出决算数为2,891.53万元，比上年决算减少39.34万元，下降1.34%，主要原因是：本年</w:t>
      </w:r>
      <w:r>
        <w:rPr>
          <w:rFonts w:hint="default" w:ascii="Times New Roman" w:hAnsi="Times New Roman" w:eastAsia="仿宋_GB2312" w:cs="Times New Roman"/>
          <w:color w:val="auto"/>
          <w:spacing w:val="0"/>
          <w:sz w:val="32"/>
          <w:szCs w:val="32"/>
          <w:highlight w:val="none"/>
          <w:lang w:val="en-US" w:eastAsia="zh-CN"/>
        </w:rPr>
        <w:t>核减退休人员医疗费。</w:t>
      </w:r>
    </w:p>
    <w:p w14:paraId="19F33D1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7.社会保障和就业支出（类）行政事业单位养老支出（款）机关事业单位职业年金缴费支出（项）</w:t>
      </w:r>
      <w:r>
        <w:rPr>
          <w:rFonts w:hint="eastAsia"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支出决算数为153.24万元，比上年决算增加68.55万元，增长80.93%，主要原因是：本年在职转退休人员增加，导致职业年金缴费增加</w:t>
      </w:r>
      <w:r>
        <w:rPr>
          <w:rFonts w:hint="default" w:ascii="Times New Roman" w:hAnsi="Times New Roman" w:eastAsia="仿宋_GB2312" w:cs="Times New Roman"/>
          <w:color w:val="auto"/>
          <w:kern w:val="2"/>
          <w:sz w:val="32"/>
          <w:szCs w:val="32"/>
          <w:highlight w:val="none"/>
          <w:lang w:val="zh-CN" w:eastAsia="zh-CN" w:bidi="ar-SA"/>
        </w:rPr>
        <w:t>。</w:t>
      </w:r>
    </w:p>
    <w:p w14:paraId="11AEBE6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8.社会保障和就业支出（类）行政事业单位养老支出（款）机关事业单位基本养老保险缴费支出（项）</w:t>
      </w:r>
      <w:r>
        <w:rPr>
          <w:rFonts w:hint="eastAsia"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支出决算数为1,216.74万元，比上年决算增加247.10万元，增长25.48%，主要原因是：</w:t>
      </w:r>
      <w:r>
        <w:rPr>
          <w:rFonts w:hint="default" w:ascii="Times New Roman" w:hAnsi="Times New Roman" w:eastAsia="仿宋_GB2312" w:cs="Times New Roman"/>
          <w:sz w:val="32"/>
          <w:szCs w:val="32"/>
          <w:highlight w:val="none"/>
        </w:rPr>
        <w:t>工资调整，导致本年社会保障缴费基数增加、社会保障缴费支出增加</w:t>
      </w:r>
      <w:r>
        <w:rPr>
          <w:rFonts w:hint="default" w:ascii="Times New Roman" w:hAnsi="Times New Roman" w:eastAsia="仿宋_GB2312" w:cs="Times New Roman"/>
          <w:color w:val="auto"/>
          <w:kern w:val="2"/>
          <w:sz w:val="32"/>
          <w:szCs w:val="32"/>
          <w:highlight w:val="none"/>
          <w:lang w:val="zh-CN" w:eastAsia="zh-CN" w:bidi="ar-SA"/>
        </w:rPr>
        <w:t>。</w:t>
      </w:r>
    </w:p>
    <w:p w14:paraId="2D657E8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65EA1392">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eastAsia="zh-CN"/>
        </w:rPr>
        <w:t>2023年度</w:t>
      </w:r>
      <w:r>
        <w:rPr>
          <w:rFonts w:hint="default" w:ascii="Times New Roman" w:hAnsi="Times New Roman" w:eastAsia="仿宋_GB2312" w:cs="Times New Roman"/>
          <w:color w:val="auto"/>
          <w:sz w:val="32"/>
          <w:szCs w:val="32"/>
          <w:highlight w:val="none"/>
        </w:rPr>
        <w:t>一般公共预算财政拨款基本支出</w:t>
      </w:r>
      <w:r>
        <w:rPr>
          <w:rFonts w:hint="default" w:ascii="Times New Roman" w:hAnsi="Times New Roman" w:eastAsia="仿宋_GB2312" w:cs="Times New Roman"/>
          <w:color w:val="auto"/>
          <w:sz w:val="32"/>
          <w:szCs w:val="32"/>
          <w:highlight w:val="none"/>
          <w:lang w:eastAsia="zh-CN"/>
        </w:rPr>
        <w:t>17,000.63</w:t>
      </w:r>
      <w:r>
        <w:rPr>
          <w:rFonts w:hint="default" w:ascii="Times New Roman" w:hAnsi="Times New Roman" w:eastAsia="仿宋_GB2312" w:cs="Times New Roman"/>
          <w:color w:val="auto"/>
          <w:sz w:val="32"/>
          <w:szCs w:val="32"/>
          <w:highlight w:val="none"/>
        </w:rPr>
        <w:t>万元，其中：人员经费</w:t>
      </w:r>
      <w:r>
        <w:rPr>
          <w:rFonts w:hint="default" w:ascii="Times New Roman" w:hAnsi="Times New Roman" w:eastAsia="仿宋_GB2312" w:cs="Times New Roman"/>
          <w:color w:val="auto"/>
          <w:sz w:val="32"/>
          <w:szCs w:val="32"/>
          <w:highlight w:val="none"/>
          <w:lang w:eastAsia="zh-CN"/>
        </w:rPr>
        <w:t>15,115.98</w:t>
      </w:r>
      <w:r>
        <w:rPr>
          <w:rFonts w:hint="default" w:ascii="Times New Roman" w:hAnsi="Times New Roman" w:eastAsia="仿宋_GB2312" w:cs="Times New Roman"/>
          <w:color w:val="auto"/>
          <w:sz w:val="32"/>
          <w:szCs w:val="32"/>
          <w:highlight w:val="none"/>
        </w:rPr>
        <w:t>万元，包括：</w:t>
      </w:r>
      <w:r>
        <w:rPr>
          <w:rFonts w:hint="default" w:ascii="Times New Roman" w:hAnsi="Times New Roman" w:eastAsia="仿宋_GB2312" w:cs="Times New Roman"/>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其他工资福利支出、离休费、退休费、抚恤金、生活补助、医疗费补助、奖励金、其他对个人和家庭的补助。</w:t>
      </w:r>
    </w:p>
    <w:p w14:paraId="72D4B6DD">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red"/>
          <w:lang w:val="en-US" w:eastAsia="zh-CN"/>
        </w:rPr>
      </w:pPr>
      <w:r>
        <w:rPr>
          <w:rFonts w:hint="default" w:ascii="Times New Roman" w:hAnsi="Times New Roman" w:eastAsia="仿宋_GB2312" w:cs="Times New Roman"/>
          <w:color w:val="auto"/>
          <w:sz w:val="32"/>
          <w:szCs w:val="32"/>
          <w:highlight w:val="none"/>
        </w:rPr>
        <w:t>公用经费</w:t>
      </w:r>
      <w:r>
        <w:rPr>
          <w:rFonts w:hint="default" w:ascii="Times New Roman" w:hAnsi="Times New Roman" w:eastAsia="仿宋_GB2312" w:cs="Times New Roman"/>
          <w:color w:val="auto"/>
          <w:sz w:val="32"/>
          <w:szCs w:val="32"/>
          <w:highlight w:val="none"/>
          <w:lang w:eastAsia="zh-CN"/>
        </w:rPr>
        <w:t>1,884.65</w:t>
      </w:r>
      <w:r>
        <w:rPr>
          <w:rFonts w:hint="default" w:ascii="Times New Roman" w:hAnsi="Times New Roman" w:eastAsia="仿宋_GB2312" w:cs="Times New Roman"/>
          <w:color w:val="auto"/>
          <w:sz w:val="32"/>
          <w:szCs w:val="32"/>
          <w:highlight w:val="none"/>
        </w:rPr>
        <w:t>万元，包括：</w:t>
      </w:r>
      <w:r>
        <w:rPr>
          <w:rFonts w:hint="default" w:ascii="Times New Roman" w:hAnsi="Times New Roman" w:eastAsia="仿宋_GB2312" w:cs="Times New Roman"/>
          <w:color w:val="auto"/>
          <w:sz w:val="32"/>
          <w:szCs w:val="32"/>
          <w:highlight w:val="none"/>
          <w:lang w:val="en-US" w:eastAsia="zh-CN"/>
        </w:rPr>
        <w:t>办公费、水费、电费、邮电费、取暖费、差旅费、劳务费、工会经费、福利费、公务用车运行维护费、其他商品和服务支出。</w:t>
      </w:r>
    </w:p>
    <w:p w14:paraId="52AB7F5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46CB0920">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2023年度</w:t>
      </w:r>
      <w:r>
        <w:rPr>
          <w:rFonts w:hint="default" w:ascii="Times New Roman" w:hAnsi="Times New Roman" w:eastAsia="仿宋_GB2312" w:cs="Times New Roman"/>
          <w:color w:val="auto"/>
          <w:sz w:val="32"/>
          <w:szCs w:val="32"/>
          <w:highlight w:val="none"/>
          <w:lang w:val="en-US" w:eastAsia="zh-CN"/>
        </w:rPr>
        <w:t>财政拨款</w:t>
      </w:r>
      <w:r>
        <w:rPr>
          <w:rFonts w:hint="default" w:ascii="Times New Roman" w:hAnsi="Times New Roman" w:eastAsia="仿宋_GB2312" w:cs="Times New Roman"/>
          <w:color w:val="auto"/>
          <w:sz w:val="32"/>
          <w:szCs w:val="32"/>
          <w:highlight w:val="none"/>
          <w:lang w:val="zh-CN" w:eastAsia="zh-CN"/>
        </w:rPr>
        <w:t>“三公”经费支出119.70万元，</w:t>
      </w:r>
      <w:r>
        <w:rPr>
          <w:rFonts w:hint="default" w:ascii="Times New Roman" w:hAnsi="Times New Roman" w:eastAsia="仿宋_GB2312" w:cs="Times New Roman"/>
          <w:color w:val="auto"/>
          <w:sz w:val="32"/>
          <w:szCs w:val="32"/>
          <w:highlight w:val="none"/>
          <w:lang w:val="en-US" w:eastAsia="zh-CN"/>
        </w:rPr>
        <w:t>比上年</w:t>
      </w:r>
      <w:r>
        <w:rPr>
          <w:rFonts w:hint="default" w:ascii="Times New Roman" w:hAnsi="Times New Roman" w:eastAsia="仿宋_GB2312" w:cs="Times New Roman"/>
          <w:color w:val="auto"/>
          <w:sz w:val="32"/>
          <w:szCs w:val="32"/>
          <w:highlight w:val="none"/>
          <w:lang w:val="zh-CN" w:eastAsia="zh-CN"/>
        </w:rPr>
        <w:t>减少0.33万元，下降0.28%，主要原因是：</w:t>
      </w:r>
      <w:r>
        <w:rPr>
          <w:rFonts w:hint="default" w:ascii="Times New Roman" w:hAnsi="Times New Roman" w:eastAsia="仿宋_GB2312" w:cs="Times New Roman"/>
          <w:color w:val="auto"/>
          <w:sz w:val="32"/>
          <w:szCs w:val="32"/>
          <w:highlight w:val="none"/>
          <w:lang w:val="en-US" w:eastAsia="zh-CN"/>
        </w:rPr>
        <w:t>根据厉行节约要求，控制“三公”经费支出</w:t>
      </w:r>
      <w:r>
        <w:rPr>
          <w:rFonts w:hint="default" w:ascii="Times New Roman" w:hAnsi="Times New Roman" w:eastAsia="仿宋_GB2312" w:cs="Times New Roman"/>
          <w:color w:val="auto"/>
          <w:sz w:val="32"/>
          <w:szCs w:val="32"/>
          <w:highlight w:val="none"/>
          <w:lang w:val="zh-CN" w:eastAsia="zh-CN"/>
        </w:rPr>
        <w:t>。其中：因公出国（境）费支出0.00万元，占0.00%，比上年增加0.00万元，增长0.00%，主要原因是：</w:t>
      </w:r>
      <w:r>
        <w:rPr>
          <w:rFonts w:hint="default" w:ascii="Times New Roman" w:hAnsi="Times New Roman" w:eastAsia="仿宋_GB2312" w:cs="Times New Roman"/>
          <w:sz w:val="32"/>
          <w:szCs w:val="32"/>
          <w:highlight w:val="none"/>
        </w:rPr>
        <w:t>我单位无因公出国（境）费</w:t>
      </w:r>
      <w:r>
        <w:rPr>
          <w:rFonts w:hint="default" w:ascii="Times New Roman" w:hAnsi="Times New Roman" w:eastAsia="仿宋_GB2312" w:cs="Times New Roman"/>
          <w:color w:val="auto"/>
          <w:sz w:val="32"/>
          <w:szCs w:val="32"/>
          <w:highlight w:val="none"/>
          <w:lang w:val="zh-CN" w:eastAsia="zh-CN"/>
        </w:rPr>
        <w:t>；公务用车购置及运行维护费支出119.70万元，占100.00%，比上年减少0.33万元，下降0.28%，主要原因是：</w:t>
      </w:r>
      <w:r>
        <w:rPr>
          <w:rFonts w:hint="default" w:ascii="Times New Roman" w:hAnsi="Times New Roman" w:eastAsia="仿宋_GB2312" w:cs="Times New Roman"/>
          <w:color w:val="auto"/>
          <w:sz w:val="32"/>
          <w:szCs w:val="32"/>
          <w:highlight w:val="none"/>
          <w:lang w:val="en-US" w:eastAsia="zh-CN"/>
        </w:rPr>
        <w:t>根据厉行节约要求，控制“三公”经费支出</w:t>
      </w:r>
      <w:r>
        <w:rPr>
          <w:rFonts w:hint="default" w:ascii="Times New Roman" w:hAnsi="Times New Roman" w:eastAsia="仿宋_GB2312" w:cs="Times New Roman"/>
          <w:color w:val="auto"/>
          <w:sz w:val="32"/>
          <w:szCs w:val="32"/>
          <w:highlight w:val="none"/>
          <w:lang w:val="zh-CN" w:eastAsia="zh-CN"/>
        </w:rPr>
        <w:t>；公务接待费支出0.00万元，占0.00%，比上年增加0.00万元，增长0.00%，主要原因是：</w:t>
      </w:r>
      <w:r>
        <w:rPr>
          <w:rFonts w:hint="default" w:ascii="Times New Roman" w:hAnsi="Times New Roman" w:eastAsia="仿宋_GB2312" w:cs="Times New Roman"/>
          <w:color w:val="auto"/>
          <w:sz w:val="32"/>
          <w:szCs w:val="32"/>
          <w:highlight w:val="none"/>
          <w:lang w:val="en-US" w:eastAsia="zh-CN"/>
        </w:rPr>
        <w:t>我单位无公务接待费支出</w:t>
      </w:r>
      <w:r>
        <w:rPr>
          <w:rFonts w:hint="default" w:ascii="Times New Roman" w:hAnsi="Times New Roman" w:eastAsia="仿宋_GB2312" w:cs="Times New Roman"/>
          <w:color w:val="auto"/>
          <w:sz w:val="32"/>
          <w:szCs w:val="32"/>
          <w:highlight w:val="none"/>
          <w:lang w:val="zh-CN" w:eastAsia="zh-CN"/>
        </w:rPr>
        <w:t>。</w:t>
      </w:r>
    </w:p>
    <w:p w14:paraId="17CF3EA2">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具体情况如下：</w:t>
      </w:r>
    </w:p>
    <w:p w14:paraId="0FA6D92B">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因公出国（境）费支出0.00万元，</w:t>
      </w:r>
      <w:r>
        <w:rPr>
          <w:rFonts w:hint="default" w:ascii="Times New Roman" w:hAnsi="Times New Roman" w:eastAsia="仿宋_GB2312" w:cs="Times New Roman"/>
          <w:sz w:val="32"/>
          <w:szCs w:val="32"/>
          <w:highlight w:val="none"/>
        </w:rPr>
        <w:t>我单位无因公出国（境）费</w:t>
      </w:r>
      <w:r>
        <w:rPr>
          <w:rFonts w:hint="default" w:ascii="Times New Roman" w:hAnsi="Times New Roman" w:eastAsia="仿宋_GB2312" w:cs="Times New Roman"/>
          <w:sz w:val="32"/>
          <w:szCs w:val="32"/>
          <w:highlight w:val="none"/>
          <w:lang w:val="en-US" w:eastAsia="zh-CN"/>
        </w:rPr>
        <w:t>开支</w:t>
      </w:r>
      <w:r>
        <w:rPr>
          <w:rFonts w:hint="default" w:ascii="Times New Roman" w:hAnsi="Times New Roman" w:eastAsia="仿宋_GB2312" w:cs="Times New Roman"/>
          <w:color w:val="auto"/>
          <w:sz w:val="32"/>
          <w:szCs w:val="32"/>
          <w:highlight w:val="none"/>
          <w:lang w:val="zh-CN" w:eastAsia="zh-CN"/>
        </w:rPr>
        <w:t>。单位全年安排的因公出国（境）团组0个，因公出国（境）0人次。</w:t>
      </w:r>
    </w:p>
    <w:p w14:paraId="7A4F9251">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zh-CN" w:eastAsia="zh-CN"/>
        </w:rPr>
        <w:t>公务用车购置及运行维护费119.70万元，其中：公务用车购置费0.00万元，公务用车运行维护费119.70万元。公务用车运行维护费开支内容包括</w:t>
      </w:r>
      <w:r>
        <w:rPr>
          <w:rFonts w:hint="default" w:ascii="Times New Roman" w:hAnsi="Times New Roman" w:eastAsia="仿宋_GB2312" w:cs="Times New Roman"/>
          <w:sz w:val="32"/>
          <w:szCs w:val="32"/>
          <w:highlight w:val="none"/>
        </w:rPr>
        <w:t>车</w:t>
      </w:r>
      <w:r>
        <w:rPr>
          <w:rFonts w:hint="default" w:ascii="Times New Roman" w:hAnsi="Times New Roman" w:eastAsia="仿宋_GB2312" w:cs="Times New Roman"/>
          <w:sz w:val="32"/>
          <w:szCs w:val="32"/>
          <w:highlight w:val="none"/>
          <w:lang w:val="en-US" w:eastAsia="zh-CN"/>
        </w:rPr>
        <w:t>辆</w:t>
      </w:r>
      <w:r>
        <w:rPr>
          <w:rFonts w:hint="default" w:ascii="Times New Roman" w:hAnsi="Times New Roman" w:eastAsia="仿宋_GB2312" w:cs="Times New Roman"/>
          <w:sz w:val="32"/>
          <w:szCs w:val="32"/>
          <w:highlight w:val="none"/>
        </w:rPr>
        <w:t>保险</w:t>
      </w:r>
      <w:r>
        <w:rPr>
          <w:rFonts w:hint="default" w:ascii="Times New Roman" w:hAnsi="Times New Roman" w:eastAsia="仿宋_GB2312" w:cs="Times New Roman"/>
          <w:sz w:val="32"/>
          <w:szCs w:val="32"/>
          <w:highlight w:val="none"/>
          <w:lang w:val="en-US" w:eastAsia="zh-CN"/>
        </w:rPr>
        <w:t>费</w:t>
      </w:r>
      <w:r>
        <w:rPr>
          <w:rFonts w:hint="default" w:ascii="Times New Roman" w:hAnsi="Times New Roman" w:eastAsia="仿宋_GB2312" w:cs="Times New Roman"/>
          <w:sz w:val="32"/>
          <w:szCs w:val="32"/>
          <w:highlight w:val="none"/>
        </w:rPr>
        <w:t>、车辆维修和保养</w:t>
      </w:r>
      <w:r>
        <w:rPr>
          <w:rFonts w:hint="default" w:ascii="Times New Roman" w:hAnsi="Times New Roman" w:eastAsia="仿宋_GB2312" w:cs="Times New Roman"/>
          <w:sz w:val="32"/>
          <w:szCs w:val="32"/>
          <w:highlight w:val="none"/>
          <w:lang w:val="en-US" w:eastAsia="zh-CN"/>
        </w:rPr>
        <w:t>费</w:t>
      </w:r>
      <w:r>
        <w:rPr>
          <w:rFonts w:hint="default" w:ascii="Times New Roman" w:hAnsi="Times New Roman" w:eastAsia="仿宋_GB2312" w:cs="Times New Roman"/>
          <w:sz w:val="32"/>
          <w:szCs w:val="32"/>
          <w:highlight w:val="none"/>
        </w:rPr>
        <w:t>、车辆加油</w:t>
      </w:r>
      <w:r>
        <w:rPr>
          <w:rFonts w:hint="default" w:ascii="Times New Roman" w:hAnsi="Times New Roman" w:eastAsia="仿宋_GB2312" w:cs="Times New Roman"/>
          <w:sz w:val="32"/>
          <w:szCs w:val="32"/>
          <w:highlight w:val="none"/>
          <w:lang w:val="en-US" w:eastAsia="zh-CN"/>
        </w:rPr>
        <w:t>费</w:t>
      </w:r>
      <w:r>
        <w:rPr>
          <w:rFonts w:hint="default" w:ascii="Times New Roman" w:hAnsi="Times New Roman" w:eastAsia="仿宋_GB2312" w:cs="Times New Roman"/>
          <w:color w:val="auto"/>
          <w:sz w:val="32"/>
          <w:szCs w:val="32"/>
          <w:highlight w:val="none"/>
          <w:lang w:val="zh-CN" w:eastAsia="zh-CN"/>
        </w:rPr>
        <w:t>。公务用车购置数0辆，公务用车保有量77辆。国有资产占用情况</w:t>
      </w:r>
      <w:r>
        <w:rPr>
          <w:rFonts w:hint="default" w:ascii="Times New Roman" w:hAnsi="Times New Roman" w:eastAsia="仿宋_GB2312" w:cs="Times New Roman"/>
          <w:color w:val="auto"/>
          <w:sz w:val="32"/>
          <w:szCs w:val="32"/>
          <w:highlight w:val="none"/>
          <w:lang w:val="en-US" w:eastAsia="zh-CN"/>
        </w:rPr>
        <w:t>中固定资产车辆</w:t>
      </w:r>
      <w:r>
        <w:rPr>
          <w:rFonts w:hint="default" w:ascii="Times New Roman" w:hAnsi="Times New Roman" w:eastAsia="仿宋_GB2312" w:cs="Times New Roman"/>
          <w:color w:val="auto"/>
          <w:sz w:val="32"/>
          <w:szCs w:val="32"/>
          <w:highlight w:val="none"/>
          <w:lang w:val="zh-CN" w:eastAsia="zh-CN"/>
        </w:rPr>
        <w:t>124辆，</w:t>
      </w:r>
      <w:r>
        <w:rPr>
          <w:rFonts w:hint="default" w:ascii="Times New Roman" w:hAnsi="Times New Roman" w:eastAsia="仿宋_GB2312" w:cs="Times New Roman"/>
          <w:color w:val="auto"/>
          <w:sz w:val="32"/>
          <w:szCs w:val="32"/>
          <w:highlight w:val="none"/>
          <w:lang w:val="en-US" w:eastAsia="zh-CN"/>
        </w:rPr>
        <w:t>与</w:t>
      </w:r>
      <w:r>
        <w:rPr>
          <w:rFonts w:hint="default" w:ascii="Times New Roman" w:hAnsi="Times New Roman" w:eastAsia="仿宋_GB2312" w:cs="Times New Roman"/>
          <w:color w:val="auto"/>
          <w:sz w:val="32"/>
          <w:szCs w:val="32"/>
          <w:highlight w:val="none"/>
          <w:lang w:val="zh-CN" w:eastAsia="zh-CN"/>
        </w:rPr>
        <w:t>公务用车</w:t>
      </w:r>
      <w:r>
        <w:rPr>
          <w:rFonts w:hint="default" w:ascii="Times New Roman" w:hAnsi="Times New Roman" w:eastAsia="仿宋_GB2312" w:cs="Times New Roman"/>
          <w:color w:val="auto"/>
          <w:sz w:val="32"/>
          <w:szCs w:val="32"/>
          <w:highlight w:val="none"/>
          <w:lang w:val="en-US" w:eastAsia="zh-CN"/>
        </w:rPr>
        <w:t>保有量差异</w:t>
      </w:r>
      <w:r>
        <w:rPr>
          <w:rFonts w:hint="default" w:ascii="Times New Roman" w:hAnsi="Times New Roman" w:eastAsia="仿宋_GB2312" w:cs="Times New Roman"/>
          <w:color w:val="auto"/>
          <w:sz w:val="32"/>
          <w:szCs w:val="32"/>
          <w:highlight w:val="none"/>
          <w:lang w:val="zh-CN" w:eastAsia="zh-CN"/>
        </w:rPr>
        <w:t>原因是：</w:t>
      </w:r>
      <w:r>
        <w:rPr>
          <w:rFonts w:hint="default" w:ascii="Times New Roman" w:hAnsi="Times New Roman" w:eastAsia="仿宋_GB2312" w:cs="Times New Roman"/>
          <w:color w:val="auto"/>
          <w:sz w:val="32"/>
          <w:szCs w:val="32"/>
          <w:highlight w:val="none"/>
          <w:lang w:val="en-US" w:eastAsia="zh-CN"/>
        </w:rPr>
        <w:t>我单位承担乌鲁木齐周边公路养护相关任务，因此固定资产车辆包含自卸车、洒水车、皮卡车、依维柯工程车</w:t>
      </w:r>
      <w:r>
        <w:rPr>
          <w:rFonts w:hint="eastAsia" w:eastAsia="仿宋_GB2312" w:cs="Times New Roman"/>
          <w:color w:val="auto"/>
          <w:sz w:val="32"/>
          <w:szCs w:val="32"/>
          <w:highlight w:val="none"/>
          <w:lang w:val="en-US" w:eastAsia="zh-CN"/>
        </w:rPr>
        <w:t>等</w:t>
      </w:r>
      <w:r>
        <w:rPr>
          <w:rFonts w:hint="default" w:ascii="Times New Roman" w:hAnsi="Times New Roman" w:eastAsia="仿宋_GB2312" w:cs="Times New Roman"/>
          <w:color w:val="auto"/>
          <w:sz w:val="32"/>
          <w:szCs w:val="32"/>
          <w:highlight w:val="none"/>
          <w:lang w:val="en-US" w:eastAsia="zh-CN"/>
        </w:rPr>
        <w:t>养护车辆及大型机械，不属于公务用车</w:t>
      </w:r>
      <w:r>
        <w:rPr>
          <w:rFonts w:hint="eastAsia" w:eastAsia="仿宋_GB2312" w:cs="Times New Roman"/>
          <w:color w:val="auto"/>
          <w:sz w:val="32"/>
          <w:szCs w:val="32"/>
          <w:highlight w:val="none"/>
          <w:lang w:val="en-US" w:eastAsia="zh-CN"/>
        </w:rPr>
        <w:t>，其中其他车辆经费从专项项目中列支</w:t>
      </w:r>
      <w:r>
        <w:rPr>
          <w:rFonts w:hint="default" w:ascii="Times New Roman" w:hAnsi="Times New Roman" w:eastAsia="仿宋_GB2312" w:cs="Times New Roman"/>
          <w:color w:val="auto"/>
          <w:sz w:val="32"/>
          <w:szCs w:val="32"/>
          <w:highlight w:val="none"/>
          <w:lang w:val="zh-CN" w:eastAsia="zh-CN"/>
        </w:rPr>
        <w:t>。</w:t>
      </w:r>
    </w:p>
    <w:p w14:paraId="542201F1">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公务接待费0.00万元，</w:t>
      </w:r>
      <w:r>
        <w:rPr>
          <w:rFonts w:hint="default" w:ascii="Times New Roman" w:hAnsi="Times New Roman" w:eastAsia="仿宋_GB2312" w:cs="Times New Roman"/>
          <w:sz w:val="32"/>
          <w:szCs w:val="32"/>
          <w:highlight w:val="none"/>
        </w:rPr>
        <w:t>我单位无</w:t>
      </w:r>
      <w:r>
        <w:rPr>
          <w:rFonts w:hint="default" w:ascii="Times New Roman" w:hAnsi="Times New Roman" w:eastAsia="仿宋_GB2312" w:cs="Times New Roman"/>
          <w:sz w:val="32"/>
          <w:szCs w:val="32"/>
          <w:highlight w:val="none"/>
          <w:lang w:val="en-US" w:eastAsia="zh-CN"/>
        </w:rPr>
        <w:t>公务接待费开支</w:t>
      </w:r>
      <w:r>
        <w:rPr>
          <w:rFonts w:hint="default" w:ascii="Times New Roman" w:hAnsi="Times New Roman" w:eastAsia="仿宋_GB2312" w:cs="Times New Roman"/>
          <w:color w:val="auto"/>
          <w:sz w:val="32"/>
          <w:szCs w:val="32"/>
          <w:highlight w:val="none"/>
          <w:lang w:val="zh-CN" w:eastAsia="zh-CN"/>
        </w:rPr>
        <w:t>。单位全年安排的国内公务接待0批次，0人次。</w:t>
      </w:r>
    </w:p>
    <w:p w14:paraId="00F725BE">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与</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val="zh-CN" w:eastAsia="zh-CN"/>
        </w:rPr>
        <w:t>预算相比</w:t>
      </w:r>
      <w:r>
        <w:rPr>
          <w:rFonts w:hint="eastAsia"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zh-CN" w:eastAsia="zh-CN"/>
        </w:rPr>
        <w:t>财政拨款“三公”经费支出</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val="zh-CN" w:eastAsia="zh-CN"/>
        </w:rPr>
        <w:t>预算数119.70万元，决算数119.70万元，预决算差异率0.00%，</w:t>
      </w:r>
      <w:r>
        <w:rPr>
          <w:rFonts w:hint="default" w:ascii="Times New Roman" w:hAnsi="Times New Roman" w:eastAsia="仿宋_GB2312" w:cs="Times New Roman"/>
          <w:sz w:val="32"/>
          <w:szCs w:val="32"/>
          <w:highlight w:val="none"/>
        </w:rPr>
        <w:t>我单位严格按照预算执行，无预决算差异</w:t>
      </w:r>
      <w:r>
        <w:rPr>
          <w:rFonts w:hint="eastAsia" w:eastAsia="仿宋_GB2312" w:cs="Times New Roman"/>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其中：因公出国（境）费</w:t>
      </w:r>
      <w:r>
        <w:rPr>
          <w:rFonts w:hint="default" w:ascii="Times New Roman" w:hAnsi="Times New Roman" w:eastAsia="仿宋_GB2312" w:cs="Times New Roman"/>
          <w:color w:val="auto"/>
          <w:sz w:val="32"/>
          <w:szCs w:val="32"/>
          <w:highlight w:val="none"/>
          <w:lang w:val="en-US" w:eastAsia="zh-CN"/>
        </w:rPr>
        <w:t>全年预算数</w:t>
      </w:r>
      <w:r>
        <w:rPr>
          <w:rFonts w:hint="default" w:ascii="Times New Roman" w:hAnsi="Times New Roman" w:eastAsia="仿宋_GB2312" w:cs="Times New Roman"/>
          <w:color w:val="auto"/>
          <w:sz w:val="32"/>
          <w:szCs w:val="32"/>
          <w:highlight w:val="none"/>
          <w:lang w:val="zh-CN" w:eastAsia="zh-CN"/>
        </w:rPr>
        <w:t>0.00万元，决算数0.00万元，预决算差异率0.00%，主要原因是：</w:t>
      </w:r>
      <w:r>
        <w:rPr>
          <w:rFonts w:hint="default" w:ascii="Times New Roman" w:hAnsi="Times New Roman" w:eastAsia="仿宋_GB2312" w:cs="Times New Roman"/>
          <w:sz w:val="32"/>
          <w:szCs w:val="32"/>
          <w:highlight w:val="none"/>
        </w:rPr>
        <w:t>我单位无因公出国（境）费</w:t>
      </w:r>
      <w:r>
        <w:rPr>
          <w:rFonts w:hint="default" w:ascii="Times New Roman" w:hAnsi="Times New Roman" w:eastAsia="仿宋_GB2312" w:cs="Times New Roman"/>
          <w:color w:val="auto"/>
          <w:sz w:val="32"/>
          <w:szCs w:val="32"/>
          <w:highlight w:val="none"/>
          <w:lang w:val="zh-CN" w:eastAsia="zh-CN"/>
        </w:rPr>
        <w:t>；公务用车购置费</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val="zh-CN" w:eastAsia="zh-CN"/>
        </w:rPr>
        <w:t>预算数0.00万元，决算数0.00万元，预决算差异率0.00%，主要原因是：</w:t>
      </w:r>
      <w:r>
        <w:rPr>
          <w:rFonts w:hint="default" w:ascii="Times New Roman" w:hAnsi="Times New Roman" w:eastAsia="仿宋_GB2312" w:cs="Times New Roman"/>
          <w:sz w:val="32"/>
          <w:szCs w:val="32"/>
          <w:highlight w:val="none"/>
        </w:rPr>
        <w:t>我单位</w:t>
      </w:r>
      <w:r>
        <w:rPr>
          <w:rFonts w:hint="eastAsia" w:eastAsia="仿宋_GB2312" w:cs="Times New Roman"/>
          <w:sz w:val="32"/>
          <w:szCs w:val="32"/>
          <w:highlight w:val="none"/>
          <w:lang w:val="en-US" w:eastAsia="zh-CN"/>
        </w:rPr>
        <w:t>无公务用车购置费</w:t>
      </w:r>
      <w:bookmarkStart w:id="48" w:name="_GoBack"/>
      <w:bookmarkEnd w:id="48"/>
      <w:r>
        <w:rPr>
          <w:rFonts w:hint="default" w:ascii="Times New Roman" w:hAnsi="Times New Roman" w:eastAsia="仿宋_GB2312" w:cs="Times New Roman"/>
          <w:color w:val="auto"/>
          <w:sz w:val="32"/>
          <w:szCs w:val="32"/>
          <w:highlight w:val="none"/>
          <w:lang w:val="zh-CN" w:eastAsia="zh-CN"/>
        </w:rPr>
        <w:t>；公务用车运行费</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val="zh-CN" w:eastAsia="zh-CN"/>
        </w:rPr>
        <w:t>预算数119.70万元，决算数119.70万元，预决算差异率0.00%，主要原因是：</w:t>
      </w:r>
      <w:r>
        <w:rPr>
          <w:rFonts w:hint="default" w:ascii="Times New Roman" w:hAnsi="Times New Roman" w:eastAsia="仿宋_GB2312" w:cs="Times New Roman"/>
          <w:sz w:val="32"/>
          <w:szCs w:val="32"/>
          <w:highlight w:val="none"/>
        </w:rPr>
        <w:t>我单位严格按照预算执行，无预决算差异</w:t>
      </w:r>
      <w:r>
        <w:rPr>
          <w:rFonts w:hint="default" w:ascii="Times New Roman" w:hAnsi="Times New Roman" w:eastAsia="仿宋_GB2312" w:cs="Times New Roman"/>
          <w:color w:val="auto"/>
          <w:sz w:val="32"/>
          <w:szCs w:val="32"/>
          <w:highlight w:val="none"/>
          <w:lang w:val="zh-CN" w:eastAsia="zh-CN"/>
        </w:rPr>
        <w:t>；公务接待费</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val="zh-CN" w:eastAsia="zh-CN"/>
        </w:rPr>
        <w:t>预算数0.00万元，决算数0.00万元，预决算差异率0.00%，主要原因是：</w:t>
      </w:r>
      <w:r>
        <w:rPr>
          <w:rFonts w:hint="default" w:ascii="Times New Roman" w:hAnsi="Times New Roman" w:eastAsia="仿宋_GB2312" w:cs="Times New Roman"/>
          <w:sz w:val="32"/>
          <w:szCs w:val="32"/>
          <w:highlight w:val="none"/>
        </w:rPr>
        <w:t>我单位无</w:t>
      </w:r>
      <w:r>
        <w:rPr>
          <w:rFonts w:hint="default" w:ascii="Times New Roman" w:hAnsi="Times New Roman" w:eastAsia="仿宋_GB2312" w:cs="Times New Roman"/>
          <w:sz w:val="32"/>
          <w:szCs w:val="32"/>
          <w:highlight w:val="none"/>
          <w:lang w:val="en-US" w:eastAsia="zh-CN"/>
        </w:rPr>
        <w:t>公务接待费</w:t>
      </w:r>
      <w:r>
        <w:rPr>
          <w:rFonts w:hint="default" w:ascii="Times New Roman" w:hAnsi="Times New Roman" w:eastAsia="仿宋_GB2312" w:cs="Times New Roman"/>
          <w:color w:val="auto"/>
          <w:sz w:val="32"/>
          <w:szCs w:val="32"/>
          <w:highlight w:val="none"/>
          <w:lang w:val="zh-CN" w:eastAsia="zh-CN"/>
        </w:rPr>
        <w:t>。</w:t>
      </w:r>
    </w:p>
    <w:p w14:paraId="7D1F489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29DE271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zh-CN"/>
        </w:rPr>
        <w:t>政府性基金预算</w:t>
      </w:r>
      <w:r>
        <w:rPr>
          <w:rFonts w:hint="eastAsia" w:ascii="仿宋_GB2312" w:hAnsi="仿宋_GB2312" w:eastAsia="仿宋_GB2312" w:cs="仿宋_GB2312"/>
          <w:color w:val="auto"/>
          <w:sz w:val="32"/>
          <w:szCs w:val="32"/>
          <w:highlight w:val="none"/>
          <w:lang w:val="en-US" w:eastAsia="zh-CN"/>
        </w:rPr>
        <w:t>财政拨款</w:t>
      </w:r>
      <w:r>
        <w:rPr>
          <w:rFonts w:hint="eastAsia" w:ascii="仿宋_GB2312" w:hAnsi="仿宋_GB2312" w:eastAsia="仿宋_GB2312" w:cs="仿宋_GB2312"/>
          <w:color w:val="auto"/>
          <w:sz w:val="32"/>
          <w:szCs w:val="32"/>
          <w:highlight w:val="none"/>
          <w:lang w:val="zh-CN"/>
        </w:rPr>
        <w:t>收入</w:t>
      </w:r>
      <w:r>
        <w:rPr>
          <w:rFonts w:hint="eastAsia" w:ascii="仿宋_GB2312" w:hAnsi="仿宋_GB2312" w:eastAsia="仿宋_GB2312" w:cs="仿宋_GB2312"/>
          <w:color w:val="auto"/>
          <w:sz w:val="32"/>
          <w:szCs w:val="32"/>
          <w:highlight w:val="none"/>
          <w:lang w:val="en-US" w:eastAsia="zh-CN"/>
        </w:rPr>
        <w:t>总计0.00</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en-US" w:eastAsia="zh-CN"/>
        </w:rPr>
        <w:t>其中：年初结转和结余0.00</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本年收入0.00</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zh-CN"/>
        </w:rPr>
        <w:t>政府性基金预算财政拨款支出</w:t>
      </w:r>
      <w:r>
        <w:rPr>
          <w:rFonts w:hint="eastAsia" w:ascii="仿宋_GB2312" w:hAnsi="仿宋_GB2312" w:eastAsia="仿宋_GB2312" w:cs="仿宋_GB2312"/>
          <w:color w:val="auto"/>
          <w:sz w:val="32"/>
          <w:szCs w:val="32"/>
          <w:highlight w:val="none"/>
          <w:lang w:val="en-US" w:eastAsia="zh-CN"/>
        </w:rPr>
        <w:t>总计0.00</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en-US" w:eastAsia="zh-CN"/>
        </w:rPr>
        <w:t>其中：年末结转和结余0.00</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本年支出0.00</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zh-CN" w:eastAsia="zh-CN"/>
        </w:rPr>
        <w:t>。</w:t>
      </w:r>
    </w:p>
    <w:p w14:paraId="6767A6CE">
      <w:pPr>
        <w:ind w:firstLine="640" w:firstLineChars="200"/>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rPr>
        <w:t>政府性基金预算财政拨款</w:t>
      </w:r>
      <w:r>
        <w:rPr>
          <w:rFonts w:hint="eastAsia" w:ascii="仿宋_GB2312" w:hAnsi="仿宋_GB2312" w:eastAsia="仿宋_GB2312" w:cs="仿宋_GB2312"/>
          <w:color w:val="auto"/>
          <w:sz w:val="32"/>
          <w:szCs w:val="32"/>
          <w:highlight w:val="none"/>
          <w:lang w:val="en-US" w:eastAsia="zh-CN"/>
        </w:rPr>
        <w:t>收入支出</w:t>
      </w:r>
      <w:r>
        <w:rPr>
          <w:rFonts w:hint="eastAsia" w:ascii="仿宋_GB2312" w:hAnsi="仿宋_GB2312" w:eastAsia="仿宋_GB2312" w:cs="仿宋_GB2312"/>
          <w:color w:val="auto"/>
          <w:sz w:val="32"/>
          <w:szCs w:val="32"/>
          <w:highlight w:val="none"/>
          <w:lang w:val="zh-CN"/>
        </w:rPr>
        <w:t>与上年相比，减少2.32万元</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zh-CN"/>
        </w:rPr>
        <w:t>下降100.00%</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zh-CN" w:eastAsia="zh-CN"/>
        </w:rPr>
        <w:t>主要原因是</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en-US" w:eastAsia="zh-CN"/>
        </w:rPr>
        <w:t>2023年度我单位未安排政府性基金预算，固较2022年下降</w:t>
      </w:r>
      <w:r>
        <w:rPr>
          <w:rFonts w:hint="eastAsia" w:ascii="仿宋_GB2312" w:hAnsi="仿宋_GB2312" w:eastAsia="仿宋_GB2312" w:cs="仿宋_GB2312"/>
          <w:color w:val="auto"/>
          <w:sz w:val="32"/>
          <w:szCs w:val="32"/>
          <w:highlight w:val="none"/>
          <w:lang w:val="zh-CN"/>
        </w:rPr>
        <w:t>100.00%。与</w:t>
      </w:r>
      <w:r>
        <w:rPr>
          <w:rFonts w:hint="eastAsia" w:ascii="仿宋_GB2312" w:hAnsi="仿宋_GB2312" w:eastAsia="仿宋_GB2312" w:cs="仿宋_GB2312"/>
          <w:color w:val="auto"/>
          <w:sz w:val="32"/>
          <w:szCs w:val="32"/>
          <w:highlight w:val="none"/>
          <w:lang w:val="zh-CN" w:eastAsia="zh-CN"/>
        </w:rPr>
        <w:t>年初预算</w:t>
      </w:r>
      <w:r>
        <w:rPr>
          <w:rFonts w:hint="eastAsia" w:ascii="仿宋_GB2312" w:hAnsi="仿宋_GB2312" w:eastAsia="仿宋_GB2312" w:cs="仿宋_GB2312"/>
          <w:color w:val="auto"/>
          <w:sz w:val="32"/>
          <w:szCs w:val="32"/>
          <w:highlight w:val="none"/>
          <w:lang w:val="zh-CN"/>
        </w:rPr>
        <w:t>相比</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zh-CN" w:eastAsia="zh-CN"/>
        </w:rPr>
        <w:t>年初预算数</w:t>
      </w:r>
      <w:r>
        <w:rPr>
          <w:rFonts w:hint="eastAsia" w:ascii="仿宋_GB2312" w:hAnsi="仿宋_GB2312" w:eastAsia="仿宋_GB2312" w:cs="仿宋_GB2312"/>
          <w:color w:val="auto"/>
          <w:sz w:val="32"/>
          <w:szCs w:val="32"/>
          <w:highlight w:val="none"/>
          <w:lang w:val="en-US" w:eastAsia="zh-CN"/>
        </w:rPr>
        <w:t>0.00</w:t>
      </w:r>
      <w:r>
        <w:rPr>
          <w:rFonts w:hint="eastAsia" w:ascii="仿宋_GB2312" w:hAnsi="仿宋_GB2312" w:eastAsia="仿宋_GB2312" w:cs="仿宋_GB2312"/>
          <w:color w:val="auto"/>
          <w:sz w:val="32"/>
          <w:szCs w:val="32"/>
          <w:highlight w:val="none"/>
          <w:lang w:val="zh-CN"/>
        </w:rPr>
        <w:t>万元，决算数</w:t>
      </w:r>
      <w:r>
        <w:rPr>
          <w:rFonts w:hint="eastAsia" w:ascii="仿宋_GB2312" w:hAnsi="仿宋_GB2312" w:eastAsia="仿宋_GB2312" w:cs="仿宋_GB2312"/>
          <w:color w:val="auto"/>
          <w:sz w:val="32"/>
          <w:szCs w:val="32"/>
          <w:highlight w:val="none"/>
          <w:lang w:val="en-US" w:eastAsia="zh-CN"/>
        </w:rPr>
        <w:t>0.00</w:t>
      </w:r>
      <w:r>
        <w:rPr>
          <w:rFonts w:hint="eastAsia" w:ascii="仿宋_GB2312" w:hAnsi="仿宋_GB2312" w:eastAsia="仿宋_GB2312" w:cs="仿宋_GB2312"/>
          <w:color w:val="auto"/>
          <w:sz w:val="32"/>
          <w:szCs w:val="32"/>
          <w:highlight w:val="none"/>
          <w:lang w:val="zh-CN"/>
        </w:rPr>
        <w:t>万元，预决算差异率0.00%</w:t>
      </w:r>
      <w:r>
        <w:rPr>
          <w:rFonts w:hint="eastAsia" w:ascii="仿宋_GB2312" w:hAnsi="仿宋_GB2312" w:eastAsia="仿宋_GB2312" w:cs="仿宋_GB2312"/>
          <w:color w:val="auto"/>
          <w:sz w:val="32"/>
          <w:szCs w:val="32"/>
          <w:highlight w:val="none"/>
          <w:lang w:val="zh-CN" w:eastAsia="zh-CN"/>
        </w:rPr>
        <w:t>，主要原因是：</w:t>
      </w:r>
      <w:r>
        <w:rPr>
          <w:rFonts w:hint="eastAsia" w:ascii="仿宋_GB2312" w:hAnsi="仿宋_GB2312" w:eastAsia="仿宋_GB2312" w:cs="仿宋_GB2312"/>
          <w:color w:val="auto"/>
          <w:sz w:val="32"/>
          <w:szCs w:val="32"/>
          <w:highlight w:val="none"/>
          <w:lang w:val="en-US" w:eastAsia="zh-CN"/>
        </w:rPr>
        <w:t>2023年度我单位未安排政府性基金预算</w:t>
      </w:r>
      <w:r>
        <w:rPr>
          <w:rFonts w:hint="eastAsia" w:ascii="仿宋_GB2312" w:hAnsi="仿宋_GB2312" w:eastAsia="仿宋_GB2312" w:cs="仿宋_GB2312"/>
          <w:color w:val="auto"/>
          <w:sz w:val="32"/>
          <w:szCs w:val="32"/>
          <w:highlight w:val="none"/>
          <w:lang w:val="zh-CN"/>
        </w:rPr>
        <w:t>。</w:t>
      </w:r>
    </w:p>
    <w:p w14:paraId="330715E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zh-CN"/>
        </w:rPr>
        <w:t>政府性基金预算财政拨款支出</w:t>
      </w:r>
      <w:r>
        <w:rPr>
          <w:rFonts w:hint="eastAsia" w:ascii="仿宋_GB2312" w:hAnsi="仿宋_GB2312" w:eastAsia="仿宋_GB2312" w:cs="仿宋_GB2312"/>
          <w:color w:val="auto"/>
          <w:sz w:val="32"/>
          <w:szCs w:val="32"/>
          <w:highlight w:val="none"/>
          <w:lang w:val="zh-CN" w:eastAsia="zh-CN"/>
        </w:rPr>
        <w:t>0.00</w:t>
      </w:r>
      <w:r>
        <w:rPr>
          <w:rFonts w:hint="eastAsia" w:ascii="仿宋_GB2312" w:hAnsi="仿宋_GB2312" w:eastAsia="仿宋_GB2312" w:cs="仿宋_GB2312"/>
          <w:color w:val="auto"/>
          <w:sz w:val="32"/>
          <w:szCs w:val="32"/>
          <w:highlight w:val="none"/>
          <w:lang w:val="zh-CN"/>
        </w:rPr>
        <w:t>万元。</w:t>
      </w:r>
    </w:p>
    <w:p w14:paraId="5868C02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lang w:val="zh-CN"/>
        </w:rPr>
        <w:t>1.交通运输支出（类）车辆通行费安排的支出（款）其他车辆通行费安排的支出（项）:支出决算数为0.00</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val="zh-CN"/>
        </w:rPr>
        <w:t>，比上年决算</w:t>
      </w:r>
      <w:r>
        <w:rPr>
          <w:rFonts w:hint="eastAsia" w:ascii="仿宋_GB2312" w:hAnsi="仿宋_GB2312" w:eastAsia="仿宋_GB2312" w:cs="仿宋_GB2312"/>
          <w:color w:val="auto"/>
          <w:sz w:val="32"/>
          <w:szCs w:val="32"/>
          <w:highlight w:val="none"/>
          <w:lang w:val="en-US" w:eastAsia="zh-CN"/>
        </w:rPr>
        <w:t>减少</w:t>
      </w:r>
      <w:r>
        <w:rPr>
          <w:rFonts w:hint="eastAsia" w:ascii="仿宋_GB2312" w:hAnsi="仿宋_GB2312" w:eastAsia="仿宋_GB2312" w:cs="仿宋_GB2312"/>
          <w:color w:val="auto"/>
          <w:sz w:val="32"/>
          <w:szCs w:val="32"/>
          <w:highlight w:val="none"/>
          <w:lang w:val="zh-CN"/>
        </w:rPr>
        <w:t>0.96</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en-US" w:eastAsia="zh-CN"/>
        </w:rPr>
        <w:t>下降</w:t>
      </w:r>
      <w:r>
        <w:rPr>
          <w:rFonts w:hint="eastAsia" w:ascii="仿宋_GB2312" w:hAnsi="仿宋_GB2312" w:eastAsia="仿宋_GB2312" w:cs="仿宋_GB2312"/>
          <w:color w:val="auto"/>
          <w:sz w:val="32"/>
          <w:szCs w:val="32"/>
          <w:highlight w:val="none"/>
          <w:lang w:val="zh-CN"/>
        </w:rPr>
        <w:t>100%，主要原因是：</w:t>
      </w:r>
      <w:r>
        <w:rPr>
          <w:rFonts w:hint="eastAsia" w:ascii="仿宋_GB2312" w:hAnsi="仿宋_GB2312" w:eastAsia="仿宋_GB2312" w:cs="仿宋_GB2312"/>
          <w:color w:val="auto"/>
          <w:sz w:val="32"/>
          <w:szCs w:val="32"/>
          <w:highlight w:val="none"/>
          <w:lang w:val="en-US" w:eastAsia="zh-CN"/>
        </w:rPr>
        <w:t>2023年度我单位未安排政府性基金预算，固较2022年下降</w:t>
      </w:r>
      <w:r>
        <w:rPr>
          <w:rFonts w:hint="eastAsia" w:ascii="仿宋_GB2312" w:hAnsi="仿宋_GB2312" w:eastAsia="仿宋_GB2312" w:cs="仿宋_GB2312"/>
          <w:color w:val="auto"/>
          <w:sz w:val="32"/>
          <w:szCs w:val="32"/>
          <w:highlight w:val="none"/>
          <w:lang w:val="zh-CN"/>
        </w:rPr>
        <w:t>100.00%。</w:t>
      </w:r>
    </w:p>
    <w:p w14:paraId="2DE3D14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lang w:val="zh-CN"/>
        </w:rPr>
        <w:t>2.交通运输支出（类）车辆通行费安排的支出（款）政府还贷公路养护（项）:支出决算数为0.00</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val="zh-CN"/>
        </w:rPr>
        <w:t>，比上年决算</w:t>
      </w:r>
      <w:r>
        <w:rPr>
          <w:rFonts w:hint="eastAsia" w:ascii="仿宋_GB2312" w:hAnsi="仿宋_GB2312" w:eastAsia="仿宋_GB2312" w:cs="仿宋_GB2312"/>
          <w:color w:val="auto"/>
          <w:sz w:val="32"/>
          <w:szCs w:val="32"/>
          <w:highlight w:val="none"/>
          <w:lang w:val="en-US" w:eastAsia="zh-CN"/>
        </w:rPr>
        <w:t>减少</w:t>
      </w:r>
      <w:r>
        <w:rPr>
          <w:rFonts w:hint="eastAsia" w:ascii="仿宋_GB2312" w:hAnsi="仿宋_GB2312" w:eastAsia="仿宋_GB2312" w:cs="仿宋_GB2312"/>
          <w:color w:val="auto"/>
          <w:sz w:val="32"/>
          <w:szCs w:val="32"/>
          <w:highlight w:val="none"/>
          <w:lang w:val="zh-CN"/>
        </w:rPr>
        <w:t>1.36</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en-US" w:eastAsia="zh-CN"/>
        </w:rPr>
        <w:t>下降</w:t>
      </w:r>
      <w:r>
        <w:rPr>
          <w:rFonts w:hint="eastAsia" w:ascii="仿宋_GB2312" w:hAnsi="仿宋_GB2312" w:eastAsia="仿宋_GB2312" w:cs="仿宋_GB2312"/>
          <w:color w:val="auto"/>
          <w:sz w:val="32"/>
          <w:szCs w:val="32"/>
          <w:highlight w:val="none"/>
          <w:lang w:val="zh-CN"/>
        </w:rPr>
        <w:t>100%，主要原因是：</w:t>
      </w:r>
      <w:r>
        <w:rPr>
          <w:rFonts w:hint="eastAsia" w:ascii="仿宋_GB2312" w:hAnsi="仿宋_GB2312" w:eastAsia="仿宋_GB2312" w:cs="仿宋_GB2312"/>
          <w:color w:val="auto"/>
          <w:sz w:val="32"/>
          <w:szCs w:val="32"/>
          <w:highlight w:val="none"/>
          <w:lang w:val="en-US" w:eastAsia="zh-CN"/>
        </w:rPr>
        <w:t>2023年度我单位未安排政府性基金预算，固较2022年下降</w:t>
      </w:r>
      <w:r>
        <w:rPr>
          <w:rFonts w:hint="eastAsia" w:ascii="仿宋_GB2312" w:hAnsi="仿宋_GB2312" w:eastAsia="仿宋_GB2312" w:cs="仿宋_GB2312"/>
          <w:color w:val="auto"/>
          <w:sz w:val="32"/>
          <w:szCs w:val="32"/>
          <w:highlight w:val="none"/>
          <w:lang w:val="zh-CN"/>
        </w:rPr>
        <w:t>100.00%。</w:t>
      </w:r>
    </w:p>
    <w:p w14:paraId="7E0A344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5B35785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7DD74F1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5610B3E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7DAC3F76">
      <w:pPr>
        <w:ind w:firstLine="640" w:firstLineChars="200"/>
        <w:rPr>
          <w:rFonts w:hint="default" w:ascii="Times New Roman" w:hAnsi="Times New Roman" w:eastAsia="仿宋_GB2312" w:cs="Times New Roman"/>
          <w:color w:val="auto"/>
          <w:sz w:val="32"/>
          <w:szCs w:val="32"/>
          <w:highlight w:val="none"/>
          <w:lang w:val="en-US" w:eastAsia="zh-CN"/>
        </w:rPr>
      </w:pPr>
      <w:bookmarkStart w:id="24" w:name="_Toc26704"/>
      <w:bookmarkStart w:id="25" w:name="_Toc227"/>
      <w:r>
        <w:rPr>
          <w:rFonts w:hint="default" w:ascii="Times New Roman" w:hAnsi="Times New Roman" w:eastAsia="仿宋_GB2312" w:cs="Times New Roman"/>
          <w:color w:val="auto"/>
          <w:sz w:val="32"/>
          <w:szCs w:val="32"/>
          <w:highlight w:val="none"/>
          <w:lang w:val="zh-CN" w:eastAsia="zh-CN"/>
        </w:rPr>
        <w:t>2023年度</w:t>
      </w:r>
      <w:r>
        <w:rPr>
          <w:rFonts w:hint="default" w:ascii="Times New Roman" w:hAnsi="Times New Roman" w:eastAsia="仿宋_GB2312" w:cs="Times New Roman"/>
          <w:color w:val="auto"/>
          <w:sz w:val="32"/>
          <w:szCs w:val="32"/>
          <w:highlight w:val="none"/>
          <w:lang w:val="en-US" w:eastAsia="zh-CN"/>
        </w:rPr>
        <w:t>乌鲁木齐公路管理局</w:t>
      </w:r>
      <w:r>
        <w:rPr>
          <w:rFonts w:hint="default" w:ascii="Times New Roman" w:hAnsi="Times New Roman" w:eastAsia="仿宋_GB2312" w:cs="Times New Roman"/>
          <w:color w:val="auto"/>
          <w:sz w:val="32"/>
          <w:szCs w:val="32"/>
          <w:highlight w:val="none"/>
          <w:lang w:val="zh-CN" w:eastAsia="zh-CN"/>
        </w:rPr>
        <w:t>（事业单位）公用经费支出1,884.65万元，比上年增加290.26万元，增长18.21%，主要原因是：</w:t>
      </w:r>
      <w:r>
        <w:rPr>
          <w:rFonts w:hint="eastAsia" w:eastAsia="仿宋_GB2312" w:cs="Times New Roman"/>
          <w:color w:val="auto"/>
          <w:sz w:val="32"/>
          <w:szCs w:val="32"/>
          <w:highlight w:val="none"/>
          <w:lang w:val="en-US" w:eastAsia="zh-CN"/>
        </w:rPr>
        <w:t>季节性临时工劳务费用增加，导致公用经费增加。</w:t>
      </w:r>
    </w:p>
    <w:p w14:paraId="00721AC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46CD701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zh-CN"/>
        </w:rPr>
      </w:pPr>
      <w:r>
        <w:rPr>
          <w:rFonts w:hint="default" w:ascii="Times New Roman" w:hAnsi="Times New Roman" w:eastAsia="仿宋_GB2312" w:cs="Times New Roman"/>
          <w:color w:val="auto"/>
          <w:sz w:val="32"/>
          <w:szCs w:val="32"/>
          <w:highlight w:val="none"/>
          <w:lang w:val="zh-CN" w:eastAsia="zh-CN"/>
        </w:rPr>
        <w:t>2023年度</w:t>
      </w:r>
      <w:r>
        <w:rPr>
          <w:rFonts w:hint="default" w:ascii="Times New Roman" w:hAnsi="Times New Roman" w:eastAsia="仿宋_GB2312" w:cs="Times New Roman"/>
          <w:color w:val="auto"/>
          <w:sz w:val="32"/>
          <w:szCs w:val="32"/>
          <w:highlight w:val="none"/>
          <w:lang w:val="zh-CN"/>
        </w:rPr>
        <w:t>政府采购支出总额</w:t>
      </w:r>
      <w:r>
        <w:rPr>
          <w:rFonts w:hint="default" w:ascii="Times New Roman" w:hAnsi="Times New Roman" w:eastAsia="仿宋_GB2312" w:cs="Times New Roman"/>
          <w:color w:val="auto"/>
          <w:sz w:val="32"/>
          <w:szCs w:val="32"/>
          <w:highlight w:val="none"/>
          <w:lang w:val="zh-CN" w:eastAsia="zh-CN"/>
        </w:rPr>
        <w:t>363.28万元</w:t>
      </w:r>
      <w:r>
        <w:rPr>
          <w:rFonts w:hint="default" w:ascii="Times New Roman" w:hAnsi="Times New Roman" w:eastAsia="仿宋_GB2312" w:cs="Times New Roman"/>
          <w:color w:val="auto"/>
          <w:sz w:val="32"/>
          <w:szCs w:val="32"/>
          <w:highlight w:val="none"/>
          <w:lang w:val="zh-CN"/>
        </w:rPr>
        <w:t>，</w:t>
      </w:r>
      <w:r>
        <w:rPr>
          <w:rFonts w:hint="default" w:ascii="Times New Roman" w:hAnsi="Times New Roman" w:eastAsia="仿宋_GB2312" w:cs="Times New Roman"/>
          <w:color w:val="auto"/>
          <w:sz w:val="32"/>
          <w:szCs w:val="32"/>
          <w:highlight w:val="none"/>
          <w:lang w:val="zh-CN" w:eastAsia="zh-CN"/>
        </w:rPr>
        <w:t>其中：政府采购货物支出9.68万元、政府采购工程支出0.00万元、政府采购服务支出353.60万元。</w:t>
      </w:r>
    </w:p>
    <w:p w14:paraId="1ED054E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zh-CN" w:eastAsia="zh-CN"/>
        </w:rPr>
        <w:t>授予中小企业合同金额225.14万元，占政府采购支出总额的61.97%，其中：授予小微企业合同金额225.14万元，占政府采购支出总额的61.97%</w:t>
      </w:r>
      <w:r>
        <w:rPr>
          <w:rFonts w:hint="default" w:ascii="Times New Roman" w:hAnsi="Times New Roman" w:eastAsia="仿宋_GB2312" w:cs="Times New Roman"/>
          <w:color w:val="auto"/>
          <w:sz w:val="32"/>
          <w:szCs w:val="32"/>
          <w:highlight w:val="none"/>
          <w:lang w:val="en-US" w:eastAsia="zh-CN"/>
        </w:rPr>
        <w:t>。</w:t>
      </w:r>
    </w:p>
    <w:p w14:paraId="39B1C81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1272F9A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en-US" w:eastAsia="zh-CN"/>
        </w:rPr>
        <w:t>截至2023</w:t>
      </w:r>
      <w:r>
        <w:rPr>
          <w:rFonts w:hint="default" w:ascii="Times New Roman" w:hAnsi="Times New Roman" w:eastAsia="仿宋_GB2312" w:cs="Times New Roman"/>
          <w:color w:val="auto"/>
          <w:sz w:val="32"/>
          <w:szCs w:val="32"/>
          <w:highlight w:val="none"/>
          <w:lang w:val="zh-CN" w:eastAsia="zh-CN"/>
        </w:rPr>
        <w:t>年</w:t>
      </w:r>
      <w:r>
        <w:rPr>
          <w:rFonts w:hint="default" w:ascii="Times New Roman" w:hAnsi="Times New Roman" w:eastAsia="仿宋_GB2312" w:cs="Times New Roman"/>
          <w:color w:val="auto"/>
          <w:sz w:val="32"/>
          <w:szCs w:val="32"/>
          <w:highlight w:val="none"/>
          <w:lang w:val="en-US" w:eastAsia="zh-CN"/>
        </w:rPr>
        <w:t>12月31日</w:t>
      </w:r>
      <w:r>
        <w:rPr>
          <w:rFonts w:hint="default" w:ascii="Times New Roman" w:hAnsi="Times New Roman" w:eastAsia="仿宋_GB2312" w:cs="Times New Roman"/>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en-US" w:eastAsia="zh-CN"/>
        </w:rPr>
        <w:t>固定资产原值</w:t>
      </w:r>
      <w:r>
        <w:rPr>
          <w:rFonts w:hint="default" w:ascii="Times New Roman" w:hAnsi="Times New Roman" w:eastAsia="仿宋_GB2312" w:cs="Times New Roman"/>
          <w:color w:val="auto"/>
          <w:sz w:val="32"/>
          <w:szCs w:val="32"/>
          <w:highlight w:val="none"/>
          <w:lang w:val="zh-CN" w:eastAsia="zh-CN"/>
        </w:rPr>
        <w:t>18,249.20</w:t>
      </w:r>
      <w:r>
        <w:rPr>
          <w:rFonts w:hint="default" w:ascii="Times New Roman" w:hAnsi="Times New Roman" w:eastAsia="仿宋_GB2312" w:cs="Times New Roman"/>
          <w:color w:val="auto"/>
          <w:sz w:val="32"/>
          <w:szCs w:val="32"/>
          <w:highlight w:val="none"/>
          <w:lang w:val="en-US" w:eastAsia="zh-CN"/>
        </w:rPr>
        <w:t>万元，房</w:t>
      </w:r>
      <w:r>
        <w:rPr>
          <w:rFonts w:hint="default" w:ascii="Times New Roman" w:hAnsi="Times New Roman" w:eastAsia="仿宋_GB2312" w:cs="Times New Roman"/>
          <w:color w:val="auto"/>
          <w:sz w:val="32"/>
          <w:szCs w:val="32"/>
          <w:highlight w:val="none"/>
          <w:lang w:val="zh-CN" w:eastAsia="zh-CN"/>
        </w:rPr>
        <w:t>屋41931.28平方米，价值6,390.21万元。车辆124辆，价值3,112.53万元，其中：副部（省）级及以上领导用车0辆、主要</w:t>
      </w:r>
      <w:r>
        <w:rPr>
          <w:rFonts w:hint="default" w:ascii="Times New Roman" w:hAnsi="Times New Roman" w:eastAsia="仿宋_GB2312" w:cs="Times New Roman"/>
          <w:color w:val="auto"/>
          <w:sz w:val="32"/>
          <w:szCs w:val="32"/>
          <w:highlight w:val="none"/>
          <w:lang w:val="en-US" w:eastAsia="zh-CN"/>
        </w:rPr>
        <w:t>负责人</w:t>
      </w:r>
      <w:r>
        <w:rPr>
          <w:rFonts w:hint="default" w:ascii="Times New Roman" w:hAnsi="Times New Roman" w:eastAsia="仿宋_GB2312" w:cs="Times New Roman"/>
          <w:color w:val="auto"/>
          <w:sz w:val="32"/>
          <w:szCs w:val="32"/>
          <w:highlight w:val="none"/>
          <w:lang w:val="zh-CN" w:eastAsia="zh-CN"/>
        </w:rPr>
        <w:t>用车0辆、机要通信用车0辆、应急保障用车10辆、执法执勤用车0辆、特种专业技术用车17辆、离退休干部</w:t>
      </w:r>
      <w:r>
        <w:rPr>
          <w:rFonts w:hint="default" w:ascii="Times New Roman" w:hAnsi="Times New Roman" w:eastAsia="仿宋_GB2312" w:cs="Times New Roman"/>
          <w:color w:val="auto"/>
          <w:sz w:val="32"/>
          <w:szCs w:val="32"/>
          <w:highlight w:val="none"/>
          <w:lang w:val="en-US" w:eastAsia="zh-CN"/>
        </w:rPr>
        <w:t>服务</w:t>
      </w:r>
      <w:r>
        <w:rPr>
          <w:rFonts w:hint="default" w:ascii="Times New Roman" w:hAnsi="Times New Roman" w:eastAsia="仿宋_GB2312" w:cs="Times New Roman"/>
          <w:color w:val="auto"/>
          <w:sz w:val="32"/>
          <w:szCs w:val="32"/>
          <w:highlight w:val="none"/>
          <w:lang w:val="zh-CN" w:eastAsia="zh-CN"/>
        </w:rPr>
        <w:t>用车0辆、其他用车97辆，其他用车主要是：</w:t>
      </w:r>
      <w:r>
        <w:rPr>
          <w:rFonts w:hint="default" w:ascii="Times New Roman" w:hAnsi="Times New Roman" w:eastAsia="仿宋_GB2312" w:cs="Times New Roman"/>
          <w:sz w:val="32"/>
          <w:szCs w:val="32"/>
          <w:highlight w:val="none"/>
        </w:rPr>
        <w:t>清障车、高空作业车、除雪车</w:t>
      </w:r>
      <w:r>
        <w:rPr>
          <w:rFonts w:hint="eastAsia" w:eastAsia="仿宋_GB2312" w:cs="Times New Roman"/>
          <w:sz w:val="32"/>
          <w:szCs w:val="32"/>
          <w:highlight w:val="none"/>
          <w:lang w:val="en-US" w:eastAsia="zh-CN"/>
        </w:rPr>
        <w:t>等养护车</w:t>
      </w:r>
      <w:r>
        <w:rPr>
          <w:rFonts w:hint="default" w:ascii="Times New Roman" w:hAnsi="Times New Roman" w:eastAsia="仿宋_GB2312" w:cs="Times New Roman"/>
          <w:sz w:val="32"/>
          <w:szCs w:val="32"/>
          <w:highlight w:val="none"/>
        </w:rPr>
        <w:t>辆</w:t>
      </w:r>
      <w:r>
        <w:rPr>
          <w:rFonts w:hint="default" w:ascii="Times New Roman" w:hAnsi="Times New Roman" w:eastAsia="仿宋_GB2312" w:cs="Times New Roman"/>
          <w:color w:val="auto"/>
          <w:sz w:val="32"/>
          <w:szCs w:val="32"/>
          <w:highlight w:val="none"/>
          <w:lang w:val="zh-CN" w:eastAsia="zh-CN"/>
        </w:rPr>
        <w:t>；单价100万元（含）以上设备（不含车辆）22</w:t>
      </w:r>
      <w:r>
        <w:rPr>
          <w:rFonts w:hint="default" w:ascii="Times New Roman" w:hAnsi="Times New Roman" w:eastAsia="仿宋_GB2312" w:cs="Times New Roman"/>
          <w:color w:val="auto"/>
          <w:sz w:val="32"/>
          <w:szCs w:val="32"/>
          <w:highlight w:val="none"/>
          <w:lang w:val="en-US" w:eastAsia="zh-CN"/>
        </w:rPr>
        <w:t>台（</w:t>
      </w:r>
      <w:r>
        <w:rPr>
          <w:rFonts w:hint="default" w:ascii="Times New Roman" w:hAnsi="Times New Roman" w:eastAsia="仿宋_GB2312" w:cs="Times New Roman"/>
          <w:color w:val="auto"/>
          <w:sz w:val="32"/>
          <w:szCs w:val="32"/>
          <w:highlight w:val="none"/>
          <w:lang w:val="zh-CN" w:eastAsia="zh-CN"/>
        </w:rPr>
        <w:t>套）。</w:t>
      </w:r>
    </w:p>
    <w:p w14:paraId="54547AE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03419D20">
      <w:pPr>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根据预算绩效管理要求，我</w:t>
      </w:r>
      <w:r>
        <w:rPr>
          <w:rFonts w:hint="default" w:ascii="Times New Roman" w:hAnsi="Times New Roman" w:eastAsia="仿宋_GB2312" w:cs="Times New Roman"/>
          <w:color w:val="auto"/>
          <w:sz w:val="32"/>
          <w:szCs w:val="32"/>
          <w:highlight w:val="none"/>
          <w:lang w:val="en-US" w:eastAsia="zh-CN"/>
        </w:rPr>
        <w:t>单位</w:t>
      </w:r>
      <w:r>
        <w:rPr>
          <w:rFonts w:hint="default" w:ascii="Times New Roman" w:hAnsi="Times New Roman" w:eastAsia="仿宋_GB2312" w:cs="Times New Roman"/>
          <w:color w:val="auto"/>
          <w:sz w:val="32"/>
          <w:szCs w:val="32"/>
          <w:highlight w:val="none"/>
          <w:lang w:eastAsia="zh-CN"/>
        </w:rPr>
        <w:t>2023年度预算绩效评价项目</w:t>
      </w:r>
      <w:r>
        <w:rPr>
          <w:rFonts w:hint="default"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lang w:eastAsia="zh-CN"/>
        </w:rPr>
        <w:t>个，</w:t>
      </w:r>
      <w:r>
        <w:rPr>
          <w:rFonts w:hint="default" w:ascii="Times New Roman" w:hAnsi="Times New Roman" w:eastAsia="仿宋_GB2312" w:cs="Times New Roman"/>
          <w:color w:val="auto"/>
          <w:sz w:val="32"/>
          <w:szCs w:val="32"/>
          <w:highlight w:val="none"/>
          <w:lang w:val="en-US" w:eastAsia="zh-CN"/>
        </w:rPr>
        <w:t>全年预算数2</w:t>
      </w:r>
      <w:r>
        <w:rPr>
          <w:rFonts w:hint="eastAsia"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319.95</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全年执行数2</w:t>
      </w:r>
      <w:r>
        <w:rPr>
          <w:rFonts w:hint="eastAsia"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319.95</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auto"/>
          <w:sz w:val="32"/>
          <w:szCs w:val="32"/>
          <w:highlight w:val="none"/>
          <w:lang w:eastAsia="zh-CN"/>
        </w:rPr>
        <w:t>。预算绩效管理取得的成效：</w:t>
      </w:r>
      <w:r>
        <w:rPr>
          <w:rFonts w:hint="default" w:ascii="Times New Roman" w:hAnsi="Times New Roman" w:eastAsia="仿宋_GB2312" w:cs="Times New Roman"/>
          <w:sz w:val="32"/>
          <w:szCs w:val="32"/>
          <w:highlight w:val="none"/>
        </w:rPr>
        <w:t>一是逐步规范项目管理。严格按照财政厅有关规定与我局财务规定执行，专项经费实行项目管理、专项核算、专款专用。二是逐步健全项目管理责任制。不断增强项目执行的严肃性和约束力，加大对项目的跟踪管理力度，努力保障项目顺利实施。发现的问题及原因：一是项目实施缓慢，无法在5月、8月绩效监控节点完成财政要求的预算执行率。二是绩效评价工作水平有待提升。</w:t>
      </w:r>
      <w:r>
        <w:rPr>
          <w:rFonts w:hint="default" w:ascii="Times New Roman" w:hAnsi="Times New Roman" w:eastAsia="仿宋_GB2312" w:cs="Times New Roman"/>
          <w:sz w:val="32"/>
          <w:szCs w:val="32"/>
        </w:rPr>
        <w:t>下一步改进措施：一是细化资金测算。逐步完善预算支出标准体系，提高资金测算的准确性，根据项目实际内容，按照相关支出标准，细化测算预算资金，合理确定项目资金额度，注意与绩效目标的匹配度，科学合理编制年度养护计划，加强专项资金专款专用支出管理；强化过程管理，确保项目按期完成。二是根据财政厅全面实施预算绩效管理的要求，进一步建立健</w:t>
      </w:r>
      <w:r>
        <w:rPr>
          <w:rFonts w:hint="default" w:ascii="Times New Roman" w:hAnsi="Times New Roman" w:eastAsia="仿宋_GB2312" w:cs="Times New Roman"/>
          <w:sz w:val="32"/>
          <w:szCs w:val="32"/>
          <w:highlight w:val="none"/>
        </w:rPr>
        <w:t>全</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预算编制有目标、预算执行有监控、预算完成有评价、评价结果有应用、结果应用有问责</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的全方位、全过程、全覆盖预算绩效管理体系。</w:t>
      </w:r>
      <w:r>
        <w:rPr>
          <w:rFonts w:hint="default" w:ascii="Times New Roman" w:hAnsi="Times New Roman" w:eastAsia="仿宋_GB2312" w:cs="Times New Roman"/>
          <w:color w:val="auto"/>
          <w:sz w:val="32"/>
          <w:szCs w:val="32"/>
          <w:highlight w:val="none"/>
          <w:lang w:eastAsia="zh-CN"/>
        </w:rPr>
        <w:t>具体</w:t>
      </w:r>
      <w:r>
        <w:rPr>
          <w:rFonts w:hint="default" w:ascii="Times New Roman" w:hAnsi="Times New Roman" w:eastAsia="仿宋_GB2312" w:cs="Times New Roman"/>
          <w:color w:val="auto"/>
          <w:sz w:val="32"/>
          <w:szCs w:val="32"/>
          <w:highlight w:val="none"/>
        </w:rPr>
        <w:t>项目自评情况附绩效自评表</w:t>
      </w:r>
      <w:r>
        <w:rPr>
          <w:rFonts w:hint="default" w:ascii="Times New Roman" w:hAnsi="Times New Roman" w:eastAsia="仿宋_GB2312" w:cs="Times New Roman"/>
          <w:color w:val="auto"/>
          <w:sz w:val="32"/>
          <w:szCs w:val="32"/>
          <w:highlight w:val="none"/>
          <w:lang w:val="en-US" w:eastAsia="zh-CN"/>
        </w:rPr>
        <w:t>及自评报告</w:t>
      </w:r>
      <w:r>
        <w:rPr>
          <w:rFonts w:hint="default" w:ascii="Times New Roman" w:hAnsi="Times New Roman" w:eastAsia="仿宋_GB2312" w:cs="Times New Roman"/>
          <w:color w:val="auto"/>
          <w:sz w:val="32"/>
          <w:szCs w:val="32"/>
          <w:highlight w:val="none"/>
        </w:rPr>
        <w:t>。</w:t>
      </w:r>
    </w:p>
    <w:p w14:paraId="32EE874A">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37B85EFE">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14:paraId="053868C4">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026A020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33A9FA0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0611741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02233020">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4870F57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6F7DA5D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0DFD084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69C72C09">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E72265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2968961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006C1BE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17F3B89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4321747B">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7F573978">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44BBAFC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0D19C02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14:paraId="77CA3FF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14:paraId="1CA4AEF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14:paraId="162BEF7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14:paraId="58E9A77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23E5D63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5B774D0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14:paraId="130A448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61ED151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78555BB2">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7A599F5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1F4645C-7C12-4E50-B4B2-71250FA668B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embedRegular r:id="rId2" w:fontKey="{4984C2A7-5573-4F14-9352-AFAA88EA5FFF}"/>
  </w:font>
  <w:font w:name="仿宋_GB2312">
    <w:panose1 w:val="02010609030101010101"/>
    <w:charset w:val="86"/>
    <w:family w:val="modern"/>
    <w:pitch w:val="default"/>
    <w:sig w:usb0="00000001" w:usb1="080E0000" w:usb2="00000000" w:usb3="00000000" w:csb0="00040000" w:csb1="00000000"/>
    <w:embedRegular r:id="rId3" w:fontKey="{B8CDB9F8-8EEE-448A-AA43-BDAFD55EA963}"/>
  </w:font>
  <w:font w:name="方正仿宋_GBK">
    <w:panose1 w:val="03000509000000000000"/>
    <w:charset w:val="86"/>
    <w:family w:val="script"/>
    <w:pitch w:val="default"/>
    <w:sig w:usb0="00000001" w:usb1="080E0000" w:usb2="00000000" w:usb3="00000000" w:csb0="00040000" w:csb1="00000000"/>
    <w:embedRegular r:id="rId4" w:fontKey="{F8CDB9FA-D07A-49E1-B28C-E4B08AC661A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BA81DA">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7504981">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57504981">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xM2VlZGQ2YTBiN2U3MGFlNmVmMzQ0NTc5YzYzOGY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530438"/>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4510FD"/>
    <w:rsid w:val="190648B0"/>
    <w:rsid w:val="19071D6C"/>
    <w:rsid w:val="19D26CD4"/>
    <w:rsid w:val="19E60D19"/>
    <w:rsid w:val="1A3E3450"/>
    <w:rsid w:val="1A622B33"/>
    <w:rsid w:val="1A9B3947"/>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D86C6A"/>
    <w:rsid w:val="27E777F5"/>
    <w:rsid w:val="27EA1D4C"/>
    <w:rsid w:val="27EA2E41"/>
    <w:rsid w:val="282459E2"/>
    <w:rsid w:val="283A7FE5"/>
    <w:rsid w:val="285F51FF"/>
    <w:rsid w:val="28DF2665"/>
    <w:rsid w:val="29072599"/>
    <w:rsid w:val="291029F3"/>
    <w:rsid w:val="29CB58F0"/>
    <w:rsid w:val="2A053397"/>
    <w:rsid w:val="2A145E96"/>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4EE6E26"/>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3067E1"/>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2D2ACB"/>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C65743"/>
    <w:rsid w:val="4AE12E67"/>
    <w:rsid w:val="4B4C0111"/>
    <w:rsid w:val="4B8553A9"/>
    <w:rsid w:val="4BDB3730"/>
    <w:rsid w:val="4C200F7A"/>
    <w:rsid w:val="4CEE3180"/>
    <w:rsid w:val="4D0F4AF6"/>
    <w:rsid w:val="4DF94F37"/>
    <w:rsid w:val="4E0A1DD5"/>
    <w:rsid w:val="4E3160E5"/>
    <w:rsid w:val="4E4D37AF"/>
    <w:rsid w:val="4E7A02C8"/>
    <w:rsid w:val="4E8C6496"/>
    <w:rsid w:val="4EFD18DE"/>
    <w:rsid w:val="4F144236"/>
    <w:rsid w:val="4F663C87"/>
    <w:rsid w:val="4F7E29A8"/>
    <w:rsid w:val="4F9E1FFC"/>
    <w:rsid w:val="50447CC2"/>
    <w:rsid w:val="5067010A"/>
    <w:rsid w:val="50874A7C"/>
    <w:rsid w:val="50895EE7"/>
    <w:rsid w:val="50921B9D"/>
    <w:rsid w:val="50D16158"/>
    <w:rsid w:val="50DB5F45"/>
    <w:rsid w:val="51025EB1"/>
    <w:rsid w:val="51141503"/>
    <w:rsid w:val="518D0ED5"/>
    <w:rsid w:val="51F9427F"/>
    <w:rsid w:val="525C687F"/>
    <w:rsid w:val="52F647F7"/>
    <w:rsid w:val="52F92565"/>
    <w:rsid w:val="53D03877"/>
    <w:rsid w:val="542F73CA"/>
    <w:rsid w:val="5430786D"/>
    <w:rsid w:val="54C811C0"/>
    <w:rsid w:val="556A442D"/>
    <w:rsid w:val="55DA564E"/>
    <w:rsid w:val="55E81465"/>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16114F"/>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697D80"/>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29022C"/>
    <w:rsid w:val="693748F0"/>
    <w:rsid w:val="69846A0E"/>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57B79"/>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994E0F"/>
    <w:rsid w:val="7AE952D2"/>
    <w:rsid w:val="7C253132"/>
    <w:rsid w:val="7C976D69"/>
    <w:rsid w:val="7CD752DA"/>
    <w:rsid w:val="7CDE40AB"/>
    <w:rsid w:val="7CF057E2"/>
    <w:rsid w:val="7D1548B5"/>
    <w:rsid w:val="7DF84014"/>
    <w:rsid w:val="7E207949"/>
    <w:rsid w:val="7E5C0A47"/>
    <w:rsid w:val="7E670C75"/>
    <w:rsid w:val="7EE24272"/>
    <w:rsid w:val="7EEA6053"/>
    <w:rsid w:val="7F0013D2"/>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6198</Words>
  <Characters>7098</Characters>
  <Lines>0</Lines>
  <Paragraphs>0</Paragraphs>
  <TotalTime>2</TotalTime>
  <ScaleCrop>false</ScaleCrop>
  <LinksUpToDate>false</LinksUpToDate>
  <CharactersWithSpaces>7110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冯雨竹</cp:lastModifiedBy>
  <dcterms:modified xsi:type="dcterms:W3CDTF">2024-11-07T11:36:43Z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