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84A041">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14:paraId="33A1C153">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24746C76">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博乐公路管理局</w:t>
      </w:r>
    </w:p>
    <w:p w14:paraId="486C05F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14:paraId="0E2AB8AE">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14:paraId="0A0A878F">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093CA8CB">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494178D9">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53A31F3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392D512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2C1FDA8F">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2DA8D2D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75EC64C7">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0744535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7076DCE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6364A400">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26E0B07B">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3741C83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4AFA5D8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1EBAA001">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63DA9D7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7149509C">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199721F5">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701A846E">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0FED808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1F5259DE">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5A56BD27">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40BD0CDF">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03BD2B05">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71A7094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7D9721A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4DFA9FF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30F1EC1F">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3C98BA17">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2E3B253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1435E4B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508A2E8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43F1ACF2">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5E70C7A1">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7D0AEE74">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14:paraId="240452B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14:paraId="4D26D938">
      <w:pPr>
        <w:ind w:firstLine="640" w:firstLineChars="200"/>
        <w:rPr>
          <w:rFonts w:ascii="黑体" w:hAnsi="黑体" w:eastAsia="黑体" w:cs="宋体"/>
          <w:bCs/>
          <w:color w:val="auto"/>
          <w:kern w:val="0"/>
          <w:sz w:val="32"/>
          <w:szCs w:val="32"/>
        </w:rPr>
      </w:pPr>
      <w:bookmarkStart w:id="4" w:name="_Toc31238"/>
      <w:bookmarkStart w:id="5" w:name="_Toc2151"/>
      <w:r>
        <w:rPr>
          <w:rFonts w:ascii="仿宋_GB2312" w:eastAsia="仿宋_GB2312"/>
          <w:color w:val="auto"/>
          <w:sz w:val="32"/>
          <w:szCs w:val="32"/>
        </w:rPr>
        <w:t>1.负责编报本辖区公路养护管理年度计划和预算，具体管理上级拨付的公路养护专项资金。</w:t>
      </w:r>
      <w:r>
        <w:rPr>
          <w:rFonts w:ascii="仿宋_GB2312" w:eastAsia="仿宋_GB2312"/>
          <w:color w:val="auto"/>
          <w:sz w:val="32"/>
          <w:szCs w:val="32"/>
        </w:rPr>
        <w:br w:type="textWrapping"/>
      </w:r>
      <w:r>
        <w:rPr>
          <w:rFonts w:ascii="仿宋_GB2312" w:eastAsia="仿宋_GB2312"/>
          <w:color w:val="auto"/>
          <w:sz w:val="32"/>
          <w:szCs w:val="32"/>
        </w:rPr>
        <w:t>　　2.负责辖区国道、省道、高速公路、口岸、边防公路和专用公路及沿线服务设施的养护和质量管理工作，以及公路交通战备、灾害应急处置、抢险救灾等工作。</w:t>
      </w:r>
      <w:r>
        <w:rPr>
          <w:rFonts w:ascii="仿宋_GB2312" w:eastAsia="仿宋_GB2312"/>
          <w:color w:val="auto"/>
          <w:sz w:val="32"/>
          <w:szCs w:val="32"/>
        </w:rPr>
        <w:br w:type="textWrapping"/>
      </w:r>
      <w:r>
        <w:rPr>
          <w:rFonts w:ascii="仿宋_GB2312" w:eastAsia="仿宋_GB2312"/>
          <w:color w:val="auto"/>
          <w:sz w:val="32"/>
          <w:szCs w:val="32"/>
        </w:rPr>
        <w:t>　　3.负责辖区内农村公路质量监督工作。</w:t>
      </w:r>
      <w:r>
        <w:rPr>
          <w:rFonts w:ascii="仿宋_GB2312" w:eastAsia="仿宋_GB2312"/>
          <w:color w:val="auto"/>
          <w:sz w:val="32"/>
          <w:szCs w:val="32"/>
        </w:rPr>
        <w:br w:type="textWrapping"/>
      </w:r>
      <w:r>
        <w:rPr>
          <w:rFonts w:ascii="仿宋_GB2312" w:eastAsia="仿宋_GB2312"/>
          <w:color w:val="auto"/>
          <w:sz w:val="32"/>
          <w:szCs w:val="32"/>
        </w:rPr>
        <w:t>　　4.根据自治区公路事业发展中心授权，负责辖区非经营性收费公路和经营性收费公路的管理工作。</w:t>
      </w:r>
      <w:r>
        <w:rPr>
          <w:rFonts w:ascii="仿宋_GB2312" w:eastAsia="仿宋_GB2312"/>
          <w:color w:val="auto"/>
          <w:sz w:val="32"/>
          <w:szCs w:val="32"/>
        </w:rPr>
        <w:br w:type="textWrapping"/>
      </w:r>
      <w:r>
        <w:rPr>
          <w:rFonts w:ascii="仿宋_GB2312" w:eastAsia="仿宋_GB2312"/>
          <w:color w:val="auto"/>
          <w:sz w:val="32"/>
          <w:szCs w:val="32"/>
        </w:rPr>
        <w:t>　　5.负责公路养护和施工机械设备的管理工作。</w:t>
      </w:r>
      <w:r>
        <w:rPr>
          <w:rFonts w:ascii="仿宋_GB2312" w:eastAsia="仿宋_GB2312"/>
          <w:color w:val="auto"/>
          <w:sz w:val="32"/>
          <w:szCs w:val="32"/>
        </w:rPr>
        <w:br w:type="textWrapping"/>
      </w:r>
      <w:r>
        <w:rPr>
          <w:rFonts w:ascii="仿宋_GB2312" w:eastAsia="仿宋_GB2312"/>
          <w:color w:val="auto"/>
          <w:sz w:val="32"/>
          <w:szCs w:val="32"/>
        </w:rPr>
        <w:t>　　6.负责辖区公路管理系统行业统计、经济调查和信息化建设等工作。</w:t>
      </w:r>
      <w:r>
        <w:rPr>
          <w:rFonts w:ascii="仿宋_GB2312" w:eastAsia="仿宋_GB2312"/>
          <w:color w:val="auto"/>
          <w:sz w:val="32"/>
          <w:szCs w:val="32"/>
        </w:rPr>
        <w:br w:type="textWrapping"/>
      </w:r>
      <w:r>
        <w:rPr>
          <w:rFonts w:ascii="仿宋_GB2312" w:eastAsia="仿宋_GB2312"/>
          <w:color w:val="auto"/>
          <w:sz w:val="32"/>
          <w:szCs w:val="32"/>
        </w:rPr>
        <w:t>　　7.承办自治区公路事业发展中心交办的其他工作</w:t>
      </w:r>
      <w:r>
        <w:rPr>
          <w:rFonts w:hint="eastAsia" w:ascii="仿宋_GB2312" w:eastAsia="仿宋_GB2312"/>
          <w:color w:val="auto"/>
          <w:sz w:val="32"/>
          <w:szCs w:val="32"/>
        </w:rPr>
        <w:t>。</w:t>
      </w:r>
    </w:p>
    <w:p w14:paraId="0B3AD37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3E448F9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博乐公路管理局</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649</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291</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358</w:t>
      </w:r>
      <w:r>
        <w:rPr>
          <w:rFonts w:hint="eastAsia" w:ascii="仿宋_GB2312" w:eastAsia="仿宋_GB2312"/>
          <w:color w:val="auto"/>
          <w:sz w:val="32"/>
          <w:szCs w:val="32"/>
          <w:highlight w:val="none"/>
        </w:rPr>
        <w:t>人。</w:t>
      </w:r>
    </w:p>
    <w:p w14:paraId="578D248D">
      <w:pPr>
        <w:ind w:firstLine="640" w:firstLineChars="200"/>
        <w:rPr>
          <w:rFonts w:ascii="仿宋_GB2312" w:eastAsia="仿宋_GB2312"/>
          <w:color w:val="auto"/>
          <w:sz w:val="32"/>
          <w:szCs w:val="32"/>
        </w:rPr>
      </w:pPr>
      <w:r>
        <w:rPr>
          <w:rFonts w:hint="eastAsia" w:ascii="仿宋_GB2312" w:hAnsi="黑体" w:eastAsia="仿宋_GB2312" w:cs="宋体"/>
          <w:bCs/>
          <w:color w:val="auto"/>
          <w:kern w:val="0"/>
          <w:sz w:val="32"/>
          <w:szCs w:val="32"/>
          <w:highlight w:val="none"/>
        </w:rPr>
        <w:t>单位无下属预算单位，下设</w:t>
      </w:r>
      <w:r>
        <w:rPr>
          <w:rFonts w:hint="eastAsia" w:ascii="仿宋_GB2312" w:eastAsia="仿宋_GB2312"/>
          <w:color w:val="auto"/>
          <w:sz w:val="32"/>
          <w:szCs w:val="32"/>
          <w:highlight w:val="none"/>
          <w:lang w:val="en-US" w:eastAsia="zh-CN"/>
        </w:rPr>
        <w:t>13</w:t>
      </w:r>
      <w:r>
        <w:rPr>
          <w:rFonts w:hint="eastAsia" w:ascii="仿宋_GB2312" w:hAnsi="黑体" w:eastAsia="仿宋_GB2312" w:cs="宋体"/>
          <w:bCs/>
          <w:color w:val="auto"/>
          <w:kern w:val="0"/>
          <w:sz w:val="32"/>
          <w:szCs w:val="32"/>
          <w:highlight w:val="none"/>
        </w:rPr>
        <w:t>个</w:t>
      </w:r>
      <w:r>
        <w:rPr>
          <w:rFonts w:hint="eastAsia" w:ascii="仿宋_GB2312" w:hAnsi="黑体" w:eastAsia="仿宋_GB2312" w:cs="宋体"/>
          <w:bCs/>
          <w:color w:val="auto"/>
          <w:kern w:val="0"/>
          <w:sz w:val="32"/>
          <w:szCs w:val="32"/>
          <w:highlight w:val="none"/>
          <w:lang w:val="en-US" w:eastAsia="zh-CN"/>
        </w:rPr>
        <w:t>科</w:t>
      </w:r>
      <w:r>
        <w:rPr>
          <w:rFonts w:hint="eastAsia" w:ascii="仿宋_GB2312" w:hAnsi="黑体" w:eastAsia="仿宋_GB2312" w:cs="宋体"/>
          <w:bCs/>
          <w:color w:val="auto"/>
          <w:kern w:val="0"/>
          <w:sz w:val="32"/>
          <w:szCs w:val="32"/>
          <w:highlight w:val="none"/>
        </w:rPr>
        <w:t>室，分别是：</w:t>
      </w:r>
      <w:r>
        <w:rPr>
          <w:rFonts w:hint="eastAsia" w:ascii="仿宋_GB2312" w:hAnsi="黑体" w:eastAsia="仿宋_GB2312" w:cs="宋体"/>
          <w:bCs/>
          <w:color w:val="auto"/>
          <w:kern w:val="0"/>
          <w:sz w:val="32"/>
          <w:szCs w:val="32"/>
        </w:rPr>
        <w:t>办公室（党委办公室）、组织人事科、财务审计科、养护管理科、收费稽查科、监控通讯科、设备管理科、劳动保障科、安全监督保卫科、纪委（监察室）、工会委员会、离退休人员管理科、后勤服务科</w:t>
      </w:r>
      <w:r>
        <w:rPr>
          <w:rFonts w:hint="eastAsia" w:ascii="仿宋_GB2312" w:hAnsi="宋体" w:eastAsia="仿宋_GB2312" w:cs="宋体"/>
          <w:color w:val="auto"/>
          <w:kern w:val="0"/>
          <w:sz w:val="32"/>
          <w:szCs w:val="32"/>
        </w:rPr>
        <w:t>。</w:t>
      </w:r>
    </w:p>
    <w:p w14:paraId="299C0F7D">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宋体" w:eastAsia="仿宋_GB2312" w:cs="宋体"/>
          <w:color w:val="auto"/>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p>
    <w:p w14:paraId="5BE0483B">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3092"/>
      <w:bookmarkStart w:id="7" w:name="_Toc29374"/>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109E5BB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14:paraId="1783A7D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8,605.83万元，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8,600.26万元，使用非财政拨款结余5.57万元，年初结转和结余0.00万元。</w:t>
      </w:r>
    </w:p>
    <w:p w14:paraId="4212D6F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8,605.83万元，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8,431.02万元，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0.00万元，年末结转和结余174.81万元。</w:t>
      </w:r>
    </w:p>
    <w:p w14:paraId="5A629A2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减少251.40万元</w:t>
      </w:r>
      <w:r>
        <w:rPr>
          <w:rFonts w:hint="eastAsia" w:ascii="仿宋_GB2312" w:eastAsia="仿宋_GB2312"/>
          <w:color w:val="auto"/>
          <w:spacing w:val="0"/>
          <w:sz w:val="32"/>
          <w:szCs w:val="32"/>
          <w:highlight w:val="none"/>
          <w:lang w:eastAsia="zh-CN"/>
        </w:rPr>
        <w:t>，下降2.84%，主要原因是：政府还贷二级公路取消收费后补助资金用于国省干线公路养护工程等项目资金减少。</w:t>
      </w:r>
    </w:p>
    <w:p w14:paraId="54B07F5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14:paraId="179A8B2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8,600.26</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8,593.32</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99.92</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6.94</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0.08</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14:paraId="2B4AEAB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14:paraId="7792CCA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仿宋_GB2312"/>
          <w:color w:val="auto"/>
          <w:sz w:val="32"/>
          <w:szCs w:val="32"/>
          <w:highlight w:val="none"/>
          <w:lang w:val="zh-CN" w:eastAsia="zh-CN"/>
        </w:rPr>
        <w:t>本年支出8,431.02万元，其中：基本支出7,029.45万元，占83.38%；项目支出1,401.57万元，占16.62%；上缴上级支出0.00万元，占0.00%；经营支出0.00万元，占0.00%；对附属单位补助支出0.00万元，占0.00%。</w:t>
      </w:r>
    </w:p>
    <w:p w14:paraId="78C88EC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4768BFE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8,593.32</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8,593.32</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8,593.32</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174.81</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8,418.51</w:t>
      </w:r>
      <w:r>
        <w:rPr>
          <w:rFonts w:hint="eastAsia" w:ascii="仿宋_GB2312" w:eastAsia="仿宋_GB2312"/>
          <w:color w:val="auto"/>
          <w:spacing w:val="0"/>
          <w:sz w:val="32"/>
          <w:szCs w:val="32"/>
          <w:highlight w:val="none"/>
          <w:lang w:eastAsia="zh-CN"/>
        </w:rPr>
        <w:t>万元。</w:t>
      </w:r>
    </w:p>
    <w:p w14:paraId="15A0EB6F">
      <w:pPr>
        <w:ind w:firstLine="709"/>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减少92.90万元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下降1.07%,</w:t>
      </w:r>
      <w:r>
        <w:rPr>
          <w:rFonts w:hint="eastAsia" w:ascii="仿宋_GB2312" w:eastAsia="仿宋_GB2312"/>
          <w:color w:val="auto"/>
          <w:spacing w:val="0"/>
          <w:sz w:val="32"/>
          <w:szCs w:val="32"/>
          <w:highlight w:val="none"/>
          <w:lang w:eastAsia="zh-CN"/>
        </w:rPr>
        <w:t>主要原因是：政府还贷二级公路取消收费后补助资金用于国省干线公路养护工程等项目资金减少。与年初预算相比，年初预算数</w:t>
      </w:r>
      <w:r>
        <w:rPr>
          <w:rFonts w:hint="eastAsia" w:ascii="仿宋_GB2312" w:eastAsia="仿宋_GB2312"/>
          <w:color w:val="auto"/>
          <w:spacing w:val="0"/>
          <w:sz w:val="32"/>
          <w:szCs w:val="32"/>
          <w:highlight w:val="none"/>
          <w:lang w:val="zh-CN" w:eastAsia="zh-CN"/>
        </w:rPr>
        <w:t>7,877.57</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8,593.32</w:t>
      </w:r>
      <w:r>
        <w:rPr>
          <w:rFonts w:hint="eastAsia" w:ascii="仿宋_GB2312" w:eastAsia="仿宋_GB2312"/>
          <w:color w:val="auto"/>
          <w:spacing w:val="0"/>
          <w:sz w:val="32"/>
          <w:szCs w:val="32"/>
          <w:highlight w:val="none"/>
          <w:lang w:eastAsia="zh-CN"/>
        </w:rPr>
        <w:t>万元，预决算差异率9.09%，主要原因是：</w:t>
      </w:r>
      <w:r>
        <w:rPr>
          <w:rFonts w:hint="eastAsia" w:ascii="仿宋_GB2312" w:eastAsia="仿宋_GB2312"/>
          <w:color w:val="auto"/>
          <w:spacing w:val="0"/>
          <w:sz w:val="32"/>
          <w:szCs w:val="32"/>
          <w:highlight w:val="none"/>
          <w:lang w:val="en-US" w:eastAsia="zh-CN"/>
        </w:rPr>
        <w:t>年中</w:t>
      </w:r>
      <w:r>
        <w:rPr>
          <w:rFonts w:hint="eastAsia" w:ascii="仿宋_GB2312" w:eastAsia="仿宋_GB2312"/>
          <w:color w:val="auto"/>
          <w:spacing w:val="0"/>
          <w:sz w:val="32"/>
          <w:szCs w:val="32"/>
          <w:highlight w:val="none"/>
          <w:lang w:eastAsia="zh-CN"/>
        </w:rPr>
        <w:t>追加年度考核奖、退休基础绩效奖</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eastAsia="zh-CN"/>
        </w:rPr>
        <w:t>2023年车辆购置税收入补助地方用于公路灾损抢修保通项目</w:t>
      </w:r>
      <w:r>
        <w:rPr>
          <w:rFonts w:hint="eastAsia" w:ascii="仿宋_GB2312" w:eastAsia="仿宋_GB2312"/>
          <w:color w:val="auto"/>
          <w:spacing w:val="0"/>
          <w:sz w:val="32"/>
          <w:szCs w:val="32"/>
          <w:highlight w:val="none"/>
          <w:lang w:val="en-US" w:eastAsia="zh-CN"/>
        </w:rPr>
        <w:t>资金、</w:t>
      </w:r>
      <w:r>
        <w:rPr>
          <w:rFonts w:hint="eastAsia" w:ascii="仿宋_GB2312" w:eastAsia="仿宋_GB2312"/>
          <w:color w:val="auto"/>
          <w:spacing w:val="0"/>
          <w:sz w:val="32"/>
          <w:szCs w:val="32"/>
          <w:highlight w:val="none"/>
          <w:lang w:eastAsia="zh-CN"/>
        </w:rPr>
        <w:t>机关事业单位职业年金缴费</w:t>
      </w:r>
      <w:r>
        <w:rPr>
          <w:rFonts w:hint="eastAsia" w:ascii="仿宋_GB2312" w:eastAsia="仿宋_GB2312"/>
          <w:color w:val="auto"/>
          <w:spacing w:val="0"/>
          <w:sz w:val="32"/>
          <w:szCs w:val="32"/>
          <w:highlight w:val="none"/>
          <w:lang w:val="en-US" w:eastAsia="zh-CN"/>
        </w:rPr>
        <w:t>及丧葬费抚恤金预算</w:t>
      </w:r>
      <w:r>
        <w:rPr>
          <w:rFonts w:hint="eastAsia" w:ascii="仿宋_GB2312" w:eastAsia="仿宋_GB2312"/>
          <w:color w:val="auto"/>
          <w:spacing w:val="0"/>
          <w:sz w:val="32"/>
          <w:szCs w:val="32"/>
          <w:highlight w:val="none"/>
          <w:lang w:eastAsia="zh-CN"/>
        </w:rPr>
        <w:t>。</w:t>
      </w:r>
    </w:p>
    <w:p w14:paraId="27EA64C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14:paraId="5C0B926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5EB307BC">
      <w:pPr>
        <w:ind w:firstLine="709"/>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2023年度一般公共预算财政拨款支出8,418.51万元，占本年支出合计的</w:t>
      </w:r>
      <w:r>
        <w:rPr>
          <w:rFonts w:hint="eastAsia" w:ascii="仿宋_GB2312" w:eastAsia="仿宋_GB2312"/>
          <w:color w:val="auto"/>
          <w:spacing w:val="0"/>
          <w:sz w:val="32"/>
          <w:szCs w:val="32"/>
          <w:highlight w:val="none"/>
          <w:lang w:val="zh-CN" w:eastAsia="zh-CN"/>
        </w:rPr>
        <w:t>99.85%</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减少267.71万元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下降3.08%,</w:t>
      </w:r>
      <w:r>
        <w:rPr>
          <w:rFonts w:hint="eastAsia" w:ascii="仿宋_GB2312" w:eastAsia="仿宋_GB2312"/>
          <w:color w:val="auto"/>
          <w:spacing w:val="0"/>
          <w:sz w:val="32"/>
          <w:szCs w:val="32"/>
          <w:highlight w:val="none"/>
          <w:lang w:eastAsia="zh-CN"/>
        </w:rPr>
        <w:t>主要原因是：政府还贷二级公路取消收费后补助资金用于国省干线公路养护工程等项目资金减少。与年初预算相比，年初预算数</w:t>
      </w:r>
      <w:r>
        <w:rPr>
          <w:rFonts w:hint="eastAsia" w:ascii="仿宋_GB2312" w:eastAsia="仿宋_GB2312"/>
          <w:color w:val="auto"/>
          <w:spacing w:val="0"/>
          <w:sz w:val="32"/>
          <w:szCs w:val="32"/>
          <w:highlight w:val="none"/>
          <w:lang w:val="zh-CN" w:eastAsia="zh-CN"/>
        </w:rPr>
        <w:t>7,877.57</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8,418.51</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6.87%</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年中</w:t>
      </w:r>
      <w:r>
        <w:rPr>
          <w:rFonts w:hint="eastAsia" w:ascii="仿宋_GB2312" w:eastAsia="仿宋_GB2312"/>
          <w:color w:val="auto"/>
          <w:spacing w:val="0"/>
          <w:sz w:val="32"/>
          <w:szCs w:val="32"/>
          <w:highlight w:val="none"/>
          <w:lang w:eastAsia="zh-CN"/>
        </w:rPr>
        <w:t>追加年度考核奖、退休基础绩效奖</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eastAsia="zh-CN"/>
        </w:rPr>
        <w:t>2023年车辆购置税收入补助地方用于公路灾损抢修保通项目</w:t>
      </w:r>
      <w:r>
        <w:rPr>
          <w:rFonts w:hint="eastAsia" w:ascii="仿宋_GB2312" w:eastAsia="仿宋_GB2312"/>
          <w:color w:val="auto"/>
          <w:spacing w:val="0"/>
          <w:sz w:val="32"/>
          <w:szCs w:val="32"/>
          <w:highlight w:val="none"/>
          <w:lang w:val="en-US" w:eastAsia="zh-CN"/>
        </w:rPr>
        <w:t>资金、</w:t>
      </w:r>
      <w:r>
        <w:rPr>
          <w:rFonts w:hint="eastAsia" w:ascii="仿宋_GB2312" w:eastAsia="仿宋_GB2312"/>
          <w:color w:val="auto"/>
          <w:spacing w:val="0"/>
          <w:sz w:val="32"/>
          <w:szCs w:val="32"/>
          <w:highlight w:val="none"/>
          <w:lang w:eastAsia="zh-CN"/>
        </w:rPr>
        <w:t>机关事业单位职业年金缴费</w:t>
      </w:r>
      <w:r>
        <w:rPr>
          <w:rFonts w:hint="eastAsia" w:ascii="仿宋_GB2312" w:eastAsia="仿宋_GB2312"/>
          <w:color w:val="auto"/>
          <w:spacing w:val="0"/>
          <w:sz w:val="32"/>
          <w:szCs w:val="32"/>
          <w:highlight w:val="none"/>
          <w:lang w:val="en-US" w:eastAsia="zh-CN"/>
        </w:rPr>
        <w:t>及丧葬费抚恤金预算</w:t>
      </w:r>
      <w:r>
        <w:rPr>
          <w:rFonts w:hint="eastAsia" w:ascii="仿宋_GB2312" w:eastAsia="仿宋_GB2312"/>
          <w:color w:val="auto"/>
          <w:spacing w:val="0"/>
          <w:sz w:val="32"/>
          <w:szCs w:val="32"/>
          <w:highlight w:val="none"/>
          <w:lang w:eastAsia="zh-CN"/>
        </w:rPr>
        <w:t>。</w:t>
      </w:r>
    </w:p>
    <w:p w14:paraId="7705A079">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31356CAA">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1</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1,313.54</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15.60</w:t>
      </w:r>
      <w:r>
        <w:rPr>
          <w:rFonts w:hint="default" w:ascii="仿宋_GB2312" w:hAnsi="Times New Roman" w:eastAsia="仿宋_GB2312" w:cs="Times New Roman"/>
          <w:color w:val="auto"/>
          <w:spacing w:val="0"/>
          <w:kern w:val="2"/>
          <w:sz w:val="32"/>
          <w:szCs w:val="32"/>
          <w:highlight w:val="none"/>
          <w:lang w:val="zh-CN" w:eastAsia="zh-CN" w:bidi="ar-SA"/>
        </w:rPr>
        <w:t>%；</w:t>
      </w:r>
    </w:p>
    <w:p w14:paraId="456DDE5E">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337.30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4.01</w:t>
      </w:r>
      <w:r>
        <w:rPr>
          <w:rFonts w:hint="default" w:ascii="仿宋_GB2312" w:hAnsi="Times New Roman" w:eastAsia="仿宋_GB2312" w:cs="Times New Roman"/>
          <w:color w:val="auto"/>
          <w:spacing w:val="0"/>
          <w:kern w:val="2"/>
          <w:sz w:val="32"/>
          <w:szCs w:val="32"/>
          <w:highlight w:val="none"/>
          <w:lang w:val="zh-CN" w:eastAsia="zh-CN" w:bidi="ar-SA"/>
        </w:rPr>
        <w:t>%；</w:t>
      </w:r>
    </w:p>
    <w:p w14:paraId="24783961">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交通运输支出（类）</w:t>
      </w:r>
      <w:r>
        <w:rPr>
          <w:rFonts w:hint="eastAsia" w:ascii="仿宋_GB2312" w:hAnsi="Times New Roman" w:eastAsia="仿宋_GB2312" w:cs="Times New Roman"/>
          <w:color w:val="auto"/>
          <w:spacing w:val="0"/>
          <w:kern w:val="2"/>
          <w:sz w:val="32"/>
          <w:szCs w:val="32"/>
          <w:highlight w:val="none"/>
          <w:lang w:val="zh-CN" w:eastAsia="zh-CN" w:bidi="ar-SA"/>
        </w:rPr>
        <w:t>6,397.48</w:t>
      </w:r>
      <w:r>
        <w:rPr>
          <w:rFonts w:hint="default" w:ascii="仿宋_GB2312" w:hAnsi="Times New Roman" w:eastAsia="仿宋_GB2312" w:cs="Times New Roman"/>
          <w:color w:val="auto"/>
          <w:spacing w:val="0"/>
          <w:kern w:val="2"/>
          <w:sz w:val="32"/>
          <w:szCs w:val="32"/>
          <w:highlight w:val="none"/>
          <w:lang w:val="zh-CN" w:eastAsia="zh-CN" w:bidi="ar-SA"/>
        </w:rPr>
        <w:t xml:space="preserve">万元，占 </w:t>
      </w:r>
      <w:r>
        <w:rPr>
          <w:rFonts w:hint="eastAsia" w:ascii="仿宋_GB2312" w:hAnsi="Times New Roman" w:eastAsia="仿宋_GB2312" w:cs="Times New Roman"/>
          <w:color w:val="auto"/>
          <w:spacing w:val="0"/>
          <w:kern w:val="2"/>
          <w:sz w:val="32"/>
          <w:szCs w:val="32"/>
          <w:highlight w:val="none"/>
          <w:lang w:val="zh-CN" w:eastAsia="zh-CN" w:bidi="ar-SA"/>
        </w:rPr>
        <w:t>75.99</w:t>
      </w:r>
      <w:r>
        <w:rPr>
          <w:rFonts w:hint="default" w:ascii="仿宋_GB2312" w:hAnsi="Times New Roman" w:eastAsia="仿宋_GB2312" w:cs="Times New Roman"/>
          <w:color w:val="auto"/>
          <w:spacing w:val="0"/>
          <w:kern w:val="2"/>
          <w:sz w:val="32"/>
          <w:szCs w:val="32"/>
          <w:highlight w:val="none"/>
          <w:lang w:val="zh-CN" w:eastAsia="zh-CN" w:bidi="ar-SA"/>
        </w:rPr>
        <w:t>%；</w:t>
      </w:r>
    </w:p>
    <w:p w14:paraId="7DA3CFF1">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4</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370.18</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4.40</w:t>
      </w:r>
      <w:r>
        <w:rPr>
          <w:rFonts w:hint="default" w:ascii="仿宋_GB2312" w:hAnsi="Times New Roman" w:eastAsia="仿宋_GB2312" w:cs="Times New Roman"/>
          <w:color w:val="auto"/>
          <w:spacing w:val="0"/>
          <w:kern w:val="2"/>
          <w:sz w:val="32"/>
          <w:szCs w:val="32"/>
          <w:highlight w:val="none"/>
          <w:lang w:val="zh-CN" w:eastAsia="zh-CN" w:bidi="ar-SA"/>
        </w:rPr>
        <w:t>%</w:t>
      </w:r>
      <w:r>
        <w:rPr>
          <w:rFonts w:hint="eastAsia" w:ascii="仿宋_GB2312" w:eastAsia="仿宋_GB2312" w:cs="Times New Roman"/>
          <w:color w:val="auto"/>
          <w:spacing w:val="0"/>
          <w:kern w:val="2"/>
          <w:sz w:val="32"/>
          <w:szCs w:val="32"/>
          <w:highlight w:val="none"/>
          <w:lang w:val="zh-CN" w:eastAsia="zh-CN" w:bidi="ar-SA"/>
        </w:rPr>
        <w:t>。</w:t>
      </w:r>
    </w:p>
    <w:p w14:paraId="646AA2A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538204B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Times New Roman" w:hAnsi="Times New Roman" w:eastAsia="仿宋_GB2312" w:cs="Times New Roman"/>
          <w:color w:val="auto"/>
          <w:kern w:val="2"/>
          <w:sz w:val="32"/>
          <w:szCs w:val="32"/>
          <w:highlight w:val="none"/>
          <w:lang w:val="en-US" w:eastAsia="zh-CN" w:bidi="ar-SA"/>
        </w:rPr>
        <w:t>1.卫生健康支出（类）行政事业单位医疗（款）事业单位医疗（项）:支出决算数为231.36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25.15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9.80%，主要原因是：</w:t>
      </w:r>
      <w:r>
        <w:rPr>
          <w:rFonts w:hint="eastAsia" w:ascii="仿宋_GB2312" w:eastAsia="仿宋_GB2312"/>
          <w:color w:val="auto"/>
          <w:spacing w:val="0"/>
          <w:sz w:val="32"/>
          <w:szCs w:val="32"/>
          <w:highlight w:val="none"/>
          <w:lang w:val="en-US" w:eastAsia="zh-CN"/>
        </w:rPr>
        <w:t>在职人员较上年减少22人。</w:t>
      </w:r>
    </w:p>
    <w:p w14:paraId="075B653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eastAsia="仿宋_GB2312"/>
          <w:color w:val="auto"/>
          <w:spacing w:val="0"/>
          <w:sz w:val="32"/>
          <w:szCs w:val="32"/>
          <w:highlight w:val="none"/>
          <w:lang w:eastAsia="zh-CN"/>
        </w:rPr>
      </w:pPr>
      <w:r>
        <w:rPr>
          <w:rFonts w:hint="eastAsia" w:ascii="Times New Roman" w:hAnsi="Times New Roman" w:eastAsia="仿宋_GB2312" w:cs="Times New Roman"/>
          <w:color w:val="auto"/>
          <w:kern w:val="2"/>
          <w:sz w:val="32"/>
          <w:szCs w:val="32"/>
          <w:highlight w:val="none"/>
          <w:lang w:val="en-US" w:eastAsia="zh-CN" w:bidi="ar-SA"/>
        </w:rPr>
        <w:t>2.卫生健康支出（类）行政事业单位医疗（款）公务员医疗补助（项）:支出决算数为105.94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45.21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74.44%，主要原因是：</w:t>
      </w:r>
      <w:r>
        <w:rPr>
          <w:rFonts w:hint="eastAsia" w:ascii="仿宋_GB2312" w:eastAsia="仿宋_GB2312"/>
          <w:color w:val="auto"/>
          <w:spacing w:val="0"/>
          <w:sz w:val="32"/>
          <w:szCs w:val="32"/>
          <w:highlight w:val="none"/>
          <w:lang w:eastAsia="zh-CN"/>
        </w:rPr>
        <w:t>工资、绩效以及津贴补贴调整导致本年社会保障缴费基数增加，社会保障缴费支出增加。</w:t>
      </w:r>
    </w:p>
    <w:p w14:paraId="00AE8D1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3.交通运输支出（类）公路水路运输（款）公路养护（项）:支出决算数为6,036.48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499.83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7.65%，主要原因是：</w:t>
      </w:r>
      <w:r>
        <w:rPr>
          <w:rFonts w:hint="eastAsia" w:ascii="仿宋_GB2312" w:eastAsia="仿宋_GB2312"/>
          <w:color w:val="auto"/>
          <w:spacing w:val="0"/>
          <w:sz w:val="32"/>
          <w:szCs w:val="32"/>
          <w:highlight w:val="none"/>
          <w:lang w:eastAsia="zh-CN"/>
        </w:rPr>
        <w:t>政府还贷二级公路取消收费后补助资金用于国省干线公路养护工程等项目资金减少。</w:t>
      </w:r>
    </w:p>
    <w:p w14:paraId="1B0B775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4.交通运输支出（类）车辆购置税支出（款）车辆购置税用于公路等基础设施建设支出（项）:支出决算数为361.00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361.00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en-US" w:eastAsia="zh-CN" w:bidi="ar-SA"/>
        </w:rPr>
        <w:t>2023年增加三项工程项目、</w:t>
      </w:r>
      <w:r>
        <w:rPr>
          <w:rFonts w:hint="eastAsia" w:ascii="Times New Roman" w:hAnsi="Times New Roman" w:eastAsia="仿宋_GB2312" w:cs="Times New Roman"/>
          <w:color w:val="auto"/>
          <w:kern w:val="2"/>
          <w:sz w:val="32"/>
          <w:szCs w:val="32"/>
          <w:highlight w:val="none"/>
          <w:lang w:val="zh-CN" w:eastAsia="zh-CN" w:bidi="ar-SA"/>
        </w:rPr>
        <w:t>2023年车辆购置税收入补助地方用于公路灾损抢修保通项目</w:t>
      </w:r>
      <w:r>
        <w:rPr>
          <w:rFonts w:hint="eastAsia" w:eastAsia="仿宋_GB2312" w:cs="Times New Roman"/>
          <w:color w:val="auto"/>
          <w:kern w:val="2"/>
          <w:sz w:val="32"/>
          <w:szCs w:val="32"/>
          <w:highlight w:val="none"/>
          <w:lang w:val="en-US" w:eastAsia="zh-CN" w:bidi="ar-SA"/>
        </w:rPr>
        <w:t>预算。</w:t>
      </w:r>
    </w:p>
    <w:p w14:paraId="59F3EED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5.住房保障支出（类）住房改革支出（款）住房公积金（项）:支出决算数为370.18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48.70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11.63%，主要原因是：</w:t>
      </w:r>
      <w:r>
        <w:rPr>
          <w:rFonts w:hint="eastAsia" w:ascii="仿宋_GB2312" w:eastAsia="仿宋_GB2312"/>
          <w:color w:val="auto"/>
          <w:spacing w:val="0"/>
          <w:sz w:val="32"/>
          <w:szCs w:val="32"/>
          <w:highlight w:val="none"/>
          <w:lang w:val="en-US" w:eastAsia="zh-CN"/>
        </w:rPr>
        <w:t>在职人员较上年减少22人</w:t>
      </w:r>
      <w:r>
        <w:rPr>
          <w:rFonts w:hint="eastAsia" w:ascii="仿宋_GB2312" w:eastAsia="仿宋_GB2312"/>
          <w:color w:val="auto"/>
          <w:spacing w:val="0"/>
          <w:sz w:val="32"/>
          <w:szCs w:val="32"/>
          <w:highlight w:val="none"/>
          <w:lang w:eastAsia="zh-CN"/>
        </w:rPr>
        <w:t>。</w:t>
      </w:r>
    </w:p>
    <w:p w14:paraId="084DC3C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Times New Roman" w:hAnsi="Times New Roman" w:eastAsia="仿宋_GB2312" w:cs="Times New Roman"/>
          <w:color w:val="auto"/>
          <w:kern w:val="2"/>
          <w:sz w:val="32"/>
          <w:szCs w:val="32"/>
          <w:highlight w:val="none"/>
          <w:lang w:val="en-US" w:eastAsia="zh-CN" w:bidi="ar-SA"/>
        </w:rPr>
        <w:t>6.社会保障和就业支出（类）行政事业单位养老支出（款）事业单位离退休（项）:支出决算数为766.25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166.90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17.89%，主要原因是：</w:t>
      </w:r>
      <w:r>
        <w:rPr>
          <w:rFonts w:hint="eastAsia" w:ascii="仿宋_GB2312" w:eastAsia="仿宋_GB2312"/>
          <w:color w:val="auto"/>
          <w:spacing w:val="0"/>
          <w:sz w:val="32"/>
          <w:szCs w:val="32"/>
          <w:highlight w:val="none"/>
          <w:lang w:val="en-US" w:eastAsia="zh-CN"/>
        </w:rPr>
        <w:t>2023年退休人员医疗费由当地社保部门缴纳。</w:t>
      </w:r>
    </w:p>
    <w:p w14:paraId="684FAFD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7.社会保障和就业支出（类）行政事业单位养老支出（款）机关事业单位职业年金缴费支出（项）:支出决算数为53.71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26.59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98.04%，主要原因是：</w:t>
      </w:r>
      <w:r>
        <w:rPr>
          <w:rFonts w:hint="eastAsia" w:ascii="仿宋_GB2312" w:eastAsia="仿宋_GB2312"/>
          <w:color w:val="auto"/>
          <w:spacing w:val="0"/>
          <w:sz w:val="32"/>
          <w:szCs w:val="32"/>
          <w:highlight w:val="none"/>
          <w:lang w:val="en-US" w:eastAsia="zh-CN"/>
        </w:rPr>
        <w:t>在职人员较上年减少22人</w:t>
      </w:r>
      <w:r>
        <w:rPr>
          <w:rFonts w:hint="eastAsia" w:ascii="Times New Roman" w:hAnsi="Times New Roman" w:eastAsia="仿宋_GB2312" w:cs="Times New Roman"/>
          <w:color w:val="auto"/>
          <w:kern w:val="2"/>
          <w:sz w:val="32"/>
          <w:szCs w:val="32"/>
          <w:highlight w:val="none"/>
          <w:lang w:val="zh-CN" w:eastAsia="zh-CN" w:bidi="ar-SA"/>
        </w:rPr>
        <w:t>，单位职业年金缴费支出</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zh-CN" w:eastAsia="zh-CN" w:bidi="ar-SA"/>
        </w:rPr>
        <w:t>。</w:t>
      </w:r>
    </w:p>
    <w:p w14:paraId="01C0DEC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8.社会保障和就业支出（类）行政事业单位养老支出（款）机关事业单位基本养老保险缴费支出（项）:支出决算数为493.58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40.07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8.84%，主要原因是：</w:t>
      </w:r>
      <w:r>
        <w:rPr>
          <w:rFonts w:hint="eastAsia" w:ascii="Times New Roman" w:hAnsi="Times New Roman" w:eastAsia="仿宋_GB2312" w:cs="Times New Roman"/>
          <w:color w:val="auto"/>
          <w:kern w:val="2"/>
          <w:sz w:val="32"/>
          <w:szCs w:val="32"/>
          <w:highlight w:val="none"/>
          <w:lang w:val="zh-CN" w:eastAsia="zh-CN" w:bidi="ar-SA"/>
        </w:rPr>
        <w:t>工资、绩效以及津贴补贴调整导致本年社会保障缴费基数增加，社会保障缴费支出增加。</w:t>
      </w:r>
    </w:p>
    <w:p w14:paraId="53F00C4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20C7EE89">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7,029.45</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6,573.92</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其他工资福利支出、退休费、抚恤金、生活补助、医疗费补助、其他对个人和家庭的补助。</w:t>
      </w:r>
    </w:p>
    <w:p w14:paraId="05ADA7B2">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red"/>
          <w:lang w:val="en-US" w:eastAsia="zh-CN"/>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455.53</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办公费、水费、电费、邮电费、取暖费、差旅费、工会经费、福利费、公务用车运行维护费、其他商品和服务支出。</w:t>
      </w:r>
    </w:p>
    <w:p w14:paraId="20A8617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14:paraId="7B7A1D85">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“三公”经费支出49.06万元，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减少2.62万元，</w:t>
      </w:r>
      <w:r>
        <w:rPr>
          <w:rFonts w:hint="eastAsia" w:ascii="仿宋_GB2312" w:eastAsia="仿宋_GB2312"/>
          <w:color w:val="auto"/>
          <w:spacing w:val="0"/>
          <w:sz w:val="32"/>
          <w:szCs w:val="32"/>
          <w:highlight w:val="none"/>
          <w:lang w:val="en-US" w:eastAsia="zh-CN"/>
        </w:rPr>
        <w:t>下降5.07%,</w:t>
      </w:r>
      <w:r>
        <w:rPr>
          <w:rFonts w:hint="eastAsia" w:ascii="仿宋_GB2312" w:eastAsia="仿宋_GB2312"/>
          <w:color w:val="auto"/>
          <w:sz w:val="32"/>
          <w:szCs w:val="32"/>
          <w:highlight w:val="none"/>
          <w:lang w:val="zh-CN" w:eastAsia="zh-CN"/>
        </w:rPr>
        <w:t>主要原因是：我单位严控“三公”经费，严格落实政府过紧日子要求，厉行节约、降低经费开支。其中：因公出国（境）费支出0.00万元，占0.00%，比上年增加0.00万元，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主要原因是：我单位无因公出国（境）费；公务用车购置及运行维护费支出49.06万元，占100.00%，比上年减少2.62万元，</w:t>
      </w:r>
      <w:r>
        <w:rPr>
          <w:rFonts w:hint="eastAsia" w:ascii="仿宋_GB2312" w:eastAsia="仿宋_GB2312"/>
          <w:color w:val="auto"/>
          <w:spacing w:val="0"/>
          <w:sz w:val="32"/>
          <w:szCs w:val="32"/>
          <w:highlight w:val="none"/>
          <w:lang w:val="en-US" w:eastAsia="zh-CN"/>
        </w:rPr>
        <w:t>下降5.07%,</w:t>
      </w:r>
      <w:r>
        <w:rPr>
          <w:rFonts w:hint="eastAsia" w:ascii="仿宋_GB2312" w:eastAsia="仿宋_GB2312"/>
          <w:color w:val="auto"/>
          <w:sz w:val="32"/>
          <w:szCs w:val="32"/>
          <w:highlight w:val="none"/>
          <w:lang w:val="zh-CN" w:eastAsia="zh-CN"/>
        </w:rPr>
        <w:t>主要原因是：我单位严格控制公务用车购置及运行维护费支出，形成逐年递减趋势；公务接待费支出0.00万元，占0.00%，比上年增加0.00万元，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主要原因是：我单位无公务接待费。</w:t>
      </w:r>
    </w:p>
    <w:p w14:paraId="382A2375">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14:paraId="6671B1FB">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因公出国（境）费支出0.00万元，我单位无因公出国（境）费。单位全年安排的因公出国（境）团组0个，因公出国（境）0人次。</w:t>
      </w:r>
    </w:p>
    <w:p w14:paraId="69BC393E">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49.06万元，其中：公务用车购置费0.00万元，公务用车运行维护费49.06万元。公务用车运行维护费开支内容包括公务用车购买机动车保险、车辆维修、车辆加油。公务用车购置数0辆，公务用车保有量34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132辆，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w:t>
      </w:r>
      <w:r>
        <w:rPr>
          <w:rFonts w:hint="eastAsia" w:ascii="仿宋_GB2312" w:eastAsia="仿宋_GB2312"/>
          <w:color w:val="auto"/>
          <w:sz w:val="32"/>
          <w:szCs w:val="32"/>
          <w:highlight w:val="none"/>
          <w:lang w:val="en-US" w:eastAsia="zh-CN"/>
        </w:rPr>
        <w:t>我单位除了公务用车以外，还有</w:t>
      </w:r>
      <w:r>
        <w:rPr>
          <w:rFonts w:hint="eastAsia" w:ascii="仿宋_GB2312" w:eastAsia="仿宋_GB2312"/>
          <w:color w:val="auto"/>
          <w:sz w:val="32"/>
          <w:szCs w:val="32"/>
          <w:highlight w:val="none"/>
          <w:lang w:val="zh-CN" w:eastAsia="zh-CN"/>
        </w:rPr>
        <w:t>沥青保温车、大巴车、皮卡车、吊车、运输车、清扫车等</w:t>
      </w:r>
      <w:r>
        <w:rPr>
          <w:rFonts w:hint="eastAsia" w:ascii="仿宋_GB2312" w:eastAsia="仿宋_GB2312"/>
          <w:color w:val="auto"/>
          <w:sz w:val="32"/>
          <w:szCs w:val="32"/>
          <w:highlight w:val="none"/>
          <w:lang w:val="en-US" w:eastAsia="zh-CN"/>
        </w:rPr>
        <w:t>其他业务车辆,除公务用车外的其他车辆经费从专项项目中列支。</w:t>
      </w:r>
      <w:bookmarkStart w:id="48" w:name="_GoBack"/>
      <w:bookmarkEnd w:id="48"/>
    </w:p>
    <w:p w14:paraId="7BB88074">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hint="eastAsia" w:ascii="仿宋_GB2312" w:eastAsia="仿宋_GB2312"/>
          <w:color w:val="auto"/>
          <w:sz w:val="32"/>
          <w:szCs w:val="32"/>
        </w:rPr>
        <w:t>我</w:t>
      </w:r>
      <w:r>
        <w:rPr>
          <w:rFonts w:hint="eastAsia" w:ascii="仿宋_GB2312" w:eastAsia="仿宋_GB2312"/>
          <w:color w:val="auto"/>
          <w:sz w:val="32"/>
          <w:szCs w:val="32"/>
          <w:highlight w:val="none"/>
          <w:lang w:val="zh-CN" w:eastAsia="zh-CN"/>
        </w:rPr>
        <w:t>单位无公务接待费。单位全年安排的国内公务接待0批次，0人次。</w:t>
      </w:r>
    </w:p>
    <w:p w14:paraId="75986BAD">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预算数49.06万元，决算数49.06万元，预决算差异率0.00%，主要原因是：</w:t>
      </w:r>
      <w:r>
        <w:rPr>
          <w:rFonts w:hint="eastAsia" w:ascii="仿宋_GB2312" w:eastAsia="仿宋_GB2312"/>
          <w:color w:val="auto"/>
          <w:sz w:val="32"/>
          <w:szCs w:val="32"/>
          <w:highlight w:val="none"/>
          <w:lang w:val="en-US" w:eastAsia="zh-CN"/>
        </w:rPr>
        <w:t>我单位</w:t>
      </w:r>
      <w:r>
        <w:rPr>
          <w:rFonts w:hint="eastAsia" w:ascii="仿宋_GB2312" w:eastAsia="仿宋_GB2312"/>
          <w:color w:val="auto"/>
          <w:sz w:val="32"/>
          <w:szCs w:val="32"/>
          <w:highlight w:val="none"/>
          <w:lang w:val="zh-CN" w:eastAsia="zh-CN"/>
        </w:rPr>
        <w:t>从严控制包括公务用车运行费在内的一般性支出。其中：因公出国（境）费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0.00万元，决算数0.00万元，预决算差异率0.00%，主要原因是：我单位无因公出国（境）费；公务用车购置费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预算数0.00万元，决算数0.00万元，预决算差异率0.00%，主要原因是：我单位无公务用车购置费；公务用车运行费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预算数49.06万元，决算数49.06万元，预决算差异率0.00%，主要原因是：我单位严格按照年初预算执行公务用车运行费，预决算无差异；公务接待费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预算数0.00万元，决算数0.00万元，预决算差异率0.00%，主要原因是：我单位无公务接待费。</w:t>
      </w:r>
    </w:p>
    <w:p w14:paraId="241B5A8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仿宋_GB2312" w:eastAsia="仿宋_GB2312"/>
          <w:color w:val="auto"/>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14:paraId="7DBAD84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14:paraId="7121B2D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218B235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14:paraId="1236330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1235"/>
      <w:bookmarkStart w:id="21"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14:paraId="68A255A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14:paraId="3C81FC0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bookmarkStart w:id="24" w:name="_Toc227"/>
      <w:bookmarkStart w:id="25" w:name="_Toc26704"/>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博乐公路管理局（事业单位）公用经费支出455.53万元，</w:t>
      </w:r>
      <w:r>
        <w:rPr>
          <w:rFonts w:hint="eastAsia" w:ascii="Times New Roman" w:hAnsi="Times New Roman" w:eastAsia="仿宋_GB2312" w:cs="Times New Roman"/>
          <w:color w:val="auto"/>
          <w:sz w:val="32"/>
          <w:szCs w:val="32"/>
          <w:highlight w:val="none"/>
          <w:lang w:val="zh-CN" w:eastAsia="zh-CN"/>
        </w:rPr>
        <w:t>比上年增加37.48万元，增长8.97%，主要原因是：</w:t>
      </w:r>
      <w:r>
        <w:rPr>
          <w:rFonts w:hint="eastAsia" w:ascii="Times New Roman" w:hAnsi="Times New Roman" w:eastAsia="仿宋_GB2312" w:cs="Times New Roman"/>
          <w:color w:val="auto"/>
          <w:kern w:val="2"/>
          <w:sz w:val="32"/>
          <w:szCs w:val="32"/>
          <w:highlight w:val="none"/>
          <w:lang w:val="zh-CN" w:eastAsia="zh-CN" w:bidi="ar-SA"/>
        </w:rPr>
        <w:t>工资、绩效以及津贴补贴调整导致本年</w:t>
      </w:r>
      <w:r>
        <w:rPr>
          <w:rFonts w:hint="eastAsia" w:eastAsia="仿宋_GB2312" w:cs="Times New Roman"/>
          <w:color w:val="auto"/>
          <w:kern w:val="2"/>
          <w:sz w:val="32"/>
          <w:szCs w:val="32"/>
          <w:highlight w:val="none"/>
          <w:lang w:val="en-US" w:eastAsia="zh-CN" w:bidi="ar-SA"/>
        </w:rPr>
        <w:t>工会经费、职工福利费等</w:t>
      </w:r>
      <w:r>
        <w:rPr>
          <w:rFonts w:hint="eastAsia" w:ascii="Times New Roman" w:hAnsi="Times New Roman" w:eastAsia="仿宋_GB2312" w:cs="Times New Roman"/>
          <w:color w:val="auto"/>
          <w:sz w:val="32"/>
          <w:szCs w:val="32"/>
          <w:highlight w:val="none"/>
          <w:lang w:val="en-US" w:eastAsia="zh-CN"/>
        </w:rPr>
        <w:t>公用经费</w:t>
      </w:r>
      <w:r>
        <w:rPr>
          <w:rFonts w:hint="eastAsia" w:eastAsia="仿宋_GB2312" w:cs="Times New Roman"/>
          <w:color w:val="auto"/>
          <w:sz w:val="32"/>
          <w:szCs w:val="32"/>
          <w:highlight w:val="none"/>
          <w:lang w:val="en-US" w:eastAsia="zh-CN"/>
        </w:rPr>
        <w:t>预算</w:t>
      </w:r>
      <w:r>
        <w:rPr>
          <w:rFonts w:hint="eastAsia" w:ascii="Times New Roman" w:hAnsi="Times New Roman" w:eastAsia="仿宋_GB2312" w:cs="Times New Roman"/>
          <w:color w:val="auto"/>
          <w:kern w:val="2"/>
          <w:sz w:val="32"/>
          <w:szCs w:val="32"/>
          <w:highlight w:val="none"/>
          <w:lang w:val="zh-CN" w:eastAsia="zh-CN" w:bidi="ar-SA"/>
        </w:rPr>
        <w:t>增加</w:t>
      </w:r>
      <w:r>
        <w:rPr>
          <w:rFonts w:hint="eastAsia" w:eastAsia="仿宋_GB2312" w:cs="Times New Roman"/>
          <w:color w:val="auto"/>
          <w:sz w:val="32"/>
          <w:szCs w:val="32"/>
          <w:highlight w:val="none"/>
          <w:lang w:val="en-US" w:eastAsia="zh-CN"/>
        </w:rPr>
        <w:t>。</w:t>
      </w:r>
    </w:p>
    <w:p w14:paraId="150C9CF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14:paraId="30B826B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684.42万元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其中：政府采购货物支出187.84万元、政府采购工程支出37.52万元、政府采购服务支出459.05万元。</w:t>
      </w:r>
    </w:p>
    <w:p w14:paraId="1C2D6E0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授予中小企业合同金额653.34万元，占政府采购支出总额的95.46</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，其中：授予小微企业合同金额585.49万元，占政府采购支出总额的85.55</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14:paraId="0B0E184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14:paraId="5A2B585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9,456.16</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屋14636.59平方米，价值1,794.14万元。车辆132辆，价值4,049.41万元，其中：副部（省）级及以上领导用车0辆、主要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用车0辆、机要通信用车0辆、应急保障用车12辆、执法执勤用车0辆、特种专业技术用车39辆、离退休干部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用车0辆、其他用车81辆，其他用车主要是：自卸车、洒水车、皮卡车、依维柯工程车</w:t>
      </w:r>
      <w:r>
        <w:rPr>
          <w:rFonts w:hint="eastAsia" w:eastAsia="仿宋_GB2312" w:cs="Times New Roman"/>
          <w:color w:val="auto"/>
          <w:sz w:val="32"/>
          <w:szCs w:val="32"/>
          <w:highlight w:val="none"/>
          <w:lang w:val="en-US" w:eastAsia="zh-CN"/>
        </w:rPr>
        <w:t>等</w:t>
      </w:r>
      <w:r>
        <w:rPr>
          <w:rFonts w:hint="eastAsia" w:ascii="Times New Roman" w:hAnsi="Times New Roman" w:eastAsia="仿宋_GB2312" w:cs="Times New Roman"/>
          <w:color w:val="auto"/>
          <w:sz w:val="32"/>
          <w:szCs w:val="32"/>
          <w:highlight w:val="none"/>
          <w:lang w:val="zh-CN" w:eastAsia="zh-CN"/>
        </w:rPr>
        <w:t>公路养护作业用车；单价100万元（含）以上设备（不含车辆）5</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套）。</w:t>
      </w:r>
    </w:p>
    <w:p w14:paraId="4E86943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14:paraId="586F342B">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2023年度预算绩效评价项目</w:t>
      </w:r>
      <w:r>
        <w:rPr>
          <w:rFonts w:hint="eastAsia" w:ascii="仿宋_GB2312" w:eastAsia="仿宋_GB2312"/>
          <w:color w:val="auto"/>
          <w:sz w:val="32"/>
          <w:szCs w:val="32"/>
          <w:highlight w:val="none"/>
          <w:lang w:val="en-US" w:eastAsia="zh-CN"/>
        </w:rPr>
        <w:t>5</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全年预算数1604.06</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全年执行数1604.06</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一是逐步规范项目管理。严格按照财政厅有关规定与我局财务规定执行，专项经费实行项目管理、专项核算、专款专用。二是逐步健全项目管理责任制。不断增强项目执行的严肃性和约束力，加大对项目的跟踪管理力度，努力保障项目顺利实施。发现的问题及原因：一是项目实施缓慢，无法在5月绩效监控节点完成财政要求的预算执行率。二是绩效评价工作水平有待提升。下一步改进措施：一是细化资金测算。逐步完善预算支出标准体系，提高资金测算的准确性，根据项目实际内容，按照相关支出标准，细化测算预算资金，合理确定项目资金额度，注意与绩效目标的匹配度，合理制定项目实施计划，加强项目前期可行性研究，强化过程管理，确保项目按期完成。二是根据财政厅全面实施预算绩效管理的要求，进一步建立健全“预算编制有目标、预算执行有监控、预算完成有评价、评价结果有应用、结果应用有问责”的全方位、全过程、全覆盖预算绩效管理体系。具体</w:t>
      </w:r>
      <w:r>
        <w:rPr>
          <w:rFonts w:hint="eastAsia" w:ascii="仿宋_GB2312" w:eastAsia="仿宋_GB2312"/>
          <w:color w:val="auto"/>
          <w:sz w:val="32"/>
          <w:szCs w:val="32"/>
          <w:highlight w:val="none"/>
        </w:rPr>
        <w:t>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rPr>
        <w:t>。</w:t>
      </w:r>
    </w:p>
    <w:p w14:paraId="32181936">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14:paraId="77194FDD">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14:paraId="1EB50BCD">
      <w:pPr>
        <w:keepNext w:val="0"/>
        <w:keepLines w:val="0"/>
        <w:pageBreakBefore w:val="0"/>
        <w:widowControl w:val="0"/>
        <w:kinsoku/>
        <w:wordWrap/>
        <w:overflowPunct/>
        <w:topLinePunct w:val="0"/>
        <w:bidi w:val="0"/>
        <w:adjustRightInd/>
        <w:snapToGrid/>
        <w:spacing w:line="240" w:lineRule="auto"/>
        <w:jc w:val="left"/>
        <w:textAlignment w:val="auto"/>
        <w:rPr>
          <w:rFonts w:hint="eastAsia" w:ascii="仿宋_GB2312" w:hAnsi="仿宋_GB2312" w:eastAsia="仿宋_GB2312" w:cs="仿宋_GB2312"/>
          <w:color w:val="auto"/>
          <w:kern w:val="0"/>
          <w:sz w:val="32"/>
          <w:szCs w:val="32"/>
          <w:highlight w:val="none"/>
          <w:lang w:val="en-US" w:eastAsia="zh-CN"/>
        </w:rPr>
      </w:pPr>
    </w:p>
    <w:p w14:paraId="1C0C91DC">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24143"/>
      <w:bookmarkStart w:id="31" w:name="_Toc3250"/>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14:paraId="6E536187">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46F29A0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3D5F50AD">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749870F9">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3CC47B02">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75C0DF5B">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707B5DF5">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32D8DCB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81A6BE2">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70BB525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083B0B0E">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2B66A676">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7B1CADA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53EAE216">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5570B3B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7F9DA53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14:paraId="5C32499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14:paraId="448B6AD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14:paraId="1D6123C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14:paraId="562AC1F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14:paraId="4241B65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14:paraId="4D68E0A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14:paraId="5571563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14:paraId="38E2127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4768A018">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14:paraId="130107C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CCCD758-C820-4A91-869B-12B0E5861A4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embedRegular r:id="rId2" w:fontKey="{4BC439B2-ABCC-4CF0-B68A-F45380F5DC56}"/>
  </w:font>
  <w:font w:name="仿宋_GB2312">
    <w:panose1 w:val="02010609030101010101"/>
    <w:charset w:val="86"/>
    <w:family w:val="modern"/>
    <w:pitch w:val="default"/>
    <w:sig w:usb0="00000001" w:usb1="080E0000" w:usb2="00000000" w:usb3="00000000" w:csb0="00040000" w:csb1="00000000"/>
    <w:embedRegular r:id="rId3" w:fontKey="{96A3D9EA-8C6F-43E4-8481-208F2B275A4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896762">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E9ACFEF">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5E9ACFEF">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xM2VlZGQ2YTBiN2U3MGFlNmVmMzQ0NTc5YzYzOGYifQ=="/>
    <w:docVar w:name="KSO_WPS_MARK_KEY" w:val="41ee2a61-2d54-4f93-83be-afdb9a40d732"/>
  </w:docVars>
  <w:rsids>
    <w:rsidRoot w:val="00000000"/>
    <w:rsid w:val="001C4EED"/>
    <w:rsid w:val="00213C59"/>
    <w:rsid w:val="003210CE"/>
    <w:rsid w:val="00AD22C6"/>
    <w:rsid w:val="00B70D59"/>
    <w:rsid w:val="00F52A8D"/>
    <w:rsid w:val="019404F8"/>
    <w:rsid w:val="02162C77"/>
    <w:rsid w:val="02BD3108"/>
    <w:rsid w:val="02F73D26"/>
    <w:rsid w:val="034D4FEF"/>
    <w:rsid w:val="035D1785"/>
    <w:rsid w:val="039F47CE"/>
    <w:rsid w:val="03E05CE8"/>
    <w:rsid w:val="03F973EE"/>
    <w:rsid w:val="043E5B56"/>
    <w:rsid w:val="04C04386"/>
    <w:rsid w:val="04C937CD"/>
    <w:rsid w:val="04D96608"/>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6B4275"/>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0FAB49D7"/>
    <w:rsid w:val="105B0B5E"/>
    <w:rsid w:val="112E58D0"/>
    <w:rsid w:val="11731CAC"/>
    <w:rsid w:val="119500A0"/>
    <w:rsid w:val="11C0733B"/>
    <w:rsid w:val="11D50D17"/>
    <w:rsid w:val="120E0809"/>
    <w:rsid w:val="127F665A"/>
    <w:rsid w:val="12CA0B0A"/>
    <w:rsid w:val="12F7068C"/>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131BB"/>
    <w:rsid w:val="2AF5378F"/>
    <w:rsid w:val="2BB94DBF"/>
    <w:rsid w:val="2C28481B"/>
    <w:rsid w:val="2C6F314E"/>
    <w:rsid w:val="2CC206BE"/>
    <w:rsid w:val="2D1136DF"/>
    <w:rsid w:val="2D20606D"/>
    <w:rsid w:val="2DB87198"/>
    <w:rsid w:val="2DB93C54"/>
    <w:rsid w:val="2E3D144C"/>
    <w:rsid w:val="2E891204"/>
    <w:rsid w:val="2F3F0A28"/>
    <w:rsid w:val="2FBF7029"/>
    <w:rsid w:val="2FD0187F"/>
    <w:rsid w:val="2FD27414"/>
    <w:rsid w:val="2FD83D43"/>
    <w:rsid w:val="2FFE4BB0"/>
    <w:rsid w:val="300E7B60"/>
    <w:rsid w:val="300F6E18"/>
    <w:rsid w:val="30862F5F"/>
    <w:rsid w:val="314029C9"/>
    <w:rsid w:val="31C63837"/>
    <w:rsid w:val="31C82E39"/>
    <w:rsid w:val="322F5CE0"/>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096E09"/>
    <w:rsid w:val="3A893816"/>
    <w:rsid w:val="3A893B6D"/>
    <w:rsid w:val="3AD1763A"/>
    <w:rsid w:val="3B6716E3"/>
    <w:rsid w:val="3B6C6B2D"/>
    <w:rsid w:val="3C242659"/>
    <w:rsid w:val="3C96719C"/>
    <w:rsid w:val="3CA72BE8"/>
    <w:rsid w:val="3CF37F8C"/>
    <w:rsid w:val="3D137554"/>
    <w:rsid w:val="3D5275AC"/>
    <w:rsid w:val="3DCC2473"/>
    <w:rsid w:val="3DDE1483"/>
    <w:rsid w:val="3DEB0883"/>
    <w:rsid w:val="3E2527BF"/>
    <w:rsid w:val="3E731662"/>
    <w:rsid w:val="3E8168DD"/>
    <w:rsid w:val="3EA7725F"/>
    <w:rsid w:val="3EB03713"/>
    <w:rsid w:val="3EBC425A"/>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46445B"/>
    <w:rsid w:val="518D0ED5"/>
    <w:rsid w:val="525C687F"/>
    <w:rsid w:val="52F647F7"/>
    <w:rsid w:val="52F92565"/>
    <w:rsid w:val="53D03877"/>
    <w:rsid w:val="542F73CA"/>
    <w:rsid w:val="5430786D"/>
    <w:rsid w:val="545A1D2A"/>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9C32D3"/>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52670"/>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123DD"/>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DA40B9"/>
    <w:rsid w:val="7AE952D2"/>
    <w:rsid w:val="7C7248A0"/>
    <w:rsid w:val="7C976D69"/>
    <w:rsid w:val="7C9C65D2"/>
    <w:rsid w:val="7CD752DA"/>
    <w:rsid w:val="7CDE40AB"/>
    <w:rsid w:val="7CF057E2"/>
    <w:rsid w:val="7D1548B5"/>
    <w:rsid w:val="7D38315C"/>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5805</Words>
  <Characters>6552</Characters>
  <Lines>0</Lines>
  <Paragraphs>0</Paragraphs>
  <TotalTime>50</TotalTime>
  <ScaleCrop>false</ScaleCrop>
  <LinksUpToDate>false</LinksUpToDate>
  <CharactersWithSpaces>6576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肤浅</cp:lastModifiedBy>
  <dcterms:modified xsi:type="dcterms:W3CDTF">2024-10-14T05:05:38Z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D624B15633CD43C8BF9435464A96BF70</vt:lpwstr>
  </property>
</Properties>
</file>