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新疆维吾尔自治区交通专业人员职业资格评价中心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交通专业人员职业资格评价中心隶属交通运输厅，是自收自支事业单位。其主要职责任务是按照国家及自治区有关规定，组织开展交通专业人员职业资格评价工作；承担自治区交通行业特有工种的职业技能鉴定等相关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新疆维吾尔自治区交通专业人员职业资格评价中心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default" w:ascii="仿宋_GB2312" w:eastAsia="仿宋_GB2312"/>
          <w:color w:val="auto"/>
          <w:sz w:val="32"/>
          <w:szCs w:val="32"/>
          <w:highlight w:val="none"/>
          <w:lang w:val="en" w:eastAsia="zh-CN"/>
        </w:rPr>
        <w:t>10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default" w:ascii="仿宋_GB2312" w:eastAsia="仿宋_GB2312"/>
          <w:color w:val="auto"/>
          <w:sz w:val="32"/>
          <w:szCs w:val="32"/>
          <w:highlight w:val="none"/>
          <w:lang w:val="en" w:eastAsia="zh-CN"/>
        </w:rPr>
        <w:t>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单位无下属预算单位，下设3个科室，分别是：综合科、职业资格管理科、职业技能鉴</w:t>
      </w:r>
      <w:bookmarkStart w:id="48" w:name="_GoBack"/>
      <w:bookmarkEnd w:id="48"/>
      <w:r>
        <w:rPr>
          <w:rFonts w:hint="eastAsia" w:ascii="仿宋_GB2312" w:eastAsia="仿宋_GB2312"/>
          <w:color w:val="auto"/>
          <w:sz w:val="32"/>
          <w:szCs w:val="32"/>
          <w:highlight w:val="none"/>
          <w:lang w:val="en-US" w:eastAsia="zh-CN"/>
        </w:rPr>
        <w:t>定科。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199.62万元，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28.30万元，使用非财政拨款结余171.33万元，年初结转和结余0.00万元。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199.62万元，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199.62万元，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增加25.01万元</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增长14.3</w:t>
      </w:r>
      <w:r>
        <w:rPr>
          <w:rFonts w:hint="eastAsia" w:ascii="仿宋_GB2312" w:eastAsia="仿宋_GB2312"/>
          <w:color w:val="auto"/>
          <w:spacing w:val="0"/>
          <w:sz w:val="32"/>
          <w:szCs w:val="32"/>
          <w:highlight w:val="none"/>
          <w:lang w:val="en-US" w:eastAsia="zh-CN"/>
        </w:rPr>
        <w:t>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，主要原因是：2022年无财政拨款预算资金。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28.30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28.00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98.9</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0.30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本年支出199.62万元，其中：基本支出0.00万元，占0.00%；项目支出199.62万元，占100.00%；上缴上级支出0.00万元，占0.00%；经营支出0.00万元，占0.00%；对附属单位补助支出0.00万元，占0.00%。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w:t>
      </w:r>
    </w:p>
    <w:p>
      <w:pPr>
        <w:ind w:firstLine="640" w:firstLineChars="200"/>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增加28.00万元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100.00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2022年无财政拨款预算收入</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万元，预决算差异率0.00%，主要原因是：严格按照年初预算执行，预决算一致无差异。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2023年度一般公共预算财政拨款支出28.00万元，占本年支出合计的</w:t>
      </w:r>
      <w:r>
        <w:rPr>
          <w:rFonts w:hint="eastAsia" w:ascii="仿宋_GB2312" w:eastAsia="仿宋_GB2312"/>
          <w:color w:val="auto"/>
          <w:spacing w:val="0"/>
          <w:sz w:val="32"/>
          <w:szCs w:val="32"/>
          <w:highlight w:val="none"/>
          <w:lang w:val="zh-CN" w:eastAsia="zh-CN"/>
        </w:rPr>
        <w:t>14.03%</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增加28.00万元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100</w:t>
      </w:r>
      <w:r>
        <w:rPr>
          <w:rFonts w:hint="eastAsia" w:ascii="仿宋_GB2312" w:eastAsia="仿宋_GB2312"/>
          <w:color w:val="auto"/>
          <w:spacing w:val="0"/>
          <w:sz w:val="32"/>
          <w:szCs w:val="32"/>
          <w:highlight w:val="none"/>
          <w:lang w:val="zh-CN" w:eastAsia="zh-CN"/>
        </w:rPr>
        <w:t>.00%，</w:t>
      </w:r>
      <w:r>
        <w:rPr>
          <w:rFonts w:hint="eastAsia" w:ascii="仿宋_GB2312" w:eastAsia="仿宋_GB2312"/>
          <w:color w:val="auto"/>
          <w:spacing w:val="0"/>
          <w:sz w:val="32"/>
          <w:szCs w:val="32"/>
          <w:highlight w:val="none"/>
          <w:lang w:eastAsia="zh-CN"/>
        </w:rPr>
        <w:t>主要原因是：2022年无财政拨款预算资金。与年初预算相比，年初预算数</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28.00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，主要原因是：严格按照年初预算执行，预决算一致无差异。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28.00</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1.交通运输支出（类）公路水路运输（款）其他公路水路运输支出（项）:支出决算数为28.00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28.00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100%，主要原因是：2022年无财政拨款预算资金。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万元，包括：</w:t>
      </w:r>
      <w:r>
        <w:rPr>
          <w:rFonts w:hint="eastAsia" w:ascii="仿宋_GB2312" w:eastAsia="仿宋_GB2312"/>
          <w:sz w:val="32"/>
          <w:szCs w:val="32"/>
        </w:rPr>
        <w:t>无人员经费。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万元，包括：</w:t>
      </w:r>
      <w:r>
        <w:rPr>
          <w:rFonts w:hint="eastAsia" w:ascii="仿宋_GB2312" w:eastAsia="仿宋_GB2312"/>
          <w:sz w:val="32"/>
          <w:szCs w:val="32"/>
        </w:rPr>
        <w:t>无公用经费。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hint="eastAsia" w:ascii="仿宋_GB2312" w:eastAsia="仿宋_GB2312"/>
          <w:sz w:val="32"/>
          <w:szCs w:val="32"/>
          <w:lang w:eastAsia="zh-CN"/>
        </w:rPr>
        <w:t>本单位自收自支事业单位，财政拨款</w:t>
      </w:r>
      <w:r>
        <w:rPr>
          <w:rFonts w:hint="eastAsia" w:ascii="仿宋_GB2312" w:hAnsi="Times New Roman" w:eastAsia="仿宋_GB2312" w:cs="Times New Roman"/>
          <w:sz w:val="32"/>
          <w:szCs w:val="32"/>
          <w:lang w:eastAsia="zh-CN"/>
        </w:rPr>
        <w:t>未安排“三公”</w:t>
      </w:r>
      <w:r>
        <w:rPr>
          <w:rFonts w:hint="eastAsia" w:ascii="仿宋_GB2312" w:hAnsi="Times New Roman" w:eastAsia="仿宋_GB2312" w:cs="Times New Roman"/>
          <w:sz w:val="32"/>
          <w:szCs w:val="32"/>
          <w:highlight w:val="none"/>
        </w:rPr>
        <w:t>经费支出</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公务用车购置及运行维护费支出0.00万元，占0.00%，比上年增加0.00万元，增长0.00%，主要原因是：</w:t>
      </w:r>
      <w:r>
        <w:rPr>
          <w:rFonts w:hint="eastAsia" w:ascii="仿宋_GB2312" w:eastAsia="仿宋_GB2312"/>
          <w:sz w:val="32"/>
          <w:szCs w:val="32"/>
          <w:lang w:eastAsia="zh-CN"/>
        </w:rPr>
        <w:t>财政拨款</w:t>
      </w:r>
      <w:r>
        <w:rPr>
          <w:rFonts w:hint="eastAsia" w:ascii="仿宋_GB2312" w:hAnsi="Times New Roman" w:eastAsia="仿宋_GB2312" w:cs="Times New Roman"/>
          <w:sz w:val="32"/>
          <w:szCs w:val="32"/>
          <w:highlight w:val="none"/>
        </w:rPr>
        <w:t>未安排“三公”经费支出</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w:t>
      </w:r>
      <w:r>
        <w:rPr>
          <w:rFonts w:hint="eastAsia" w:ascii="仿宋_GB2312" w:eastAsia="仿宋_GB2312"/>
          <w:sz w:val="32"/>
          <w:szCs w:val="32"/>
          <w:highlight w:val="none"/>
        </w:rPr>
        <w:t>公务接待费</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ascii="仿宋_GB2312" w:eastAsia="仿宋_GB2312"/>
          <w:sz w:val="32"/>
          <w:szCs w:val="32"/>
        </w:rPr>
        <w:t>我单位无因公出国（境）费</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财政拨款</w:t>
      </w:r>
      <w:r>
        <w:rPr>
          <w:rFonts w:hint="eastAsia" w:ascii="仿宋_GB2312" w:hAnsi="Times New Roman" w:eastAsia="仿宋_GB2312" w:cs="Times New Roman"/>
          <w:sz w:val="32"/>
          <w:szCs w:val="32"/>
          <w:highlight w:val="none"/>
        </w:rPr>
        <w:t>未安排“三公”经费支出</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hAnsi="Times New Roman" w:eastAsia="仿宋_GB2312" w:cs="Times New Roman"/>
          <w:sz w:val="32"/>
          <w:szCs w:val="32"/>
          <w:highlight w:val="none"/>
          <w:lang w:eastAsia="zh-CN"/>
        </w:rPr>
        <w:t>本单位自收自支事业单位，</w:t>
      </w:r>
      <w:r>
        <w:rPr>
          <w:rFonts w:hint="eastAsia" w:ascii="仿宋_GB2312" w:eastAsia="仿宋_GB2312"/>
          <w:sz w:val="32"/>
          <w:szCs w:val="32"/>
          <w:lang w:eastAsia="zh-CN"/>
        </w:rPr>
        <w:t>财政拨款</w:t>
      </w:r>
      <w:r>
        <w:rPr>
          <w:rFonts w:hint="eastAsia" w:ascii="仿宋_GB2312" w:hAnsi="Times New Roman" w:eastAsia="仿宋_GB2312" w:cs="Times New Roman"/>
          <w:sz w:val="32"/>
          <w:szCs w:val="32"/>
          <w:highlight w:val="none"/>
        </w:rPr>
        <w:t>未安排</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lang w:eastAsia="zh-CN"/>
        </w:rPr>
        <w:t>财政拨款</w:t>
      </w:r>
      <w:r>
        <w:rPr>
          <w:rFonts w:hint="eastAsia" w:ascii="仿宋_GB2312" w:hAnsi="Times New Roman" w:eastAsia="仿宋_GB2312" w:cs="Times New Roman"/>
          <w:sz w:val="32"/>
          <w:szCs w:val="32"/>
          <w:highlight w:val="none"/>
        </w:rPr>
        <w:t>未安排“三公”经费支出</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lang w:eastAsia="zh-CN"/>
        </w:rPr>
        <w:t>财政拨款</w:t>
      </w:r>
      <w:r>
        <w:rPr>
          <w:rFonts w:hint="eastAsia" w:ascii="仿宋_GB2312" w:hAnsi="Times New Roman" w:eastAsia="仿宋_GB2312" w:cs="Times New Roman"/>
          <w:sz w:val="32"/>
          <w:szCs w:val="32"/>
          <w:highlight w:val="none"/>
        </w:rPr>
        <w:t>未安排“三公”经费支出</w:t>
      </w:r>
      <w:r>
        <w:rPr>
          <w:rFonts w:hint="eastAsia" w:ascii="仿宋_GB2312" w:hAnsi="仿宋_GB2312" w:eastAsia="仿宋_GB2312" w:cs="仿宋_GB2312"/>
          <w:sz w:val="32"/>
          <w:szCs w:val="32"/>
          <w:highlight w:val="none"/>
          <w:lang w:val="zh-CN"/>
        </w:rPr>
        <w:t>；</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hAnsi="仿宋_GB2312" w:eastAsia="仿宋_GB2312" w:cs="仿宋_GB2312"/>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新疆维吾尔自治区交通专业人员职业资格评价中心</w:t>
      </w:r>
      <w:r>
        <w:rPr>
          <w:rFonts w:hint="eastAsia" w:ascii="Times New Roman" w:hAnsi="Times New Roman" w:eastAsia="仿宋_GB2312" w:cs="Times New Roman"/>
          <w:color w:val="auto"/>
          <w:sz w:val="32"/>
          <w:szCs w:val="32"/>
          <w:highlight w:val="none"/>
          <w:lang w:val="zh-CN" w:eastAsia="zh-CN"/>
        </w:rPr>
        <w:t>（事业单位）公用经费支出0.00万元，比上年增加0.00万元，增长0.00%，主要原因是：</w:t>
      </w:r>
      <w:r>
        <w:rPr>
          <w:rFonts w:hint="eastAsia" w:ascii="仿宋_GB2312" w:hAnsi="仿宋_GB2312" w:eastAsia="仿宋_GB2312" w:cs="仿宋_GB2312"/>
          <w:sz w:val="32"/>
          <w:szCs w:val="32"/>
          <w:highlight w:val="none"/>
          <w:lang w:val="en-US" w:eastAsia="zh-CN"/>
        </w:rPr>
        <w:t>我单位是自收自支事业单位，无公用经费。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0.51万元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其中：政府采购货物支出0.00万元、政府采购工程支出0.00万元、政府采购服务支出0.51万元。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授予中小企业合同金额0.51万元，占政府采购支出总额的100.00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，其中：授予小微企业合同金额0.21万元，占政府采购支出总额的4</w:t>
      </w:r>
      <w:r>
        <w:rPr>
          <w:rFonts w:hint="eastAsia" w:eastAsia="仿宋_GB2312" w:cs="Times New Roman"/>
          <w:color w:val="auto"/>
          <w:sz w:val="32"/>
          <w:szCs w:val="32"/>
          <w:highlight w:val="none"/>
          <w:lang w:val="en-US" w:eastAsia="zh-CN"/>
        </w:rPr>
        <w:t>1.18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49.05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屋0.0平方米，价值0.00万元。车辆1辆，价值19.67万元，其中：副部（省）级及以上领导用车0辆、主要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eastAsia="仿宋_GB2312" w:cs="Times New Roman"/>
          <w:color w:val="auto"/>
          <w:sz w:val="32"/>
          <w:szCs w:val="32"/>
          <w:highlight w:val="none"/>
          <w:lang w:val="zh-CN" w:eastAsia="zh-CN"/>
        </w:rPr>
        <w:t>业务</w:t>
      </w:r>
      <w:r>
        <w:rPr>
          <w:rFonts w:hint="eastAsia" w:ascii="Times New Roman" w:hAnsi="Times New Roman" w:eastAsia="仿宋_GB2312" w:cs="Times New Roman"/>
          <w:color w:val="auto"/>
          <w:sz w:val="32"/>
          <w:szCs w:val="32"/>
          <w:highlight w:val="none"/>
          <w:lang w:val="zh-CN" w:eastAsia="zh-CN"/>
        </w:rPr>
        <w:t>用车；单价100万元（含）以上设备（不含车辆）0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hAnsi="仿宋_GB2312" w:eastAsia="仿宋_GB2312" w:cs="仿宋_GB2312"/>
          <w:sz w:val="32"/>
          <w:szCs w:val="32"/>
          <w:highlight w:val="none"/>
          <w:lang w:val="en-US" w:eastAsia="zh-CN"/>
        </w:rPr>
        <w:t>248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eastAsia="仿宋_GB2312"/>
          <w:sz w:val="32"/>
          <w:szCs w:val="32"/>
          <w:highlight w:val="none"/>
          <w:lang w:val="en-US" w:eastAsia="zh-CN"/>
        </w:rPr>
        <w:t>199.62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根据年初计划目标，合理安排资金，保证各项工作正常开展；二是有效发挥了资金的使用效率，总体执行较好。发现的问题及原因：一是预算绩效管理工作机构及职责需要进一步完善；二是预算绩效管理工作体系尚不完善。下一步改进措施：一是提升预算绩效管理水平，及时监管落实情况；二是加强绩效管理，建立目标明确的绩效管理计划。具体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NraFyAEAAHsDAAAOAAAAAAAA&#10;AAEAIAAAADQBAABkcnMvZTJvRG9jLnhtbFBLBQYAAAAABgAGAFkBAABu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EED4B8C"/>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57A21"/>
    <w:rsid w:val="77ED6F44"/>
    <w:rsid w:val="77F45548"/>
    <w:rsid w:val="784E7CA6"/>
    <w:rsid w:val="78574801"/>
    <w:rsid w:val="7873527F"/>
    <w:rsid w:val="790A6425"/>
    <w:rsid w:val="790E2D96"/>
    <w:rsid w:val="791B54B2"/>
    <w:rsid w:val="795A0A34"/>
    <w:rsid w:val="797339C3"/>
    <w:rsid w:val="79D57D57"/>
    <w:rsid w:val="79F00650"/>
    <w:rsid w:val="7A6242BF"/>
    <w:rsid w:val="7A794513"/>
    <w:rsid w:val="7AAB3931"/>
    <w:rsid w:val="7AE952D2"/>
    <w:rsid w:val="7C976D69"/>
    <w:rsid w:val="7CD752DA"/>
    <w:rsid w:val="7CDE40AB"/>
    <w:rsid w:val="7CF057E2"/>
    <w:rsid w:val="7D1548B5"/>
    <w:rsid w:val="7DF84014"/>
    <w:rsid w:val="7E207949"/>
    <w:rsid w:val="7E5C0A47"/>
    <w:rsid w:val="7E670C75"/>
    <w:rsid w:val="7EE24272"/>
    <w:rsid w:val="7EEA6053"/>
    <w:rsid w:val="7F487C04"/>
    <w:rsid w:val="7FB45F21"/>
    <w:rsid w:val="7FBFBAA4"/>
    <w:rsid w:val="7FDDAE20"/>
    <w:rsid w:val="7FE57088"/>
    <w:rsid w:val="7FF37FA3"/>
    <w:rsid w:val="ADF3DC8F"/>
    <w:rsid w:val="B7C924A7"/>
    <w:rsid w:val="D7EB3D29"/>
    <w:rsid w:val="DDFDF932"/>
    <w:rsid w:val="EDAF597A"/>
    <w:rsid w:val="F4BA3D3A"/>
    <w:rsid w:val="FF7D8B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3"/>
    <w:next w:val="1"/>
    <w:qFormat/>
    <w:uiPriority w:val="0"/>
    <w:pPr>
      <w:ind w:firstLine="420" w:firstLineChars="200"/>
    </w:p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79</TotalTime>
  <ScaleCrop>false</ScaleCrop>
  <LinksUpToDate>false</LinksUpToDate>
  <CharactersWithSpaces>20940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GXR</dc:creator>
  <cp:lastModifiedBy>jtt</cp:lastModifiedBy>
  <cp:lastPrinted>2024-08-30T20:00:00Z</cp:lastPrinted>
  <dcterms:modified xsi:type="dcterms:W3CDTF">2024-10-12T12:17:28Z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D624B15633CD43C8BF9435464A96BF70</vt:lpwstr>
  </property>
</Properties>
</file>