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7"/>
          <w:rFonts w:hint="eastAsia" w:ascii="楷体" w:hAnsi="楷体" w:eastAsia="楷体"/>
          <w:spacing w:val="-4"/>
          <w:sz w:val="32"/>
          <w:szCs w:val="32"/>
        </w:rPr>
        <w:t>202</w:t>
      </w:r>
      <w:r>
        <w:rPr>
          <w:rStyle w:val="7"/>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left="2877" w:leftChars="513" w:hanging="1800" w:hangingChars="50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kern w:val="0"/>
          <w:sz w:val="36"/>
          <w:szCs w:val="36"/>
          <w:lang w:eastAsia="zh-CN"/>
        </w:rPr>
        <w:t>新疆巴里坤县一碗泉一带金铜矿调查评价</w:t>
      </w:r>
    </w:p>
    <w:p>
      <w:pPr>
        <w:spacing w:line="700" w:lineRule="exact"/>
        <w:ind w:left="3417" w:leftChars="513" w:hanging="2340" w:hangingChars="65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实施单位（公章）：新疆维吾尔自治区地质</w:t>
      </w:r>
      <w:r>
        <w:rPr>
          <w:rFonts w:hint="eastAsia" w:hAnsi="宋体" w:eastAsia="仿宋_GB2312" w:cs="宋体"/>
          <w:kern w:val="0"/>
          <w:sz w:val="36"/>
          <w:szCs w:val="36"/>
          <w:lang w:eastAsia="zh-CN"/>
        </w:rPr>
        <w:t>调查院</w:t>
      </w:r>
    </w:p>
    <w:p>
      <w:pPr>
        <w:spacing w:line="700" w:lineRule="exact"/>
        <w:ind w:left="3417"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主管部门（公章）：新疆维吾尔自治区地质矿产勘查开发局</w:t>
      </w:r>
    </w:p>
    <w:p>
      <w:pPr>
        <w:spacing w:line="700" w:lineRule="exact"/>
        <w:ind w:left="3417" w:leftChars="513" w:hanging="2340" w:hangingChars="65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项目负责人（签章）：范侥</w:t>
      </w:r>
    </w:p>
    <w:p>
      <w:pPr>
        <w:spacing w:line="700" w:lineRule="exact"/>
        <w:ind w:left="3417"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line="366" w:lineRule="auto"/>
      </w:pPr>
    </w:p>
    <w:p>
      <w:pPr>
        <w:spacing w:before="75" w:line="219" w:lineRule="auto"/>
        <w:ind w:left="3"/>
        <w:rPr>
          <w:rFonts w:ascii="宋体" w:hAnsi="宋体" w:eastAsia="宋体" w:cs="宋体"/>
          <w:b/>
          <w:bCs/>
          <w:spacing w:val="18"/>
          <w:sz w:val="23"/>
          <w:szCs w:val="23"/>
          <w:lang w:eastAsia="zh-CN"/>
        </w:rPr>
      </w:pPr>
    </w:p>
    <w:p>
      <w:pPr>
        <w:spacing w:before="75" w:line="219" w:lineRule="auto"/>
        <w:ind w:left="3"/>
        <w:rPr>
          <w:rFonts w:ascii="宋体" w:hAnsi="宋体" w:eastAsia="宋体" w:cs="宋体"/>
          <w:b/>
          <w:bCs/>
          <w:spacing w:val="18"/>
          <w:sz w:val="23"/>
          <w:szCs w:val="23"/>
          <w:lang w:eastAsia="zh-CN"/>
        </w:rPr>
      </w:pPr>
    </w:p>
    <w:p>
      <w:pPr>
        <w:spacing w:before="75" w:line="219" w:lineRule="auto"/>
        <w:ind w:left="3"/>
        <w:rPr>
          <w:rFonts w:ascii="宋体" w:hAnsi="宋体" w:eastAsia="宋体" w:cs="宋体"/>
          <w:b/>
          <w:bCs/>
          <w:spacing w:val="18"/>
          <w:sz w:val="23"/>
          <w:szCs w:val="23"/>
          <w:lang w:eastAsia="zh-CN"/>
        </w:rPr>
      </w:pPr>
    </w:p>
    <w:p>
      <w:pPr>
        <w:spacing w:before="75" w:line="219" w:lineRule="auto"/>
        <w:ind w:left="3"/>
        <w:rPr>
          <w:rFonts w:ascii="宋体" w:hAnsi="宋体" w:eastAsia="宋体" w:cs="宋体"/>
          <w:sz w:val="23"/>
          <w:szCs w:val="23"/>
          <w:lang w:eastAsia="zh-CN"/>
        </w:rPr>
      </w:pPr>
      <w:r>
        <w:rPr>
          <w:rFonts w:ascii="宋体" w:hAnsi="宋体" w:eastAsia="宋体" w:cs="宋体"/>
          <w:b/>
          <w:bCs/>
          <w:spacing w:val="18"/>
          <w:sz w:val="23"/>
          <w:szCs w:val="23"/>
          <w:lang w:eastAsia="zh-CN"/>
        </w:rPr>
        <w:t>附件2</w:t>
      </w:r>
    </w:p>
    <w:p>
      <w:pPr>
        <w:spacing w:before="307" w:line="218" w:lineRule="auto"/>
        <w:ind w:left="2644"/>
        <w:rPr>
          <w:rFonts w:ascii="宋体" w:hAnsi="宋体" w:eastAsia="宋体" w:cs="宋体"/>
          <w:sz w:val="29"/>
          <w:szCs w:val="29"/>
          <w:lang w:eastAsia="zh-CN"/>
        </w:rPr>
      </w:pPr>
      <w:r>
        <w:rPr>
          <w:rFonts w:ascii="宋体" w:hAnsi="宋体" w:eastAsia="宋体" w:cs="宋体"/>
          <w:b/>
          <w:bCs/>
          <w:spacing w:val="58"/>
          <w:sz w:val="29"/>
          <w:szCs w:val="29"/>
          <w:lang w:eastAsia="zh-CN"/>
        </w:rPr>
        <w:t>项目支出绩效评价报告</w:t>
      </w:r>
    </w:p>
    <w:p>
      <w:pPr>
        <w:spacing w:line="261" w:lineRule="auto"/>
        <w:rPr>
          <w:lang w:eastAsia="zh-CN"/>
        </w:rPr>
      </w:pPr>
      <w:r>
        <w:rPr>
          <w:rFonts w:hint="eastAsia"/>
          <w:spacing w:val="19"/>
          <w:sz w:val="29"/>
          <w:szCs w:val="29"/>
          <w:lang w:val="en-US" w:eastAsia="zh-CN"/>
        </w:rPr>
        <w:t xml:space="preserve"> </w:t>
      </w:r>
    </w:p>
    <w:p>
      <w:pPr>
        <w:spacing w:line="261" w:lineRule="auto"/>
        <w:rPr>
          <w:lang w:eastAsia="zh-CN"/>
        </w:rPr>
      </w:pPr>
    </w:p>
    <w:p>
      <w:pPr>
        <w:spacing w:before="94" w:line="223" w:lineRule="auto"/>
        <w:ind w:left="564"/>
        <w:outlineLvl w:val="1"/>
        <w:rPr>
          <w:rFonts w:ascii="黑体" w:hAnsi="黑体" w:eastAsia="黑体" w:cs="黑体"/>
          <w:sz w:val="29"/>
          <w:szCs w:val="29"/>
          <w:lang w:eastAsia="zh-CN"/>
        </w:rPr>
      </w:pPr>
      <w:r>
        <w:rPr>
          <w:rFonts w:ascii="黑体" w:hAnsi="黑体" w:eastAsia="黑体" w:cs="黑体"/>
          <w:b/>
          <w:bCs/>
          <w:spacing w:val="4"/>
          <w:sz w:val="29"/>
          <w:szCs w:val="29"/>
          <w:lang w:eastAsia="zh-CN"/>
        </w:rPr>
        <w:t>一、基本情况</w:t>
      </w:r>
    </w:p>
    <w:p>
      <w:pPr>
        <w:pStyle w:val="2"/>
        <w:spacing w:before="250" w:line="360" w:lineRule="auto"/>
        <w:jc w:val="right"/>
        <w:rPr>
          <w:color w:val="000000" w:themeColor="text1"/>
          <w:sz w:val="28"/>
          <w:szCs w:val="28"/>
          <w:highlight w:val="none"/>
          <w:lang w:eastAsia="zh-CN"/>
          <w14:textFill>
            <w14:solidFill>
              <w14:schemeClr w14:val="tx1"/>
            </w14:solidFill>
          </w14:textFill>
        </w:rPr>
      </w:pPr>
      <w:r>
        <w:rPr>
          <w:color w:val="000000" w:themeColor="text1"/>
          <w:spacing w:val="17"/>
          <w:position w:val="23"/>
          <w:sz w:val="28"/>
          <w:szCs w:val="28"/>
          <w:highlight w:val="none"/>
          <w:lang w:eastAsia="zh-CN"/>
          <w14:textFill>
            <w14:solidFill>
              <w14:schemeClr w14:val="tx1"/>
            </w14:solidFill>
          </w14:textFill>
        </w:rPr>
        <w:t>(一)项目概况。包括项目背景、主要内容及实施情况、资金</w:t>
      </w:r>
    </w:p>
    <w:p>
      <w:pPr>
        <w:pStyle w:val="2"/>
        <w:spacing w:line="360" w:lineRule="auto"/>
        <w:rPr>
          <w:color w:val="000000" w:themeColor="text1"/>
          <w:spacing w:val="-1"/>
          <w:sz w:val="28"/>
          <w:szCs w:val="28"/>
          <w:highlight w:val="none"/>
          <w:lang w:eastAsia="zh-CN"/>
          <w14:textFill>
            <w14:solidFill>
              <w14:schemeClr w14:val="tx1"/>
            </w14:solidFill>
          </w14:textFill>
        </w:rPr>
      </w:pPr>
      <w:r>
        <w:rPr>
          <w:color w:val="000000" w:themeColor="text1"/>
          <w:spacing w:val="-1"/>
          <w:sz w:val="28"/>
          <w:szCs w:val="28"/>
          <w:highlight w:val="none"/>
          <w:lang w:eastAsia="zh-CN"/>
          <w14:textFill>
            <w14:solidFill>
              <w14:schemeClr w14:val="tx1"/>
            </w14:solidFill>
          </w14:textFill>
        </w:rPr>
        <w:t>投入和使用情况等。</w:t>
      </w:r>
    </w:p>
    <w:p>
      <w:pPr>
        <w:pStyle w:val="2"/>
        <w:spacing w:line="360" w:lineRule="auto"/>
        <w:ind w:firstLine="560" w:firstLineChars="200"/>
        <w:rPr>
          <w:sz w:val="28"/>
          <w:szCs w:val="28"/>
          <w:lang w:eastAsia="zh-CN"/>
        </w:rPr>
      </w:pPr>
      <w:r>
        <w:rPr>
          <w:rFonts w:hint="eastAsia"/>
          <w:sz w:val="28"/>
          <w:szCs w:val="28"/>
          <w:lang w:eastAsia="zh-CN"/>
        </w:rPr>
        <w:t>《新疆巴里坤县一碗泉一带金铜矿调查评价》项目是2022年由新疆维吾尔自治区地质矿产勘查开发局自筹资金委托新疆维吾尔自治区地质调查院项目。</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项目于2022年4月中旬接到新疆地质矿产勘查开发局办公室下达项目任务书后，立即组织地质技术人员综合研究相关资料并进行项目设计书的编写。2022年5月7日，新疆地质矿产勘查开发局相关专家对项目设计书进行评审。项目设计书通过专家评审，并给予设计书良好级评价。</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2022年5月11日～14日，项目组先期组织人员开展工作区踏勘工作，办理相关通行手续及选取项目野外驻地事宜。5月16日出队开展野外工作。对工区陆续开展了1∶1万地质找矿路线、1∶1万地质草测、1∶1万地化剖面、1∶1万激电磁法剖面、1∶2000地质草测等工作。通过前期在各个重点工作区的踏勘检查工作，先后在调查区内塔木德能、乔克、泉东等地发现多处铜、铜镍、铜金、金的矿化线索。</w:t>
      </w:r>
      <w:bookmarkStart w:id="0" w:name="_GoBack"/>
      <w:bookmarkEnd w:id="0"/>
    </w:p>
    <w:p>
      <w:pPr>
        <w:pStyle w:val="2"/>
        <w:spacing w:line="360" w:lineRule="auto"/>
        <w:ind w:firstLine="560" w:firstLineChars="200"/>
        <w:rPr>
          <w:sz w:val="28"/>
          <w:szCs w:val="28"/>
          <w:lang w:eastAsia="zh-CN"/>
        </w:rPr>
      </w:pPr>
      <w:r>
        <w:rPr>
          <w:rFonts w:hint="eastAsia"/>
          <w:sz w:val="28"/>
          <w:szCs w:val="28"/>
          <w:lang w:eastAsia="zh-CN"/>
        </w:rPr>
        <w:t>2022年9月13日，完成了项目的全部野外工作量。9月18日我院所组织专家对项目进行野外验收（视频形式），项目组对验收意见及时研究并进行整改。转入室内资料整理及报告编写等工作。</w:t>
      </w:r>
    </w:p>
    <w:p>
      <w:pPr>
        <w:pStyle w:val="2"/>
        <w:spacing w:before="248" w:line="360" w:lineRule="auto"/>
        <w:ind w:left="700"/>
        <w:rPr>
          <w:spacing w:val="9"/>
          <w:sz w:val="28"/>
          <w:szCs w:val="28"/>
          <w:highlight w:val="none"/>
          <w:lang w:eastAsia="zh-CN"/>
        </w:rPr>
      </w:pPr>
      <w:r>
        <w:rPr>
          <w:spacing w:val="9"/>
          <w:sz w:val="28"/>
          <w:szCs w:val="28"/>
          <w:highlight w:val="none"/>
          <w:lang w:eastAsia="zh-CN"/>
        </w:rPr>
        <w:t>(二)项目绩效目标。包括总体目标和阶段性目标。</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总体目标任务：</w:t>
      </w:r>
      <w:r>
        <w:rPr>
          <w:rFonts w:ascii="仿宋" w:hAnsi="仿宋" w:eastAsia="仿宋" w:cs="仿宋"/>
          <w:sz w:val="28"/>
          <w:szCs w:val="28"/>
          <w:lang w:eastAsia="zh-CN"/>
        </w:rPr>
        <w:t>在充分收集、研究以往地质、矿产、物探、化探等成果资料的基础上，以金、铜为主攻矿产，兼顾镍等其他矿产，采用地质填图、化探、物探等方法手段，对一碗泉一带金铜矿开展调查评价工作，为下一步矿产勘查提供依据</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具体工作任务：</w:t>
      </w:r>
    </w:p>
    <w:p>
      <w:pPr>
        <w:spacing w:line="360" w:lineRule="auto"/>
        <w:ind w:firstLine="560" w:firstLineChars="200"/>
        <w:rPr>
          <w:rFonts w:ascii="仿宋" w:hAnsi="仿宋" w:eastAsia="仿宋" w:cs="仿宋"/>
          <w:sz w:val="28"/>
          <w:szCs w:val="28"/>
          <w:lang w:eastAsia="zh-CN"/>
        </w:rPr>
      </w:pPr>
      <w:r>
        <w:rPr>
          <w:rFonts w:ascii="仿宋" w:hAnsi="仿宋" w:eastAsia="仿宋" w:cs="仿宋"/>
          <w:sz w:val="28"/>
          <w:szCs w:val="28"/>
          <w:lang w:eastAsia="zh-CN"/>
        </w:rPr>
        <w:t>1</w:t>
      </w:r>
      <w:r>
        <w:rPr>
          <w:rFonts w:hint="eastAsia" w:ascii="仿宋" w:hAnsi="仿宋" w:eastAsia="仿宋" w:cs="仿宋"/>
          <w:sz w:val="28"/>
          <w:szCs w:val="28"/>
          <w:lang w:eastAsia="zh-CN"/>
        </w:rPr>
        <w:t>．</w:t>
      </w:r>
      <w:r>
        <w:rPr>
          <w:rFonts w:ascii="仿宋" w:hAnsi="仿宋" w:eastAsia="仿宋" w:cs="仿宋"/>
          <w:sz w:val="28"/>
          <w:szCs w:val="28"/>
          <w:lang w:eastAsia="zh-CN"/>
        </w:rPr>
        <w:t>系统收集和分析研究以往地质资料，结合已有成果，选择重要金铜矿化带及化探异常浓集区，采用1</w:t>
      </w:r>
      <w:r>
        <w:rPr>
          <w:rFonts w:hint="eastAsia" w:ascii="仿宋" w:hAnsi="仿宋" w:eastAsia="仿宋" w:cs="仿宋"/>
          <w:sz w:val="28"/>
          <w:szCs w:val="28"/>
          <w:lang w:eastAsia="zh-CN"/>
        </w:rPr>
        <w:t>∶</w:t>
      </w:r>
      <w:r>
        <w:rPr>
          <w:rFonts w:ascii="仿宋" w:hAnsi="仿宋" w:eastAsia="仿宋" w:cs="仿宋"/>
          <w:sz w:val="28"/>
          <w:szCs w:val="28"/>
          <w:lang w:eastAsia="zh-CN"/>
        </w:rPr>
        <w:t>1万地化、磁法、激电剖面测量等方法手段，进行查证评价，了解矿化蚀变带地表规模和深部延伸情况，为下一步评价提供依据。</w:t>
      </w:r>
    </w:p>
    <w:p>
      <w:pPr>
        <w:spacing w:line="360" w:lineRule="auto"/>
        <w:ind w:firstLine="560" w:firstLineChars="200"/>
        <w:rPr>
          <w:rFonts w:ascii="仿宋" w:hAnsi="仿宋" w:eastAsia="仿宋" w:cs="仿宋"/>
          <w:sz w:val="28"/>
          <w:szCs w:val="28"/>
          <w:lang w:eastAsia="zh-CN"/>
        </w:rPr>
      </w:pPr>
      <w:r>
        <w:rPr>
          <w:rFonts w:ascii="仿宋" w:hAnsi="仿宋" w:eastAsia="仿宋" w:cs="仿宋"/>
          <w:sz w:val="28"/>
          <w:szCs w:val="28"/>
          <w:lang w:eastAsia="zh-CN"/>
        </w:rPr>
        <w:t>2</w:t>
      </w:r>
      <w:r>
        <w:rPr>
          <w:rFonts w:hint="eastAsia" w:ascii="仿宋" w:hAnsi="仿宋" w:eastAsia="仿宋" w:cs="仿宋"/>
          <w:sz w:val="28"/>
          <w:szCs w:val="28"/>
          <w:lang w:eastAsia="zh-CN"/>
        </w:rPr>
        <w:t>．</w:t>
      </w:r>
      <w:r>
        <w:rPr>
          <w:rFonts w:ascii="仿宋" w:hAnsi="仿宋" w:eastAsia="仿宋" w:cs="仿宋"/>
          <w:sz w:val="28"/>
          <w:szCs w:val="28"/>
          <w:lang w:eastAsia="zh-CN"/>
        </w:rPr>
        <w:t>针对找矿潜力较大的矿化蚀变带及矿（化）体，开展1</w:t>
      </w:r>
      <w:r>
        <w:rPr>
          <w:rFonts w:hint="eastAsia" w:ascii="仿宋" w:hAnsi="仿宋" w:eastAsia="仿宋" w:cs="仿宋"/>
          <w:sz w:val="28"/>
          <w:szCs w:val="28"/>
          <w:lang w:eastAsia="zh-CN"/>
        </w:rPr>
        <w:t>∶</w:t>
      </w:r>
      <w:r>
        <w:rPr>
          <w:rFonts w:ascii="仿宋" w:hAnsi="仿宋" w:eastAsia="仿宋" w:cs="仿宋"/>
          <w:sz w:val="28"/>
          <w:szCs w:val="28"/>
          <w:lang w:eastAsia="zh-CN"/>
        </w:rPr>
        <w:t>1万、1</w:t>
      </w:r>
      <w:r>
        <w:rPr>
          <w:rFonts w:hint="eastAsia" w:ascii="仿宋" w:hAnsi="仿宋" w:eastAsia="仿宋" w:cs="仿宋"/>
          <w:sz w:val="28"/>
          <w:szCs w:val="28"/>
          <w:lang w:eastAsia="zh-CN"/>
        </w:rPr>
        <w:t>∶</w:t>
      </w:r>
      <w:r>
        <w:rPr>
          <w:rFonts w:ascii="仿宋" w:hAnsi="仿宋" w:eastAsia="仿宋" w:cs="仿宋"/>
          <w:sz w:val="28"/>
          <w:szCs w:val="28"/>
          <w:lang w:eastAsia="zh-CN"/>
        </w:rPr>
        <w:t>2000地质草测，初步查明其成矿地质条件和矿（化）体的数量、产状、规模、分布、品位、矿石质量等特征。</w:t>
      </w:r>
    </w:p>
    <w:p>
      <w:pPr>
        <w:spacing w:line="360" w:lineRule="auto"/>
        <w:ind w:firstLine="560" w:firstLineChars="200"/>
        <w:rPr>
          <w:rFonts w:hint="eastAsia" w:ascii="仿宋" w:hAnsi="仿宋" w:eastAsia="仿宋" w:cs="仿宋"/>
          <w:sz w:val="28"/>
          <w:szCs w:val="28"/>
          <w:lang w:eastAsia="zh-CN"/>
        </w:rPr>
      </w:pPr>
      <w:r>
        <w:rPr>
          <w:rFonts w:ascii="仿宋" w:hAnsi="仿宋" w:eastAsia="仿宋" w:cs="仿宋"/>
          <w:sz w:val="28"/>
          <w:szCs w:val="28"/>
          <w:lang w:eastAsia="zh-CN"/>
        </w:rPr>
        <w:t>3</w:t>
      </w:r>
      <w:r>
        <w:rPr>
          <w:rFonts w:hint="eastAsia" w:ascii="仿宋" w:hAnsi="仿宋" w:eastAsia="仿宋" w:cs="仿宋"/>
          <w:sz w:val="28"/>
          <w:szCs w:val="28"/>
          <w:lang w:eastAsia="zh-CN"/>
        </w:rPr>
        <w:t>．</w:t>
      </w:r>
      <w:r>
        <w:rPr>
          <w:rFonts w:ascii="仿宋" w:hAnsi="仿宋" w:eastAsia="仿宋" w:cs="仿宋"/>
          <w:sz w:val="28"/>
          <w:szCs w:val="28"/>
          <w:lang w:eastAsia="zh-CN"/>
        </w:rPr>
        <w:t>总结研究控矿条件和成矿规律，对区内金、铜找矿前景作出评价，圈定有利找矿靶区，提出进一步工作的建议。</w:t>
      </w:r>
    </w:p>
    <w:p>
      <w:pPr>
        <w:spacing w:before="263" w:line="221" w:lineRule="auto"/>
        <w:ind w:left="564"/>
        <w:outlineLvl w:val="1"/>
        <w:rPr>
          <w:rFonts w:ascii="黑体" w:hAnsi="黑体" w:eastAsia="黑体" w:cs="黑体"/>
          <w:sz w:val="29"/>
          <w:szCs w:val="29"/>
          <w:lang w:eastAsia="zh-CN"/>
        </w:rPr>
      </w:pPr>
      <w:r>
        <w:rPr>
          <w:rFonts w:ascii="黑体" w:hAnsi="黑体" w:eastAsia="黑体" w:cs="黑体"/>
          <w:b/>
          <w:bCs/>
          <w:spacing w:val="-6"/>
          <w:sz w:val="29"/>
          <w:szCs w:val="29"/>
          <w:lang w:eastAsia="zh-CN"/>
        </w:rPr>
        <w:t>二</w:t>
      </w:r>
      <w:r>
        <w:rPr>
          <w:rFonts w:ascii="黑体" w:hAnsi="黑体" w:eastAsia="黑体" w:cs="黑体"/>
          <w:spacing w:val="-38"/>
          <w:sz w:val="29"/>
          <w:szCs w:val="29"/>
          <w:lang w:eastAsia="zh-CN"/>
        </w:rPr>
        <w:t xml:space="preserve"> </w:t>
      </w:r>
      <w:r>
        <w:rPr>
          <w:rFonts w:ascii="黑体" w:hAnsi="黑体" w:eastAsia="黑体" w:cs="黑体"/>
          <w:b/>
          <w:bCs/>
          <w:spacing w:val="-6"/>
          <w:sz w:val="29"/>
          <w:szCs w:val="29"/>
          <w:lang w:eastAsia="zh-CN"/>
        </w:rPr>
        <w:t>、绩效评价工作开展情况</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绩效评价目的、对象和范围。</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2、绩效评价对象：运用科学、规范的绩效评价方法，按照财政部《关于印发&lt;项目支出绩效评价管理办法&gt;的通知》，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Fonts w:hint="eastAsia" w:ascii="仿宋" w:hAnsi="仿宋" w:eastAsia="仿宋" w:cs="仿宋"/>
          <w:spacing w:val="12"/>
          <w:sz w:val="29"/>
          <w:szCs w:val="29"/>
          <w:lang w:eastAsia="zh-CN"/>
        </w:rPr>
        <w:t>。</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(二)绩效评价原则、评价指标体系(附表说明)、评价方法、评价标准等。</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5"/>
          <w:sz w:val="29"/>
          <w:szCs w:val="29"/>
        </w:rPr>
      </w:pPr>
      <w:r>
        <w:rPr>
          <w:rFonts w:hint="eastAsia" w:ascii="仿宋" w:hAnsi="仿宋" w:eastAsia="仿宋" w:cs="仿宋"/>
          <w:spacing w:val="12"/>
          <w:sz w:val="29"/>
          <w:szCs w:val="29"/>
        </w:rPr>
        <w:t>本次绩效评价主</w:t>
      </w:r>
      <w:r>
        <w:rPr>
          <w:rFonts w:hint="eastAsia" w:ascii="仿宋" w:hAnsi="仿宋" w:eastAsia="仿宋" w:cs="仿宋"/>
          <w:spacing w:val="-5"/>
          <w:sz w:val="29"/>
          <w:szCs w:val="29"/>
        </w:rPr>
        <w:t>要遵循以下原则：</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rPr>
        <w:t>（1）客观性原则。绩效评价应当运用科学合理的方法，以事实和规范的评价标准为依据，对项目绩效进行客观评价，减少主观性和感情色彩的影响。</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rPr>
        <w:t>（2）相关性原则。要求资金支出与其绩效指标之间有紧密相关的关系。</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560" w:firstLineChars="200"/>
        <w:jc w:val="left"/>
        <w:textAlignment w:val="baseline"/>
        <w:rPr>
          <w:rFonts w:hint="eastAsia" w:ascii="仿宋" w:hAnsi="仿宋" w:eastAsia="仿宋" w:cs="仿宋"/>
          <w:spacing w:val="-5"/>
          <w:sz w:val="29"/>
          <w:szCs w:val="29"/>
        </w:rPr>
      </w:pPr>
      <w:r>
        <w:rPr>
          <w:rFonts w:hint="eastAsia" w:ascii="仿宋" w:hAnsi="仿宋" w:eastAsia="仿宋" w:cs="仿宋"/>
          <w:spacing w:val="-5"/>
          <w:sz w:val="29"/>
          <w:szCs w:val="29"/>
        </w:rPr>
        <w:t>（3）公开性原则。绩效评价结果依法依规公开，并接受社会监督</w:t>
      </w:r>
      <w:r>
        <w:rPr>
          <w:rFonts w:hint="eastAsia" w:ascii="仿宋" w:hAnsi="仿宋" w:eastAsia="仿宋" w:cs="仿宋"/>
          <w:spacing w:val="-5"/>
          <w:sz w:val="29"/>
          <w:szCs w:val="29"/>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rPr>
      </w:pPr>
      <w:r>
        <w:rPr>
          <w:rFonts w:hint="eastAsia" w:cs="仿宋"/>
          <w:spacing w:val="-5"/>
          <w:sz w:val="29"/>
          <w:szCs w:val="29"/>
          <w:lang w:val="en-US" w:eastAsia="zh-CN"/>
        </w:rPr>
        <w:t>2、</w:t>
      </w:r>
      <w:r>
        <w:rPr>
          <w:rFonts w:hint="eastAsia" w:ascii="仿宋" w:hAnsi="仿宋" w:eastAsia="仿宋" w:cs="仿宋"/>
          <w:spacing w:val="-5"/>
          <w:sz w:val="29"/>
          <w:szCs w:val="29"/>
        </w:rPr>
        <w:t>评价指标体系</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val="en-US" w:eastAsia="zh-CN"/>
        </w:rPr>
      </w:pPr>
      <w:r>
        <w:rPr>
          <w:rFonts w:hint="eastAsia" w:ascii="仿宋" w:hAnsi="仿宋" w:eastAsia="仿宋" w:cs="仿宋"/>
          <w:spacing w:val="-5"/>
          <w:sz w:val="29"/>
          <w:szCs w:val="29"/>
          <w:lang w:eastAsia="zh-CN"/>
        </w:rPr>
        <w:t>本次绩效评价指标体系主要分为</w:t>
      </w:r>
      <w:r>
        <w:rPr>
          <w:rFonts w:hint="eastAsia" w:ascii="仿宋" w:hAnsi="仿宋" w:eastAsia="仿宋" w:cs="仿宋"/>
          <w:spacing w:val="-5"/>
          <w:sz w:val="29"/>
          <w:szCs w:val="29"/>
          <w:lang w:val="en-US" w:eastAsia="zh-CN"/>
        </w:rPr>
        <w:t>预算执行率指标和项目绩效指标，其中预算执行率指标占10分，项目绩效指标占90分。</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lang w:eastAsia="zh-CN"/>
        </w:rPr>
        <w:t>3</w:t>
      </w:r>
      <w:r>
        <w:rPr>
          <w:rFonts w:hint="eastAsia" w:cs="仿宋"/>
          <w:spacing w:val="-5"/>
          <w:sz w:val="29"/>
          <w:szCs w:val="29"/>
          <w:lang w:eastAsia="zh-CN"/>
        </w:rPr>
        <w:t>、</w:t>
      </w:r>
      <w:r>
        <w:rPr>
          <w:rFonts w:hint="eastAsia" w:ascii="仿宋" w:hAnsi="仿宋" w:eastAsia="仿宋" w:cs="仿宋"/>
          <w:spacing w:val="-5"/>
          <w:sz w:val="29"/>
          <w:szCs w:val="29"/>
          <w:lang w:eastAsia="zh-CN"/>
        </w:rPr>
        <w:t>评价方法</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lang w:eastAsia="zh-CN"/>
        </w:rPr>
        <w:t>绩效评价方法主要包括成本效益分析法、比较法、因素分析法、最低成本法、公众评判法、标杆管理法等。本单位在评价过程中主要采用了因素分析法、成本效益分析法等。</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lang w:eastAsia="zh-CN"/>
        </w:rPr>
        <w:t>4</w:t>
      </w:r>
      <w:r>
        <w:rPr>
          <w:rFonts w:hint="eastAsia" w:cs="仿宋"/>
          <w:spacing w:val="-5"/>
          <w:sz w:val="29"/>
          <w:szCs w:val="29"/>
          <w:lang w:eastAsia="zh-CN"/>
        </w:rPr>
        <w:t>、</w:t>
      </w:r>
      <w:r>
        <w:rPr>
          <w:rFonts w:hint="eastAsia" w:ascii="仿宋" w:hAnsi="仿宋" w:eastAsia="仿宋" w:cs="仿宋"/>
          <w:spacing w:val="-5"/>
          <w:sz w:val="29"/>
          <w:szCs w:val="29"/>
          <w:lang w:eastAsia="zh-CN"/>
        </w:rPr>
        <w:t>评价标准</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lang w:eastAsia="zh-CN"/>
        </w:rPr>
        <w:t>绩效评价标准通常包括计划标准、行业标准、历史标准等，用于对绩效指标完成情况进行比较。本单位绩效评价采用计划标准。</w:t>
      </w:r>
    </w:p>
    <w:p>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leftChars="0" w:right="0" w:firstLine="632" w:firstLineChars="200"/>
        <w:jc w:val="left"/>
        <w:textAlignment w:val="baseline"/>
        <w:rPr>
          <w:rFonts w:hint="eastAsia" w:ascii="仿宋" w:hAnsi="仿宋" w:eastAsia="仿宋" w:cs="仿宋"/>
          <w:spacing w:val="13"/>
          <w:sz w:val="29"/>
          <w:szCs w:val="29"/>
        </w:rPr>
      </w:pPr>
      <w:r>
        <w:rPr>
          <w:rFonts w:hint="eastAsia" w:ascii="仿宋" w:hAnsi="仿宋" w:eastAsia="仿宋" w:cs="仿宋"/>
          <w:spacing w:val="13"/>
          <w:sz w:val="29"/>
          <w:szCs w:val="29"/>
        </w:rPr>
        <w:t>绩效评价工作过程。</w:t>
      </w:r>
    </w:p>
    <w:p>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lang w:eastAsia="zh-CN"/>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项目设备验收情况、资金使用情况。认真听取仪器设备使用人员的意见，不断完善该项目的所有资料准备，项目计划内的采购如期完成，并及时对采购设备进行验收、支付和反馈，根据以上绩效评价工作过程，核实数据、意见、结论进行总结得出绩效评价报告。按照确定的评价指标、标准和方法进行自评，形成了自评结论，达到了工作目的。</w:t>
      </w:r>
    </w:p>
    <w:p>
      <w:pPr>
        <w:pStyle w:val="2"/>
        <w:spacing w:before="264" w:line="579" w:lineRule="exact"/>
        <w:ind w:left="564"/>
        <w:rPr>
          <w:spacing w:val="3"/>
          <w:position w:val="21"/>
          <w:sz w:val="29"/>
          <w:szCs w:val="29"/>
          <w:lang w:eastAsia="zh-CN"/>
        </w:rPr>
      </w:pPr>
      <w:r>
        <w:rPr>
          <w:rFonts w:ascii="黑体" w:hAnsi="黑体" w:eastAsia="黑体" w:cs="黑体"/>
          <w:b/>
          <w:bCs/>
          <w:spacing w:val="3"/>
          <w:position w:val="21"/>
          <w:sz w:val="29"/>
          <w:szCs w:val="29"/>
          <w:lang w:eastAsia="zh-CN"/>
        </w:rPr>
        <w:t>三</w:t>
      </w:r>
      <w:r>
        <w:rPr>
          <w:rFonts w:ascii="黑体" w:hAnsi="黑体" w:eastAsia="黑体" w:cs="黑体"/>
          <w:spacing w:val="-33"/>
          <w:position w:val="21"/>
          <w:sz w:val="29"/>
          <w:szCs w:val="29"/>
          <w:lang w:eastAsia="zh-CN"/>
        </w:rPr>
        <w:t xml:space="preserve"> </w:t>
      </w:r>
      <w:r>
        <w:rPr>
          <w:rFonts w:ascii="黑体" w:hAnsi="黑体" w:eastAsia="黑体" w:cs="黑体"/>
          <w:b/>
          <w:bCs/>
          <w:spacing w:val="3"/>
          <w:position w:val="21"/>
          <w:sz w:val="29"/>
          <w:szCs w:val="29"/>
          <w:lang w:eastAsia="zh-CN"/>
        </w:rPr>
        <w:t>、综合评价情况及评价结论</w:t>
      </w:r>
      <w:r>
        <w:rPr>
          <w:rFonts w:ascii="黑体" w:hAnsi="黑体" w:eastAsia="黑体" w:cs="黑体"/>
          <w:spacing w:val="-31"/>
          <w:position w:val="21"/>
          <w:sz w:val="29"/>
          <w:szCs w:val="29"/>
          <w:lang w:eastAsia="zh-CN"/>
        </w:rPr>
        <w:t xml:space="preserve"> </w:t>
      </w:r>
      <w:r>
        <w:rPr>
          <w:spacing w:val="3"/>
          <w:position w:val="21"/>
          <w:sz w:val="29"/>
          <w:szCs w:val="29"/>
          <w:lang w:eastAsia="zh-CN"/>
        </w:rPr>
        <w:t>(附相关评分表)</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napToGrid w:val="0"/>
          <w:color w:val="000000"/>
          <w:spacing w:val="-5"/>
          <w:kern w:val="0"/>
          <w:sz w:val="29"/>
          <w:szCs w:val="29"/>
          <w:lang w:val="en-US" w:eastAsia="zh-CN" w:bidi="ar-SA"/>
        </w:rPr>
      </w:pPr>
      <w:r>
        <w:rPr>
          <w:rFonts w:hint="eastAsia" w:ascii="仿宋" w:hAnsi="仿宋" w:eastAsia="仿宋" w:cs="仿宋"/>
          <w:snapToGrid w:val="0"/>
          <w:color w:val="000000"/>
          <w:spacing w:val="-5"/>
          <w:kern w:val="0"/>
          <w:sz w:val="29"/>
          <w:szCs w:val="29"/>
          <w:lang w:val="en-US" w:eastAsia="zh-CN" w:bidi="ar-SA"/>
        </w:rPr>
        <w:t>1.综合评价情况及评价结论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lang w:val="en-US" w:eastAsia="en-US"/>
        </w:rPr>
      </w:pPr>
      <w:r>
        <w:rPr>
          <w:rFonts w:hint="eastAsia" w:ascii="仿宋" w:hAnsi="仿宋" w:eastAsia="仿宋" w:cs="仿宋"/>
          <w:snapToGrid w:val="0"/>
          <w:color w:val="000000"/>
          <w:spacing w:val="-5"/>
          <w:kern w:val="0"/>
          <w:sz w:val="29"/>
          <w:szCs w:val="29"/>
          <w:lang w:val="en-US" w:eastAsia="zh-CN" w:bidi="ar-SA"/>
        </w:rPr>
        <w:t>该项目根据年初制定的评价指标体</w:t>
      </w:r>
      <w:r>
        <w:rPr>
          <w:rFonts w:hint="eastAsia" w:ascii="仿宋" w:hAnsi="仿宋" w:eastAsia="仿宋" w:cs="仿宋"/>
          <w:color w:val="333333"/>
          <w:sz w:val="29"/>
          <w:szCs w:val="29"/>
        </w:rPr>
        <w:t>系及评分标准，通过资料采集，对此次项目进行客观评价，最终评分结果：总得分为</w:t>
      </w:r>
      <w:r>
        <w:rPr>
          <w:rFonts w:hint="eastAsia" w:ascii="仿宋" w:hAnsi="仿宋" w:eastAsia="仿宋" w:cs="仿宋"/>
          <w:color w:val="333333"/>
          <w:sz w:val="29"/>
          <w:szCs w:val="29"/>
          <w:lang w:val="en-US" w:eastAsia="zh-CN"/>
        </w:rPr>
        <w:t>95</w:t>
      </w:r>
      <w:r>
        <w:rPr>
          <w:rFonts w:hint="eastAsia" w:ascii="仿宋" w:hAnsi="仿宋" w:eastAsia="仿宋" w:cs="仿宋"/>
          <w:color w:val="333333"/>
          <w:sz w:val="29"/>
          <w:szCs w:val="29"/>
        </w:rPr>
        <w:t>分。其中：项目预算执行情况得分</w:t>
      </w:r>
      <w:r>
        <w:rPr>
          <w:rFonts w:hint="eastAsia" w:ascii="仿宋" w:hAnsi="仿宋" w:eastAsia="仿宋" w:cs="仿宋"/>
          <w:color w:val="333333"/>
          <w:sz w:val="29"/>
          <w:szCs w:val="29"/>
          <w:lang w:val="en-US" w:eastAsia="zh-CN"/>
        </w:rPr>
        <w:t>10</w:t>
      </w:r>
      <w:r>
        <w:rPr>
          <w:rFonts w:hint="eastAsia" w:ascii="仿宋" w:hAnsi="仿宋" w:eastAsia="仿宋" w:cs="仿宋"/>
          <w:color w:val="333333"/>
          <w:sz w:val="29"/>
          <w:szCs w:val="29"/>
        </w:rPr>
        <w:t>分，得分率为</w:t>
      </w:r>
      <w:r>
        <w:rPr>
          <w:rFonts w:hint="eastAsia" w:ascii="仿宋" w:hAnsi="仿宋" w:eastAsia="仿宋" w:cs="仿宋"/>
          <w:color w:val="333333"/>
          <w:sz w:val="29"/>
          <w:szCs w:val="29"/>
          <w:lang w:val="en-US" w:eastAsia="zh-CN"/>
        </w:rPr>
        <w:t>100</w:t>
      </w:r>
      <w:r>
        <w:rPr>
          <w:rFonts w:hint="eastAsia" w:ascii="仿宋" w:hAnsi="仿宋" w:eastAsia="仿宋" w:cs="仿宋"/>
          <w:color w:val="333333"/>
          <w:sz w:val="29"/>
          <w:szCs w:val="29"/>
        </w:rPr>
        <w:t>%；产出指标为</w:t>
      </w:r>
      <w:r>
        <w:rPr>
          <w:rFonts w:hint="eastAsia" w:ascii="仿宋" w:hAnsi="仿宋" w:eastAsia="仿宋" w:cs="仿宋"/>
          <w:color w:val="333333"/>
          <w:sz w:val="29"/>
          <w:szCs w:val="29"/>
          <w:lang w:val="en-US" w:eastAsia="zh-CN"/>
        </w:rPr>
        <w:t>40</w:t>
      </w:r>
      <w:r>
        <w:rPr>
          <w:rFonts w:hint="eastAsia" w:ascii="仿宋" w:hAnsi="仿宋" w:eastAsia="仿宋" w:cs="仿宋"/>
          <w:color w:val="333333"/>
          <w:sz w:val="29"/>
          <w:szCs w:val="29"/>
        </w:rPr>
        <w:t>分，得分率为</w:t>
      </w:r>
      <w:r>
        <w:rPr>
          <w:rFonts w:hint="eastAsia" w:ascii="仿宋" w:hAnsi="仿宋" w:eastAsia="仿宋" w:cs="仿宋"/>
          <w:color w:val="333333"/>
          <w:sz w:val="29"/>
          <w:szCs w:val="29"/>
          <w:lang w:val="en-US" w:eastAsia="zh-CN"/>
        </w:rPr>
        <w:t>100</w:t>
      </w:r>
      <w:r>
        <w:rPr>
          <w:rFonts w:hint="eastAsia" w:ascii="仿宋" w:hAnsi="仿宋" w:eastAsia="仿宋" w:cs="仿宋"/>
          <w:color w:val="333333"/>
          <w:sz w:val="29"/>
          <w:szCs w:val="29"/>
        </w:rPr>
        <w:t>%；</w:t>
      </w:r>
      <w:r>
        <w:rPr>
          <w:rFonts w:hint="eastAsia" w:ascii="仿宋" w:hAnsi="仿宋" w:eastAsia="仿宋" w:cs="仿宋"/>
          <w:color w:val="333333"/>
          <w:sz w:val="29"/>
          <w:szCs w:val="29"/>
          <w:lang w:eastAsia="zh-CN"/>
        </w:rPr>
        <w:t>成本指标为</w:t>
      </w:r>
      <w:r>
        <w:rPr>
          <w:rFonts w:hint="eastAsia" w:ascii="仿宋" w:hAnsi="仿宋" w:eastAsia="仿宋" w:cs="仿宋"/>
          <w:color w:val="333333"/>
          <w:sz w:val="29"/>
          <w:szCs w:val="29"/>
          <w:lang w:val="en-US" w:eastAsia="zh-CN"/>
        </w:rPr>
        <w:t>20分，得分率100%；</w:t>
      </w:r>
      <w:r>
        <w:rPr>
          <w:rFonts w:hint="eastAsia" w:ascii="仿宋" w:hAnsi="仿宋" w:eastAsia="仿宋" w:cs="仿宋"/>
          <w:color w:val="333333"/>
          <w:sz w:val="29"/>
          <w:szCs w:val="29"/>
        </w:rPr>
        <w:t>效益指标为</w:t>
      </w:r>
      <w:r>
        <w:rPr>
          <w:rFonts w:hint="eastAsia" w:ascii="仿宋" w:hAnsi="仿宋" w:eastAsia="仿宋" w:cs="仿宋"/>
          <w:color w:val="333333"/>
          <w:sz w:val="29"/>
          <w:szCs w:val="29"/>
          <w:lang w:val="en-US" w:eastAsia="zh-CN"/>
        </w:rPr>
        <w:t>15</w:t>
      </w:r>
      <w:r>
        <w:rPr>
          <w:rFonts w:hint="eastAsia" w:ascii="仿宋" w:hAnsi="仿宋" w:eastAsia="仿宋" w:cs="仿宋"/>
          <w:color w:val="333333"/>
          <w:sz w:val="29"/>
          <w:szCs w:val="29"/>
        </w:rPr>
        <w:t>分，得分率为</w:t>
      </w:r>
      <w:r>
        <w:rPr>
          <w:rFonts w:hint="eastAsia" w:ascii="仿宋" w:hAnsi="仿宋" w:eastAsia="仿宋" w:cs="仿宋"/>
          <w:color w:val="333333"/>
          <w:sz w:val="29"/>
          <w:szCs w:val="29"/>
          <w:lang w:val="en-US" w:eastAsia="zh-CN"/>
        </w:rPr>
        <w:t>75</w:t>
      </w:r>
      <w:r>
        <w:rPr>
          <w:rFonts w:hint="eastAsia" w:ascii="仿宋" w:hAnsi="仿宋" w:eastAsia="仿宋" w:cs="仿宋"/>
          <w:color w:val="333333"/>
          <w:sz w:val="29"/>
          <w:szCs w:val="29"/>
        </w:rPr>
        <w:t>%；满意度指标为</w:t>
      </w:r>
      <w:r>
        <w:rPr>
          <w:rFonts w:hint="eastAsia" w:ascii="仿宋" w:hAnsi="仿宋" w:eastAsia="仿宋" w:cs="仿宋"/>
          <w:color w:val="333333"/>
          <w:sz w:val="29"/>
          <w:szCs w:val="29"/>
          <w:lang w:val="en-US" w:eastAsia="zh-CN"/>
        </w:rPr>
        <w:t>9</w:t>
      </w:r>
      <w:r>
        <w:rPr>
          <w:rFonts w:hint="eastAsia" w:ascii="仿宋" w:hAnsi="仿宋" w:eastAsia="仿宋" w:cs="仿宋"/>
          <w:color w:val="333333"/>
          <w:sz w:val="29"/>
          <w:szCs w:val="29"/>
        </w:rPr>
        <w:t>分，得分率为</w:t>
      </w:r>
      <w:r>
        <w:rPr>
          <w:rFonts w:hint="eastAsia" w:ascii="仿宋" w:hAnsi="仿宋" w:eastAsia="仿宋" w:cs="仿宋"/>
          <w:color w:val="333333"/>
          <w:sz w:val="29"/>
          <w:szCs w:val="29"/>
          <w:lang w:val="en-US" w:eastAsia="zh-CN"/>
        </w:rPr>
        <w:t>90</w:t>
      </w:r>
      <w:r>
        <w:rPr>
          <w:rFonts w:hint="eastAsia" w:ascii="仿宋" w:hAnsi="仿宋" w:eastAsia="仿宋" w:cs="仿宋"/>
          <w:color w:val="333333"/>
          <w:sz w:val="29"/>
          <w:szCs w:val="29"/>
        </w:rPr>
        <w:t>%。</w:t>
      </w:r>
    </w:p>
    <w:tbl>
      <w:tblPr>
        <w:tblStyle w:val="5"/>
        <w:tblW w:w="87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23"/>
        <w:gridCol w:w="623"/>
        <w:gridCol w:w="622"/>
        <w:gridCol w:w="623"/>
        <w:gridCol w:w="623"/>
        <w:gridCol w:w="623"/>
        <w:gridCol w:w="623"/>
        <w:gridCol w:w="623"/>
        <w:gridCol w:w="622"/>
        <w:gridCol w:w="623"/>
        <w:gridCol w:w="623"/>
        <w:gridCol w:w="623"/>
        <w:gridCol w:w="623"/>
        <w:gridCol w:w="6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8719" w:type="dxa"/>
            <w:gridSpan w:val="14"/>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8"/>
                <w:szCs w:val="28"/>
                <w:u w:val="none"/>
              </w:rPr>
            </w:pPr>
            <w:r>
              <w:rPr>
                <w:rFonts w:ascii="宋体" w:hAnsi="宋体" w:eastAsia="宋体" w:cs="宋体"/>
                <w:b/>
                <w:i w:val="0"/>
                <w:snapToGrid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719" w:type="dxa"/>
            <w:gridSpan w:val="14"/>
            <w:shd w:val="clear" w:color="auto" w:fill="auto"/>
            <w:vAlign w:val="top"/>
          </w:tcPr>
          <w:p>
            <w:pPr>
              <w:keepNext w:val="0"/>
              <w:keepLines w:val="0"/>
              <w:widowControl/>
              <w:suppressLineNumbers w:val="0"/>
              <w:jc w:val="center"/>
              <w:textAlignment w:val="top"/>
              <w:rPr>
                <w:rFonts w:ascii="宋体" w:hAnsi="宋体" w:eastAsia="宋体" w:cs="宋体"/>
                <w:i w:val="0"/>
                <w:color w:val="000000"/>
                <w:sz w:val="16"/>
                <w:szCs w:val="16"/>
                <w:u w:val="none"/>
              </w:rPr>
            </w:pPr>
            <w:r>
              <w:rPr>
                <w:rFonts w:ascii="宋体" w:hAnsi="宋体" w:eastAsia="宋体" w:cs="宋体"/>
                <w:i w:val="0"/>
                <w:snapToGrid w:val="0"/>
                <w:color w:val="000000"/>
                <w:kern w:val="0"/>
                <w:sz w:val="16"/>
                <w:szCs w:val="16"/>
                <w:u w:val="none"/>
                <w:lang w:val="en-US" w:eastAsia="zh-CN" w:bidi="ar"/>
              </w:rPr>
              <w:t xml:space="preserve">  (2022年度)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项目名称</w:t>
            </w:r>
          </w:p>
        </w:tc>
        <w:tc>
          <w:tcPr>
            <w:tcW w:w="747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新疆巴里坤县一碗泉一带金铜矿调查评价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cs="Arial"/>
                <w:i w:val="0"/>
                <w:color w:val="000000"/>
                <w:sz w:val="22"/>
                <w:szCs w:val="22"/>
                <w:u w:val="none"/>
              </w:rPr>
            </w:pPr>
            <w:r>
              <w:rPr>
                <w:rStyle w:val="17"/>
                <w:snapToGrid w:val="0"/>
                <w:color w:val="000000"/>
                <w:lang w:val="en-US" w:eastAsia="zh-CN" w:bidi="ar"/>
              </w:rPr>
              <w:t>主管部门</w:t>
            </w:r>
          </w:p>
        </w:tc>
        <w:tc>
          <w:tcPr>
            <w:tcW w:w="3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新疆地质矿产勘查开发局</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实施单位</w:t>
            </w:r>
          </w:p>
        </w:tc>
        <w:tc>
          <w:tcPr>
            <w:tcW w:w="3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2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项目资金</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(万元)</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资金来源</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年初预算数</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全年预算数</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全年执行数</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分值权重</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执行率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2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年度资金总额</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50.2</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50.2</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50.2</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2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其中：当年财政披款</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2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共他资金</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50.2</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50.2</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50.2</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年度总体目</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标</w:t>
            </w:r>
          </w:p>
        </w:tc>
        <w:tc>
          <w:tcPr>
            <w:tcW w:w="49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总体目标</w:t>
            </w:r>
          </w:p>
        </w:tc>
        <w:tc>
          <w:tcPr>
            <w:tcW w:w="3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3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49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snapToGrid w:val="0"/>
                <w:color w:val="000000"/>
                <w:kern w:val="0"/>
                <w:sz w:val="16"/>
                <w:szCs w:val="16"/>
                <w:u w:val="none"/>
                <w:lang w:val="en-US" w:eastAsia="zh-CN" w:bidi="ar"/>
              </w:rPr>
              <w:t>在充分收集、研究以往地质、矿产、物探、化探等成果资料的基础上，以金、铜为主攻矿产，兼顾镍等其他矿产，采用地质填图、化探、物探等方法手段，对一碗泉一带金铜矿开展调查评价工作，为下一步矿产勘查提供依据。</w:t>
            </w:r>
          </w:p>
        </w:tc>
        <w:tc>
          <w:tcPr>
            <w:tcW w:w="3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snapToGrid w:val="0"/>
                <w:color w:val="000000"/>
                <w:kern w:val="0"/>
                <w:sz w:val="16"/>
                <w:szCs w:val="16"/>
                <w:u w:val="none"/>
                <w:lang w:val="en-US" w:eastAsia="zh-CN" w:bidi="ar"/>
              </w:rPr>
              <w:t>根据总体目标提交勘查靶区2-3处，实物工作量（野外工作、阶段成果和年终总结等）完成95%以上，项目技术人员安排合理，能起到传、帮、带作用，基本完成目标任务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一级指标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二级指标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三级指标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指标值</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指标值设置依据</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上年完成值</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指标分值权重</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指标赋分规则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佐证资料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指标实际完成值</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完成率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指标得分</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年度绩效指</w:t>
            </w:r>
            <w:r>
              <w:rPr>
                <w:rStyle w:val="17"/>
                <w:snapToGrid w:val="0"/>
                <w:color w:val="000000"/>
                <w:lang w:val="en-US" w:eastAsia="zh-CN" w:bidi="ar"/>
              </w:rPr>
              <w:br w:type="textWrapping"/>
            </w:r>
            <w:r>
              <w:rPr>
                <w:rStyle w:val="17"/>
                <w:snapToGrid w:val="0"/>
                <w:color w:val="000000"/>
                <w:lang w:val="en-US" w:eastAsia="zh-CN" w:bidi="ar"/>
              </w:rPr>
              <w:t>标完成情况</w:t>
            </w:r>
          </w:p>
        </w:tc>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产出指标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效益指标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提交成果报告数</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=1份</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质量指标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报告合格率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时效指标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勘查工作按期完成率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时效指标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报告按期完成率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成本指标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经济成本指标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项目成本控制率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&lt;=100%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20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社会成本指标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生态环境成本指</w:t>
            </w:r>
            <w:r>
              <w:rPr>
                <w:rStyle w:val="17"/>
                <w:snapToGrid w:val="0"/>
                <w:color w:val="000000"/>
                <w:lang w:val="en-US" w:eastAsia="zh-CN" w:bidi="ar"/>
              </w:rPr>
              <w:br w:type="textWrapping"/>
            </w:r>
            <w:r>
              <w:rPr>
                <w:rStyle w:val="17"/>
                <w:snapToGrid w:val="0"/>
                <w:color w:val="000000"/>
                <w:lang w:val="en-US" w:eastAsia="zh-CN" w:bidi="ar"/>
              </w:rPr>
              <w:t>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效蔬指标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经济效益指标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社会效益指标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为社会经济发展提供资源能源保障</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20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按评判等级赋分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75%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15</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生态效益指标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满意度指标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满意度指标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项目单位满意度</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9.5</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24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总分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bl>
    <w:p>
      <w:pPr>
        <w:spacing w:before="2" w:line="220" w:lineRule="auto"/>
        <w:ind w:left="564"/>
        <w:rPr>
          <w:rFonts w:ascii="黑体" w:hAnsi="黑体" w:eastAsia="黑体" w:cs="黑体"/>
          <w:b/>
          <w:bCs/>
          <w:spacing w:val="4"/>
          <w:sz w:val="29"/>
          <w:szCs w:val="29"/>
          <w:lang w:eastAsia="zh-CN"/>
        </w:rPr>
      </w:pPr>
    </w:p>
    <w:p>
      <w:pPr>
        <w:spacing w:before="2" w:line="220" w:lineRule="auto"/>
        <w:ind w:left="564"/>
        <w:rPr>
          <w:rFonts w:ascii="黑体" w:hAnsi="黑体" w:eastAsia="黑体" w:cs="黑体"/>
          <w:sz w:val="29"/>
          <w:szCs w:val="29"/>
          <w:lang w:eastAsia="zh-CN"/>
        </w:rPr>
      </w:pPr>
      <w:r>
        <w:rPr>
          <w:rFonts w:ascii="黑体" w:hAnsi="黑体" w:eastAsia="黑体" w:cs="黑体"/>
          <w:b/>
          <w:bCs/>
          <w:spacing w:val="4"/>
          <w:sz w:val="29"/>
          <w:szCs w:val="29"/>
          <w:lang w:eastAsia="zh-CN"/>
        </w:rPr>
        <w:t>四、绩效评价指标分析</w:t>
      </w:r>
    </w:p>
    <w:p>
      <w:pPr>
        <w:spacing w:line="360" w:lineRule="auto"/>
        <w:ind w:firstLine="560" w:firstLineChars="200"/>
        <w:rPr>
          <w:rFonts w:ascii="仿宋" w:hAnsi="仿宋" w:eastAsia="仿宋" w:cs="仿宋"/>
          <w:sz w:val="28"/>
          <w:szCs w:val="28"/>
          <w:lang w:eastAsia="zh-CN"/>
        </w:rPr>
      </w:pPr>
      <w:r>
        <w:rPr>
          <w:rFonts w:ascii="仿宋" w:hAnsi="仿宋" w:eastAsia="仿宋" w:cs="仿宋"/>
          <w:sz w:val="28"/>
          <w:szCs w:val="28"/>
          <w:lang w:eastAsia="zh-CN"/>
        </w:rPr>
        <w:t>(一)项目决策情况。</w:t>
      </w:r>
    </w:p>
    <w:p>
      <w:pPr>
        <w:spacing w:line="360" w:lineRule="auto"/>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1、</w:t>
      </w:r>
      <w:r>
        <w:rPr>
          <w:rFonts w:ascii="仿宋" w:hAnsi="仿宋" w:eastAsia="仿宋" w:cs="仿宋"/>
          <w:sz w:val="28"/>
          <w:szCs w:val="28"/>
          <w:lang w:eastAsia="zh-CN"/>
        </w:rPr>
        <w:t>立项依据充分性</w:t>
      </w:r>
    </w:p>
    <w:p>
      <w:pPr>
        <w:spacing w:line="360" w:lineRule="auto"/>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我</w:t>
      </w:r>
      <w:r>
        <w:rPr>
          <w:rFonts w:ascii="仿宋" w:hAnsi="仿宋" w:eastAsia="仿宋" w:cs="仿宋"/>
          <w:sz w:val="28"/>
          <w:szCs w:val="28"/>
          <w:lang w:eastAsia="zh-CN"/>
        </w:rPr>
        <w:t>单位依据上级主管局相关要求，结合地勘单位发展规划及我单位主要职责，设立本项目，项目立项符合国家法律法规</w:t>
      </w:r>
      <w:r>
        <w:rPr>
          <w:rFonts w:hint="eastAsia" w:ascii="仿宋" w:hAnsi="仿宋" w:eastAsia="仿宋" w:cs="仿宋"/>
          <w:sz w:val="28"/>
          <w:szCs w:val="28"/>
          <w:lang w:eastAsia="zh-CN"/>
        </w:rPr>
        <w:t>。</w:t>
      </w:r>
      <w:r>
        <w:rPr>
          <w:rFonts w:ascii="仿宋" w:hAnsi="仿宋" w:eastAsia="仿宋" w:cs="仿宋"/>
          <w:sz w:val="28"/>
          <w:szCs w:val="28"/>
          <w:lang w:eastAsia="zh-CN"/>
        </w:rPr>
        <w:t>国</w:t>
      </w:r>
      <w:r>
        <w:rPr>
          <w:rFonts w:hint="eastAsia" w:ascii="仿宋" w:hAnsi="仿宋" w:eastAsia="仿宋" w:cs="仿宋"/>
          <w:sz w:val="28"/>
          <w:szCs w:val="28"/>
          <w:lang w:eastAsia="zh-CN"/>
        </w:rPr>
        <w:t>民</w:t>
      </w:r>
      <w:r>
        <w:rPr>
          <w:rFonts w:ascii="仿宋" w:hAnsi="仿宋" w:eastAsia="仿宋" w:cs="仿宋"/>
          <w:sz w:val="28"/>
          <w:szCs w:val="28"/>
          <w:lang w:eastAsia="zh-CN"/>
        </w:rPr>
        <w:t>经济发展规划和相关政策、符合行业发展规划和政策要求，该项目不属于公共财政支持范围，与相关部门同类项目无重复。</w:t>
      </w:r>
    </w:p>
    <w:p>
      <w:pPr>
        <w:spacing w:line="360" w:lineRule="auto"/>
        <w:ind w:firstLine="560" w:firstLineChars="200"/>
        <w:rPr>
          <w:rFonts w:ascii="仿宋" w:hAnsi="仿宋" w:eastAsia="仿宋" w:cs="仿宋"/>
          <w:sz w:val="28"/>
          <w:szCs w:val="28"/>
          <w:lang w:eastAsia="zh-CN"/>
        </w:rPr>
      </w:pPr>
      <w:r>
        <w:rPr>
          <w:rFonts w:ascii="仿宋" w:hAnsi="仿宋" w:eastAsia="仿宋" w:cs="仿宋"/>
          <w:sz w:val="28"/>
          <w:szCs w:val="28"/>
          <w:lang w:eastAsia="zh-CN"/>
        </w:rPr>
        <w:t>2</w:t>
      </w:r>
      <w:r>
        <w:rPr>
          <w:rFonts w:hint="eastAsia" w:ascii="仿宋" w:hAnsi="仿宋" w:eastAsia="仿宋" w:cs="仿宋"/>
          <w:sz w:val="28"/>
          <w:szCs w:val="28"/>
          <w:lang w:eastAsia="zh-CN"/>
        </w:rPr>
        <w:t>、</w:t>
      </w:r>
      <w:r>
        <w:rPr>
          <w:rFonts w:ascii="仿宋" w:hAnsi="仿宋" w:eastAsia="仿宋" w:cs="仿宋"/>
          <w:sz w:val="28"/>
          <w:szCs w:val="28"/>
          <w:lang w:eastAsia="zh-CN"/>
        </w:rPr>
        <w:t>立项程序规范性</w:t>
      </w:r>
    </w:p>
    <w:p>
      <w:pPr>
        <w:spacing w:line="360" w:lineRule="auto"/>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我单位</w:t>
      </w:r>
      <w:r>
        <w:rPr>
          <w:rFonts w:ascii="仿宋" w:hAnsi="仿宋" w:eastAsia="仿宋" w:cs="仿宋"/>
          <w:sz w:val="28"/>
          <w:szCs w:val="28"/>
          <w:lang w:eastAsia="zh-CN"/>
        </w:rPr>
        <w:t>严格按照自治区财政规定的</w:t>
      </w:r>
      <w:r>
        <w:rPr>
          <w:rFonts w:hint="eastAsia" w:ascii="仿宋" w:hAnsi="仿宋" w:eastAsia="仿宋" w:cs="仿宋"/>
          <w:sz w:val="28"/>
          <w:szCs w:val="28"/>
          <w:lang w:eastAsia="zh-CN"/>
        </w:rPr>
        <w:t>立项</w:t>
      </w:r>
      <w:r>
        <w:rPr>
          <w:rFonts w:ascii="仿宋" w:hAnsi="仿宋" w:eastAsia="仿宋" w:cs="仿宋"/>
          <w:sz w:val="28"/>
          <w:szCs w:val="28"/>
          <w:lang w:eastAsia="zh-CN"/>
        </w:rPr>
        <w:t>程序</w:t>
      </w:r>
      <w:r>
        <w:rPr>
          <w:rFonts w:hint="eastAsia" w:ascii="仿宋" w:hAnsi="仿宋" w:eastAsia="仿宋" w:cs="仿宋"/>
          <w:sz w:val="28"/>
          <w:szCs w:val="28"/>
          <w:lang w:eastAsia="zh-CN"/>
        </w:rPr>
        <w:t>，</w:t>
      </w:r>
      <w:r>
        <w:rPr>
          <w:rFonts w:ascii="仿宋" w:hAnsi="仿宋" w:eastAsia="仿宋" w:cs="仿宋"/>
          <w:sz w:val="28"/>
          <w:szCs w:val="28"/>
          <w:lang w:eastAsia="zh-CN"/>
        </w:rPr>
        <w:t>单位</w:t>
      </w:r>
      <w:r>
        <w:rPr>
          <w:rFonts w:hint="eastAsia" w:ascii="仿宋" w:hAnsi="仿宋" w:eastAsia="仿宋" w:cs="仿宋"/>
          <w:sz w:val="28"/>
          <w:szCs w:val="28"/>
          <w:lang w:eastAsia="zh-CN"/>
        </w:rPr>
        <w:t>召开专项会议，进行集体决策，形成会议纪要。</w:t>
      </w:r>
      <w:r>
        <w:rPr>
          <w:rFonts w:ascii="仿宋" w:hAnsi="仿宋" w:eastAsia="仿宋" w:cs="仿宋"/>
          <w:sz w:val="28"/>
          <w:szCs w:val="28"/>
          <w:lang w:eastAsia="zh-CN"/>
        </w:rPr>
        <w:t>在</w:t>
      </w:r>
      <w:r>
        <w:rPr>
          <w:rFonts w:hint="eastAsia" w:ascii="仿宋" w:hAnsi="仿宋" w:eastAsia="仿宋" w:cs="仿宋"/>
          <w:sz w:val="28"/>
          <w:szCs w:val="28"/>
          <w:lang w:eastAsia="zh-CN"/>
        </w:rPr>
        <w:t>财政一体化系统中，编制项目库，</w:t>
      </w:r>
      <w:r>
        <w:rPr>
          <w:rFonts w:ascii="仿宋" w:hAnsi="仿宋" w:eastAsia="仿宋" w:cs="仿宋"/>
          <w:sz w:val="28"/>
          <w:szCs w:val="28"/>
          <w:lang w:eastAsia="zh-CN"/>
        </w:rPr>
        <w:t>提交符合要求的申请材料，上报</w:t>
      </w:r>
      <w:r>
        <w:rPr>
          <w:rFonts w:hint="eastAsia" w:ascii="仿宋" w:hAnsi="仿宋" w:eastAsia="仿宋" w:cs="仿宋"/>
          <w:sz w:val="28"/>
          <w:szCs w:val="28"/>
          <w:lang w:eastAsia="zh-CN"/>
        </w:rPr>
        <w:t>上级</w:t>
      </w:r>
      <w:r>
        <w:rPr>
          <w:rFonts w:ascii="仿宋" w:hAnsi="仿宋" w:eastAsia="仿宋" w:cs="仿宋"/>
          <w:sz w:val="28"/>
          <w:szCs w:val="28"/>
          <w:lang w:eastAsia="zh-CN"/>
        </w:rPr>
        <w:t>部门审批、财政审批</w:t>
      </w:r>
      <w:r>
        <w:rPr>
          <w:rFonts w:hint="eastAsia" w:ascii="仿宋" w:hAnsi="仿宋" w:eastAsia="仿宋" w:cs="仿宋"/>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7"/>
        <w:textAlignment w:val="baseline"/>
        <w:outlineLvl w:val="0"/>
        <w:rPr>
          <w:rFonts w:ascii="仿宋" w:hAnsi="仿宋" w:eastAsia="仿宋" w:cs="仿宋"/>
          <w:sz w:val="28"/>
          <w:szCs w:val="28"/>
          <w:lang w:eastAsia="zh-CN"/>
        </w:rPr>
      </w:pPr>
      <w:r>
        <w:rPr>
          <w:rFonts w:hint="eastAsia" w:ascii="仿宋" w:hAnsi="仿宋" w:eastAsia="仿宋" w:cs="仿宋"/>
          <w:sz w:val="28"/>
          <w:szCs w:val="28"/>
          <w:lang w:eastAsia="zh-CN"/>
        </w:rPr>
        <w:t>3.绩效目标合理性</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lang w:eastAsia="zh-CN"/>
        </w:rPr>
        <w:t>结合项目内容制定了合理的</w:t>
      </w:r>
      <w:r>
        <w:rPr>
          <w:rFonts w:ascii="仿宋" w:hAnsi="仿宋" w:eastAsia="仿宋" w:cs="仿宋"/>
          <w:sz w:val="28"/>
          <w:szCs w:val="28"/>
          <w:lang w:eastAsia="zh-CN"/>
        </w:rPr>
        <w:t>绩效目标，</w:t>
      </w:r>
      <w:r>
        <w:rPr>
          <w:rFonts w:hint="eastAsia" w:ascii="仿宋" w:hAnsi="仿宋" w:eastAsia="仿宋" w:cs="仿宋"/>
          <w:sz w:val="28"/>
          <w:szCs w:val="28"/>
          <w:lang w:eastAsia="zh-CN"/>
        </w:rPr>
        <w:t>设置三个一级</w:t>
      </w:r>
      <w:r>
        <w:rPr>
          <w:rFonts w:ascii="仿宋" w:hAnsi="仿宋" w:eastAsia="仿宋" w:cs="仿宋"/>
          <w:sz w:val="28"/>
          <w:szCs w:val="28"/>
          <w:lang w:eastAsia="zh-CN"/>
        </w:rPr>
        <w:t>指标</w:t>
      </w:r>
      <w:r>
        <w:rPr>
          <w:rFonts w:hint="eastAsia" w:ascii="仿宋" w:hAnsi="仿宋" w:eastAsia="仿宋" w:cs="仿宋"/>
          <w:sz w:val="28"/>
          <w:szCs w:val="28"/>
          <w:lang w:eastAsia="zh-CN"/>
        </w:rPr>
        <w:t>，</w:t>
      </w:r>
      <w:r>
        <w:rPr>
          <w:rFonts w:ascii="仿宋" w:hAnsi="仿宋" w:eastAsia="仿宋" w:cs="仿宋"/>
          <w:sz w:val="28"/>
          <w:szCs w:val="28"/>
          <w:lang w:eastAsia="zh-CN"/>
        </w:rPr>
        <w:t>项目绩效目标中的预期产出效益符合项目预期成果，且与预算确定的项目资金量相匹配</w:t>
      </w:r>
      <w:r>
        <w:rPr>
          <w:rFonts w:hint="eastAsia" w:ascii="仿宋" w:hAnsi="仿宋" w:eastAsia="仿宋" w:cs="仿宋"/>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textAlignment w:val="baseline"/>
        <w:outlineLvl w:val="0"/>
        <w:rPr>
          <w:rFonts w:ascii="仿宋" w:hAnsi="仿宋" w:eastAsia="仿宋" w:cs="仿宋"/>
          <w:sz w:val="28"/>
          <w:szCs w:val="28"/>
          <w:lang w:eastAsia="zh-CN"/>
        </w:rPr>
      </w:pPr>
      <w:r>
        <w:rPr>
          <w:rFonts w:hint="eastAsia" w:ascii="仿宋" w:hAnsi="仿宋" w:eastAsia="仿宋" w:cs="仿宋"/>
          <w:sz w:val="28"/>
          <w:szCs w:val="28"/>
          <w:lang w:eastAsia="zh-CN"/>
        </w:rPr>
        <w:t>4.绩效指标明确性</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lang w:eastAsia="zh-CN"/>
        </w:rPr>
        <w:t>参照自治区分行业分领域共性项目绩效指标体系将一级指标细化分解为七个二级指标及七个三级指标</w:t>
      </w:r>
      <w:r>
        <w:rPr>
          <w:rFonts w:ascii="仿宋" w:hAnsi="仿宋" w:eastAsia="仿宋" w:cs="仿宋"/>
          <w:sz w:val="28"/>
          <w:szCs w:val="28"/>
          <w:lang w:eastAsia="zh-CN"/>
        </w:rPr>
        <w:t>，并与项目目标采购数量、</w:t>
      </w:r>
      <w:r>
        <w:rPr>
          <w:rFonts w:hint="eastAsia" w:ascii="仿宋" w:hAnsi="仿宋" w:eastAsia="仿宋" w:cs="仿宋"/>
          <w:sz w:val="28"/>
          <w:szCs w:val="28"/>
          <w:lang w:eastAsia="zh-CN"/>
        </w:rPr>
        <w:t>质量、时效性、成本、取得成效目标及满意度指标</w:t>
      </w:r>
      <w:r>
        <w:rPr>
          <w:rFonts w:ascii="仿宋" w:hAnsi="仿宋" w:eastAsia="仿宋" w:cs="仿宋"/>
          <w:sz w:val="28"/>
          <w:szCs w:val="28"/>
          <w:lang w:eastAsia="zh-CN"/>
        </w:rPr>
        <w:t>相对应</w:t>
      </w:r>
      <w:r>
        <w:rPr>
          <w:rFonts w:hint="eastAsia" w:ascii="仿宋" w:hAnsi="仿宋" w:eastAsia="仿宋" w:cs="仿宋"/>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7"/>
        <w:textAlignment w:val="baseline"/>
        <w:outlineLvl w:val="0"/>
        <w:rPr>
          <w:rFonts w:ascii="仿宋" w:hAnsi="仿宋" w:eastAsia="仿宋" w:cs="仿宋"/>
          <w:sz w:val="28"/>
          <w:szCs w:val="28"/>
          <w:lang w:eastAsia="zh-CN"/>
        </w:rPr>
      </w:pPr>
      <w:r>
        <w:rPr>
          <w:rFonts w:hint="eastAsia" w:ascii="仿宋" w:hAnsi="仿宋" w:eastAsia="仿宋" w:cs="仿宋"/>
          <w:sz w:val="28"/>
          <w:szCs w:val="28"/>
          <w:lang w:eastAsia="zh-CN"/>
        </w:rPr>
        <w:t>5.预算编制科学性</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lang w:eastAsia="zh-CN"/>
        </w:rPr>
        <w:t>根据上级主管局相关要求，以及项目预算，测算合理，依据充分，编制科学。</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7"/>
        <w:textAlignment w:val="baseline"/>
        <w:outlineLvl w:val="0"/>
        <w:rPr>
          <w:rFonts w:ascii="仿宋" w:hAnsi="仿宋" w:eastAsia="仿宋" w:cs="仿宋"/>
          <w:sz w:val="28"/>
          <w:szCs w:val="28"/>
          <w:lang w:eastAsia="zh-CN"/>
        </w:rPr>
      </w:pPr>
      <w:r>
        <w:rPr>
          <w:rFonts w:hint="eastAsia" w:ascii="仿宋" w:hAnsi="仿宋" w:eastAsia="仿宋" w:cs="仿宋"/>
          <w:sz w:val="28"/>
          <w:szCs w:val="28"/>
          <w:lang w:eastAsia="zh-CN"/>
        </w:rPr>
        <w:t>6.资金分配合理性</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textAlignment w:val="baseline"/>
        <w:rPr>
          <w:rFonts w:hint="eastAsia" w:ascii="仿宋" w:hAnsi="仿宋" w:eastAsia="仿宋" w:cs="仿宋"/>
          <w:sz w:val="28"/>
          <w:szCs w:val="28"/>
          <w:lang w:eastAsia="zh-CN"/>
        </w:rPr>
      </w:pPr>
      <w:r>
        <w:rPr>
          <w:rFonts w:ascii="仿宋" w:hAnsi="仿宋" w:eastAsia="仿宋" w:cs="仿宋"/>
          <w:sz w:val="28"/>
          <w:szCs w:val="28"/>
          <w:lang w:eastAsia="zh-CN"/>
        </w:rPr>
        <w:t>项目预算资金分配依据</w:t>
      </w:r>
      <w:r>
        <w:rPr>
          <w:rFonts w:hint="eastAsia" w:ascii="仿宋" w:hAnsi="仿宋" w:eastAsia="仿宋" w:cs="仿宋"/>
          <w:sz w:val="28"/>
          <w:szCs w:val="28"/>
          <w:lang w:eastAsia="zh-CN"/>
        </w:rPr>
        <w:t>项目</w:t>
      </w:r>
      <w:r>
        <w:rPr>
          <w:rFonts w:ascii="仿宋" w:hAnsi="仿宋" w:eastAsia="仿宋" w:cs="仿宋"/>
          <w:sz w:val="28"/>
          <w:szCs w:val="28"/>
          <w:lang w:eastAsia="zh-CN"/>
        </w:rPr>
        <w:t>中各</w:t>
      </w:r>
      <w:r>
        <w:rPr>
          <w:rFonts w:hint="eastAsia" w:ascii="仿宋" w:hAnsi="仿宋" w:eastAsia="仿宋" w:cs="仿宋"/>
          <w:sz w:val="28"/>
          <w:szCs w:val="28"/>
          <w:lang w:eastAsia="zh-CN"/>
        </w:rPr>
        <w:t>项费用调研金额</w:t>
      </w:r>
      <w:r>
        <w:rPr>
          <w:rFonts w:ascii="仿宋" w:hAnsi="仿宋" w:eastAsia="仿宋" w:cs="仿宋"/>
          <w:sz w:val="28"/>
          <w:szCs w:val="28"/>
          <w:lang w:eastAsia="zh-CN"/>
        </w:rPr>
        <w:t>，资金分配额度合理，适合单位</w:t>
      </w:r>
      <w:r>
        <w:rPr>
          <w:rFonts w:hint="eastAsia" w:ascii="仿宋" w:hAnsi="仿宋" w:eastAsia="仿宋" w:cs="仿宋"/>
          <w:sz w:val="28"/>
          <w:szCs w:val="28"/>
          <w:lang w:eastAsia="zh-CN"/>
        </w:rPr>
        <w:t>生产</w:t>
      </w:r>
      <w:r>
        <w:rPr>
          <w:rFonts w:ascii="仿宋" w:hAnsi="仿宋" w:eastAsia="仿宋" w:cs="仿宋"/>
          <w:sz w:val="28"/>
          <w:szCs w:val="28"/>
          <w:lang w:eastAsia="zh-CN"/>
        </w:rPr>
        <w:t>实施</w:t>
      </w:r>
      <w:r>
        <w:rPr>
          <w:rFonts w:hint="eastAsia" w:ascii="仿宋" w:hAnsi="仿宋" w:eastAsia="仿宋" w:cs="仿宋"/>
          <w:sz w:val="28"/>
          <w:szCs w:val="28"/>
          <w:lang w:eastAsia="zh-CN"/>
        </w:rPr>
        <w:t>，与单位生产相适应。</w:t>
      </w:r>
    </w:p>
    <w:p>
      <w:pPr>
        <w:spacing w:line="360" w:lineRule="auto"/>
        <w:ind w:firstLine="560" w:firstLineChars="200"/>
        <w:rPr>
          <w:rFonts w:ascii="仿宋" w:hAnsi="仿宋" w:eastAsia="仿宋" w:cs="仿宋"/>
          <w:sz w:val="28"/>
          <w:szCs w:val="28"/>
          <w:lang w:eastAsia="zh-CN"/>
        </w:rPr>
      </w:pPr>
      <w:r>
        <w:rPr>
          <w:rFonts w:ascii="仿宋" w:hAnsi="仿宋" w:eastAsia="仿宋" w:cs="仿宋"/>
          <w:sz w:val="28"/>
          <w:szCs w:val="28"/>
          <w:lang w:eastAsia="zh-CN"/>
        </w:rPr>
        <w:t>(二)项目过程情况。</w:t>
      </w:r>
    </w:p>
    <w:p>
      <w:pPr>
        <w:spacing w:line="60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1.资金到位率</w:t>
      </w:r>
    </w:p>
    <w:p>
      <w:pPr>
        <w:spacing w:line="600" w:lineRule="exact"/>
        <w:ind w:firstLine="567"/>
        <w:rPr>
          <w:rFonts w:hint="eastAsia" w:ascii="仿宋" w:hAnsi="仿宋" w:eastAsia="仿宋" w:cs="仿宋"/>
          <w:color w:val="FF0000"/>
          <w:sz w:val="28"/>
          <w:szCs w:val="28"/>
          <w:lang w:eastAsia="zh-CN"/>
        </w:rPr>
      </w:pPr>
      <w:r>
        <w:rPr>
          <w:rFonts w:hint="eastAsia" w:ascii="仿宋" w:hAnsi="仿宋" w:eastAsia="仿宋" w:cs="仿宋"/>
          <w:sz w:val="28"/>
          <w:szCs w:val="28"/>
          <w:lang w:eastAsia="zh-CN"/>
        </w:rPr>
        <w:t>本项目预算</w:t>
      </w:r>
      <w:r>
        <w:rPr>
          <w:rFonts w:hint="eastAsia" w:ascii="仿宋" w:hAnsi="仿宋" w:eastAsia="仿宋" w:cs="仿宋"/>
          <w:sz w:val="28"/>
          <w:szCs w:val="28"/>
          <w:lang w:val="en-US" w:eastAsia="zh-CN"/>
        </w:rPr>
        <w:t>50.2</w:t>
      </w:r>
      <w:r>
        <w:rPr>
          <w:rFonts w:hint="eastAsia" w:ascii="仿宋" w:hAnsi="仿宋" w:eastAsia="仿宋" w:cs="仿宋"/>
          <w:sz w:val="28"/>
          <w:szCs w:val="28"/>
          <w:lang w:eastAsia="zh-CN"/>
        </w:rPr>
        <w:t>万元，</w:t>
      </w:r>
      <w:r>
        <w:rPr>
          <w:rFonts w:ascii="仿宋" w:hAnsi="仿宋" w:eastAsia="仿宋" w:cs="仿宋"/>
          <w:sz w:val="28"/>
          <w:szCs w:val="28"/>
          <w:lang w:eastAsia="zh-CN"/>
        </w:rPr>
        <w:t>其中，局出资40.2万元，单位出资</w:t>
      </w:r>
      <w:r>
        <w:rPr>
          <w:rFonts w:hint="eastAsia" w:ascii="仿宋" w:hAnsi="仿宋" w:eastAsia="仿宋" w:cs="仿宋"/>
          <w:sz w:val="28"/>
          <w:szCs w:val="28"/>
          <w:lang w:val="en-US" w:eastAsia="zh-CN"/>
        </w:rPr>
        <w:t>10</w:t>
      </w:r>
      <w:r>
        <w:rPr>
          <w:rFonts w:ascii="仿宋" w:hAnsi="仿宋" w:eastAsia="仿宋" w:cs="仿宋"/>
          <w:sz w:val="28"/>
          <w:szCs w:val="28"/>
          <w:lang w:eastAsia="zh-CN"/>
        </w:rPr>
        <w:t>万元</w:t>
      </w:r>
      <w:r>
        <w:rPr>
          <w:rFonts w:hint="eastAsia" w:ascii="仿宋" w:hAnsi="仿宋" w:eastAsia="仿宋" w:cs="仿宋"/>
          <w:sz w:val="28"/>
          <w:szCs w:val="28"/>
          <w:lang w:eastAsia="zh-CN"/>
        </w:rPr>
        <w:t>。</w:t>
      </w:r>
      <w:r>
        <w:rPr>
          <w:rFonts w:hint="eastAsia" w:ascii="仿宋" w:hAnsi="仿宋" w:eastAsia="仿宋" w:cs="仿宋"/>
          <w:color w:val="000000" w:themeColor="text1"/>
          <w:sz w:val="28"/>
          <w:szCs w:val="28"/>
          <w:lang w:eastAsia="zh-CN"/>
          <w14:textFill>
            <w14:solidFill>
              <w14:schemeClr w14:val="tx1"/>
            </w14:solidFill>
          </w14:textFill>
        </w:rPr>
        <w:t>实际到位资金</w:t>
      </w:r>
      <w:r>
        <w:rPr>
          <w:rFonts w:hint="eastAsia" w:ascii="仿宋" w:hAnsi="仿宋" w:eastAsia="仿宋" w:cs="仿宋"/>
          <w:color w:val="000000" w:themeColor="text1"/>
          <w:sz w:val="28"/>
          <w:szCs w:val="28"/>
          <w:lang w:val="en-US" w:eastAsia="zh-CN"/>
          <w14:textFill>
            <w14:solidFill>
              <w14:schemeClr w14:val="tx1"/>
            </w14:solidFill>
          </w14:textFill>
        </w:rPr>
        <w:t>50.2</w:t>
      </w:r>
      <w:r>
        <w:rPr>
          <w:rFonts w:hint="eastAsia" w:ascii="仿宋" w:hAnsi="仿宋" w:eastAsia="仿宋" w:cs="仿宋"/>
          <w:color w:val="000000" w:themeColor="text1"/>
          <w:sz w:val="28"/>
          <w:szCs w:val="28"/>
          <w:lang w:eastAsia="zh-CN"/>
          <w14:textFill>
            <w14:solidFill>
              <w14:schemeClr w14:val="tx1"/>
            </w14:solidFill>
          </w14:textFill>
        </w:rPr>
        <w:t>万元，资金到位率</w:t>
      </w:r>
      <w:r>
        <w:rPr>
          <w:rFonts w:hint="eastAsia" w:ascii="仿宋" w:hAnsi="仿宋" w:eastAsia="仿宋" w:cs="仿宋"/>
          <w:color w:val="000000" w:themeColor="text1"/>
          <w:sz w:val="28"/>
          <w:szCs w:val="28"/>
          <w:lang w:val="en-US" w:eastAsia="zh-CN"/>
          <w14:textFill>
            <w14:solidFill>
              <w14:schemeClr w14:val="tx1"/>
            </w14:solidFill>
          </w14:textFill>
        </w:rPr>
        <w:t>100</w:t>
      </w:r>
      <w:r>
        <w:rPr>
          <w:rFonts w:hint="eastAsia" w:ascii="仿宋" w:hAnsi="仿宋" w:eastAsia="仿宋" w:cs="仿宋"/>
          <w:color w:val="000000" w:themeColor="text1"/>
          <w:sz w:val="28"/>
          <w:szCs w:val="28"/>
          <w:lang w:eastAsia="zh-CN"/>
          <w14:textFill>
            <w14:solidFill>
              <w14:schemeClr w14:val="tx1"/>
            </w14:solidFill>
          </w14:textFill>
        </w:rPr>
        <w:t>%。</w:t>
      </w:r>
    </w:p>
    <w:p>
      <w:pPr>
        <w:pStyle w:val="3"/>
        <w:spacing w:line="600" w:lineRule="exact"/>
        <w:ind w:firstLine="560" w:firstLineChars="200"/>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2.预算执行率</w:t>
      </w:r>
    </w:p>
    <w:p>
      <w:pPr>
        <w:spacing w:line="600" w:lineRule="exact"/>
        <w:ind w:firstLine="567"/>
        <w:rPr>
          <w:rFonts w:ascii="仿宋" w:hAnsi="仿宋" w:eastAsia="仿宋" w:cs="仿宋"/>
          <w:color w:val="000000" w:themeColor="text1"/>
          <w:sz w:val="28"/>
          <w:szCs w:val="28"/>
          <w:lang w:eastAsia="zh-CN"/>
          <w14:textFill>
            <w14:solidFill>
              <w14:schemeClr w14:val="tx1"/>
            </w14:solidFill>
          </w14:textFill>
        </w:rPr>
      </w:pPr>
      <w:r>
        <w:rPr>
          <w:rFonts w:hint="eastAsia" w:ascii="仿宋" w:eastAsia="仿宋" w:cs="仿宋"/>
          <w:bCs/>
          <w:color w:val="000000" w:themeColor="text1"/>
          <w:sz w:val="28"/>
          <w:szCs w:val="28"/>
          <w:lang w:eastAsia="zh-CN"/>
          <w14:textFill>
            <w14:solidFill>
              <w14:schemeClr w14:val="tx1"/>
            </w14:solidFill>
          </w14:textFill>
        </w:rPr>
        <w:t>项目全年预算</w:t>
      </w:r>
      <w:r>
        <w:rPr>
          <w:rFonts w:hint="eastAsia" w:ascii="仿宋" w:hAnsi="仿宋" w:eastAsia="仿宋" w:cs="仿宋"/>
          <w:color w:val="000000" w:themeColor="text1"/>
          <w:sz w:val="28"/>
          <w:szCs w:val="28"/>
          <w:lang w:val="en-US" w:eastAsia="zh-CN"/>
          <w14:textFill>
            <w14:solidFill>
              <w14:schemeClr w14:val="tx1"/>
            </w14:solidFill>
          </w14:textFill>
        </w:rPr>
        <w:t>50.2</w:t>
      </w:r>
      <w:r>
        <w:rPr>
          <w:rFonts w:hint="eastAsia" w:ascii="仿宋" w:hAnsi="仿宋" w:eastAsia="仿宋" w:cs="仿宋"/>
          <w:color w:val="000000" w:themeColor="text1"/>
          <w:sz w:val="28"/>
          <w:szCs w:val="28"/>
          <w:lang w:eastAsia="zh-CN"/>
          <w14:textFill>
            <w14:solidFill>
              <w14:schemeClr w14:val="tx1"/>
            </w14:solidFill>
          </w14:textFill>
        </w:rPr>
        <w:t>万元，实际执行</w:t>
      </w:r>
      <w:r>
        <w:rPr>
          <w:rFonts w:hint="eastAsia" w:ascii="仿宋" w:hAnsi="仿宋" w:eastAsia="仿宋" w:cs="仿宋"/>
          <w:color w:val="000000" w:themeColor="text1"/>
          <w:sz w:val="28"/>
          <w:szCs w:val="28"/>
          <w:lang w:val="en-US" w:eastAsia="zh-CN"/>
          <w14:textFill>
            <w14:solidFill>
              <w14:schemeClr w14:val="tx1"/>
            </w14:solidFill>
          </w14:textFill>
        </w:rPr>
        <w:t>50.2</w:t>
      </w:r>
      <w:r>
        <w:rPr>
          <w:rFonts w:hint="eastAsia" w:ascii="仿宋" w:hAnsi="仿宋" w:eastAsia="仿宋" w:cs="仿宋"/>
          <w:color w:val="000000" w:themeColor="text1"/>
          <w:sz w:val="28"/>
          <w:szCs w:val="28"/>
          <w:lang w:eastAsia="zh-CN"/>
          <w14:textFill>
            <w14:solidFill>
              <w14:schemeClr w14:val="tx1"/>
            </w14:solidFill>
          </w14:textFill>
        </w:rPr>
        <w:t>万元，预算执行率</w:t>
      </w:r>
      <w:r>
        <w:rPr>
          <w:rFonts w:hint="eastAsia" w:ascii="仿宋" w:hAnsi="仿宋" w:eastAsia="仿宋" w:cs="仿宋"/>
          <w:color w:val="000000" w:themeColor="text1"/>
          <w:sz w:val="28"/>
          <w:szCs w:val="28"/>
          <w:lang w:val="en-US" w:eastAsia="zh-CN"/>
          <w14:textFill>
            <w14:solidFill>
              <w14:schemeClr w14:val="tx1"/>
            </w14:solidFill>
          </w14:textFill>
        </w:rPr>
        <w:t>100</w:t>
      </w:r>
      <w:r>
        <w:rPr>
          <w:rFonts w:hint="eastAsia" w:ascii="仿宋" w:hAnsi="仿宋" w:eastAsia="仿宋" w:cs="仿宋"/>
          <w:color w:val="000000" w:themeColor="text1"/>
          <w:sz w:val="28"/>
          <w:szCs w:val="28"/>
          <w:lang w:eastAsia="zh-CN"/>
          <w14:textFill>
            <w14:solidFill>
              <w14:schemeClr w14:val="tx1"/>
            </w14:solidFill>
          </w14:textFill>
        </w:rPr>
        <w:t>%，在项目支出绩效评价体系中，预算执行率占权重10分，得</w:t>
      </w:r>
      <w:r>
        <w:rPr>
          <w:rFonts w:hint="eastAsia" w:ascii="仿宋" w:hAnsi="仿宋" w:eastAsia="仿宋" w:cs="仿宋"/>
          <w:color w:val="000000" w:themeColor="text1"/>
          <w:sz w:val="28"/>
          <w:szCs w:val="28"/>
          <w:lang w:val="en-US" w:eastAsia="zh-CN"/>
          <w14:textFill>
            <w14:solidFill>
              <w14:schemeClr w14:val="tx1"/>
            </w14:solidFill>
          </w14:textFill>
        </w:rPr>
        <w:t>10</w:t>
      </w:r>
      <w:r>
        <w:rPr>
          <w:rFonts w:hint="eastAsia" w:ascii="仿宋" w:hAnsi="仿宋" w:eastAsia="仿宋" w:cs="仿宋"/>
          <w:color w:val="000000" w:themeColor="text1"/>
          <w:sz w:val="28"/>
          <w:szCs w:val="28"/>
          <w:lang w:eastAsia="zh-CN"/>
          <w14:textFill>
            <w14:solidFill>
              <w14:schemeClr w14:val="tx1"/>
            </w14:solidFill>
          </w14:textFill>
        </w:rPr>
        <w:t>分。</w:t>
      </w:r>
    </w:p>
    <w:p>
      <w:pPr>
        <w:spacing w:line="360" w:lineRule="auto"/>
        <w:ind w:firstLine="560" w:firstLineChars="200"/>
        <w:rPr>
          <w:rFonts w:ascii="仿宋" w:hAnsi="仿宋" w:eastAsia="仿宋" w:cs="仿宋"/>
          <w:sz w:val="28"/>
          <w:szCs w:val="28"/>
          <w:lang w:eastAsia="zh-CN"/>
        </w:rPr>
      </w:pPr>
      <w:r>
        <w:rPr>
          <w:rFonts w:ascii="仿宋" w:hAnsi="仿宋" w:eastAsia="仿宋" w:cs="仿宋"/>
          <w:sz w:val="28"/>
          <w:szCs w:val="28"/>
          <w:lang w:eastAsia="zh-CN"/>
        </w:rPr>
        <w:t>(三)项目产出情况。</w:t>
      </w:r>
    </w:p>
    <w:p>
      <w:pPr>
        <w:spacing w:line="56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1、项目完成数量</w:t>
      </w:r>
    </w:p>
    <w:p>
      <w:pPr>
        <w:spacing w:line="56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（1）实物工作量（野外工作、阶段成果和年终总结等）完成95%以上。</w:t>
      </w:r>
    </w:p>
    <w:p>
      <w:pPr>
        <w:spacing w:line="56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（2）提交勘查靶区2-3处。</w:t>
      </w:r>
    </w:p>
    <w:p>
      <w:pPr>
        <w:spacing w:line="56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（3）项目技术人员安排合理，能起到传、帮、带作用。</w:t>
      </w:r>
    </w:p>
    <w:p>
      <w:pPr>
        <w:spacing w:line="56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该项指标权重15分，指标得分率</w:t>
      </w:r>
      <w:r>
        <w:rPr>
          <w:rFonts w:ascii="仿宋" w:hAnsi="仿宋" w:eastAsia="仿宋" w:cs="仿宋"/>
          <w:sz w:val="28"/>
          <w:szCs w:val="28"/>
          <w:lang w:eastAsia="zh-CN"/>
        </w:rPr>
        <w:t>100</w:t>
      </w:r>
      <w:r>
        <w:rPr>
          <w:rFonts w:hint="eastAsia" w:ascii="仿宋" w:hAnsi="仿宋" w:eastAsia="仿宋" w:cs="仿宋"/>
          <w:sz w:val="28"/>
          <w:szCs w:val="28"/>
          <w:lang w:eastAsia="zh-CN"/>
        </w:rPr>
        <w:t>%，实际得分15分。</w:t>
      </w:r>
    </w:p>
    <w:p>
      <w:pPr>
        <w:spacing w:line="56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2、项目完成质量</w:t>
      </w:r>
    </w:p>
    <w:p>
      <w:pPr>
        <w:spacing w:line="56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（1）设计、中期检查、成果报告等优良率按目标完成。</w:t>
      </w:r>
    </w:p>
    <w:p>
      <w:pPr>
        <w:spacing w:line="56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（2）质量体系运行情况（三级质量检查运转正常、野外验收到位）。</w:t>
      </w:r>
    </w:p>
    <w:p>
      <w:pPr>
        <w:spacing w:line="56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（3）野外实施做到绿色勘查。</w:t>
      </w:r>
    </w:p>
    <w:p>
      <w:pPr>
        <w:spacing w:line="560" w:lineRule="exact"/>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（4）严格按照任务书及设计工作量施工，如需变更及时向局管理部门提出申请，同意后方可实施。</w:t>
      </w:r>
    </w:p>
    <w:p>
      <w:pPr>
        <w:spacing w:line="56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该项指标权重15分，指标得分率</w:t>
      </w:r>
      <w:r>
        <w:rPr>
          <w:rFonts w:ascii="仿宋" w:hAnsi="仿宋" w:eastAsia="仿宋" w:cs="仿宋"/>
          <w:sz w:val="28"/>
          <w:szCs w:val="28"/>
          <w:lang w:eastAsia="zh-CN"/>
        </w:rPr>
        <w:t>100</w:t>
      </w:r>
      <w:r>
        <w:rPr>
          <w:rFonts w:hint="eastAsia" w:ascii="仿宋" w:hAnsi="仿宋" w:eastAsia="仿宋" w:cs="仿宋"/>
          <w:sz w:val="28"/>
          <w:szCs w:val="28"/>
          <w:lang w:eastAsia="zh-CN"/>
        </w:rPr>
        <w:t>%，实际得分15分。</w:t>
      </w:r>
    </w:p>
    <w:p>
      <w:pPr>
        <w:spacing w:line="56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3、项目完成时效</w:t>
      </w:r>
    </w:p>
    <w:p>
      <w:pPr>
        <w:pStyle w:val="16"/>
        <w:kinsoku w:val="0"/>
        <w:overflowPunct w:val="0"/>
        <w:snapToGrid w:val="0"/>
        <w:spacing w:before="4" w:line="360" w:lineRule="auto"/>
        <w:ind w:firstLine="560" w:firstLineChars="200"/>
        <w:rPr>
          <w:rFonts w:ascii="仿宋" w:hAnsi="仿宋" w:eastAsia="仿宋" w:cs="仿宋"/>
          <w:snapToGrid w:val="0"/>
          <w:color w:val="000000"/>
          <w:sz w:val="28"/>
          <w:szCs w:val="28"/>
        </w:rPr>
      </w:pPr>
      <w:r>
        <w:rPr>
          <w:rFonts w:hint="eastAsia" w:ascii="仿宋" w:hAnsi="仿宋" w:eastAsia="仿宋" w:cs="仿宋"/>
          <w:snapToGrid w:val="0"/>
          <w:color w:val="000000"/>
          <w:sz w:val="28"/>
          <w:szCs w:val="28"/>
        </w:rPr>
        <w:t>（1）按时完成设计、成果报告、资料汇交。</w:t>
      </w:r>
    </w:p>
    <w:p>
      <w:pPr>
        <w:pStyle w:val="16"/>
        <w:kinsoku w:val="0"/>
        <w:overflowPunct w:val="0"/>
        <w:snapToGrid w:val="0"/>
        <w:spacing w:line="360" w:lineRule="auto"/>
        <w:ind w:firstLine="560" w:firstLineChars="200"/>
        <w:rPr>
          <w:rFonts w:ascii="仿宋" w:hAnsi="仿宋" w:eastAsia="仿宋" w:cs="仿宋"/>
          <w:snapToGrid w:val="0"/>
          <w:color w:val="000000"/>
          <w:sz w:val="28"/>
          <w:szCs w:val="28"/>
        </w:rPr>
      </w:pPr>
      <w:r>
        <w:rPr>
          <w:rFonts w:hint="eastAsia" w:ascii="仿宋" w:hAnsi="仿宋" w:eastAsia="仿宋" w:cs="仿宋"/>
          <w:snapToGrid w:val="0"/>
          <w:color w:val="000000"/>
          <w:sz w:val="28"/>
          <w:szCs w:val="28"/>
        </w:rPr>
        <w:t>（2） 按时间报送月季年报。</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该项指标权重15分，指标得分率</w:t>
      </w:r>
      <w:r>
        <w:rPr>
          <w:rFonts w:ascii="仿宋" w:hAnsi="仿宋" w:eastAsia="仿宋" w:cs="仿宋"/>
          <w:sz w:val="28"/>
          <w:szCs w:val="28"/>
          <w:lang w:eastAsia="zh-CN"/>
        </w:rPr>
        <w:t>100</w:t>
      </w:r>
      <w:r>
        <w:rPr>
          <w:rFonts w:hint="eastAsia" w:ascii="仿宋" w:hAnsi="仿宋" w:eastAsia="仿宋" w:cs="仿宋"/>
          <w:sz w:val="28"/>
          <w:szCs w:val="28"/>
          <w:lang w:eastAsia="zh-CN"/>
        </w:rPr>
        <w:t>%，实际得分15分。</w:t>
      </w:r>
    </w:p>
    <w:p>
      <w:pPr>
        <w:spacing w:line="56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4.项目完成成本</w:t>
      </w:r>
    </w:p>
    <w:p>
      <w:pPr>
        <w:spacing w:line="360" w:lineRule="auto"/>
        <w:ind w:firstLine="560" w:firstLineChars="200"/>
        <w:textAlignment w:val="center"/>
        <w:rPr>
          <w:rFonts w:ascii="仿宋" w:hAnsi="仿宋" w:eastAsia="仿宋" w:cs="仿宋"/>
          <w:sz w:val="28"/>
          <w:szCs w:val="28"/>
          <w:lang w:eastAsia="zh-CN"/>
        </w:rPr>
      </w:pPr>
      <w:r>
        <w:rPr>
          <w:rFonts w:hint="eastAsia" w:ascii="仿宋" w:hAnsi="仿宋" w:eastAsia="仿宋" w:cs="仿宋"/>
          <w:sz w:val="28"/>
          <w:szCs w:val="28"/>
          <w:lang w:eastAsia="zh-CN"/>
        </w:rPr>
        <w:t>项目三级指标（1）预决算差异率控制在正负</w:t>
      </w:r>
      <w:r>
        <w:rPr>
          <w:rFonts w:ascii="仿宋" w:hAnsi="仿宋" w:eastAsia="仿宋" w:cs="仿宋"/>
          <w:sz w:val="28"/>
          <w:szCs w:val="28"/>
          <w:lang w:eastAsia="zh-CN"/>
        </w:rPr>
        <w:t>5%</w:t>
      </w:r>
      <w:r>
        <w:rPr>
          <w:rFonts w:hint="eastAsia" w:ascii="仿宋" w:hAnsi="仿宋" w:eastAsia="仿宋" w:cs="仿宋"/>
          <w:sz w:val="28"/>
          <w:szCs w:val="28"/>
          <w:lang w:eastAsia="zh-CN"/>
        </w:rPr>
        <w:t>以内。</w:t>
      </w:r>
    </w:p>
    <w:p>
      <w:pPr>
        <w:spacing w:line="360" w:lineRule="auto"/>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（2） 项目经费实行专款专用，独立结算，做到支出结构合理，禁止超范围，超标准，违规支出。</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指标权重15分，指标完成率应为</w:t>
      </w:r>
      <w:r>
        <w:rPr>
          <w:rFonts w:ascii="仿宋" w:hAnsi="仿宋" w:eastAsia="仿宋" w:cs="仿宋"/>
          <w:sz w:val="28"/>
          <w:szCs w:val="28"/>
          <w:lang w:eastAsia="zh-CN"/>
        </w:rPr>
        <w:t>100</w:t>
      </w:r>
      <w:r>
        <w:rPr>
          <w:rFonts w:hint="eastAsia" w:ascii="仿宋" w:hAnsi="仿宋" w:eastAsia="仿宋" w:cs="仿宋"/>
          <w:sz w:val="28"/>
          <w:szCs w:val="28"/>
          <w:lang w:eastAsia="zh-CN"/>
        </w:rPr>
        <w:t>%，得分率</w:t>
      </w:r>
      <w:r>
        <w:rPr>
          <w:rFonts w:ascii="仿宋" w:hAnsi="仿宋" w:eastAsia="仿宋" w:cs="仿宋"/>
          <w:sz w:val="28"/>
          <w:szCs w:val="28"/>
          <w:lang w:eastAsia="zh-CN"/>
        </w:rPr>
        <w:t>100</w:t>
      </w:r>
      <w:r>
        <w:rPr>
          <w:rFonts w:hint="eastAsia" w:ascii="仿宋" w:hAnsi="仿宋" w:eastAsia="仿宋" w:cs="仿宋"/>
          <w:sz w:val="28"/>
          <w:szCs w:val="28"/>
          <w:lang w:eastAsia="zh-CN"/>
        </w:rPr>
        <w:t>%，实际得分</w:t>
      </w:r>
      <w:r>
        <w:rPr>
          <w:rFonts w:ascii="仿宋" w:hAnsi="仿宋" w:eastAsia="仿宋" w:cs="仿宋"/>
          <w:sz w:val="28"/>
          <w:szCs w:val="28"/>
          <w:lang w:eastAsia="zh-CN"/>
        </w:rPr>
        <w:t>15</w:t>
      </w:r>
      <w:r>
        <w:rPr>
          <w:rFonts w:hint="eastAsia" w:ascii="仿宋" w:hAnsi="仿宋" w:eastAsia="仿宋" w:cs="仿宋"/>
          <w:sz w:val="28"/>
          <w:szCs w:val="28"/>
          <w:lang w:eastAsia="zh-CN"/>
        </w:rPr>
        <w:t>分。</w:t>
      </w:r>
    </w:p>
    <w:p>
      <w:pPr>
        <w:spacing w:line="360" w:lineRule="auto"/>
        <w:ind w:firstLine="560" w:firstLineChars="200"/>
        <w:rPr>
          <w:rFonts w:ascii="仿宋" w:hAnsi="仿宋" w:eastAsia="仿宋" w:cs="仿宋"/>
          <w:sz w:val="28"/>
          <w:szCs w:val="28"/>
          <w:lang w:eastAsia="zh-CN"/>
        </w:rPr>
      </w:pPr>
      <w:r>
        <w:rPr>
          <w:rFonts w:ascii="仿宋" w:hAnsi="仿宋" w:eastAsia="仿宋" w:cs="仿宋"/>
          <w:sz w:val="28"/>
          <w:szCs w:val="28"/>
          <w:lang w:eastAsia="zh-CN"/>
        </w:rPr>
        <w:t>(四)项目效益情况。</w:t>
      </w:r>
    </w:p>
    <w:p>
      <w:pPr>
        <w:spacing w:line="360" w:lineRule="auto"/>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项目</w:t>
      </w:r>
      <w:r>
        <w:rPr>
          <w:rFonts w:ascii="仿宋" w:hAnsi="仿宋" w:eastAsia="仿宋" w:cs="仿宋"/>
          <w:sz w:val="28"/>
          <w:szCs w:val="28"/>
          <w:lang w:eastAsia="zh-CN"/>
        </w:rPr>
        <w:t>效益情况从经济效益和社会效益</w:t>
      </w:r>
      <w:r>
        <w:rPr>
          <w:rFonts w:hint="eastAsia" w:ascii="仿宋" w:hAnsi="仿宋" w:eastAsia="仿宋" w:cs="仿宋"/>
          <w:sz w:val="28"/>
          <w:szCs w:val="28"/>
          <w:lang w:eastAsia="zh-CN"/>
        </w:rPr>
        <w:t>方面对项目的效益指标情况进行考察，效益指标分值20分，实际得分20分，得分率为100%。效益指标得分情况如表所示：</w:t>
      </w:r>
    </w:p>
    <w:tbl>
      <w:tblPr>
        <w:tblStyle w:val="5"/>
        <w:tblW w:w="8874" w:type="dxa"/>
        <w:tblInd w:w="0" w:type="dxa"/>
        <w:tblLayout w:type="fixed"/>
        <w:tblCellMar>
          <w:top w:w="0" w:type="dxa"/>
          <w:left w:w="0" w:type="dxa"/>
          <w:bottom w:w="0" w:type="dxa"/>
          <w:right w:w="0" w:type="dxa"/>
        </w:tblCellMar>
      </w:tblPr>
      <w:tblGrid>
        <w:gridCol w:w="861"/>
        <w:gridCol w:w="1139"/>
        <w:gridCol w:w="1701"/>
        <w:gridCol w:w="992"/>
        <w:gridCol w:w="1551"/>
        <w:gridCol w:w="1246"/>
        <w:gridCol w:w="756"/>
        <w:gridCol w:w="628"/>
      </w:tblGrid>
      <w:tr>
        <w:tblPrEx>
          <w:tblCellMar>
            <w:top w:w="0" w:type="dxa"/>
            <w:left w:w="0" w:type="dxa"/>
            <w:bottom w:w="0" w:type="dxa"/>
            <w:right w:w="0" w:type="dxa"/>
          </w:tblCellMar>
        </w:tblPrEx>
        <w:trPr>
          <w:trHeight w:val="285" w:hRule="atLeast"/>
        </w:trPr>
        <w:tc>
          <w:tcPr>
            <w:tcW w:w="8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宋体"/>
                <w:sz w:val="18"/>
                <w:szCs w:val="18"/>
              </w:rPr>
            </w:pPr>
            <w:r>
              <w:rPr>
                <w:rFonts w:hint="eastAsia" w:ascii="宋体" w:hAnsi="宋体" w:cs="宋体"/>
                <w:sz w:val="18"/>
                <w:szCs w:val="18"/>
              </w:rPr>
              <w:t>一级指标</w:t>
            </w:r>
          </w:p>
        </w:tc>
        <w:tc>
          <w:tcPr>
            <w:tcW w:w="11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宋体"/>
                <w:sz w:val="18"/>
                <w:szCs w:val="18"/>
              </w:rPr>
            </w:pPr>
            <w:r>
              <w:rPr>
                <w:rFonts w:hint="eastAsia" w:ascii="宋体" w:hAnsi="宋体" w:cs="宋体"/>
                <w:sz w:val="18"/>
                <w:szCs w:val="18"/>
              </w:rPr>
              <w:t>二级指标</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宋体"/>
                <w:sz w:val="18"/>
                <w:szCs w:val="18"/>
              </w:rPr>
            </w:pPr>
            <w:r>
              <w:rPr>
                <w:rFonts w:hint="eastAsia" w:ascii="宋体" w:hAnsi="宋体" w:cs="宋体"/>
                <w:sz w:val="18"/>
                <w:szCs w:val="18"/>
              </w:rPr>
              <w:t>三级指标</w:t>
            </w:r>
          </w:p>
        </w:tc>
        <w:tc>
          <w:tcPr>
            <w:tcW w:w="992"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hAnsi="宋体" w:cs="宋体"/>
                <w:sz w:val="18"/>
                <w:szCs w:val="18"/>
              </w:rPr>
            </w:pPr>
            <w:r>
              <w:rPr>
                <w:rFonts w:hint="eastAsia" w:ascii="宋体" w:hAnsi="宋体" w:cs="宋体"/>
                <w:sz w:val="18"/>
                <w:szCs w:val="18"/>
              </w:rPr>
              <w:t>权重</w:t>
            </w:r>
          </w:p>
        </w:tc>
        <w:tc>
          <w:tcPr>
            <w:tcW w:w="15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宋体"/>
                <w:sz w:val="18"/>
                <w:szCs w:val="18"/>
              </w:rPr>
            </w:pPr>
            <w:r>
              <w:rPr>
                <w:rFonts w:hint="eastAsia" w:ascii="宋体" w:hAnsi="宋体" w:cs="宋体"/>
                <w:sz w:val="18"/>
                <w:szCs w:val="18"/>
              </w:rPr>
              <w:t>目标值</w:t>
            </w:r>
          </w:p>
        </w:tc>
        <w:tc>
          <w:tcPr>
            <w:tcW w:w="12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宋体"/>
                <w:sz w:val="18"/>
                <w:szCs w:val="18"/>
              </w:rPr>
            </w:pPr>
            <w:r>
              <w:rPr>
                <w:rFonts w:hint="eastAsia" w:ascii="宋体" w:hAnsi="宋体" w:cs="宋体"/>
                <w:sz w:val="18"/>
                <w:szCs w:val="18"/>
              </w:rPr>
              <w:t>实际完成值</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宋体"/>
                <w:sz w:val="18"/>
                <w:szCs w:val="18"/>
              </w:rPr>
            </w:pPr>
            <w:r>
              <w:rPr>
                <w:rFonts w:hint="eastAsia" w:ascii="宋体" w:hAnsi="宋体" w:cs="宋体"/>
                <w:sz w:val="18"/>
                <w:szCs w:val="18"/>
              </w:rPr>
              <w:t>完成率</w:t>
            </w:r>
          </w:p>
        </w:tc>
        <w:tc>
          <w:tcPr>
            <w:tcW w:w="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宋体"/>
                <w:sz w:val="18"/>
                <w:szCs w:val="18"/>
              </w:rPr>
            </w:pPr>
            <w:r>
              <w:rPr>
                <w:rFonts w:hint="eastAsia" w:ascii="宋体" w:hAnsi="宋体" w:cs="宋体"/>
                <w:sz w:val="18"/>
                <w:szCs w:val="18"/>
              </w:rPr>
              <w:t>得分</w:t>
            </w:r>
          </w:p>
        </w:tc>
      </w:tr>
      <w:tr>
        <w:tblPrEx>
          <w:tblCellMar>
            <w:top w:w="0" w:type="dxa"/>
            <w:left w:w="0" w:type="dxa"/>
            <w:bottom w:w="0" w:type="dxa"/>
            <w:right w:w="0" w:type="dxa"/>
          </w:tblCellMar>
        </w:tblPrEx>
        <w:trPr>
          <w:trHeight w:val="420" w:hRule="atLeast"/>
        </w:trPr>
        <w:tc>
          <w:tcPr>
            <w:tcW w:w="86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18"/>
                <w:szCs w:val="18"/>
              </w:rPr>
            </w:pPr>
            <w:r>
              <w:rPr>
                <w:rFonts w:hint="eastAsia" w:ascii="宋体" w:hAnsi="宋体" w:cs="宋体"/>
                <w:sz w:val="18"/>
                <w:szCs w:val="18"/>
              </w:rPr>
              <w:t>效益指标（20分）</w:t>
            </w:r>
          </w:p>
        </w:tc>
        <w:tc>
          <w:tcPr>
            <w:tcW w:w="1139"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rPr>
                <w:rFonts w:ascii="宋体" w:hAnsi="宋体" w:cs="宋体"/>
                <w:sz w:val="18"/>
                <w:szCs w:val="18"/>
              </w:rPr>
            </w:pPr>
            <w:r>
              <w:rPr>
                <w:rFonts w:hint="eastAsia" w:ascii="宋体" w:hAnsi="宋体" w:cs="宋体" w:eastAsiaTheme="minorEastAsia"/>
                <w:sz w:val="18"/>
                <w:szCs w:val="18"/>
                <w:lang w:eastAsia="zh-CN"/>
              </w:rPr>
              <w:t>经济</w:t>
            </w:r>
            <w:r>
              <w:rPr>
                <w:rFonts w:hint="eastAsia" w:ascii="宋体" w:hAnsi="宋体" w:cs="宋体"/>
                <w:sz w:val="18"/>
                <w:szCs w:val="18"/>
              </w:rPr>
              <w:t>效益指标</w:t>
            </w:r>
          </w:p>
        </w:tc>
        <w:tc>
          <w:tcPr>
            <w:tcW w:w="1701"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spacing w:line="240" w:lineRule="exact"/>
              <w:textAlignment w:val="center"/>
              <w:rPr>
                <w:rFonts w:eastAsia="宋体"/>
                <w:sz w:val="18"/>
                <w:szCs w:val="20"/>
                <w:lang w:eastAsia="zh-CN"/>
              </w:rPr>
            </w:pPr>
            <w:r>
              <w:rPr>
                <w:rFonts w:eastAsia="宋体"/>
                <w:sz w:val="18"/>
                <w:szCs w:val="20"/>
                <w:lang w:eastAsia="zh-CN"/>
              </w:rPr>
              <w:t>1.</w:t>
            </w:r>
            <w:r>
              <w:rPr>
                <w:rFonts w:hint="eastAsia" w:eastAsia="宋体"/>
                <w:sz w:val="18"/>
                <w:szCs w:val="20"/>
                <w:lang w:eastAsia="zh-CN"/>
              </w:rPr>
              <w:t xml:space="preserve"> </w:t>
            </w:r>
            <w:r>
              <w:rPr>
                <w:rFonts w:eastAsia="宋体"/>
                <w:sz w:val="18"/>
                <w:szCs w:val="20"/>
                <w:lang w:eastAsia="zh-CN"/>
              </w:rPr>
              <w:t>拉动资金： 500</w:t>
            </w:r>
            <w:r>
              <w:rPr>
                <w:rFonts w:hint="eastAsia" w:eastAsia="宋体"/>
                <w:sz w:val="18"/>
                <w:szCs w:val="20"/>
                <w:lang w:eastAsia="zh-CN"/>
              </w:rPr>
              <w:t>万元以上计</w:t>
            </w:r>
            <w:r>
              <w:rPr>
                <w:rFonts w:eastAsia="宋体"/>
                <w:sz w:val="18"/>
                <w:szCs w:val="20"/>
                <w:lang w:eastAsia="zh-CN"/>
              </w:rPr>
              <w:t>10</w:t>
            </w:r>
            <w:r>
              <w:rPr>
                <w:rFonts w:hint="eastAsia" w:eastAsia="宋体"/>
                <w:sz w:val="18"/>
                <w:szCs w:val="20"/>
                <w:lang w:eastAsia="zh-CN"/>
              </w:rPr>
              <w:t>分。</w:t>
            </w:r>
          </w:p>
          <w:p>
            <w:pPr>
              <w:spacing w:line="240" w:lineRule="exact"/>
              <w:textAlignment w:val="center"/>
              <w:rPr>
                <w:rFonts w:ascii="宋体" w:hAnsi="宋体" w:cs="宋体"/>
                <w:sz w:val="18"/>
                <w:szCs w:val="18"/>
                <w:lang w:eastAsia="zh-CN"/>
              </w:rPr>
            </w:pPr>
            <w:r>
              <w:rPr>
                <w:rFonts w:eastAsia="宋体"/>
                <w:sz w:val="18"/>
                <w:szCs w:val="20"/>
                <w:lang w:eastAsia="zh-CN"/>
              </w:rPr>
              <w:t>2.</w:t>
            </w:r>
            <w:r>
              <w:rPr>
                <w:rFonts w:hint="eastAsia" w:eastAsia="宋体"/>
                <w:sz w:val="18"/>
                <w:szCs w:val="20"/>
                <w:lang w:eastAsia="zh-CN"/>
              </w:rPr>
              <w:t>新发现矿化点5处，总计</w:t>
            </w:r>
            <w:r>
              <w:rPr>
                <w:rFonts w:eastAsia="宋体"/>
                <w:sz w:val="18"/>
                <w:szCs w:val="20"/>
                <w:lang w:eastAsia="zh-CN"/>
              </w:rPr>
              <w:t>5</w:t>
            </w:r>
            <w:r>
              <w:rPr>
                <w:rFonts w:hint="eastAsia" w:eastAsia="宋体"/>
                <w:sz w:val="18"/>
                <w:szCs w:val="20"/>
                <w:lang w:eastAsia="zh-CN"/>
              </w:rPr>
              <w:t>分。</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18"/>
                <w:szCs w:val="18"/>
              </w:rPr>
            </w:pPr>
            <w:r>
              <w:rPr>
                <w:rFonts w:hint="eastAsia" w:ascii="宋体" w:hAnsi="宋体" w:cs="宋体"/>
                <w:sz w:val="18"/>
                <w:szCs w:val="18"/>
              </w:rPr>
              <w:t>1</w:t>
            </w:r>
            <w:r>
              <w:rPr>
                <w:rFonts w:ascii="宋体" w:hAnsi="宋体" w:cs="宋体"/>
                <w:sz w:val="18"/>
                <w:szCs w:val="18"/>
              </w:rPr>
              <w:t>5</w:t>
            </w:r>
            <w:r>
              <w:rPr>
                <w:rFonts w:hint="eastAsia" w:ascii="微软雅黑" w:hAnsi="微软雅黑" w:eastAsia="微软雅黑" w:cs="微软雅黑"/>
                <w:sz w:val="18"/>
                <w:szCs w:val="18"/>
              </w:rPr>
              <w:t>　</w:t>
            </w:r>
          </w:p>
        </w:tc>
        <w:tc>
          <w:tcPr>
            <w:tcW w:w="15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exact"/>
              <w:textAlignment w:val="center"/>
              <w:rPr>
                <w:rFonts w:eastAsia="宋体"/>
                <w:sz w:val="18"/>
                <w:szCs w:val="20"/>
                <w:lang w:eastAsia="zh-CN"/>
              </w:rPr>
            </w:pPr>
            <w:r>
              <w:rPr>
                <w:rFonts w:eastAsia="宋体"/>
                <w:sz w:val="18"/>
                <w:szCs w:val="20"/>
                <w:lang w:eastAsia="zh-CN"/>
              </w:rPr>
              <w:t>1.</w:t>
            </w:r>
            <w:r>
              <w:rPr>
                <w:rFonts w:hint="eastAsia" w:eastAsia="宋体"/>
                <w:sz w:val="18"/>
                <w:szCs w:val="20"/>
                <w:lang w:eastAsia="zh-CN"/>
              </w:rPr>
              <w:t xml:space="preserve"> </w:t>
            </w:r>
            <w:r>
              <w:rPr>
                <w:rFonts w:eastAsia="宋体"/>
                <w:sz w:val="18"/>
                <w:szCs w:val="20"/>
                <w:lang w:eastAsia="zh-CN"/>
              </w:rPr>
              <w:t>拉动资金： 585</w:t>
            </w:r>
            <w:r>
              <w:rPr>
                <w:rFonts w:hint="eastAsia" w:eastAsia="宋体"/>
                <w:sz w:val="18"/>
                <w:szCs w:val="20"/>
                <w:lang w:eastAsia="zh-CN"/>
              </w:rPr>
              <w:t>万元以上计</w:t>
            </w:r>
            <w:r>
              <w:rPr>
                <w:rFonts w:eastAsia="宋体"/>
                <w:sz w:val="18"/>
                <w:szCs w:val="20"/>
                <w:lang w:eastAsia="zh-CN"/>
              </w:rPr>
              <w:t>10</w:t>
            </w:r>
            <w:r>
              <w:rPr>
                <w:rFonts w:hint="eastAsia" w:eastAsia="宋体"/>
                <w:sz w:val="18"/>
                <w:szCs w:val="20"/>
                <w:lang w:eastAsia="zh-CN"/>
              </w:rPr>
              <w:t>分。</w:t>
            </w:r>
          </w:p>
          <w:p>
            <w:pPr>
              <w:spacing w:line="240" w:lineRule="exact"/>
              <w:textAlignment w:val="center"/>
              <w:rPr>
                <w:rFonts w:ascii="宋体" w:hAnsi="宋体" w:cs="宋体"/>
                <w:sz w:val="18"/>
                <w:szCs w:val="18"/>
                <w:lang w:eastAsia="zh-CN"/>
              </w:rPr>
            </w:pPr>
            <w:r>
              <w:rPr>
                <w:rFonts w:eastAsia="宋体"/>
                <w:sz w:val="18"/>
                <w:szCs w:val="20"/>
                <w:lang w:eastAsia="zh-CN"/>
              </w:rPr>
              <w:t>2.</w:t>
            </w:r>
            <w:r>
              <w:rPr>
                <w:rFonts w:hint="eastAsia" w:eastAsia="宋体"/>
                <w:sz w:val="18"/>
                <w:szCs w:val="20"/>
                <w:lang w:eastAsia="zh-CN"/>
              </w:rPr>
              <w:t>新发现矿化点5处，总计</w:t>
            </w:r>
            <w:r>
              <w:rPr>
                <w:rFonts w:eastAsia="宋体"/>
                <w:sz w:val="18"/>
                <w:szCs w:val="20"/>
                <w:lang w:eastAsia="zh-CN"/>
              </w:rPr>
              <w:t>5</w:t>
            </w:r>
            <w:r>
              <w:rPr>
                <w:rFonts w:hint="eastAsia" w:eastAsia="宋体"/>
                <w:sz w:val="18"/>
                <w:szCs w:val="20"/>
                <w:lang w:eastAsia="zh-CN"/>
              </w:rPr>
              <w:t>分。</w:t>
            </w:r>
          </w:p>
        </w:tc>
        <w:tc>
          <w:tcPr>
            <w:tcW w:w="12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eastAsiaTheme="minorEastAsia"/>
                <w:sz w:val="18"/>
                <w:szCs w:val="18"/>
                <w:lang w:eastAsia="zh-CN"/>
              </w:rPr>
            </w:pPr>
            <w:r>
              <w:rPr>
                <w:rFonts w:hint="eastAsia" w:ascii="宋体" w:hAnsi="宋体" w:cs="宋体" w:eastAsiaTheme="minorEastAsia"/>
                <w:sz w:val="18"/>
                <w:szCs w:val="18"/>
                <w:lang w:eastAsia="zh-CN"/>
              </w:rPr>
              <w:t>1</w:t>
            </w:r>
            <w:r>
              <w:rPr>
                <w:rFonts w:ascii="宋体" w:hAnsi="宋体" w:cs="宋体" w:eastAsiaTheme="minorEastAsia"/>
                <w:sz w:val="18"/>
                <w:szCs w:val="18"/>
                <w:lang w:eastAsia="zh-CN"/>
              </w:rPr>
              <w:t>00%</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18"/>
                <w:szCs w:val="18"/>
              </w:rPr>
            </w:pPr>
            <w:r>
              <w:rPr>
                <w:rFonts w:ascii="宋体" w:hAnsi="宋体" w:cs="宋体"/>
                <w:sz w:val="18"/>
                <w:szCs w:val="18"/>
              </w:rPr>
              <w:t>100</w:t>
            </w:r>
            <w:r>
              <w:rPr>
                <w:rFonts w:hint="eastAsia" w:ascii="宋体" w:hAnsi="宋体" w:cs="宋体"/>
                <w:sz w:val="18"/>
                <w:szCs w:val="18"/>
              </w:rPr>
              <w:t>%</w:t>
            </w:r>
          </w:p>
        </w:tc>
        <w:tc>
          <w:tcPr>
            <w:tcW w:w="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2"/>
                <w:szCs w:val="22"/>
              </w:rPr>
            </w:pPr>
            <w:r>
              <w:rPr>
                <w:rFonts w:ascii="宋体" w:hAnsi="宋体" w:cs="宋体"/>
                <w:sz w:val="18"/>
                <w:szCs w:val="18"/>
              </w:rPr>
              <w:t>15</w:t>
            </w:r>
            <w:r>
              <w:rPr>
                <w:rFonts w:hint="eastAsia" w:ascii="宋体" w:hAnsi="宋体" w:cs="宋体"/>
                <w:sz w:val="18"/>
                <w:szCs w:val="18"/>
              </w:rPr>
              <w:t>　</w:t>
            </w:r>
          </w:p>
        </w:tc>
      </w:tr>
      <w:tr>
        <w:tblPrEx>
          <w:tblCellMar>
            <w:top w:w="0" w:type="dxa"/>
            <w:left w:w="0" w:type="dxa"/>
            <w:bottom w:w="0" w:type="dxa"/>
            <w:right w:w="0" w:type="dxa"/>
          </w:tblCellMar>
        </w:tblPrEx>
        <w:trPr>
          <w:trHeight w:val="315" w:hRule="atLeast"/>
        </w:trPr>
        <w:tc>
          <w:tcPr>
            <w:tcW w:w="861" w:type="dxa"/>
            <w:vMerge w:val="continue"/>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rPr>
                <w:rFonts w:ascii="宋体" w:hAnsi="宋体" w:cs="宋体"/>
                <w:sz w:val="18"/>
                <w:szCs w:val="18"/>
              </w:rPr>
            </w:pPr>
          </w:p>
        </w:tc>
        <w:tc>
          <w:tcPr>
            <w:tcW w:w="113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rPr>
                <w:rFonts w:hint="eastAsia" w:ascii="宋体" w:hAnsi="宋体" w:cs="宋体"/>
                <w:sz w:val="18"/>
                <w:szCs w:val="18"/>
              </w:rPr>
            </w:pPr>
            <w:r>
              <w:rPr>
                <w:rFonts w:hint="eastAsia" w:ascii="宋体" w:hAnsi="宋体" w:cs="宋体"/>
                <w:sz w:val="18"/>
                <w:szCs w:val="18"/>
              </w:rPr>
              <w:t>社会效益分析</w:t>
            </w:r>
          </w:p>
        </w:tc>
        <w:tc>
          <w:tcPr>
            <w:tcW w:w="170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240" w:lineRule="exact"/>
              <w:textAlignment w:val="center"/>
              <w:rPr>
                <w:rFonts w:eastAsia="宋体"/>
                <w:sz w:val="18"/>
                <w:szCs w:val="20"/>
              </w:rPr>
            </w:pPr>
            <w:r>
              <w:rPr>
                <w:rFonts w:eastAsia="宋体"/>
                <w:sz w:val="18"/>
                <w:szCs w:val="20"/>
                <w:lang w:eastAsia="zh-CN"/>
              </w:rPr>
              <w:t>1.</w:t>
            </w:r>
            <w:r>
              <w:rPr>
                <w:rFonts w:hint="eastAsia" w:ascii="仿宋_GB2312" w:hAnsi="仿宋_GB2312"/>
                <w:lang w:eastAsia="zh-CN"/>
              </w:rPr>
              <w:t xml:space="preserve"> </w:t>
            </w:r>
            <w:r>
              <w:rPr>
                <w:rFonts w:hint="eastAsia" w:eastAsia="宋体"/>
                <w:sz w:val="18"/>
                <w:szCs w:val="20"/>
                <w:lang w:eastAsia="zh-CN"/>
              </w:rPr>
              <w:t>为哈密地区提供</w:t>
            </w:r>
            <w:r>
              <w:rPr>
                <w:rFonts w:eastAsia="宋体"/>
                <w:sz w:val="18"/>
                <w:szCs w:val="20"/>
                <w:lang w:eastAsia="zh-CN"/>
              </w:rPr>
              <w:t>2</w:t>
            </w:r>
            <w:r>
              <w:rPr>
                <w:rFonts w:hint="eastAsia" w:eastAsia="宋体"/>
                <w:sz w:val="18"/>
                <w:szCs w:val="20"/>
                <w:lang w:eastAsia="zh-CN"/>
              </w:rPr>
              <w:t>-</w:t>
            </w:r>
            <w:r>
              <w:rPr>
                <w:rFonts w:eastAsia="宋体"/>
                <w:sz w:val="18"/>
                <w:szCs w:val="20"/>
                <w:lang w:eastAsia="zh-CN"/>
              </w:rPr>
              <w:t>3</w:t>
            </w:r>
            <w:r>
              <w:rPr>
                <w:rFonts w:hint="eastAsia" w:eastAsia="宋体"/>
                <w:sz w:val="18"/>
                <w:szCs w:val="20"/>
                <w:lang w:eastAsia="zh-CN"/>
              </w:rPr>
              <w:t>处可进一步工作的铜金矿勘查靶区。</w:t>
            </w:r>
            <w:r>
              <w:rPr>
                <w:rFonts w:eastAsia="宋体"/>
                <w:sz w:val="18"/>
                <w:szCs w:val="20"/>
              </w:rPr>
              <w:t>总计2</w:t>
            </w:r>
            <w:r>
              <w:rPr>
                <w:rFonts w:hint="eastAsia" w:eastAsia="宋体"/>
                <w:sz w:val="18"/>
                <w:szCs w:val="20"/>
              </w:rPr>
              <w:t>分。</w:t>
            </w:r>
          </w:p>
          <w:p>
            <w:pPr>
              <w:jc w:val="center"/>
              <w:rPr>
                <w:rFonts w:ascii="宋体" w:hAnsi="宋体" w:cs="宋体"/>
                <w:sz w:val="18"/>
                <w:szCs w:val="18"/>
              </w:rPr>
            </w:pPr>
            <w:r>
              <w:rPr>
                <w:rFonts w:eastAsia="宋体"/>
                <w:sz w:val="18"/>
                <w:lang w:eastAsia="zh-CN"/>
              </w:rPr>
              <w:t>2.</w:t>
            </w:r>
            <w:r>
              <w:rPr>
                <w:rFonts w:hint="eastAsia" w:ascii="仿宋_GB2312" w:hAnsi="仿宋_GB2312"/>
                <w:lang w:eastAsia="zh-CN"/>
              </w:rPr>
              <w:t xml:space="preserve"> </w:t>
            </w:r>
            <w:r>
              <w:rPr>
                <w:rFonts w:hint="eastAsia" w:eastAsia="宋体"/>
                <w:sz w:val="18"/>
                <w:szCs w:val="20"/>
                <w:lang w:eastAsia="zh-CN"/>
              </w:rPr>
              <w:t>雇佣当地牧民2-3人参与野外工作，提高当地牧民收入。</w:t>
            </w:r>
            <w:r>
              <w:rPr>
                <w:rFonts w:eastAsia="宋体"/>
                <w:sz w:val="18"/>
                <w:szCs w:val="20"/>
              </w:rPr>
              <w:t>总计</w:t>
            </w:r>
            <w:r>
              <w:rPr>
                <w:rFonts w:hint="eastAsia" w:eastAsia="宋体"/>
                <w:sz w:val="18"/>
                <w:szCs w:val="20"/>
              </w:rPr>
              <w:t>3分</w:t>
            </w:r>
            <w:r>
              <w:rPr>
                <w:rFonts w:hint="eastAsia" w:eastAsia="宋体"/>
                <w:sz w:val="18"/>
              </w:rPr>
              <w:t>。</w:t>
            </w:r>
          </w:p>
        </w:tc>
        <w:tc>
          <w:tcPr>
            <w:tcW w:w="992"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jc w:val="center"/>
              <w:rPr>
                <w:rFonts w:hint="eastAsia" w:ascii="宋体" w:hAnsi="宋体" w:cs="宋体" w:eastAsiaTheme="minorEastAsia"/>
                <w:sz w:val="18"/>
                <w:szCs w:val="18"/>
                <w:lang w:eastAsia="zh-CN"/>
              </w:rPr>
            </w:pPr>
            <w:r>
              <w:rPr>
                <w:rFonts w:hint="eastAsia" w:ascii="宋体" w:hAnsi="宋体" w:cs="宋体" w:eastAsiaTheme="minorEastAsia"/>
                <w:sz w:val="18"/>
                <w:szCs w:val="18"/>
                <w:lang w:eastAsia="zh-CN"/>
              </w:rPr>
              <w:t>5</w:t>
            </w:r>
          </w:p>
        </w:tc>
        <w:tc>
          <w:tcPr>
            <w:tcW w:w="15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exact"/>
              <w:textAlignment w:val="center"/>
              <w:rPr>
                <w:rFonts w:eastAsia="宋体"/>
                <w:sz w:val="18"/>
                <w:szCs w:val="20"/>
              </w:rPr>
            </w:pPr>
            <w:r>
              <w:rPr>
                <w:rFonts w:eastAsia="宋体"/>
                <w:sz w:val="18"/>
                <w:szCs w:val="20"/>
                <w:lang w:eastAsia="zh-CN"/>
              </w:rPr>
              <w:t>1.</w:t>
            </w:r>
            <w:r>
              <w:rPr>
                <w:rFonts w:hint="eastAsia" w:ascii="仿宋_GB2312" w:hAnsi="仿宋_GB2312"/>
                <w:lang w:eastAsia="zh-CN"/>
              </w:rPr>
              <w:t xml:space="preserve"> </w:t>
            </w:r>
            <w:r>
              <w:rPr>
                <w:rFonts w:hint="eastAsia" w:eastAsia="宋体"/>
                <w:sz w:val="18"/>
                <w:szCs w:val="20"/>
                <w:lang w:eastAsia="zh-CN"/>
              </w:rPr>
              <w:t>为哈密地区提供</w:t>
            </w:r>
            <w:r>
              <w:rPr>
                <w:rFonts w:eastAsia="宋体"/>
                <w:sz w:val="18"/>
                <w:szCs w:val="20"/>
                <w:lang w:eastAsia="zh-CN"/>
              </w:rPr>
              <w:t>2</w:t>
            </w:r>
            <w:r>
              <w:rPr>
                <w:rFonts w:hint="eastAsia" w:eastAsia="宋体"/>
                <w:sz w:val="18"/>
                <w:szCs w:val="20"/>
                <w:lang w:eastAsia="zh-CN"/>
              </w:rPr>
              <w:t>-</w:t>
            </w:r>
            <w:r>
              <w:rPr>
                <w:rFonts w:eastAsia="宋体"/>
                <w:sz w:val="18"/>
                <w:szCs w:val="20"/>
                <w:lang w:eastAsia="zh-CN"/>
              </w:rPr>
              <w:t>3</w:t>
            </w:r>
            <w:r>
              <w:rPr>
                <w:rFonts w:hint="eastAsia" w:eastAsia="宋体"/>
                <w:sz w:val="18"/>
                <w:szCs w:val="20"/>
                <w:lang w:eastAsia="zh-CN"/>
              </w:rPr>
              <w:t>处可进一步工作的铜金矿勘查靶区。</w:t>
            </w:r>
            <w:r>
              <w:rPr>
                <w:rFonts w:eastAsia="宋体"/>
                <w:sz w:val="18"/>
                <w:szCs w:val="20"/>
              </w:rPr>
              <w:t>总计2</w:t>
            </w:r>
            <w:r>
              <w:rPr>
                <w:rFonts w:hint="eastAsia" w:eastAsia="宋体"/>
                <w:sz w:val="18"/>
                <w:szCs w:val="20"/>
              </w:rPr>
              <w:t>分。</w:t>
            </w:r>
          </w:p>
          <w:p>
            <w:pPr>
              <w:jc w:val="center"/>
              <w:rPr>
                <w:rFonts w:ascii="宋体" w:hAnsi="宋体" w:cs="宋体"/>
                <w:sz w:val="18"/>
                <w:szCs w:val="18"/>
              </w:rPr>
            </w:pPr>
            <w:r>
              <w:rPr>
                <w:rFonts w:eastAsia="宋体"/>
                <w:sz w:val="18"/>
                <w:lang w:eastAsia="zh-CN"/>
              </w:rPr>
              <w:t>2.</w:t>
            </w:r>
            <w:r>
              <w:rPr>
                <w:rFonts w:hint="eastAsia" w:ascii="仿宋_GB2312" w:hAnsi="仿宋_GB2312"/>
                <w:lang w:eastAsia="zh-CN"/>
              </w:rPr>
              <w:t xml:space="preserve"> </w:t>
            </w:r>
            <w:r>
              <w:rPr>
                <w:rFonts w:hint="eastAsia" w:eastAsia="宋体"/>
                <w:sz w:val="18"/>
                <w:szCs w:val="20"/>
                <w:lang w:eastAsia="zh-CN"/>
              </w:rPr>
              <w:t>雇佣当地牧民2-3人参与野外工作，提高当地牧民收入。</w:t>
            </w:r>
            <w:r>
              <w:rPr>
                <w:rFonts w:eastAsia="宋体"/>
                <w:sz w:val="18"/>
                <w:szCs w:val="20"/>
              </w:rPr>
              <w:t>总计</w:t>
            </w:r>
            <w:r>
              <w:rPr>
                <w:rFonts w:hint="eastAsia" w:eastAsia="宋体"/>
                <w:sz w:val="18"/>
                <w:szCs w:val="20"/>
              </w:rPr>
              <w:t>3分</w:t>
            </w:r>
            <w:r>
              <w:rPr>
                <w:rFonts w:hint="eastAsia" w:eastAsia="宋体"/>
                <w:sz w:val="18"/>
              </w:rPr>
              <w:t>。</w:t>
            </w:r>
          </w:p>
        </w:tc>
        <w:tc>
          <w:tcPr>
            <w:tcW w:w="12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eastAsiaTheme="minorEastAsia"/>
                <w:sz w:val="18"/>
                <w:szCs w:val="18"/>
                <w:lang w:eastAsia="zh-CN"/>
              </w:rPr>
            </w:pPr>
            <w:r>
              <w:rPr>
                <w:rFonts w:hint="eastAsia" w:ascii="宋体" w:hAnsi="宋体" w:cs="宋体" w:eastAsiaTheme="minorEastAsia"/>
                <w:sz w:val="18"/>
                <w:szCs w:val="18"/>
                <w:lang w:eastAsia="zh-CN"/>
              </w:rPr>
              <w:t>1</w:t>
            </w:r>
            <w:r>
              <w:rPr>
                <w:rFonts w:ascii="宋体" w:hAnsi="宋体" w:cs="宋体" w:eastAsiaTheme="minorEastAsia"/>
                <w:sz w:val="18"/>
                <w:szCs w:val="18"/>
                <w:lang w:eastAsia="zh-CN"/>
              </w:rPr>
              <w:t>00%</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18"/>
                <w:szCs w:val="18"/>
              </w:rPr>
            </w:pPr>
            <w:r>
              <w:rPr>
                <w:rFonts w:ascii="宋体" w:hAnsi="宋体" w:cs="宋体"/>
                <w:sz w:val="18"/>
                <w:szCs w:val="18"/>
              </w:rPr>
              <w:t>100</w:t>
            </w:r>
            <w:r>
              <w:rPr>
                <w:rFonts w:hint="eastAsia" w:ascii="宋体" w:hAnsi="宋体" w:cs="宋体"/>
                <w:sz w:val="18"/>
                <w:szCs w:val="18"/>
              </w:rPr>
              <w:t>%</w:t>
            </w:r>
          </w:p>
        </w:tc>
        <w:tc>
          <w:tcPr>
            <w:tcW w:w="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sz w:val="22"/>
                <w:szCs w:val="22"/>
              </w:rPr>
            </w:pPr>
            <w:r>
              <w:rPr>
                <w:rFonts w:ascii="宋体" w:hAnsi="宋体" w:cs="宋体"/>
                <w:sz w:val="18"/>
                <w:szCs w:val="18"/>
              </w:rPr>
              <w:t>5</w:t>
            </w:r>
            <w:r>
              <w:rPr>
                <w:rFonts w:hint="eastAsia" w:ascii="宋体" w:hAnsi="宋体" w:cs="宋体"/>
                <w:sz w:val="18"/>
                <w:szCs w:val="18"/>
              </w:rPr>
              <w:t>　</w:t>
            </w:r>
          </w:p>
        </w:tc>
      </w:tr>
    </w:tbl>
    <w:p>
      <w:pPr>
        <w:numPr>
          <w:ilvl w:val="0"/>
          <w:numId w:val="2"/>
        </w:numPr>
        <w:spacing w:before="258" w:line="580" w:lineRule="exact"/>
        <w:ind w:left="564"/>
        <w:rPr>
          <w:rFonts w:ascii="黑体" w:hAnsi="黑体" w:eastAsia="黑体" w:cs="黑体"/>
          <w:b/>
          <w:bCs/>
          <w:spacing w:val="-2"/>
          <w:position w:val="21"/>
          <w:sz w:val="29"/>
          <w:szCs w:val="29"/>
          <w:lang w:eastAsia="zh-CN"/>
        </w:rPr>
      </w:pPr>
      <w:r>
        <w:rPr>
          <w:rFonts w:ascii="黑体" w:hAnsi="黑体" w:eastAsia="黑体" w:cs="黑体"/>
          <w:b/>
          <w:bCs/>
          <w:spacing w:val="-2"/>
          <w:position w:val="21"/>
          <w:sz w:val="29"/>
          <w:szCs w:val="29"/>
          <w:lang w:eastAsia="zh-CN"/>
        </w:rPr>
        <w:t>主要经验及做法、存在的问题及原因分析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64" w:firstLineChars="200"/>
        <w:textAlignment w:val="baseline"/>
        <w:rPr>
          <w:rStyle w:val="7"/>
          <w:rFonts w:hint="eastAsia" w:ascii="仿宋" w:hAnsi="仿宋" w:eastAsia="仿宋" w:cs="仿宋"/>
          <w:b w:val="0"/>
          <w:bCs w:val="0"/>
          <w:spacing w:val="-4"/>
          <w:sz w:val="29"/>
          <w:szCs w:val="29"/>
        </w:rPr>
      </w:pPr>
      <w:r>
        <w:rPr>
          <w:rStyle w:val="7"/>
          <w:rFonts w:hint="eastAsia" w:ascii="仿宋" w:hAnsi="仿宋" w:eastAsia="仿宋" w:cs="仿宋"/>
          <w:b w:val="0"/>
          <w:bCs w:val="0"/>
          <w:spacing w:val="-4"/>
          <w:sz w:val="29"/>
          <w:szCs w:val="29"/>
        </w:rPr>
        <w:t>1.主要经验及做法</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4" w:firstLineChars="200"/>
        <w:textAlignment w:val="baseline"/>
        <w:rPr>
          <w:rStyle w:val="7"/>
          <w:rFonts w:hint="eastAsia" w:ascii="仿宋" w:hAnsi="仿宋" w:eastAsia="仿宋" w:cs="仿宋"/>
          <w:b w:val="0"/>
          <w:bCs w:val="0"/>
          <w:spacing w:val="-4"/>
          <w:sz w:val="29"/>
          <w:szCs w:val="29"/>
          <w:lang w:eastAsia="zh-CN"/>
        </w:rPr>
      </w:pPr>
      <w:r>
        <w:rPr>
          <w:rStyle w:val="7"/>
          <w:rFonts w:hint="eastAsia" w:ascii="仿宋" w:hAnsi="仿宋" w:eastAsia="仿宋" w:cs="仿宋"/>
          <w:b w:val="0"/>
          <w:bCs w:val="0"/>
          <w:spacing w:val="-4"/>
          <w:sz w:val="29"/>
          <w:szCs w:val="29"/>
          <w:lang w:eastAsia="zh-CN"/>
        </w:rPr>
        <w:t>项目预算与实际执行之间的差异，需要在立项时进一步细化落实，尽可能贴近预算，减少偏差。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4" w:firstLineChars="200"/>
        <w:textAlignment w:val="baseline"/>
        <w:rPr>
          <w:rStyle w:val="7"/>
          <w:rFonts w:hint="eastAsia" w:ascii="仿宋" w:hAnsi="仿宋" w:eastAsia="仿宋" w:cs="仿宋"/>
          <w:b w:val="0"/>
          <w:bCs w:val="0"/>
          <w:spacing w:val="-4"/>
          <w:sz w:val="29"/>
          <w:szCs w:val="29"/>
        </w:rPr>
      </w:pPr>
      <w:r>
        <w:rPr>
          <w:rStyle w:val="7"/>
          <w:rFonts w:hint="eastAsia" w:ascii="仿宋" w:hAnsi="仿宋" w:eastAsia="仿宋" w:cs="仿宋"/>
          <w:b w:val="0"/>
          <w:bCs w:val="0"/>
          <w:spacing w:val="-4"/>
          <w:sz w:val="29"/>
          <w:szCs w:val="29"/>
        </w:rPr>
        <w:t>2.存在的问题及原因分析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80" w:firstLineChars="200"/>
        <w:contextualSpacing/>
        <w:textAlignment w:val="baseline"/>
        <w:rPr>
          <w:rFonts w:hint="eastAsia" w:ascii="仿宋" w:hAnsi="仿宋" w:eastAsia="仿宋" w:cs="仿宋"/>
          <w:color w:val="333333"/>
          <w:sz w:val="29"/>
          <w:szCs w:val="29"/>
          <w:lang w:eastAsia="zh-CN"/>
        </w:rPr>
      </w:pPr>
      <w:r>
        <w:rPr>
          <w:rFonts w:hint="eastAsia" w:ascii="仿宋" w:hAnsi="仿宋" w:eastAsia="仿宋" w:cs="仿宋"/>
          <w:color w:val="333333"/>
          <w:sz w:val="29"/>
          <w:szCs w:val="29"/>
          <w:lang w:eastAsia="zh-CN"/>
        </w:rPr>
        <w:t>在预算编制过程中，存在不可预见性与不可抗力，需要充分考虑实际情况，与实际情况相结合，确保全年目标任务的完成。</w:t>
      </w:r>
    </w:p>
    <w:p>
      <w:pPr>
        <w:pStyle w:val="3"/>
        <w:numPr>
          <w:ilvl w:val="0"/>
          <w:numId w:val="0"/>
        </w:numPr>
        <w:rPr>
          <w:lang w:eastAsia="zh-CN"/>
        </w:rPr>
      </w:pPr>
    </w:p>
    <w:p>
      <w:pPr>
        <w:numPr>
          <w:ilvl w:val="0"/>
          <w:numId w:val="2"/>
        </w:numPr>
        <w:spacing w:line="221" w:lineRule="auto"/>
        <w:ind w:left="564" w:leftChars="0"/>
        <w:rPr>
          <w:rFonts w:ascii="黑体" w:hAnsi="黑体" w:eastAsia="黑体" w:cs="黑体"/>
          <w:b/>
          <w:bCs/>
          <w:spacing w:val="-12"/>
          <w:sz w:val="29"/>
          <w:szCs w:val="29"/>
          <w:lang w:eastAsia="zh-CN"/>
        </w:rPr>
      </w:pPr>
      <w:r>
        <w:rPr>
          <w:rFonts w:ascii="黑体" w:hAnsi="黑体" w:eastAsia="黑体" w:cs="黑体"/>
          <w:b/>
          <w:bCs/>
          <w:spacing w:val="-12"/>
          <w:sz w:val="29"/>
          <w:szCs w:val="29"/>
          <w:lang w:eastAsia="zh-CN"/>
        </w:rPr>
        <w:t>有关建议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420" w:firstLineChars="200"/>
        <w:textAlignment w:val="baseline"/>
        <w:rPr>
          <w:rStyle w:val="7"/>
          <w:rFonts w:hint="eastAsia" w:ascii="仿宋" w:hAnsi="仿宋" w:eastAsia="仿宋" w:cs="仿宋"/>
          <w:b w:val="0"/>
          <w:bCs w:val="0"/>
          <w:spacing w:val="-4"/>
          <w:sz w:val="29"/>
          <w:szCs w:val="29"/>
          <w:lang w:val="en-US" w:eastAsia="zh-CN"/>
        </w:rPr>
      </w:pPr>
      <w:r>
        <w:rPr>
          <w:rFonts w:hint="eastAsia"/>
          <w:lang w:val="en-US" w:eastAsia="zh-CN"/>
        </w:rPr>
        <w:t xml:space="preserve"> </w:t>
      </w:r>
      <w:r>
        <w:rPr>
          <w:rStyle w:val="7"/>
          <w:rFonts w:hint="eastAsia" w:ascii="仿宋" w:hAnsi="仿宋" w:eastAsia="仿宋" w:cs="仿宋"/>
          <w:b w:val="0"/>
          <w:bCs w:val="0"/>
          <w:spacing w:val="-4"/>
          <w:sz w:val="29"/>
          <w:szCs w:val="29"/>
          <w:lang w:val="en-US" w:eastAsia="zh-CN"/>
        </w:rPr>
        <w:t>1.对项目决策的建议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7"/>
          <w:rFonts w:hint="eastAsia" w:ascii="仿宋" w:hAnsi="仿宋" w:eastAsia="仿宋" w:cs="仿宋"/>
          <w:b w:val="0"/>
          <w:bCs w:val="0"/>
          <w:spacing w:val="-4"/>
          <w:sz w:val="29"/>
          <w:szCs w:val="29"/>
          <w:lang w:val="en-US" w:eastAsia="zh-CN"/>
        </w:rPr>
      </w:pPr>
      <w:r>
        <w:rPr>
          <w:rStyle w:val="7"/>
          <w:rFonts w:hint="eastAsia" w:ascii="仿宋" w:hAnsi="仿宋" w:eastAsia="仿宋" w:cs="仿宋"/>
          <w:b w:val="0"/>
          <w:bCs w:val="0"/>
          <w:spacing w:val="-4"/>
          <w:sz w:val="29"/>
          <w:szCs w:val="29"/>
          <w:lang w:val="en-US" w:eastAsia="zh-CN"/>
        </w:rPr>
        <w:t>在项目立项时需要进一步细化落实，做到充分掌握情况，避免出现预算和实际偏差较大的情况出现。</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7"/>
          <w:rFonts w:hint="eastAsia" w:ascii="仿宋" w:hAnsi="仿宋" w:eastAsia="仿宋" w:cs="仿宋"/>
          <w:b w:val="0"/>
          <w:bCs w:val="0"/>
          <w:spacing w:val="-4"/>
          <w:sz w:val="29"/>
          <w:szCs w:val="29"/>
          <w:lang w:val="en-US" w:eastAsia="zh-CN"/>
        </w:rPr>
      </w:pPr>
      <w:r>
        <w:rPr>
          <w:rStyle w:val="7"/>
          <w:rFonts w:hint="eastAsia" w:ascii="仿宋" w:hAnsi="仿宋" w:eastAsia="仿宋" w:cs="仿宋"/>
          <w:b w:val="0"/>
          <w:bCs w:val="0"/>
          <w:spacing w:val="-4"/>
          <w:sz w:val="29"/>
          <w:szCs w:val="29"/>
          <w:lang w:val="en-US" w:eastAsia="zh-CN"/>
        </w:rPr>
        <w:t>对预算安排与执行的建议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64" w:firstLineChars="200"/>
        <w:textAlignment w:val="baseline"/>
        <w:rPr>
          <w:rStyle w:val="7"/>
          <w:rFonts w:hint="eastAsia" w:ascii="仿宋" w:hAnsi="仿宋" w:eastAsia="仿宋" w:cs="仿宋"/>
          <w:b w:val="0"/>
          <w:bCs w:val="0"/>
          <w:spacing w:val="-4"/>
          <w:sz w:val="29"/>
          <w:szCs w:val="29"/>
          <w:lang w:val="en-US" w:eastAsia="zh-CN"/>
        </w:rPr>
      </w:pPr>
      <w:r>
        <w:rPr>
          <w:rStyle w:val="7"/>
          <w:rFonts w:hint="eastAsia" w:ascii="仿宋" w:hAnsi="仿宋" w:eastAsia="仿宋" w:cs="仿宋"/>
          <w:b w:val="0"/>
          <w:bCs w:val="0"/>
          <w:spacing w:val="-4"/>
          <w:sz w:val="29"/>
          <w:szCs w:val="29"/>
          <w:lang w:val="en-US" w:eastAsia="zh-CN"/>
        </w:rPr>
        <w:t>充分考虑实际情况，从实际出发，合理编制预算，严格执行预算。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7"/>
          <w:rFonts w:hint="eastAsia" w:ascii="仿宋" w:hAnsi="仿宋" w:eastAsia="仿宋" w:cs="仿宋"/>
          <w:b w:val="0"/>
          <w:bCs w:val="0"/>
          <w:spacing w:val="-4"/>
          <w:sz w:val="29"/>
          <w:szCs w:val="29"/>
          <w:lang w:val="en-US" w:eastAsia="zh-CN"/>
        </w:rPr>
      </w:pPr>
      <w:r>
        <w:rPr>
          <w:rStyle w:val="7"/>
          <w:rFonts w:hint="eastAsia" w:ascii="仿宋" w:hAnsi="仿宋" w:eastAsia="仿宋" w:cs="仿宋"/>
          <w:b w:val="0"/>
          <w:bCs w:val="0"/>
          <w:spacing w:val="-4"/>
          <w:sz w:val="29"/>
          <w:szCs w:val="29"/>
          <w:lang w:val="en-US" w:eastAsia="zh-CN"/>
        </w:rPr>
        <w:t>3.对资金管理的建议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7"/>
          <w:rFonts w:hint="eastAsia" w:ascii="仿宋" w:hAnsi="仿宋" w:eastAsia="仿宋" w:cs="仿宋"/>
          <w:b w:val="0"/>
          <w:bCs w:val="0"/>
          <w:spacing w:val="-4"/>
          <w:sz w:val="29"/>
          <w:szCs w:val="29"/>
          <w:lang w:val="en-US" w:eastAsia="zh-CN"/>
        </w:rPr>
      </w:pPr>
      <w:r>
        <w:rPr>
          <w:rStyle w:val="7"/>
          <w:rFonts w:hint="eastAsia" w:ascii="仿宋" w:hAnsi="仿宋" w:eastAsia="仿宋" w:cs="仿宋"/>
          <w:b w:val="0"/>
          <w:bCs w:val="0"/>
          <w:spacing w:val="-4"/>
          <w:sz w:val="29"/>
          <w:szCs w:val="29"/>
          <w:lang w:val="en-US" w:eastAsia="zh-CN"/>
        </w:rPr>
        <w:t>加强采购资金的管理，通过招投标方式控制采购成本。严格按照合同支付程序办理资金支付。</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7"/>
          <w:rFonts w:hint="eastAsia" w:ascii="仿宋" w:hAnsi="仿宋" w:eastAsia="仿宋" w:cs="仿宋"/>
          <w:b w:val="0"/>
          <w:bCs w:val="0"/>
          <w:spacing w:val="-4"/>
          <w:sz w:val="29"/>
          <w:szCs w:val="29"/>
          <w:lang w:val="en-US" w:eastAsia="zh-CN"/>
        </w:rPr>
      </w:pPr>
      <w:r>
        <w:rPr>
          <w:rStyle w:val="7"/>
          <w:rFonts w:hint="eastAsia" w:ascii="仿宋" w:hAnsi="仿宋" w:eastAsia="仿宋" w:cs="仿宋"/>
          <w:b w:val="0"/>
          <w:bCs w:val="0"/>
          <w:spacing w:val="-4"/>
          <w:sz w:val="29"/>
          <w:szCs w:val="29"/>
          <w:lang w:val="en-US" w:eastAsia="zh-CN"/>
        </w:rPr>
        <w:t>项目管理的建议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7"/>
          <w:rFonts w:hint="eastAsia" w:ascii="仿宋" w:hAnsi="仿宋" w:eastAsia="仿宋" w:cs="仿宋"/>
          <w:b w:val="0"/>
          <w:bCs w:val="0"/>
          <w:spacing w:val="-4"/>
          <w:sz w:val="29"/>
          <w:szCs w:val="29"/>
          <w:lang w:val="en-US" w:eastAsia="zh-CN"/>
        </w:rPr>
      </w:pPr>
      <w:r>
        <w:rPr>
          <w:rStyle w:val="7"/>
          <w:rFonts w:hint="eastAsia" w:ascii="仿宋" w:hAnsi="仿宋" w:eastAsia="仿宋" w:cs="仿宋"/>
          <w:b w:val="0"/>
          <w:bCs w:val="0"/>
          <w:spacing w:val="-4"/>
          <w:sz w:val="29"/>
          <w:szCs w:val="29"/>
          <w:lang w:val="en-US" w:eastAsia="zh-CN"/>
        </w:rPr>
        <w:t>做好预算基础以及前期资料收集工作，加强资金管理，合理编制预算。</w:t>
      </w:r>
    </w:p>
    <w:p>
      <w:pPr>
        <w:pStyle w:val="3"/>
        <w:numPr>
          <w:ilvl w:val="0"/>
          <w:numId w:val="0"/>
        </w:numPr>
        <w:rPr>
          <w:lang w:val="en-US" w:eastAsia="zh-CN"/>
        </w:rPr>
      </w:pPr>
    </w:p>
    <w:p>
      <w:pPr>
        <w:spacing w:before="261" w:line="221" w:lineRule="auto"/>
        <w:ind w:left="564"/>
        <w:outlineLvl w:val="1"/>
        <w:rPr>
          <w:rFonts w:ascii="黑体" w:hAnsi="黑体" w:eastAsia="黑体" w:cs="黑体"/>
          <w:b/>
          <w:bCs/>
          <w:spacing w:val="3"/>
          <w:sz w:val="29"/>
          <w:szCs w:val="29"/>
          <w:lang w:eastAsia="zh-CN"/>
        </w:rPr>
      </w:pPr>
      <w:r>
        <w:rPr>
          <w:rFonts w:ascii="黑体" w:hAnsi="黑体" w:eastAsia="黑体" w:cs="黑体"/>
          <w:b/>
          <w:bCs/>
          <w:spacing w:val="3"/>
          <w:sz w:val="29"/>
          <w:szCs w:val="29"/>
          <w:lang w:eastAsia="zh-CN"/>
        </w:rPr>
        <w:t>七、其他需要说明的问题</w:t>
      </w:r>
    </w:p>
    <w:p>
      <w:pPr>
        <w:pStyle w:val="2"/>
        <w:rPr>
          <w:sz w:val="31"/>
          <w:szCs w:val="31"/>
          <w:lang w:eastAsia="zh-CN"/>
        </w:rPr>
      </w:pPr>
    </w:p>
    <w:sectPr>
      <w:footerReference r:id="rId3" w:type="default"/>
      <w:pgSz w:w="11900" w:h="16840"/>
      <w:pgMar w:top="1431" w:right="1785" w:bottom="40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singleLevel"/>
    <w:tmpl w:val="00000005"/>
    <w:lvl w:ilvl="0" w:tentative="0">
      <w:start w:val="2"/>
      <w:numFmt w:val="decimal"/>
      <w:suff w:val="nothing"/>
      <w:lvlText w:val="%1."/>
      <w:lvlJc w:val="left"/>
    </w:lvl>
  </w:abstractNum>
  <w:abstractNum w:abstractNumId="1">
    <w:nsid w:val="00000006"/>
    <w:multiLevelType w:val="singleLevel"/>
    <w:tmpl w:val="00000006"/>
    <w:lvl w:ilvl="0" w:tentative="0">
      <w:start w:val="4"/>
      <w:numFmt w:val="decimal"/>
      <w:suff w:val="nothing"/>
      <w:lvlText w:val="%1."/>
      <w:lvlJc w:val="left"/>
    </w:lvl>
  </w:abstractNum>
  <w:abstractNum w:abstractNumId="2">
    <w:nsid w:val="65F1851D"/>
    <w:multiLevelType w:val="singleLevel"/>
    <w:tmpl w:val="65F1851D"/>
    <w:lvl w:ilvl="0" w:tentative="0">
      <w:start w:val="5"/>
      <w:numFmt w:val="chineseCounting"/>
      <w:suff w:val="space"/>
      <w:lvlText w:val="%1、"/>
      <w:lvlJc w:val="left"/>
    </w:lvl>
  </w:abstractNum>
  <w:abstractNum w:abstractNumId="3">
    <w:nsid w:val="7D6A3D81"/>
    <w:multiLevelType w:val="singleLevel"/>
    <w:tmpl w:val="7D6A3D81"/>
    <w:lvl w:ilvl="0" w:tentative="0">
      <w:start w:val="1"/>
      <w:numFmt w:val="chineseCounting"/>
      <w:lvlText w:val="(%1)"/>
      <w:lvlJc w:val="left"/>
      <w:pPr>
        <w:tabs>
          <w:tab w:val="left" w:pos="312"/>
        </w:tabs>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NDEyZmRiNzA5YTY3Y2RiMWRiNmUwNWEyMDE0YjYyZmUifQ=="/>
  </w:docVars>
  <w:rsids>
    <w:rsidRoot w:val="0003393A"/>
    <w:rsid w:val="0003393A"/>
    <w:rsid w:val="0011463D"/>
    <w:rsid w:val="001726F0"/>
    <w:rsid w:val="00945FFA"/>
    <w:rsid w:val="00A06989"/>
    <w:rsid w:val="00D9731D"/>
    <w:rsid w:val="00DD544F"/>
    <w:rsid w:val="00F82DA7"/>
    <w:rsid w:val="02594738"/>
    <w:rsid w:val="0F0B7AF7"/>
    <w:rsid w:val="135E5C93"/>
    <w:rsid w:val="18852180"/>
    <w:rsid w:val="2454379E"/>
    <w:rsid w:val="261D7C5E"/>
    <w:rsid w:val="2B865B51"/>
    <w:rsid w:val="32357504"/>
    <w:rsid w:val="32FC7370"/>
    <w:rsid w:val="3AAC1209"/>
    <w:rsid w:val="4C5E6BD1"/>
    <w:rsid w:val="605453AE"/>
    <w:rsid w:val="78EF3EDA"/>
    <w:rsid w:val="7B5F2DBC"/>
    <w:rsid w:val="7D445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5"/>
      <w:szCs w:val="35"/>
    </w:rPr>
  </w:style>
  <w:style w:type="paragraph" w:styleId="3">
    <w:name w:val="footnote text"/>
    <w:basedOn w:val="1"/>
    <w:link w:val="14"/>
    <w:qFormat/>
    <w:uiPriority w:val="0"/>
    <w:pPr>
      <w:widowControl w:val="0"/>
      <w:kinsoku/>
      <w:autoSpaceDE/>
      <w:autoSpaceDN/>
      <w:adjustRightInd/>
      <w:textAlignment w:val="auto"/>
    </w:pPr>
    <w:rPr>
      <w:rFonts w:ascii="Times New Roman" w:hAnsi="Times New Roman" w:eastAsia="宋体" w:cs="Times New Roman"/>
      <w:snapToGrid/>
      <w:color w:val="auto"/>
      <w:kern w:val="2"/>
      <w:sz w:val="18"/>
      <w:szCs w:val="18"/>
      <w:lang w:eastAsia="zh-CN"/>
    </w:rPr>
  </w:style>
  <w:style w:type="paragraph" w:styleId="4">
    <w:name w:val="Normal (Web)"/>
    <w:basedOn w:val="1"/>
    <w:qFormat/>
    <w:uiPriority w:val="0"/>
    <w:rPr>
      <w:rFonts w:ascii="Times New Roman" w:hAnsi="Times New Roman" w:cs="Times New Roman"/>
      <w:sz w:val="24"/>
      <w:szCs w:val="24"/>
    </w:rPr>
  </w:style>
  <w:style w:type="character" w:styleId="7">
    <w:name w:val="Strong"/>
    <w:basedOn w:val="6"/>
    <w:qFormat/>
    <w:uiPriority w:val="0"/>
    <w:rPr>
      <w:b/>
      <w:bCs/>
    </w:rPr>
  </w:style>
  <w:style w:type="table" w:customStyle="1" w:styleId="8">
    <w:name w:val="Table Normal"/>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style>
  <w:style w:type="character" w:customStyle="1" w:styleId="10">
    <w:name w:val="标题 5[858D7CFB-ED40-4347-BF05-701D383B685F]"/>
    <w:qFormat/>
    <w:uiPriority w:val="0"/>
    <w:rPr>
      <w:rFonts w:eastAsia="宋体"/>
      <w:b/>
      <w:bCs/>
      <w:kern w:val="2"/>
      <w:sz w:val="28"/>
      <w:szCs w:val="28"/>
      <w:lang w:val="en-US" w:eastAsia="zh-CN" w:bidi="ar-SA"/>
    </w:rPr>
  </w:style>
  <w:style w:type="character" w:customStyle="1" w:styleId="11">
    <w:name w:val="图名 Char"/>
    <w:link w:val="12"/>
    <w:qFormat/>
    <w:uiPriority w:val="0"/>
    <w:rPr>
      <w:rFonts w:ascii="宋体" w:hAnsi="宋体"/>
      <w:b/>
      <w:sz w:val="21"/>
      <w:szCs w:val="21"/>
    </w:rPr>
  </w:style>
  <w:style w:type="paragraph" w:customStyle="1" w:styleId="12">
    <w:name w:val="图名"/>
    <w:link w:val="11"/>
    <w:qFormat/>
    <w:uiPriority w:val="0"/>
    <w:pPr>
      <w:adjustRightInd w:val="0"/>
      <w:snapToGrid w:val="0"/>
      <w:spacing w:before="93" w:after="156"/>
      <w:jc w:val="center"/>
    </w:pPr>
    <w:rPr>
      <w:rFonts w:ascii="宋体" w:hAnsi="宋体" w:cs="Arial" w:eastAsiaTheme="minorEastAsia"/>
      <w:b/>
      <w:sz w:val="21"/>
      <w:szCs w:val="21"/>
      <w:lang w:val="en-US" w:eastAsia="zh-CN" w:bidi="ar-SA"/>
    </w:rPr>
  </w:style>
  <w:style w:type="paragraph" w:customStyle="1" w:styleId="13">
    <w:name w:val="表格内容"/>
    <w:basedOn w:val="4"/>
    <w:qFormat/>
    <w:uiPriority w:val="0"/>
    <w:pPr>
      <w:kinsoku/>
      <w:autoSpaceDE/>
      <w:autoSpaceDN/>
      <w:adjustRightInd/>
      <w:snapToGrid/>
      <w:jc w:val="center"/>
      <w:textAlignment w:val="auto"/>
    </w:pPr>
    <w:rPr>
      <w:rFonts w:ascii="宋体" w:hAnsi="宋体" w:eastAsia="宋体" w:cs="宋体"/>
      <w:snapToGrid/>
      <w:sz w:val="21"/>
      <w:lang w:eastAsia="zh-CN"/>
    </w:rPr>
  </w:style>
  <w:style w:type="character" w:customStyle="1" w:styleId="14">
    <w:name w:val="脚注文本 字符"/>
    <w:basedOn w:val="6"/>
    <w:link w:val="3"/>
    <w:qFormat/>
    <w:uiPriority w:val="0"/>
    <w:rPr>
      <w:rFonts w:ascii="Times New Roman" w:hAnsi="Times New Roman" w:eastAsia="宋体" w:cs="Times New Roman"/>
      <w:kern w:val="2"/>
      <w:sz w:val="18"/>
      <w:szCs w:val="18"/>
    </w:rPr>
  </w:style>
  <w:style w:type="paragraph" w:customStyle="1" w:styleId="15">
    <w:name w:val="List Paragraph"/>
    <w:basedOn w:val="1"/>
    <w:qFormat/>
    <w:uiPriority w:val="0"/>
    <w:pPr>
      <w:kinsoku/>
      <w:autoSpaceDE/>
      <w:autoSpaceDN/>
      <w:adjustRightInd/>
      <w:snapToGrid/>
      <w:ind w:left="720"/>
      <w:textAlignment w:val="auto"/>
    </w:pPr>
    <w:rPr>
      <w:rFonts w:ascii="Calibri" w:hAnsi="Calibri" w:eastAsia="宋体" w:cs="Times New Roman"/>
      <w:snapToGrid/>
      <w:color w:val="auto"/>
      <w:sz w:val="24"/>
      <w:szCs w:val="24"/>
    </w:rPr>
  </w:style>
  <w:style w:type="paragraph" w:customStyle="1" w:styleId="16">
    <w:name w:val="Table Paragraph"/>
    <w:basedOn w:val="1"/>
    <w:qFormat/>
    <w:uiPriority w:val="1"/>
    <w:pPr>
      <w:widowControl w:val="0"/>
      <w:kinsoku/>
      <w:snapToGrid/>
      <w:textAlignment w:val="auto"/>
    </w:pPr>
    <w:rPr>
      <w:rFonts w:ascii="Times New Roman" w:hAnsi="Times New Roman" w:eastAsia="仿宋_GB2312" w:cs="Times New Roman"/>
      <w:snapToGrid/>
      <w:color w:val="auto"/>
      <w:sz w:val="24"/>
      <w:szCs w:val="24"/>
      <w:lang w:eastAsia="zh-CN"/>
    </w:rPr>
  </w:style>
  <w:style w:type="character" w:customStyle="1" w:styleId="17">
    <w:name w:val="font01"/>
    <w:basedOn w:val="6"/>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4458</Words>
  <Characters>4714</Characters>
  <Lines>26</Lines>
  <Paragraphs>7</Paragraphs>
  <TotalTime>5</TotalTime>
  <ScaleCrop>false</ScaleCrop>
  <LinksUpToDate>false</LinksUpToDate>
  <CharactersWithSpaces>4734</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2024-08-27T04:40:25Z</dcterms:modified>
  <dc:subject>pdfbuilder</dc:subject>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2052-12.1.0.16910</vt:lpwstr>
  </property>
  <property fmtid="{D5CDD505-2E9C-101B-9397-08002B2CF9AE}" pid="6" name="ICV">
    <vt:lpwstr>924C99EF9D084FBB96CD0C7FB3E1FED1_12</vt:lpwstr>
  </property>
</Properties>
</file>