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6" w:lineRule="auto"/>
        <w:rPr>
          <w:rFonts w:ascii="Arial"/>
          <w:sz w:val="21"/>
        </w:rPr>
      </w:pPr>
    </w:p>
    <w:p>
      <w:pPr>
        <w:spacing w:before="75" w:line="219" w:lineRule="auto"/>
        <w:ind w:left="3"/>
        <w:rPr>
          <w:rFonts w:ascii="宋体" w:hAnsi="宋体" w:eastAsia="宋体" w:cs="宋体"/>
          <w:b/>
          <w:bCs/>
          <w:spacing w:val="18"/>
          <w:sz w:val="23"/>
          <w:szCs w:val="23"/>
        </w:rPr>
      </w:pPr>
      <w:r>
        <w:rPr>
          <w:rFonts w:ascii="宋体" w:hAnsi="宋体" w:eastAsia="宋体" w:cs="宋体"/>
          <w:b/>
          <w:bCs/>
          <w:spacing w:val="18"/>
          <w:sz w:val="23"/>
          <w:szCs w:val="23"/>
        </w:rPr>
        <w:t>附件2</w:t>
      </w:r>
    </w:p>
    <w:p>
      <w:pPr>
        <w:spacing w:before="75" w:line="219" w:lineRule="auto"/>
        <w:ind w:left="3"/>
        <w:rPr>
          <w:rFonts w:ascii="宋体" w:hAnsi="宋体" w:eastAsia="宋体" w:cs="宋体"/>
          <w:b/>
          <w:bCs/>
          <w:spacing w:val="18"/>
          <w:sz w:val="23"/>
          <w:szCs w:val="23"/>
        </w:rPr>
      </w:pPr>
    </w:p>
    <w:p>
      <w:pPr>
        <w:spacing w:before="75" w:line="219" w:lineRule="auto"/>
        <w:ind w:left="3"/>
        <w:rPr>
          <w:rFonts w:ascii="宋体" w:hAnsi="宋体" w:eastAsia="宋体" w:cs="宋体"/>
          <w:b/>
          <w:bCs/>
          <w:spacing w:val="18"/>
          <w:sz w:val="23"/>
          <w:szCs w:val="23"/>
        </w:rPr>
      </w:pPr>
    </w:p>
    <w:p>
      <w:pPr>
        <w:spacing w:before="75" w:line="219" w:lineRule="auto"/>
        <w:ind w:left="3"/>
        <w:rPr>
          <w:rFonts w:ascii="宋体" w:hAnsi="宋体" w:eastAsia="宋体" w:cs="宋体"/>
          <w:b/>
          <w:bCs/>
          <w:spacing w:val="18"/>
          <w:sz w:val="23"/>
          <w:szCs w:val="23"/>
        </w:rPr>
      </w:pPr>
    </w:p>
    <w:p>
      <w:pPr>
        <w:spacing w:before="75" w:line="219" w:lineRule="auto"/>
        <w:ind w:left="3"/>
        <w:rPr>
          <w:rFonts w:ascii="宋体" w:hAnsi="宋体" w:eastAsia="宋体" w:cs="宋体"/>
          <w:b/>
          <w:bCs/>
          <w:spacing w:val="18"/>
          <w:sz w:val="23"/>
          <w:szCs w:val="23"/>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5"/>
          <w:rFonts w:hint="eastAsia" w:ascii="楷体" w:hAnsi="楷体" w:eastAsia="楷体"/>
          <w:spacing w:val="-4"/>
          <w:sz w:val="32"/>
          <w:szCs w:val="32"/>
        </w:rPr>
        <w:t>202</w:t>
      </w:r>
      <w:r>
        <w:rPr>
          <w:rStyle w:val="5"/>
          <w:rFonts w:hint="eastAsia" w:ascii="楷体" w:hAnsi="楷体" w:eastAsia="楷体"/>
          <w:spacing w:val="-4"/>
          <w:sz w:val="32"/>
          <w:szCs w:val="32"/>
          <w:lang w:val="en-US" w:eastAsia="zh-CN"/>
        </w:rPr>
        <w:t>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23" w:firstLine="700" w:firstLineChars="200"/>
        <w:jc w:val="left"/>
        <w:textAlignment w:val="baseline"/>
        <w:rPr>
          <w:rFonts w:hint="eastAsia" w:ascii="Arial" w:hAnsi="宋体" w:eastAsia="仿宋_GB2312" w:cs="宋体"/>
          <w:snapToGrid w:val="0"/>
          <w:color w:val="000000"/>
          <w:kern w:val="0"/>
          <w:sz w:val="36"/>
          <w:szCs w:val="36"/>
          <w:lang w:val="en-US" w:eastAsia="zh-CN" w:bidi="ar-SA"/>
        </w:rPr>
      </w:pPr>
      <w:r>
        <w:rPr>
          <w:rFonts w:hint="eastAsia" w:hAnsi="宋体" w:eastAsia="仿宋_GB2312" w:cs="宋体"/>
          <w:kern w:val="0"/>
          <w:sz w:val="36"/>
          <w:szCs w:val="36"/>
        </w:rPr>
        <w:t>项目名称：</w:t>
      </w:r>
      <w:r>
        <w:rPr>
          <w:rFonts w:hint="eastAsia" w:ascii="Arial" w:hAnsi="宋体" w:eastAsia="仿宋_GB2312" w:cs="宋体"/>
          <w:snapToGrid w:val="0"/>
          <w:color w:val="000000"/>
          <w:kern w:val="0"/>
          <w:sz w:val="36"/>
          <w:szCs w:val="36"/>
          <w:lang w:val="en-US" w:eastAsia="zh-CN" w:bidi="ar-SA"/>
        </w:rPr>
        <w:t>新疆精河县三台一带稀有金属、萤石、脉石英矿调查评价</w:t>
      </w:r>
    </w:p>
    <w:p>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23" w:firstLine="700" w:firstLineChars="200"/>
        <w:jc w:val="left"/>
        <w:textAlignment w:val="baseline"/>
        <w:rPr>
          <w:rFonts w:hint="eastAsia" w:ascii="仿宋_GB2312" w:hAnsi="仿宋_GB2312" w:eastAsia="仿宋_GB2312" w:cs="仿宋_GB2312"/>
          <w:spacing w:val="15"/>
          <w:position w:val="23"/>
          <w:sz w:val="32"/>
          <w:szCs w:val="32"/>
        </w:rPr>
      </w:pPr>
    </w:p>
    <w:p>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实施单位（公章）：</w:t>
      </w:r>
      <w:r>
        <w:rPr>
          <w:rFonts w:hint="eastAsia" w:hAnsi="宋体" w:eastAsia="仿宋_GB2312" w:cs="宋体"/>
          <w:kern w:val="0"/>
          <w:sz w:val="36"/>
          <w:szCs w:val="36"/>
          <w:lang w:eastAsia="zh-CN"/>
        </w:rPr>
        <w:t>新疆维吾尔自治区地质调查院</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主管部门（公章）：新疆维吾尔自治区地质矿产勘查开发局</w:t>
      </w:r>
    </w:p>
    <w:p>
      <w:pPr>
        <w:spacing w:line="540" w:lineRule="exact"/>
        <w:ind w:firstLine="900" w:firstLineChars="250"/>
        <w:rPr>
          <w:rFonts w:hint="eastAsia" w:hAnsi="宋体" w:eastAsia="仿宋_GB2312" w:cs="宋体"/>
          <w:kern w:val="0"/>
          <w:sz w:val="36"/>
          <w:szCs w:val="36"/>
          <w:lang w:eastAsia="zh-CN"/>
        </w:rPr>
      </w:pPr>
    </w:p>
    <w:p>
      <w:pPr>
        <w:spacing w:line="540" w:lineRule="exact"/>
        <w:rPr>
          <w:rFonts w:hint="eastAsia" w:hAnsi="宋体" w:eastAsia="仿宋_GB2312" w:cs="宋体"/>
          <w:kern w:val="0"/>
          <w:sz w:val="36"/>
          <w:szCs w:val="36"/>
        </w:rPr>
      </w:pP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范侥</w:t>
      </w:r>
    </w:p>
    <w:p>
      <w:pPr>
        <w:pStyle w:val="3"/>
        <w:rPr>
          <w:rFonts w:hint="eastAsia"/>
          <w:lang w:eastAsia="zh-CN"/>
        </w:rPr>
      </w:pP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lang w:val="en-US" w:eastAsia="zh-CN"/>
        </w:rPr>
        <w:t xml:space="preserve">       </w:t>
      </w:r>
      <w:bookmarkStart w:id="0" w:name="_GoBack"/>
      <w:bookmarkEnd w:id="0"/>
      <w:r>
        <w:rPr>
          <w:rFonts w:hint="eastAsia" w:hAnsi="宋体" w:eastAsia="仿宋_GB2312" w:cs="宋体"/>
          <w:kern w:val="0"/>
          <w:sz w:val="36"/>
          <w:szCs w:val="36"/>
        </w:rPr>
        <w:t>填报时间：202</w:t>
      </w:r>
      <w:r>
        <w:rPr>
          <w:rFonts w:hint="eastAsia" w:hAnsi="宋体" w:eastAsia="仿宋_GB2312" w:cs="宋体"/>
          <w:kern w:val="0"/>
          <w:sz w:val="36"/>
          <w:szCs w:val="36"/>
          <w:lang w:val="en-US" w:eastAsia="zh-CN"/>
        </w:rPr>
        <w:t>4</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3</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7</w:t>
      </w:r>
      <w:r>
        <w:rPr>
          <w:rFonts w:hint="eastAsia" w:hAnsi="宋体" w:eastAsia="仿宋_GB2312" w:cs="宋体"/>
          <w:kern w:val="0"/>
          <w:sz w:val="36"/>
          <w:szCs w:val="36"/>
        </w:rPr>
        <w:t>日</w:t>
      </w:r>
    </w:p>
    <w:p>
      <w:pPr>
        <w:spacing w:line="700" w:lineRule="exact"/>
        <w:jc w:val="left"/>
        <w:rPr>
          <w:rFonts w:hint="eastAsia" w:hAnsi="宋体" w:eastAsia="仿宋_GB2312" w:cs="宋体"/>
          <w:kern w:val="0"/>
          <w:sz w:val="36"/>
          <w:szCs w:val="36"/>
        </w:rPr>
      </w:pPr>
    </w:p>
    <w:p>
      <w:pPr>
        <w:spacing w:line="700" w:lineRule="exact"/>
        <w:jc w:val="left"/>
        <w:rPr>
          <w:rFonts w:hint="eastAsia" w:hAnsi="宋体" w:eastAsia="仿宋_GB2312" w:cs="宋体"/>
          <w:kern w:val="0"/>
          <w:sz w:val="36"/>
          <w:szCs w:val="36"/>
        </w:rPr>
      </w:pPr>
    </w:p>
    <w:p>
      <w:pPr>
        <w:spacing w:line="700" w:lineRule="exact"/>
        <w:jc w:val="left"/>
        <w:rPr>
          <w:rFonts w:hint="eastAsia" w:hAnsi="宋体" w:eastAsia="仿宋_GB2312" w:cs="宋体"/>
          <w:kern w:val="0"/>
          <w:sz w:val="36"/>
          <w:szCs w:val="36"/>
        </w:rPr>
      </w:pPr>
    </w:p>
    <w:p>
      <w:pPr>
        <w:spacing w:line="700" w:lineRule="exact"/>
        <w:jc w:val="left"/>
        <w:rPr>
          <w:rFonts w:hint="eastAsia" w:hAnsi="宋体" w:eastAsia="仿宋_GB2312" w:cs="宋体"/>
          <w:kern w:val="0"/>
          <w:sz w:val="36"/>
          <w:szCs w:val="36"/>
        </w:rPr>
      </w:pPr>
    </w:p>
    <w:p>
      <w:pPr>
        <w:spacing w:line="700" w:lineRule="exact"/>
        <w:jc w:val="left"/>
        <w:rPr>
          <w:rFonts w:hint="eastAsia" w:hAnsi="宋体" w:eastAsia="仿宋_GB2312" w:cs="宋体"/>
          <w:kern w:val="0"/>
          <w:sz w:val="36"/>
          <w:szCs w:val="36"/>
        </w:rPr>
      </w:pPr>
    </w:p>
    <w:p>
      <w:pPr>
        <w:pStyle w:val="2"/>
        <w:spacing w:before="264" w:line="579" w:lineRule="exact"/>
        <w:ind w:left="564"/>
        <w:rPr>
          <w:rFonts w:ascii="黑体" w:hAnsi="黑体" w:eastAsia="黑体" w:cs="黑体"/>
          <w:b/>
          <w:bCs/>
          <w:spacing w:val="3"/>
          <w:position w:val="21"/>
          <w:sz w:val="29"/>
          <w:szCs w:val="29"/>
        </w:rPr>
      </w:pPr>
      <w:r>
        <w:rPr>
          <w:rFonts w:ascii="黑体" w:hAnsi="黑体" w:eastAsia="黑体" w:cs="黑体"/>
          <w:b/>
          <w:bCs/>
          <w:spacing w:val="3"/>
          <w:position w:val="21"/>
          <w:sz w:val="29"/>
          <w:szCs w:val="29"/>
        </w:rPr>
        <w:t>一、基本情况</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firstLine="567"/>
        <w:jc w:val="left"/>
        <w:textAlignment w:val="baseline"/>
        <w:rPr>
          <w:rFonts w:hint="eastAsia" w:ascii="楷体" w:hAnsi="楷体" w:eastAsia="楷体" w:cs="楷体"/>
          <w:color w:val="auto"/>
          <w:spacing w:val="17"/>
          <w:position w:val="23"/>
          <w:sz w:val="32"/>
          <w:szCs w:val="32"/>
          <w:highlight w:val="none"/>
        </w:rPr>
      </w:pPr>
      <w:r>
        <w:rPr>
          <w:rFonts w:hint="eastAsia" w:ascii="楷体" w:hAnsi="楷体" w:eastAsia="楷体" w:cs="楷体"/>
          <w:color w:val="auto"/>
          <w:spacing w:val="17"/>
          <w:position w:val="23"/>
          <w:sz w:val="32"/>
          <w:szCs w:val="32"/>
          <w:highlight w:val="none"/>
        </w:rPr>
        <w:t>(一)项目概况。</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firstLine="688" w:firstLineChars="200"/>
        <w:jc w:val="left"/>
        <w:textAlignment w:val="baseline"/>
        <w:rPr>
          <w:rFonts w:hint="eastAsia" w:ascii="仿宋_GB2312" w:hAnsi="仿宋_GB2312" w:eastAsia="仿宋_GB2312" w:cs="仿宋_GB2312"/>
          <w:spacing w:val="12"/>
          <w:sz w:val="32"/>
          <w:szCs w:val="32"/>
        </w:rPr>
      </w:pPr>
      <w:r>
        <w:rPr>
          <w:rFonts w:hint="eastAsia" w:ascii="仿宋_GB2312" w:hAnsi="仿宋_GB2312" w:eastAsia="仿宋_GB2312" w:cs="仿宋_GB2312"/>
          <w:spacing w:val="12"/>
          <w:sz w:val="32"/>
          <w:szCs w:val="32"/>
          <w:lang w:val="en-US"/>
        </w:rPr>
        <w:t>1</w:t>
      </w:r>
      <w:r>
        <w:rPr>
          <w:rFonts w:hint="eastAsia" w:ascii="仿宋_GB2312" w:hAnsi="仿宋_GB2312" w:eastAsia="仿宋_GB2312" w:cs="仿宋_GB2312"/>
          <w:spacing w:val="12"/>
          <w:sz w:val="32"/>
          <w:szCs w:val="32"/>
          <w:lang w:val="en-US" w:eastAsia="zh-CN"/>
        </w:rPr>
        <w:t>、项</w:t>
      </w:r>
      <w:r>
        <w:rPr>
          <w:rFonts w:hint="eastAsia" w:ascii="仿宋_GB2312" w:hAnsi="仿宋_GB2312" w:eastAsia="仿宋_GB2312" w:cs="仿宋_GB2312"/>
          <w:spacing w:val="12"/>
          <w:sz w:val="32"/>
          <w:szCs w:val="32"/>
        </w:rPr>
        <w:t>目背景</w:t>
      </w:r>
    </w:p>
    <w:p>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23" w:firstLine="700" w:firstLineChars="200"/>
        <w:jc w:val="left"/>
        <w:textAlignment w:val="baseline"/>
        <w:rPr>
          <w:rFonts w:hint="eastAsia" w:ascii="仿宋_GB2312" w:hAnsi="仿宋_GB2312" w:eastAsia="仿宋_GB2312" w:cs="仿宋_GB2312"/>
          <w:spacing w:val="15"/>
          <w:position w:val="23"/>
          <w:sz w:val="32"/>
          <w:szCs w:val="32"/>
        </w:rPr>
      </w:pPr>
      <w:r>
        <w:rPr>
          <w:rFonts w:hint="eastAsia" w:ascii="仿宋_GB2312" w:hAnsi="仿宋_GB2312" w:eastAsia="仿宋_GB2312" w:cs="仿宋_GB2312"/>
          <w:spacing w:val="15"/>
          <w:position w:val="23"/>
          <w:sz w:val="32"/>
          <w:szCs w:val="32"/>
        </w:rPr>
        <w:t>项目名称：新疆精河县三台一带稀有金属、萤石、脉石英矿调查评价</w:t>
      </w:r>
    </w:p>
    <w:p>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23" w:firstLine="700" w:firstLineChars="200"/>
        <w:jc w:val="left"/>
        <w:textAlignment w:val="baseline"/>
        <w:rPr>
          <w:rFonts w:hint="eastAsia" w:ascii="仿宋_GB2312" w:hAnsi="仿宋_GB2312" w:eastAsia="仿宋_GB2312" w:cs="仿宋_GB2312"/>
          <w:spacing w:val="15"/>
          <w:position w:val="23"/>
          <w:sz w:val="32"/>
          <w:szCs w:val="32"/>
        </w:rPr>
      </w:pPr>
      <w:r>
        <w:rPr>
          <w:rFonts w:hint="eastAsia" w:ascii="仿宋_GB2312" w:hAnsi="仿宋_GB2312" w:eastAsia="仿宋_GB2312" w:cs="仿宋_GB2312"/>
          <w:spacing w:val="15"/>
          <w:position w:val="23"/>
          <w:sz w:val="32"/>
          <w:szCs w:val="32"/>
        </w:rPr>
        <w:t>工作周期：2021年5月～2022年5月</w:t>
      </w:r>
    </w:p>
    <w:p>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23" w:firstLine="700" w:firstLineChars="200"/>
        <w:jc w:val="left"/>
        <w:textAlignment w:val="baseline"/>
        <w:rPr>
          <w:rFonts w:hint="eastAsia" w:ascii="仿宋_GB2312" w:hAnsi="仿宋_GB2312" w:eastAsia="仿宋_GB2312" w:cs="仿宋_GB2312"/>
          <w:spacing w:val="15"/>
          <w:position w:val="23"/>
          <w:sz w:val="32"/>
          <w:szCs w:val="32"/>
        </w:rPr>
      </w:pPr>
      <w:r>
        <w:rPr>
          <w:rFonts w:hint="eastAsia" w:ascii="仿宋_GB2312" w:hAnsi="仿宋_GB2312" w:eastAsia="仿宋_GB2312" w:cs="仿宋_GB2312"/>
          <w:spacing w:val="15"/>
          <w:position w:val="23"/>
          <w:sz w:val="32"/>
          <w:szCs w:val="32"/>
          <w:lang w:eastAsia="zh-CN"/>
        </w:rPr>
        <w:t>项目背景：</w:t>
      </w:r>
      <w:r>
        <w:rPr>
          <w:rFonts w:hint="eastAsia" w:ascii="仿宋_GB2312" w:hAnsi="仿宋_GB2312" w:eastAsia="仿宋_GB2312" w:cs="仿宋_GB2312"/>
          <w:spacing w:val="15"/>
          <w:position w:val="23"/>
          <w:sz w:val="32"/>
          <w:szCs w:val="32"/>
        </w:rPr>
        <w:t>《新疆精河县三台一带稀有金属、萤石、脉石英矿调查评价》项目是2021年由新疆维吾尔自治区地质矿产勘查开发局委托新疆维吾尔自治区地质调查院实施的局自筹资金项目。</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firstLine="688" w:firstLineChars="200"/>
        <w:jc w:val="left"/>
        <w:textAlignment w:val="baseline"/>
        <w:rPr>
          <w:rFonts w:hint="eastAsia" w:ascii="仿宋_GB2312" w:hAnsi="仿宋_GB2312" w:eastAsia="仿宋_GB2312" w:cs="仿宋_GB2312"/>
          <w:spacing w:val="12"/>
          <w:sz w:val="32"/>
          <w:szCs w:val="32"/>
          <w:lang w:val="en-US"/>
        </w:rPr>
      </w:pPr>
      <w:r>
        <w:rPr>
          <w:rFonts w:hint="eastAsia" w:ascii="仿宋_GB2312" w:hAnsi="仿宋_GB2312" w:eastAsia="仿宋_GB2312" w:cs="仿宋_GB2312"/>
          <w:spacing w:val="12"/>
          <w:sz w:val="32"/>
          <w:szCs w:val="32"/>
          <w:lang w:val="en-US"/>
        </w:rPr>
        <w:t>2</w:t>
      </w:r>
      <w:r>
        <w:rPr>
          <w:rFonts w:hint="eastAsia" w:ascii="仿宋_GB2312" w:hAnsi="仿宋_GB2312" w:eastAsia="仿宋_GB2312" w:cs="仿宋_GB2312"/>
          <w:spacing w:val="12"/>
          <w:sz w:val="32"/>
          <w:szCs w:val="32"/>
          <w:lang w:val="en-US" w:eastAsia="zh-CN"/>
        </w:rPr>
        <w:t>、</w:t>
      </w:r>
      <w:r>
        <w:rPr>
          <w:rFonts w:hint="eastAsia" w:ascii="仿宋_GB2312" w:hAnsi="仿宋_GB2312" w:eastAsia="仿宋_GB2312" w:cs="仿宋_GB2312"/>
          <w:spacing w:val="12"/>
          <w:sz w:val="32"/>
          <w:szCs w:val="32"/>
          <w:lang w:val="en-US"/>
        </w:rPr>
        <w:t>主要内容及实施情况</w:t>
      </w:r>
    </w:p>
    <w:p>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23" w:firstLine="700" w:firstLineChars="200"/>
        <w:jc w:val="left"/>
        <w:textAlignment w:val="baseline"/>
        <w:rPr>
          <w:rFonts w:hint="eastAsia" w:ascii="仿宋_GB2312" w:hAnsi="仿宋_GB2312" w:eastAsia="仿宋_GB2312" w:cs="仿宋_GB2312"/>
          <w:spacing w:val="15"/>
          <w:position w:val="23"/>
          <w:sz w:val="32"/>
          <w:szCs w:val="32"/>
          <w:lang w:val="en-US" w:eastAsia="zh-CN"/>
        </w:rPr>
      </w:pPr>
      <w:r>
        <w:rPr>
          <w:rFonts w:hint="eastAsia" w:ascii="仿宋_GB2312" w:hAnsi="仿宋_GB2312" w:eastAsia="仿宋_GB2312" w:cs="仿宋_GB2312"/>
          <w:spacing w:val="15"/>
          <w:position w:val="23"/>
          <w:sz w:val="32"/>
          <w:szCs w:val="32"/>
          <w:lang w:val="en-US" w:eastAsia="zh-CN"/>
        </w:rPr>
        <w:t>主要内容：</w:t>
      </w:r>
    </w:p>
    <w:p>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23" w:firstLine="700" w:firstLineChars="200"/>
        <w:jc w:val="left"/>
        <w:textAlignment w:val="baseline"/>
        <w:rPr>
          <w:rFonts w:hint="eastAsia" w:ascii="仿宋_GB2312" w:hAnsi="仿宋_GB2312" w:eastAsia="仿宋_GB2312" w:cs="仿宋_GB2312"/>
          <w:spacing w:val="15"/>
          <w:position w:val="23"/>
          <w:sz w:val="32"/>
          <w:szCs w:val="32"/>
        </w:rPr>
      </w:pPr>
      <w:r>
        <w:rPr>
          <w:rFonts w:hint="eastAsia" w:ascii="仿宋_GB2312" w:hAnsi="仿宋_GB2312" w:eastAsia="仿宋_GB2312" w:cs="仿宋_GB2312"/>
          <w:spacing w:val="15"/>
          <w:position w:val="23"/>
          <w:sz w:val="32"/>
          <w:szCs w:val="32"/>
          <w:lang w:val="en-US"/>
        </w:rPr>
        <w:t>(1)</w:t>
      </w:r>
      <w:r>
        <w:rPr>
          <w:rFonts w:hint="eastAsia" w:ascii="仿宋_GB2312" w:hAnsi="仿宋_GB2312" w:eastAsia="仿宋_GB2312" w:cs="仿宋_GB2312"/>
          <w:spacing w:val="15"/>
          <w:position w:val="23"/>
          <w:sz w:val="32"/>
          <w:szCs w:val="32"/>
        </w:rPr>
        <w:t>在</w:t>
      </w:r>
      <w:r>
        <w:rPr>
          <w:rFonts w:hint="eastAsia" w:ascii="仿宋_GB2312" w:hAnsi="仿宋_GB2312" w:eastAsia="仿宋_GB2312" w:cs="仿宋_GB2312"/>
          <w:spacing w:val="15"/>
          <w:position w:val="23"/>
          <w:sz w:val="32"/>
          <w:szCs w:val="32"/>
          <w:lang w:eastAsia="zh-CN"/>
        </w:rPr>
        <w:t>工作区</w:t>
      </w:r>
      <w:r>
        <w:rPr>
          <w:rFonts w:hint="eastAsia" w:ascii="仿宋_GB2312" w:hAnsi="仿宋_GB2312" w:eastAsia="仿宋_GB2312" w:cs="仿宋_GB2312"/>
          <w:spacing w:val="15"/>
          <w:position w:val="23"/>
          <w:sz w:val="32"/>
          <w:szCs w:val="32"/>
        </w:rPr>
        <w:t>全区开展1∶1万遥感解译，提取并基本查清主要含矿地质体和目标矿物蚀变信息特征，圈定异常，为找矿提供重要依据。</w:t>
      </w:r>
    </w:p>
    <w:p>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23" w:firstLine="700" w:firstLineChars="200"/>
        <w:jc w:val="left"/>
        <w:textAlignment w:val="baseline"/>
        <w:rPr>
          <w:rFonts w:hint="eastAsia" w:ascii="仿宋_GB2312" w:hAnsi="仿宋_GB2312" w:eastAsia="仿宋_GB2312" w:cs="仿宋_GB2312"/>
          <w:spacing w:val="15"/>
          <w:position w:val="23"/>
          <w:sz w:val="32"/>
          <w:szCs w:val="32"/>
        </w:rPr>
      </w:pPr>
      <w:r>
        <w:rPr>
          <w:rFonts w:hint="eastAsia" w:ascii="仿宋_GB2312" w:hAnsi="仿宋_GB2312" w:eastAsia="仿宋_GB2312" w:cs="仿宋_GB2312"/>
          <w:spacing w:val="15"/>
          <w:position w:val="23"/>
          <w:sz w:val="32"/>
          <w:szCs w:val="32"/>
          <w:lang w:val="en-US"/>
        </w:rPr>
        <w:t>(2)</w:t>
      </w:r>
      <w:r>
        <w:rPr>
          <w:rFonts w:hint="eastAsia" w:ascii="仿宋_GB2312" w:hAnsi="仿宋_GB2312" w:eastAsia="仿宋_GB2312" w:cs="仿宋_GB2312"/>
          <w:spacing w:val="15"/>
          <w:position w:val="23"/>
          <w:sz w:val="32"/>
          <w:szCs w:val="32"/>
        </w:rPr>
        <w:t>采用路线地质调查、遥感蚀变信息解译、1∶1万地化剖面测量等手段，对调查区以Be、Li、F为主的化探异常进行查证，寻找异常源和矿化蚀变带。</w:t>
      </w:r>
    </w:p>
    <w:p>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23" w:firstLine="700" w:firstLineChars="200"/>
        <w:jc w:val="left"/>
        <w:textAlignment w:val="baseline"/>
        <w:rPr>
          <w:rFonts w:hint="eastAsia" w:ascii="仿宋_GB2312" w:hAnsi="仿宋_GB2312" w:eastAsia="仿宋_GB2312" w:cs="仿宋_GB2312"/>
          <w:spacing w:val="15"/>
          <w:position w:val="23"/>
          <w:sz w:val="32"/>
          <w:szCs w:val="32"/>
        </w:rPr>
      </w:pPr>
      <w:r>
        <w:rPr>
          <w:rFonts w:hint="eastAsia" w:ascii="仿宋_GB2312" w:hAnsi="仿宋_GB2312" w:eastAsia="仿宋_GB2312" w:cs="仿宋_GB2312"/>
          <w:spacing w:val="15"/>
          <w:position w:val="23"/>
          <w:sz w:val="32"/>
          <w:szCs w:val="32"/>
          <w:lang w:val="en-US"/>
        </w:rPr>
        <w:t>(3)</w:t>
      </w:r>
      <w:r>
        <w:rPr>
          <w:rFonts w:hint="eastAsia" w:ascii="仿宋_GB2312" w:hAnsi="仿宋_GB2312" w:eastAsia="仿宋_GB2312" w:cs="仿宋_GB2312"/>
          <w:spacing w:val="15"/>
          <w:position w:val="23"/>
          <w:sz w:val="32"/>
          <w:szCs w:val="32"/>
        </w:rPr>
        <w:t>采用大比例尺地质草测、采样测试等手段，大致查明区已有和新发现的稀有金属矿、萤石矿、高纯石英矿的矿化（蚀变）带的空间展布、规模、矿化等特征。</w:t>
      </w:r>
    </w:p>
    <w:p>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23" w:firstLine="700" w:firstLineChars="200"/>
        <w:jc w:val="left"/>
        <w:textAlignment w:val="baseline"/>
        <w:rPr>
          <w:rFonts w:hint="eastAsia" w:ascii="仿宋_GB2312" w:hAnsi="仿宋_GB2312" w:eastAsia="仿宋_GB2312" w:cs="仿宋_GB2312"/>
          <w:spacing w:val="15"/>
          <w:position w:val="23"/>
          <w:sz w:val="32"/>
          <w:szCs w:val="32"/>
        </w:rPr>
      </w:pPr>
      <w:r>
        <w:rPr>
          <w:rFonts w:hint="eastAsia" w:ascii="仿宋_GB2312" w:hAnsi="仿宋_GB2312" w:eastAsia="仿宋_GB2312" w:cs="仿宋_GB2312"/>
          <w:spacing w:val="15"/>
          <w:position w:val="23"/>
          <w:sz w:val="32"/>
          <w:szCs w:val="32"/>
          <w:lang w:val="en-US"/>
        </w:rPr>
        <w:t>(4)</w:t>
      </w:r>
      <w:r>
        <w:rPr>
          <w:rFonts w:hint="eastAsia" w:ascii="仿宋_GB2312" w:hAnsi="仿宋_GB2312" w:eastAsia="仿宋_GB2312" w:cs="仿宋_GB2312"/>
          <w:spacing w:val="15"/>
          <w:position w:val="23"/>
          <w:sz w:val="32"/>
          <w:szCs w:val="32"/>
        </w:rPr>
        <w:t>对调查区稀有金属矿、萤石矿、高纯石英矿等矿产资源潜力作出初步评价，提出下步勘查建议。</w:t>
      </w:r>
    </w:p>
    <w:p>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23" w:firstLine="700" w:firstLineChars="200"/>
        <w:jc w:val="left"/>
        <w:textAlignment w:val="baseline"/>
        <w:rPr>
          <w:rFonts w:hint="eastAsia" w:ascii="仿宋_GB2312" w:hAnsi="仿宋_GB2312" w:eastAsia="仿宋_GB2312" w:cs="仿宋_GB2312"/>
          <w:spacing w:val="15"/>
          <w:position w:val="23"/>
          <w:sz w:val="32"/>
          <w:szCs w:val="32"/>
          <w:lang w:eastAsia="zh-CN"/>
        </w:rPr>
      </w:pPr>
      <w:r>
        <w:rPr>
          <w:rFonts w:hint="eastAsia" w:ascii="仿宋_GB2312" w:hAnsi="仿宋_GB2312" w:eastAsia="仿宋_GB2312" w:cs="仿宋_GB2312"/>
          <w:spacing w:val="15"/>
          <w:position w:val="23"/>
          <w:sz w:val="32"/>
          <w:szCs w:val="32"/>
          <w:lang w:eastAsia="zh-CN"/>
        </w:rPr>
        <w:t>实施情况：</w:t>
      </w:r>
    </w:p>
    <w:p>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23" w:firstLine="700" w:firstLineChars="200"/>
        <w:jc w:val="left"/>
        <w:textAlignment w:val="baseline"/>
        <w:rPr>
          <w:rFonts w:hint="eastAsia" w:ascii="仿宋_GB2312" w:hAnsi="仿宋_GB2312" w:eastAsia="仿宋_GB2312" w:cs="仿宋_GB2312"/>
          <w:spacing w:val="15"/>
          <w:position w:val="23"/>
          <w:sz w:val="32"/>
          <w:szCs w:val="32"/>
        </w:rPr>
      </w:pPr>
      <w:r>
        <w:rPr>
          <w:rFonts w:hint="eastAsia" w:ascii="仿宋_GB2312" w:hAnsi="仿宋_GB2312" w:eastAsia="仿宋_GB2312" w:cs="仿宋_GB2312"/>
          <w:spacing w:val="15"/>
          <w:position w:val="23"/>
          <w:sz w:val="32"/>
          <w:szCs w:val="32"/>
        </w:rPr>
        <w:t>该项目为新开项目，根据任务书、设计书要求，较合理的部署了各项工作，设计执行情况总体良好。主要采用了大比例尺地质草测、1∶1万遥感解译及蚀变信息提取和1∶1万地化剖面测量等工作手段，对喀拉达坂铜多金属找矿靶区、喀拉他乌稀有金属找矿靶区、翁古尔阔腊萤石、脉石英找矿靶区和伊北榆树沟铜找矿靶区等进行了评价。</w:t>
      </w:r>
    </w:p>
    <w:p>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23" w:firstLine="700" w:firstLineChars="200"/>
        <w:jc w:val="left"/>
        <w:textAlignment w:val="baseline"/>
        <w:rPr>
          <w:rFonts w:hint="eastAsia" w:ascii="仿宋_GB2312" w:hAnsi="仿宋_GB2312" w:eastAsia="仿宋_GB2312" w:cs="仿宋_GB2312"/>
          <w:spacing w:val="15"/>
          <w:position w:val="23"/>
          <w:sz w:val="32"/>
          <w:szCs w:val="32"/>
        </w:rPr>
      </w:pPr>
      <w:r>
        <w:rPr>
          <w:rFonts w:hint="eastAsia" w:ascii="仿宋_GB2312" w:hAnsi="仿宋_GB2312" w:eastAsia="仿宋_GB2312" w:cs="仿宋_GB2312"/>
          <w:spacing w:val="15"/>
          <w:position w:val="23"/>
          <w:sz w:val="32"/>
          <w:szCs w:val="32"/>
        </w:rPr>
        <w:t>已完成各项工作，均较好地执行了设计及设计审查意见，总体工作部署基本合理。</w:t>
      </w:r>
    </w:p>
    <w:p>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23" w:firstLine="700" w:firstLineChars="200"/>
        <w:jc w:val="left"/>
        <w:textAlignment w:val="baseline"/>
        <w:rPr>
          <w:rFonts w:hint="eastAsia" w:ascii="仿宋_GB2312" w:hAnsi="仿宋_GB2312" w:eastAsia="仿宋_GB2312" w:cs="仿宋_GB2312"/>
          <w:spacing w:val="15"/>
          <w:position w:val="23"/>
          <w:sz w:val="32"/>
          <w:szCs w:val="32"/>
          <w:lang w:val="en-US" w:eastAsia="zh-CN"/>
        </w:rPr>
      </w:pPr>
      <w:r>
        <w:rPr>
          <w:rFonts w:hint="eastAsia" w:ascii="仿宋_GB2312" w:hAnsi="仿宋_GB2312" w:eastAsia="仿宋_GB2312" w:cs="仿宋_GB2312"/>
          <w:spacing w:val="15"/>
          <w:position w:val="23"/>
          <w:sz w:val="32"/>
          <w:szCs w:val="32"/>
        </w:rPr>
        <w:t>资金投入和使用情况</w:t>
      </w:r>
      <w:r>
        <w:rPr>
          <w:rFonts w:hint="eastAsia" w:ascii="仿宋_GB2312" w:hAnsi="仿宋_GB2312" w:eastAsia="仿宋_GB2312" w:cs="仿宋_GB2312"/>
          <w:spacing w:val="15"/>
          <w:position w:val="23"/>
          <w:sz w:val="32"/>
          <w:szCs w:val="32"/>
          <w:lang w:eastAsia="zh-CN"/>
        </w:rPr>
        <w:t>：</w:t>
      </w:r>
      <w:r>
        <w:rPr>
          <w:rFonts w:hint="eastAsia" w:ascii="仿宋_GB2312" w:hAnsi="仿宋_GB2312" w:eastAsia="仿宋_GB2312" w:cs="仿宋_GB2312"/>
          <w:spacing w:val="15"/>
          <w:position w:val="23"/>
          <w:sz w:val="32"/>
          <w:szCs w:val="32"/>
        </w:rPr>
        <w:t>本项目预算金额</w:t>
      </w:r>
      <w:r>
        <w:rPr>
          <w:rFonts w:hint="eastAsia" w:ascii="仿宋_GB2312" w:hAnsi="仿宋_GB2312" w:eastAsia="仿宋_GB2312" w:cs="仿宋_GB2312"/>
          <w:spacing w:val="15"/>
          <w:position w:val="23"/>
          <w:sz w:val="32"/>
          <w:szCs w:val="32"/>
          <w:lang w:val="en-US" w:eastAsia="zh-CN"/>
        </w:rPr>
        <w:t>39</w:t>
      </w:r>
      <w:r>
        <w:rPr>
          <w:rFonts w:hint="eastAsia" w:ascii="仿宋_GB2312" w:hAnsi="仿宋_GB2312" w:eastAsia="仿宋_GB2312" w:cs="仿宋_GB2312"/>
          <w:spacing w:val="15"/>
          <w:position w:val="23"/>
          <w:sz w:val="32"/>
          <w:szCs w:val="32"/>
        </w:rPr>
        <w:t>万元，</w:t>
      </w:r>
      <w:r>
        <w:rPr>
          <w:rFonts w:hint="eastAsia" w:ascii="仿宋_GB2312" w:hAnsi="仿宋_GB2312" w:eastAsia="仿宋_GB2312" w:cs="仿宋_GB2312"/>
          <w:spacing w:val="15"/>
          <w:position w:val="23"/>
          <w:sz w:val="32"/>
          <w:szCs w:val="32"/>
          <w:lang w:eastAsia="zh-CN"/>
        </w:rPr>
        <w:t>本年拨款</w:t>
      </w:r>
      <w:r>
        <w:rPr>
          <w:rFonts w:hint="eastAsia" w:ascii="仿宋_GB2312" w:hAnsi="仿宋_GB2312" w:eastAsia="仿宋_GB2312" w:cs="仿宋_GB2312"/>
          <w:spacing w:val="15"/>
          <w:position w:val="23"/>
          <w:sz w:val="32"/>
          <w:szCs w:val="32"/>
          <w:lang w:val="en-US" w:eastAsia="zh-CN"/>
        </w:rPr>
        <w:t>39万元，</w:t>
      </w:r>
      <w:r>
        <w:rPr>
          <w:rFonts w:hint="eastAsia" w:ascii="仿宋_GB2312" w:hAnsi="仿宋_GB2312" w:eastAsia="仿宋_GB2312" w:cs="仿宋_GB2312"/>
          <w:spacing w:val="15"/>
          <w:position w:val="23"/>
          <w:sz w:val="32"/>
          <w:szCs w:val="32"/>
        </w:rPr>
        <w:t>实际投入资金</w:t>
      </w:r>
      <w:r>
        <w:rPr>
          <w:rFonts w:hint="eastAsia" w:ascii="仿宋_GB2312" w:hAnsi="仿宋_GB2312" w:eastAsia="仿宋_GB2312" w:cs="仿宋_GB2312"/>
          <w:spacing w:val="15"/>
          <w:position w:val="23"/>
          <w:sz w:val="32"/>
          <w:szCs w:val="32"/>
          <w:lang w:val="en-US" w:eastAsia="zh-CN"/>
        </w:rPr>
        <w:t>39</w:t>
      </w:r>
      <w:r>
        <w:rPr>
          <w:rFonts w:hint="eastAsia" w:ascii="仿宋_GB2312" w:hAnsi="仿宋_GB2312" w:eastAsia="仿宋_GB2312" w:cs="仿宋_GB2312"/>
          <w:spacing w:val="15"/>
          <w:position w:val="23"/>
          <w:sz w:val="32"/>
          <w:szCs w:val="32"/>
        </w:rPr>
        <w:t>万元</w:t>
      </w:r>
      <w:r>
        <w:rPr>
          <w:rFonts w:hint="eastAsia" w:ascii="仿宋_GB2312" w:hAnsi="仿宋_GB2312" w:eastAsia="仿宋_GB2312" w:cs="仿宋_GB2312"/>
          <w:spacing w:val="15"/>
          <w:position w:val="23"/>
          <w:sz w:val="32"/>
          <w:szCs w:val="32"/>
          <w:lang w:eastAsia="zh-CN"/>
        </w:rPr>
        <w:t>，</w:t>
      </w:r>
      <w:r>
        <w:rPr>
          <w:rFonts w:hint="eastAsia" w:ascii="仿宋_GB2312" w:hAnsi="仿宋_GB2312" w:eastAsia="仿宋_GB2312" w:cs="仿宋_GB2312"/>
          <w:spacing w:val="15"/>
          <w:position w:val="23"/>
          <w:sz w:val="32"/>
          <w:szCs w:val="32"/>
          <w:lang w:val="en-US" w:eastAsia="zh-CN"/>
        </w:rPr>
        <w:t>预算执行率100%。</w:t>
      </w:r>
    </w:p>
    <w:p>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23" w:firstLine="700" w:firstLineChars="200"/>
        <w:jc w:val="left"/>
        <w:textAlignment w:val="baseline"/>
        <w:rPr>
          <w:rFonts w:hint="eastAsia" w:ascii="仿宋_GB2312" w:hAnsi="仿宋_GB2312" w:eastAsia="仿宋_GB2312" w:cs="仿宋_GB2312"/>
          <w:spacing w:val="15"/>
          <w:position w:val="23"/>
          <w:sz w:val="32"/>
          <w:szCs w:val="32"/>
        </w:rPr>
      </w:pPr>
      <w:r>
        <w:rPr>
          <w:rFonts w:hint="eastAsia" w:ascii="仿宋_GB2312" w:hAnsi="仿宋_GB2312" w:eastAsia="仿宋_GB2312" w:cs="仿宋_GB2312"/>
          <w:spacing w:val="15"/>
          <w:position w:val="23"/>
          <w:sz w:val="32"/>
          <w:szCs w:val="32"/>
        </w:rPr>
        <w:t>(二)项目绩效目标。</w:t>
      </w:r>
    </w:p>
    <w:p>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23" w:firstLine="700" w:firstLineChars="200"/>
        <w:jc w:val="left"/>
        <w:textAlignment w:val="baseline"/>
        <w:rPr>
          <w:rFonts w:hint="eastAsia" w:ascii="仿宋_GB2312" w:hAnsi="仿宋_GB2312" w:eastAsia="仿宋_GB2312" w:cs="仿宋_GB2312"/>
          <w:spacing w:val="15"/>
          <w:position w:val="23"/>
          <w:sz w:val="32"/>
          <w:szCs w:val="32"/>
        </w:rPr>
      </w:pPr>
      <w:r>
        <w:rPr>
          <w:rFonts w:hint="eastAsia" w:ascii="仿宋_GB2312" w:hAnsi="仿宋_GB2312" w:eastAsia="仿宋_GB2312" w:cs="仿宋_GB2312"/>
          <w:spacing w:val="15"/>
          <w:position w:val="23"/>
          <w:sz w:val="32"/>
          <w:szCs w:val="32"/>
        </w:rPr>
        <w:t>总体目标</w:t>
      </w:r>
      <w:r>
        <w:rPr>
          <w:rFonts w:hint="eastAsia" w:ascii="仿宋_GB2312" w:hAnsi="仿宋_GB2312" w:eastAsia="仿宋_GB2312" w:cs="仿宋_GB2312"/>
          <w:spacing w:val="15"/>
          <w:position w:val="23"/>
          <w:sz w:val="32"/>
          <w:szCs w:val="32"/>
          <w:lang w:eastAsia="zh-CN"/>
        </w:rPr>
        <w:t>：</w:t>
      </w:r>
      <w:r>
        <w:rPr>
          <w:rFonts w:hint="eastAsia" w:ascii="仿宋_GB2312" w:hAnsi="仿宋_GB2312" w:eastAsia="仿宋_GB2312" w:cs="仿宋_GB2312"/>
          <w:spacing w:val="15"/>
          <w:position w:val="23"/>
          <w:sz w:val="32"/>
          <w:szCs w:val="32"/>
        </w:rPr>
        <w:t>在充分收集、研究以往地、物、化、遥及矿产等成果资料的基础上，以稀有金属、萤石矿为主攻目标，兼顾高纯石英，筛选成矿有利地段，采用地、物、化等综合手段，对三台一带稀有金属、萤石、脉石英矿等矿产进行调查评价，为下步勘查提供依据。</w:t>
      </w:r>
    </w:p>
    <w:p>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23" w:firstLine="700" w:firstLineChars="200"/>
        <w:jc w:val="left"/>
        <w:textAlignment w:val="baseline"/>
        <w:rPr>
          <w:rFonts w:hint="eastAsia" w:ascii="仿宋_GB2312" w:hAnsi="仿宋_GB2312" w:eastAsia="仿宋_GB2312" w:cs="仿宋_GB2312"/>
          <w:spacing w:val="15"/>
          <w:position w:val="23"/>
          <w:sz w:val="32"/>
          <w:szCs w:val="32"/>
        </w:rPr>
      </w:pPr>
      <w:r>
        <w:rPr>
          <w:rFonts w:hint="eastAsia" w:ascii="仿宋_GB2312" w:hAnsi="仿宋_GB2312" w:eastAsia="仿宋_GB2312" w:cs="仿宋_GB2312"/>
          <w:spacing w:val="15"/>
          <w:position w:val="23"/>
          <w:sz w:val="32"/>
          <w:szCs w:val="32"/>
        </w:rPr>
        <w:t>阶段性目标</w:t>
      </w:r>
      <w:r>
        <w:rPr>
          <w:rFonts w:hint="eastAsia" w:ascii="仿宋_GB2312" w:hAnsi="仿宋_GB2312" w:eastAsia="仿宋_GB2312" w:cs="仿宋_GB2312"/>
          <w:spacing w:val="15"/>
          <w:position w:val="23"/>
          <w:sz w:val="32"/>
          <w:szCs w:val="32"/>
          <w:lang w:eastAsia="zh-CN"/>
        </w:rPr>
        <w:t>：</w:t>
      </w:r>
      <w:r>
        <w:rPr>
          <w:rFonts w:hint="eastAsia" w:ascii="仿宋_GB2312" w:hAnsi="仿宋_GB2312" w:eastAsia="仿宋_GB2312" w:cs="仿宋_GB2312"/>
          <w:spacing w:val="15"/>
          <w:position w:val="23"/>
          <w:sz w:val="32"/>
          <w:szCs w:val="32"/>
        </w:rPr>
        <w:t>1、在全区开展1∶1万遥感解译，提取并基本查清主要含矿地质体和目标矿物蚀变信息特征，圈定异常，为找矿提供重要依据。</w:t>
      </w:r>
    </w:p>
    <w:p>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23" w:firstLine="700" w:firstLineChars="200"/>
        <w:jc w:val="left"/>
        <w:textAlignment w:val="baseline"/>
        <w:rPr>
          <w:rFonts w:hint="eastAsia" w:ascii="仿宋_GB2312" w:hAnsi="仿宋_GB2312" w:eastAsia="仿宋_GB2312" w:cs="仿宋_GB2312"/>
          <w:spacing w:val="15"/>
          <w:position w:val="23"/>
          <w:sz w:val="32"/>
          <w:szCs w:val="32"/>
        </w:rPr>
      </w:pPr>
      <w:r>
        <w:rPr>
          <w:rFonts w:hint="eastAsia" w:ascii="仿宋_GB2312" w:hAnsi="仿宋_GB2312" w:eastAsia="仿宋_GB2312" w:cs="仿宋_GB2312"/>
          <w:spacing w:val="15"/>
          <w:position w:val="23"/>
          <w:sz w:val="32"/>
          <w:szCs w:val="32"/>
        </w:rPr>
        <w:t>2、采用路线地质调查、遥感蚀变信息解译、1∶1万地化剖面测量等手段，对调查区以Be、Li、F为主的化探异常进行查证，寻找异常源和矿化蚀变带。</w:t>
      </w:r>
    </w:p>
    <w:p>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23" w:firstLine="700" w:firstLineChars="200"/>
        <w:jc w:val="left"/>
        <w:textAlignment w:val="baseline"/>
        <w:rPr>
          <w:rFonts w:hint="eastAsia" w:ascii="仿宋_GB2312" w:hAnsi="仿宋_GB2312" w:eastAsia="仿宋_GB2312" w:cs="仿宋_GB2312"/>
          <w:spacing w:val="15"/>
          <w:position w:val="23"/>
          <w:sz w:val="32"/>
          <w:szCs w:val="32"/>
        </w:rPr>
      </w:pPr>
      <w:r>
        <w:rPr>
          <w:rFonts w:hint="eastAsia" w:ascii="仿宋_GB2312" w:hAnsi="仿宋_GB2312" w:eastAsia="仿宋_GB2312" w:cs="仿宋_GB2312"/>
          <w:spacing w:val="15"/>
          <w:position w:val="23"/>
          <w:sz w:val="32"/>
          <w:szCs w:val="32"/>
        </w:rPr>
        <w:t>3、采用大比例尺地质草测、采样测试等手段，大致查明区已有和新发现的稀有金属矿、萤石矿、高纯石英矿的矿化（蚀变）带的空间展布、规模、矿化等特征。</w:t>
      </w:r>
    </w:p>
    <w:p>
      <w:pPr>
        <w:pStyle w:val="2"/>
        <w:keepNext w:val="0"/>
        <w:keepLines w:val="0"/>
        <w:pageBreakBefore w:val="0"/>
        <w:widowControl/>
        <w:kinsoku w:val="0"/>
        <w:wordWrap/>
        <w:overflowPunct/>
        <w:topLinePunct w:val="0"/>
        <w:autoSpaceDE w:val="0"/>
        <w:autoSpaceDN w:val="0"/>
        <w:bidi w:val="0"/>
        <w:adjustRightInd w:val="0"/>
        <w:snapToGrid w:val="0"/>
        <w:spacing w:line="600" w:lineRule="exact"/>
        <w:ind w:left="0" w:right="23" w:firstLine="700" w:firstLineChars="200"/>
        <w:jc w:val="left"/>
        <w:textAlignment w:val="baseline"/>
        <w:rPr>
          <w:rFonts w:hint="eastAsia" w:ascii="仿宋_GB2312" w:hAnsi="仿宋_GB2312" w:eastAsia="仿宋_GB2312" w:cs="仿宋_GB2312"/>
          <w:spacing w:val="15"/>
          <w:position w:val="23"/>
          <w:sz w:val="32"/>
          <w:szCs w:val="32"/>
        </w:rPr>
      </w:pPr>
      <w:r>
        <w:rPr>
          <w:rFonts w:hint="eastAsia" w:ascii="仿宋_GB2312" w:hAnsi="仿宋_GB2312" w:eastAsia="仿宋_GB2312" w:cs="仿宋_GB2312"/>
          <w:spacing w:val="15"/>
          <w:position w:val="23"/>
          <w:sz w:val="32"/>
          <w:szCs w:val="32"/>
        </w:rPr>
        <w:t>4、对调查区稀有金属矿、萤石矿、高纯石英矿等矿产资源潜力作出初步评价，提出下步勘查建议。</w:t>
      </w:r>
    </w:p>
    <w:p>
      <w:pPr>
        <w:pStyle w:val="2"/>
        <w:spacing w:before="264" w:line="579" w:lineRule="exact"/>
        <w:ind w:left="564"/>
        <w:jc w:val="left"/>
        <w:rPr>
          <w:rFonts w:hint="eastAsia" w:ascii="仿宋_GB2312" w:hAnsi="仿宋_GB2312" w:eastAsia="仿宋_GB2312" w:cs="仿宋_GB2312"/>
          <w:b/>
          <w:bCs/>
          <w:spacing w:val="3"/>
          <w:position w:val="21"/>
          <w:sz w:val="32"/>
          <w:szCs w:val="32"/>
        </w:rPr>
      </w:pPr>
      <w:r>
        <w:rPr>
          <w:rFonts w:hint="eastAsia" w:ascii="仿宋_GB2312" w:hAnsi="仿宋_GB2312" w:eastAsia="仿宋_GB2312" w:cs="仿宋_GB2312"/>
          <w:b/>
          <w:bCs/>
          <w:spacing w:val="3"/>
          <w:position w:val="21"/>
          <w:sz w:val="32"/>
          <w:szCs w:val="32"/>
        </w:rPr>
        <w:t>二 、绩效评价工作开展情况</w:t>
      </w:r>
    </w:p>
    <w:p>
      <w:pPr>
        <w:pStyle w:val="2"/>
        <w:numPr>
          <w:ilvl w:val="0"/>
          <w:numId w:val="1"/>
        </w:numPr>
        <w:spacing w:beforeLines="0" w:afterLines="0" w:line="560" w:lineRule="exact"/>
        <w:ind w:firstLine="688" w:firstLineChars="200"/>
        <w:rPr>
          <w:rFonts w:hint="eastAsia"/>
          <w:spacing w:val="12"/>
          <w:sz w:val="32"/>
          <w:szCs w:val="32"/>
        </w:rPr>
      </w:pPr>
      <w:r>
        <w:rPr>
          <w:rFonts w:hint="eastAsia"/>
          <w:spacing w:val="12"/>
          <w:sz w:val="32"/>
          <w:szCs w:val="32"/>
        </w:rPr>
        <w:t>绩效评价目的、对象和范围。</w:t>
      </w:r>
    </w:p>
    <w:p>
      <w:pPr>
        <w:pStyle w:val="2"/>
        <w:numPr>
          <w:ilvl w:val="0"/>
          <w:numId w:val="0"/>
        </w:numPr>
        <w:spacing w:beforeLines="0" w:afterLines="0" w:line="560" w:lineRule="exact"/>
        <w:ind w:firstLine="688" w:firstLineChars="200"/>
        <w:rPr>
          <w:rFonts w:hint="eastAsia"/>
          <w:spacing w:val="12"/>
          <w:sz w:val="32"/>
          <w:szCs w:val="32"/>
        </w:rPr>
      </w:pPr>
      <w:r>
        <w:rPr>
          <w:rFonts w:hint="eastAsia"/>
          <w:spacing w:val="12"/>
          <w:sz w:val="32"/>
          <w:szCs w:val="32"/>
        </w:rPr>
        <w:t>1、绩效评价目的：为全面实施预算绩效管理，建立科学、合理的项目支出绩效评价管理体系，提高财政资源配置效率和使用效益，依据设定的绩效目标，对项目支出的经济性、效率性、效益性和公平性进行客观、公正的测量、分析和评判。</w:t>
      </w:r>
    </w:p>
    <w:p>
      <w:pPr>
        <w:pStyle w:val="2"/>
        <w:numPr>
          <w:ilvl w:val="0"/>
          <w:numId w:val="0"/>
        </w:numPr>
        <w:spacing w:beforeLines="0" w:afterLines="0" w:line="560" w:lineRule="exact"/>
        <w:ind w:firstLine="688" w:firstLineChars="200"/>
        <w:rPr>
          <w:rFonts w:hint="eastAsia"/>
          <w:spacing w:val="12"/>
          <w:sz w:val="32"/>
          <w:szCs w:val="32"/>
        </w:rPr>
      </w:pPr>
      <w:r>
        <w:rPr>
          <w:rFonts w:hint="eastAsia"/>
          <w:spacing w:val="12"/>
          <w:sz w:val="32"/>
          <w:szCs w:val="32"/>
        </w:rPr>
        <w:t>2、绩效评价对象：运用科学、规范的绩效评价方法，按照财政部《关于印发&lt;项目支出绩效评价管理办法&gt;的通知》，对《野外应急救援队伍建设补助》项目进行科学评价，购置资金项目预算编制合理性、资金使用合规性、项目管理的规范性、项目目标的实现情况、服务对象的满意度等，通过本次绩效评价来总结经验和教训，促进项目成果转化和应用，为今后类似项目的长效管理，提供可行性参考建议</w:t>
      </w:r>
      <w:r>
        <w:rPr>
          <w:rFonts w:hint="eastAsia"/>
          <w:spacing w:val="12"/>
          <w:sz w:val="32"/>
          <w:szCs w:val="32"/>
          <w:lang w:eastAsia="zh-CN"/>
        </w:rPr>
        <w:t>。</w:t>
      </w:r>
    </w:p>
    <w:p>
      <w:pPr>
        <w:pStyle w:val="2"/>
        <w:numPr>
          <w:ilvl w:val="0"/>
          <w:numId w:val="0"/>
        </w:numPr>
        <w:spacing w:beforeLines="0" w:afterLines="0" w:line="560" w:lineRule="exact"/>
        <w:ind w:firstLine="688" w:firstLineChars="200"/>
        <w:rPr>
          <w:rFonts w:hint="eastAsia"/>
          <w:spacing w:val="12"/>
          <w:sz w:val="32"/>
          <w:szCs w:val="32"/>
        </w:rPr>
      </w:pPr>
      <w:r>
        <w:rPr>
          <w:rFonts w:hint="eastAsia"/>
          <w:spacing w:val="12"/>
          <w:sz w:val="32"/>
          <w:szCs w:val="32"/>
        </w:rPr>
        <w:t>3、绩效评价范围：本次评价从项目执行情况、产出指标（包括项目数量指标、质量指标、时效指标和成本指标）、效益指标、满意度指标四个方面进行评价，评价对象为地质勘查生产、工作设备购置项目，评价核心为专项资金的支出完成情况和效果。</w:t>
      </w:r>
    </w:p>
    <w:p>
      <w:pPr>
        <w:pStyle w:val="2"/>
        <w:numPr>
          <w:ilvl w:val="0"/>
          <w:numId w:val="0"/>
        </w:numPr>
        <w:spacing w:beforeLines="0" w:afterLines="0" w:line="560" w:lineRule="exact"/>
        <w:ind w:firstLine="688" w:firstLineChars="200"/>
        <w:rPr>
          <w:rFonts w:hint="eastAsia"/>
          <w:spacing w:val="12"/>
          <w:sz w:val="32"/>
          <w:szCs w:val="32"/>
        </w:rPr>
      </w:pPr>
      <w:r>
        <w:rPr>
          <w:rFonts w:hint="eastAsia"/>
          <w:spacing w:val="12"/>
          <w:sz w:val="32"/>
          <w:szCs w:val="32"/>
        </w:rPr>
        <w:t>(二)绩效评价原则、评价指标体系(附表说明)、评价方法、评价标准等。</w:t>
      </w:r>
    </w:p>
    <w:p>
      <w:pPr>
        <w:pStyle w:val="2"/>
        <w:numPr>
          <w:ilvl w:val="0"/>
          <w:numId w:val="0"/>
        </w:numPr>
        <w:spacing w:beforeLines="0" w:afterLines="0" w:line="560" w:lineRule="exact"/>
        <w:ind w:firstLine="688" w:firstLineChars="200"/>
        <w:rPr>
          <w:rFonts w:hint="eastAsia"/>
          <w:spacing w:val="-5"/>
          <w:sz w:val="32"/>
          <w:szCs w:val="32"/>
        </w:rPr>
      </w:pPr>
      <w:r>
        <w:rPr>
          <w:rFonts w:hint="eastAsia"/>
          <w:spacing w:val="12"/>
          <w:sz w:val="32"/>
          <w:szCs w:val="32"/>
          <w:lang w:val="en-US" w:eastAsia="zh-CN"/>
        </w:rPr>
        <w:t>1、</w:t>
      </w:r>
      <w:r>
        <w:rPr>
          <w:rFonts w:hint="eastAsia"/>
          <w:spacing w:val="12"/>
          <w:sz w:val="32"/>
          <w:szCs w:val="32"/>
        </w:rPr>
        <w:t>本次绩效评价主</w:t>
      </w:r>
      <w:r>
        <w:rPr>
          <w:rFonts w:hint="eastAsia"/>
          <w:spacing w:val="-5"/>
          <w:sz w:val="32"/>
          <w:szCs w:val="32"/>
        </w:rPr>
        <w:t>要遵循以下原则：</w:t>
      </w:r>
    </w:p>
    <w:p>
      <w:pPr>
        <w:pStyle w:val="2"/>
        <w:numPr>
          <w:ilvl w:val="0"/>
          <w:numId w:val="0"/>
        </w:numPr>
        <w:spacing w:beforeLines="0" w:afterLines="0" w:line="560" w:lineRule="exact"/>
        <w:ind w:firstLine="620" w:firstLineChars="200"/>
        <w:rPr>
          <w:rFonts w:hint="eastAsia"/>
          <w:spacing w:val="-5"/>
          <w:sz w:val="32"/>
          <w:szCs w:val="32"/>
          <w:lang w:eastAsia="zh-CN"/>
        </w:rPr>
      </w:pPr>
      <w:r>
        <w:rPr>
          <w:rFonts w:hint="eastAsia"/>
          <w:spacing w:val="-5"/>
          <w:sz w:val="32"/>
          <w:szCs w:val="32"/>
        </w:rPr>
        <w:t>（1）客观性原则。绩效评价应当运用科学合理的方法，以事实和规范的评价标准为依据，对项目绩效进行客观评价，减少主观性和感情色彩的影响。</w:t>
      </w:r>
    </w:p>
    <w:p>
      <w:pPr>
        <w:pStyle w:val="2"/>
        <w:spacing w:beforeLines="0" w:afterLines="0" w:line="560" w:lineRule="exact"/>
        <w:ind w:firstLine="620" w:firstLineChars="200"/>
        <w:rPr>
          <w:rFonts w:hint="eastAsia"/>
          <w:spacing w:val="-5"/>
          <w:sz w:val="32"/>
          <w:szCs w:val="32"/>
          <w:lang w:eastAsia="zh-CN"/>
        </w:rPr>
      </w:pPr>
      <w:r>
        <w:rPr>
          <w:rFonts w:hint="eastAsia"/>
          <w:spacing w:val="-5"/>
          <w:sz w:val="32"/>
          <w:szCs w:val="32"/>
        </w:rPr>
        <w:t>（2）相关性原则。要求资金支出与其绩效指标之间有紧密相关的关系。</w:t>
      </w:r>
    </w:p>
    <w:p>
      <w:pPr>
        <w:pStyle w:val="2"/>
        <w:spacing w:beforeLines="0" w:afterLines="0" w:line="560" w:lineRule="exact"/>
        <w:ind w:firstLine="620" w:firstLineChars="200"/>
        <w:rPr>
          <w:rFonts w:hint="eastAsia"/>
          <w:spacing w:val="-5"/>
          <w:sz w:val="32"/>
          <w:szCs w:val="32"/>
        </w:rPr>
      </w:pPr>
      <w:r>
        <w:rPr>
          <w:rFonts w:hint="eastAsia"/>
          <w:spacing w:val="-5"/>
          <w:sz w:val="32"/>
          <w:szCs w:val="32"/>
        </w:rPr>
        <w:t>（3）公开性原则。绩效评价结果依法依规公开，并接受社会监督</w:t>
      </w:r>
      <w:r>
        <w:rPr>
          <w:rFonts w:hint="eastAsia"/>
          <w:spacing w:val="-5"/>
          <w:sz w:val="32"/>
          <w:szCs w:val="32"/>
          <w:lang w:eastAsia="zh-CN"/>
        </w:rPr>
        <w:t>。</w:t>
      </w:r>
    </w:p>
    <w:p>
      <w:pPr>
        <w:pStyle w:val="2"/>
        <w:spacing w:beforeLines="0" w:afterLines="0" w:line="560" w:lineRule="exact"/>
        <w:ind w:firstLine="620" w:firstLineChars="200"/>
        <w:rPr>
          <w:rFonts w:hint="eastAsia"/>
          <w:spacing w:val="-5"/>
          <w:sz w:val="32"/>
          <w:szCs w:val="32"/>
        </w:rPr>
      </w:pPr>
      <w:r>
        <w:rPr>
          <w:rFonts w:hint="eastAsia"/>
          <w:spacing w:val="-5"/>
          <w:sz w:val="32"/>
          <w:szCs w:val="32"/>
          <w:lang w:eastAsia="zh-CN"/>
        </w:rPr>
        <w:t>2、</w:t>
      </w:r>
      <w:r>
        <w:rPr>
          <w:rFonts w:hint="eastAsia"/>
          <w:spacing w:val="-5"/>
          <w:sz w:val="32"/>
          <w:szCs w:val="32"/>
        </w:rPr>
        <w:t>评价指标体系</w:t>
      </w:r>
    </w:p>
    <w:p>
      <w:pPr>
        <w:pStyle w:val="2"/>
        <w:spacing w:beforeLines="0" w:afterLines="0" w:line="560" w:lineRule="exact"/>
        <w:ind w:firstLine="620" w:firstLineChars="200"/>
        <w:rPr>
          <w:rFonts w:hint="eastAsia"/>
          <w:spacing w:val="-5"/>
          <w:sz w:val="32"/>
          <w:szCs w:val="32"/>
          <w:lang w:eastAsia="zh-CN"/>
        </w:rPr>
      </w:pPr>
      <w:r>
        <w:rPr>
          <w:rFonts w:hint="eastAsia"/>
          <w:spacing w:val="-5"/>
          <w:sz w:val="32"/>
          <w:szCs w:val="32"/>
          <w:lang w:eastAsia="zh-CN"/>
        </w:rPr>
        <w:t>本次绩效评价指标体系主要分为预算执行率指标和项目绩效指标，其中预算执行率指标占10分，项目绩效指标占90分。</w:t>
      </w:r>
    </w:p>
    <w:p>
      <w:pPr>
        <w:pStyle w:val="2"/>
        <w:spacing w:beforeLines="0" w:afterLines="0" w:line="560" w:lineRule="exact"/>
        <w:ind w:firstLine="620" w:firstLineChars="200"/>
        <w:rPr>
          <w:rFonts w:hint="eastAsia"/>
          <w:spacing w:val="-5"/>
          <w:sz w:val="32"/>
          <w:szCs w:val="32"/>
          <w:lang w:eastAsia="zh-CN"/>
        </w:rPr>
      </w:pPr>
      <w:r>
        <w:rPr>
          <w:rFonts w:hint="eastAsia"/>
          <w:spacing w:val="-5"/>
          <w:sz w:val="32"/>
          <w:szCs w:val="32"/>
          <w:lang w:eastAsia="zh-CN"/>
        </w:rPr>
        <w:t>3、评价方法</w:t>
      </w:r>
    </w:p>
    <w:p>
      <w:pPr>
        <w:pStyle w:val="2"/>
        <w:spacing w:beforeLines="0" w:afterLines="0" w:line="560" w:lineRule="exact"/>
        <w:ind w:firstLine="620" w:firstLineChars="200"/>
        <w:rPr>
          <w:rFonts w:hint="eastAsia"/>
          <w:spacing w:val="-5"/>
          <w:sz w:val="32"/>
          <w:szCs w:val="32"/>
          <w:lang w:eastAsia="zh-CN"/>
        </w:rPr>
      </w:pPr>
      <w:r>
        <w:rPr>
          <w:rFonts w:hint="eastAsia"/>
          <w:spacing w:val="-5"/>
          <w:sz w:val="32"/>
          <w:szCs w:val="32"/>
          <w:lang w:eastAsia="zh-CN"/>
        </w:rPr>
        <w:t>绩效评价方法主要包括成本效益分析法、比较法、因素分析法、最低成本法、公众评判法、标杆管理法等。本单位在评价过程中主要采用了因素分析法、成本效益分析法等。</w:t>
      </w:r>
    </w:p>
    <w:p>
      <w:pPr>
        <w:pStyle w:val="2"/>
        <w:spacing w:beforeLines="0" w:afterLines="0" w:line="560" w:lineRule="exact"/>
        <w:ind w:firstLine="620" w:firstLineChars="200"/>
        <w:rPr>
          <w:rFonts w:hint="eastAsia"/>
          <w:spacing w:val="-5"/>
          <w:sz w:val="32"/>
          <w:szCs w:val="32"/>
          <w:lang w:eastAsia="zh-CN"/>
        </w:rPr>
      </w:pPr>
      <w:r>
        <w:rPr>
          <w:rFonts w:hint="eastAsia"/>
          <w:spacing w:val="-5"/>
          <w:sz w:val="32"/>
          <w:szCs w:val="32"/>
          <w:lang w:eastAsia="zh-CN"/>
        </w:rPr>
        <w:t>4、评价标准</w:t>
      </w:r>
    </w:p>
    <w:p>
      <w:pPr>
        <w:pStyle w:val="2"/>
        <w:spacing w:beforeLines="0" w:afterLines="0" w:line="560" w:lineRule="exact"/>
        <w:ind w:firstLine="620" w:firstLineChars="200"/>
        <w:rPr>
          <w:rFonts w:hint="eastAsia"/>
          <w:spacing w:val="-5"/>
          <w:sz w:val="32"/>
          <w:szCs w:val="32"/>
          <w:lang w:eastAsia="zh-CN"/>
        </w:rPr>
      </w:pPr>
      <w:r>
        <w:rPr>
          <w:rFonts w:hint="eastAsia"/>
          <w:spacing w:val="-5"/>
          <w:sz w:val="32"/>
          <w:szCs w:val="32"/>
          <w:lang w:eastAsia="zh-CN"/>
        </w:rPr>
        <w:t>绩效评价标准通常包括计划标准、行业标准、历史标准等，用于对绩效指标完成情况进行比较。本单位绩效评价采用计划标准。</w:t>
      </w:r>
    </w:p>
    <w:p>
      <w:pPr>
        <w:pStyle w:val="2"/>
        <w:spacing w:beforeLines="0" w:afterLines="0" w:line="560" w:lineRule="exact"/>
        <w:ind w:firstLine="346" w:firstLineChars="100"/>
        <w:rPr>
          <w:rFonts w:hint="eastAsia"/>
          <w:spacing w:val="13"/>
          <w:sz w:val="32"/>
          <w:szCs w:val="32"/>
        </w:rPr>
      </w:pPr>
      <w:r>
        <w:rPr>
          <w:rFonts w:hint="eastAsia"/>
          <w:spacing w:val="13"/>
          <w:sz w:val="32"/>
          <w:szCs w:val="32"/>
          <w:lang w:eastAsia="zh-CN"/>
        </w:rPr>
        <w:t>（三）</w:t>
      </w:r>
      <w:r>
        <w:rPr>
          <w:rFonts w:hint="eastAsia"/>
          <w:spacing w:val="13"/>
          <w:sz w:val="32"/>
          <w:szCs w:val="32"/>
        </w:rPr>
        <w:t>绩效评价工作过程。</w:t>
      </w:r>
    </w:p>
    <w:p>
      <w:pPr>
        <w:pStyle w:val="2"/>
        <w:keepNext w:val="0"/>
        <w:keepLines w:val="0"/>
        <w:pageBreakBefore w:val="0"/>
        <w:widowControl/>
        <w:kinsoku w:val="0"/>
        <w:wordWrap/>
        <w:overflowPunct/>
        <w:topLinePunct w:val="0"/>
        <w:autoSpaceDE w:val="0"/>
        <w:autoSpaceDN w:val="0"/>
        <w:bidi w:val="0"/>
        <w:adjustRightInd w:val="0"/>
        <w:snapToGrid w:val="0"/>
        <w:spacing w:beforeLines="0" w:afterLines="0" w:line="360" w:lineRule="auto"/>
        <w:ind w:firstLine="620" w:firstLineChars="200"/>
        <w:textAlignment w:val="baseline"/>
        <w:rPr>
          <w:rFonts w:hint="eastAsia"/>
          <w:spacing w:val="-5"/>
          <w:sz w:val="32"/>
          <w:szCs w:val="32"/>
          <w:lang w:eastAsia="zh-CN"/>
        </w:rPr>
      </w:pPr>
      <w:r>
        <w:rPr>
          <w:rFonts w:hint="eastAsia"/>
          <w:spacing w:val="-5"/>
          <w:sz w:val="32"/>
          <w:szCs w:val="32"/>
          <w:lang w:eastAsia="zh-CN"/>
        </w:rPr>
        <w:t>自评价项目启动以来，结合项目具体情况、目标、预算、资金使用情况、采购完成情况综合确定绩效评价对象和范围。根据项目完成情况有针对性、时效性、可行性的研究制订绩效评价工作方案。收集项目基础数据资料、相关的佐证材料，了解项目的实施情况、项目设备验收情况、资金使用情况。认真听取仪器设备使用人员的意见，不断完善该项目的所有资料准备，项目计划内的采购如期完成，并及时对采购设备进行验收、支付和反馈，根据以上绩效评价工作过程，核实数据、意见、结论进行总结得出绩效评价报告。按照确定的评价指标、标准和方法进行自评，形成了自评结论，达到了工作目的。</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25" w:rightChars="0" w:firstLine="594" w:firstLineChars="200"/>
        <w:jc w:val="both"/>
        <w:textAlignment w:val="baseline"/>
        <w:rPr>
          <w:spacing w:val="3"/>
          <w:position w:val="21"/>
          <w:sz w:val="29"/>
          <w:szCs w:val="29"/>
        </w:rPr>
      </w:pPr>
      <w:r>
        <w:rPr>
          <w:rFonts w:ascii="黑体" w:hAnsi="黑体" w:eastAsia="黑体" w:cs="黑体"/>
          <w:b/>
          <w:bCs/>
          <w:spacing w:val="3"/>
          <w:position w:val="21"/>
          <w:sz w:val="29"/>
          <w:szCs w:val="29"/>
        </w:rPr>
        <w:t>三</w:t>
      </w:r>
      <w:r>
        <w:rPr>
          <w:rFonts w:ascii="黑体" w:hAnsi="黑体" w:eastAsia="黑体" w:cs="黑体"/>
          <w:spacing w:val="-33"/>
          <w:position w:val="21"/>
          <w:sz w:val="29"/>
          <w:szCs w:val="29"/>
        </w:rPr>
        <w:t xml:space="preserve"> </w:t>
      </w:r>
      <w:r>
        <w:rPr>
          <w:rFonts w:ascii="黑体" w:hAnsi="黑体" w:eastAsia="黑体" w:cs="黑体"/>
          <w:b/>
          <w:bCs/>
          <w:spacing w:val="3"/>
          <w:position w:val="21"/>
          <w:sz w:val="29"/>
          <w:szCs w:val="29"/>
        </w:rPr>
        <w:t>、综合评价情况及评价结论</w:t>
      </w:r>
      <w:r>
        <w:rPr>
          <w:rFonts w:ascii="黑体" w:hAnsi="黑体" w:eastAsia="黑体" w:cs="黑体"/>
          <w:spacing w:val="-31"/>
          <w:position w:val="21"/>
          <w:sz w:val="29"/>
          <w:szCs w:val="29"/>
        </w:rPr>
        <w:t xml:space="preserve"> </w:t>
      </w:r>
      <w:r>
        <w:rPr>
          <w:spacing w:val="3"/>
          <w:position w:val="21"/>
          <w:sz w:val="29"/>
          <w:szCs w:val="29"/>
        </w:rPr>
        <w:t>(附相关评分表)</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20" w:firstLineChars="200"/>
        <w:jc w:val="left"/>
        <w:textAlignment w:val="baseline"/>
        <w:rPr>
          <w:rFonts w:hint="eastAsia" w:ascii="仿宋" w:hAnsi="仿宋" w:eastAsia="仿宋" w:cs="仿宋"/>
          <w:snapToGrid w:val="0"/>
          <w:color w:val="000000"/>
          <w:spacing w:val="-5"/>
          <w:kern w:val="0"/>
          <w:sz w:val="32"/>
          <w:szCs w:val="32"/>
          <w:lang w:val="en-US" w:eastAsia="zh-CN" w:bidi="ar-SA"/>
        </w:rPr>
      </w:pPr>
      <w:r>
        <w:rPr>
          <w:rFonts w:hint="eastAsia" w:ascii="仿宋" w:hAnsi="仿宋" w:eastAsia="仿宋" w:cs="仿宋"/>
          <w:snapToGrid w:val="0"/>
          <w:color w:val="000000"/>
          <w:spacing w:val="-5"/>
          <w:kern w:val="0"/>
          <w:sz w:val="32"/>
          <w:szCs w:val="32"/>
          <w:lang w:val="en-US" w:eastAsia="zh-CN" w:bidi="ar-SA"/>
        </w:rPr>
        <w:t>1.综合评价情况及评价结论</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20" w:firstLineChars="200"/>
        <w:jc w:val="left"/>
        <w:textAlignment w:val="baseline"/>
        <w:rPr>
          <w:rFonts w:hint="eastAsia"/>
          <w:sz w:val="32"/>
          <w:szCs w:val="32"/>
          <w:lang w:val="en-US" w:eastAsia="en-US"/>
        </w:rPr>
      </w:pPr>
      <w:r>
        <w:rPr>
          <w:rFonts w:hint="eastAsia" w:ascii="仿宋" w:hAnsi="仿宋" w:eastAsia="仿宋" w:cs="仿宋"/>
          <w:snapToGrid w:val="0"/>
          <w:color w:val="000000"/>
          <w:spacing w:val="-5"/>
          <w:kern w:val="0"/>
          <w:sz w:val="32"/>
          <w:szCs w:val="32"/>
          <w:lang w:val="en-US" w:eastAsia="zh-CN" w:bidi="ar-SA"/>
        </w:rPr>
        <w:t>该项目根据年初制定的评价指标体</w:t>
      </w:r>
      <w:r>
        <w:rPr>
          <w:rFonts w:hint="eastAsia" w:ascii="仿宋" w:hAnsi="仿宋" w:eastAsia="仿宋" w:cs="仿宋"/>
          <w:color w:val="333333"/>
          <w:sz w:val="32"/>
          <w:szCs w:val="32"/>
        </w:rPr>
        <w:t>系及评分标准，通过资料采集，对此次项目进行客观评价，最终评分结果：总得分为</w:t>
      </w:r>
      <w:r>
        <w:rPr>
          <w:rFonts w:hint="eastAsia" w:ascii="仿宋" w:hAnsi="仿宋" w:eastAsia="仿宋" w:cs="仿宋"/>
          <w:color w:val="333333"/>
          <w:sz w:val="32"/>
          <w:szCs w:val="32"/>
          <w:lang w:val="en-US" w:eastAsia="zh-CN"/>
        </w:rPr>
        <w:t>89</w:t>
      </w:r>
      <w:r>
        <w:rPr>
          <w:rFonts w:hint="eastAsia" w:ascii="仿宋" w:hAnsi="仿宋" w:eastAsia="仿宋" w:cs="仿宋"/>
          <w:color w:val="333333"/>
          <w:sz w:val="32"/>
          <w:szCs w:val="32"/>
        </w:rPr>
        <w:t>分。其中：项目预算执行情况得分</w:t>
      </w:r>
      <w:r>
        <w:rPr>
          <w:rFonts w:hint="eastAsia" w:ascii="仿宋" w:hAnsi="仿宋" w:eastAsia="仿宋" w:cs="仿宋"/>
          <w:color w:val="333333"/>
          <w:sz w:val="32"/>
          <w:szCs w:val="32"/>
          <w:lang w:val="en-US" w:eastAsia="zh-CN"/>
        </w:rPr>
        <w:t>10</w:t>
      </w:r>
      <w:r>
        <w:rPr>
          <w:rFonts w:hint="eastAsia" w:ascii="仿宋" w:hAnsi="仿宋" w:eastAsia="仿宋" w:cs="仿宋"/>
          <w:color w:val="333333"/>
          <w:sz w:val="32"/>
          <w:szCs w:val="32"/>
        </w:rPr>
        <w:t>分，得分率为</w:t>
      </w:r>
      <w:r>
        <w:rPr>
          <w:rFonts w:hint="eastAsia" w:ascii="仿宋" w:hAnsi="仿宋" w:eastAsia="仿宋" w:cs="仿宋"/>
          <w:color w:val="333333"/>
          <w:sz w:val="32"/>
          <w:szCs w:val="32"/>
          <w:lang w:val="en-US" w:eastAsia="zh-CN"/>
        </w:rPr>
        <w:t>100</w:t>
      </w:r>
      <w:r>
        <w:rPr>
          <w:rFonts w:hint="eastAsia" w:ascii="仿宋" w:hAnsi="仿宋" w:eastAsia="仿宋" w:cs="仿宋"/>
          <w:color w:val="333333"/>
          <w:sz w:val="32"/>
          <w:szCs w:val="32"/>
        </w:rPr>
        <w:t>%；产出指标为</w:t>
      </w:r>
      <w:r>
        <w:rPr>
          <w:rFonts w:hint="eastAsia" w:ascii="仿宋" w:hAnsi="仿宋" w:eastAsia="仿宋" w:cs="仿宋"/>
          <w:color w:val="333333"/>
          <w:sz w:val="32"/>
          <w:szCs w:val="32"/>
          <w:lang w:val="en-US" w:eastAsia="zh-CN"/>
        </w:rPr>
        <w:t>38</w:t>
      </w:r>
      <w:r>
        <w:rPr>
          <w:rFonts w:hint="eastAsia" w:ascii="仿宋" w:hAnsi="仿宋" w:eastAsia="仿宋" w:cs="仿宋"/>
          <w:color w:val="333333"/>
          <w:sz w:val="32"/>
          <w:szCs w:val="32"/>
        </w:rPr>
        <w:t>分，得分率为</w:t>
      </w:r>
      <w:r>
        <w:rPr>
          <w:rFonts w:hint="eastAsia" w:ascii="仿宋" w:hAnsi="仿宋" w:eastAsia="仿宋" w:cs="仿宋"/>
          <w:color w:val="333333"/>
          <w:sz w:val="32"/>
          <w:szCs w:val="32"/>
          <w:lang w:val="en-US" w:eastAsia="zh-CN"/>
        </w:rPr>
        <w:t>95</w:t>
      </w:r>
      <w:r>
        <w:rPr>
          <w:rFonts w:hint="eastAsia" w:ascii="仿宋" w:hAnsi="仿宋" w:eastAsia="仿宋" w:cs="仿宋"/>
          <w:color w:val="333333"/>
          <w:sz w:val="32"/>
          <w:szCs w:val="32"/>
        </w:rPr>
        <w:t>%；</w:t>
      </w:r>
      <w:r>
        <w:rPr>
          <w:rFonts w:hint="eastAsia" w:ascii="仿宋" w:hAnsi="仿宋" w:eastAsia="仿宋" w:cs="仿宋"/>
          <w:color w:val="333333"/>
          <w:sz w:val="32"/>
          <w:szCs w:val="32"/>
          <w:lang w:eastAsia="zh-CN"/>
        </w:rPr>
        <w:t>成本指标为</w:t>
      </w:r>
      <w:r>
        <w:rPr>
          <w:rFonts w:hint="eastAsia" w:ascii="仿宋" w:hAnsi="仿宋" w:eastAsia="仿宋" w:cs="仿宋"/>
          <w:color w:val="333333"/>
          <w:sz w:val="32"/>
          <w:szCs w:val="32"/>
          <w:lang w:val="en-US" w:eastAsia="zh-CN"/>
        </w:rPr>
        <w:t>20分，得分率100%；</w:t>
      </w:r>
      <w:r>
        <w:rPr>
          <w:rFonts w:hint="eastAsia" w:ascii="仿宋" w:hAnsi="仿宋" w:eastAsia="仿宋" w:cs="仿宋"/>
          <w:color w:val="333333"/>
          <w:sz w:val="32"/>
          <w:szCs w:val="32"/>
        </w:rPr>
        <w:t>效益指标为</w:t>
      </w:r>
      <w:r>
        <w:rPr>
          <w:rFonts w:hint="eastAsia" w:ascii="仿宋" w:hAnsi="仿宋" w:eastAsia="仿宋" w:cs="仿宋"/>
          <w:color w:val="333333"/>
          <w:sz w:val="32"/>
          <w:szCs w:val="32"/>
          <w:lang w:val="en-US" w:eastAsia="zh-CN"/>
        </w:rPr>
        <w:t>15</w:t>
      </w:r>
      <w:r>
        <w:rPr>
          <w:rFonts w:hint="eastAsia" w:ascii="仿宋" w:hAnsi="仿宋" w:eastAsia="仿宋" w:cs="仿宋"/>
          <w:color w:val="333333"/>
          <w:sz w:val="32"/>
          <w:szCs w:val="32"/>
        </w:rPr>
        <w:t>分，得分率为</w:t>
      </w:r>
      <w:r>
        <w:rPr>
          <w:rFonts w:hint="eastAsia" w:ascii="仿宋" w:hAnsi="仿宋" w:eastAsia="仿宋" w:cs="仿宋"/>
          <w:color w:val="333333"/>
          <w:sz w:val="32"/>
          <w:szCs w:val="32"/>
          <w:lang w:val="en-US" w:eastAsia="zh-CN"/>
        </w:rPr>
        <w:t>75</w:t>
      </w:r>
      <w:r>
        <w:rPr>
          <w:rFonts w:hint="eastAsia" w:ascii="仿宋" w:hAnsi="仿宋" w:eastAsia="仿宋" w:cs="仿宋"/>
          <w:color w:val="333333"/>
          <w:sz w:val="32"/>
          <w:szCs w:val="32"/>
        </w:rPr>
        <w:t>%；满意度指标为</w:t>
      </w:r>
      <w:r>
        <w:rPr>
          <w:rFonts w:hint="eastAsia" w:ascii="仿宋" w:hAnsi="仿宋" w:eastAsia="仿宋" w:cs="仿宋"/>
          <w:color w:val="333333"/>
          <w:sz w:val="32"/>
          <w:szCs w:val="32"/>
          <w:lang w:val="en-US" w:eastAsia="zh-CN"/>
        </w:rPr>
        <w:t>6</w:t>
      </w:r>
      <w:r>
        <w:rPr>
          <w:rFonts w:hint="eastAsia" w:ascii="仿宋" w:hAnsi="仿宋" w:eastAsia="仿宋" w:cs="仿宋"/>
          <w:color w:val="333333"/>
          <w:sz w:val="32"/>
          <w:szCs w:val="32"/>
        </w:rPr>
        <w:t>分，得分率为</w:t>
      </w:r>
      <w:r>
        <w:rPr>
          <w:rFonts w:hint="eastAsia" w:ascii="仿宋" w:hAnsi="仿宋" w:eastAsia="仿宋" w:cs="仿宋"/>
          <w:color w:val="333333"/>
          <w:sz w:val="32"/>
          <w:szCs w:val="32"/>
          <w:lang w:val="en-US" w:eastAsia="zh-CN"/>
        </w:rPr>
        <w:t>85</w:t>
      </w:r>
      <w:r>
        <w:rPr>
          <w:rFonts w:hint="eastAsia" w:ascii="仿宋" w:hAnsi="仿宋" w:eastAsia="仿宋" w:cs="仿宋"/>
          <w:color w:val="333333"/>
          <w:sz w:val="32"/>
          <w:szCs w:val="32"/>
        </w:rPr>
        <w:t>%。</w:t>
      </w:r>
    </w:p>
    <w:tbl>
      <w:tblPr>
        <w:tblStyle w:val="6"/>
        <w:tblW w:w="854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06"/>
        <w:gridCol w:w="609"/>
        <w:gridCol w:w="607"/>
        <w:gridCol w:w="614"/>
        <w:gridCol w:w="607"/>
        <w:gridCol w:w="607"/>
        <w:gridCol w:w="617"/>
        <w:gridCol w:w="607"/>
        <w:gridCol w:w="614"/>
        <w:gridCol w:w="607"/>
        <w:gridCol w:w="612"/>
        <w:gridCol w:w="608"/>
        <w:gridCol w:w="612"/>
        <w:gridCol w:w="6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0" w:hRule="atLeast"/>
        </w:trPr>
        <w:tc>
          <w:tcPr>
            <w:tcW w:w="8546" w:type="dxa"/>
            <w:gridSpan w:val="14"/>
            <w:tcBorders>
              <w:top w:val="nil"/>
              <w:left w:val="nil"/>
              <w:bottom w:val="nil"/>
              <w:right w:val="nil"/>
            </w:tcBorders>
            <w:shd w:val="clear" w:color="auto" w:fill="auto"/>
            <w:vAlign w:val="top"/>
          </w:tcPr>
          <w:p>
            <w:pPr>
              <w:keepNext w:val="0"/>
              <w:keepLines w:val="0"/>
              <w:widowControl/>
              <w:suppressLineNumbers w:val="0"/>
              <w:ind w:firstLineChars="200"/>
              <w:jc w:val="center"/>
              <w:textAlignment w:val="center"/>
              <w:rPr>
                <w:rFonts w:hint="default" w:ascii="Arial" w:hAnsi="Arial" w:eastAsia="宋体" w:cs="Arial"/>
                <w:i w:val="0"/>
                <w:iCs w:val="0"/>
                <w:color w:val="000000"/>
                <w:sz w:val="22"/>
                <w:szCs w:val="22"/>
                <w:u w:val="none"/>
              </w:rPr>
            </w:pPr>
            <w:r>
              <w:rPr>
                <w:rStyle w:val="10"/>
                <w:snapToGrid w:val="0"/>
                <w:color w:val="000000"/>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8546" w:type="dxa"/>
            <w:gridSpan w:val="14"/>
            <w:tcBorders>
              <w:top w:val="nil"/>
              <w:left w:val="nil"/>
              <w:bottom w:val="nil"/>
              <w:right w:val="nil"/>
            </w:tcBorders>
            <w:shd w:val="clear" w:color="auto" w:fill="auto"/>
            <w:vAlign w:val="top"/>
          </w:tcPr>
          <w:p>
            <w:pPr>
              <w:keepNext w:val="0"/>
              <w:keepLines w:val="0"/>
              <w:widowControl/>
              <w:suppressLineNumbers w:val="0"/>
              <w:ind w:firstLineChars="100"/>
              <w:jc w:val="center"/>
              <w:textAlignment w:val="top"/>
              <w:rPr>
                <w:rFonts w:ascii="宋体" w:hAnsi="宋体" w:eastAsia="宋体" w:cs="宋体"/>
                <w:i w:val="0"/>
                <w:iCs w:val="0"/>
                <w:color w:val="000000"/>
                <w:sz w:val="16"/>
                <w:szCs w:val="16"/>
                <w:u w:val="none"/>
              </w:rPr>
            </w:pPr>
            <w:r>
              <w:rPr>
                <w:rFonts w:ascii="宋体" w:hAnsi="宋体" w:eastAsia="宋体" w:cs="宋体"/>
                <w:i w:val="0"/>
                <w:iCs w:val="0"/>
                <w:snapToGrid w:val="0"/>
                <w:color w:val="000000"/>
                <w:kern w:val="0"/>
                <w:sz w:val="16"/>
                <w:szCs w:val="16"/>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12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项目名称</w:t>
            </w:r>
          </w:p>
        </w:tc>
        <w:tc>
          <w:tcPr>
            <w:tcW w:w="7331"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新疆精河县三台一带稀有金属、萤石、脉石英矿调查评价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12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1"/>
                <w:snapToGrid w:val="0"/>
                <w:color w:val="000000"/>
                <w:lang w:val="en-US" w:eastAsia="zh-CN" w:bidi="ar"/>
              </w:rPr>
              <w:t>主管部门</w:t>
            </w:r>
          </w:p>
        </w:tc>
        <w:tc>
          <w:tcPr>
            <w:tcW w:w="305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新疆地质矿产勘查开发局</w:t>
            </w:r>
          </w:p>
        </w:tc>
        <w:tc>
          <w:tcPr>
            <w:tcW w:w="12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实施单位</w:t>
            </w:r>
          </w:p>
        </w:tc>
        <w:tc>
          <w:tcPr>
            <w:tcW w:w="305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新疆维吾尔自治区地质调查院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121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snapToGrid w:val="0"/>
                <w:color w:val="000000"/>
                <w:kern w:val="0"/>
                <w:sz w:val="12"/>
                <w:szCs w:val="12"/>
                <w:u w:val="none"/>
                <w:lang w:val="en-US" w:eastAsia="zh-CN" w:bidi="ar"/>
              </w:rPr>
            </w:pPr>
            <w:r>
              <w:rPr>
                <w:rFonts w:ascii="宋体" w:hAnsi="宋体" w:eastAsia="宋体" w:cs="宋体"/>
                <w:i w:val="0"/>
                <w:iCs w:val="0"/>
                <w:snapToGrid w:val="0"/>
                <w:color w:val="000000"/>
                <w:kern w:val="0"/>
                <w:sz w:val="12"/>
                <w:szCs w:val="12"/>
                <w:u w:val="none"/>
                <w:lang w:val="en-US" w:eastAsia="zh-CN" w:bidi="ar"/>
              </w:rPr>
              <w:t>项目资金</w:t>
            </w:r>
          </w:p>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(万元)</w:t>
            </w:r>
          </w:p>
        </w:tc>
        <w:tc>
          <w:tcPr>
            <w:tcW w:w="12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资金来源</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1"/>
                <w:snapToGrid w:val="0"/>
                <w:color w:val="000000"/>
                <w:lang w:val="en-US" w:eastAsia="zh-CN" w:bidi="ar"/>
              </w:rPr>
              <w:t>年初预算数</w:t>
            </w:r>
          </w:p>
        </w:tc>
        <w:tc>
          <w:tcPr>
            <w:tcW w:w="12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全年预算数</w:t>
            </w:r>
          </w:p>
        </w:tc>
        <w:tc>
          <w:tcPr>
            <w:tcW w:w="12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全年执行数</w:t>
            </w:r>
          </w:p>
        </w:tc>
        <w:tc>
          <w:tcPr>
            <w:tcW w:w="12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分值权重</w:t>
            </w:r>
          </w:p>
        </w:tc>
        <w:tc>
          <w:tcPr>
            <w:tcW w:w="1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1"/>
                <w:snapToGrid w:val="0"/>
                <w:color w:val="000000"/>
                <w:lang w:val="en-US" w:eastAsia="zh-CN" w:bidi="ar"/>
              </w:rPr>
              <w:t>执行率</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1"/>
                <w:snapToGrid w:val="0"/>
                <w:color w:val="00000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12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12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年度资金总额</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39</w:t>
            </w:r>
          </w:p>
        </w:tc>
        <w:tc>
          <w:tcPr>
            <w:tcW w:w="12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39</w:t>
            </w:r>
          </w:p>
        </w:tc>
        <w:tc>
          <w:tcPr>
            <w:tcW w:w="12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39</w:t>
            </w:r>
          </w:p>
        </w:tc>
        <w:tc>
          <w:tcPr>
            <w:tcW w:w="12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w:t>
            </w:r>
          </w:p>
        </w:tc>
        <w:tc>
          <w:tcPr>
            <w:tcW w:w="1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100.0%</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12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12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1"/>
                <w:snapToGrid w:val="0"/>
                <w:color w:val="000000"/>
                <w:lang w:val="en-US" w:eastAsia="zh-CN" w:bidi="ar"/>
              </w:rPr>
              <w:t>其中：当年财政披款</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12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12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12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1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12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12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1"/>
                <w:snapToGrid w:val="0"/>
                <w:color w:val="000000"/>
                <w:lang w:val="en-US" w:eastAsia="zh-CN" w:bidi="ar"/>
              </w:rPr>
              <w:t>共他资金</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39</w:t>
            </w:r>
          </w:p>
        </w:tc>
        <w:tc>
          <w:tcPr>
            <w:tcW w:w="12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39</w:t>
            </w:r>
          </w:p>
        </w:tc>
        <w:tc>
          <w:tcPr>
            <w:tcW w:w="12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39</w:t>
            </w:r>
          </w:p>
        </w:tc>
        <w:tc>
          <w:tcPr>
            <w:tcW w:w="12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1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snapToGrid w:val="0"/>
                <w:color w:val="000000"/>
                <w:kern w:val="0"/>
                <w:sz w:val="12"/>
                <w:szCs w:val="12"/>
                <w:u w:val="none"/>
                <w:lang w:val="en-US" w:eastAsia="zh-CN" w:bidi="ar"/>
              </w:rPr>
            </w:pPr>
            <w:r>
              <w:rPr>
                <w:rFonts w:ascii="宋体" w:hAnsi="宋体" w:eastAsia="宋体" w:cs="宋体"/>
                <w:i w:val="0"/>
                <w:iCs w:val="0"/>
                <w:snapToGrid w:val="0"/>
                <w:color w:val="000000"/>
                <w:kern w:val="0"/>
                <w:sz w:val="12"/>
                <w:szCs w:val="12"/>
                <w:u w:val="none"/>
                <w:lang w:val="en-US" w:eastAsia="zh-CN" w:bidi="ar"/>
              </w:rPr>
              <w:t>年度总体目</w:t>
            </w:r>
          </w:p>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标</w:t>
            </w:r>
          </w:p>
        </w:tc>
        <w:tc>
          <w:tcPr>
            <w:tcW w:w="488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总体目标</w:t>
            </w:r>
          </w:p>
        </w:tc>
        <w:tc>
          <w:tcPr>
            <w:tcW w:w="305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40"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88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 xml:space="preserve">  在充分收集、研究以往地、物、化、遥及矿产等成果资料的基础上，以稀有金属、萤石矿为主攻目标，兼顾高纯石英，筛选成矿有利地段，采用地、物、化等综合手段，对三台一带稀有金属、萤石、脉石英矿等矿产进行调查评价，为下步勘查提供依据。</w:t>
            </w:r>
          </w:p>
        </w:tc>
        <w:tc>
          <w:tcPr>
            <w:tcW w:w="305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 xml:space="preserve">   基本完成了任务书下达的年度工作量，采用的技术方法恰当，工作部署较合理，工作精度达到任务书和相关规范的有关技术要求，取得了较完整的原始地质资料和一些地质成果。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6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一级指标</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1"/>
                <w:snapToGrid w:val="0"/>
                <w:color w:val="000000"/>
                <w:lang w:val="en-US" w:eastAsia="zh-CN" w:bidi="ar"/>
              </w:rPr>
              <w:t>二级指标</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1"/>
                <w:snapToGrid w:val="0"/>
                <w:color w:val="000000"/>
                <w:lang w:val="en-US" w:eastAsia="zh-CN" w:bidi="ar"/>
              </w:rPr>
              <w:t>三级指标</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1"/>
                <w:snapToGrid w:val="0"/>
                <w:color w:val="000000"/>
                <w:lang w:val="en-US" w:eastAsia="zh-CN" w:bidi="ar"/>
              </w:rPr>
              <w:t>指标值</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指标值设置依据</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1"/>
                <w:snapToGrid w:val="0"/>
                <w:color w:val="000000"/>
                <w:lang w:val="en-US" w:eastAsia="zh-CN" w:bidi="ar"/>
              </w:rPr>
              <w:t>上年完成值</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1"/>
                <w:snapToGrid w:val="0"/>
                <w:color w:val="000000"/>
                <w:lang w:val="en-US" w:eastAsia="zh-CN" w:bidi="ar"/>
              </w:rPr>
              <w:t>指标分值权重</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1"/>
                <w:snapToGrid w:val="0"/>
                <w:color w:val="000000"/>
                <w:lang w:val="en-US" w:eastAsia="zh-CN" w:bidi="ar"/>
              </w:rPr>
              <w:t>指标赋分规则</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1"/>
                <w:snapToGrid w:val="0"/>
                <w:color w:val="000000"/>
                <w:lang w:val="en-US" w:eastAsia="zh-CN" w:bidi="ar"/>
              </w:rPr>
              <w:t>佐证资料</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1"/>
                <w:snapToGrid w:val="0"/>
                <w:color w:val="000000"/>
                <w:lang w:val="en-US" w:eastAsia="zh-CN" w:bidi="ar"/>
              </w:rPr>
              <w:t>指标实际完成值</w:t>
            </w: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1"/>
                <w:snapToGrid w:val="0"/>
                <w:color w:val="000000"/>
                <w:lang w:val="en-US" w:eastAsia="zh-CN" w:bidi="ar"/>
              </w:rPr>
              <w:t>完成率</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1"/>
                <w:snapToGrid w:val="0"/>
                <w:color w:val="000000"/>
                <w:lang w:val="en-US" w:eastAsia="zh-CN" w:bidi="ar"/>
              </w:rPr>
              <w:t>指标得分</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1"/>
                <w:snapToGrid w:val="0"/>
                <w:color w:val="000000"/>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11"/>
                <w:snapToGrid w:val="0"/>
                <w:color w:val="000000"/>
                <w:lang w:val="en-US" w:eastAsia="zh-CN" w:bidi="ar"/>
              </w:rPr>
            </w:pPr>
            <w:r>
              <w:rPr>
                <w:rStyle w:val="11"/>
                <w:snapToGrid w:val="0"/>
                <w:color w:val="000000"/>
                <w:lang w:val="en-US" w:eastAsia="zh-CN" w:bidi="ar"/>
              </w:rPr>
              <w:t>年度绩效指</w:t>
            </w:r>
          </w:p>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1"/>
                <w:snapToGrid w:val="0"/>
                <w:color w:val="000000"/>
                <w:lang w:val="en-US" w:eastAsia="zh-CN" w:bidi="ar"/>
              </w:rPr>
              <w:t>标完成情况</w:t>
            </w:r>
          </w:p>
        </w:tc>
        <w:tc>
          <w:tcPr>
            <w:tcW w:w="6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1"/>
                <w:snapToGrid w:val="0"/>
                <w:color w:val="000000"/>
                <w:lang w:val="en-US" w:eastAsia="zh-CN" w:bidi="ar"/>
              </w:rPr>
              <w:t>产出指标</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数量指标</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提交成果报告数</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=1份</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按照完成比例赋分</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工作资料</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w:t>
            </w: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1"/>
                <w:snapToGrid w:val="0"/>
                <w:color w:val="000000"/>
                <w:lang w:val="en-US" w:eastAsia="zh-CN" w:bidi="ar"/>
              </w:rPr>
              <w:t>质量指标</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报告合格率</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&gt;=90%</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按照完成比例赋分</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工作资料</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72%</w:t>
            </w: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80%</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8</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1"/>
                <w:snapToGrid w:val="0"/>
                <w:color w:val="000000"/>
                <w:lang w:val="en-US" w:eastAsia="zh-CN" w:bidi="ar"/>
              </w:rPr>
              <w:t>时效指标</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勘查工作按期完成率</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&gt;=95%</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按照完成比例赋分</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工作资料</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95%</w:t>
            </w: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1"/>
                <w:snapToGrid w:val="0"/>
                <w:color w:val="000000"/>
                <w:lang w:val="en-US" w:eastAsia="zh-CN" w:bidi="ar"/>
              </w:rPr>
              <w:t>时效指标</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报告按期完成率</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&gt;=90%</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按照完成比例赋分</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工作资料</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90%</w:t>
            </w: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1"/>
                <w:snapToGrid w:val="0"/>
                <w:color w:val="000000"/>
                <w:lang w:val="en-US" w:eastAsia="zh-CN" w:bidi="ar"/>
              </w:rPr>
              <w:t>成本指标</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经济成本指标</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项目成本控制率</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&lt;=100%</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20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按照完成比例赋分</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工作资料</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20</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1"/>
                <w:snapToGrid w:val="0"/>
                <w:color w:val="000000"/>
                <w:lang w:val="en-US" w:eastAsia="zh-CN" w:bidi="ar"/>
              </w:rPr>
              <w:t>社会成本指标</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11"/>
                <w:snapToGrid w:val="0"/>
                <w:color w:val="000000"/>
                <w:lang w:val="en-US" w:eastAsia="zh-CN" w:bidi="ar"/>
              </w:rPr>
            </w:pPr>
            <w:r>
              <w:rPr>
                <w:rStyle w:val="11"/>
                <w:snapToGrid w:val="0"/>
                <w:color w:val="000000"/>
                <w:lang w:val="en-US" w:eastAsia="zh-CN" w:bidi="ar"/>
              </w:rPr>
              <w:t>生态环境成本指</w:t>
            </w:r>
          </w:p>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1"/>
                <w:snapToGrid w:val="0"/>
                <w:color w:val="000000"/>
                <w:lang w:val="en-US" w:eastAsia="zh-CN" w:bidi="ar"/>
              </w:rPr>
              <w:t>标</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1"/>
                <w:snapToGrid w:val="0"/>
                <w:color w:val="000000"/>
                <w:lang w:val="en-US" w:eastAsia="zh-CN" w:bidi="ar"/>
              </w:rPr>
              <w:t>效蔬指标</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1"/>
                <w:snapToGrid w:val="0"/>
                <w:color w:val="000000"/>
                <w:lang w:val="en-US" w:eastAsia="zh-CN" w:bidi="ar"/>
              </w:rPr>
              <w:t>经济效益指标</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1"/>
                <w:snapToGrid w:val="0"/>
                <w:color w:val="000000"/>
                <w:lang w:val="en-US" w:eastAsia="zh-CN" w:bidi="ar"/>
              </w:rPr>
              <w:t>社会效益指标</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为社会经济发展提供资源能源保障</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持续保障</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20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按评判等级赋分</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工作资料</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持续保障</w:t>
            </w: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75%</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15</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1"/>
                <w:snapToGrid w:val="0"/>
                <w:color w:val="000000"/>
                <w:lang w:val="en-US" w:eastAsia="zh-CN" w:bidi="ar"/>
              </w:rPr>
              <w:t>生态效益指标</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1"/>
                <w:snapToGrid w:val="0"/>
                <w:color w:val="000000"/>
                <w:lang w:val="en-US" w:eastAsia="zh-CN" w:bidi="ar"/>
              </w:rPr>
              <w:t>满意度指标</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1"/>
                <w:snapToGrid w:val="0"/>
                <w:color w:val="000000"/>
                <w:lang w:val="en-US" w:eastAsia="zh-CN" w:bidi="ar"/>
              </w:rPr>
              <w:t>满意度指标</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项目单位满意度</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&gt;=95%</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满意度赋分</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工作资料</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90%</w:t>
            </w: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85%</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6</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243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2"/>
                <w:szCs w:val="22"/>
                <w:u w:val="none"/>
              </w:rPr>
            </w:pPr>
            <w:r>
              <w:rPr>
                <w:rStyle w:val="11"/>
                <w:snapToGrid w:val="0"/>
                <w:color w:val="000000"/>
                <w:lang w:val="en-US" w:eastAsia="zh-CN" w:bidi="ar"/>
              </w:rPr>
              <w:t>总分</w:t>
            </w: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12"/>
                <w:szCs w:val="12"/>
                <w:u w:val="none"/>
                <w:lang w:val="en-US"/>
              </w:rPr>
            </w:pPr>
            <w:r>
              <w:rPr>
                <w:rFonts w:hint="eastAsia" w:eastAsia="宋体" w:cs="Arial"/>
                <w:i w:val="0"/>
                <w:iCs w:val="0"/>
                <w:snapToGrid w:val="0"/>
                <w:color w:val="000000"/>
                <w:kern w:val="0"/>
                <w:sz w:val="12"/>
                <w:szCs w:val="12"/>
                <w:u w:val="none"/>
                <w:lang w:val="en-US" w:eastAsia="zh-CN" w:bidi="ar"/>
              </w:rPr>
              <w:t>100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8</w:t>
            </w:r>
            <w:r>
              <w:rPr>
                <w:rFonts w:ascii="宋体" w:hAnsi="宋体" w:eastAsia="宋体" w:cs="宋体"/>
                <w:i w:val="0"/>
                <w:iCs w:val="0"/>
                <w:snapToGrid w:val="0"/>
                <w:color w:val="000000"/>
                <w:kern w:val="0"/>
                <w:sz w:val="12"/>
                <w:szCs w:val="12"/>
                <w:u w:val="none"/>
                <w:lang w:val="en-US" w:eastAsia="zh-CN" w:bidi="ar"/>
              </w:rPr>
              <w:t>9</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eastAsia="宋体" w:cs="Arial"/>
                <w:i w:val="0"/>
                <w:iCs w:val="0"/>
                <w:color w:val="000000"/>
                <w:sz w:val="22"/>
                <w:szCs w:val="22"/>
                <w:u w:val="none"/>
              </w:rPr>
            </w:pPr>
          </w:p>
        </w:tc>
      </w:tr>
    </w:tbl>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25" w:rightChars="0" w:firstLine="598" w:firstLineChars="200"/>
        <w:jc w:val="both"/>
        <w:textAlignment w:val="baseline"/>
        <w:rPr>
          <w:rFonts w:ascii="黑体" w:hAnsi="黑体" w:eastAsia="黑体" w:cs="黑体"/>
          <w:b/>
          <w:bCs/>
          <w:spacing w:val="4"/>
          <w:sz w:val="29"/>
          <w:szCs w:val="29"/>
        </w:rPr>
      </w:pP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ind w:left="0" w:leftChars="0" w:right="25" w:rightChars="0" w:firstLine="596" w:firstLineChars="200"/>
        <w:jc w:val="both"/>
        <w:textAlignment w:val="baseline"/>
        <w:outlineLvl w:val="9"/>
        <w:rPr>
          <w:rFonts w:ascii="黑体" w:hAnsi="黑体" w:eastAsia="黑体" w:cs="黑体"/>
          <w:sz w:val="29"/>
          <w:szCs w:val="29"/>
        </w:rPr>
      </w:pPr>
      <w:r>
        <w:rPr>
          <w:rFonts w:ascii="黑体" w:hAnsi="黑体" w:eastAsia="黑体" w:cs="黑体"/>
          <w:b/>
          <w:bCs/>
          <w:spacing w:val="4"/>
          <w:sz w:val="29"/>
          <w:szCs w:val="29"/>
        </w:rPr>
        <w:t>四、绩效评价指标分析</w:t>
      </w:r>
    </w:p>
    <w:p>
      <w:pPr>
        <w:pStyle w:val="2"/>
        <w:keepNext w:val="0"/>
        <w:keepLines w:val="0"/>
        <w:pageBreakBefore w:val="0"/>
        <w:widowControl/>
        <w:kinsoku w:val="0"/>
        <w:wordWrap/>
        <w:overflowPunct/>
        <w:topLinePunct w:val="0"/>
        <w:autoSpaceDE w:val="0"/>
        <w:autoSpaceDN w:val="0"/>
        <w:bidi w:val="0"/>
        <w:adjustRightInd w:val="0"/>
        <w:snapToGrid w:val="0"/>
        <w:spacing w:line="240" w:lineRule="auto"/>
        <w:ind w:left="0" w:leftChars="0" w:firstLine="596" w:firstLineChars="200"/>
        <w:textAlignment w:val="baseline"/>
        <w:outlineLvl w:val="9"/>
        <w:rPr>
          <w:sz w:val="32"/>
          <w:szCs w:val="32"/>
          <w:highlight w:val="none"/>
        </w:rPr>
      </w:pPr>
      <w:r>
        <w:rPr>
          <w:spacing w:val="17"/>
          <w:position w:val="23"/>
          <w:sz w:val="32"/>
          <w:szCs w:val="32"/>
          <w:highlight w:val="none"/>
        </w:rPr>
        <w:t>(一)项目决策情况。</w:t>
      </w:r>
    </w:p>
    <w:p>
      <w:pPr>
        <w:pStyle w:val="2"/>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23" w:firstLine="596" w:firstLineChars="200"/>
        <w:jc w:val="left"/>
        <w:textAlignment w:val="baseline"/>
        <w:outlineLvl w:val="9"/>
        <w:rPr>
          <w:rFonts w:hint="eastAsia"/>
          <w:spacing w:val="15"/>
          <w:position w:val="23"/>
          <w:sz w:val="32"/>
          <w:szCs w:val="32"/>
        </w:rPr>
      </w:pPr>
      <w:r>
        <w:rPr>
          <w:rFonts w:hint="eastAsia"/>
          <w:spacing w:val="15"/>
          <w:position w:val="23"/>
          <w:sz w:val="32"/>
          <w:szCs w:val="32"/>
        </w:rPr>
        <w:t>按照新疆地矿局2021年自筹资金项目安排，2021年6月4日，局组织相关专家，对新疆地质调查院上报的《新疆精河县三台一带稀有金属、萤石、脉石英矿调查评价项目设计书》进行了审查。通过专家预先阅读设计、项目承揽单位专题汇报、专家提问答疑、专家组讨论审查意见、与项目承担单位交接意见等程序，审查结果：在以往工作基础上，总结地质、矿产、物探、化探、遥感等成果，认真编写了设计书。以大比例尺地质草测、地化剖面测量为主要手段，以Ⅴ号萤石、脉石英矿、Ⅱ号铜多金属矿等工作区为重点开展调查工作。设计任务明确，工作思路清晰，工作方法及手段选择正确。工作部署较为合理。项目组人员结构及野外设备能够满足工作要求，项目组织及质量管理措施健全可行，安全保障措施完备，能够保证下达任务的实施。</w:t>
      </w:r>
    </w:p>
    <w:p>
      <w:pPr>
        <w:pStyle w:val="2"/>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23" w:firstLine="596" w:firstLineChars="200"/>
        <w:jc w:val="left"/>
        <w:textAlignment w:val="baseline"/>
        <w:outlineLvl w:val="9"/>
        <w:rPr>
          <w:rFonts w:hint="eastAsia"/>
          <w:spacing w:val="15"/>
          <w:position w:val="23"/>
          <w:sz w:val="32"/>
          <w:szCs w:val="32"/>
        </w:rPr>
      </w:pPr>
      <w:r>
        <w:rPr>
          <w:rFonts w:hint="eastAsia"/>
          <w:spacing w:val="15"/>
          <w:position w:val="23"/>
          <w:sz w:val="32"/>
          <w:szCs w:val="32"/>
        </w:rPr>
        <w:t>(二)项目过程情况。</w:t>
      </w:r>
    </w:p>
    <w:p>
      <w:pPr>
        <w:pStyle w:val="2"/>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23" w:firstLine="596" w:firstLineChars="200"/>
        <w:jc w:val="left"/>
        <w:textAlignment w:val="baseline"/>
        <w:outlineLvl w:val="9"/>
        <w:rPr>
          <w:rFonts w:hint="eastAsia"/>
          <w:spacing w:val="15"/>
          <w:position w:val="23"/>
          <w:sz w:val="32"/>
          <w:szCs w:val="32"/>
        </w:rPr>
      </w:pPr>
      <w:r>
        <w:rPr>
          <w:rFonts w:hint="eastAsia"/>
          <w:spacing w:val="15"/>
          <w:position w:val="23"/>
          <w:sz w:val="32"/>
          <w:szCs w:val="32"/>
        </w:rPr>
        <w:t>按照新疆地矿局2021年自筹资金项目安排，2021年6月4日，局组织相关专家，对新疆地质调查院上报的《新疆精河县三台一带稀有金属、萤石、脉石英矿调查评价项目设计书》进行了审查。通过专家预先阅读设计、项目承揽单位专题汇报、专家提问答疑、专家组讨论审查意见、与项目承担单位交接意见等程序，经设计评审委员会评定，给予</w:t>
      </w:r>
      <w:r>
        <w:rPr>
          <w:rFonts w:hint="eastAsia"/>
          <w:spacing w:val="15"/>
          <w:position w:val="23"/>
          <w:sz w:val="32"/>
          <w:szCs w:val="32"/>
          <w:lang w:eastAsia="zh-CN"/>
        </w:rPr>
        <w:t>良级</w:t>
      </w:r>
      <w:r>
        <w:rPr>
          <w:rFonts w:hint="eastAsia"/>
          <w:spacing w:val="15"/>
          <w:position w:val="23"/>
          <w:sz w:val="32"/>
          <w:szCs w:val="32"/>
        </w:rPr>
        <w:t>（88分）评价。</w:t>
      </w:r>
    </w:p>
    <w:p>
      <w:pPr>
        <w:pStyle w:val="2"/>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23" w:firstLine="596" w:firstLineChars="200"/>
        <w:jc w:val="left"/>
        <w:textAlignment w:val="baseline"/>
        <w:outlineLvl w:val="9"/>
        <w:rPr>
          <w:rFonts w:hint="eastAsia"/>
          <w:spacing w:val="15"/>
          <w:position w:val="23"/>
          <w:sz w:val="32"/>
          <w:szCs w:val="32"/>
          <w:lang w:eastAsia="zh-CN"/>
        </w:rPr>
      </w:pPr>
      <w:r>
        <w:rPr>
          <w:rFonts w:hint="eastAsia"/>
          <w:spacing w:val="15"/>
          <w:position w:val="23"/>
          <w:sz w:val="32"/>
          <w:szCs w:val="32"/>
        </w:rPr>
        <w:t>2021年10月19日，新疆地质调查院总工办组织专家对项目野外工作进行监理验收，检查了项目1∶1万地化剖面测量、1∶1万地质草测、1:2000地质草测以及1∶1万遥感解译工作等技术资料，通过检查</w:t>
      </w:r>
      <w:r>
        <w:rPr>
          <w:rFonts w:hint="eastAsia"/>
          <w:spacing w:val="15"/>
          <w:position w:val="23"/>
          <w:sz w:val="32"/>
          <w:szCs w:val="32"/>
          <w:lang w:eastAsia="zh-CN"/>
        </w:rPr>
        <w:t>，</w:t>
      </w:r>
      <w:r>
        <w:rPr>
          <w:rFonts w:hint="eastAsia"/>
          <w:spacing w:val="15"/>
          <w:position w:val="23"/>
          <w:sz w:val="32"/>
          <w:szCs w:val="32"/>
        </w:rPr>
        <w:t>项目组按照设计和任务书的要求开展了各项工作，较全面地完成了各项工作任务，质量管理体系运行情况良好，并取得了较好的找矿成果</w:t>
      </w:r>
      <w:r>
        <w:rPr>
          <w:rFonts w:hint="eastAsia"/>
          <w:spacing w:val="15"/>
          <w:position w:val="23"/>
          <w:sz w:val="32"/>
          <w:szCs w:val="32"/>
          <w:lang w:eastAsia="zh-CN"/>
        </w:rPr>
        <w:t>。</w:t>
      </w:r>
    </w:p>
    <w:p>
      <w:pPr>
        <w:pStyle w:val="2"/>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23" w:firstLine="596" w:firstLineChars="200"/>
        <w:jc w:val="left"/>
        <w:textAlignment w:val="baseline"/>
        <w:outlineLvl w:val="9"/>
        <w:rPr>
          <w:rFonts w:hint="eastAsia"/>
          <w:spacing w:val="15"/>
          <w:position w:val="23"/>
          <w:sz w:val="32"/>
          <w:szCs w:val="32"/>
        </w:rPr>
      </w:pPr>
      <w:r>
        <w:rPr>
          <w:rFonts w:hint="eastAsia"/>
          <w:spacing w:val="15"/>
          <w:position w:val="23"/>
          <w:sz w:val="32"/>
          <w:szCs w:val="32"/>
        </w:rPr>
        <w:t>新疆地矿局地科处组织并委托第七地质大队相关专家对项目进项了野外终期验收。验收组对项目形成各类资料进行认真详细检查，验收组指出：项目组基本完成了任务书下达的年度工作量，采用的技术方法恰当，工作部署较合理，工作精度达到任务书和相关规范的有关技术要求，取得了较完整的原始地质资料和一些地质成果。通过资料检查，验收组认为，项目分队取得的原始资料客观真实，较为全面，同意转入资料整理及成果报告编写。经验收组评定，给予项目良好级评价（88分）。</w:t>
      </w:r>
    </w:p>
    <w:p>
      <w:pPr>
        <w:pStyle w:val="2"/>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23" w:firstLine="596" w:firstLineChars="200"/>
        <w:jc w:val="left"/>
        <w:textAlignment w:val="baseline"/>
        <w:outlineLvl w:val="9"/>
        <w:rPr>
          <w:rFonts w:hint="eastAsia"/>
          <w:spacing w:val="15"/>
          <w:position w:val="23"/>
          <w:sz w:val="32"/>
          <w:szCs w:val="32"/>
          <w:lang w:eastAsia="zh-CN"/>
        </w:rPr>
      </w:pPr>
      <w:r>
        <w:rPr>
          <w:rFonts w:hint="eastAsia"/>
          <w:spacing w:val="15"/>
          <w:position w:val="23"/>
          <w:sz w:val="32"/>
          <w:szCs w:val="32"/>
        </w:rPr>
        <w:t>2023年4月22-23日，新疆地质矿产开发局对2021年批准实施的局自筹资金地质勘查新开项目进行了成果报告评审工作，通过专家预先阅读成果报告、附图、项目承揽单位专题汇报、专家提问答疑、专家组讨论审查意见、与项目承担单位交接意见等程序</w:t>
      </w:r>
      <w:r>
        <w:rPr>
          <w:rFonts w:hint="eastAsia"/>
          <w:spacing w:val="15"/>
          <w:position w:val="23"/>
          <w:sz w:val="32"/>
          <w:szCs w:val="32"/>
          <w:lang w:eastAsia="zh-CN"/>
        </w:rPr>
        <w:t>，</w:t>
      </w:r>
      <w:r>
        <w:rPr>
          <w:rFonts w:hint="eastAsia"/>
          <w:spacing w:val="15"/>
          <w:position w:val="23"/>
          <w:sz w:val="32"/>
          <w:szCs w:val="32"/>
        </w:rPr>
        <w:t>经地矿局组织的专家评审委员会审查和评分，报告得分84分，给予“良好级”评价。</w:t>
      </w:r>
    </w:p>
    <w:p>
      <w:pPr>
        <w:pStyle w:val="2"/>
        <w:keepNext w:val="0"/>
        <w:keepLines w:val="0"/>
        <w:pageBreakBefore w:val="0"/>
        <w:widowControl/>
        <w:kinsoku w:val="0"/>
        <w:wordWrap/>
        <w:overflowPunct/>
        <w:topLinePunct w:val="0"/>
        <w:autoSpaceDE w:val="0"/>
        <w:autoSpaceDN w:val="0"/>
        <w:bidi w:val="0"/>
        <w:adjustRightInd w:val="0"/>
        <w:snapToGrid w:val="0"/>
        <w:spacing w:line="240" w:lineRule="auto"/>
        <w:ind w:left="0" w:leftChars="0" w:firstLine="596" w:firstLineChars="200"/>
        <w:textAlignment w:val="baseline"/>
        <w:outlineLvl w:val="9"/>
        <w:rPr>
          <w:sz w:val="32"/>
          <w:szCs w:val="32"/>
          <w:highlight w:val="none"/>
        </w:rPr>
      </w:pPr>
      <w:r>
        <w:rPr>
          <w:spacing w:val="17"/>
          <w:sz w:val="32"/>
          <w:szCs w:val="32"/>
          <w:highlight w:val="none"/>
        </w:rPr>
        <w:t>(三)项目产出情况。</w:t>
      </w:r>
    </w:p>
    <w:p>
      <w:pPr>
        <w:pStyle w:val="2"/>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23" w:firstLine="596" w:firstLineChars="200"/>
        <w:jc w:val="left"/>
        <w:textAlignment w:val="baseline"/>
        <w:outlineLvl w:val="9"/>
        <w:rPr>
          <w:rFonts w:hint="eastAsia"/>
          <w:spacing w:val="15"/>
          <w:position w:val="23"/>
          <w:sz w:val="32"/>
          <w:szCs w:val="32"/>
        </w:rPr>
      </w:pPr>
      <w:r>
        <w:rPr>
          <w:rFonts w:hint="eastAsia"/>
          <w:spacing w:val="15"/>
          <w:position w:val="23"/>
          <w:sz w:val="32"/>
          <w:szCs w:val="32"/>
        </w:rPr>
        <w:t>1、在喀拉达板铜找矿靶区，工发现两处铜矿化点。</w:t>
      </w:r>
    </w:p>
    <w:p>
      <w:pPr>
        <w:pStyle w:val="2"/>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23" w:firstLine="596" w:firstLineChars="200"/>
        <w:jc w:val="left"/>
        <w:textAlignment w:val="baseline"/>
        <w:outlineLvl w:val="9"/>
        <w:rPr>
          <w:rFonts w:hint="eastAsia"/>
          <w:spacing w:val="15"/>
          <w:position w:val="23"/>
          <w:sz w:val="32"/>
          <w:szCs w:val="32"/>
        </w:rPr>
      </w:pPr>
      <w:r>
        <w:rPr>
          <w:rFonts w:hint="eastAsia"/>
          <w:spacing w:val="15"/>
          <w:position w:val="23"/>
          <w:sz w:val="32"/>
          <w:szCs w:val="32"/>
        </w:rPr>
        <w:t>2、在伊北榆树沟铜找矿靶区工发现铜矿化蚀变带一条，初步圈定两条铜矿体。</w:t>
      </w:r>
    </w:p>
    <w:p>
      <w:pPr>
        <w:pStyle w:val="2"/>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23" w:firstLine="596" w:firstLineChars="200"/>
        <w:jc w:val="left"/>
        <w:textAlignment w:val="baseline"/>
        <w:outlineLvl w:val="9"/>
        <w:rPr>
          <w:rFonts w:hint="eastAsia"/>
          <w:spacing w:val="15"/>
          <w:position w:val="23"/>
          <w:sz w:val="32"/>
          <w:szCs w:val="32"/>
        </w:rPr>
      </w:pPr>
      <w:r>
        <w:rPr>
          <w:rFonts w:hint="eastAsia"/>
          <w:spacing w:val="15"/>
          <w:position w:val="23"/>
          <w:sz w:val="32"/>
          <w:szCs w:val="32"/>
        </w:rPr>
        <w:t>3、在翁古尔阔腊萤石、脉石英找矿靶区发现一条脉石英矿体（喀英迪脉石英矿体南东向延伸部位），在喀英迪发现1处萤石矿化线索。</w:t>
      </w:r>
    </w:p>
    <w:p>
      <w:pPr>
        <w:pStyle w:val="2"/>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23" w:firstLine="596" w:firstLineChars="200"/>
        <w:jc w:val="left"/>
        <w:textAlignment w:val="baseline"/>
        <w:outlineLvl w:val="9"/>
        <w:rPr>
          <w:rFonts w:hint="eastAsia"/>
          <w:spacing w:val="15"/>
          <w:position w:val="23"/>
          <w:sz w:val="32"/>
          <w:szCs w:val="32"/>
        </w:rPr>
      </w:pPr>
      <w:r>
        <w:rPr>
          <w:rFonts w:hint="eastAsia"/>
          <w:spacing w:val="15"/>
          <w:position w:val="23"/>
          <w:sz w:val="32"/>
          <w:szCs w:val="32"/>
        </w:rPr>
        <w:t>4、喀拉他乌稀有金属找矿靶区，以Rb元素含量大于400ppm圈定铷矿化蚀变带1条。</w:t>
      </w:r>
    </w:p>
    <w:p>
      <w:pPr>
        <w:pStyle w:val="2"/>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23" w:firstLine="700" w:firstLineChars="200"/>
        <w:jc w:val="left"/>
        <w:textAlignment w:val="baseline"/>
        <w:outlineLvl w:val="9"/>
        <w:rPr>
          <w:rFonts w:hint="eastAsia"/>
          <w:spacing w:val="15"/>
          <w:position w:val="23"/>
          <w:sz w:val="32"/>
          <w:szCs w:val="32"/>
        </w:rPr>
      </w:pPr>
      <w:r>
        <w:rPr>
          <w:rFonts w:hint="eastAsia"/>
          <w:spacing w:val="15"/>
          <w:position w:val="23"/>
          <w:sz w:val="32"/>
          <w:szCs w:val="32"/>
        </w:rPr>
        <w:t>5、通过本次野外工作及最终成果综合分析，对区域铜多金属、稀有金属、萤石和脉石英等矿产成矿规律进行了总结，划分出成矿远景区4个，找矿靶区5个，为今后本区地质找矿工作部署提供了依据。</w:t>
      </w:r>
    </w:p>
    <w:p>
      <w:pPr>
        <w:pStyle w:val="2"/>
        <w:keepNext w:val="0"/>
        <w:keepLines w:val="0"/>
        <w:pageBreakBefore w:val="0"/>
        <w:widowControl/>
        <w:kinsoku w:val="0"/>
        <w:wordWrap/>
        <w:overflowPunct/>
        <w:topLinePunct w:val="0"/>
        <w:autoSpaceDE w:val="0"/>
        <w:autoSpaceDN w:val="0"/>
        <w:bidi w:val="0"/>
        <w:adjustRightInd w:val="0"/>
        <w:snapToGrid w:val="0"/>
        <w:spacing w:line="240" w:lineRule="auto"/>
        <w:ind w:left="0" w:leftChars="0" w:firstLine="700" w:firstLineChars="200"/>
        <w:jc w:val="left"/>
        <w:textAlignment w:val="baseline"/>
        <w:rPr>
          <w:spacing w:val="17"/>
          <w:sz w:val="32"/>
          <w:szCs w:val="32"/>
          <w:highlight w:val="none"/>
        </w:rPr>
      </w:pPr>
      <w:r>
        <w:rPr>
          <w:spacing w:val="17"/>
          <w:sz w:val="32"/>
          <w:szCs w:val="32"/>
          <w:highlight w:val="none"/>
        </w:rPr>
        <w:t>(四)项目效益情况。</w:t>
      </w:r>
    </w:p>
    <w:p>
      <w:pPr>
        <w:pStyle w:val="2"/>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23" w:firstLine="700" w:firstLineChars="200"/>
        <w:jc w:val="left"/>
        <w:textAlignment w:val="baseline"/>
        <w:rPr>
          <w:rFonts w:hint="eastAsia"/>
          <w:spacing w:val="15"/>
          <w:position w:val="23"/>
          <w:sz w:val="32"/>
          <w:szCs w:val="32"/>
        </w:rPr>
      </w:pPr>
      <w:r>
        <w:rPr>
          <w:rFonts w:hint="eastAsia"/>
          <w:spacing w:val="15"/>
          <w:position w:val="23"/>
          <w:sz w:val="32"/>
          <w:szCs w:val="32"/>
          <w:lang w:eastAsia="zh-CN"/>
        </w:rPr>
        <w:t>（</w:t>
      </w:r>
      <w:r>
        <w:rPr>
          <w:rFonts w:hint="default"/>
          <w:spacing w:val="15"/>
          <w:position w:val="23"/>
          <w:sz w:val="32"/>
          <w:szCs w:val="32"/>
          <w:lang w:val="en-US" w:eastAsia="zh-CN"/>
        </w:rPr>
        <w:t>1</w:t>
      </w:r>
      <w:r>
        <w:rPr>
          <w:rFonts w:hint="eastAsia"/>
          <w:spacing w:val="15"/>
          <w:position w:val="23"/>
          <w:sz w:val="32"/>
          <w:szCs w:val="32"/>
          <w:lang w:eastAsia="zh-CN"/>
        </w:rPr>
        <w:t>）</w:t>
      </w:r>
      <w:r>
        <w:rPr>
          <w:rFonts w:hint="eastAsia"/>
          <w:spacing w:val="15"/>
          <w:position w:val="23"/>
          <w:sz w:val="32"/>
          <w:szCs w:val="32"/>
        </w:rPr>
        <w:t>通过本项目实施，签订市场项目《新疆尼勒克喀英迪铁铜矿勘查》物探工作25.5万元；向博州自然资源局提交《新疆博州磷矿资源调查评价招标任务书》；经费680万元，《新疆博州硅质原料资源调查评价招标任务书》经费680万元；经费合计1385.5万元。</w:t>
      </w:r>
    </w:p>
    <w:p>
      <w:pPr>
        <w:pStyle w:val="2"/>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23" w:firstLine="700" w:firstLineChars="200"/>
        <w:jc w:val="left"/>
        <w:textAlignment w:val="baseline"/>
        <w:rPr>
          <w:rFonts w:hint="eastAsia"/>
          <w:spacing w:val="15"/>
          <w:position w:val="23"/>
          <w:sz w:val="32"/>
          <w:szCs w:val="32"/>
        </w:rPr>
      </w:pPr>
      <w:r>
        <w:rPr>
          <w:rFonts w:hint="eastAsia"/>
          <w:spacing w:val="15"/>
          <w:position w:val="23"/>
          <w:sz w:val="32"/>
          <w:szCs w:val="32"/>
          <w:lang w:eastAsia="zh-CN"/>
        </w:rPr>
        <w:t>（</w:t>
      </w:r>
      <w:r>
        <w:rPr>
          <w:rFonts w:hint="default"/>
          <w:spacing w:val="15"/>
          <w:position w:val="23"/>
          <w:sz w:val="32"/>
          <w:szCs w:val="32"/>
          <w:lang w:val="en-US" w:eastAsia="zh-CN"/>
        </w:rPr>
        <w:t>2</w:t>
      </w:r>
      <w:r>
        <w:rPr>
          <w:rFonts w:hint="eastAsia"/>
          <w:spacing w:val="15"/>
          <w:position w:val="23"/>
          <w:sz w:val="32"/>
          <w:szCs w:val="32"/>
          <w:lang w:eastAsia="zh-CN"/>
        </w:rPr>
        <w:t>）</w:t>
      </w:r>
      <w:r>
        <w:rPr>
          <w:rFonts w:hint="eastAsia"/>
          <w:spacing w:val="15"/>
          <w:position w:val="23"/>
          <w:sz w:val="32"/>
          <w:szCs w:val="32"/>
        </w:rPr>
        <w:t>通过本项目新发现喀拉达板铜矿化点、翁古尔阔腊脉石英矿点、喀英迪萤石矿化点、喀拉他乌铷矿化点和伊北榆树沟铜矿化点。</w:t>
      </w:r>
    </w:p>
    <w:p>
      <w:pPr>
        <w:pStyle w:val="2"/>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23" w:firstLine="700" w:firstLineChars="200"/>
        <w:jc w:val="left"/>
        <w:textAlignment w:val="baseline"/>
        <w:rPr>
          <w:rFonts w:hint="eastAsia"/>
          <w:spacing w:val="15"/>
          <w:position w:val="23"/>
          <w:sz w:val="32"/>
          <w:szCs w:val="32"/>
          <w:lang w:eastAsia="zh-CN"/>
        </w:rPr>
      </w:pPr>
      <w:r>
        <w:rPr>
          <w:rFonts w:hint="eastAsia"/>
          <w:spacing w:val="15"/>
          <w:position w:val="23"/>
          <w:sz w:val="32"/>
          <w:szCs w:val="32"/>
          <w:lang w:eastAsia="zh-CN"/>
        </w:rPr>
        <w:t>（</w:t>
      </w:r>
      <w:r>
        <w:rPr>
          <w:rFonts w:hint="eastAsia"/>
          <w:spacing w:val="15"/>
          <w:position w:val="23"/>
          <w:sz w:val="32"/>
          <w:szCs w:val="32"/>
          <w:lang w:val="en-US" w:eastAsia="zh-CN"/>
        </w:rPr>
        <w:t>3）</w:t>
      </w:r>
      <w:r>
        <w:rPr>
          <w:rFonts w:hint="eastAsia"/>
          <w:spacing w:val="15"/>
          <w:position w:val="23"/>
          <w:sz w:val="32"/>
          <w:szCs w:val="32"/>
          <w:lang w:eastAsia="zh-CN"/>
        </w:rPr>
        <w:t>雇佣当地地质工2人，大师傅1人。</w:t>
      </w:r>
    </w:p>
    <w:p>
      <w:pPr>
        <w:keepNext w:val="0"/>
        <w:keepLines w:val="0"/>
        <w:pageBreakBefore w:val="0"/>
        <w:widowControl/>
        <w:kinsoku w:val="0"/>
        <w:wordWrap/>
        <w:overflowPunct/>
        <w:topLinePunct w:val="0"/>
        <w:autoSpaceDE w:val="0"/>
        <w:autoSpaceDN w:val="0"/>
        <w:bidi w:val="0"/>
        <w:adjustRightInd w:val="0"/>
        <w:snapToGrid w:val="0"/>
        <w:spacing w:line="520" w:lineRule="exact"/>
        <w:ind w:left="0" w:leftChars="0" w:right="0" w:rightChars="0" w:firstLine="596" w:firstLineChars="200"/>
        <w:jc w:val="left"/>
        <w:textAlignment w:val="baseline"/>
        <w:outlineLvl w:val="0"/>
        <w:rPr>
          <w:rFonts w:ascii="黑体" w:hAnsi="黑体" w:eastAsia="黑体" w:cs="黑体"/>
          <w:b/>
          <w:bCs/>
          <w:spacing w:val="4"/>
          <w:sz w:val="29"/>
          <w:szCs w:val="29"/>
          <w:lang w:eastAsia="zh-CN"/>
        </w:rPr>
      </w:pPr>
      <w:r>
        <w:rPr>
          <w:rFonts w:ascii="黑体" w:hAnsi="黑体" w:eastAsia="黑体" w:cs="黑体"/>
          <w:b/>
          <w:bCs/>
          <w:spacing w:val="4"/>
          <w:sz w:val="29"/>
          <w:szCs w:val="29"/>
          <w:lang w:eastAsia="zh-CN"/>
        </w:rPr>
        <w:t>五、 主要经验及做法、存在的问题及原因分析</w:t>
      </w:r>
    </w:p>
    <w:p>
      <w:pPr>
        <w:keepNext w:val="0"/>
        <w:keepLines w:val="0"/>
        <w:pageBreakBefore w:val="0"/>
        <w:widowControl/>
        <w:kinsoku w:val="0"/>
        <w:wordWrap/>
        <w:overflowPunct/>
        <w:topLinePunct w:val="0"/>
        <w:autoSpaceDE w:val="0"/>
        <w:autoSpaceDN w:val="0"/>
        <w:bidi w:val="0"/>
        <w:adjustRightInd w:val="0"/>
        <w:snapToGrid w:val="0"/>
        <w:spacing w:line="520" w:lineRule="exact"/>
        <w:ind w:left="0" w:leftChars="0" w:right="0" w:rightChars="0" w:firstLine="596" w:firstLineChars="200"/>
        <w:jc w:val="left"/>
        <w:textAlignment w:val="baseline"/>
        <w:rPr>
          <w:rFonts w:hint="eastAsia" w:ascii="仿宋" w:hAnsi="仿宋" w:eastAsia="仿宋" w:cs="仿宋"/>
          <w:bCs/>
          <w:spacing w:val="4"/>
          <w:sz w:val="32"/>
          <w:szCs w:val="32"/>
          <w:lang w:eastAsia="zh-CN"/>
        </w:rPr>
      </w:pPr>
      <w:r>
        <w:rPr>
          <w:rFonts w:hint="eastAsia" w:ascii="仿宋" w:hAnsi="仿宋" w:eastAsia="仿宋" w:cs="仿宋"/>
          <w:bCs/>
          <w:spacing w:val="4"/>
          <w:sz w:val="32"/>
          <w:szCs w:val="32"/>
          <w:lang w:eastAsia="zh-CN"/>
        </w:rPr>
        <w:t>1.主要经验及做法</w:t>
      </w:r>
    </w:p>
    <w:p>
      <w:pPr>
        <w:keepNext w:val="0"/>
        <w:keepLines w:val="0"/>
        <w:pageBreakBefore w:val="0"/>
        <w:widowControl/>
        <w:kinsoku w:val="0"/>
        <w:wordWrap/>
        <w:overflowPunct/>
        <w:topLinePunct w:val="0"/>
        <w:autoSpaceDE w:val="0"/>
        <w:autoSpaceDN w:val="0"/>
        <w:bidi w:val="0"/>
        <w:adjustRightInd w:val="0"/>
        <w:snapToGrid w:val="0"/>
        <w:spacing w:line="520" w:lineRule="exact"/>
        <w:ind w:left="0" w:leftChars="0" w:right="0" w:rightChars="0" w:firstLine="596" w:firstLineChars="200"/>
        <w:jc w:val="left"/>
        <w:textAlignment w:val="baseline"/>
        <w:rPr>
          <w:rFonts w:hint="eastAsia" w:ascii="仿宋" w:hAnsi="仿宋" w:eastAsia="仿宋" w:cs="仿宋"/>
          <w:bCs/>
          <w:spacing w:val="4"/>
          <w:sz w:val="32"/>
          <w:szCs w:val="32"/>
          <w:lang w:eastAsia="zh-CN"/>
        </w:rPr>
      </w:pPr>
      <w:r>
        <w:rPr>
          <w:rFonts w:hint="eastAsia" w:ascii="仿宋" w:hAnsi="仿宋" w:eastAsia="仿宋" w:cs="仿宋"/>
          <w:bCs/>
          <w:spacing w:val="4"/>
          <w:sz w:val="32"/>
          <w:szCs w:val="32"/>
          <w:lang w:eastAsia="zh-CN"/>
        </w:rPr>
        <w:t>项目预算与实际执行之间的差异，需要在立项时进一步细化落实，尽可能贴近预算，减少偏差。</w:t>
      </w:r>
    </w:p>
    <w:p>
      <w:pPr>
        <w:keepNext w:val="0"/>
        <w:keepLines w:val="0"/>
        <w:pageBreakBefore w:val="0"/>
        <w:widowControl/>
        <w:kinsoku w:val="0"/>
        <w:wordWrap/>
        <w:overflowPunct/>
        <w:topLinePunct w:val="0"/>
        <w:autoSpaceDE w:val="0"/>
        <w:autoSpaceDN w:val="0"/>
        <w:bidi w:val="0"/>
        <w:adjustRightInd w:val="0"/>
        <w:snapToGrid w:val="0"/>
        <w:spacing w:line="520" w:lineRule="exact"/>
        <w:ind w:left="0" w:leftChars="0" w:right="0" w:rightChars="0" w:firstLine="596" w:firstLineChars="200"/>
        <w:jc w:val="left"/>
        <w:textAlignment w:val="baseline"/>
        <w:rPr>
          <w:rFonts w:hint="eastAsia" w:ascii="仿宋" w:hAnsi="仿宋" w:eastAsia="仿宋" w:cs="仿宋"/>
          <w:bCs/>
          <w:spacing w:val="4"/>
          <w:sz w:val="32"/>
          <w:szCs w:val="32"/>
          <w:lang w:eastAsia="zh-CN"/>
        </w:rPr>
      </w:pPr>
      <w:r>
        <w:rPr>
          <w:rFonts w:hint="eastAsia" w:ascii="仿宋" w:hAnsi="仿宋" w:eastAsia="仿宋" w:cs="仿宋"/>
          <w:bCs/>
          <w:spacing w:val="4"/>
          <w:sz w:val="32"/>
          <w:szCs w:val="32"/>
          <w:lang w:eastAsia="zh-CN"/>
        </w:rPr>
        <w:t>2.存在的问题及原因分析</w:t>
      </w:r>
    </w:p>
    <w:p>
      <w:pPr>
        <w:keepNext w:val="0"/>
        <w:keepLines w:val="0"/>
        <w:pageBreakBefore w:val="0"/>
        <w:widowControl/>
        <w:kinsoku w:val="0"/>
        <w:wordWrap/>
        <w:overflowPunct/>
        <w:topLinePunct w:val="0"/>
        <w:autoSpaceDE w:val="0"/>
        <w:autoSpaceDN w:val="0"/>
        <w:bidi w:val="0"/>
        <w:adjustRightInd w:val="0"/>
        <w:snapToGrid w:val="0"/>
        <w:spacing w:line="520" w:lineRule="exact"/>
        <w:ind w:left="0" w:leftChars="0" w:right="0" w:rightChars="0" w:firstLine="596" w:firstLineChars="200"/>
        <w:jc w:val="left"/>
        <w:textAlignment w:val="baseline"/>
        <w:rPr>
          <w:rFonts w:hint="eastAsia" w:ascii="仿宋" w:hAnsi="仿宋" w:eastAsia="仿宋" w:cs="仿宋"/>
          <w:bCs/>
          <w:spacing w:val="4"/>
          <w:sz w:val="32"/>
          <w:szCs w:val="32"/>
          <w:lang w:eastAsia="zh-CN"/>
        </w:rPr>
      </w:pPr>
      <w:r>
        <w:rPr>
          <w:rFonts w:hint="eastAsia" w:ascii="仿宋" w:hAnsi="仿宋" w:eastAsia="仿宋" w:cs="仿宋"/>
          <w:bCs/>
          <w:spacing w:val="4"/>
          <w:sz w:val="32"/>
          <w:szCs w:val="32"/>
          <w:lang w:eastAsia="zh-CN"/>
        </w:rPr>
        <w:t>在预算编制过程中，存在不可预见性与不可抗力，需要充分考虑实际情况，与实际情况相结合，确保全年目标任务的完成。</w:t>
      </w:r>
    </w:p>
    <w:p>
      <w:pPr>
        <w:keepNext w:val="0"/>
        <w:keepLines w:val="0"/>
        <w:pageBreakBefore w:val="0"/>
        <w:widowControl/>
        <w:kinsoku w:val="0"/>
        <w:wordWrap/>
        <w:overflowPunct/>
        <w:topLinePunct w:val="0"/>
        <w:autoSpaceDE w:val="0"/>
        <w:autoSpaceDN w:val="0"/>
        <w:bidi w:val="0"/>
        <w:adjustRightInd w:val="0"/>
        <w:snapToGrid w:val="0"/>
        <w:spacing w:line="520" w:lineRule="exact"/>
        <w:ind w:left="0" w:leftChars="0" w:right="0" w:rightChars="0" w:firstLine="596" w:firstLineChars="200"/>
        <w:jc w:val="left"/>
        <w:textAlignment w:val="baseline"/>
        <w:outlineLvl w:val="0"/>
        <w:rPr>
          <w:rFonts w:ascii="黑体" w:hAnsi="黑体" w:eastAsia="黑体" w:cs="黑体"/>
          <w:b/>
          <w:bCs/>
          <w:spacing w:val="4"/>
          <w:sz w:val="29"/>
          <w:szCs w:val="29"/>
          <w:lang w:eastAsia="zh-CN"/>
        </w:rPr>
      </w:pPr>
      <w:r>
        <w:rPr>
          <w:rFonts w:ascii="黑体" w:hAnsi="黑体" w:eastAsia="黑体" w:cs="黑体"/>
          <w:b/>
          <w:bCs/>
          <w:spacing w:val="4"/>
          <w:sz w:val="29"/>
          <w:szCs w:val="29"/>
          <w:lang w:eastAsia="zh-CN"/>
        </w:rPr>
        <w:t>六、 有关建议</w:t>
      </w:r>
    </w:p>
    <w:p>
      <w:pPr>
        <w:keepNext w:val="0"/>
        <w:keepLines w:val="0"/>
        <w:pageBreakBefore w:val="0"/>
        <w:widowControl/>
        <w:kinsoku w:val="0"/>
        <w:wordWrap/>
        <w:overflowPunct/>
        <w:topLinePunct w:val="0"/>
        <w:autoSpaceDE w:val="0"/>
        <w:autoSpaceDN w:val="0"/>
        <w:bidi w:val="0"/>
        <w:adjustRightInd w:val="0"/>
        <w:snapToGrid w:val="0"/>
        <w:spacing w:line="520" w:lineRule="exact"/>
        <w:ind w:left="0" w:leftChars="0" w:right="0" w:rightChars="0" w:firstLine="596" w:firstLineChars="200"/>
        <w:jc w:val="left"/>
        <w:textAlignment w:val="baseline"/>
        <w:outlineLvl w:val="0"/>
        <w:rPr>
          <w:rFonts w:hint="eastAsia" w:ascii="仿宋" w:hAnsi="仿宋" w:eastAsia="仿宋" w:cs="仿宋"/>
          <w:bCs/>
          <w:spacing w:val="4"/>
          <w:sz w:val="32"/>
          <w:szCs w:val="32"/>
          <w:lang w:eastAsia="zh-CN"/>
        </w:rPr>
      </w:pPr>
      <w:r>
        <w:rPr>
          <w:rFonts w:hint="eastAsia" w:ascii="仿宋" w:hAnsi="仿宋" w:eastAsia="仿宋" w:cs="仿宋"/>
          <w:bCs/>
          <w:spacing w:val="4"/>
          <w:sz w:val="32"/>
          <w:szCs w:val="32"/>
          <w:lang w:eastAsia="zh-CN"/>
        </w:rPr>
        <w:t>1.对项目决策的建议</w:t>
      </w:r>
    </w:p>
    <w:p>
      <w:pPr>
        <w:keepNext w:val="0"/>
        <w:keepLines w:val="0"/>
        <w:pageBreakBefore w:val="0"/>
        <w:widowControl/>
        <w:kinsoku w:val="0"/>
        <w:wordWrap/>
        <w:overflowPunct/>
        <w:topLinePunct w:val="0"/>
        <w:autoSpaceDE w:val="0"/>
        <w:autoSpaceDN w:val="0"/>
        <w:bidi w:val="0"/>
        <w:adjustRightInd w:val="0"/>
        <w:snapToGrid w:val="0"/>
        <w:spacing w:line="520" w:lineRule="exact"/>
        <w:ind w:left="0" w:leftChars="0" w:right="0" w:rightChars="0" w:firstLine="596" w:firstLineChars="200"/>
        <w:jc w:val="left"/>
        <w:textAlignment w:val="baseline"/>
        <w:outlineLvl w:val="0"/>
        <w:rPr>
          <w:rFonts w:hint="eastAsia" w:ascii="仿宋" w:hAnsi="仿宋" w:eastAsia="仿宋" w:cs="仿宋"/>
          <w:bCs/>
          <w:spacing w:val="4"/>
          <w:sz w:val="32"/>
          <w:szCs w:val="32"/>
          <w:lang w:eastAsia="zh-CN"/>
        </w:rPr>
      </w:pPr>
      <w:r>
        <w:rPr>
          <w:rFonts w:hint="eastAsia" w:ascii="仿宋" w:hAnsi="仿宋" w:eastAsia="仿宋" w:cs="仿宋"/>
          <w:bCs/>
          <w:spacing w:val="4"/>
          <w:sz w:val="32"/>
          <w:szCs w:val="32"/>
          <w:lang w:eastAsia="zh-CN"/>
        </w:rPr>
        <w:t>在项目立项时需要进一步细化落实，做到充分掌握情况，避免出现预算和实际偏差较大的情况出现。</w:t>
      </w:r>
    </w:p>
    <w:p>
      <w:pPr>
        <w:keepNext w:val="0"/>
        <w:keepLines w:val="0"/>
        <w:pageBreakBefore w:val="0"/>
        <w:widowControl/>
        <w:kinsoku w:val="0"/>
        <w:wordWrap/>
        <w:overflowPunct/>
        <w:topLinePunct w:val="0"/>
        <w:autoSpaceDE w:val="0"/>
        <w:autoSpaceDN w:val="0"/>
        <w:bidi w:val="0"/>
        <w:adjustRightInd w:val="0"/>
        <w:snapToGrid w:val="0"/>
        <w:spacing w:line="520" w:lineRule="exact"/>
        <w:ind w:left="0" w:leftChars="0" w:right="0" w:rightChars="0" w:firstLine="596" w:firstLineChars="200"/>
        <w:jc w:val="left"/>
        <w:textAlignment w:val="baseline"/>
        <w:outlineLvl w:val="0"/>
        <w:rPr>
          <w:rFonts w:hint="eastAsia" w:ascii="仿宋" w:hAnsi="仿宋" w:eastAsia="仿宋" w:cs="仿宋"/>
          <w:bCs/>
          <w:spacing w:val="4"/>
          <w:sz w:val="32"/>
          <w:szCs w:val="32"/>
          <w:lang w:eastAsia="zh-CN"/>
        </w:rPr>
      </w:pPr>
      <w:r>
        <w:rPr>
          <w:rFonts w:hint="eastAsia" w:ascii="仿宋" w:hAnsi="仿宋" w:eastAsia="仿宋" w:cs="仿宋"/>
          <w:bCs/>
          <w:spacing w:val="4"/>
          <w:sz w:val="32"/>
          <w:szCs w:val="32"/>
          <w:lang w:eastAsia="zh-CN"/>
        </w:rPr>
        <w:t>2.对预算安排与执行的建议</w:t>
      </w:r>
    </w:p>
    <w:p>
      <w:pPr>
        <w:keepNext w:val="0"/>
        <w:keepLines w:val="0"/>
        <w:pageBreakBefore w:val="0"/>
        <w:widowControl/>
        <w:kinsoku w:val="0"/>
        <w:wordWrap/>
        <w:overflowPunct/>
        <w:topLinePunct w:val="0"/>
        <w:autoSpaceDE w:val="0"/>
        <w:autoSpaceDN w:val="0"/>
        <w:bidi w:val="0"/>
        <w:adjustRightInd w:val="0"/>
        <w:snapToGrid w:val="0"/>
        <w:spacing w:line="520" w:lineRule="exact"/>
        <w:ind w:left="0" w:leftChars="0" w:right="0" w:rightChars="0" w:firstLine="596" w:firstLineChars="200"/>
        <w:jc w:val="left"/>
        <w:textAlignment w:val="baseline"/>
        <w:outlineLvl w:val="0"/>
        <w:rPr>
          <w:rFonts w:hint="eastAsia" w:ascii="仿宋" w:hAnsi="仿宋" w:eastAsia="仿宋" w:cs="仿宋"/>
          <w:bCs/>
          <w:spacing w:val="4"/>
          <w:sz w:val="32"/>
          <w:szCs w:val="32"/>
          <w:lang w:eastAsia="zh-CN"/>
        </w:rPr>
      </w:pPr>
      <w:r>
        <w:rPr>
          <w:rFonts w:hint="eastAsia" w:ascii="仿宋" w:hAnsi="仿宋" w:eastAsia="仿宋" w:cs="仿宋"/>
          <w:bCs/>
          <w:spacing w:val="4"/>
          <w:sz w:val="32"/>
          <w:szCs w:val="32"/>
          <w:lang w:eastAsia="zh-CN"/>
        </w:rPr>
        <w:t>充分考虑实际情况，从实际出发，合理编制预算，严格执行预算。</w:t>
      </w:r>
    </w:p>
    <w:p>
      <w:pPr>
        <w:keepNext w:val="0"/>
        <w:keepLines w:val="0"/>
        <w:pageBreakBefore w:val="0"/>
        <w:widowControl/>
        <w:kinsoku w:val="0"/>
        <w:wordWrap/>
        <w:overflowPunct/>
        <w:topLinePunct w:val="0"/>
        <w:autoSpaceDE w:val="0"/>
        <w:autoSpaceDN w:val="0"/>
        <w:bidi w:val="0"/>
        <w:adjustRightInd w:val="0"/>
        <w:snapToGrid w:val="0"/>
        <w:spacing w:line="520" w:lineRule="exact"/>
        <w:ind w:left="0" w:leftChars="0" w:right="0" w:rightChars="0" w:firstLine="596" w:firstLineChars="200"/>
        <w:jc w:val="left"/>
        <w:textAlignment w:val="baseline"/>
        <w:outlineLvl w:val="0"/>
        <w:rPr>
          <w:rFonts w:hint="eastAsia" w:ascii="仿宋" w:hAnsi="仿宋" w:eastAsia="仿宋" w:cs="仿宋"/>
          <w:bCs/>
          <w:spacing w:val="4"/>
          <w:sz w:val="32"/>
          <w:szCs w:val="32"/>
          <w:lang w:eastAsia="zh-CN"/>
        </w:rPr>
      </w:pPr>
      <w:r>
        <w:rPr>
          <w:rFonts w:hint="eastAsia" w:ascii="仿宋" w:hAnsi="仿宋" w:eastAsia="仿宋" w:cs="仿宋"/>
          <w:bCs/>
          <w:spacing w:val="4"/>
          <w:sz w:val="32"/>
          <w:szCs w:val="32"/>
          <w:lang w:eastAsia="zh-CN"/>
        </w:rPr>
        <w:t>3.对资金管理的建议</w:t>
      </w:r>
    </w:p>
    <w:p>
      <w:pPr>
        <w:keepNext w:val="0"/>
        <w:keepLines w:val="0"/>
        <w:pageBreakBefore w:val="0"/>
        <w:widowControl/>
        <w:kinsoku w:val="0"/>
        <w:wordWrap/>
        <w:overflowPunct/>
        <w:topLinePunct w:val="0"/>
        <w:autoSpaceDE w:val="0"/>
        <w:autoSpaceDN w:val="0"/>
        <w:bidi w:val="0"/>
        <w:adjustRightInd w:val="0"/>
        <w:snapToGrid w:val="0"/>
        <w:spacing w:line="520" w:lineRule="exact"/>
        <w:ind w:left="0" w:leftChars="0" w:right="0" w:rightChars="0" w:firstLine="596" w:firstLineChars="200"/>
        <w:jc w:val="left"/>
        <w:textAlignment w:val="baseline"/>
        <w:outlineLvl w:val="0"/>
        <w:rPr>
          <w:rFonts w:hint="eastAsia" w:ascii="仿宋" w:hAnsi="仿宋" w:eastAsia="仿宋" w:cs="仿宋"/>
          <w:bCs/>
          <w:spacing w:val="4"/>
          <w:sz w:val="32"/>
          <w:szCs w:val="32"/>
          <w:lang w:eastAsia="zh-CN"/>
        </w:rPr>
      </w:pPr>
      <w:r>
        <w:rPr>
          <w:rFonts w:hint="eastAsia" w:ascii="仿宋" w:hAnsi="仿宋" w:eastAsia="仿宋" w:cs="仿宋"/>
          <w:bCs/>
          <w:spacing w:val="4"/>
          <w:sz w:val="32"/>
          <w:szCs w:val="32"/>
          <w:lang w:eastAsia="zh-CN"/>
        </w:rPr>
        <w:t>加强采购资金的管理，通过招投标方式控制采购成本。严格按照合同支付程序办理资金支付。</w:t>
      </w:r>
    </w:p>
    <w:p>
      <w:pPr>
        <w:keepNext w:val="0"/>
        <w:keepLines w:val="0"/>
        <w:pageBreakBefore w:val="0"/>
        <w:widowControl/>
        <w:kinsoku w:val="0"/>
        <w:wordWrap/>
        <w:overflowPunct/>
        <w:topLinePunct w:val="0"/>
        <w:autoSpaceDE w:val="0"/>
        <w:autoSpaceDN w:val="0"/>
        <w:bidi w:val="0"/>
        <w:adjustRightInd w:val="0"/>
        <w:snapToGrid w:val="0"/>
        <w:spacing w:line="520" w:lineRule="exact"/>
        <w:ind w:left="0" w:leftChars="0" w:right="0" w:rightChars="0" w:firstLine="596" w:firstLineChars="200"/>
        <w:jc w:val="left"/>
        <w:textAlignment w:val="baseline"/>
        <w:outlineLvl w:val="0"/>
        <w:rPr>
          <w:rFonts w:hint="eastAsia" w:ascii="仿宋" w:hAnsi="仿宋" w:eastAsia="仿宋" w:cs="仿宋"/>
          <w:bCs/>
          <w:spacing w:val="4"/>
          <w:sz w:val="32"/>
          <w:szCs w:val="32"/>
          <w:lang w:eastAsia="zh-CN"/>
        </w:rPr>
      </w:pPr>
      <w:r>
        <w:rPr>
          <w:rFonts w:hint="eastAsia" w:ascii="仿宋" w:hAnsi="仿宋" w:eastAsia="仿宋" w:cs="仿宋"/>
          <w:bCs/>
          <w:spacing w:val="4"/>
          <w:sz w:val="32"/>
          <w:szCs w:val="32"/>
          <w:lang w:eastAsia="zh-CN"/>
        </w:rPr>
        <w:t>4.项目管理的建议</w:t>
      </w:r>
    </w:p>
    <w:p>
      <w:pPr>
        <w:keepNext w:val="0"/>
        <w:keepLines w:val="0"/>
        <w:pageBreakBefore w:val="0"/>
        <w:widowControl/>
        <w:kinsoku w:val="0"/>
        <w:wordWrap/>
        <w:overflowPunct/>
        <w:topLinePunct w:val="0"/>
        <w:autoSpaceDE w:val="0"/>
        <w:autoSpaceDN w:val="0"/>
        <w:bidi w:val="0"/>
        <w:adjustRightInd w:val="0"/>
        <w:snapToGrid w:val="0"/>
        <w:spacing w:line="520" w:lineRule="exact"/>
        <w:ind w:left="0" w:leftChars="0" w:right="0" w:rightChars="0" w:firstLine="596" w:firstLineChars="200"/>
        <w:jc w:val="left"/>
        <w:textAlignment w:val="baseline"/>
        <w:outlineLvl w:val="0"/>
        <w:rPr>
          <w:rFonts w:hint="eastAsia" w:ascii="仿宋" w:hAnsi="仿宋" w:eastAsia="仿宋" w:cs="仿宋"/>
          <w:bCs/>
          <w:spacing w:val="4"/>
          <w:sz w:val="32"/>
          <w:szCs w:val="32"/>
          <w:lang w:eastAsia="zh-CN"/>
        </w:rPr>
      </w:pPr>
      <w:r>
        <w:rPr>
          <w:rFonts w:hint="eastAsia" w:ascii="仿宋" w:hAnsi="仿宋" w:eastAsia="仿宋" w:cs="仿宋"/>
          <w:bCs/>
          <w:spacing w:val="4"/>
          <w:sz w:val="32"/>
          <w:szCs w:val="32"/>
          <w:lang w:eastAsia="zh-CN"/>
        </w:rPr>
        <w:t>做好预算基础以及前期资料收集工作，加强资金管理，合理编制预算。</w:t>
      </w:r>
    </w:p>
    <w:p>
      <w:pPr>
        <w:keepNext w:val="0"/>
        <w:keepLines w:val="0"/>
        <w:pageBreakBefore w:val="0"/>
        <w:widowControl/>
        <w:kinsoku w:val="0"/>
        <w:wordWrap/>
        <w:overflowPunct/>
        <w:topLinePunct w:val="0"/>
        <w:autoSpaceDE w:val="0"/>
        <w:autoSpaceDN w:val="0"/>
        <w:bidi w:val="0"/>
        <w:adjustRightInd w:val="0"/>
        <w:snapToGrid w:val="0"/>
        <w:spacing w:line="520" w:lineRule="exact"/>
        <w:ind w:left="0" w:leftChars="0" w:right="0" w:rightChars="0" w:firstLine="596" w:firstLineChars="200"/>
        <w:jc w:val="left"/>
        <w:textAlignment w:val="baseline"/>
        <w:outlineLvl w:val="0"/>
        <w:rPr>
          <w:rFonts w:ascii="黑体" w:hAnsi="黑体" w:eastAsia="黑体" w:cs="黑体"/>
          <w:b/>
          <w:bCs/>
          <w:spacing w:val="4"/>
          <w:sz w:val="29"/>
          <w:szCs w:val="29"/>
          <w:lang w:eastAsia="zh-CN"/>
        </w:rPr>
      </w:pPr>
      <w:r>
        <w:rPr>
          <w:rFonts w:ascii="黑体" w:hAnsi="黑体" w:eastAsia="黑体" w:cs="黑体"/>
          <w:b/>
          <w:bCs/>
          <w:spacing w:val="4"/>
          <w:sz w:val="29"/>
          <w:szCs w:val="29"/>
          <w:lang w:eastAsia="zh-CN"/>
        </w:rPr>
        <w:t>七、其他需要说明的问题</w:t>
      </w:r>
    </w:p>
    <w:p>
      <w:pPr>
        <w:keepNext w:val="0"/>
        <w:keepLines w:val="0"/>
        <w:pageBreakBefore w:val="0"/>
        <w:widowControl/>
        <w:kinsoku w:val="0"/>
        <w:wordWrap/>
        <w:overflowPunct/>
        <w:topLinePunct w:val="0"/>
        <w:autoSpaceDE w:val="0"/>
        <w:autoSpaceDN w:val="0"/>
        <w:bidi w:val="0"/>
        <w:adjustRightInd w:val="0"/>
        <w:snapToGrid w:val="0"/>
        <w:spacing w:line="520" w:lineRule="exact"/>
        <w:ind w:left="0" w:leftChars="0" w:right="0" w:rightChars="0" w:firstLine="596" w:firstLineChars="200"/>
        <w:jc w:val="left"/>
        <w:textAlignment w:val="baseline"/>
        <w:rPr>
          <w:sz w:val="31"/>
          <w:szCs w:val="31"/>
        </w:rPr>
      </w:pPr>
      <w:r>
        <w:rPr>
          <w:rFonts w:hint="eastAsia" w:ascii="仿宋" w:hAnsi="仿宋" w:eastAsia="仿宋" w:cs="黑体"/>
          <w:bCs/>
          <w:spacing w:val="4"/>
          <w:sz w:val="32"/>
          <w:szCs w:val="32"/>
          <w:lang w:eastAsia="zh-CN"/>
        </w:rPr>
        <w:t>无</w:t>
      </w:r>
    </w:p>
    <w:sectPr>
      <w:footerReference r:id="rId3" w:type="default"/>
      <w:pgSz w:w="11900" w:h="16840"/>
      <w:pgMar w:top="1431" w:right="1495" w:bottom="400" w:left="1785"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华文中宋">
    <w:altName w:val="宋体"/>
    <w:panose1 w:val="02010600040101010101"/>
    <w:charset w:val="86"/>
    <w:family w:val="auto"/>
    <w:pitch w:val="default"/>
    <w:sig w:usb0="00000000" w:usb1="00000000" w:usb2="00000000" w:usb3="00000000" w:csb0="00000000" w:csb1="00000000"/>
  </w:font>
  <w:font w:name="方正小标宋_GBK">
    <w:altName w:val="微软雅黑"/>
    <w:panose1 w:val="02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6A3D81"/>
    <w:multiLevelType w:val="multilevel"/>
    <w:tmpl w:val="7D6A3D81"/>
    <w:lvl w:ilvl="0" w:tentative="0">
      <w:start w:val="1"/>
      <w:numFmt w:val="chineseCounting"/>
      <w:lvlText w:val="(%1)"/>
      <w:lvlJc w:val="left"/>
      <w:pPr>
        <w:tabs>
          <w:tab w:val="left" w:pos="312"/>
        </w:tabs>
      </w:pPr>
      <w:rPr>
        <w:rFonts w:hint="default"/>
        <w:u w:val="none" w:color="auto"/>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jliMzBjN2VkMjAzNjlkNDYyYTkwYzRjZDJjNDJlMGIifQ=="/>
  </w:docVars>
  <w:rsids>
    <w:rsidRoot w:val="00172A27"/>
    <w:rsid w:val="0B6566DF"/>
    <w:rsid w:val="10BA21F2"/>
    <w:rsid w:val="15EB0945"/>
    <w:rsid w:val="246037F5"/>
    <w:rsid w:val="24BA04B4"/>
    <w:rsid w:val="2C935705"/>
    <w:rsid w:val="2DF232FE"/>
    <w:rsid w:val="3AAC1209"/>
    <w:rsid w:val="3AF00EAA"/>
    <w:rsid w:val="3F1940F0"/>
    <w:rsid w:val="49074D66"/>
    <w:rsid w:val="5A087BE3"/>
    <w:rsid w:val="775B5F3A"/>
    <w:rsid w:val="7B5F2DBC"/>
    <w:rsid w:val="7D445D47"/>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5"/>
      <w:szCs w:val="35"/>
      <w:lang w:val="en-US" w:eastAsia="en-US" w:bidi="ar-SA"/>
    </w:rPr>
  </w:style>
  <w:style w:type="paragraph" w:styleId="3">
    <w:name w:val="footnote text"/>
    <w:basedOn w:val="1"/>
    <w:qFormat/>
    <w:uiPriority w:val="0"/>
    <w:pPr>
      <w:snapToGrid w:val="0"/>
      <w:jc w:val="left"/>
    </w:pPr>
    <w:rPr>
      <w:sz w:val="18"/>
      <w:szCs w:val="18"/>
    </w:rPr>
  </w:style>
  <w:style w:type="character" w:styleId="5">
    <w:name w:val="Strong"/>
    <w:basedOn w:val="4"/>
    <w:qFormat/>
    <w:uiPriority w:val="0"/>
    <w:rPr>
      <w:b/>
      <w:bCs/>
    </w:rPr>
  </w:style>
  <w:style w:type="table" w:customStyle="1" w:styleId="7">
    <w:name w:val="Table Normal"/>
    <w:unhideWhenUsed/>
    <w:qFormat/>
    <w:uiPriority w:val="0"/>
    <w:tblPr>
      <w:tblLayout w:type="fixed"/>
      <w:tblCellMar>
        <w:top w:w="0" w:type="dxa"/>
        <w:left w:w="0" w:type="dxa"/>
        <w:bottom w:w="0" w:type="dxa"/>
        <w:right w:w="0" w:type="dxa"/>
      </w:tblCellMar>
    </w:tblPr>
  </w:style>
  <w:style w:type="paragraph" w:customStyle="1" w:styleId="8">
    <w:name w:val="Table Text"/>
    <w:basedOn w:val="1"/>
    <w:semiHidden/>
    <w:qFormat/>
    <w:uiPriority w:val="0"/>
    <w:rPr>
      <w:rFonts w:ascii="Arial" w:hAnsi="Arial" w:eastAsia="Arial" w:cs="Arial"/>
      <w:sz w:val="21"/>
      <w:szCs w:val="21"/>
      <w:lang w:val="en-US" w:eastAsia="en-US" w:bidi="ar-SA"/>
    </w:rPr>
  </w:style>
  <w:style w:type="character" w:customStyle="1" w:styleId="9">
    <w:name w:val="font21"/>
    <w:basedOn w:val="4"/>
    <w:qFormat/>
    <w:uiPriority w:val="0"/>
    <w:rPr>
      <w:rFonts w:ascii="宋体" w:hAnsi="宋体" w:eastAsia="宋体" w:cs="宋体"/>
      <w:color w:val="000000"/>
      <w:sz w:val="16"/>
      <w:szCs w:val="16"/>
      <w:u w:val="none"/>
    </w:rPr>
  </w:style>
  <w:style w:type="character" w:customStyle="1" w:styleId="10">
    <w:name w:val="font111"/>
    <w:basedOn w:val="4"/>
    <w:qFormat/>
    <w:uiPriority w:val="0"/>
    <w:rPr>
      <w:rFonts w:ascii="宋体" w:hAnsi="宋体" w:eastAsia="宋体" w:cs="宋体"/>
      <w:b/>
      <w:bCs/>
      <w:color w:val="000000"/>
      <w:sz w:val="28"/>
      <w:szCs w:val="28"/>
      <w:u w:val="none"/>
    </w:rPr>
  </w:style>
  <w:style w:type="character" w:customStyle="1" w:styleId="11">
    <w:name w:val="font122"/>
    <w:basedOn w:val="4"/>
    <w:qFormat/>
    <w:uiPriority w:val="0"/>
    <w:rPr>
      <w:rFonts w:ascii="宋体" w:hAnsi="宋体" w:eastAsia="宋体" w:cs="宋体"/>
      <w:color w:val="000000"/>
      <w:sz w:val="12"/>
      <w:szCs w:val="1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ScaleCrop>false</ScaleCrop>
  <LinksUpToDate>false</LinksUpToDate>
  <CharactersWithSpaces>0</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2024-03-07T15:40:00Z</dcterms:created>
  <dc:creator>Kingsoft-PDF</dc:creator>
  <cp:lastModifiedBy>Administrator</cp:lastModifiedBy>
  <dcterms:modified xsi:type="dcterms:W3CDTF">2024-08-27T13:55:22Z</dcterms:modified>
  <dc:subject>pdfbuilder</dc:subject>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2024-03-07T15:40:17Z</vt:filetime>
  </property>
  <property fmtid="{D5CDD505-2E9C-101B-9397-08002B2CF9AE}" pid="4" name="UsrData">
    <vt:lpwstr>65e96f599563c7001fa9c631wl</vt:lpwstr>
  </property>
  <property fmtid="{D5CDD505-2E9C-101B-9397-08002B2CF9AE}" pid="5" name="KSOProductBuildVer">
    <vt:lpwstr>2052-10.8.0.5838</vt:lpwstr>
  </property>
  <property fmtid="{D5CDD505-2E9C-101B-9397-08002B2CF9AE}" pid="6" name="ICV">
    <vt:lpwstr>61B6F6247A3B49F4A8B6D98462F504F3</vt:lpwstr>
  </property>
</Properties>
</file>