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6" w:lineRule="auto"/>
      </w:pPr>
    </w:p>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5"/>
          <w:rFonts w:hint="eastAsia" w:ascii="楷体" w:hAnsi="楷体" w:eastAsia="楷体"/>
          <w:spacing w:val="-4"/>
          <w:sz w:val="32"/>
          <w:szCs w:val="32"/>
        </w:rPr>
        <w:t>202</w:t>
      </w:r>
      <w:r>
        <w:rPr>
          <w:rStyle w:val="5"/>
          <w:rFonts w:hint="eastAsia" w:ascii="楷体" w:hAnsi="楷体" w:eastAsia="楷体"/>
          <w:spacing w:val="-4"/>
          <w:sz w:val="32"/>
          <w:szCs w:val="32"/>
          <w:lang w:val="en-US" w:eastAsia="zh-CN"/>
        </w:rPr>
        <w:t>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jc w:val="left"/>
        <w:rPr>
          <w:rFonts w:hint="eastAsia" w:ascii="仿宋_GB2312" w:hAnsi="仿宋_GB2312" w:eastAsia="仿宋_GB2312" w:cs="仿宋_GB2312"/>
          <w:color w:val="auto"/>
          <w:sz w:val="36"/>
          <w:szCs w:val="36"/>
          <w:lang w:eastAsia="zh-CN"/>
        </w:rPr>
      </w:pP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项目名称：</w:t>
      </w:r>
      <w:r>
        <w:rPr>
          <w:rFonts w:hint="eastAsia" w:ascii="仿宋_GB2312" w:hAnsi="仿宋_GB2312" w:eastAsia="仿宋_GB2312" w:cs="仿宋_GB2312"/>
          <w:color w:val="auto"/>
          <w:sz w:val="36"/>
          <w:szCs w:val="36"/>
          <w:lang w:eastAsia="zh-CN"/>
        </w:rPr>
        <w:t>墨玉县阔依其乡盐碱地高效开发利用示范及固碳潜力预研究</w:t>
      </w:r>
    </w:p>
    <w:p>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实施单位（公章）：</w:t>
      </w:r>
      <w:r>
        <w:rPr>
          <w:rFonts w:hint="eastAsia" w:hAnsi="宋体" w:eastAsia="仿宋_GB2312" w:cs="宋体"/>
          <w:kern w:val="0"/>
          <w:sz w:val="36"/>
          <w:szCs w:val="36"/>
          <w:lang w:eastAsia="zh-CN"/>
        </w:rPr>
        <w:t>新疆维吾尔自治区地质调查院</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主管部门（公章）：新疆维吾尔自治区地质矿产勘查开发局</w:t>
      </w:r>
    </w:p>
    <w:p>
      <w:pPr>
        <w:spacing w:line="540" w:lineRule="exact"/>
        <w:ind w:firstLine="900" w:firstLineChars="250"/>
        <w:rPr>
          <w:rFonts w:hint="eastAsia" w:hAnsi="宋体" w:eastAsia="仿宋_GB2312" w:cs="宋体"/>
          <w:kern w:val="0"/>
          <w:sz w:val="36"/>
          <w:szCs w:val="36"/>
          <w:lang w:eastAsia="zh-CN"/>
        </w:rPr>
      </w:pPr>
    </w:p>
    <w:p>
      <w:pPr>
        <w:spacing w:line="540" w:lineRule="exact"/>
        <w:rPr>
          <w:rFonts w:hint="eastAsia" w:ascii="楷体" w:hAnsi="楷体" w:eastAsia="仿宋_GB2312"/>
          <w:b/>
          <w:bCs/>
          <w:spacing w:val="-4"/>
          <w:sz w:val="32"/>
          <w:szCs w:val="32"/>
          <w:lang w:eastAsia="zh-CN"/>
        </w:rPr>
      </w:pP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王刚</w:t>
      </w: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填报时间：202</w:t>
      </w:r>
      <w:r>
        <w:rPr>
          <w:rFonts w:hint="eastAsia" w:hAnsi="宋体" w:eastAsia="仿宋_GB2312" w:cs="宋体"/>
          <w:kern w:val="0"/>
          <w:sz w:val="36"/>
          <w:szCs w:val="36"/>
          <w:lang w:val="en-US" w:eastAsia="zh-CN"/>
        </w:rPr>
        <w:t>3</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4</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7</w:t>
      </w:r>
      <w:r>
        <w:rPr>
          <w:rFonts w:hint="eastAsia" w:hAnsi="宋体" w:eastAsia="仿宋_GB2312" w:cs="宋体"/>
          <w:kern w:val="0"/>
          <w:sz w:val="36"/>
          <w:szCs w:val="36"/>
        </w:rPr>
        <w:t>日</w:t>
      </w:r>
    </w:p>
    <w:p>
      <w:pPr>
        <w:spacing w:before="307" w:line="218" w:lineRule="auto"/>
        <w:ind w:left="2644"/>
        <w:rPr>
          <w:rFonts w:ascii="宋体" w:hAnsi="宋体" w:eastAsia="宋体" w:cs="宋体"/>
          <w:b/>
          <w:bCs/>
          <w:spacing w:val="58"/>
          <w:sz w:val="29"/>
          <w:szCs w:val="29"/>
          <w:lang w:eastAsia="zh-CN"/>
        </w:rPr>
      </w:pPr>
    </w:p>
    <w:p>
      <w:pPr>
        <w:spacing w:line="360" w:lineRule="auto"/>
        <w:ind w:left="561"/>
        <w:outlineLvl w:val="1"/>
        <w:rPr>
          <w:rFonts w:ascii="黑体" w:hAnsi="黑体" w:eastAsia="黑体" w:cs="黑体"/>
          <w:b/>
          <w:bCs/>
          <w:spacing w:val="4"/>
          <w:sz w:val="29"/>
          <w:szCs w:val="29"/>
          <w:lang w:eastAsia="zh-CN"/>
        </w:rPr>
      </w:pPr>
    </w:p>
    <w:p>
      <w:pPr>
        <w:spacing w:line="360" w:lineRule="auto"/>
        <w:ind w:left="561"/>
        <w:outlineLvl w:val="1"/>
        <w:rPr>
          <w:rFonts w:ascii="黑体" w:hAnsi="黑体" w:eastAsia="黑体" w:cs="黑体"/>
          <w:sz w:val="32"/>
          <w:szCs w:val="32"/>
          <w:lang w:eastAsia="zh-CN"/>
        </w:rPr>
      </w:pPr>
      <w:r>
        <w:rPr>
          <w:rFonts w:ascii="黑体" w:hAnsi="黑体" w:eastAsia="黑体" w:cs="黑体"/>
          <w:b/>
          <w:bCs/>
          <w:spacing w:val="4"/>
          <w:sz w:val="29"/>
          <w:szCs w:val="29"/>
          <w:lang w:eastAsia="zh-CN"/>
        </w:rPr>
        <w:t>一</w:t>
      </w:r>
      <w:r>
        <w:rPr>
          <w:rFonts w:ascii="黑体" w:hAnsi="黑体" w:eastAsia="黑体" w:cs="黑体"/>
          <w:b/>
          <w:bCs/>
          <w:spacing w:val="4"/>
          <w:sz w:val="32"/>
          <w:szCs w:val="32"/>
          <w:lang w:eastAsia="zh-CN"/>
        </w:rPr>
        <w:t>、基本情况</w:t>
      </w:r>
    </w:p>
    <w:p>
      <w:pPr>
        <w:pStyle w:val="3"/>
        <w:spacing w:line="360" w:lineRule="auto"/>
        <w:ind w:firstLine="556" w:firstLineChars="200"/>
        <w:rPr>
          <w:rFonts w:hint="eastAsia" w:ascii="仿宋_GB2312" w:hAnsi="仿宋_GB2312" w:eastAsia="仿宋_GB2312" w:cs="仿宋_GB2312"/>
          <w:color w:val="auto"/>
          <w:spacing w:val="-1"/>
          <w:sz w:val="32"/>
          <w:szCs w:val="32"/>
          <w:lang w:eastAsia="zh-CN"/>
        </w:rPr>
      </w:pPr>
      <w:r>
        <w:rPr>
          <w:rFonts w:hint="eastAsia" w:ascii="仿宋_GB2312" w:hAnsi="仿宋_GB2312" w:eastAsia="仿宋_GB2312" w:cs="仿宋_GB2312"/>
          <w:color w:val="auto"/>
          <w:spacing w:val="-1"/>
          <w:sz w:val="32"/>
          <w:szCs w:val="32"/>
          <w:lang w:eastAsia="zh-CN"/>
        </w:rPr>
        <w:t>(一)项目概况</w:t>
      </w:r>
    </w:p>
    <w:p>
      <w:pPr>
        <w:pStyle w:val="3"/>
        <w:spacing w:line="360" w:lineRule="auto"/>
        <w:ind w:firstLine="556" w:firstLineChars="200"/>
        <w:rPr>
          <w:rFonts w:hint="eastAsia" w:ascii="仿宋_GB2312" w:hAnsi="仿宋_GB2312" w:eastAsia="仿宋_GB2312" w:cs="仿宋_GB2312"/>
          <w:color w:val="auto"/>
          <w:spacing w:val="-1"/>
          <w:sz w:val="32"/>
          <w:szCs w:val="32"/>
          <w:lang w:eastAsia="zh-CN"/>
        </w:rPr>
      </w:pPr>
      <w:r>
        <w:rPr>
          <w:rFonts w:hint="eastAsia" w:ascii="仿宋_GB2312" w:hAnsi="仿宋_GB2312" w:eastAsia="仿宋_GB2312" w:cs="仿宋_GB2312"/>
          <w:color w:val="auto"/>
          <w:spacing w:val="-1"/>
          <w:sz w:val="32"/>
          <w:szCs w:val="32"/>
          <w:lang w:eastAsia="zh-CN"/>
        </w:rPr>
        <w:t>1.项目背景</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墨玉县阔依其乡盐碱地高效开发利用示范及固碳潜力预研究”项目是2022年新开局自筹项目，工作时间为两年，2023年度主要为续做工作，依据自治区地矿局下达的任务书，由新疆维吾尔自治区地质调查院最终承担本项目工作。</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项目名称：墨玉县阔依其乡盐碱地高效开发利用示范及固碳潜力预研究</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项目编号：XGMB202238</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管理单位：新疆维吾尔自治区地质矿产勘查开发局</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工作期限：2022年4月～2024年4月</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经费来源：自治区地矿局自筹资金</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承担单位：新疆维吾尔自治区地质调查院</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项目经费：</w:t>
      </w:r>
      <w:r>
        <w:rPr>
          <w:rFonts w:hint="eastAsia" w:ascii="仿宋_GB2312" w:hAnsi="仿宋_GB2312" w:eastAsia="仿宋_GB2312" w:cs="仿宋_GB2312"/>
          <w:color w:val="auto"/>
          <w:sz w:val="32"/>
          <w:szCs w:val="32"/>
          <w:lang w:val="en-US" w:eastAsia="zh-CN"/>
        </w:rPr>
        <w:t>99.6</w:t>
      </w:r>
      <w:r>
        <w:rPr>
          <w:rFonts w:hint="eastAsia" w:ascii="仿宋_GB2312" w:hAnsi="仿宋_GB2312" w:eastAsia="仿宋_GB2312" w:cs="仿宋_GB2312"/>
          <w:color w:val="auto"/>
          <w:sz w:val="32"/>
          <w:szCs w:val="32"/>
          <w:lang w:eastAsia="zh-CN"/>
        </w:rPr>
        <w:t>万元（局出资89.6万元，单位出资</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lang w:eastAsia="zh-CN"/>
        </w:rPr>
        <w:t>万元）</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2.工作内容及实施情况</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本项目实物工作量主要包括：1∶2.5万遥感解译370平方千米；1∶5万生态地质地质测量370平方千米；高密度电阻率法测量点260个；浅井调查15个；生态土壤样335件；生态水样30件；生态植物样185件；1∶5万土地质量地球化学调查47平方千米；1∶5万土地调查土壤样470样（含重复样）；灌溉水样15件；植物样60件；试验田1块。</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项目组根据任务书及设计书的相关要求，通过多方合作和研讨交流、野外实地调查、室内综合研究、样品测试等技术方法和手段开展墨玉县阔依其乡盐碱地高效开发利用示范及固碳潜力预研究工作，全面完成或超额完成了各项工作任务，完成工作量见表1。</w:t>
      </w:r>
    </w:p>
    <w:p>
      <w:pPr>
        <w:spacing w:before="72" w:beforeLines="30" w:after="72" w:afterLines="30" w:line="320" w:lineRule="exact"/>
        <w:jc w:val="center"/>
        <w:rPr>
          <w:rFonts w:ascii="宋体" w:hAnsi="宋体" w:eastAsia="宋体" w:cs="Times New Roman"/>
          <w:sz w:val="18"/>
          <w:szCs w:val="18"/>
          <w:lang w:eastAsia="zh-CN"/>
        </w:rPr>
      </w:pPr>
      <w:r>
        <w:rPr>
          <w:rFonts w:hint="eastAsia" w:ascii="宋体" w:hAnsi="宋体" w:eastAsia="宋体" w:cs="Times New Roman"/>
          <w:sz w:val="18"/>
          <w:szCs w:val="18"/>
          <w:lang w:eastAsia="zh-CN"/>
        </w:rPr>
        <w:t>表1  项目完成实物工作量一览表</w:t>
      </w:r>
    </w:p>
    <w:tbl>
      <w:tblPr>
        <w:tblStyle w:val="6"/>
        <w:tblW w:w="8991" w:type="dxa"/>
        <w:jc w:val="center"/>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525"/>
        <w:gridCol w:w="2525"/>
        <w:gridCol w:w="709"/>
        <w:gridCol w:w="992"/>
        <w:gridCol w:w="1134"/>
        <w:gridCol w:w="709"/>
        <w:gridCol w:w="39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97" w:hRule="atLeast"/>
          <w:jc w:val="center"/>
        </w:trPr>
        <w:tc>
          <w:tcPr>
            <w:tcW w:w="2525" w:type="dxa"/>
            <w:tcBorders>
              <w:top w:val="single" w:color="auto" w:sz="4" w:space="0"/>
              <w:left w:val="single" w:color="auto" w:sz="4" w:space="0"/>
            </w:tcBorders>
            <w:vAlign w:val="center"/>
          </w:tcPr>
          <w:p>
            <w:pPr>
              <w:spacing w:line="0" w:lineRule="atLeast"/>
              <w:ind w:left="-113" w:right="-113"/>
              <w:jc w:val="center"/>
              <w:rPr>
                <w:rFonts w:ascii="宋体" w:hAnsi="宋体" w:eastAsia="宋体" w:cstheme="minorEastAsia"/>
                <w:sz w:val="18"/>
                <w:szCs w:val="18"/>
              </w:rPr>
            </w:pPr>
            <w:r>
              <w:rPr>
                <w:rFonts w:hint="eastAsia" w:ascii="宋体" w:hAnsi="宋体" w:eastAsia="宋体" w:cstheme="minorEastAsia"/>
                <w:sz w:val="18"/>
                <w:szCs w:val="18"/>
              </w:rPr>
              <w:t>工作项目</w:t>
            </w:r>
          </w:p>
        </w:tc>
        <w:tc>
          <w:tcPr>
            <w:tcW w:w="2525" w:type="dxa"/>
            <w:tcBorders>
              <w:top w:val="single" w:color="auto" w:sz="4" w:space="0"/>
              <w:left w:val="single" w:color="auto" w:sz="4" w:space="0"/>
            </w:tcBorders>
            <w:vAlign w:val="center"/>
          </w:tcPr>
          <w:p>
            <w:pPr>
              <w:spacing w:line="0" w:lineRule="atLeast"/>
              <w:ind w:left="-113" w:right="-113"/>
              <w:jc w:val="center"/>
              <w:rPr>
                <w:rFonts w:ascii="宋体" w:hAnsi="宋体" w:eastAsia="宋体" w:cstheme="minorEastAsia"/>
                <w:sz w:val="18"/>
                <w:szCs w:val="18"/>
              </w:rPr>
            </w:pPr>
            <w:r>
              <w:rPr>
                <w:rFonts w:hint="eastAsia" w:ascii="宋体" w:hAnsi="宋体" w:eastAsia="宋体" w:cstheme="minorEastAsia"/>
                <w:sz w:val="18"/>
                <w:szCs w:val="18"/>
              </w:rPr>
              <w:t>工作手段</w:t>
            </w:r>
          </w:p>
        </w:tc>
        <w:tc>
          <w:tcPr>
            <w:tcW w:w="709" w:type="dxa"/>
            <w:tcBorders>
              <w:top w:val="single" w:color="auto" w:sz="4" w:space="0"/>
            </w:tcBorders>
            <w:vAlign w:val="center"/>
          </w:tcPr>
          <w:p>
            <w:pPr>
              <w:spacing w:line="0" w:lineRule="atLeast"/>
              <w:ind w:left="-57" w:right="-57"/>
              <w:jc w:val="center"/>
              <w:rPr>
                <w:rFonts w:ascii="宋体" w:hAnsi="宋体" w:eastAsia="宋体" w:cstheme="minorEastAsia"/>
                <w:sz w:val="18"/>
                <w:szCs w:val="18"/>
              </w:rPr>
            </w:pPr>
            <w:r>
              <w:rPr>
                <w:rFonts w:hint="eastAsia" w:ascii="宋体" w:hAnsi="宋体" w:eastAsia="宋体" w:cstheme="minorEastAsia"/>
                <w:sz w:val="18"/>
                <w:szCs w:val="18"/>
              </w:rPr>
              <w:t>计量</w:t>
            </w:r>
          </w:p>
          <w:p>
            <w:pPr>
              <w:spacing w:line="0" w:lineRule="atLeast"/>
              <w:ind w:left="-57" w:right="-57"/>
              <w:jc w:val="center"/>
              <w:rPr>
                <w:rFonts w:ascii="宋体" w:hAnsi="宋体" w:eastAsia="宋体" w:cstheme="minorEastAsia"/>
                <w:sz w:val="18"/>
                <w:szCs w:val="18"/>
              </w:rPr>
            </w:pPr>
            <w:r>
              <w:rPr>
                <w:rFonts w:hint="eastAsia" w:ascii="宋体" w:hAnsi="宋体" w:eastAsia="宋体" w:cstheme="minorEastAsia"/>
                <w:sz w:val="18"/>
                <w:szCs w:val="18"/>
              </w:rPr>
              <w:t>单位</w:t>
            </w:r>
          </w:p>
        </w:tc>
        <w:tc>
          <w:tcPr>
            <w:tcW w:w="992" w:type="dxa"/>
            <w:tcBorders>
              <w:top w:val="single" w:color="auto" w:sz="4" w:space="0"/>
            </w:tcBorders>
            <w:vAlign w:val="center"/>
          </w:tcPr>
          <w:p>
            <w:pPr>
              <w:spacing w:line="0" w:lineRule="atLeast"/>
              <w:ind w:left="-113" w:right="-113"/>
              <w:jc w:val="center"/>
              <w:rPr>
                <w:rFonts w:ascii="宋体" w:hAnsi="宋体" w:eastAsia="宋体" w:cstheme="minorEastAsia"/>
                <w:sz w:val="18"/>
                <w:szCs w:val="18"/>
              </w:rPr>
            </w:pPr>
            <w:r>
              <w:rPr>
                <w:rFonts w:hint="eastAsia" w:ascii="宋体" w:hAnsi="宋体" w:eastAsia="宋体" w:cstheme="minorEastAsia"/>
                <w:sz w:val="18"/>
                <w:szCs w:val="18"/>
              </w:rPr>
              <w:t>总体设计工作量</w:t>
            </w:r>
          </w:p>
        </w:tc>
        <w:tc>
          <w:tcPr>
            <w:tcW w:w="1134" w:type="dxa"/>
            <w:tcBorders>
              <w:top w:val="single" w:color="auto" w:sz="4" w:space="0"/>
            </w:tcBorders>
            <w:vAlign w:val="center"/>
          </w:tcPr>
          <w:p>
            <w:pPr>
              <w:spacing w:line="0" w:lineRule="atLeast"/>
              <w:ind w:left="-113" w:right="-113"/>
              <w:jc w:val="center"/>
              <w:rPr>
                <w:rFonts w:ascii="宋体" w:hAnsi="宋体" w:eastAsia="宋体" w:cstheme="minorEastAsia"/>
                <w:sz w:val="18"/>
                <w:szCs w:val="18"/>
              </w:rPr>
            </w:pPr>
            <w:r>
              <w:rPr>
                <w:rFonts w:hint="eastAsia" w:ascii="宋体" w:hAnsi="宋体" w:eastAsia="宋体" w:cstheme="minorEastAsia"/>
                <w:sz w:val="18"/>
                <w:szCs w:val="18"/>
              </w:rPr>
              <w:t>累计完成</w:t>
            </w:r>
          </w:p>
          <w:p>
            <w:pPr>
              <w:spacing w:line="0" w:lineRule="atLeast"/>
              <w:ind w:left="-113" w:right="-113"/>
              <w:jc w:val="center"/>
              <w:rPr>
                <w:rFonts w:ascii="宋体" w:hAnsi="宋体" w:eastAsia="宋体" w:cstheme="minorEastAsia"/>
                <w:sz w:val="18"/>
                <w:szCs w:val="18"/>
              </w:rPr>
            </w:pPr>
            <w:r>
              <w:rPr>
                <w:rFonts w:hint="eastAsia" w:ascii="宋体" w:hAnsi="宋体" w:eastAsia="宋体" w:cstheme="minorEastAsia"/>
                <w:sz w:val="18"/>
                <w:szCs w:val="18"/>
              </w:rPr>
              <w:t>工作量</w:t>
            </w:r>
          </w:p>
        </w:tc>
        <w:tc>
          <w:tcPr>
            <w:tcW w:w="709" w:type="dxa"/>
            <w:tcBorders>
              <w:top w:val="single" w:color="auto" w:sz="4" w:space="0"/>
            </w:tcBorders>
            <w:vAlign w:val="center"/>
          </w:tcPr>
          <w:p>
            <w:pPr>
              <w:spacing w:line="0" w:lineRule="atLeast"/>
              <w:ind w:left="-113" w:right="-113"/>
              <w:jc w:val="center"/>
              <w:rPr>
                <w:rFonts w:ascii="宋体" w:hAnsi="宋体" w:eastAsia="宋体" w:cstheme="minorEastAsia"/>
                <w:sz w:val="18"/>
                <w:szCs w:val="18"/>
              </w:rPr>
            </w:pPr>
            <w:r>
              <w:rPr>
                <w:rFonts w:hint="eastAsia" w:ascii="宋体" w:hAnsi="宋体" w:eastAsia="宋体" w:cstheme="minorEastAsia"/>
                <w:sz w:val="18"/>
                <w:szCs w:val="18"/>
              </w:rPr>
              <w:t>完成率（%）</w:t>
            </w:r>
          </w:p>
        </w:tc>
        <w:tc>
          <w:tcPr>
            <w:tcW w:w="397" w:type="dxa"/>
            <w:tcBorders>
              <w:top w:val="single" w:color="auto" w:sz="4" w:space="0"/>
              <w:right w:val="single" w:color="auto" w:sz="4" w:space="0"/>
            </w:tcBorders>
            <w:vAlign w:val="center"/>
          </w:tcPr>
          <w:p>
            <w:pPr>
              <w:spacing w:line="0" w:lineRule="atLeast"/>
              <w:ind w:left="-113" w:right="-113"/>
              <w:jc w:val="center"/>
              <w:rPr>
                <w:rFonts w:ascii="宋体" w:hAnsi="宋体" w:eastAsia="宋体" w:cstheme="minorEastAsia"/>
                <w:sz w:val="18"/>
                <w:szCs w:val="18"/>
              </w:rPr>
            </w:pPr>
            <w:r>
              <w:rPr>
                <w:rFonts w:hint="eastAsia" w:ascii="宋体" w:hAnsi="宋体" w:eastAsia="宋体" w:cstheme="minorEastAsia"/>
                <w:sz w:val="18"/>
                <w:szCs w:val="18"/>
              </w:rPr>
              <w:t>备注</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2525" w:type="dxa"/>
            <w:tcBorders>
              <w:left w:val="single" w:color="auto" w:sz="4" w:space="0"/>
            </w:tcBorders>
            <w:vAlign w:val="center"/>
          </w:tcPr>
          <w:p>
            <w:pPr>
              <w:spacing w:line="0" w:lineRule="atLeast"/>
              <w:ind w:left="-113" w:right="-113"/>
              <w:jc w:val="center"/>
              <w:rPr>
                <w:rFonts w:ascii="宋体" w:hAnsi="宋体" w:eastAsia="宋体" w:cstheme="minorEastAsia"/>
                <w:sz w:val="18"/>
                <w:szCs w:val="18"/>
              </w:rPr>
            </w:pPr>
            <w:r>
              <w:rPr>
                <w:rFonts w:hint="eastAsia" w:ascii="宋体" w:hAnsi="宋体" w:eastAsia="宋体" w:cstheme="minorEastAsia"/>
                <w:sz w:val="18"/>
                <w:szCs w:val="18"/>
              </w:rPr>
              <w:t>1∶2.5万遥感解译</w:t>
            </w:r>
          </w:p>
        </w:tc>
        <w:tc>
          <w:tcPr>
            <w:tcW w:w="2525" w:type="dxa"/>
            <w:tcBorders>
              <w:left w:val="single" w:color="auto" w:sz="4" w:space="0"/>
            </w:tcBorders>
            <w:vAlign w:val="center"/>
          </w:tcPr>
          <w:p>
            <w:pPr>
              <w:spacing w:line="0" w:lineRule="atLeast"/>
              <w:ind w:left="-113" w:right="-113"/>
              <w:jc w:val="center"/>
              <w:rPr>
                <w:rFonts w:ascii="宋体" w:hAnsi="宋体" w:eastAsia="宋体" w:cstheme="minorEastAsia"/>
                <w:sz w:val="18"/>
                <w:szCs w:val="18"/>
              </w:rPr>
            </w:pPr>
            <w:r>
              <w:rPr>
                <w:rFonts w:hint="eastAsia" w:ascii="宋体" w:hAnsi="宋体" w:eastAsia="宋体" w:cstheme="minorEastAsia"/>
                <w:sz w:val="18"/>
                <w:szCs w:val="18"/>
              </w:rPr>
              <w:t>调查面积</w:t>
            </w:r>
          </w:p>
        </w:tc>
        <w:tc>
          <w:tcPr>
            <w:tcW w:w="709" w:type="dxa"/>
            <w:vAlign w:val="center"/>
          </w:tcPr>
          <w:p>
            <w:pPr>
              <w:spacing w:line="0" w:lineRule="atLeast"/>
              <w:ind w:left="-57" w:right="-57"/>
              <w:jc w:val="center"/>
              <w:rPr>
                <w:rFonts w:ascii="宋体" w:hAnsi="宋体" w:eastAsia="宋体" w:cstheme="minorEastAsia"/>
                <w:sz w:val="18"/>
                <w:szCs w:val="18"/>
                <w:vertAlign w:val="superscript"/>
              </w:rPr>
            </w:pPr>
            <w:r>
              <w:rPr>
                <w:rFonts w:hint="eastAsia" w:ascii="宋体" w:hAnsi="宋体" w:eastAsia="宋体" w:cstheme="minorEastAsia"/>
                <w:sz w:val="18"/>
                <w:szCs w:val="18"/>
              </w:rPr>
              <w:t>km</w:t>
            </w:r>
            <w:r>
              <w:rPr>
                <w:rFonts w:hint="eastAsia" w:ascii="宋体" w:hAnsi="宋体" w:eastAsia="宋体" w:cstheme="minorEastAsia"/>
                <w:sz w:val="18"/>
                <w:szCs w:val="18"/>
                <w:vertAlign w:val="superscript"/>
              </w:rPr>
              <w:t>2</w:t>
            </w:r>
          </w:p>
        </w:tc>
        <w:tc>
          <w:tcPr>
            <w:tcW w:w="992" w:type="dxa"/>
            <w:vAlign w:val="center"/>
          </w:tcPr>
          <w:p>
            <w:pPr>
              <w:spacing w:line="0" w:lineRule="atLeast"/>
              <w:ind w:left="-113" w:right="-113"/>
              <w:jc w:val="center"/>
              <w:rPr>
                <w:rFonts w:ascii="宋体" w:hAnsi="宋体" w:eastAsia="宋体" w:cstheme="minorEastAsia"/>
                <w:sz w:val="18"/>
                <w:szCs w:val="18"/>
              </w:rPr>
            </w:pPr>
            <w:r>
              <w:rPr>
                <w:rFonts w:ascii="宋体" w:hAnsi="宋体" w:eastAsia="宋体" w:cstheme="minorEastAsia"/>
                <w:sz w:val="18"/>
                <w:szCs w:val="18"/>
              </w:rPr>
              <w:t>37</w:t>
            </w:r>
            <w:r>
              <w:rPr>
                <w:rFonts w:hint="eastAsia" w:ascii="宋体" w:hAnsi="宋体" w:eastAsia="宋体" w:cstheme="minorEastAsia"/>
                <w:sz w:val="18"/>
                <w:szCs w:val="18"/>
              </w:rPr>
              <w:t>0</w:t>
            </w:r>
          </w:p>
        </w:tc>
        <w:tc>
          <w:tcPr>
            <w:tcW w:w="1134" w:type="dxa"/>
            <w:vAlign w:val="center"/>
          </w:tcPr>
          <w:p>
            <w:pPr>
              <w:spacing w:line="0" w:lineRule="atLeast"/>
              <w:ind w:left="-113" w:right="-113"/>
              <w:jc w:val="center"/>
              <w:rPr>
                <w:rFonts w:ascii="宋体" w:hAnsi="宋体" w:eastAsia="宋体" w:cstheme="minorEastAsia"/>
                <w:sz w:val="18"/>
                <w:szCs w:val="18"/>
              </w:rPr>
            </w:pPr>
            <w:r>
              <w:rPr>
                <w:rFonts w:ascii="宋体" w:hAnsi="宋体" w:eastAsia="宋体" w:cstheme="minorEastAsia"/>
                <w:sz w:val="18"/>
                <w:szCs w:val="18"/>
              </w:rPr>
              <w:t>370</w:t>
            </w:r>
          </w:p>
        </w:tc>
        <w:tc>
          <w:tcPr>
            <w:tcW w:w="709" w:type="dxa"/>
            <w:vAlign w:val="center"/>
          </w:tcPr>
          <w:p>
            <w:pPr>
              <w:spacing w:line="0" w:lineRule="atLeast"/>
              <w:ind w:left="-113" w:right="-113"/>
              <w:jc w:val="center"/>
              <w:rPr>
                <w:rFonts w:ascii="宋体" w:hAnsi="宋体" w:eastAsia="宋体" w:cstheme="minorEastAsia"/>
                <w:sz w:val="18"/>
                <w:szCs w:val="18"/>
              </w:rPr>
            </w:pPr>
            <w:r>
              <w:rPr>
                <w:rFonts w:ascii="宋体" w:hAnsi="宋体" w:eastAsia="宋体" w:cstheme="minorEastAsia"/>
                <w:sz w:val="18"/>
                <w:szCs w:val="18"/>
              </w:rPr>
              <w:t>100</w:t>
            </w:r>
          </w:p>
        </w:tc>
        <w:tc>
          <w:tcPr>
            <w:tcW w:w="397" w:type="dxa"/>
            <w:tcBorders>
              <w:right w:val="single" w:color="auto" w:sz="4" w:space="0"/>
            </w:tcBorders>
            <w:vAlign w:val="center"/>
          </w:tcPr>
          <w:p>
            <w:pPr>
              <w:spacing w:line="0" w:lineRule="atLeast"/>
              <w:ind w:left="-113" w:right="-113"/>
              <w:jc w:val="center"/>
              <w:rPr>
                <w:rFonts w:ascii="宋体" w:hAnsi="宋体" w:eastAsia="宋体" w:cstheme="minorEastAsia"/>
                <w:sz w:val="18"/>
                <w:szCs w:val="18"/>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2525" w:type="dxa"/>
            <w:vMerge w:val="restart"/>
            <w:tcBorders>
              <w:left w:val="single" w:color="auto" w:sz="4" w:space="0"/>
            </w:tcBorders>
            <w:vAlign w:val="center"/>
          </w:tcPr>
          <w:p>
            <w:pPr>
              <w:spacing w:line="0" w:lineRule="atLeast"/>
              <w:ind w:left="-113" w:right="-113"/>
              <w:jc w:val="center"/>
              <w:rPr>
                <w:rFonts w:ascii="宋体" w:hAnsi="宋体" w:eastAsia="宋体" w:cstheme="minorEastAsia"/>
                <w:sz w:val="18"/>
                <w:szCs w:val="18"/>
                <w:lang w:eastAsia="zh-CN"/>
              </w:rPr>
            </w:pPr>
            <w:r>
              <w:rPr>
                <w:rFonts w:hint="eastAsia" w:ascii="宋体" w:hAnsi="宋体" w:eastAsia="宋体" w:cstheme="minorEastAsia"/>
                <w:sz w:val="18"/>
                <w:szCs w:val="18"/>
                <w:lang w:eastAsia="zh-CN"/>
              </w:rPr>
              <w:t>1∶5万生态地质地质测量</w:t>
            </w:r>
          </w:p>
        </w:tc>
        <w:tc>
          <w:tcPr>
            <w:tcW w:w="2525" w:type="dxa"/>
            <w:tcBorders>
              <w:left w:val="single" w:color="auto" w:sz="4" w:space="0"/>
            </w:tcBorders>
            <w:vAlign w:val="center"/>
          </w:tcPr>
          <w:p>
            <w:pPr>
              <w:spacing w:line="0" w:lineRule="atLeast"/>
              <w:ind w:left="-113" w:right="-113"/>
              <w:jc w:val="center"/>
              <w:rPr>
                <w:rFonts w:ascii="宋体" w:hAnsi="宋体" w:eastAsia="宋体" w:cstheme="minorEastAsia"/>
                <w:sz w:val="18"/>
                <w:szCs w:val="18"/>
              </w:rPr>
            </w:pPr>
            <w:r>
              <w:rPr>
                <w:rFonts w:hint="eastAsia" w:ascii="宋体" w:hAnsi="宋体" w:eastAsia="宋体" w:cstheme="minorEastAsia"/>
                <w:sz w:val="18"/>
                <w:szCs w:val="18"/>
              </w:rPr>
              <w:t>调查面积</w:t>
            </w:r>
          </w:p>
        </w:tc>
        <w:tc>
          <w:tcPr>
            <w:tcW w:w="709" w:type="dxa"/>
            <w:vAlign w:val="center"/>
          </w:tcPr>
          <w:p>
            <w:pPr>
              <w:spacing w:line="0" w:lineRule="atLeast"/>
              <w:ind w:left="-57" w:right="-57"/>
              <w:jc w:val="center"/>
              <w:rPr>
                <w:rFonts w:ascii="宋体" w:hAnsi="宋体" w:eastAsia="宋体" w:cstheme="minorEastAsia"/>
                <w:sz w:val="18"/>
                <w:szCs w:val="18"/>
              </w:rPr>
            </w:pPr>
            <w:r>
              <w:rPr>
                <w:rFonts w:hint="eastAsia" w:ascii="宋体" w:hAnsi="宋体" w:eastAsia="宋体" w:cstheme="minorEastAsia"/>
                <w:sz w:val="18"/>
                <w:szCs w:val="18"/>
              </w:rPr>
              <w:t>km</w:t>
            </w:r>
            <w:r>
              <w:rPr>
                <w:rFonts w:hint="eastAsia" w:ascii="宋体" w:hAnsi="宋体" w:eastAsia="宋体" w:cstheme="minorEastAsia"/>
                <w:sz w:val="18"/>
                <w:szCs w:val="18"/>
                <w:vertAlign w:val="superscript"/>
              </w:rPr>
              <w:t>2</w:t>
            </w:r>
          </w:p>
        </w:tc>
        <w:tc>
          <w:tcPr>
            <w:tcW w:w="992" w:type="dxa"/>
            <w:vAlign w:val="center"/>
          </w:tcPr>
          <w:p>
            <w:pPr>
              <w:spacing w:line="0" w:lineRule="atLeast"/>
              <w:ind w:left="-113" w:right="-113"/>
              <w:jc w:val="center"/>
              <w:rPr>
                <w:rFonts w:ascii="宋体" w:hAnsi="宋体" w:eastAsia="宋体" w:cstheme="minorEastAsia"/>
                <w:sz w:val="18"/>
                <w:szCs w:val="18"/>
              </w:rPr>
            </w:pPr>
            <w:r>
              <w:rPr>
                <w:rFonts w:ascii="宋体" w:hAnsi="宋体" w:eastAsia="宋体" w:cstheme="minorEastAsia"/>
                <w:sz w:val="18"/>
                <w:szCs w:val="18"/>
              </w:rPr>
              <w:t>370</w:t>
            </w:r>
          </w:p>
        </w:tc>
        <w:tc>
          <w:tcPr>
            <w:tcW w:w="1134" w:type="dxa"/>
            <w:vAlign w:val="center"/>
          </w:tcPr>
          <w:p>
            <w:pPr>
              <w:spacing w:line="0" w:lineRule="atLeast"/>
              <w:ind w:left="-113" w:right="-113"/>
              <w:jc w:val="center"/>
              <w:rPr>
                <w:rFonts w:ascii="宋体" w:hAnsi="宋体" w:eastAsia="宋体" w:cstheme="minorEastAsia"/>
                <w:sz w:val="18"/>
                <w:szCs w:val="18"/>
              </w:rPr>
            </w:pPr>
            <w:r>
              <w:rPr>
                <w:rFonts w:ascii="宋体" w:hAnsi="宋体" w:eastAsia="宋体" w:cstheme="minorEastAsia"/>
                <w:sz w:val="18"/>
                <w:szCs w:val="18"/>
              </w:rPr>
              <w:t>370</w:t>
            </w:r>
          </w:p>
        </w:tc>
        <w:tc>
          <w:tcPr>
            <w:tcW w:w="709" w:type="dxa"/>
            <w:vAlign w:val="center"/>
          </w:tcPr>
          <w:p>
            <w:pPr>
              <w:spacing w:line="0" w:lineRule="atLeast"/>
              <w:ind w:left="-113" w:right="-113"/>
              <w:jc w:val="center"/>
              <w:rPr>
                <w:rFonts w:ascii="宋体" w:hAnsi="宋体" w:eastAsia="宋体" w:cstheme="minorEastAsia"/>
                <w:sz w:val="18"/>
                <w:szCs w:val="18"/>
              </w:rPr>
            </w:pPr>
            <w:r>
              <w:rPr>
                <w:rFonts w:ascii="宋体" w:hAnsi="宋体" w:eastAsia="宋体" w:cstheme="minorEastAsia"/>
                <w:sz w:val="18"/>
                <w:szCs w:val="18"/>
              </w:rPr>
              <w:t>100</w:t>
            </w:r>
          </w:p>
        </w:tc>
        <w:tc>
          <w:tcPr>
            <w:tcW w:w="397" w:type="dxa"/>
            <w:tcBorders>
              <w:right w:val="single" w:color="auto" w:sz="4" w:space="0"/>
            </w:tcBorders>
            <w:vAlign w:val="center"/>
          </w:tcPr>
          <w:p>
            <w:pPr>
              <w:spacing w:line="0" w:lineRule="atLeast"/>
              <w:ind w:left="-113" w:right="-113"/>
              <w:jc w:val="center"/>
              <w:rPr>
                <w:rFonts w:ascii="宋体" w:hAnsi="宋体" w:eastAsia="宋体" w:cstheme="minorEastAsia"/>
                <w:sz w:val="18"/>
                <w:szCs w:val="18"/>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2525" w:type="dxa"/>
            <w:vMerge w:val="continue"/>
            <w:tcBorders>
              <w:left w:val="single" w:color="auto" w:sz="4" w:space="0"/>
            </w:tcBorders>
            <w:vAlign w:val="center"/>
          </w:tcPr>
          <w:p>
            <w:pPr>
              <w:spacing w:line="0" w:lineRule="atLeast"/>
              <w:ind w:left="-113" w:right="-113"/>
              <w:jc w:val="center"/>
              <w:rPr>
                <w:rFonts w:ascii="宋体" w:hAnsi="宋体" w:eastAsia="宋体" w:cstheme="minorEastAsia"/>
                <w:sz w:val="18"/>
                <w:szCs w:val="18"/>
              </w:rPr>
            </w:pPr>
          </w:p>
        </w:tc>
        <w:tc>
          <w:tcPr>
            <w:tcW w:w="2525" w:type="dxa"/>
            <w:tcBorders>
              <w:left w:val="single" w:color="auto" w:sz="4" w:space="0"/>
            </w:tcBorders>
            <w:vAlign w:val="center"/>
          </w:tcPr>
          <w:p>
            <w:pPr>
              <w:spacing w:line="0" w:lineRule="atLeast"/>
              <w:ind w:left="-113" w:right="-113"/>
              <w:jc w:val="center"/>
              <w:rPr>
                <w:rFonts w:ascii="宋体" w:hAnsi="宋体" w:eastAsia="宋体" w:cstheme="minorEastAsia"/>
                <w:sz w:val="18"/>
                <w:szCs w:val="18"/>
              </w:rPr>
            </w:pPr>
            <w:r>
              <w:rPr>
                <w:rFonts w:hint="eastAsia" w:ascii="宋体" w:hAnsi="宋体" w:eastAsia="宋体" w:cstheme="minorEastAsia"/>
                <w:sz w:val="18"/>
                <w:szCs w:val="18"/>
              </w:rPr>
              <w:t>高密度电阻率法测量</w:t>
            </w:r>
          </w:p>
        </w:tc>
        <w:tc>
          <w:tcPr>
            <w:tcW w:w="709" w:type="dxa"/>
            <w:vAlign w:val="center"/>
          </w:tcPr>
          <w:p>
            <w:pPr>
              <w:spacing w:line="0" w:lineRule="atLeast"/>
              <w:ind w:left="-57" w:right="-57"/>
              <w:jc w:val="center"/>
              <w:rPr>
                <w:rFonts w:ascii="宋体" w:hAnsi="宋体" w:eastAsia="宋体" w:cstheme="minorEastAsia"/>
                <w:sz w:val="18"/>
                <w:szCs w:val="18"/>
              </w:rPr>
            </w:pPr>
            <w:r>
              <w:rPr>
                <w:rFonts w:hint="eastAsia" w:ascii="宋体" w:hAnsi="宋体" w:eastAsia="宋体" w:cstheme="minorEastAsia"/>
                <w:sz w:val="18"/>
                <w:szCs w:val="18"/>
              </w:rPr>
              <w:t>点</w:t>
            </w:r>
          </w:p>
        </w:tc>
        <w:tc>
          <w:tcPr>
            <w:tcW w:w="992" w:type="dxa"/>
            <w:vAlign w:val="center"/>
          </w:tcPr>
          <w:p>
            <w:pPr>
              <w:spacing w:line="0" w:lineRule="atLeast"/>
              <w:ind w:left="-113" w:right="-113"/>
              <w:jc w:val="center"/>
              <w:rPr>
                <w:rFonts w:ascii="宋体" w:hAnsi="宋体" w:eastAsia="宋体" w:cstheme="minorEastAsia"/>
                <w:sz w:val="18"/>
                <w:szCs w:val="18"/>
              </w:rPr>
            </w:pPr>
            <w:r>
              <w:rPr>
                <w:rFonts w:ascii="宋体" w:hAnsi="宋体" w:eastAsia="宋体" w:cstheme="minorEastAsia"/>
                <w:sz w:val="18"/>
                <w:szCs w:val="18"/>
              </w:rPr>
              <w:t>260</w:t>
            </w:r>
          </w:p>
        </w:tc>
        <w:tc>
          <w:tcPr>
            <w:tcW w:w="1134" w:type="dxa"/>
            <w:vAlign w:val="center"/>
          </w:tcPr>
          <w:p>
            <w:pPr>
              <w:spacing w:line="0" w:lineRule="atLeast"/>
              <w:ind w:left="-113" w:right="-113"/>
              <w:jc w:val="center"/>
              <w:rPr>
                <w:rFonts w:ascii="宋体" w:hAnsi="宋体" w:eastAsia="宋体" w:cstheme="minorEastAsia"/>
                <w:sz w:val="18"/>
                <w:szCs w:val="18"/>
              </w:rPr>
            </w:pPr>
            <w:r>
              <w:rPr>
                <w:rFonts w:ascii="宋体" w:hAnsi="宋体" w:eastAsia="宋体" w:cstheme="minorEastAsia"/>
                <w:sz w:val="18"/>
                <w:szCs w:val="18"/>
              </w:rPr>
              <w:t>890</w:t>
            </w:r>
          </w:p>
        </w:tc>
        <w:tc>
          <w:tcPr>
            <w:tcW w:w="709" w:type="dxa"/>
            <w:vAlign w:val="center"/>
          </w:tcPr>
          <w:p>
            <w:pPr>
              <w:spacing w:line="0" w:lineRule="atLeast"/>
              <w:ind w:left="-113" w:right="-113"/>
              <w:jc w:val="center"/>
              <w:rPr>
                <w:rFonts w:ascii="宋体" w:hAnsi="宋体" w:eastAsia="宋体" w:cstheme="minorEastAsia"/>
                <w:sz w:val="18"/>
                <w:szCs w:val="18"/>
              </w:rPr>
            </w:pPr>
            <w:r>
              <w:rPr>
                <w:rFonts w:ascii="宋体" w:hAnsi="宋体" w:eastAsia="宋体" w:cstheme="minorEastAsia"/>
                <w:sz w:val="18"/>
                <w:szCs w:val="18"/>
              </w:rPr>
              <w:t>342</w:t>
            </w:r>
          </w:p>
        </w:tc>
        <w:tc>
          <w:tcPr>
            <w:tcW w:w="397" w:type="dxa"/>
            <w:tcBorders>
              <w:right w:val="single" w:color="auto" w:sz="4" w:space="0"/>
            </w:tcBorders>
            <w:vAlign w:val="center"/>
          </w:tcPr>
          <w:p>
            <w:pPr>
              <w:spacing w:line="0" w:lineRule="atLeast"/>
              <w:ind w:left="-113" w:right="-113"/>
              <w:jc w:val="center"/>
              <w:rPr>
                <w:rFonts w:ascii="宋体" w:hAnsi="宋体" w:eastAsia="宋体" w:cstheme="minorEastAsia"/>
                <w:sz w:val="18"/>
                <w:szCs w:val="18"/>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2525" w:type="dxa"/>
            <w:vMerge w:val="continue"/>
            <w:tcBorders>
              <w:top w:val="single" w:color="auto" w:sz="4" w:space="0"/>
              <w:left w:val="single" w:color="auto" w:sz="4" w:space="0"/>
            </w:tcBorders>
            <w:vAlign w:val="center"/>
          </w:tcPr>
          <w:p>
            <w:pPr>
              <w:spacing w:line="0" w:lineRule="atLeast"/>
              <w:ind w:left="-113" w:right="-113"/>
              <w:jc w:val="center"/>
              <w:rPr>
                <w:rFonts w:ascii="宋体" w:hAnsi="宋体" w:eastAsia="宋体" w:cstheme="minorEastAsia"/>
                <w:sz w:val="18"/>
                <w:szCs w:val="18"/>
              </w:rPr>
            </w:pPr>
          </w:p>
        </w:tc>
        <w:tc>
          <w:tcPr>
            <w:tcW w:w="2525" w:type="dxa"/>
            <w:tcBorders>
              <w:top w:val="single" w:color="auto" w:sz="4" w:space="0"/>
              <w:left w:val="single" w:color="auto" w:sz="4" w:space="0"/>
            </w:tcBorders>
            <w:vAlign w:val="center"/>
          </w:tcPr>
          <w:p>
            <w:pPr>
              <w:spacing w:line="0" w:lineRule="atLeast"/>
              <w:ind w:left="-113" w:right="-113"/>
              <w:jc w:val="center"/>
              <w:rPr>
                <w:rFonts w:ascii="宋体" w:hAnsi="宋体" w:eastAsia="宋体" w:cstheme="minorEastAsia"/>
                <w:sz w:val="18"/>
                <w:szCs w:val="18"/>
              </w:rPr>
            </w:pPr>
            <w:r>
              <w:rPr>
                <w:rFonts w:hint="eastAsia" w:ascii="宋体" w:hAnsi="宋体" w:eastAsia="宋体" w:cstheme="minorEastAsia"/>
                <w:sz w:val="18"/>
                <w:szCs w:val="18"/>
              </w:rPr>
              <w:t>浅井</w:t>
            </w:r>
          </w:p>
        </w:tc>
        <w:tc>
          <w:tcPr>
            <w:tcW w:w="709" w:type="dxa"/>
            <w:tcBorders>
              <w:top w:val="single" w:color="auto" w:sz="4" w:space="0"/>
            </w:tcBorders>
            <w:vAlign w:val="center"/>
          </w:tcPr>
          <w:p>
            <w:pPr>
              <w:spacing w:line="0" w:lineRule="atLeast"/>
              <w:ind w:left="-57" w:right="-57"/>
              <w:jc w:val="center"/>
              <w:rPr>
                <w:rFonts w:ascii="宋体" w:hAnsi="宋体" w:eastAsia="宋体" w:cstheme="minorEastAsia"/>
                <w:sz w:val="18"/>
                <w:szCs w:val="18"/>
              </w:rPr>
            </w:pPr>
            <w:r>
              <w:rPr>
                <w:rFonts w:hint="eastAsia" w:ascii="宋体" w:hAnsi="宋体" w:eastAsia="宋体" w:cstheme="minorEastAsia"/>
                <w:sz w:val="18"/>
                <w:szCs w:val="18"/>
              </w:rPr>
              <w:t>个</w:t>
            </w:r>
          </w:p>
        </w:tc>
        <w:tc>
          <w:tcPr>
            <w:tcW w:w="992" w:type="dxa"/>
            <w:tcBorders>
              <w:top w:val="single" w:color="auto" w:sz="4" w:space="0"/>
            </w:tcBorders>
            <w:vAlign w:val="center"/>
          </w:tcPr>
          <w:p>
            <w:pPr>
              <w:spacing w:line="0" w:lineRule="atLeast"/>
              <w:ind w:left="-113" w:right="-113"/>
              <w:jc w:val="center"/>
              <w:rPr>
                <w:rFonts w:ascii="宋体" w:hAnsi="宋体" w:eastAsia="宋体" w:cstheme="minorEastAsia"/>
                <w:sz w:val="18"/>
                <w:szCs w:val="18"/>
              </w:rPr>
            </w:pPr>
            <w:r>
              <w:rPr>
                <w:rFonts w:ascii="宋体" w:hAnsi="宋体" w:eastAsia="宋体" w:cstheme="minorEastAsia"/>
                <w:sz w:val="18"/>
                <w:szCs w:val="18"/>
              </w:rPr>
              <w:t>15</w:t>
            </w:r>
          </w:p>
        </w:tc>
        <w:tc>
          <w:tcPr>
            <w:tcW w:w="1134" w:type="dxa"/>
            <w:tcBorders>
              <w:top w:val="single" w:color="auto" w:sz="4" w:space="0"/>
            </w:tcBorders>
            <w:vAlign w:val="center"/>
          </w:tcPr>
          <w:p>
            <w:pPr>
              <w:spacing w:line="0" w:lineRule="atLeast"/>
              <w:ind w:left="-113" w:right="-113"/>
              <w:jc w:val="center"/>
              <w:rPr>
                <w:rFonts w:ascii="宋体" w:hAnsi="宋体" w:eastAsia="宋体" w:cstheme="minorEastAsia"/>
                <w:sz w:val="18"/>
                <w:szCs w:val="18"/>
              </w:rPr>
            </w:pPr>
            <w:r>
              <w:rPr>
                <w:rFonts w:ascii="宋体" w:hAnsi="宋体" w:eastAsia="宋体" w:cstheme="minorEastAsia"/>
                <w:sz w:val="18"/>
                <w:szCs w:val="18"/>
              </w:rPr>
              <w:t>16</w:t>
            </w:r>
          </w:p>
        </w:tc>
        <w:tc>
          <w:tcPr>
            <w:tcW w:w="709" w:type="dxa"/>
            <w:tcBorders>
              <w:top w:val="single" w:color="auto" w:sz="4" w:space="0"/>
            </w:tcBorders>
            <w:vAlign w:val="center"/>
          </w:tcPr>
          <w:p>
            <w:pPr>
              <w:spacing w:line="0" w:lineRule="atLeast"/>
              <w:ind w:left="-113" w:right="-113"/>
              <w:jc w:val="center"/>
              <w:rPr>
                <w:rFonts w:ascii="宋体" w:hAnsi="宋体" w:eastAsia="宋体" w:cstheme="minorEastAsia"/>
                <w:sz w:val="18"/>
                <w:szCs w:val="18"/>
              </w:rPr>
            </w:pPr>
            <w:r>
              <w:rPr>
                <w:rFonts w:ascii="宋体" w:hAnsi="宋体" w:eastAsia="宋体" w:cstheme="minorEastAsia"/>
                <w:sz w:val="18"/>
                <w:szCs w:val="18"/>
              </w:rPr>
              <w:t>107</w:t>
            </w:r>
          </w:p>
        </w:tc>
        <w:tc>
          <w:tcPr>
            <w:tcW w:w="397" w:type="dxa"/>
            <w:tcBorders>
              <w:top w:val="single" w:color="auto" w:sz="4" w:space="0"/>
              <w:right w:val="single" w:color="auto" w:sz="4" w:space="0"/>
            </w:tcBorders>
            <w:vAlign w:val="center"/>
          </w:tcPr>
          <w:p>
            <w:pPr>
              <w:spacing w:line="0" w:lineRule="atLeast"/>
              <w:ind w:left="-113" w:right="-113"/>
              <w:jc w:val="center"/>
              <w:rPr>
                <w:rFonts w:ascii="宋体" w:hAnsi="宋体" w:eastAsia="宋体" w:cstheme="minorEastAsia"/>
                <w:sz w:val="18"/>
                <w:szCs w:val="18"/>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2525" w:type="dxa"/>
            <w:vMerge w:val="continue"/>
            <w:tcBorders>
              <w:left w:val="single" w:color="auto" w:sz="4" w:space="0"/>
            </w:tcBorders>
            <w:vAlign w:val="center"/>
          </w:tcPr>
          <w:p>
            <w:pPr>
              <w:spacing w:line="0" w:lineRule="atLeast"/>
              <w:ind w:left="-113" w:right="-113"/>
              <w:jc w:val="center"/>
              <w:rPr>
                <w:rFonts w:ascii="宋体" w:hAnsi="宋体" w:eastAsia="宋体" w:cstheme="minorEastAsia"/>
                <w:sz w:val="18"/>
                <w:szCs w:val="18"/>
              </w:rPr>
            </w:pPr>
          </w:p>
        </w:tc>
        <w:tc>
          <w:tcPr>
            <w:tcW w:w="2525" w:type="dxa"/>
            <w:tcBorders>
              <w:left w:val="single" w:color="auto" w:sz="4" w:space="0"/>
            </w:tcBorders>
            <w:vAlign w:val="center"/>
          </w:tcPr>
          <w:p>
            <w:pPr>
              <w:spacing w:line="0" w:lineRule="atLeast"/>
              <w:ind w:left="-113" w:right="-113"/>
              <w:jc w:val="center"/>
              <w:rPr>
                <w:rFonts w:ascii="宋体" w:hAnsi="宋体" w:eastAsia="宋体" w:cstheme="minorEastAsia"/>
                <w:sz w:val="18"/>
                <w:szCs w:val="18"/>
              </w:rPr>
            </w:pPr>
            <w:r>
              <w:rPr>
                <w:rFonts w:hint="eastAsia" w:ascii="宋体" w:hAnsi="宋体" w:eastAsia="宋体" w:cstheme="minorEastAsia"/>
                <w:sz w:val="18"/>
                <w:szCs w:val="18"/>
              </w:rPr>
              <w:t>生态土壤样</w:t>
            </w:r>
          </w:p>
        </w:tc>
        <w:tc>
          <w:tcPr>
            <w:tcW w:w="709" w:type="dxa"/>
            <w:vAlign w:val="center"/>
          </w:tcPr>
          <w:p>
            <w:pPr>
              <w:spacing w:line="0" w:lineRule="atLeast"/>
              <w:ind w:left="-57" w:right="-57"/>
              <w:jc w:val="center"/>
              <w:rPr>
                <w:rFonts w:ascii="宋体" w:hAnsi="宋体" w:eastAsia="宋体" w:cstheme="minorEastAsia"/>
                <w:sz w:val="18"/>
                <w:szCs w:val="18"/>
              </w:rPr>
            </w:pPr>
            <w:r>
              <w:rPr>
                <w:rFonts w:hint="eastAsia" w:ascii="宋体" w:hAnsi="宋体" w:eastAsia="宋体" w:cstheme="minorEastAsia"/>
                <w:sz w:val="18"/>
                <w:szCs w:val="18"/>
              </w:rPr>
              <w:t>件</w:t>
            </w:r>
          </w:p>
        </w:tc>
        <w:tc>
          <w:tcPr>
            <w:tcW w:w="992" w:type="dxa"/>
            <w:vAlign w:val="center"/>
          </w:tcPr>
          <w:p>
            <w:pPr>
              <w:spacing w:line="0" w:lineRule="atLeast"/>
              <w:ind w:left="-113" w:right="-113"/>
              <w:jc w:val="center"/>
              <w:rPr>
                <w:rFonts w:ascii="宋体" w:hAnsi="宋体" w:eastAsia="宋体" w:cstheme="minorEastAsia"/>
                <w:sz w:val="18"/>
                <w:szCs w:val="18"/>
              </w:rPr>
            </w:pPr>
            <w:r>
              <w:rPr>
                <w:rFonts w:hint="eastAsia" w:ascii="宋体" w:hAnsi="宋体" w:eastAsia="宋体" w:cstheme="minorEastAsia"/>
                <w:sz w:val="18"/>
                <w:szCs w:val="18"/>
              </w:rPr>
              <w:t>3</w:t>
            </w:r>
            <w:r>
              <w:rPr>
                <w:rFonts w:ascii="宋体" w:hAnsi="宋体" w:eastAsia="宋体" w:cstheme="minorEastAsia"/>
                <w:sz w:val="18"/>
                <w:szCs w:val="18"/>
              </w:rPr>
              <w:t>35</w:t>
            </w:r>
          </w:p>
        </w:tc>
        <w:tc>
          <w:tcPr>
            <w:tcW w:w="1134" w:type="dxa"/>
            <w:vAlign w:val="center"/>
          </w:tcPr>
          <w:p>
            <w:pPr>
              <w:spacing w:line="0" w:lineRule="atLeast"/>
              <w:ind w:left="-113" w:right="-113"/>
              <w:jc w:val="center"/>
              <w:rPr>
                <w:rFonts w:ascii="宋体" w:hAnsi="宋体" w:eastAsia="宋体" w:cstheme="minorEastAsia"/>
                <w:sz w:val="18"/>
                <w:szCs w:val="18"/>
              </w:rPr>
            </w:pPr>
            <w:r>
              <w:rPr>
                <w:rFonts w:ascii="宋体" w:hAnsi="宋体" w:eastAsia="宋体" w:cstheme="minorEastAsia"/>
                <w:sz w:val="18"/>
                <w:szCs w:val="18"/>
              </w:rPr>
              <w:t>335</w:t>
            </w:r>
          </w:p>
        </w:tc>
        <w:tc>
          <w:tcPr>
            <w:tcW w:w="709" w:type="dxa"/>
            <w:vAlign w:val="center"/>
          </w:tcPr>
          <w:p>
            <w:pPr>
              <w:spacing w:line="0" w:lineRule="atLeast"/>
              <w:ind w:left="-113" w:right="-113"/>
              <w:jc w:val="center"/>
              <w:rPr>
                <w:rFonts w:ascii="宋体" w:hAnsi="宋体" w:eastAsia="宋体" w:cstheme="minorEastAsia"/>
                <w:sz w:val="18"/>
                <w:szCs w:val="18"/>
              </w:rPr>
            </w:pPr>
            <w:r>
              <w:rPr>
                <w:rFonts w:ascii="宋体" w:hAnsi="宋体" w:eastAsia="宋体" w:cstheme="minorEastAsia"/>
                <w:sz w:val="18"/>
                <w:szCs w:val="18"/>
              </w:rPr>
              <w:t>100</w:t>
            </w:r>
          </w:p>
        </w:tc>
        <w:tc>
          <w:tcPr>
            <w:tcW w:w="397" w:type="dxa"/>
            <w:tcBorders>
              <w:right w:val="single" w:color="auto" w:sz="4" w:space="0"/>
            </w:tcBorders>
            <w:vAlign w:val="center"/>
          </w:tcPr>
          <w:p>
            <w:pPr>
              <w:spacing w:line="0" w:lineRule="atLeast"/>
              <w:ind w:left="-113" w:right="-113"/>
              <w:jc w:val="center"/>
              <w:rPr>
                <w:rFonts w:ascii="宋体" w:hAnsi="宋体" w:eastAsia="宋体" w:cstheme="minorEastAsia"/>
                <w:sz w:val="18"/>
                <w:szCs w:val="18"/>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2525" w:type="dxa"/>
            <w:vMerge w:val="continue"/>
            <w:tcBorders>
              <w:left w:val="single" w:color="auto" w:sz="4" w:space="0"/>
            </w:tcBorders>
            <w:vAlign w:val="center"/>
          </w:tcPr>
          <w:p>
            <w:pPr>
              <w:spacing w:line="0" w:lineRule="atLeast"/>
              <w:ind w:left="-113" w:right="-113"/>
              <w:jc w:val="center"/>
              <w:rPr>
                <w:rFonts w:ascii="宋体" w:hAnsi="宋体" w:eastAsia="宋体" w:cstheme="minorEastAsia"/>
                <w:sz w:val="18"/>
                <w:szCs w:val="18"/>
              </w:rPr>
            </w:pPr>
          </w:p>
        </w:tc>
        <w:tc>
          <w:tcPr>
            <w:tcW w:w="2525" w:type="dxa"/>
            <w:tcBorders>
              <w:left w:val="single" w:color="auto" w:sz="4" w:space="0"/>
            </w:tcBorders>
            <w:vAlign w:val="center"/>
          </w:tcPr>
          <w:p>
            <w:pPr>
              <w:spacing w:line="0" w:lineRule="atLeast"/>
              <w:ind w:left="-113" w:right="-113"/>
              <w:jc w:val="center"/>
              <w:rPr>
                <w:rFonts w:ascii="宋体" w:hAnsi="宋体" w:eastAsia="宋体" w:cstheme="minorEastAsia"/>
                <w:sz w:val="18"/>
                <w:szCs w:val="18"/>
              </w:rPr>
            </w:pPr>
            <w:r>
              <w:rPr>
                <w:rFonts w:hint="eastAsia" w:ascii="宋体" w:hAnsi="宋体" w:eastAsia="宋体" w:cstheme="minorEastAsia"/>
                <w:sz w:val="18"/>
                <w:szCs w:val="18"/>
              </w:rPr>
              <w:t>生态水样</w:t>
            </w:r>
          </w:p>
        </w:tc>
        <w:tc>
          <w:tcPr>
            <w:tcW w:w="709" w:type="dxa"/>
            <w:vAlign w:val="center"/>
          </w:tcPr>
          <w:p>
            <w:pPr>
              <w:spacing w:line="0" w:lineRule="atLeast"/>
              <w:ind w:left="-57" w:right="-57"/>
              <w:jc w:val="center"/>
              <w:rPr>
                <w:rFonts w:ascii="宋体" w:hAnsi="宋体" w:eastAsia="宋体" w:cstheme="minorEastAsia"/>
                <w:sz w:val="18"/>
                <w:szCs w:val="18"/>
              </w:rPr>
            </w:pPr>
            <w:r>
              <w:rPr>
                <w:rFonts w:hint="eastAsia" w:ascii="宋体" w:hAnsi="宋体" w:eastAsia="宋体" w:cstheme="minorEastAsia"/>
                <w:sz w:val="18"/>
                <w:szCs w:val="18"/>
              </w:rPr>
              <w:t>件</w:t>
            </w:r>
          </w:p>
        </w:tc>
        <w:tc>
          <w:tcPr>
            <w:tcW w:w="992" w:type="dxa"/>
            <w:vAlign w:val="center"/>
          </w:tcPr>
          <w:p>
            <w:pPr>
              <w:spacing w:line="0" w:lineRule="atLeast"/>
              <w:ind w:left="-113" w:right="-113"/>
              <w:jc w:val="center"/>
              <w:rPr>
                <w:rFonts w:ascii="宋体" w:hAnsi="宋体" w:eastAsia="宋体" w:cstheme="minorEastAsia"/>
                <w:sz w:val="18"/>
                <w:szCs w:val="18"/>
              </w:rPr>
            </w:pPr>
            <w:r>
              <w:rPr>
                <w:rFonts w:hint="eastAsia" w:ascii="宋体" w:hAnsi="宋体" w:eastAsia="宋体" w:cstheme="minorEastAsia"/>
                <w:sz w:val="18"/>
                <w:szCs w:val="18"/>
              </w:rPr>
              <w:t>3</w:t>
            </w:r>
            <w:r>
              <w:rPr>
                <w:rFonts w:ascii="宋体" w:hAnsi="宋体" w:eastAsia="宋体" w:cstheme="minorEastAsia"/>
                <w:sz w:val="18"/>
                <w:szCs w:val="18"/>
              </w:rPr>
              <w:t>0</w:t>
            </w:r>
          </w:p>
        </w:tc>
        <w:tc>
          <w:tcPr>
            <w:tcW w:w="1134" w:type="dxa"/>
            <w:vAlign w:val="center"/>
          </w:tcPr>
          <w:p>
            <w:pPr>
              <w:spacing w:line="0" w:lineRule="atLeast"/>
              <w:ind w:left="-113" w:right="-113"/>
              <w:jc w:val="center"/>
              <w:rPr>
                <w:rFonts w:ascii="宋体" w:hAnsi="宋体" w:eastAsia="宋体" w:cstheme="minorEastAsia"/>
                <w:sz w:val="18"/>
                <w:szCs w:val="18"/>
              </w:rPr>
            </w:pPr>
            <w:r>
              <w:rPr>
                <w:rFonts w:ascii="宋体" w:hAnsi="宋体" w:eastAsia="宋体" w:cstheme="minorEastAsia"/>
                <w:sz w:val="18"/>
                <w:szCs w:val="18"/>
              </w:rPr>
              <w:t>3</w:t>
            </w:r>
            <w:r>
              <w:rPr>
                <w:rFonts w:hint="eastAsia" w:ascii="宋体" w:hAnsi="宋体" w:eastAsia="宋体" w:cstheme="minorEastAsia"/>
                <w:sz w:val="18"/>
                <w:szCs w:val="18"/>
              </w:rPr>
              <w:t>0</w:t>
            </w:r>
          </w:p>
        </w:tc>
        <w:tc>
          <w:tcPr>
            <w:tcW w:w="709" w:type="dxa"/>
            <w:vAlign w:val="center"/>
          </w:tcPr>
          <w:p>
            <w:pPr>
              <w:spacing w:line="0" w:lineRule="atLeast"/>
              <w:ind w:left="-113" w:right="-113"/>
              <w:jc w:val="center"/>
              <w:rPr>
                <w:rFonts w:ascii="宋体" w:hAnsi="宋体" w:eastAsia="宋体" w:cstheme="minorEastAsia"/>
                <w:sz w:val="18"/>
                <w:szCs w:val="18"/>
              </w:rPr>
            </w:pPr>
            <w:r>
              <w:rPr>
                <w:rFonts w:ascii="宋体" w:hAnsi="宋体" w:eastAsia="宋体" w:cstheme="minorEastAsia"/>
                <w:sz w:val="18"/>
                <w:szCs w:val="18"/>
              </w:rPr>
              <w:t>10</w:t>
            </w:r>
            <w:r>
              <w:rPr>
                <w:rFonts w:hint="eastAsia" w:ascii="宋体" w:hAnsi="宋体" w:eastAsia="宋体" w:cstheme="minorEastAsia"/>
                <w:sz w:val="18"/>
                <w:szCs w:val="18"/>
              </w:rPr>
              <w:t>0</w:t>
            </w:r>
          </w:p>
        </w:tc>
        <w:tc>
          <w:tcPr>
            <w:tcW w:w="397" w:type="dxa"/>
            <w:tcBorders>
              <w:right w:val="single" w:color="auto" w:sz="4" w:space="0"/>
            </w:tcBorders>
            <w:vAlign w:val="center"/>
          </w:tcPr>
          <w:p>
            <w:pPr>
              <w:spacing w:line="0" w:lineRule="atLeast"/>
              <w:ind w:left="-113" w:right="-113"/>
              <w:jc w:val="center"/>
              <w:rPr>
                <w:rFonts w:ascii="宋体" w:hAnsi="宋体" w:eastAsia="宋体" w:cstheme="minorEastAsia"/>
                <w:sz w:val="18"/>
                <w:szCs w:val="18"/>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2525" w:type="dxa"/>
            <w:vMerge w:val="continue"/>
            <w:tcBorders>
              <w:left w:val="single" w:color="auto" w:sz="4" w:space="0"/>
            </w:tcBorders>
            <w:vAlign w:val="center"/>
          </w:tcPr>
          <w:p>
            <w:pPr>
              <w:spacing w:line="0" w:lineRule="atLeast"/>
              <w:ind w:left="-113" w:right="-113"/>
              <w:jc w:val="center"/>
              <w:rPr>
                <w:rFonts w:ascii="宋体" w:hAnsi="宋体" w:eastAsia="宋体" w:cstheme="minorEastAsia"/>
                <w:sz w:val="18"/>
                <w:szCs w:val="18"/>
              </w:rPr>
            </w:pPr>
          </w:p>
        </w:tc>
        <w:tc>
          <w:tcPr>
            <w:tcW w:w="2525" w:type="dxa"/>
            <w:tcBorders>
              <w:left w:val="single" w:color="auto" w:sz="4" w:space="0"/>
            </w:tcBorders>
            <w:vAlign w:val="center"/>
          </w:tcPr>
          <w:p>
            <w:pPr>
              <w:spacing w:line="0" w:lineRule="atLeast"/>
              <w:ind w:left="-113" w:right="-113"/>
              <w:jc w:val="center"/>
              <w:rPr>
                <w:rFonts w:ascii="宋体" w:hAnsi="宋体" w:eastAsia="宋体" w:cstheme="minorEastAsia"/>
                <w:sz w:val="18"/>
                <w:szCs w:val="18"/>
              </w:rPr>
            </w:pPr>
            <w:r>
              <w:rPr>
                <w:rFonts w:hint="eastAsia" w:ascii="宋体" w:hAnsi="宋体" w:eastAsia="宋体" w:cstheme="minorEastAsia"/>
                <w:sz w:val="18"/>
                <w:szCs w:val="18"/>
              </w:rPr>
              <w:t>生态植物样</w:t>
            </w:r>
          </w:p>
        </w:tc>
        <w:tc>
          <w:tcPr>
            <w:tcW w:w="709" w:type="dxa"/>
            <w:vAlign w:val="center"/>
          </w:tcPr>
          <w:p>
            <w:pPr>
              <w:spacing w:line="0" w:lineRule="atLeast"/>
              <w:ind w:left="-57" w:right="-57"/>
              <w:jc w:val="center"/>
              <w:rPr>
                <w:rFonts w:ascii="宋体" w:hAnsi="宋体" w:eastAsia="宋体" w:cstheme="minorEastAsia"/>
                <w:sz w:val="18"/>
                <w:szCs w:val="18"/>
              </w:rPr>
            </w:pPr>
            <w:r>
              <w:rPr>
                <w:rFonts w:hint="eastAsia" w:ascii="宋体" w:hAnsi="宋体" w:eastAsia="宋体" w:cstheme="minorEastAsia"/>
                <w:sz w:val="18"/>
                <w:szCs w:val="18"/>
              </w:rPr>
              <w:t>件</w:t>
            </w:r>
          </w:p>
        </w:tc>
        <w:tc>
          <w:tcPr>
            <w:tcW w:w="992" w:type="dxa"/>
            <w:vAlign w:val="center"/>
          </w:tcPr>
          <w:p>
            <w:pPr>
              <w:spacing w:line="0" w:lineRule="atLeast"/>
              <w:ind w:left="-113" w:right="-113"/>
              <w:jc w:val="center"/>
              <w:rPr>
                <w:rFonts w:ascii="宋体" w:hAnsi="宋体" w:eastAsia="宋体" w:cstheme="minorEastAsia"/>
                <w:sz w:val="18"/>
                <w:szCs w:val="18"/>
              </w:rPr>
            </w:pPr>
            <w:r>
              <w:rPr>
                <w:rFonts w:ascii="宋体" w:hAnsi="宋体" w:eastAsia="宋体" w:cstheme="minorEastAsia"/>
                <w:sz w:val="18"/>
                <w:szCs w:val="18"/>
              </w:rPr>
              <w:t>185</w:t>
            </w:r>
          </w:p>
        </w:tc>
        <w:tc>
          <w:tcPr>
            <w:tcW w:w="1134" w:type="dxa"/>
            <w:vAlign w:val="center"/>
          </w:tcPr>
          <w:p>
            <w:pPr>
              <w:spacing w:line="0" w:lineRule="atLeast"/>
              <w:ind w:left="-113" w:right="-113"/>
              <w:jc w:val="center"/>
              <w:rPr>
                <w:rFonts w:ascii="宋体" w:hAnsi="宋体" w:eastAsia="宋体" w:cstheme="minorEastAsia"/>
                <w:sz w:val="18"/>
                <w:szCs w:val="18"/>
              </w:rPr>
            </w:pPr>
            <w:r>
              <w:rPr>
                <w:rFonts w:ascii="宋体" w:hAnsi="宋体" w:eastAsia="宋体" w:cstheme="minorEastAsia"/>
                <w:sz w:val="18"/>
                <w:szCs w:val="18"/>
              </w:rPr>
              <w:t>185</w:t>
            </w:r>
          </w:p>
        </w:tc>
        <w:tc>
          <w:tcPr>
            <w:tcW w:w="709" w:type="dxa"/>
            <w:vAlign w:val="center"/>
          </w:tcPr>
          <w:p>
            <w:pPr>
              <w:spacing w:line="0" w:lineRule="atLeast"/>
              <w:ind w:left="-113" w:right="-113"/>
              <w:jc w:val="center"/>
              <w:rPr>
                <w:rFonts w:ascii="宋体" w:hAnsi="宋体" w:eastAsia="宋体" w:cstheme="minorEastAsia"/>
                <w:sz w:val="18"/>
                <w:szCs w:val="18"/>
              </w:rPr>
            </w:pPr>
            <w:r>
              <w:rPr>
                <w:rFonts w:ascii="宋体" w:hAnsi="宋体" w:eastAsia="宋体" w:cstheme="minorEastAsia"/>
                <w:sz w:val="18"/>
                <w:szCs w:val="18"/>
              </w:rPr>
              <w:t>100</w:t>
            </w:r>
          </w:p>
        </w:tc>
        <w:tc>
          <w:tcPr>
            <w:tcW w:w="397" w:type="dxa"/>
            <w:tcBorders>
              <w:right w:val="single" w:color="auto" w:sz="4" w:space="0"/>
            </w:tcBorders>
            <w:vAlign w:val="center"/>
          </w:tcPr>
          <w:p>
            <w:pPr>
              <w:spacing w:line="0" w:lineRule="atLeast"/>
              <w:ind w:left="-113" w:right="-113"/>
              <w:jc w:val="center"/>
              <w:rPr>
                <w:rFonts w:ascii="宋体" w:hAnsi="宋体" w:eastAsia="宋体" w:cstheme="minorEastAsia"/>
                <w:sz w:val="18"/>
                <w:szCs w:val="18"/>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2525" w:type="dxa"/>
            <w:vMerge w:val="restart"/>
            <w:tcBorders>
              <w:left w:val="single" w:color="auto" w:sz="4" w:space="0"/>
            </w:tcBorders>
            <w:vAlign w:val="center"/>
          </w:tcPr>
          <w:p>
            <w:pPr>
              <w:spacing w:line="0" w:lineRule="atLeast"/>
              <w:ind w:left="-113" w:right="-113"/>
              <w:jc w:val="center"/>
              <w:rPr>
                <w:rFonts w:ascii="宋体" w:hAnsi="宋体" w:eastAsia="宋体" w:cstheme="minorEastAsia"/>
                <w:sz w:val="18"/>
                <w:szCs w:val="18"/>
                <w:lang w:eastAsia="zh-CN"/>
              </w:rPr>
            </w:pPr>
            <w:r>
              <w:rPr>
                <w:rFonts w:hint="eastAsia" w:ascii="宋体" w:hAnsi="宋体" w:eastAsia="宋体" w:cstheme="minorEastAsia"/>
                <w:sz w:val="18"/>
                <w:szCs w:val="18"/>
                <w:lang w:eastAsia="zh-CN"/>
              </w:rPr>
              <w:t>1∶5万土地质量地球化学调查</w:t>
            </w:r>
          </w:p>
        </w:tc>
        <w:tc>
          <w:tcPr>
            <w:tcW w:w="2525" w:type="dxa"/>
            <w:tcBorders>
              <w:left w:val="single" w:color="auto" w:sz="4" w:space="0"/>
            </w:tcBorders>
            <w:vAlign w:val="center"/>
          </w:tcPr>
          <w:p>
            <w:pPr>
              <w:spacing w:line="0" w:lineRule="atLeast"/>
              <w:ind w:left="-113" w:right="-113"/>
              <w:jc w:val="center"/>
              <w:rPr>
                <w:rFonts w:ascii="宋体" w:hAnsi="宋体" w:eastAsia="宋体" w:cstheme="minorEastAsia"/>
                <w:sz w:val="18"/>
                <w:szCs w:val="18"/>
              </w:rPr>
            </w:pPr>
            <w:r>
              <w:rPr>
                <w:rFonts w:hint="eastAsia" w:ascii="宋体" w:hAnsi="宋体" w:eastAsia="宋体" w:cstheme="minorEastAsia"/>
                <w:sz w:val="18"/>
                <w:szCs w:val="18"/>
              </w:rPr>
              <w:t>调查面积</w:t>
            </w:r>
          </w:p>
        </w:tc>
        <w:tc>
          <w:tcPr>
            <w:tcW w:w="709" w:type="dxa"/>
            <w:vAlign w:val="center"/>
          </w:tcPr>
          <w:p>
            <w:pPr>
              <w:spacing w:line="0" w:lineRule="atLeast"/>
              <w:ind w:left="-57" w:right="-57"/>
              <w:jc w:val="center"/>
              <w:rPr>
                <w:rFonts w:ascii="宋体" w:hAnsi="宋体" w:eastAsia="宋体" w:cstheme="minorEastAsia"/>
                <w:sz w:val="18"/>
                <w:szCs w:val="18"/>
              </w:rPr>
            </w:pPr>
            <w:r>
              <w:rPr>
                <w:rFonts w:hint="eastAsia" w:ascii="宋体" w:hAnsi="宋体" w:eastAsia="宋体" w:cstheme="minorEastAsia"/>
                <w:sz w:val="18"/>
                <w:szCs w:val="18"/>
              </w:rPr>
              <w:t>km</w:t>
            </w:r>
            <w:r>
              <w:rPr>
                <w:rFonts w:hint="eastAsia" w:ascii="宋体" w:hAnsi="宋体" w:eastAsia="宋体" w:cstheme="minorEastAsia"/>
                <w:sz w:val="18"/>
                <w:szCs w:val="18"/>
                <w:vertAlign w:val="superscript"/>
              </w:rPr>
              <w:t>2</w:t>
            </w:r>
          </w:p>
        </w:tc>
        <w:tc>
          <w:tcPr>
            <w:tcW w:w="992" w:type="dxa"/>
            <w:vAlign w:val="center"/>
          </w:tcPr>
          <w:p>
            <w:pPr>
              <w:spacing w:line="0" w:lineRule="atLeast"/>
              <w:ind w:left="-113" w:right="-113"/>
              <w:jc w:val="center"/>
              <w:rPr>
                <w:rFonts w:ascii="宋体" w:hAnsi="宋体" w:eastAsia="宋体" w:cstheme="minorEastAsia"/>
                <w:sz w:val="18"/>
                <w:szCs w:val="18"/>
              </w:rPr>
            </w:pPr>
            <w:r>
              <w:rPr>
                <w:rFonts w:hint="eastAsia" w:ascii="宋体" w:hAnsi="宋体" w:eastAsia="宋体" w:cstheme="minorEastAsia"/>
                <w:sz w:val="18"/>
                <w:szCs w:val="18"/>
              </w:rPr>
              <w:t>4</w:t>
            </w:r>
            <w:r>
              <w:rPr>
                <w:rFonts w:ascii="宋体" w:hAnsi="宋体" w:eastAsia="宋体" w:cstheme="minorEastAsia"/>
                <w:sz w:val="18"/>
                <w:szCs w:val="18"/>
              </w:rPr>
              <w:t>7</w:t>
            </w:r>
          </w:p>
        </w:tc>
        <w:tc>
          <w:tcPr>
            <w:tcW w:w="1134" w:type="dxa"/>
            <w:vAlign w:val="center"/>
          </w:tcPr>
          <w:p>
            <w:pPr>
              <w:spacing w:line="0" w:lineRule="atLeast"/>
              <w:ind w:left="-113" w:right="-113"/>
              <w:jc w:val="center"/>
              <w:rPr>
                <w:rFonts w:ascii="宋体" w:hAnsi="宋体" w:eastAsia="宋体" w:cstheme="minorEastAsia"/>
                <w:sz w:val="18"/>
                <w:szCs w:val="18"/>
              </w:rPr>
            </w:pPr>
            <w:r>
              <w:rPr>
                <w:rFonts w:ascii="宋体" w:hAnsi="宋体" w:eastAsia="宋体" w:cstheme="minorEastAsia"/>
                <w:sz w:val="18"/>
                <w:szCs w:val="18"/>
              </w:rPr>
              <w:t>47</w:t>
            </w:r>
          </w:p>
        </w:tc>
        <w:tc>
          <w:tcPr>
            <w:tcW w:w="709" w:type="dxa"/>
            <w:vAlign w:val="center"/>
          </w:tcPr>
          <w:p>
            <w:pPr>
              <w:spacing w:line="0" w:lineRule="atLeast"/>
              <w:ind w:left="-113" w:right="-113"/>
              <w:jc w:val="center"/>
              <w:rPr>
                <w:rFonts w:ascii="宋体" w:hAnsi="宋体" w:eastAsia="宋体" w:cstheme="minorEastAsia"/>
                <w:sz w:val="18"/>
                <w:szCs w:val="18"/>
              </w:rPr>
            </w:pPr>
            <w:r>
              <w:rPr>
                <w:rFonts w:ascii="宋体" w:hAnsi="宋体" w:eastAsia="宋体" w:cstheme="minorEastAsia"/>
                <w:sz w:val="18"/>
                <w:szCs w:val="18"/>
              </w:rPr>
              <w:t>100</w:t>
            </w:r>
          </w:p>
        </w:tc>
        <w:tc>
          <w:tcPr>
            <w:tcW w:w="397" w:type="dxa"/>
            <w:tcBorders>
              <w:right w:val="single" w:color="auto" w:sz="4" w:space="0"/>
            </w:tcBorders>
            <w:vAlign w:val="center"/>
          </w:tcPr>
          <w:p>
            <w:pPr>
              <w:spacing w:line="0" w:lineRule="atLeast"/>
              <w:ind w:left="-113" w:right="-113"/>
              <w:jc w:val="center"/>
              <w:rPr>
                <w:rFonts w:ascii="宋体" w:hAnsi="宋体" w:eastAsia="宋体" w:cstheme="minorEastAsia"/>
                <w:sz w:val="18"/>
                <w:szCs w:val="18"/>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2525" w:type="dxa"/>
            <w:vMerge w:val="continue"/>
            <w:tcBorders>
              <w:left w:val="single" w:color="auto" w:sz="4" w:space="0"/>
            </w:tcBorders>
            <w:vAlign w:val="center"/>
          </w:tcPr>
          <w:p>
            <w:pPr>
              <w:spacing w:line="0" w:lineRule="atLeast"/>
              <w:ind w:left="-113" w:right="-113"/>
              <w:jc w:val="center"/>
              <w:rPr>
                <w:rFonts w:ascii="宋体" w:hAnsi="宋体" w:eastAsia="宋体" w:cstheme="minorEastAsia"/>
                <w:sz w:val="18"/>
                <w:szCs w:val="18"/>
              </w:rPr>
            </w:pPr>
          </w:p>
        </w:tc>
        <w:tc>
          <w:tcPr>
            <w:tcW w:w="2525" w:type="dxa"/>
            <w:tcBorders>
              <w:left w:val="single" w:color="auto" w:sz="4" w:space="0"/>
            </w:tcBorders>
            <w:vAlign w:val="center"/>
          </w:tcPr>
          <w:p>
            <w:pPr>
              <w:spacing w:line="0" w:lineRule="atLeast"/>
              <w:ind w:left="-113" w:right="-113"/>
              <w:jc w:val="center"/>
              <w:rPr>
                <w:rFonts w:ascii="宋体" w:hAnsi="宋体" w:eastAsia="宋体" w:cstheme="minorEastAsia"/>
                <w:sz w:val="18"/>
                <w:szCs w:val="18"/>
              </w:rPr>
            </w:pPr>
            <w:r>
              <w:rPr>
                <w:rFonts w:hint="eastAsia" w:ascii="宋体" w:hAnsi="宋体" w:eastAsia="宋体" w:cstheme="minorEastAsia"/>
                <w:sz w:val="18"/>
                <w:szCs w:val="18"/>
              </w:rPr>
              <w:t>1∶5万土地调查土壤样</w:t>
            </w:r>
          </w:p>
        </w:tc>
        <w:tc>
          <w:tcPr>
            <w:tcW w:w="709" w:type="dxa"/>
            <w:vAlign w:val="center"/>
          </w:tcPr>
          <w:p>
            <w:pPr>
              <w:spacing w:line="0" w:lineRule="atLeast"/>
              <w:ind w:left="-57" w:right="-57"/>
              <w:jc w:val="center"/>
              <w:rPr>
                <w:rFonts w:ascii="宋体" w:hAnsi="宋体" w:eastAsia="宋体" w:cstheme="minorEastAsia"/>
                <w:sz w:val="18"/>
                <w:szCs w:val="18"/>
              </w:rPr>
            </w:pPr>
            <w:r>
              <w:rPr>
                <w:rFonts w:hint="eastAsia" w:ascii="宋体" w:hAnsi="宋体" w:eastAsia="宋体" w:cstheme="minorEastAsia"/>
                <w:sz w:val="18"/>
                <w:szCs w:val="18"/>
              </w:rPr>
              <w:t>件</w:t>
            </w:r>
          </w:p>
        </w:tc>
        <w:tc>
          <w:tcPr>
            <w:tcW w:w="992" w:type="dxa"/>
            <w:vAlign w:val="center"/>
          </w:tcPr>
          <w:p>
            <w:pPr>
              <w:spacing w:line="0" w:lineRule="atLeast"/>
              <w:ind w:left="-113" w:right="-113"/>
              <w:jc w:val="center"/>
              <w:rPr>
                <w:rFonts w:ascii="宋体" w:hAnsi="宋体" w:eastAsia="宋体" w:cstheme="minorEastAsia"/>
                <w:sz w:val="18"/>
                <w:szCs w:val="18"/>
              </w:rPr>
            </w:pPr>
            <w:r>
              <w:rPr>
                <w:rFonts w:hint="eastAsia" w:ascii="宋体" w:hAnsi="宋体" w:eastAsia="宋体" w:cstheme="minorEastAsia"/>
                <w:sz w:val="18"/>
                <w:szCs w:val="18"/>
              </w:rPr>
              <w:t>4</w:t>
            </w:r>
            <w:r>
              <w:rPr>
                <w:rFonts w:ascii="宋体" w:hAnsi="宋体" w:eastAsia="宋体" w:cstheme="minorEastAsia"/>
                <w:sz w:val="18"/>
                <w:szCs w:val="18"/>
              </w:rPr>
              <w:t>70</w:t>
            </w:r>
          </w:p>
        </w:tc>
        <w:tc>
          <w:tcPr>
            <w:tcW w:w="1134" w:type="dxa"/>
            <w:vAlign w:val="center"/>
          </w:tcPr>
          <w:p>
            <w:pPr>
              <w:spacing w:line="0" w:lineRule="atLeast"/>
              <w:ind w:left="-113" w:right="-113"/>
              <w:jc w:val="center"/>
              <w:rPr>
                <w:rFonts w:ascii="宋体" w:hAnsi="宋体" w:eastAsia="宋体" w:cstheme="minorEastAsia"/>
                <w:sz w:val="18"/>
                <w:szCs w:val="18"/>
              </w:rPr>
            </w:pPr>
            <w:r>
              <w:rPr>
                <w:rFonts w:ascii="宋体" w:hAnsi="宋体" w:eastAsia="宋体" w:cstheme="minorEastAsia"/>
                <w:sz w:val="18"/>
                <w:szCs w:val="18"/>
              </w:rPr>
              <w:t>470</w:t>
            </w:r>
          </w:p>
        </w:tc>
        <w:tc>
          <w:tcPr>
            <w:tcW w:w="709" w:type="dxa"/>
            <w:vAlign w:val="center"/>
          </w:tcPr>
          <w:p>
            <w:pPr>
              <w:spacing w:line="0" w:lineRule="atLeast"/>
              <w:ind w:left="-113" w:right="-113"/>
              <w:jc w:val="center"/>
              <w:rPr>
                <w:rFonts w:ascii="宋体" w:hAnsi="宋体" w:eastAsia="宋体" w:cstheme="minorEastAsia"/>
                <w:sz w:val="18"/>
                <w:szCs w:val="18"/>
              </w:rPr>
            </w:pPr>
            <w:r>
              <w:rPr>
                <w:rFonts w:ascii="宋体" w:hAnsi="宋体" w:eastAsia="宋体" w:cstheme="minorEastAsia"/>
                <w:sz w:val="18"/>
                <w:szCs w:val="18"/>
              </w:rPr>
              <w:t>100</w:t>
            </w:r>
          </w:p>
        </w:tc>
        <w:tc>
          <w:tcPr>
            <w:tcW w:w="397" w:type="dxa"/>
            <w:tcBorders>
              <w:right w:val="single" w:color="auto" w:sz="4" w:space="0"/>
            </w:tcBorders>
            <w:vAlign w:val="center"/>
          </w:tcPr>
          <w:p>
            <w:pPr>
              <w:spacing w:line="0" w:lineRule="atLeast"/>
              <w:ind w:left="-113" w:right="-113"/>
              <w:jc w:val="center"/>
              <w:rPr>
                <w:rFonts w:ascii="宋体" w:hAnsi="宋体" w:eastAsia="宋体" w:cstheme="minorEastAsia"/>
                <w:sz w:val="18"/>
                <w:szCs w:val="18"/>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2525" w:type="dxa"/>
            <w:vMerge w:val="continue"/>
            <w:tcBorders>
              <w:left w:val="single" w:color="auto" w:sz="4" w:space="0"/>
            </w:tcBorders>
            <w:vAlign w:val="center"/>
          </w:tcPr>
          <w:p>
            <w:pPr>
              <w:spacing w:line="0" w:lineRule="atLeast"/>
              <w:ind w:left="-113" w:right="-113"/>
              <w:jc w:val="center"/>
              <w:rPr>
                <w:rFonts w:ascii="宋体" w:hAnsi="宋体" w:eastAsia="宋体" w:cstheme="minorEastAsia"/>
                <w:sz w:val="18"/>
                <w:szCs w:val="18"/>
              </w:rPr>
            </w:pPr>
          </w:p>
        </w:tc>
        <w:tc>
          <w:tcPr>
            <w:tcW w:w="2525" w:type="dxa"/>
            <w:tcBorders>
              <w:left w:val="single" w:color="auto" w:sz="4" w:space="0"/>
            </w:tcBorders>
            <w:vAlign w:val="center"/>
          </w:tcPr>
          <w:p>
            <w:pPr>
              <w:spacing w:line="0" w:lineRule="atLeast"/>
              <w:ind w:left="-113" w:right="-113"/>
              <w:jc w:val="center"/>
              <w:rPr>
                <w:rFonts w:ascii="宋体" w:hAnsi="宋体" w:eastAsia="宋体" w:cstheme="minorEastAsia"/>
                <w:sz w:val="18"/>
                <w:szCs w:val="18"/>
              </w:rPr>
            </w:pPr>
            <w:r>
              <w:rPr>
                <w:rFonts w:hint="eastAsia" w:ascii="宋体" w:hAnsi="宋体" w:eastAsia="宋体" w:cstheme="minorEastAsia"/>
                <w:sz w:val="18"/>
                <w:szCs w:val="18"/>
              </w:rPr>
              <w:t>灌溉水样</w:t>
            </w:r>
          </w:p>
        </w:tc>
        <w:tc>
          <w:tcPr>
            <w:tcW w:w="709" w:type="dxa"/>
            <w:vAlign w:val="center"/>
          </w:tcPr>
          <w:p>
            <w:pPr>
              <w:spacing w:line="0" w:lineRule="atLeast"/>
              <w:ind w:left="-57" w:right="-57"/>
              <w:jc w:val="center"/>
              <w:rPr>
                <w:rFonts w:ascii="宋体" w:hAnsi="宋体" w:eastAsia="宋体" w:cstheme="minorEastAsia"/>
                <w:sz w:val="18"/>
                <w:szCs w:val="18"/>
              </w:rPr>
            </w:pPr>
            <w:r>
              <w:rPr>
                <w:rFonts w:hint="eastAsia" w:ascii="宋体" w:hAnsi="宋体" w:eastAsia="宋体" w:cstheme="minorEastAsia"/>
                <w:sz w:val="18"/>
                <w:szCs w:val="18"/>
              </w:rPr>
              <w:t>件</w:t>
            </w:r>
          </w:p>
        </w:tc>
        <w:tc>
          <w:tcPr>
            <w:tcW w:w="992" w:type="dxa"/>
            <w:vAlign w:val="center"/>
          </w:tcPr>
          <w:p>
            <w:pPr>
              <w:spacing w:line="0" w:lineRule="atLeast"/>
              <w:ind w:left="-113" w:right="-113"/>
              <w:jc w:val="center"/>
              <w:rPr>
                <w:rFonts w:ascii="宋体" w:hAnsi="宋体" w:eastAsia="宋体" w:cstheme="minorEastAsia"/>
                <w:sz w:val="18"/>
                <w:szCs w:val="18"/>
              </w:rPr>
            </w:pPr>
            <w:r>
              <w:rPr>
                <w:rFonts w:hint="eastAsia" w:ascii="宋体" w:hAnsi="宋体" w:eastAsia="宋体" w:cstheme="minorEastAsia"/>
                <w:sz w:val="18"/>
                <w:szCs w:val="18"/>
              </w:rPr>
              <w:t>1</w:t>
            </w:r>
            <w:r>
              <w:rPr>
                <w:rFonts w:ascii="宋体" w:hAnsi="宋体" w:eastAsia="宋体" w:cstheme="minorEastAsia"/>
                <w:sz w:val="18"/>
                <w:szCs w:val="18"/>
              </w:rPr>
              <w:t>5</w:t>
            </w:r>
          </w:p>
        </w:tc>
        <w:tc>
          <w:tcPr>
            <w:tcW w:w="1134" w:type="dxa"/>
            <w:vAlign w:val="center"/>
          </w:tcPr>
          <w:p>
            <w:pPr>
              <w:spacing w:line="0" w:lineRule="atLeast"/>
              <w:ind w:left="-113" w:right="-113"/>
              <w:jc w:val="center"/>
              <w:rPr>
                <w:rFonts w:ascii="宋体" w:hAnsi="宋体" w:eastAsia="宋体" w:cstheme="minorEastAsia"/>
                <w:sz w:val="18"/>
                <w:szCs w:val="18"/>
              </w:rPr>
            </w:pPr>
            <w:r>
              <w:rPr>
                <w:rFonts w:ascii="宋体" w:hAnsi="宋体" w:eastAsia="宋体" w:cstheme="minorEastAsia"/>
                <w:sz w:val="18"/>
                <w:szCs w:val="18"/>
              </w:rPr>
              <w:t>15</w:t>
            </w:r>
          </w:p>
        </w:tc>
        <w:tc>
          <w:tcPr>
            <w:tcW w:w="709" w:type="dxa"/>
            <w:vAlign w:val="center"/>
          </w:tcPr>
          <w:p>
            <w:pPr>
              <w:spacing w:line="0" w:lineRule="atLeast"/>
              <w:ind w:left="-113" w:right="-113"/>
              <w:jc w:val="center"/>
              <w:rPr>
                <w:rFonts w:ascii="宋体" w:hAnsi="宋体" w:eastAsia="宋体" w:cstheme="minorEastAsia"/>
                <w:sz w:val="18"/>
                <w:szCs w:val="18"/>
              </w:rPr>
            </w:pPr>
            <w:r>
              <w:rPr>
                <w:rFonts w:ascii="宋体" w:hAnsi="宋体" w:eastAsia="宋体" w:cstheme="minorEastAsia"/>
                <w:sz w:val="18"/>
                <w:szCs w:val="18"/>
              </w:rPr>
              <w:t>10</w:t>
            </w:r>
            <w:r>
              <w:rPr>
                <w:rFonts w:hint="eastAsia" w:ascii="宋体" w:hAnsi="宋体" w:eastAsia="宋体" w:cstheme="minorEastAsia"/>
                <w:sz w:val="18"/>
                <w:szCs w:val="18"/>
              </w:rPr>
              <w:t>0</w:t>
            </w:r>
          </w:p>
        </w:tc>
        <w:tc>
          <w:tcPr>
            <w:tcW w:w="397" w:type="dxa"/>
            <w:tcBorders>
              <w:right w:val="single" w:color="auto" w:sz="4" w:space="0"/>
            </w:tcBorders>
            <w:vAlign w:val="center"/>
          </w:tcPr>
          <w:p>
            <w:pPr>
              <w:spacing w:line="0" w:lineRule="atLeast"/>
              <w:ind w:left="-113" w:right="-113"/>
              <w:jc w:val="center"/>
              <w:rPr>
                <w:rFonts w:ascii="宋体" w:hAnsi="宋体" w:eastAsia="宋体" w:cstheme="minorEastAsia"/>
                <w:sz w:val="18"/>
                <w:szCs w:val="18"/>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2525" w:type="dxa"/>
            <w:vMerge w:val="continue"/>
            <w:tcBorders>
              <w:left w:val="single" w:color="auto" w:sz="4" w:space="0"/>
            </w:tcBorders>
            <w:vAlign w:val="center"/>
          </w:tcPr>
          <w:p>
            <w:pPr>
              <w:spacing w:line="0" w:lineRule="atLeast"/>
              <w:ind w:left="-113" w:right="-113"/>
              <w:jc w:val="center"/>
              <w:rPr>
                <w:rFonts w:ascii="宋体" w:hAnsi="宋体" w:eastAsia="宋体" w:cstheme="minorEastAsia"/>
                <w:sz w:val="18"/>
                <w:szCs w:val="18"/>
              </w:rPr>
            </w:pPr>
          </w:p>
        </w:tc>
        <w:tc>
          <w:tcPr>
            <w:tcW w:w="2525" w:type="dxa"/>
            <w:tcBorders>
              <w:left w:val="single" w:color="auto" w:sz="4" w:space="0"/>
            </w:tcBorders>
            <w:vAlign w:val="center"/>
          </w:tcPr>
          <w:p>
            <w:pPr>
              <w:spacing w:line="0" w:lineRule="atLeast"/>
              <w:ind w:left="-113" w:right="-113"/>
              <w:jc w:val="center"/>
              <w:rPr>
                <w:rFonts w:ascii="宋体" w:hAnsi="宋体" w:eastAsia="宋体" w:cstheme="minorEastAsia"/>
                <w:sz w:val="18"/>
                <w:szCs w:val="18"/>
              </w:rPr>
            </w:pPr>
            <w:r>
              <w:rPr>
                <w:rFonts w:hint="eastAsia" w:ascii="宋体" w:hAnsi="宋体" w:eastAsia="宋体" w:cstheme="minorEastAsia"/>
                <w:sz w:val="18"/>
                <w:szCs w:val="18"/>
              </w:rPr>
              <w:t>植物样</w:t>
            </w:r>
          </w:p>
        </w:tc>
        <w:tc>
          <w:tcPr>
            <w:tcW w:w="709" w:type="dxa"/>
            <w:vAlign w:val="center"/>
          </w:tcPr>
          <w:p>
            <w:pPr>
              <w:spacing w:line="0" w:lineRule="atLeast"/>
              <w:ind w:left="-57" w:right="-57"/>
              <w:jc w:val="center"/>
              <w:rPr>
                <w:rFonts w:ascii="宋体" w:hAnsi="宋体" w:eastAsia="宋体" w:cstheme="minorEastAsia"/>
                <w:sz w:val="18"/>
                <w:szCs w:val="18"/>
              </w:rPr>
            </w:pPr>
            <w:r>
              <w:rPr>
                <w:rFonts w:hint="eastAsia" w:ascii="宋体" w:hAnsi="宋体" w:eastAsia="宋体" w:cstheme="minorEastAsia"/>
                <w:sz w:val="18"/>
                <w:szCs w:val="18"/>
              </w:rPr>
              <w:t>件</w:t>
            </w:r>
          </w:p>
        </w:tc>
        <w:tc>
          <w:tcPr>
            <w:tcW w:w="992" w:type="dxa"/>
            <w:vAlign w:val="center"/>
          </w:tcPr>
          <w:p>
            <w:pPr>
              <w:spacing w:line="0" w:lineRule="atLeast"/>
              <w:ind w:left="-113" w:right="-113"/>
              <w:jc w:val="center"/>
              <w:rPr>
                <w:rFonts w:ascii="宋体" w:hAnsi="宋体" w:eastAsia="宋体" w:cstheme="minorEastAsia"/>
                <w:sz w:val="18"/>
                <w:szCs w:val="18"/>
              </w:rPr>
            </w:pPr>
            <w:r>
              <w:rPr>
                <w:rFonts w:hint="eastAsia" w:ascii="宋体" w:hAnsi="宋体" w:eastAsia="宋体" w:cstheme="minorEastAsia"/>
                <w:sz w:val="18"/>
                <w:szCs w:val="18"/>
              </w:rPr>
              <w:t>6</w:t>
            </w:r>
            <w:r>
              <w:rPr>
                <w:rFonts w:ascii="宋体" w:hAnsi="宋体" w:eastAsia="宋体" w:cstheme="minorEastAsia"/>
                <w:sz w:val="18"/>
                <w:szCs w:val="18"/>
              </w:rPr>
              <w:t>0</w:t>
            </w:r>
          </w:p>
        </w:tc>
        <w:tc>
          <w:tcPr>
            <w:tcW w:w="1134" w:type="dxa"/>
            <w:vAlign w:val="center"/>
          </w:tcPr>
          <w:p>
            <w:pPr>
              <w:spacing w:line="0" w:lineRule="atLeast"/>
              <w:ind w:left="-113" w:right="-113"/>
              <w:jc w:val="center"/>
              <w:rPr>
                <w:rFonts w:ascii="宋体" w:hAnsi="宋体" w:eastAsia="宋体" w:cstheme="minorEastAsia"/>
                <w:sz w:val="18"/>
                <w:szCs w:val="18"/>
              </w:rPr>
            </w:pPr>
            <w:r>
              <w:rPr>
                <w:rFonts w:ascii="宋体" w:hAnsi="宋体" w:eastAsia="宋体" w:cstheme="minorEastAsia"/>
                <w:sz w:val="18"/>
                <w:szCs w:val="18"/>
              </w:rPr>
              <w:t>60</w:t>
            </w:r>
          </w:p>
        </w:tc>
        <w:tc>
          <w:tcPr>
            <w:tcW w:w="709" w:type="dxa"/>
            <w:vAlign w:val="center"/>
          </w:tcPr>
          <w:p>
            <w:pPr>
              <w:spacing w:line="0" w:lineRule="atLeast"/>
              <w:ind w:left="-113" w:right="-113"/>
              <w:jc w:val="center"/>
              <w:rPr>
                <w:rFonts w:ascii="宋体" w:hAnsi="宋体" w:eastAsia="宋体" w:cstheme="minorEastAsia"/>
                <w:sz w:val="18"/>
                <w:szCs w:val="18"/>
              </w:rPr>
            </w:pPr>
            <w:r>
              <w:rPr>
                <w:rFonts w:ascii="宋体" w:hAnsi="宋体" w:eastAsia="宋体" w:cstheme="minorEastAsia"/>
                <w:sz w:val="18"/>
                <w:szCs w:val="18"/>
              </w:rPr>
              <w:t>100</w:t>
            </w:r>
          </w:p>
        </w:tc>
        <w:tc>
          <w:tcPr>
            <w:tcW w:w="397" w:type="dxa"/>
            <w:tcBorders>
              <w:right w:val="single" w:color="auto" w:sz="4" w:space="0"/>
            </w:tcBorders>
            <w:vAlign w:val="center"/>
          </w:tcPr>
          <w:p>
            <w:pPr>
              <w:spacing w:line="0" w:lineRule="atLeast"/>
              <w:ind w:left="-113" w:right="-113"/>
              <w:jc w:val="center"/>
              <w:rPr>
                <w:rFonts w:ascii="宋体" w:hAnsi="宋体" w:eastAsia="宋体" w:cstheme="minorEastAsia"/>
                <w:sz w:val="18"/>
                <w:szCs w:val="18"/>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2525" w:type="dxa"/>
            <w:tcBorders>
              <w:left w:val="single" w:color="auto" w:sz="4" w:space="0"/>
              <w:bottom w:val="single" w:color="auto" w:sz="4" w:space="0"/>
            </w:tcBorders>
            <w:vAlign w:val="center"/>
          </w:tcPr>
          <w:p>
            <w:pPr>
              <w:spacing w:line="0" w:lineRule="atLeast"/>
              <w:ind w:left="-113" w:right="-113"/>
              <w:jc w:val="center"/>
              <w:rPr>
                <w:rFonts w:ascii="宋体" w:hAnsi="宋体" w:eastAsia="宋体" w:cstheme="minorEastAsia"/>
                <w:sz w:val="18"/>
                <w:szCs w:val="18"/>
              </w:rPr>
            </w:pPr>
            <w:r>
              <w:rPr>
                <w:rFonts w:hint="eastAsia" w:ascii="宋体" w:hAnsi="宋体" w:eastAsia="宋体" w:cstheme="minorEastAsia"/>
                <w:sz w:val="18"/>
                <w:szCs w:val="18"/>
              </w:rPr>
              <w:t>种植试验</w:t>
            </w:r>
          </w:p>
        </w:tc>
        <w:tc>
          <w:tcPr>
            <w:tcW w:w="2525" w:type="dxa"/>
            <w:tcBorders>
              <w:left w:val="single" w:color="auto" w:sz="4" w:space="0"/>
              <w:bottom w:val="single" w:color="auto" w:sz="4" w:space="0"/>
            </w:tcBorders>
            <w:vAlign w:val="center"/>
          </w:tcPr>
          <w:p>
            <w:pPr>
              <w:spacing w:line="0" w:lineRule="atLeast"/>
              <w:ind w:left="-113" w:right="-113"/>
              <w:jc w:val="center"/>
              <w:rPr>
                <w:rFonts w:ascii="宋体" w:hAnsi="宋体" w:eastAsia="宋体" w:cstheme="minorEastAsia"/>
                <w:sz w:val="18"/>
                <w:szCs w:val="18"/>
              </w:rPr>
            </w:pPr>
            <w:r>
              <w:rPr>
                <w:rFonts w:hint="eastAsia" w:ascii="宋体" w:hAnsi="宋体" w:eastAsia="宋体" w:cstheme="minorEastAsia"/>
                <w:sz w:val="18"/>
                <w:szCs w:val="18"/>
              </w:rPr>
              <w:t>试验田</w:t>
            </w:r>
          </w:p>
        </w:tc>
        <w:tc>
          <w:tcPr>
            <w:tcW w:w="709" w:type="dxa"/>
            <w:tcBorders>
              <w:bottom w:val="single" w:color="auto" w:sz="4" w:space="0"/>
            </w:tcBorders>
            <w:vAlign w:val="center"/>
          </w:tcPr>
          <w:p>
            <w:pPr>
              <w:spacing w:line="0" w:lineRule="atLeast"/>
              <w:ind w:left="-57" w:right="-57"/>
              <w:jc w:val="center"/>
              <w:rPr>
                <w:rFonts w:ascii="宋体" w:hAnsi="宋体" w:eastAsia="宋体" w:cstheme="minorEastAsia"/>
                <w:sz w:val="18"/>
                <w:szCs w:val="18"/>
              </w:rPr>
            </w:pPr>
            <w:r>
              <w:rPr>
                <w:rFonts w:hint="eastAsia" w:ascii="宋体" w:hAnsi="宋体" w:eastAsia="宋体" w:cstheme="minorEastAsia"/>
                <w:sz w:val="18"/>
                <w:szCs w:val="18"/>
              </w:rPr>
              <w:t>块</w:t>
            </w:r>
          </w:p>
        </w:tc>
        <w:tc>
          <w:tcPr>
            <w:tcW w:w="992" w:type="dxa"/>
            <w:tcBorders>
              <w:bottom w:val="single" w:color="auto" w:sz="4" w:space="0"/>
            </w:tcBorders>
            <w:vAlign w:val="center"/>
          </w:tcPr>
          <w:p>
            <w:pPr>
              <w:spacing w:line="0" w:lineRule="atLeast"/>
              <w:ind w:left="-113" w:right="-113"/>
              <w:jc w:val="center"/>
              <w:rPr>
                <w:rFonts w:ascii="宋体" w:hAnsi="宋体" w:eastAsia="宋体" w:cstheme="minorEastAsia"/>
                <w:sz w:val="18"/>
                <w:szCs w:val="18"/>
              </w:rPr>
            </w:pPr>
            <w:r>
              <w:rPr>
                <w:rFonts w:hint="eastAsia" w:ascii="宋体" w:hAnsi="宋体" w:eastAsia="宋体" w:cstheme="minorEastAsia"/>
                <w:sz w:val="18"/>
                <w:szCs w:val="18"/>
              </w:rPr>
              <w:t>1</w:t>
            </w:r>
          </w:p>
        </w:tc>
        <w:tc>
          <w:tcPr>
            <w:tcW w:w="1134" w:type="dxa"/>
            <w:tcBorders>
              <w:bottom w:val="single" w:color="auto" w:sz="4" w:space="0"/>
            </w:tcBorders>
            <w:vAlign w:val="center"/>
          </w:tcPr>
          <w:p>
            <w:pPr>
              <w:spacing w:line="0" w:lineRule="atLeast"/>
              <w:ind w:left="-113" w:right="-113"/>
              <w:jc w:val="center"/>
              <w:rPr>
                <w:rFonts w:ascii="宋体" w:hAnsi="宋体" w:eastAsia="宋体" w:cstheme="minorEastAsia"/>
                <w:sz w:val="18"/>
                <w:szCs w:val="18"/>
              </w:rPr>
            </w:pPr>
            <w:r>
              <w:rPr>
                <w:rFonts w:ascii="宋体" w:hAnsi="宋体" w:eastAsia="宋体" w:cstheme="minorEastAsia"/>
                <w:sz w:val="18"/>
                <w:szCs w:val="18"/>
              </w:rPr>
              <w:t>1</w:t>
            </w:r>
          </w:p>
        </w:tc>
        <w:tc>
          <w:tcPr>
            <w:tcW w:w="709" w:type="dxa"/>
            <w:tcBorders>
              <w:bottom w:val="single" w:color="auto" w:sz="4" w:space="0"/>
            </w:tcBorders>
            <w:vAlign w:val="center"/>
          </w:tcPr>
          <w:p>
            <w:pPr>
              <w:spacing w:line="0" w:lineRule="atLeast"/>
              <w:ind w:left="-113" w:right="-113"/>
              <w:jc w:val="center"/>
              <w:rPr>
                <w:rFonts w:ascii="宋体" w:hAnsi="宋体" w:eastAsia="宋体" w:cstheme="minorEastAsia"/>
                <w:sz w:val="18"/>
                <w:szCs w:val="18"/>
              </w:rPr>
            </w:pPr>
            <w:r>
              <w:rPr>
                <w:rFonts w:ascii="宋体" w:hAnsi="宋体" w:eastAsia="宋体" w:cstheme="minorEastAsia"/>
                <w:sz w:val="18"/>
                <w:szCs w:val="18"/>
              </w:rPr>
              <w:t>10</w:t>
            </w:r>
            <w:r>
              <w:rPr>
                <w:rFonts w:hint="eastAsia" w:ascii="宋体" w:hAnsi="宋体" w:eastAsia="宋体" w:cstheme="minorEastAsia"/>
                <w:sz w:val="18"/>
                <w:szCs w:val="18"/>
              </w:rPr>
              <w:t>0</w:t>
            </w:r>
          </w:p>
        </w:tc>
        <w:tc>
          <w:tcPr>
            <w:tcW w:w="397" w:type="dxa"/>
            <w:tcBorders>
              <w:bottom w:val="single" w:color="auto" w:sz="4" w:space="0"/>
              <w:right w:val="single" w:color="auto" w:sz="4" w:space="0"/>
            </w:tcBorders>
            <w:vAlign w:val="center"/>
          </w:tcPr>
          <w:p>
            <w:pPr>
              <w:spacing w:line="0" w:lineRule="atLeast"/>
              <w:ind w:left="-113" w:right="-113"/>
              <w:jc w:val="center"/>
              <w:rPr>
                <w:rFonts w:ascii="宋体" w:hAnsi="宋体" w:eastAsia="宋体" w:cstheme="minorEastAsia"/>
                <w:sz w:val="18"/>
                <w:szCs w:val="18"/>
              </w:rPr>
            </w:pPr>
          </w:p>
        </w:tc>
      </w:tr>
    </w:tbl>
    <w:p>
      <w:pPr>
        <w:pStyle w:val="3"/>
        <w:spacing w:line="360" w:lineRule="auto"/>
        <w:ind w:firstLine="560" w:firstLineChars="200"/>
        <w:rPr>
          <w:color w:val="auto"/>
          <w:sz w:val="28"/>
          <w:szCs w:val="28"/>
          <w:lang w:eastAsia="zh-CN"/>
        </w:rPr>
      </w:pP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3.资金投入及使用情况</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（1）资金投入情况</w:t>
      </w:r>
    </w:p>
    <w:p>
      <w:pPr>
        <w:pStyle w:val="3"/>
        <w:spacing w:line="360" w:lineRule="auto"/>
        <w:ind w:firstLine="56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本项目预算金额</w:t>
      </w:r>
      <w:r>
        <w:rPr>
          <w:rFonts w:hint="eastAsia" w:ascii="仿宋_GB2312" w:hAnsi="仿宋_GB2312" w:eastAsia="仿宋_GB2312" w:cs="仿宋_GB2312"/>
          <w:color w:val="auto"/>
          <w:sz w:val="32"/>
          <w:szCs w:val="32"/>
          <w:lang w:val="en-US" w:eastAsia="zh-CN"/>
        </w:rPr>
        <w:t>99.6</w:t>
      </w:r>
      <w:r>
        <w:rPr>
          <w:rFonts w:hint="eastAsia" w:ascii="仿宋_GB2312" w:hAnsi="仿宋_GB2312" w:eastAsia="仿宋_GB2312" w:cs="仿宋_GB2312"/>
          <w:color w:val="auto"/>
          <w:sz w:val="32"/>
          <w:szCs w:val="32"/>
          <w:lang w:eastAsia="zh-CN"/>
        </w:rPr>
        <w:t>万元，其中地矿局出资89.6万元，地调院出资</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lang w:eastAsia="zh-CN"/>
        </w:rPr>
        <w:t>万元，项目实际投入资金</w:t>
      </w:r>
      <w:r>
        <w:rPr>
          <w:rFonts w:hint="eastAsia" w:ascii="仿宋_GB2312" w:hAnsi="仿宋_GB2312" w:eastAsia="仿宋_GB2312" w:cs="仿宋_GB2312"/>
          <w:color w:val="auto"/>
          <w:sz w:val="32"/>
          <w:szCs w:val="32"/>
          <w:lang w:val="en-US" w:eastAsia="zh-CN"/>
        </w:rPr>
        <w:t>99.6</w:t>
      </w:r>
      <w:r>
        <w:rPr>
          <w:rFonts w:hint="eastAsia" w:ascii="仿宋_GB2312" w:hAnsi="仿宋_GB2312" w:eastAsia="仿宋_GB2312" w:cs="仿宋_GB2312"/>
          <w:color w:val="auto"/>
          <w:sz w:val="32"/>
          <w:szCs w:val="32"/>
          <w:lang w:eastAsia="zh-CN"/>
        </w:rPr>
        <w:t>万元。</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（2）资金使用情况</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本项目2022年使用资金</w:t>
      </w:r>
      <w:r>
        <w:rPr>
          <w:rFonts w:hint="eastAsia" w:ascii="仿宋_GB2312" w:hAnsi="仿宋_GB2312" w:eastAsia="仿宋_GB2312" w:cs="仿宋_GB2312"/>
          <w:color w:val="auto"/>
          <w:sz w:val="32"/>
          <w:szCs w:val="32"/>
          <w:highlight w:val="none"/>
          <w:lang w:eastAsia="zh-CN"/>
        </w:rPr>
        <w:t>为</w:t>
      </w:r>
      <w:r>
        <w:rPr>
          <w:rFonts w:hint="eastAsia" w:ascii="仿宋_GB2312" w:hAnsi="仿宋_GB2312" w:eastAsia="仿宋_GB2312" w:cs="仿宋_GB2312"/>
          <w:color w:val="auto"/>
          <w:sz w:val="32"/>
          <w:szCs w:val="32"/>
          <w:highlight w:val="none"/>
          <w:lang w:val="en-US" w:eastAsia="zh-CN"/>
        </w:rPr>
        <w:t>99.6</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lang w:eastAsia="zh-CN"/>
        </w:rPr>
        <w:t>，预算执行率为100%，项目资金已全部执行。</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(二)项目绩效目标</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1.总体目标</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在收集分析研究以往地物化遥及科研资料的基础上，以生态地质调查、土地质量地球化学调查和种植试验为主要手段，进一步摸清阔依其乡土地质量状况，查明墨玉县阔依其乡一带生态风险因素及土地盐渍化现状，建立盐碱地高效开发利用示范，探讨盐碱地固碳潜力，为当地绿色食品产地认证奠定基础。</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2.阶段性目标</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根据项目实际工作安排，项目2022年主要工作目标是完成生态地质调查及土地质量调查野外工作，为盐碱地种植试验提供基础数据，2023年主要工作目标是完成盐碱地试验田种植工作，选育适宜盐碱地种植的农作物，为当地盐碱地开发利用提供地质服务。</w:t>
      </w:r>
    </w:p>
    <w:p>
      <w:pPr>
        <w:spacing w:before="263" w:line="221" w:lineRule="auto"/>
        <w:ind w:left="564"/>
        <w:outlineLvl w:val="1"/>
        <w:rPr>
          <w:rFonts w:ascii="黑体" w:hAnsi="黑体" w:eastAsia="黑体" w:cs="黑体"/>
          <w:sz w:val="32"/>
          <w:szCs w:val="32"/>
        </w:rPr>
      </w:pPr>
      <w:r>
        <w:rPr>
          <w:rFonts w:ascii="黑体" w:hAnsi="黑体" w:eastAsia="黑体" w:cs="黑体"/>
          <w:b/>
          <w:bCs/>
          <w:spacing w:val="-6"/>
          <w:sz w:val="32"/>
          <w:szCs w:val="32"/>
        </w:rPr>
        <w:t>二</w:t>
      </w:r>
      <w:r>
        <w:rPr>
          <w:rFonts w:ascii="黑体" w:hAnsi="黑体" w:eastAsia="黑体" w:cs="黑体"/>
          <w:spacing w:val="-38"/>
          <w:sz w:val="32"/>
          <w:szCs w:val="32"/>
        </w:rPr>
        <w:t xml:space="preserve"> </w:t>
      </w:r>
      <w:r>
        <w:rPr>
          <w:rFonts w:ascii="黑体" w:hAnsi="黑体" w:eastAsia="黑体" w:cs="黑体"/>
          <w:b/>
          <w:bCs/>
          <w:spacing w:val="-6"/>
          <w:sz w:val="32"/>
          <w:szCs w:val="32"/>
        </w:rPr>
        <w:t>、绩效评价工作开展情况</w:t>
      </w:r>
    </w:p>
    <w:p>
      <w:pPr>
        <w:pStyle w:val="3"/>
        <w:keepNext w:val="0"/>
        <w:keepLines w:val="0"/>
        <w:pageBreakBefore w:val="0"/>
        <w:widowControl/>
        <w:numPr>
          <w:ilvl w:val="0"/>
          <w:numId w:val="1"/>
        </w:numPr>
        <w:kinsoku w:val="0"/>
        <w:wordWrap/>
        <w:overflowPunct/>
        <w:topLinePunct w:val="0"/>
        <w:autoSpaceDE w:val="0"/>
        <w:autoSpaceDN w:val="0"/>
        <w:bidi w:val="0"/>
        <w:adjustRightInd w:val="0"/>
        <w:snapToGrid w:val="0"/>
        <w:spacing w:line="560" w:lineRule="exact"/>
        <w:ind w:left="0" w:right="0" w:firstLine="628" w:firstLineChars="200"/>
        <w:jc w:val="left"/>
        <w:textAlignment w:val="baseline"/>
        <w:rPr>
          <w:rFonts w:hint="eastAsia" w:ascii="仿宋_GB2312" w:hAnsi="仿宋_GB2312" w:eastAsia="仿宋_GB2312" w:cs="仿宋_GB2312"/>
          <w:spacing w:val="12"/>
          <w:sz w:val="32"/>
          <w:szCs w:val="32"/>
        </w:rPr>
      </w:pPr>
      <w:r>
        <w:rPr>
          <w:rFonts w:hint="eastAsia" w:ascii="仿宋_GB2312" w:hAnsi="仿宋_GB2312" w:eastAsia="仿宋_GB2312" w:cs="仿宋_GB2312"/>
          <w:spacing w:val="12"/>
          <w:sz w:val="32"/>
          <w:szCs w:val="32"/>
        </w:rPr>
        <w:t>绩效评价目的、对象和范围。</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28" w:firstLineChars="200"/>
        <w:jc w:val="left"/>
        <w:textAlignment w:val="baseline"/>
        <w:rPr>
          <w:rFonts w:hint="eastAsia" w:ascii="仿宋_GB2312" w:hAnsi="仿宋_GB2312" w:eastAsia="仿宋_GB2312" w:cs="仿宋_GB2312"/>
          <w:spacing w:val="12"/>
          <w:sz w:val="32"/>
          <w:szCs w:val="32"/>
        </w:rPr>
      </w:pPr>
      <w:r>
        <w:rPr>
          <w:rFonts w:hint="eastAsia" w:ascii="仿宋_GB2312" w:hAnsi="仿宋_GB2312" w:eastAsia="仿宋_GB2312" w:cs="仿宋_GB2312"/>
          <w:spacing w:val="12"/>
          <w:sz w:val="32"/>
          <w:szCs w:val="32"/>
        </w:rPr>
        <w:t>1、绩效评价目的：为全面实施预算绩效管理，建立科学、合理的项目支出绩效评价管理体系，提高财政资源配置效率和使用效益，依据设定的绩效目标，对项目支出的经济性、效率性、效益性和公平性进行客观、公正的测量、分析和评判。</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28" w:firstLineChars="200"/>
        <w:jc w:val="left"/>
        <w:textAlignment w:val="baseline"/>
        <w:rPr>
          <w:rFonts w:hint="eastAsia" w:ascii="仿宋_GB2312" w:hAnsi="仿宋_GB2312" w:eastAsia="仿宋_GB2312" w:cs="仿宋_GB2312"/>
          <w:spacing w:val="12"/>
          <w:sz w:val="32"/>
          <w:szCs w:val="32"/>
        </w:rPr>
      </w:pPr>
      <w:r>
        <w:rPr>
          <w:rFonts w:hint="eastAsia" w:ascii="仿宋_GB2312" w:hAnsi="仿宋_GB2312" w:eastAsia="仿宋_GB2312" w:cs="仿宋_GB2312"/>
          <w:spacing w:val="12"/>
          <w:sz w:val="32"/>
          <w:szCs w:val="32"/>
        </w:rPr>
        <w:t>2、绩效评价对象：运用科学、规范的绩效评价方法，按照财政部《关于印发&lt;项目支出绩效评价管理办法&gt;的通知》，对《野外应急救援队伍建设补助》项目进行科学评价，购置资金项目预算编制合理性、资金使用合规性、项目管理的规范性、项目目标的实现情况、服务对象的满意度等，通过本次绩效评价来总结经验和教训，促进项目成果转化和应用，为今后类似项目的长效管理，提供可行性参考建议</w:t>
      </w:r>
      <w:r>
        <w:rPr>
          <w:rFonts w:hint="eastAsia" w:ascii="仿宋_GB2312" w:hAnsi="仿宋_GB2312" w:eastAsia="仿宋_GB2312" w:cs="仿宋_GB2312"/>
          <w:spacing w:val="12"/>
          <w:sz w:val="32"/>
          <w:szCs w:val="32"/>
          <w:lang w:eastAsia="zh-CN"/>
        </w:rPr>
        <w:t>。</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28" w:firstLineChars="200"/>
        <w:jc w:val="left"/>
        <w:textAlignment w:val="baseline"/>
        <w:rPr>
          <w:rFonts w:hint="eastAsia" w:ascii="仿宋_GB2312" w:hAnsi="仿宋_GB2312" w:eastAsia="仿宋_GB2312" w:cs="仿宋_GB2312"/>
          <w:spacing w:val="12"/>
          <w:sz w:val="32"/>
          <w:szCs w:val="32"/>
        </w:rPr>
      </w:pPr>
      <w:r>
        <w:rPr>
          <w:rFonts w:hint="eastAsia" w:ascii="仿宋_GB2312" w:hAnsi="仿宋_GB2312" w:eastAsia="仿宋_GB2312" w:cs="仿宋_GB2312"/>
          <w:spacing w:val="12"/>
          <w:sz w:val="32"/>
          <w:szCs w:val="32"/>
        </w:rPr>
        <w:t>3、绩效评价范围：本次评价从项目执行情况、产出指标（包括项目数量指标、质量指标、时效指标和成本指标）、效益指标、满意度指标四个方面进行评价，评价对象为地质勘查生产、工作设备购置项目，评价核心为专项资金的支出完成情况和效果。</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28" w:firstLineChars="200"/>
        <w:jc w:val="left"/>
        <w:textAlignment w:val="baseline"/>
        <w:rPr>
          <w:rFonts w:hint="eastAsia" w:ascii="仿宋_GB2312" w:hAnsi="仿宋_GB2312" w:eastAsia="仿宋_GB2312" w:cs="仿宋_GB2312"/>
          <w:spacing w:val="12"/>
          <w:sz w:val="32"/>
          <w:szCs w:val="32"/>
        </w:rPr>
      </w:pPr>
      <w:r>
        <w:rPr>
          <w:rFonts w:hint="eastAsia" w:ascii="仿宋_GB2312" w:hAnsi="仿宋_GB2312" w:eastAsia="仿宋_GB2312" w:cs="仿宋_GB2312"/>
          <w:spacing w:val="12"/>
          <w:sz w:val="32"/>
          <w:szCs w:val="32"/>
        </w:rPr>
        <w:t>(二)绩效评价原则、评价指标体系(附表说明)、评价方法、</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28" w:firstLineChars="200"/>
        <w:jc w:val="left"/>
        <w:textAlignment w:val="baseline"/>
        <w:rPr>
          <w:rFonts w:hint="eastAsia" w:ascii="仿宋_GB2312" w:hAnsi="仿宋_GB2312" w:eastAsia="仿宋_GB2312" w:cs="仿宋_GB2312"/>
          <w:spacing w:val="12"/>
          <w:sz w:val="32"/>
          <w:szCs w:val="32"/>
        </w:rPr>
      </w:pPr>
      <w:r>
        <w:rPr>
          <w:rFonts w:hint="eastAsia" w:ascii="仿宋_GB2312" w:hAnsi="仿宋_GB2312" w:eastAsia="仿宋_GB2312" w:cs="仿宋_GB2312"/>
          <w:spacing w:val="12"/>
          <w:sz w:val="32"/>
          <w:szCs w:val="32"/>
        </w:rPr>
        <w:t>评价标准等。</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28" w:firstLineChars="200"/>
        <w:jc w:val="left"/>
        <w:textAlignment w:val="baseline"/>
        <w:rPr>
          <w:rFonts w:hint="eastAsia" w:ascii="仿宋_GB2312" w:hAnsi="仿宋_GB2312" w:eastAsia="仿宋_GB2312" w:cs="仿宋_GB2312"/>
          <w:spacing w:val="-5"/>
          <w:sz w:val="32"/>
          <w:szCs w:val="32"/>
        </w:rPr>
      </w:pPr>
      <w:r>
        <w:rPr>
          <w:rFonts w:hint="eastAsia" w:ascii="仿宋_GB2312" w:hAnsi="仿宋_GB2312" w:eastAsia="仿宋_GB2312" w:cs="仿宋_GB2312"/>
          <w:spacing w:val="12"/>
          <w:sz w:val="32"/>
          <w:szCs w:val="32"/>
        </w:rPr>
        <w:t>本次绩效评价主</w:t>
      </w:r>
      <w:r>
        <w:rPr>
          <w:rFonts w:hint="eastAsia" w:ascii="仿宋_GB2312" w:hAnsi="仿宋_GB2312" w:eastAsia="仿宋_GB2312" w:cs="仿宋_GB2312"/>
          <w:spacing w:val="-5"/>
          <w:sz w:val="32"/>
          <w:szCs w:val="32"/>
        </w:rPr>
        <w:t>要遵循以下原则：</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0" w:right="0" w:rightChars="0" w:firstLine="560" w:firstLineChars="200"/>
        <w:jc w:val="left"/>
        <w:textAlignment w:val="baseline"/>
        <w:rPr>
          <w:rFonts w:hint="eastAsia" w:ascii="仿宋_GB2312" w:hAnsi="仿宋_GB2312" w:eastAsia="仿宋_GB2312" w:cs="仿宋_GB2312"/>
          <w:spacing w:val="-5"/>
          <w:sz w:val="32"/>
          <w:szCs w:val="32"/>
          <w:lang w:eastAsia="zh-CN"/>
        </w:rPr>
      </w:pPr>
      <w:r>
        <w:rPr>
          <w:rFonts w:hint="eastAsia" w:ascii="仿宋_GB2312" w:hAnsi="仿宋_GB2312" w:eastAsia="仿宋_GB2312" w:cs="仿宋_GB2312"/>
          <w:spacing w:val="-5"/>
          <w:sz w:val="32"/>
          <w:szCs w:val="32"/>
        </w:rPr>
        <w:t>（1）客观性原则。绩效评价应当运用科学合理的方法，以事实和规范的评价标准为依据，对项目绩效进行客观评价，减少主观性和感情色彩的影响。</w:t>
      </w:r>
    </w:p>
    <w:p>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Chars="0" w:right="0" w:firstLine="560" w:firstLineChars="200"/>
        <w:jc w:val="left"/>
        <w:textAlignment w:val="baseline"/>
        <w:rPr>
          <w:rFonts w:hint="eastAsia" w:ascii="仿宋_GB2312" w:hAnsi="仿宋_GB2312" w:eastAsia="仿宋_GB2312" w:cs="仿宋_GB2312"/>
          <w:spacing w:val="-5"/>
          <w:sz w:val="32"/>
          <w:szCs w:val="32"/>
          <w:lang w:eastAsia="zh-CN"/>
        </w:rPr>
      </w:pPr>
      <w:r>
        <w:rPr>
          <w:rFonts w:hint="eastAsia" w:ascii="仿宋_GB2312" w:hAnsi="仿宋_GB2312" w:eastAsia="仿宋_GB2312" w:cs="仿宋_GB2312"/>
          <w:spacing w:val="-5"/>
          <w:sz w:val="32"/>
          <w:szCs w:val="32"/>
        </w:rPr>
        <w:t>（2）相关性原则。要求资金支出与其绩效指标之间有紧密相关的关系。</w:t>
      </w:r>
    </w:p>
    <w:p>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Chars="0" w:right="0" w:firstLine="560" w:firstLineChars="200"/>
        <w:jc w:val="left"/>
        <w:textAlignment w:val="baseline"/>
        <w:rPr>
          <w:rFonts w:hint="eastAsia" w:ascii="仿宋_GB2312" w:hAnsi="仿宋_GB2312" w:eastAsia="仿宋_GB2312" w:cs="仿宋_GB2312"/>
          <w:spacing w:val="-5"/>
          <w:sz w:val="32"/>
          <w:szCs w:val="32"/>
        </w:rPr>
      </w:pPr>
      <w:r>
        <w:rPr>
          <w:rFonts w:hint="eastAsia" w:ascii="仿宋_GB2312" w:hAnsi="仿宋_GB2312" w:eastAsia="仿宋_GB2312" w:cs="仿宋_GB2312"/>
          <w:spacing w:val="-5"/>
          <w:sz w:val="32"/>
          <w:szCs w:val="32"/>
        </w:rPr>
        <w:t>（3）公开性原则。绩效评价结果依法依规公开，并接受社会监督</w:t>
      </w:r>
      <w:r>
        <w:rPr>
          <w:rFonts w:hint="eastAsia" w:ascii="仿宋_GB2312" w:hAnsi="仿宋_GB2312" w:eastAsia="仿宋_GB2312" w:cs="仿宋_GB2312"/>
          <w:spacing w:val="-5"/>
          <w:sz w:val="32"/>
          <w:szCs w:val="32"/>
          <w:lang w:eastAsia="zh-CN"/>
        </w:rPr>
        <w:t>。</w:t>
      </w:r>
    </w:p>
    <w:p>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_GB2312" w:hAnsi="仿宋_GB2312" w:eastAsia="仿宋_GB2312" w:cs="仿宋_GB2312"/>
          <w:spacing w:val="-5"/>
          <w:sz w:val="32"/>
          <w:szCs w:val="32"/>
        </w:rPr>
      </w:pPr>
      <w:r>
        <w:rPr>
          <w:rFonts w:hint="eastAsia" w:ascii="仿宋_GB2312" w:hAnsi="仿宋_GB2312" w:eastAsia="仿宋_GB2312" w:cs="仿宋_GB2312"/>
          <w:spacing w:val="-5"/>
          <w:sz w:val="32"/>
          <w:szCs w:val="32"/>
          <w:lang w:val="en-US" w:eastAsia="zh-CN"/>
        </w:rPr>
        <w:t>2、</w:t>
      </w:r>
      <w:r>
        <w:rPr>
          <w:rFonts w:hint="eastAsia" w:ascii="仿宋_GB2312" w:hAnsi="仿宋_GB2312" w:eastAsia="仿宋_GB2312" w:cs="仿宋_GB2312"/>
          <w:spacing w:val="-5"/>
          <w:sz w:val="32"/>
          <w:szCs w:val="32"/>
        </w:rPr>
        <w:t>评价指标体系</w:t>
      </w:r>
    </w:p>
    <w:p>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_GB2312" w:hAnsi="仿宋_GB2312" w:eastAsia="仿宋_GB2312" w:cs="仿宋_GB2312"/>
          <w:spacing w:val="-5"/>
          <w:sz w:val="32"/>
          <w:szCs w:val="32"/>
          <w:lang w:val="en-US" w:eastAsia="zh-CN"/>
        </w:rPr>
      </w:pPr>
      <w:r>
        <w:rPr>
          <w:rFonts w:hint="eastAsia" w:ascii="仿宋_GB2312" w:hAnsi="仿宋_GB2312" w:eastAsia="仿宋_GB2312" w:cs="仿宋_GB2312"/>
          <w:spacing w:val="-5"/>
          <w:sz w:val="32"/>
          <w:szCs w:val="32"/>
          <w:lang w:eastAsia="zh-CN"/>
        </w:rPr>
        <w:t>本次绩效评价指标体系主要分为</w:t>
      </w:r>
      <w:r>
        <w:rPr>
          <w:rFonts w:hint="eastAsia" w:ascii="仿宋_GB2312" w:hAnsi="仿宋_GB2312" w:eastAsia="仿宋_GB2312" w:cs="仿宋_GB2312"/>
          <w:spacing w:val="-5"/>
          <w:sz w:val="32"/>
          <w:szCs w:val="32"/>
          <w:lang w:val="en-US" w:eastAsia="zh-CN"/>
        </w:rPr>
        <w:t>预算执行率指标和项目绩效指标，其中预算执行率指标占10分，项目绩效指标占90分。</w:t>
      </w:r>
    </w:p>
    <w:p>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_GB2312" w:hAnsi="仿宋_GB2312" w:eastAsia="仿宋_GB2312" w:cs="仿宋_GB2312"/>
          <w:spacing w:val="-5"/>
          <w:sz w:val="32"/>
          <w:szCs w:val="32"/>
          <w:lang w:eastAsia="zh-CN"/>
        </w:rPr>
      </w:pPr>
      <w:r>
        <w:rPr>
          <w:rFonts w:hint="eastAsia" w:ascii="仿宋_GB2312" w:hAnsi="仿宋_GB2312" w:eastAsia="仿宋_GB2312" w:cs="仿宋_GB2312"/>
          <w:spacing w:val="-5"/>
          <w:sz w:val="32"/>
          <w:szCs w:val="32"/>
          <w:lang w:eastAsia="zh-CN"/>
        </w:rPr>
        <w:t>3、评价方法</w:t>
      </w:r>
    </w:p>
    <w:p>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_GB2312" w:hAnsi="仿宋_GB2312" w:eastAsia="仿宋_GB2312" w:cs="仿宋_GB2312"/>
          <w:spacing w:val="-5"/>
          <w:sz w:val="32"/>
          <w:szCs w:val="32"/>
          <w:lang w:eastAsia="zh-CN"/>
        </w:rPr>
      </w:pPr>
      <w:r>
        <w:rPr>
          <w:rFonts w:hint="eastAsia" w:ascii="仿宋_GB2312" w:hAnsi="仿宋_GB2312" w:eastAsia="仿宋_GB2312" w:cs="仿宋_GB2312"/>
          <w:spacing w:val="-5"/>
          <w:sz w:val="32"/>
          <w:szCs w:val="32"/>
          <w:lang w:eastAsia="zh-CN"/>
        </w:rPr>
        <w:t>绩效评价方法主要包括成本效益分析法、比较法、因素分析法、最低成本法、公众评判法、标杆管理法等。本单位在评价过程中主要采用了因素分析法、成本效益分析法等。</w:t>
      </w:r>
    </w:p>
    <w:p>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_GB2312" w:hAnsi="仿宋_GB2312" w:eastAsia="仿宋_GB2312" w:cs="仿宋_GB2312"/>
          <w:spacing w:val="-5"/>
          <w:sz w:val="32"/>
          <w:szCs w:val="32"/>
          <w:lang w:eastAsia="zh-CN"/>
        </w:rPr>
      </w:pPr>
      <w:r>
        <w:rPr>
          <w:rFonts w:hint="eastAsia" w:ascii="仿宋_GB2312" w:hAnsi="仿宋_GB2312" w:eastAsia="仿宋_GB2312" w:cs="仿宋_GB2312"/>
          <w:spacing w:val="-5"/>
          <w:sz w:val="32"/>
          <w:szCs w:val="32"/>
          <w:lang w:eastAsia="zh-CN"/>
        </w:rPr>
        <w:t>4、评价标准</w:t>
      </w:r>
    </w:p>
    <w:p>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_GB2312" w:hAnsi="仿宋_GB2312" w:eastAsia="仿宋_GB2312" w:cs="仿宋_GB2312"/>
          <w:spacing w:val="-5"/>
          <w:sz w:val="32"/>
          <w:szCs w:val="32"/>
          <w:lang w:eastAsia="zh-CN"/>
        </w:rPr>
      </w:pPr>
      <w:r>
        <w:rPr>
          <w:rFonts w:hint="eastAsia" w:ascii="仿宋_GB2312" w:hAnsi="仿宋_GB2312" w:eastAsia="仿宋_GB2312" w:cs="仿宋_GB2312"/>
          <w:spacing w:val="-5"/>
          <w:sz w:val="32"/>
          <w:szCs w:val="32"/>
          <w:lang w:eastAsia="zh-CN"/>
        </w:rPr>
        <w:t>绩效评价标准通常包括计划标准、行业标准、历史标准等，用于对绩效指标完成情况进行比较。本单位绩效评价采用计划标准。</w:t>
      </w:r>
    </w:p>
    <w:p>
      <w:pPr>
        <w:pStyle w:val="3"/>
        <w:keepNext w:val="0"/>
        <w:keepLines w:val="0"/>
        <w:pageBreakBefore w:val="0"/>
        <w:widowControl/>
        <w:numPr>
          <w:ilvl w:val="0"/>
          <w:numId w:val="1"/>
        </w:numPr>
        <w:kinsoku w:val="0"/>
        <w:wordWrap/>
        <w:overflowPunct/>
        <w:topLinePunct w:val="0"/>
        <w:autoSpaceDE w:val="0"/>
        <w:autoSpaceDN w:val="0"/>
        <w:bidi w:val="0"/>
        <w:adjustRightInd w:val="0"/>
        <w:snapToGrid w:val="0"/>
        <w:spacing w:line="560" w:lineRule="exact"/>
        <w:ind w:left="0" w:leftChars="0" w:right="0" w:firstLine="632" w:firstLineChars="200"/>
        <w:jc w:val="left"/>
        <w:textAlignment w:val="baseline"/>
        <w:rPr>
          <w:rFonts w:hint="eastAsia" w:ascii="仿宋_GB2312" w:hAnsi="仿宋_GB2312" w:eastAsia="仿宋_GB2312" w:cs="仿宋_GB2312"/>
          <w:spacing w:val="13"/>
          <w:sz w:val="32"/>
          <w:szCs w:val="32"/>
        </w:rPr>
      </w:pPr>
      <w:r>
        <w:rPr>
          <w:rFonts w:hint="eastAsia" w:ascii="仿宋_GB2312" w:hAnsi="仿宋_GB2312" w:eastAsia="仿宋_GB2312" w:cs="仿宋_GB2312"/>
          <w:spacing w:val="13"/>
          <w:sz w:val="32"/>
          <w:szCs w:val="32"/>
        </w:rPr>
        <w:t>绩效评价工作过程。</w:t>
      </w:r>
    </w:p>
    <w:p>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_GB2312" w:hAnsi="仿宋_GB2312" w:eastAsia="仿宋_GB2312" w:cs="仿宋_GB2312"/>
          <w:spacing w:val="-5"/>
          <w:sz w:val="32"/>
          <w:szCs w:val="32"/>
          <w:lang w:eastAsia="zh-CN"/>
        </w:rPr>
      </w:pPr>
      <w:r>
        <w:rPr>
          <w:rFonts w:hint="eastAsia" w:ascii="仿宋_GB2312" w:hAnsi="仿宋_GB2312" w:eastAsia="仿宋_GB2312" w:cs="仿宋_GB2312"/>
          <w:spacing w:val="-5"/>
          <w:sz w:val="32"/>
          <w:szCs w:val="32"/>
          <w:lang w:eastAsia="zh-CN"/>
        </w:rPr>
        <w:t>自评价项目启动以来，结合项目具体情况、目标、预算、资金使用情况、采购完成情况综合确定绩效评价对象和范围。根据项目完成情况有针对性、时效性、可行性的研究制订绩效评价工作方案。收集项目基础数据资料、相关的佐证材料，了解项目的实施情况、项目设备验收情况、资金使用情况。认真听取仪器设备使用人员的意见，不断完善该项目的所有资料准备，项目计划内的采购如期完成，并及时对采购设备进行验收、支付和反馈，根据以上绩效评价工作过程，核实数据、意见、结论进行总结得出绩效评价报告。按照确定的评价指标、标准和方法进行自评，形成了自评结论，达到了工作目的。</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 w:hAnsi="仿宋" w:eastAsia="仿宋" w:cs="仿宋"/>
          <w:snapToGrid w:val="0"/>
          <w:color w:val="000000"/>
          <w:spacing w:val="-5"/>
          <w:kern w:val="0"/>
          <w:sz w:val="32"/>
          <w:szCs w:val="32"/>
          <w:lang w:val="en-US" w:eastAsia="zh-CN" w:bidi="ar-SA"/>
        </w:rPr>
      </w:pPr>
      <w:r>
        <w:rPr>
          <w:rFonts w:hint="eastAsia" w:ascii="黑体" w:hAnsi="黑体" w:eastAsia="黑体" w:cs="黑体"/>
          <w:snapToGrid w:val="0"/>
          <w:color w:val="000000"/>
          <w:spacing w:val="-5"/>
          <w:kern w:val="0"/>
          <w:sz w:val="32"/>
          <w:szCs w:val="32"/>
          <w:lang w:val="en-US" w:eastAsia="zh-CN" w:bidi="ar-SA"/>
        </w:rPr>
        <w:t>三 、</w:t>
      </w:r>
      <w:r>
        <w:rPr>
          <w:rFonts w:hint="eastAsia" w:ascii="黑体" w:hAnsi="黑体" w:eastAsia="黑体" w:cs="黑体"/>
          <w:b/>
          <w:bCs/>
          <w:snapToGrid w:val="0"/>
          <w:color w:val="000000"/>
          <w:spacing w:val="-5"/>
          <w:kern w:val="0"/>
          <w:sz w:val="32"/>
          <w:szCs w:val="32"/>
          <w:lang w:val="en-US" w:eastAsia="zh-CN" w:bidi="ar-SA"/>
        </w:rPr>
        <w:t xml:space="preserve">综合评价情况及评价结论 </w:t>
      </w:r>
      <w:r>
        <w:rPr>
          <w:rFonts w:hint="eastAsia" w:ascii="仿宋" w:hAnsi="仿宋" w:eastAsia="仿宋" w:cs="仿宋"/>
          <w:snapToGrid w:val="0"/>
          <w:color w:val="000000"/>
          <w:spacing w:val="-5"/>
          <w:kern w:val="0"/>
          <w:sz w:val="32"/>
          <w:szCs w:val="32"/>
          <w:lang w:val="en-US" w:eastAsia="zh-CN" w:bidi="ar-SA"/>
        </w:rPr>
        <w:t>(附相关评分表)</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_GB2312" w:hAnsi="仿宋_GB2312" w:eastAsia="仿宋_GB2312" w:cs="仿宋_GB2312"/>
          <w:snapToGrid w:val="0"/>
          <w:color w:val="000000"/>
          <w:spacing w:val="-5"/>
          <w:kern w:val="0"/>
          <w:sz w:val="32"/>
          <w:szCs w:val="32"/>
          <w:lang w:val="en-US" w:eastAsia="zh-CN" w:bidi="ar-SA"/>
        </w:rPr>
      </w:pPr>
      <w:r>
        <w:rPr>
          <w:rFonts w:hint="eastAsia" w:ascii="仿宋_GB2312" w:hAnsi="仿宋_GB2312" w:eastAsia="仿宋_GB2312" w:cs="仿宋_GB2312"/>
          <w:snapToGrid w:val="0"/>
          <w:color w:val="000000"/>
          <w:spacing w:val="-5"/>
          <w:kern w:val="0"/>
          <w:sz w:val="32"/>
          <w:szCs w:val="32"/>
          <w:lang w:val="en-US" w:eastAsia="zh-CN" w:bidi="ar-SA"/>
        </w:rPr>
        <w:t>1.综合评价情况及评价结论</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60" w:firstLineChars="200"/>
        <w:jc w:val="left"/>
        <w:textAlignment w:val="baseline"/>
        <w:rPr>
          <w:rFonts w:hint="eastAsia" w:ascii="仿宋_GB2312" w:hAnsi="仿宋_GB2312" w:eastAsia="仿宋_GB2312" w:cs="仿宋_GB2312"/>
          <w:sz w:val="32"/>
          <w:szCs w:val="32"/>
          <w:lang w:val="en-US" w:eastAsia="en-US"/>
        </w:rPr>
      </w:pPr>
      <w:r>
        <w:rPr>
          <w:rFonts w:hint="eastAsia" w:ascii="仿宋_GB2312" w:hAnsi="仿宋_GB2312" w:eastAsia="仿宋_GB2312" w:cs="仿宋_GB2312"/>
          <w:snapToGrid w:val="0"/>
          <w:color w:val="000000"/>
          <w:spacing w:val="-5"/>
          <w:kern w:val="0"/>
          <w:sz w:val="32"/>
          <w:szCs w:val="32"/>
          <w:lang w:val="en-US" w:eastAsia="zh-CN" w:bidi="ar-SA"/>
        </w:rPr>
        <w:t>该项目根据年初制定的评价指标体</w:t>
      </w:r>
      <w:r>
        <w:rPr>
          <w:rFonts w:hint="eastAsia" w:ascii="仿宋_GB2312" w:hAnsi="仿宋_GB2312" w:eastAsia="仿宋_GB2312" w:cs="仿宋_GB2312"/>
          <w:color w:val="333333"/>
          <w:sz w:val="32"/>
          <w:szCs w:val="32"/>
        </w:rPr>
        <w:t>系及评分标准，通过资料采集，对此次项目进行客观评价，最终评分结果：总得分为</w:t>
      </w:r>
      <w:r>
        <w:rPr>
          <w:rFonts w:hint="eastAsia" w:ascii="仿宋_GB2312" w:hAnsi="仿宋_GB2312" w:eastAsia="仿宋_GB2312" w:cs="仿宋_GB2312"/>
          <w:color w:val="333333"/>
          <w:sz w:val="32"/>
          <w:szCs w:val="32"/>
          <w:lang w:val="en-US" w:eastAsia="zh-CN"/>
        </w:rPr>
        <w:t>95</w:t>
      </w:r>
      <w:r>
        <w:rPr>
          <w:rFonts w:hint="eastAsia" w:ascii="仿宋_GB2312" w:hAnsi="仿宋_GB2312" w:eastAsia="仿宋_GB2312" w:cs="仿宋_GB2312"/>
          <w:color w:val="333333"/>
          <w:sz w:val="32"/>
          <w:szCs w:val="32"/>
        </w:rPr>
        <w:t>分。其中：项目预算执行情况得分</w:t>
      </w:r>
      <w:r>
        <w:rPr>
          <w:rFonts w:hint="eastAsia" w:ascii="仿宋_GB2312" w:hAnsi="仿宋_GB2312" w:eastAsia="仿宋_GB2312" w:cs="仿宋_GB2312"/>
          <w:color w:val="333333"/>
          <w:sz w:val="32"/>
          <w:szCs w:val="32"/>
          <w:lang w:val="en-US" w:eastAsia="zh-CN"/>
        </w:rPr>
        <w:t>10</w:t>
      </w:r>
      <w:r>
        <w:rPr>
          <w:rFonts w:hint="eastAsia" w:ascii="仿宋_GB2312" w:hAnsi="仿宋_GB2312" w:eastAsia="仿宋_GB2312" w:cs="仿宋_GB2312"/>
          <w:color w:val="333333"/>
          <w:sz w:val="32"/>
          <w:szCs w:val="32"/>
        </w:rPr>
        <w:t>分，得分率为</w:t>
      </w:r>
      <w:r>
        <w:rPr>
          <w:rFonts w:hint="eastAsia" w:ascii="仿宋_GB2312" w:hAnsi="仿宋_GB2312" w:eastAsia="仿宋_GB2312" w:cs="仿宋_GB2312"/>
          <w:color w:val="333333"/>
          <w:sz w:val="32"/>
          <w:szCs w:val="32"/>
          <w:lang w:val="en-US" w:eastAsia="zh-CN"/>
        </w:rPr>
        <w:t>100</w:t>
      </w:r>
      <w:r>
        <w:rPr>
          <w:rFonts w:hint="eastAsia" w:ascii="仿宋_GB2312" w:hAnsi="仿宋_GB2312" w:eastAsia="仿宋_GB2312" w:cs="仿宋_GB2312"/>
          <w:color w:val="333333"/>
          <w:sz w:val="32"/>
          <w:szCs w:val="32"/>
        </w:rPr>
        <w:t>%；产出指标为</w:t>
      </w:r>
      <w:r>
        <w:rPr>
          <w:rFonts w:hint="eastAsia" w:ascii="仿宋_GB2312" w:hAnsi="仿宋_GB2312" w:eastAsia="仿宋_GB2312" w:cs="仿宋_GB2312"/>
          <w:color w:val="333333"/>
          <w:sz w:val="32"/>
          <w:szCs w:val="32"/>
          <w:lang w:val="en-US" w:eastAsia="zh-CN"/>
        </w:rPr>
        <w:t>40</w:t>
      </w:r>
      <w:r>
        <w:rPr>
          <w:rFonts w:hint="eastAsia" w:ascii="仿宋_GB2312" w:hAnsi="仿宋_GB2312" w:eastAsia="仿宋_GB2312" w:cs="仿宋_GB2312"/>
          <w:color w:val="333333"/>
          <w:sz w:val="32"/>
          <w:szCs w:val="32"/>
        </w:rPr>
        <w:t>分，得分率为</w:t>
      </w:r>
      <w:r>
        <w:rPr>
          <w:rFonts w:hint="eastAsia" w:ascii="仿宋_GB2312" w:hAnsi="仿宋_GB2312" w:eastAsia="仿宋_GB2312" w:cs="仿宋_GB2312"/>
          <w:color w:val="333333"/>
          <w:sz w:val="32"/>
          <w:szCs w:val="32"/>
          <w:lang w:val="en-US" w:eastAsia="zh-CN"/>
        </w:rPr>
        <w:t>100</w:t>
      </w:r>
      <w:r>
        <w:rPr>
          <w:rFonts w:hint="eastAsia" w:ascii="仿宋_GB2312" w:hAnsi="仿宋_GB2312" w:eastAsia="仿宋_GB2312" w:cs="仿宋_GB2312"/>
          <w:color w:val="333333"/>
          <w:sz w:val="32"/>
          <w:szCs w:val="32"/>
        </w:rPr>
        <w:t>%；</w:t>
      </w:r>
      <w:r>
        <w:rPr>
          <w:rFonts w:hint="eastAsia" w:ascii="仿宋_GB2312" w:hAnsi="仿宋_GB2312" w:eastAsia="仿宋_GB2312" w:cs="仿宋_GB2312"/>
          <w:color w:val="333333"/>
          <w:sz w:val="32"/>
          <w:szCs w:val="32"/>
          <w:lang w:eastAsia="zh-CN"/>
        </w:rPr>
        <w:t>成本指标为</w:t>
      </w:r>
      <w:r>
        <w:rPr>
          <w:rFonts w:hint="eastAsia" w:ascii="仿宋_GB2312" w:hAnsi="仿宋_GB2312" w:eastAsia="仿宋_GB2312" w:cs="仿宋_GB2312"/>
          <w:color w:val="333333"/>
          <w:sz w:val="32"/>
          <w:szCs w:val="32"/>
          <w:lang w:val="en-US" w:eastAsia="zh-CN"/>
        </w:rPr>
        <w:t>20分，得分率100%；</w:t>
      </w:r>
      <w:r>
        <w:rPr>
          <w:rFonts w:hint="eastAsia" w:ascii="仿宋_GB2312" w:hAnsi="仿宋_GB2312" w:eastAsia="仿宋_GB2312" w:cs="仿宋_GB2312"/>
          <w:color w:val="333333"/>
          <w:sz w:val="32"/>
          <w:szCs w:val="32"/>
        </w:rPr>
        <w:t>效益指标为</w:t>
      </w:r>
      <w:r>
        <w:rPr>
          <w:rFonts w:hint="eastAsia" w:ascii="仿宋_GB2312" w:hAnsi="仿宋_GB2312" w:eastAsia="仿宋_GB2312" w:cs="仿宋_GB2312"/>
          <w:color w:val="333333"/>
          <w:sz w:val="32"/>
          <w:szCs w:val="32"/>
          <w:lang w:val="en-US" w:eastAsia="zh-CN"/>
        </w:rPr>
        <w:t>15</w:t>
      </w:r>
      <w:r>
        <w:rPr>
          <w:rFonts w:hint="eastAsia" w:ascii="仿宋_GB2312" w:hAnsi="仿宋_GB2312" w:eastAsia="仿宋_GB2312" w:cs="仿宋_GB2312"/>
          <w:color w:val="333333"/>
          <w:sz w:val="32"/>
          <w:szCs w:val="32"/>
        </w:rPr>
        <w:t>分，得分率为</w:t>
      </w:r>
      <w:r>
        <w:rPr>
          <w:rFonts w:hint="eastAsia" w:ascii="仿宋_GB2312" w:hAnsi="仿宋_GB2312" w:eastAsia="仿宋_GB2312" w:cs="仿宋_GB2312"/>
          <w:color w:val="333333"/>
          <w:sz w:val="32"/>
          <w:szCs w:val="32"/>
          <w:lang w:val="en-US" w:eastAsia="zh-CN"/>
        </w:rPr>
        <w:t>85</w:t>
      </w:r>
      <w:r>
        <w:rPr>
          <w:rFonts w:hint="eastAsia" w:ascii="仿宋_GB2312" w:hAnsi="仿宋_GB2312" w:eastAsia="仿宋_GB2312" w:cs="仿宋_GB2312"/>
          <w:color w:val="333333"/>
          <w:sz w:val="32"/>
          <w:szCs w:val="32"/>
        </w:rPr>
        <w:t>%；满意度指标为</w:t>
      </w:r>
      <w:r>
        <w:rPr>
          <w:rFonts w:hint="eastAsia" w:ascii="仿宋_GB2312" w:hAnsi="仿宋_GB2312" w:eastAsia="仿宋_GB2312" w:cs="仿宋_GB2312"/>
          <w:color w:val="333333"/>
          <w:sz w:val="32"/>
          <w:szCs w:val="32"/>
          <w:lang w:val="en-US" w:eastAsia="zh-CN"/>
        </w:rPr>
        <w:t>9</w:t>
      </w:r>
      <w:r>
        <w:rPr>
          <w:rFonts w:hint="eastAsia" w:ascii="仿宋_GB2312" w:hAnsi="仿宋_GB2312" w:eastAsia="仿宋_GB2312" w:cs="仿宋_GB2312"/>
          <w:color w:val="333333"/>
          <w:sz w:val="32"/>
          <w:szCs w:val="32"/>
        </w:rPr>
        <w:t>分，得分率为</w:t>
      </w:r>
      <w:r>
        <w:rPr>
          <w:rFonts w:hint="eastAsia" w:ascii="仿宋_GB2312" w:hAnsi="仿宋_GB2312" w:eastAsia="仿宋_GB2312" w:cs="仿宋_GB2312"/>
          <w:color w:val="333333"/>
          <w:sz w:val="32"/>
          <w:szCs w:val="32"/>
          <w:lang w:val="en-US" w:eastAsia="zh-CN"/>
        </w:rPr>
        <w:t>90</w:t>
      </w:r>
      <w:r>
        <w:rPr>
          <w:rFonts w:hint="eastAsia" w:ascii="仿宋_GB2312" w:hAnsi="仿宋_GB2312" w:eastAsia="仿宋_GB2312" w:cs="仿宋_GB2312"/>
          <w:color w:val="333333"/>
          <w:sz w:val="32"/>
          <w:szCs w:val="32"/>
        </w:rPr>
        <w:t>%。</w:t>
      </w:r>
    </w:p>
    <w:p>
      <w:pPr>
        <w:pStyle w:val="2"/>
        <w:rPr>
          <w:rFonts w:hint="eastAsia"/>
          <w:lang w:val="en-US" w:eastAsia="en-US"/>
        </w:rPr>
      </w:pPr>
    </w:p>
    <w:tbl>
      <w:tblPr>
        <w:tblStyle w:val="6"/>
        <w:tblW w:w="871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623"/>
        <w:gridCol w:w="623"/>
        <w:gridCol w:w="622"/>
        <w:gridCol w:w="623"/>
        <w:gridCol w:w="623"/>
        <w:gridCol w:w="623"/>
        <w:gridCol w:w="623"/>
        <w:gridCol w:w="623"/>
        <w:gridCol w:w="622"/>
        <w:gridCol w:w="623"/>
        <w:gridCol w:w="623"/>
        <w:gridCol w:w="623"/>
        <w:gridCol w:w="623"/>
        <w:gridCol w:w="6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20" w:hRule="atLeast"/>
        </w:trPr>
        <w:tc>
          <w:tcPr>
            <w:tcW w:w="8719"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snapToGrid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8719" w:type="dxa"/>
            <w:gridSpan w:val="14"/>
            <w:shd w:val="clear" w:color="auto" w:fill="auto"/>
            <w:vAlign w:val="top"/>
          </w:tcPr>
          <w:p>
            <w:pPr>
              <w:keepNext w:val="0"/>
              <w:keepLines w:val="0"/>
              <w:widowControl/>
              <w:suppressLineNumbers w:val="0"/>
              <w:jc w:val="center"/>
              <w:textAlignment w:val="top"/>
              <w:rPr>
                <w:rFonts w:ascii="宋体" w:hAnsi="宋体" w:eastAsia="宋体" w:cs="宋体"/>
                <w:i w:val="0"/>
                <w:color w:val="000000"/>
                <w:sz w:val="16"/>
                <w:szCs w:val="16"/>
                <w:u w:val="none"/>
              </w:rPr>
            </w:pPr>
            <w:r>
              <w:rPr>
                <w:rFonts w:ascii="宋体" w:hAnsi="宋体" w:eastAsia="宋体" w:cs="宋体"/>
                <w:i w:val="0"/>
                <w:snapToGrid w:val="0"/>
                <w:color w:val="000000"/>
                <w:kern w:val="0"/>
                <w:sz w:val="16"/>
                <w:szCs w:val="16"/>
                <w:u w:val="none"/>
                <w:lang w:val="en-US" w:eastAsia="zh-CN" w:bidi="ar"/>
              </w:rPr>
              <w:t xml:space="preserve">  (2023年度)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项目名称</w:t>
            </w:r>
          </w:p>
        </w:tc>
        <w:tc>
          <w:tcPr>
            <w:tcW w:w="747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墨玉县阔依其乡盐碱地高效开发利用示范及固碳潜力预研究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Arial" w:hAnsi="Arial" w:cs="Arial"/>
                <w:i w:val="0"/>
                <w:color w:val="000000"/>
                <w:sz w:val="22"/>
                <w:szCs w:val="22"/>
                <w:u w:val="none"/>
              </w:rPr>
            </w:pPr>
            <w:r>
              <w:rPr>
                <w:rFonts w:ascii="宋体" w:hAnsi="宋体" w:eastAsia="宋体" w:cs="宋体"/>
                <w:i w:val="0"/>
                <w:snapToGrid w:val="0"/>
                <w:color w:val="000000"/>
                <w:kern w:val="0"/>
                <w:sz w:val="12"/>
                <w:szCs w:val="12"/>
                <w:u w:val="none"/>
                <w:lang w:val="en-US" w:eastAsia="zh-CN" w:bidi="ar"/>
              </w:rPr>
              <w:t>主管部门</w:t>
            </w:r>
          </w:p>
        </w:tc>
        <w:tc>
          <w:tcPr>
            <w:tcW w:w="3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新疆地质矿产勘查开发局</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实施单位</w:t>
            </w:r>
          </w:p>
        </w:tc>
        <w:tc>
          <w:tcPr>
            <w:tcW w:w="3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新疆维吾尔自治区地质调查院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24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项目资金</w:t>
            </w:r>
            <w:r>
              <w:rPr>
                <w:rFonts w:ascii="宋体" w:hAnsi="宋体" w:eastAsia="宋体" w:cs="宋体"/>
                <w:i w:val="0"/>
                <w:snapToGrid w:val="0"/>
                <w:color w:val="000000"/>
                <w:kern w:val="0"/>
                <w:sz w:val="12"/>
                <w:szCs w:val="12"/>
                <w:u w:val="none"/>
                <w:lang w:val="en-US" w:eastAsia="zh-CN" w:bidi="ar"/>
              </w:rPr>
              <w:br w:type="textWrapping"/>
            </w:r>
            <w:r>
              <w:rPr>
                <w:rFonts w:ascii="宋体" w:hAnsi="宋体" w:eastAsia="宋体" w:cs="宋体"/>
                <w:i w:val="0"/>
                <w:snapToGrid w:val="0"/>
                <w:color w:val="000000"/>
                <w:kern w:val="0"/>
                <w:sz w:val="12"/>
                <w:szCs w:val="12"/>
                <w:u w:val="none"/>
                <w:lang w:val="en-US" w:eastAsia="zh-CN" w:bidi="ar"/>
              </w:rPr>
              <w:t>(万元)</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资金来源</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Fonts w:ascii="宋体" w:hAnsi="宋体" w:eastAsia="宋体" w:cs="宋体"/>
                <w:i w:val="0"/>
                <w:snapToGrid w:val="0"/>
                <w:color w:val="000000"/>
                <w:kern w:val="0"/>
                <w:sz w:val="12"/>
                <w:szCs w:val="12"/>
                <w:u w:val="none"/>
                <w:lang w:val="en-US" w:eastAsia="zh-CN" w:bidi="ar"/>
              </w:rPr>
              <w:t>年初预算数</w:t>
            </w:r>
          </w:p>
        </w:tc>
        <w:tc>
          <w:tcPr>
            <w:tcW w:w="1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全年预算数</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全年执行数</w:t>
            </w:r>
          </w:p>
        </w:tc>
        <w:tc>
          <w:tcPr>
            <w:tcW w:w="1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分值权重</w:t>
            </w:r>
          </w:p>
        </w:tc>
        <w:tc>
          <w:tcPr>
            <w:tcW w:w="1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Fonts w:ascii="宋体" w:hAnsi="宋体" w:eastAsia="宋体" w:cs="宋体"/>
                <w:i w:val="0"/>
                <w:snapToGrid w:val="0"/>
                <w:color w:val="000000"/>
                <w:kern w:val="0"/>
                <w:sz w:val="12"/>
                <w:szCs w:val="12"/>
                <w:u w:val="none"/>
                <w:lang w:val="en-US" w:eastAsia="zh-CN" w:bidi="ar"/>
              </w:rPr>
              <w:t>执行率</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Fonts w:ascii="宋体" w:hAnsi="宋体" w:eastAsia="宋体" w:cs="宋体"/>
                <w:i w:val="0"/>
                <w:snapToGrid w:val="0"/>
                <w:color w:val="000000"/>
                <w:kern w:val="0"/>
                <w:sz w:val="12"/>
                <w:szCs w:val="1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24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年度资金总额</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99.6</w:t>
            </w:r>
          </w:p>
        </w:tc>
        <w:tc>
          <w:tcPr>
            <w:tcW w:w="1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99.6</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99.6</w:t>
            </w:r>
          </w:p>
        </w:tc>
        <w:tc>
          <w:tcPr>
            <w:tcW w:w="1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w:t>
            </w:r>
          </w:p>
        </w:tc>
        <w:tc>
          <w:tcPr>
            <w:tcW w:w="1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100.0%</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24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Fonts w:ascii="宋体" w:hAnsi="宋体" w:eastAsia="宋体" w:cs="宋体"/>
                <w:i w:val="0"/>
                <w:snapToGrid w:val="0"/>
                <w:color w:val="000000"/>
                <w:kern w:val="0"/>
                <w:sz w:val="12"/>
                <w:szCs w:val="12"/>
                <w:u w:val="none"/>
                <w:lang w:val="en-US" w:eastAsia="zh-CN" w:bidi="ar"/>
              </w:rPr>
              <w:t>其中：当年财政披款</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1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1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1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24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Fonts w:ascii="宋体" w:hAnsi="宋体" w:eastAsia="宋体" w:cs="宋体"/>
                <w:i w:val="0"/>
                <w:snapToGrid w:val="0"/>
                <w:color w:val="000000"/>
                <w:kern w:val="0"/>
                <w:sz w:val="12"/>
                <w:szCs w:val="12"/>
                <w:u w:val="none"/>
                <w:lang w:val="en-US" w:eastAsia="zh-CN" w:bidi="ar"/>
              </w:rPr>
              <w:t>共他资金</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99.6</w:t>
            </w:r>
          </w:p>
        </w:tc>
        <w:tc>
          <w:tcPr>
            <w:tcW w:w="1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99.6</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99.6</w:t>
            </w:r>
          </w:p>
        </w:tc>
        <w:tc>
          <w:tcPr>
            <w:tcW w:w="1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1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default" w:ascii="Arial" w:hAnsi="Arial" w:eastAsia="宋体" w:cs="Arial"/>
                <w:i w:val="0"/>
                <w:snapToGrid w:val="0"/>
                <w:color w:val="000000"/>
                <w:kern w:val="0"/>
                <w:sz w:val="12"/>
                <w:szCs w:val="1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6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年度总体目</w:t>
            </w:r>
            <w:r>
              <w:rPr>
                <w:rFonts w:ascii="宋体" w:hAnsi="宋体" w:eastAsia="宋体" w:cs="宋体"/>
                <w:i w:val="0"/>
                <w:snapToGrid w:val="0"/>
                <w:color w:val="000000"/>
                <w:kern w:val="0"/>
                <w:sz w:val="12"/>
                <w:szCs w:val="12"/>
                <w:u w:val="none"/>
                <w:lang w:val="en-US" w:eastAsia="zh-CN" w:bidi="ar"/>
              </w:rPr>
              <w:br w:type="textWrapping"/>
            </w:r>
            <w:r>
              <w:rPr>
                <w:rFonts w:ascii="宋体" w:hAnsi="宋体" w:eastAsia="宋体" w:cs="宋体"/>
                <w:i w:val="0"/>
                <w:snapToGrid w:val="0"/>
                <w:color w:val="000000"/>
                <w:kern w:val="0"/>
                <w:sz w:val="12"/>
                <w:szCs w:val="12"/>
                <w:u w:val="none"/>
                <w:lang w:val="en-US" w:eastAsia="zh-CN" w:bidi="ar"/>
              </w:rPr>
              <w:t>标</w:t>
            </w:r>
          </w:p>
        </w:tc>
        <w:tc>
          <w:tcPr>
            <w:tcW w:w="498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总体目标</w:t>
            </w:r>
          </w:p>
        </w:tc>
        <w:tc>
          <w:tcPr>
            <w:tcW w:w="3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30"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498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在收集分析研究以往地物化遥及科研资料的基础上，以生态地质调查、土地质量地球化学调查和种植试验为主要手段，进一步摸清阔依其乡土地质量状况，查明墨玉县阔依其乡一带生态风险因素及土地盐渍化现状，建立盐碱地高效开发利用示范，探讨盐碱地固碳潜力，为当地绿色食品产地认证奠定基础。</w:t>
            </w:r>
          </w:p>
        </w:tc>
        <w:tc>
          <w:tcPr>
            <w:tcW w:w="31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本次工作查明阔依其乡目前约6.59万亩的耕地土壤环境满足绿色食品产地土壤环境质量标准，具有发展绿色食品产地的优势条件，为阔依其乡开展绿色食品产地认证打下了基础。同时查明后备盐碱耕地资源7.2万余亩，可以作为后备耕地开发利用，可以有效解决当地现阶段耕地不足的问题，为当地乡村振兴提供了更多的选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一级指标</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Fonts w:ascii="宋体" w:hAnsi="宋体" w:eastAsia="宋体" w:cs="宋体"/>
                <w:i w:val="0"/>
                <w:snapToGrid w:val="0"/>
                <w:color w:val="000000"/>
                <w:kern w:val="0"/>
                <w:sz w:val="12"/>
                <w:szCs w:val="12"/>
                <w:u w:val="none"/>
                <w:lang w:val="en-US" w:eastAsia="zh-CN" w:bidi="ar"/>
              </w:rPr>
              <w:t>二级指标</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Fonts w:ascii="宋体" w:hAnsi="宋体" w:eastAsia="宋体" w:cs="宋体"/>
                <w:i w:val="0"/>
                <w:snapToGrid w:val="0"/>
                <w:color w:val="000000"/>
                <w:kern w:val="0"/>
                <w:sz w:val="12"/>
                <w:szCs w:val="12"/>
                <w:u w:val="none"/>
                <w:lang w:val="en-US" w:eastAsia="zh-CN" w:bidi="ar"/>
              </w:rPr>
              <w:t>三级指标</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Fonts w:ascii="宋体" w:hAnsi="宋体" w:eastAsia="宋体" w:cs="宋体"/>
                <w:i w:val="0"/>
                <w:snapToGrid w:val="0"/>
                <w:color w:val="000000"/>
                <w:kern w:val="0"/>
                <w:sz w:val="12"/>
                <w:szCs w:val="12"/>
                <w:u w:val="none"/>
                <w:lang w:val="en-US" w:eastAsia="zh-CN" w:bidi="ar"/>
              </w:rPr>
              <w:t>指标值</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指标值设置依据</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Fonts w:ascii="宋体" w:hAnsi="宋体" w:eastAsia="宋体" w:cs="宋体"/>
                <w:i w:val="0"/>
                <w:snapToGrid w:val="0"/>
                <w:color w:val="000000"/>
                <w:kern w:val="0"/>
                <w:sz w:val="12"/>
                <w:szCs w:val="12"/>
                <w:u w:val="none"/>
                <w:lang w:val="en-US" w:eastAsia="zh-CN" w:bidi="ar"/>
              </w:rPr>
              <w:t>上年完成值</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Fonts w:ascii="宋体" w:hAnsi="宋体" w:eastAsia="宋体" w:cs="宋体"/>
                <w:i w:val="0"/>
                <w:snapToGrid w:val="0"/>
                <w:color w:val="000000"/>
                <w:kern w:val="0"/>
                <w:sz w:val="12"/>
                <w:szCs w:val="12"/>
                <w:u w:val="none"/>
                <w:lang w:val="en-US" w:eastAsia="zh-CN" w:bidi="ar"/>
              </w:rPr>
              <w:t>指标分值权重</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Fonts w:ascii="宋体" w:hAnsi="宋体" w:eastAsia="宋体" w:cs="宋体"/>
                <w:i w:val="0"/>
                <w:snapToGrid w:val="0"/>
                <w:color w:val="000000"/>
                <w:kern w:val="0"/>
                <w:sz w:val="12"/>
                <w:szCs w:val="12"/>
                <w:u w:val="none"/>
                <w:lang w:val="en-US" w:eastAsia="zh-CN" w:bidi="ar"/>
              </w:rPr>
              <w:t>指标赋分规则</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Fonts w:ascii="宋体" w:hAnsi="宋体" w:eastAsia="宋体" w:cs="宋体"/>
                <w:i w:val="0"/>
                <w:snapToGrid w:val="0"/>
                <w:color w:val="000000"/>
                <w:kern w:val="0"/>
                <w:sz w:val="12"/>
                <w:szCs w:val="12"/>
                <w:u w:val="none"/>
                <w:lang w:val="en-US" w:eastAsia="zh-CN" w:bidi="ar"/>
              </w:rPr>
              <w:t>佐证资料</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Fonts w:ascii="宋体" w:hAnsi="宋体" w:eastAsia="宋体" w:cs="宋体"/>
                <w:i w:val="0"/>
                <w:snapToGrid w:val="0"/>
                <w:color w:val="000000"/>
                <w:kern w:val="0"/>
                <w:sz w:val="12"/>
                <w:szCs w:val="12"/>
                <w:u w:val="none"/>
                <w:lang w:val="en-US" w:eastAsia="zh-CN" w:bidi="ar"/>
              </w:rPr>
              <w:t>指标实际完成值</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Fonts w:ascii="宋体" w:hAnsi="宋体" w:eastAsia="宋体" w:cs="宋体"/>
                <w:i w:val="0"/>
                <w:snapToGrid w:val="0"/>
                <w:color w:val="000000"/>
                <w:kern w:val="0"/>
                <w:sz w:val="12"/>
                <w:szCs w:val="12"/>
                <w:u w:val="none"/>
                <w:lang w:val="en-US" w:eastAsia="zh-CN" w:bidi="ar"/>
              </w:rPr>
              <w:t>完成率</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Fonts w:ascii="宋体" w:hAnsi="宋体" w:eastAsia="宋体" w:cs="宋体"/>
                <w:i w:val="0"/>
                <w:snapToGrid w:val="0"/>
                <w:color w:val="000000"/>
                <w:kern w:val="0"/>
                <w:sz w:val="12"/>
                <w:szCs w:val="12"/>
                <w:u w:val="none"/>
                <w:lang w:val="en-US" w:eastAsia="zh-CN" w:bidi="ar"/>
              </w:rPr>
              <w:t>指标得分</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Fonts w:ascii="宋体" w:hAnsi="宋体" w:eastAsia="宋体" w:cs="宋体"/>
                <w:i w:val="0"/>
                <w:snapToGrid w:val="0"/>
                <w:color w:val="000000"/>
                <w:kern w:val="0"/>
                <w:sz w:val="12"/>
                <w:szCs w:val="12"/>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6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Fonts w:ascii="宋体" w:hAnsi="宋体" w:eastAsia="宋体" w:cs="宋体"/>
                <w:i w:val="0"/>
                <w:snapToGrid w:val="0"/>
                <w:color w:val="000000"/>
                <w:kern w:val="0"/>
                <w:sz w:val="12"/>
                <w:szCs w:val="12"/>
                <w:u w:val="none"/>
                <w:lang w:val="en-US" w:eastAsia="zh-CN" w:bidi="ar"/>
              </w:rPr>
              <w:t>年度绩效指</w:t>
            </w:r>
            <w:r>
              <w:rPr>
                <w:rFonts w:ascii="宋体" w:hAnsi="宋体" w:eastAsia="宋体" w:cs="宋体"/>
                <w:i w:val="0"/>
                <w:snapToGrid w:val="0"/>
                <w:color w:val="000000"/>
                <w:kern w:val="0"/>
                <w:sz w:val="12"/>
                <w:szCs w:val="12"/>
                <w:u w:val="none"/>
                <w:lang w:val="en-US" w:eastAsia="zh-CN" w:bidi="ar"/>
              </w:rPr>
              <w:br w:type="textWrapping"/>
            </w:r>
            <w:r>
              <w:rPr>
                <w:rFonts w:ascii="宋体" w:hAnsi="宋体" w:eastAsia="宋体" w:cs="宋体"/>
                <w:i w:val="0"/>
                <w:snapToGrid w:val="0"/>
                <w:color w:val="000000"/>
                <w:kern w:val="0"/>
                <w:sz w:val="12"/>
                <w:szCs w:val="12"/>
                <w:u w:val="none"/>
                <w:lang w:val="en-US" w:eastAsia="zh-CN" w:bidi="ar"/>
              </w:rPr>
              <w:t>标完成情况</w:t>
            </w:r>
          </w:p>
        </w:tc>
        <w:tc>
          <w:tcPr>
            <w:tcW w:w="6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产出指标</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数量指标</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提交成果报告数</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=1份</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按照完成比例赋分</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100%</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质量指标</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报告合格率</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&gt;=90%</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按照完成比例赋分</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90%</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100%</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时效指标</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勘查工作按期完成率</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&gt;=95%</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按照完成比例赋分</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95%</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100%</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时效指标</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项目按期完成率</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&gt;=90%</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按照完成比例赋分</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90%</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100%</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成本指标</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经济成本指标</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项目成本控制率</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&lt;=100%</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其他标准</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20</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按照完成比例赋分</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100%</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100%</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20</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社会成本指标</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12"/>
                <w:szCs w:val="12"/>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生态环境成本指标</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12"/>
                <w:szCs w:val="12"/>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效益指标</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经济效益指标</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12"/>
                <w:szCs w:val="12"/>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社会效益指标</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正常运转率</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持续保障</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20</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按评判等级赋分</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持续保障</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85%</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15</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生态效益指标</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12"/>
                <w:szCs w:val="12"/>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满意度指标</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满意度指标</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项目单位满意度</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&gt;=95%</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计划标准</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10</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满意度赋分</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snapToGrid w:val="0"/>
                <w:color w:val="000000"/>
                <w:kern w:val="0"/>
                <w:sz w:val="12"/>
                <w:szCs w:val="12"/>
                <w:u w:val="none"/>
                <w:lang w:val="en-US" w:eastAsia="zh-CN" w:bidi="ar"/>
              </w:rPr>
              <w:t>工作资料</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90%</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95%</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eastAsia" w:eastAsia="宋体" w:cs="Arial"/>
                <w:i w:val="0"/>
                <w:snapToGrid w:val="0"/>
                <w:color w:val="000000"/>
                <w:kern w:val="0"/>
                <w:sz w:val="12"/>
                <w:szCs w:val="12"/>
                <w:u w:val="none"/>
                <w:lang w:val="en-US" w:eastAsia="zh-CN" w:bidi="ar"/>
              </w:rPr>
              <w:t>10</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9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22"/>
                <w:szCs w:val="22"/>
                <w:u w:val="none"/>
              </w:rPr>
            </w:pPr>
            <w:r>
              <w:rPr>
                <w:rFonts w:ascii="宋体" w:hAnsi="宋体" w:eastAsia="宋体" w:cs="宋体"/>
                <w:i w:val="0"/>
                <w:snapToGrid w:val="0"/>
                <w:color w:val="000000"/>
                <w:kern w:val="0"/>
                <w:sz w:val="12"/>
                <w:szCs w:val="12"/>
                <w:u w:val="none"/>
                <w:lang w:val="en-US" w:eastAsia="zh-CN" w:bidi="ar"/>
              </w:rPr>
              <w:t>总分</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color w:val="000000"/>
                <w:sz w:val="12"/>
                <w:szCs w:val="12"/>
                <w:u w:val="none"/>
              </w:rPr>
            </w:pPr>
            <w:r>
              <w:rPr>
                <w:rFonts w:hint="eastAsia" w:eastAsia="宋体" w:cs="Arial"/>
                <w:i w:val="0"/>
                <w:snapToGrid w:val="0"/>
                <w:color w:val="000000"/>
                <w:kern w:val="0"/>
                <w:sz w:val="12"/>
                <w:szCs w:val="12"/>
                <w:u w:val="none"/>
                <w:lang w:val="en-US" w:eastAsia="zh-CN" w:bidi="ar"/>
              </w:rPr>
              <w:t>100</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2"/>
                <w:szCs w:val="1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2"/>
                <w:szCs w:val="12"/>
                <w:u w:val="none"/>
              </w:rPr>
            </w:pPr>
            <w:r>
              <w:rPr>
                <w:rFonts w:ascii="宋体" w:hAnsi="宋体" w:eastAsia="宋体" w:cs="宋体"/>
                <w:i w:val="0"/>
                <w:snapToGrid w:val="0"/>
                <w:color w:val="000000"/>
                <w:kern w:val="0"/>
                <w:sz w:val="12"/>
                <w:szCs w:val="12"/>
                <w:u w:val="none"/>
                <w:lang w:val="en-US" w:eastAsia="zh-CN" w:bidi="ar"/>
              </w:rPr>
              <w:t>95</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color w:val="000000"/>
                <w:sz w:val="22"/>
                <w:szCs w:val="22"/>
                <w:u w:val="none"/>
              </w:rPr>
            </w:pPr>
          </w:p>
        </w:tc>
      </w:tr>
    </w:tbl>
    <w:p>
      <w:pPr>
        <w:pStyle w:val="2"/>
        <w:rPr>
          <w:rFonts w:hint="eastAsia" w:ascii="黑体" w:hAnsi="黑体" w:eastAsia="黑体" w:cs="黑体"/>
          <w:sz w:val="32"/>
          <w:szCs w:val="32"/>
          <w:lang w:val="en-US" w:eastAsia="en-US"/>
        </w:rPr>
      </w:pPr>
    </w:p>
    <w:p>
      <w:pPr>
        <w:spacing w:before="2" w:line="220" w:lineRule="auto"/>
        <w:ind w:left="564"/>
        <w:rPr>
          <w:rFonts w:hint="eastAsia" w:ascii="黑体" w:hAnsi="黑体" w:eastAsia="黑体" w:cs="黑体"/>
          <w:sz w:val="32"/>
          <w:szCs w:val="32"/>
          <w:lang w:eastAsia="zh-CN"/>
        </w:rPr>
      </w:pPr>
      <w:r>
        <w:rPr>
          <w:rFonts w:hint="eastAsia" w:ascii="黑体" w:hAnsi="黑体" w:eastAsia="黑体" w:cs="黑体"/>
          <w:b/>
          <w:bCs/>
          <w:spacing w:val="4"/>
          <w:sz w:val="32"/>
          <w:szCs w:val="32"/>
          <w:lang w:eastAsia="zh-CN"/>
        </w:rPr>
        <w:t>四、绩效评价指标分析</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(一)项目决策情况</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1.立项依据充分性</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我单位依据上级主管局相关要求，结合地勘单位发展规划及我单位主要职责，设立本项目，项目立项符合国家法律法规、国民经济发展规划和相关政策、符合行业发展规划和政策要求，该项目不属于公共财政支持范围，与相关部门同类项目无重复。</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2.立项程序规范性</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我单位严格按照自治区财政规定的立项程序，在项目立项前，由设备使用部门提出购置申请，财务资产管理科根据单位设备情况进行分析，提出购置计划，单位召开专项会议，进行集体决策，形成会议纪要。在财政一体化系统中，编制项目库，提交符合要求的申请材料，上报上级部门审批、财政审批。</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3.绩效目标合理性</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结合项目内容制定了合理的绩效目标，设置五个一级指标，项目绩效目标中的预期产出效益符合项目预期成果，且与预算确定的项目资金量相匹配。</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4.绩效指标明确性</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参照自治区分行业分领域共性项目绩效指标体系将一级指标细化分解为七个二级指标及十五个三级指标，并与项目工作任务完成情况、工作质量、地质成果与拉动效益、资金管理、科技创新指标相对应。</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5.预算编制科学性</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根据上级主管局相关要求，以及项目预算，测算合理，依据充分，编制科学。</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6.资金分配合理性</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项目预算资金分配依据项目中各项费用调研金额，资金分配额度合理，适合单位生产实施，与单位生产相适应。</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(二)项目过程情况</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1.资金到位率</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本项目预算</w:t>
      </w:r>
      <w:r>
        <w:rPr>
          <w:rFonts w:hint="eastAsia" w:ascii="仿宋_GB2312" w:hAnsi="仿宋_GB2312" w:eastAsia="仿宋_GB2312" w:cs="仿宋_GB2312"/>
          <w:color w:val="auto"/>
          <w:sz w:val="32"/>
          <w:szCs w:val="32"/>
          <w:lang w:val="en-US" w:eastAsia="zh-CN"/>
        </w:rPr>
        <w:t>99.60</w:t>
      </w:r>
      <w:r>
        <w:rPr>
          <w:rFonts w:hint="eastAsia" w:ascii="仿宋_GB2312" w:hAnsi="仿宋_GB2312" w:eastAsia="仿宋_GB2312" w:cs="仿宋_GB2312"/>
          <w:color w:val="auto"/>
          <w:sz w:val="32"/>
          <w:szCs w:val="32"/>
          <w:lang w:eastAsia="zh-CN"/>
        </w:rPr>
        <w:t>万元，实际到位资金</w:t>
      </w:r>
      <w:r>
        <w:rPr>
          <w:rFonts w:hint="eastAsia" w:ascii="仿宋_GB2312" w:hAnsi="仿宋_GB2312" w:eastAsia="仿宋_GB2312" w:cs="仿宋_GB2312"/>
          <w:color w:val="auto"/>
          <w:sz w:val="32"/>
          <w:szCs w:val="32"/>
          <w:lang w:val="en-US" w:eastAsia="zh-CN"/>
        </w:rPr>
        <w:t>99</w:t>
      </w:r>
      <w:r>
        <w:rPr>
          <w:rFonts w:hint="eastAsia" w:ascii="仿宋_GB2312" w:hAnsi="仿宋_GB2312" w:eastAsia="仿宋_GB2312" w:cs="仿宋_GB2312"/>
          <w:color w:val="auto"/>
          <w:sz w:val="32"/>
          <w:szCs w:val="32"/>
          <w:highlight w:val="none"/>
          <w:lang w:val="en-US" w:eastAsia="zh-CN"/>
        </w:rPr>
        <w:t>.60</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lang w:eastAsia="zh-CN"/>
        </w:rPr>
        <w:t>资金到位率100%。</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2.预算执行率</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项目预算</w:t>
      </w:r>
      <w:r>
        <w:rPr>
          <w:rFonts w:hint="eastAsia" w:ascii="仿宋_GB2312" w:hAnsi="仿宋_GB2312" w:eastAsia="仿宋_GB2312" w:cs="仿宋_GB2312"/>
          <w:color w:val="auto"/>
          <w:sz w:val="32"/>
          <w:szCs w:val="32"/>
          <w:lang w:val="en-US" w:eastAsia="zh-CN"/>
        </w:rPr>
        <w:t>99.60</w:t>
      </w:r>
      <w:r>
        <w:rPr>
          <w:rFonts w:hint="eastAsia" w:ascii="仿宋_GB2312" w:hAnsi="仿宋_GB2312" w:eastAsia="仿宋_GB2312" w:cs="仿宋_GB2312"/>
          <w:color w:val="auto"/>
          <w:sz w:val="32"/>
          <w:szCs w:val="32"/>
          <w:lang w:eastAsia="zh-CN"/>
        </w:rPr>
        <w:t>万元，实际执行</w:t>
      </w:r>
      <w:r>
        <w:rPr>
          <w:rFonts w:hint="eastAsia" w:ascii="仿宋_GB2312" w:hAnsi="仿宋_GB2312" w:eastAsia="仿宋_GB2312" w:cs="仿宋_GB2312"/>
          <w:color w:val="auto"/>
          <w:sz w:val="32"/>
          <w:szCs w:val="32"/>
          <w:lang w:val="en-US" w:eastAsia="zh-CN"/>
        </w:rPr>
        <w:t>99.6</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lang w:eastAsia="zh-CN"/>
        </w:rPr>
        <w:t>，预算执行率100%。</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3.资金使用合规性</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项目资金使用严格按照设计、财务会计制度和经费管理的要求，进行项目经费支出核算。根椐专款专用的原则，未发生挪用、截留项目资金的现象，不存在虚列项目支出、擅自分配项目经费结余等问题，保证项目实施过程中对资金的需求。</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4.管理制度健全性</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项目在实施前制定了经费管理制度、安全管理制度、项目质量管理办法等各类管理规章制度，各类管理办法齐全，保障了项目正常实施。</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5.制度执行有效性</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项目在实施各项工作中均按规章制度执行，项目实施过程中经费、安全及项目质量运行正常，未发生违规行为，项目制度执行良好。</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(三)项目产出情况</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项目产出情况主要从产出数量指标、质量指标及时效指标进行评价。项目本年度产出数量指标及质量指标主要为成果报告的提交及审查工作，现阶段已完成项目成果编制工作，并初步通过了承担单位的成果验收，项目成果报告待主管单位审查。项目时效指标主要为项目勘查工作、设计编制、成果报告编制提交情况，现阶段项目各项工作均已按期完成。总体评价项目产出情况良好，产出成果较好的完成了项目总体工作任务。</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(四)项目效益情况</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项目效益情况从项目经济效益及社会效益两方面进行考察。</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1.经济效益</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通过盐碱地试验种植的青储玉米每亩可增产500kg/亩，根据2023年青储玉米售价300元/吨的价格，本次试验种植的青储玉米可为当地农民增收150元/亩。试验种植的饲草高粱产值分别为1148元/亩及1624元/亩，相对于青储玉米，饲草高粱产值更高，农民可增收的效益更大，提升了当地盐碱地农业开发种植的经济价值。</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2.社会效益</w:t>
      </w:r>
    </w:p>
    <w:p>
      <w:pPr>
        <w:pStyle w:val="3"/>
        <w:spacing w:line="360" w:lineRule="auto"/>
        <w:ind w:firstLine="56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本次工作查明阔依其乡目前约6.59万亩的耕地土壤环境满足绿色食品产地土壤环境质量标准，具有发展绿色食品产地的优势条件，为阔依其乡开展绿色食品产地认证打下了基础。同时查明后备盐碱耕地资源7.2万余亩，可以作为后备耕地开发利用，可以有效解决当地现阶段耕地不足的问题，为当地乡村振兴提供了更多的选择。</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0" w:beforeLines="100" w:beforeAutospacing="0" w:line="560" w:lineRule="exact"/>
        <w:ind w:firstLine="574" w:firstLineChars="200"/>
        <w:textAlignment w:val="baseline"/>
        <w:rPr>
          <w:rFonts w:ascii="黑体" w:hAnsi="黑体" w:eastAsia="黑体" w:cs="黑体"/>
          <w:b/>
          <w:bCs/>
          <w:spacing w:val="-2"/>
          <w:position w:val="21"/>
          <w:sz w:val="32"/>
          <w:szCs w:val="32"/>
        </w:rPr>
      </w:pPr>
      <w:r>
        <w:rPr>
          <w:rFonts w:ascii="黑体" w:hAnsi="黑体" w:eastAsia="黑体" w:cs="黑体"/>
          <w:b/>
          <w:bCs/>
          <w:spacing w:val="-2"/>
          <w:position w:val="21"/>
          <w:sz w:val="32"/>
          <w:szCs w:val="32"/>
        </w:rPr>
        <w:t>主要经验及做法、存在的问题及原因分析</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564" w:firstLineChars="200"/>
        <w:textAlignment w:val="baseline"/>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1.主要经验及做法</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564" w:firstLineChars="200"/>
        <w:textAlignment w:val="baseline"/>
        <w:rPr>
          <w:rStyle w:val="5"/>
          <w:rFonts w:hint="eastAsia" w:ascii="仿宋_GB2312" w:hAnsi="仿宋_GB2312" w:eastAsia="仿宋_GB2312" w:cs="仿宋_GB2312"/>
          <w:b w:val="0"/>
          <w:bCs w:val="0"/>
          <w:spacing w:val="-4"/>
          <w:sz w:val="32"/>
          <w:szCs w:val="32"/>
          <w:lang w:eastAsia="zh-CN"/>
        </w:rPr>
      </w:pPr>
      <w:r>
        <w:rPr>
          <w:rStyle w:val="5"/>
          <w:rFonts w:hint="eastAsia" w:ascii="仿宋_GB2312" w:hAnsi="仿宋_GB2312" w:eastAsia="仿宋_GB2312" w:cs="仿宋_GB2312"/>
          <w:b w:val="0"/>
          <w:bCs w:val="0"/>
          <w:spacing w:val="-4"/>
          <w:sz w:val="32"/>
          <w:szCs w:val="32"/>
          <w:lang w:eastAsia="zh-CN"/>
        </w:rPr>
        <w:t>项目预算与实际执行之间的差异，需要在立项时进一步细化落实，尽可能贴近预算，减少偏差。</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564" w:firstLineChars="200"/>
        <w:textAlignment w:val="baseline"/>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2.存在的问题及原因分析</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580" w:firstLineChars="200"/>
        <w:contextualSpacing/>
        <w:textAlignment w:val="baseline"/>
        <w:rPr>
          <w:rFonts w:hint="eastAsia" w:ascii="仿宋_GB2312" w:hAnsi="仿宋_GB2312" w:eastAsia="仿宋_GB2312" w:cs="仿宋_GB2312"/>
          <w:color w:val="333333"/>
          <w:sz w:val="32"/>
          <w:szCs w:val="32"/>
          <w:lang w:eastAsia="zh-CN"/>
        </w:rPr>
      </w:pPr>
      <w:r>
        <w:rPr>
          <w:rFonts w:hint="eastAsia" w:ascii="仿宋_GB2312" w:hAnsi="仿宋_GB2312" w:eastAsia="仿宋_GB2312" w:cs="仿宋_GB2312"/>
          <w:color w:val="333333"/>
          <w:sz w:val="32"/>
          <w:szCs w:val="32"/>
          <w:lang w:eastAsia="zh-CN"/>
        </w:rPr>
        <w:t>在预算编制过程中，存在不可预见性与不可抗力，需要充分考虑实际情况，与实际情况相结合，确保全年目标任务的完成。</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0" w:beforeLines="100" w:beforeAutospacing="0" w:line="560" w:lineRule="exact"/>
        <w:ind w:firstLine="574" w:firstLineChars="200"/>
        <w:textAlignment w:val="baseline"/>
        <w:rPr>
          <w:rFonts w:hint="eastAsia" w:ascii="黑体" w:hAnsi="黑体" w:eastAsia="黑体" w:cs="黑体"/>
          <w:b/>
          <w:bCs/>
          <w:spacing w:val="-2"/>
          <w:position w:val="21"/>
          <w:sz w:val="32"/>
          <w:szCs w:val="32"/>
        </w:rPr>
      </w:pPr>
      <w:r>
        <w:rPr>
          <w:rFonts w:hint="eastAsia" w:ascii="黑体" w:hAnsi="黑体" w:eastAsia="黑体" w:cs="黑体"/>
          <w:b/>
          <w:bCs/>
          <w:spacing w:val="-2"/>
          <w:position w:val="21"/>
          <w:sz w:val="32"/>
          <w:szCs w:val="32"/>
        </w:rPr>
        <w:t>有关建议</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firstLine="564" w:firstLineChars="200"/>
        <w:textAlignment w:val="baseline"/>
        <w:rPr>
          <w:rStyle w:val="5"/>
          <w:rFonts w:hint="eastAsia" w:ascii="仿宋_GB2312" w:hAnsi="仿宋_GB2312" w:eastAsia="仿宋_GB2312" w:cs="仿宋_GB2312"/>
          <w:b w:val="0"/>
          <w:bCs w:val="0"/>
          <w:spacing w:val="-4"/>
          <w:sz w:val="32"/>
          <w:szCs w:val="32"/>
          <w:lang w:val="en-US" w:eastAsia="zh-CN"/>
        </w:rPr>
      </w:pPr>
      <w:r>
        <w:rPr>
          <w:rStyle w:val="5"/>
          <w:rFonts w:hint="eastAsia" w:ascii="仿宋_GB2312" w:hAnsi="仿宋_GB2312" w:eastAsia="仿宋_GB2312" w:cs="仿宋_GB2312"/>
          <w:b w:val="0"/>
          <w:bCs w:val="0"/>
          <w:spacing w:val="-4"/>
          <w:sz w:val="32"/>
          <w:szCs w:val="32"/>
          <w:lang w:val="en-US" w:eastAsia="zh-CN"/>
        </w:rPr>
        <w:t>1.对项目决策的建议</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firstLine="564" w:firstLineChars="200"/>
        <w:textAlignment w:val="baseline"/>
        <w:rPr>
          <w:rStyle w:val="5"/>
          <w:rFonts w:hint="eastAsia" w:ascii="仿宋_GB2312" w:hAnsi="仿宋_GB2312" w:eastAsia="仿宋_GB2312" w:cs="仿宋_GB2312"/>
          <w:b w:val="0"/>
          <w:bCs w:val="0"/>
          <w:spacing w:val="-4"/>
          <w:sz w:val="32"/>
          <w:szCs w:val="32"/>
          <w:lang w:val="en-US" w:eastAsia="zh-CN"/>
        </w:rPr>
      </w:pPr>
      <w:r>
        <w:rPr>
          <w:rStyle w:val="5"/>
          <w:rFonts w:hint="eastAsia" w:ascii="仿宋_GB2312" w:hAnsi="仿宋_GB2312" w:eastAsia="仿宋_GB2312" w:cs="仿宋_GB2312"/>
          <w:b w:val="0"/>
          <w:bCs w:val="0"/>
          <w:spacing w:val="-4"/>
          <w:sz w:val="32"/>
          <w:szCs w:val="32"/>
          <w:lang w:val="en-US" w:eastAsia="zh-CN"/>
        </w:rPr>
        <w:t>在项目立项时需要进一步细化落实，做到充分掌握情况，避免出现预算和实际偏差较大的情况出现。</w:t>
      </w:r>
    </w:p>
    <w:p>
      <w:pPr>
        <w:keepNext w:val="0"/>
        <w:keepLines w:val="0"/>
        <w:pageBreakBefore w:val="0"/>
        <w:widowControl/>
        <w:numPr>
          <w:ilvl w:val="0"/>
          <w:numId w:val="3"/>
        </w:numPr>
        <w:kinsoku w:val="0"/>
        <w:wordWrap/>
        <w:overflowPunct/>
        <w:topLinePunct w:val="0"/>
        <w:autoSpaceDE w:val="0"/>
        <w:autoSpaceDN w:val="0"/>
        <w:bidi w:val="0"/>
        <w:adjustRightInd w:val="0"/>
        <w:snapToGrid w:val="0"/>
        <w:spacing w:line="560" w:lineRule="exact"/>
        <w:ind w:left="0" w:leftChars="0" w:firstLine="564" w:firstLineChars="200"/>
        <w:textAlignment w:val="baseline"/>
        <w:rPr>
          <w:rStyle w:val="5"/>
          <w:rFonts w:hint="eastAsia" w:ascii="仿宋_GB2312" w:hAnsi="仿宋_GB2312" w:eastAsia="仿宋_GB2312" w:cs="仿宋_GB2312"/>
          <w:b w:val="0"/>
          <w:bCs w:val="0"/>
          <w:spacing w:val="-4"/>
          <w:sz w:val="32"/>
          <w:szCs w:val="32"/>
          <w:lang w:val="en-US" w:eastAsia="zh-CN"/>
        </w:rPr>
      </w:pPr>
      <w:r>
        <w:rPr>
          <w:rStyle w:val="5"/>
          <w:rFonts w:hint="eastAsia" w:ascii="仿宋_GB2312" w:hAnsi="仿宋_GB2312" w:eastAsia="仿宋_GB2312" w:cs="仿宋_GB2312"/>
          <w:b w:val="0"/>
          <w:bCs w:val="0"/>
          <w:spacing w:val="-4"/>
          <w:sz w:val="32"/>
          <w:szCs w:val="32"/>
          <w:lang w:val="en-US" w:eastAsia="zh-CN"/>
        </w:rPr>
        <w:t>对预算安排与执行的建议</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564" w:firstLineChars="200"/>
        <w:textAlignment w:val="baseline"/>
        <w:rPr>
          <w:rStyle w:val="5"/>
          <w:rFonts w:hint="eastAsia" w:ascii="仿宋_GB2312" w:hAnsi="仿宋_GB2312" w:eastAsia="仿宋_GB2312" w:cs="仿宋_GB2312"/>
          <w:b w:val="0"/>
          <w:bCs w:val="0"/>
          <w:spacing w:val="-4"/>
          <w:sz w:val="32"/>
          <w:szCs w:val="32"/>
          <w:lang w:val="en-US" w:eastAsia="zh-CN"/>
        </w:rPr>
      </w:pPr>
      <w:r>
        <w:rPr>
          <w:rStyle w:val="5"/>
          <w:rFonts w:hint="eastAsia" w:ascii="仿宋_GB2312" w:hAnsi="仿宋_GB2312" w:eastAsia="仿宋_GB2312" w:cs="仿宋_GB2312"/>
          <w:b w:val="0"/>
          <w:bCs w:val="0"/>
          <w:spacing w:val="-4"/>
          <w:sz w:val="32"/>
          <w:szCs w:val="32"/>
          <w:lang w:val="en-US" w:eastAsia="zh-CN"/>
        </w:rPr>
        <w:t>充分考虑实际情况，从实际出发，合理编制预算，严格执行预算。</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firstLine="564" w:firstLineChars="200"/>
        <w:textAlignment w:val="baseline"/>
        <w:rPr>
          <w:rStyle w:val="5"/>
          <w:rFonts w:hint="eastAsia" w:ascii="仿宋_GB2312" w:hAnsi="仿宋_GB2312" w:eastAsia="仿宋_GB2312" w:cs="仿宋_GB2312"/>
          <w:b w:val="0"/>
          <w:bCs w:val="0"/>
          <w:spacing w:val="-4"/>
          <w:sz w:val="32"/>
          <w:szCs w:val="32"/>
          <w:lang w:val="en-US" w:eastAsia="zh-CN"/>
        </w:rPr>
      </w:pPr>
      <w:r>
        <w:rPr>
          <w:rStyle w:val="5"/>
          <w:rFonts w:hint="eastAsia" w:ascii="仿宋_GB2312" w:hAnsi="仿宋_GB2312" w:eastAsia="仿宋_GB2312" w:cs="仿宋_GB2312"/>
          <w:b w:val="0"/>
          <w:bCs w:val="0"/>
          <w:spacing w:val="-4"/>
          <w:sz w:val="32"/>
          <w:szCs w:val="32"/>
          <w:lang w:val="en-US" w:eastAsia="zh-CN"/>
        </w:rPr>
        <w:t>3.对资金管理的建议</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firstLine="564" w:firstLineChars="200"/>
        <w:textAlignment w:val="baseline"/>
        <w:rPr>
          <w:rStyle w:val="5"/>
          <w:rFonts w:hint="eastAsia" w:ascii="仿宋_GB2312" w:hAnsi="仿宋_GB2312" w:eastAsia="仿宋_GB2312" w:cs="仿宋_GB2312"/>
          <w:b w:val="0"/>
          <w:bCs w:val="0"/>
          <w:spacing w:val="-4"/>
          <w:sz w:val="32"/>
          <w:szCs w:val="32"/>
          <w:lang w:val="en-US" w:eastAsia="zh-CN"/>
        </w:rPr>
      </w:pPr>
      <w:r>
        <w:rPr>
          <w:rStyle w:val="5"/>
          <w:rFonts w:hint="eastAsia" w:ascii="仿宋_GB2312" w:hAnsi="仿宋_GB2312" w:eastAsia="仿宋_GB2312" w:cs="仿宋_GB2312"/>
          <w:b w:val="0"/>
          <w:bCs w:val="0"/>
          <w:spacing w:val="-4"/>
          <w:sz w:val="32"/>
          <w:szCs w:val="32"/>
          <w:lang w:val="en-US" w:eastAsia="zh-CN"/>
        </w:rPr>
        <w:t>加强采购资金的管理，通过招投标方式控制采购成本。严格按照合同支付程序办理资金支付。</w:t>
      </w:r>
    </w:p>
    <w:p>
      <w:pPr>
        <w:keepNext w:val="0"/>
        <w:keepLines w:val="0"/>
        <w:pageBreakBefore w:val="0"/>
        <w:widowControl/>
        <w:numPr>
          <w:ilvl w:val="0"/>
          <w:numId w:val="4"/>
        </w:numPr>
        <w:kinsoku w:val="0"/>
        <w:wordWrap/>
        <w:overflowPunct/>
        <w:topLinePunct w:val="0"/>
        <w:autoSpaceDE w:val="0"/>
        <w:autoSpaceDN w:val="0"/>
        <w:bidi w:val="0"/>
        <w:adjustRightInd w:val="0"/>
        <w:snapToGrid w:val="0"/>
        <w:spacing w:line="560" w:lineRule="exact"/>
        <w:ind w:left="0" w:leftChars="0" w:firstLine="564" w:firstLineChars="200"/>
        <w:textAlignment w:val="baseline"/>
        <w:rPr>
          <w:rStyle w:val="5"/>
          <w:rFonts w:hint="eastAsia" w:ascii="仿宋_GB2312" w:hAnsi="仿宋_GB2312" w:eastAsia="仿宋_GB2312" w:cs="仿宋_GB2312"/>
          <w:b w:val="0"/>
          <w:bCs w:val="0"/>
          <w:spacing w:val="-4"/>
          <w:sz w:val="32"/>
          <w:szCs w:val="32"/>
          <w:lang w:val="en-US" w:eastAsia="zh-CN"/>
        </w:rPr>
      </w:pPr>
      <w:r>
        <w:rPr>
          <w:rStyle w:val="5"/>
          <w:rFonts w:hint="eastAsia" w:ascii="仿宋_GB2312" w:hAnsi="仿宋_GB2312" w:eastAsia="仿宋_GB2312" w:cs="仿宋_GB2312"/>
          <w:b w:val="0"/>
          <w:bCs w:val="0"/>
          <w:spacing w:val="-4"/>
          <w:sz w:val="32"/>
          <w:szCs w:val="32"/>
          <w:lang w:val="en-US" w:eastAsia="zh-CN"/>
        </w:rPr>
        <w:t>项目管理的建议</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firstLine="564" w:firstLineChars="200"/>
        <w:textAlignment w:val="baseline"/>
        <w:rPr>
          <w:rStyle w:val="5"/>
          <w:rFonts w:hint="eastAsia" w:ascii="仿宋_GB2312" w:hAnsi="仿宋_GB2312" w:eastAsia="仿宋_GB2312" w:cs="仿宋_GB2312"/>
          <w:b w:val="0"/>
          <w:bCs w:val="0"/>
          <w:spacing w:val="-4"/>
          <w:sz w:val="32"/>
          <w:szCs w:val="32"/>
          <w:lang w:val="en-US" w:eastAsia="zh-CN"/>
        </w:rPr>
      </w:pPr>
      <w:r>
        <w:rPr>
          <w:rStyle w:val="5"/>
          <w:rFonts w:hint="eastAsia" w:ascii="仿宋_GB2312" w:hAnsi="仿宋_GB2312" w:eastAsia="仿宋_GB2312" w:cs="仿宋_GB2312"/>
          <w:b w:val="0"/>
          <w:bCs w:val="0"/>
          <w:spacing w:val="-4"/>
          <w:sz w:val="32"/>
          <w:szCs w:val="32"/>
          <w:lang w:val="en-US" w:eastAsia="zh-CN"/>
        </w:rPr>
        <w:t>做好预算基础以及前期资料收集工作，加强资金管理，合理编制预算。</w:t>
      </w:r>
    </w:p>
    <w:p>
      <w:pPr>
        <w:numPr>
          <w:ilvl w:val="0"/>
          <w:numId w:val="5"/>
        </w:numPr>
        <w:spacing w:before="261" w:line="221" w:lineRule="auto"/>
        <w:ind w:left="564"/>
        <w:outlineLvl w:val="1"/>
        <w:rPr>
          <w:rFonts w:hint="eastAsia" w:ascii="黑体" w:hAnsi="黑体" w:eastAsia="黑体" w:cs="黑体"/>
          <w:b/>
          <w:bCs/>
          <w:spacing w:val="3"/>
          <w:sz w:val="32"/>
          <w:szCs w:val="32"/>
        </w:rPr>
      </w:pPr>
      <w:r>
        <w:rPr>
          <w:rFonts w:hint="eastAsia" w:ascii="黑体" w:hAnsi="黑体" w:eastAsia="黑体" w:cs="黑体"/>
          <w:b/>
          <w:bCs/>
          <w:spacing w:val="3"/>
          <w:sz w:val="32"/>
          <w:szCs w:val="32"/>
        </w:rPr>
        <w:t>其他需要说明的问题</w:t>
      </w:r>
    </w:p>
    <w:p>
      <w:pPr>
        <w:pStyle w:val="2"/>
        <w:numPr>
          <w:ilvl w:val="0"/>
          <w:numId w:val="0"/>
        </w:numPr>
        <w:kinsoku w:val="0"/>
        <w:autoSpaceDE w:val="0"/>
        <w:autoSpaceDN w:val="0"/>
        <w:adjustRightInd w:val="0"/>
        <w:snapToGrid w:val="0"/>
        <w:jc w:val="left"/>
        <w:textAlignment w:val="baseline"/>
      </w:pPr>
    </w:p>
    <w:p>
      <w:pPr>
        <w:pStyle w:val="2"/>
        <w:numPr>
          <w:ilvl w:val="0"/>
          <w:numId w:val="0"/>
        </w:numPr>
        <w:kinsoku w:val="0"/>
        <w:autoSpaceDE w:val="0"/>
        <w:autoSpaceDN w:val="0"/>
        <w:adjustRightInd w:val="0"/>
        <w:snapToGrid w:val="0"/>
        <w:jc w:val="left"/>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无</w:t>
      </w:r>
    </w:p>
    <w:sectPr>
      <w:footerReference r:id="rId3" w:type="default"/>
      <w:pgSz w:w="11900" w:h="16840"/>
      <w:pgMar w:top="1431" w:right="1785" w:bottom="400" w:left="1785"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汉仪中黑 197">
    <w:panose1 w:val="00020600040101010101"/>
    <w:charset w:val="86"/>
    <w:family w:val="auto"/>
    <w:pitch w:val="default"/>
    <w:sig w:usb0="A00002BF" w:usb1="18EF7CFA" w:usb2="00000016" w:usb3="00000000" w:csb0="0004009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56F2B2"/>
    <w:multiLevelType w:val="singleLevel"/>
    <w:tmpl w:val="DE56F2B2"/>
    <w:lvl w:ilvl="0" w:tentative="0">
      <w:start w:val="5"/>
      <w:numFmt w:val="chineseCounting"/>
      <w:suff w:val="space"/>
      <w:lvlText w:val="%1、"/>
      <w:lvlJc w:val="left"/>
      <w:rPr>
        <w:rFonts w:hint="eastAsia"/>
      </w:rPr>
    </w:lvl>
  </w:abstractNum>
  <w:abstractNum w:abstractNumId="1">
    <w:nsid w:val="00000005"/>
    <w:multiLevelType w:val="singleLevel"/>
    <w:tmpl w:val="00000005"/>
    <w:lvl w:ilvl="0" w:tentative="0">
      <w:start w:val="2"/>
      <w:numFmt w:val="decimal"/>
      <w:suff w:val="nothing"/>
      <w:lvlText w:val="%1."/>
      <w:lvlJc w:val="left"/>
    </w:lvl>
  </w:abstractNum>
  <w:abstractNum w:abstractNumId="2">
    <w:nsid w:val="00000006"/>
    <w:multiLevelType w:val="singleLevel"/>
    <w:tmpl w:val="00000006"/>
    <w:lvl w:ilvl="0" w:tentative="0">
      <w:start w:val="4"/>
      <w:numFmt w:val="decimal"/>
      <w:suff w:val="nothing"/>
      <w:lvlText w:val="%1."/>
      <w:lvlJc w:val="left"/>
    </w:lvl>
  </w:abstractNum>
  <w:abstractNum w:abstractNumId="3">
    <w:nsid w:val="66C70B37"/>
    <w:multiLevelType w:val="singleLevel"/>
    <w:tmpl w:val="66C70B37"/>
    <w:lvl w:ilvl="0" w:tentative="0">
      <w:start w:val="7"/>
      <w:numFmt w:val="chineseCounting"/>
      <w:suff w:val="nothing"/>
      <w:lvlText w:val="%1、"/>
      <w:lvlJc w:val="left"/>
    </w:lvl>
  </w:abstractNum>
  <w:abstractNum w:abstractNumId="4">
    <w:nsid w:val="7D6A3D81"/>
    <w:multiLevelType w:val="singleLevel"/>
    <w:tmpl w:val="7D6A3D81"/>
    <w:lvl w:ilvl="0" w:tentative="0">
      <w:start w:val="1"/>
      <w:numFmt w:val="chineseCounting"/>
      <w:lvlText w:val="(%1)"/>
      <w:lvlJc w:val="left"/>
      <w:pPr>
        <w:tabs>
          <w:tab w:val="left" w:pos="312"/>
        </w:tabs>
      </w:pPr>
      <w:rPr>
        <w:rFonts w:hint="eastAsia"/>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spaceForUL/>
    <w:doNotExpandShiftReturn/>
    <w:doNotWrapTextWithPunct/>
    <w:doNotUseEastAsianBreakRules/>
    <w:useFELayout/>
    <w:doNotUseIndentAsNumberingTabStop/>
    <w:useAltKinsokuLineBreakRules/>
    <w:compatSetting w:name="compatibilityMode" w:uri="http://schemas.microsoft.com/office/word" w:val="14"/>
  </w:compat>
  <w:docVars>
    <w:docVar w:name="commondata" w:val="eyJoZGlkIjoiNDEyZmRiNzA5YTY3Y2RiMWRiNmUwNWEyMDE0YjYyZmUifQ=="/>
  </w:docVars>
  <w:rsids>
    <w:rsidRoot w:val="00A01B0A"/>
    <w:rsid w:val="00041F86"/>
    <w:rsid w:val="000E1F6C"/>
    <w:rsid w:val="003578B6"/>
    <w:rsid w:val="003977DE"/>
    <w:rsid w:val="003A6C01"/>
    <w:rsid w:val="00430C78"/>
    <w:rsid w:val="0044520A"/>
    <w:rsid w:val="0044574F"/>
    <w:rsid w:val="004B717B"/>
    <w:rsid w:val="00683CB7"/>
    <w:rsid w:val="006B13AD"/>
    <w:rsid w:val="00716684"/>
    <w:rsid w:val="007907AB"/>
    <w:rsid w:val="00842A38"/>
    <w:rsid w:val="008C298D"/>
    <w:rsid w:val="00A01B0A"/>
    <w:rsid w:val="00A328C2"/>
    <w:rsid w:val="00AA7B07"/>
    <w:rsid w:val="132635E6"/>
    <w:rsid w:val="13357616"/>
    <w:rsid w:val="35E62179"/>
    <w:rsid w:val="36134D91"/>
    <w:rsid w:val="3AAC1209"/>
    <w:rsid w:val="424967B2"/>
    <w:rsid w:val="42A914F3"/>
    <w:rsid w:val="5DAC568B"/>
    <w:rsid w:val="718B4AA3"/>
    <w:rsid w:val="7B43687E"/>
    <w:rsid w:val="7B5F2DBC"/>
    <w:rsid w:val="7D445D47"/>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note text"/>
    <w:basedOn w:val="1"/>
    <w:qFormat/>
    <w:uiPriority w:val="0"/>
    <w:pPr>
      <w:snapToGrid w:val="0"/>
      <w:jc w:val="left"/>
    </w:pPr>
    <w:rPr>
      <w:sz w:val="18"/>
      <w:szCs w:val="18"/>
    </w:rPr>
  </w:style>
  <w:style w:type="paragraph" w:styleId="3">
    <w:name w:val="Body Text"/>
    <w:basedOn w:val="1"/>
    <w:semiHidden/>
    <w:qFormat/>
    <w:uiPriority w:val="0"/>
    <w:rPr>
      <w:rFonts w:ascii="仿宋" w:hAnsi="仿宋" w:eastAsia="仿宋" w:cs="仿宋"/>
      <w:sz w:val="35"/>
      <w:szCs w:val="35"/>
    </w:rPr>
  </w:style>
  <w:style w:type="character" w:styleId="5">
    <w:name w:val="Strong"/>
    <w:basedOn w:val="4"/>
    <w:qFormat/>
    <w:uiPriority w:val="0"/>
    <w:rPr>
      <w:b/>
      <w:bCs/>
    </w:rPr>
  </w:style>
  <w:style w:type="table" w:customStyle="1" w:styleId="7">
    <w:name w:val="Table Normal"/>
    <w:unhideWhenUsed/>
    <w:qFormat/>
    <w:uiPriority w:val="0"/>
    <w:tblPr>
      <w:tblLayout w:type="fixed"/>
      <w:tblCellMar>
        <w:top w:w="0" w:type="dxa"/>
        <w:left w:w="0" w:type="dxa"/>
        <w:bottom w:w="0" w:type="dxa"/>
        <w:right w:w="0" w:type="dxa"/>
      </w:tblCellMar>
    </w:tblPr>
  </w:style>
  <w:style w:type="paragraph" w:customStyle="1" w:styleId="8">
    <w:name w:val="Table Text"/>
    <w:basedOn w:val="1"/>
    <w:semiHidden/>
    <w:qFormat/>
    <w:uiPriority w:val="0"/>
  </w:style>
  <w:style w:type="character" w:customStyle="1" w:styleId="9">
    <w:name w:val="font41"/>
    <w:basedOn w:val="4"/>
    <w:qFormat/>
    <w:uiPriority w:val="0"/>
    <w:rPr>
      <w:rFonts w:hint="eastAsia" w:ascii="宋体" w:hAnsi="宋体" w:eastAsia="宋体" w:cs="宋体"/>
      <w:color w:val="000000"/>
      <w:sz w:val="12"/>
      <w:szCs w:val="12"/>
      <w:u w:val="none"/>
    </w:rPr>
  </w:style>
  <w:style w:type="character" w:customStyle="1" w:styleId="10">
    <w:name w:val="font51"/>
    <w:basedOn w:val="4"/>
    <w:qFormat/>
    <w:uiPriority w:val="0"/>
    <w:rPr>
      <w:rFonts w:hint="default" w:ascii="Arial" w:hAnsi="Arial" w:cs="Arial"/>
      <w:color w:val="000000"/>
      <w:sz w:val="12"/>
      <w:szCs w:val="12"/>
      <w:u w:val="none"/>
    </w:rPr>
  </w:style>
  <w:style w:type="character" w:customStyle="1" w:styleId="11">
    <w:name w:val="font112"/>
    <w:basedOn w:val="4"/>
    <w:qFormat/>
    <w:uiPriority w:val="0"/>
    <w:rPr>
      <w:rFonts w:ascii="宋体" w:hAnsi="宋体" w:eastAsia="宋体" w:cs="宋体"/>
      <w:color w:val="000000"/>
      <w:sz w:val="12"/>
      <w:szCs w:val="12"/>
      <w:u w:val="none"/>
    </w:rPr>
  </w:style>
  <w:style w:type="character" w:customStyle="1" w:styleId="12">
    <w:name w:val="font61"/>
    <w:basedOn w:val="4"/>
    <w:qFormat/>
    <w:uiPriority w:val="0"/>
    <w:rPr>
      <w:rFonts w:hint="eastAsia" w:ascii="宋体" w:hAnsi="宋体" w:eastAsia="宋体" w:cs="宋体"/>
      <w:color w:val="000000"/>
      <w:sz w:val="16"/>
      <w:szCs w:val="16"/>
      <w:u w:val="none"/>
    </w:rPr>
  </w:style>
  <w:style w:type="character" w:customStyle="1" w:styleId="13">
    <w:name w:val="font71"/>
    <w:basedOn w:val="4"/>
    <w:qFormat/>
    <w:uiPriority w:val="0"/>
    <w:rPr>
      <w:rFonts w:hint="default" w:ascii="Arial" w:hAnsi="Arial" w:cs="Arial"/>
      <w:color w:val="000000"/>
      <w:sz w:val="16"/>
      <w:szCs w:val="16"/>
      <w:u w:val="none"/>
    </w:rPr>
  </w:style>
  <w:style w:type="character" w:customStyle="1" w:styleId="14">
    <w:name w:val="font11"/>
    <w:basedOn w:val="4"/>
    <w:qFormat/>
    <w:uiPriority w:val="0"/>
    <w:rPr>
      <w:rFonts w:ascii="宋体" w:hAnsi="宋体" w:eastAsia="宋体" w:cs="宋体"/>
      <w:color w:val="000000"/>
      <w:sz w:val="16"/>
      <w:szCs w:val="16"/>
      <w:u w:val="none"/>
    </w:rPr>
  </w:style>
  <w:style w:type="character" w:customStyle="1" w:styleId="15">
    <w:name w:val="font91"/>
    <w:basedOn w:val="4"/>
    <w:qFormat/>
    <w:uiPriority w:val="0"/>
    <w:rPr>
      <w:rFonts w:ascii="宋体" w:hAnsi="宋体" w:eastAsia="宋体" w:cs="宋体"/>
      <w:b/>
      <w:bCs/>
      <w:color w:val="000000"/>
      <w:sz w:val="28"/>
      <w:szCs w:val="28"/>
      <w:u w:val="none"/>
    </w:rPr>
  </w:style>
  <w:style w:type="character" w:customStyle="1" w:styleId="16">
    <w:name w:val="font101"/>
    <w:basedOn w:val="4"/>
    <w:qFormat/>
    <w:uiPriority w:val="0"/>
    <w:rPr>
      <w:rFonts w:ascii="宋体" w:hAnsi="宋体" w:eastAsia="宋体" w:cs="宋体"/>
      <w:color w:val="000000"/>
      <w:sz w:val="12"/>
      <w:szCs w:val="1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453</Words>
  <Characters>2584</Characters>
  <Lines>21</Lines>
  <Paragraphs>6</Paragraphs>
  <ScaleCrop>false</ScaleCrop>
  <LinksUpToDate>false</LinksUpToDate>
  <CharactersWithSpaces>3031</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2024-03-07T15:40:00Z</dcterms:created>
  <dc:creator>Kingsoft-PDF</dc:creator>
  <cp:lastModifiedBy>Administrator</cp:lastModifiedBy>
  <dcterms:modified xsi:type="dcterms:W3CDTF">2024-11-07T10:38:02Z</dcterms:modified>
  <dc:subject>pdfbuilder</dc:subject>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2024-03-07T15:40:17Z</vt:filetime>
  </property>
  <property fmtid="{D5CDD505-2E9C-101B-9397-08002B2CF9AE}" pid="4" name="UsrData">
    <vt:lpwstr>65e96f599563c7001fa9c631wl</vt:lpwstr>
  </property>
  <property fmtid="{D5CDD505-2E9C-101B-9397-08002B2CF9AE}" pid="5" name="KSOProductBuildVer">
    <vt:lpwstr>2052-10.8.0.5838</vt:lpwstr>
  </property>
  <property fmtid="{D5CDD505-2E9C-101B-9397-08002B2CF9AE}" pid="6" name="ICV">
    <vt:lpwstr>924C99EF9D084FBB96CD0C7FB3E1FED1_12</vt:lpwstr>
  </property>
</Properties>
</file>