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6" w:lineRule="auto"/>
        <w:rPr>
          <w:rFonts w:ascii="Arial"/>
          <w:sz w:val="21"/>
        </w:rPr>
      </w:pPr>
    </w:p>
    <w:p>
      <w:pPr>
        <w:spacing w:before="75" w:line="219" w:lineRule="auto"/>
        <w:ind w:left="3"/>
        <w:rPr>
          <w:rFonts w:ascii="宋体" w:hAnsi="宋体" w:eastAsia="宋体" w:cs="宋体"/>
          <w:sz w:val="23"/>
          <w:szCs w:val="23"/>
        </w:rPr>
      </w:pPr>
      <w:r>
        <w:rPr>
          <w:rFonts w:ascii="宋体" w:hAnsi="宋体" w:eastAsia="宋体" w:cs="宋体"/>
          <w:b/>
          <w:bCs/>
          <w:spacing w:val="18"/>
          <w:sz w:val="23"/>
          <w:szCs w:val="23"/>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7"/>
          <w:rFonts w:hint="eastAsia" w:ascii="楷体" w:hAnsi="楷体" w:eastAsia="楷体"/>
          <w:spacing w:val="-4"/>
          <w:sz w:val="32"/>
          <w:szCs w:val="32"/>
        </w:rPr>
        <w:t>202</w:t>
      </w:r>
      <w:r>
        <w:rPr>
          <w:rStyle w:val="7"/>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720" w:firstLineChars="200"/>
        <w:jc w:val="left"/>
        <w:textAlignment w:val="baseline"/>
        <w:rPr>
          <w:rFonts w:hint="eastAsia" w:hAnsi="宋体" w:eastAsia="仿宋_GB2312" w:cs="宋体"/>
          <w:kern w:val="0"/>
          <w:sz w:val="36"/>
          <w:szCs w:val="36"/>
        </w:rPr>
      </w:pPr>
      <w:r>
        <w:rPr>
          <w:rFonts w:hint="eastAsia" w:ascii="仿宋_GB2312" w:hAnsi="仿宋_GB2312" w:eastAsia="仿宋_GB2312" w:cs="仿宋_GB2312"/>
          <w:kern w:val="0"/>
          <w:sz w:val="36"/>
          <w:szCs w:val="36"/>
        </w:rPr>
        <w:t>项目名称：</w:t>
      </w:r>
      <w:r>
        <w:rPr>
          <w:rFonts w:hint="eastAsia"/>
          <w:color w:val="auto"/>
          <w:spacing w:val="-1"/>
          <w:sz w:val="36"/>
          <w:szCs w:val="36"/>
          <w:highlight w:val="none"/>
          <w:lang w:val="en-US" w:eastAsia="zh-CN"/>
        </w:rPr>
        <w:t>和田地区战略性矿产资源成矿规律研究与靶区优选</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新疆维吾尔自治区地质地调院</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主管部门（公章）：新疆维吾尔自治区地质矿产勘查开发局</w:t>
      </w:r>
    </w:p>
    <w:p>
      <w:pPr>
        <w:spacing w:line="540" w:lineRule="exact"/>
        <w:ind w:firstLine="900" w:firstLineChars="250"/>
        <w:rPr>
          <w:rFonts w:hint="eastAsia" w:hAnsi="宋体" w:eastAsia="仿宋_GB2312" w:cs="宋体"/>
          <w:kern w:val="0"/>
          <w:sz w:val="36"/>
          <w:szCs w:val="36"/>
          <w:lang w:eastAsia="zh-CN"/>
        </w:rPr>
      </w:pPr>
    </w:p>
    <w:p>
      <w:pPr>
        <w:spacing w:line="540" w:lineRule="exact"/>
        <w:ind w:firstLine="900" w:firstLineChars="250"/>
        <w:rPr>
          <w:rFonts w:hint="eastAsia" w:hAnsi="宋体" w:eastAsia="仿宋_GB2312" w:cs="宋体"/>
          <w:kern w:val="0"/>
          <w:sz w:val="36"/>
          <w:szCs w:val="36"/>
        </w:rPr>
      </w:pPr>
    </w:p>
    <w:p>
      <w:pPr>
        <w:spacing w:line="540" w:lineRule="exact"/>
        <w:ind w:firstLine="900" w:firstLineChars="250"/>
        <w:rPr>
          <w:rFonts w:hint="eastAsia" w:hAnsi="宋体" w:eastAsia="仿宋_GB2312" w:cs="宋体"/>
          <w:kern w:val="0"/>
          <w:sz w:val="36"/>
          <w:szCs w:val="36"/>
        </w:rPr>
      </w:pPr>
    </w:p>
    <w:p>
      <w:pPr>
        <w:spacing w:line="540" w:lineRule="exact"/>
        <w:ind w:firstLine="900" w:firstLineChars="250"/>
        <w:rPr>
          <w:rFonts w:hint="eastAsia" w:ascii="楷体" w:hAnsi="楷体" w:eastAsia="仿宋_GB2312"/>
          <w:b/>
          <w:bCs/>
          <w:spacing w:val="-4"/>
          <w:sz w:val="32"/>
          <w:szCs w:val="32"/>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韩琼</w:t>
      </w:r>
    </w:p>
    <w:p>
      <w:pPr>
        <w:spacing w:line="700" w:lineRule="exact"/>
        <w:ind w:firstLine="900" w:firstLineChars="250"/>
        <w:jc w:val="left"/>
        <w:rPr>
          <w:rFonts w:hint="eastAsia" w:hAnsi="宋体" w:eastAsia="仿宋_GB2312" w:cs="宋体"/>
          <w:kern w:val="0"/>
          <w:sz w:val="36"/>
          <w:szCs w:val="36"/>
        </w:rPr>
      </w:pP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spacing w:before="307" w:line="218" w:lineRule="auto"/>
        <w:jc w:val="both"/>
        <w:rPr>
          <w:rFonts w:ascii="宋体" w:hAnsi="宋体" w:eastAsia="宋体" w:cs="宋体"/>
          <w:sz w:val="36"/>
          <w:szCs w:val="36"/>
        </w:rPr>
      </w:pPr>
    </w:p>
    <w:p>
      <w:pPr>
        <w:spacing w:line="540" w:lineRule="exact"/>
        <w:jc w:val="both"/>
        <w:rPr>
          <w:rFonts w:ascii="华文中宋" w:hAnsi="华文中宋" w:eastAsia="华文中宋" w:cs="宋体"/>
          <w:b/>
          <w:kern w:val="0"/>
          <w:sz w:val="52"/>
          <w:szCs w:val="52"/>
        </w:rPr>
      </w:pPr>
    </w:p>
    <w:p>
      <w:pPr>
        <w:spacing w:line="261" w:lineRule="auto"/>
        <w:rPr>
          <w:rFonts w:ascii="Arial"/>
          <w:sz w:val="21"/>
        </w:rPr>
      </w:pPr>
    </w:p>
    <w:p>
      <w:pPr>
        <w:pStyle w:val="2"/>
        <w:rPr>
          <w:rFonts w:ascii="Arial"/>
          <w:sz w:val="21"/>
        </w:rPr>
      </w:pPr>
    </w:p>
    <w:p>
      <w:pPr>
        <w:pStyle w:val="2"/>
        <w:rPr>
          <w:rFonts w:ascii="Arial"/>
          <w:sz w:val="21"/>
        </w:rPr>
      </w:pPr>
    </w:p>
    <w:p>
      <w:pPr>
        <w:pStyle w:val="2"/>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1"/>
        <w:rPr>
          <w:rFonts w:ascii="黑体" w:hAnsi="黑体" w:eastAsia="黑体" w:cs="黑体"/>
          <w:sz w:val="29"/>
          <w:szCs w:val="29"/>
        </w:rPr>
      </w:pPr>
      <w:r>
        <w:rPr>
          <w:rFonts w:hint="eastAsia" w:ascii="黑体" w:hAnsi="黑体" w:eastAsia="黑体" w:cs="黑体"/>
          <w:b/>
          <w:bCs/>
          <w:spacing w:val="4"/>
          <w:sz w:val="29"/>
          <w:szCs w:val="29"/>
          <w:lang w:val="en-US" w:eastAsia="zh-CN"/>
        </w:rPr>
        <w:t xml:space="preserve">    </w:t>
      </w:r>
      <w:r>
        <w:rPr>
          <w:rFonts w:ascii="黑体" w:hAnsi="黑体" w:eastAsia="黑体" w:cs="黑体"/>
          <w:b/>
          <w:bCs/>
          <w:spacing w:val="4"/>
          <w:sz w:val="29"/>
          <w:szCs w:val="29"/>
        </w:rPr>
        <w:t>一、基本情况</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firstLine="0" w:firstLineChars="0"/>
        <w:textAlignment w:val="baseline"/>
        <w:rPr>
          <w:color w:val="auto"/>
          <w:spacing w:val="-1"/>
          <w:sz w:val="32"/>
          <w:szCs w:val="32"/>
          <w:highlight w:val="none"/>
        </w:rPr>
      </w:pPr>
      <w:r>
        <w:rPr>
          <w:rFonts w:hint="eastAsia"/>
          <w:color w:val="auto"/>
          <w:spacing w:val="17"/>
          <w:position w:val="23"/>
          <w:sz w:val="29"/>
          <w:szCs w:val="29"/>
          <w:highlight w:val="none"/>
          <w:lang w:val="en-US" w:eastAsia="zh-CN"/>
        </w:rPr>
        <w:t xml:space="preserve">   </w:t>
      </w:r>
      <w:r>
        <w:rPr>
          <w:rFonts w:hint="eastAsia"/>
          <w:color w:val="auto"/>
          <w:spacing w:val="17"/>
          <w:position w:val="23"/>
          <w:sz w:val="32"/>
          <w:szCs w:val="32"/>
          <w:highlight w:val="none"/>
          <w:lang w:val="en-US" w:eastAsia="zh-CN"/>
        </w:rPr>
        <w:t xml:space="preserve"> </w:t>
      </w:r>
      <w:r>
        <w:rPr>
          <w:color w:val="auto"/>
          <w:spacing w:val="17"/>
          <w:position w:val="23"/>
          <w:sz w:val="32"/>
          <w:szCs w:val="32"/>
          <w:highlight w:val="none"/>
        </w:rPr>
        <w:t>(一)项目概况</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textAlignment w:val="baseline"/>
        <w:rPr>
          <w:rFonts w:hint="eastAsia"/>
          <w:color w:val="auto"/>
          <w:spacing w:val="-1"/>
          <w:sz w:val="32"/>
          <w:szCs w:val="32"/>
          <w:highlight w:val="none"/>
          <w:lang w:val="en-US" w:eastAsia="zh-CN"/>
        </w:rPr>
      </w:pPr>
      <w:r>
        <w:rPr>
          <w:rFonts w:hint="eastAsia"/>
          <w:color w:val="auto"/>
          <w:spacing w:val="-1"/>
          <w:sz w:val="32"/>
          <w:szCs w:val="32"/>
          <w:highlight w:val="none"/>
          <w:lang w:val="en-US" w:eastAsia="zh-CN"/>
        </w:rPr>
        <w:t xml:space="preserve">    1.项目背景</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36" w:firstLineChars="200"/>
        <w:jc w:val="left"/>
        <w:textAlignment w:val="baseline"/>
        <w:rPr>
          <w:rFonts w:hint="default"/>
          <w:color w:val="auto"/>
          <w:spacing w:val="-1"/>
          <w:sz w:val="32"/>
          <w:szCs w:val="32"/>
          <w:highlight w:val="none"/>
          <w:lang w:val="en-US" w:eastAsia="zh-CN"/>
        </w:rPr>
      </w:pPr>
      <w:r>
        <w:rPr>
          <w:rFonts w:hint="eastAsia"/>
          <w:color w:val="auto"/>
          <w:spacing w:val="-1"/>
          <w:sz w:val="32"/>
          <w:szCs w:val="32"/>
          <w:highlight w:val="none"/>
          <w:lang w:val="en-US" w:eastAsia="zh-CN"/>
        </w:rPr>
        <w:t>项目名称：和田地区战略性矿产资源成矿规律研究与靶区优选</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36" w:firstLineChars="200"/>
        <w:jc w:val="left"/>
        <w:textAlignment w:val="baseline"/>
        <w:rPr>
          <w:rFonts w:hint="eastAsia"/>
          <w:color w:val="auto"/>
          <w:spacing w:val="-1"/>
          <w:sz w:val="32"/>
          <w:szCs w:val="32"/>
          <w:highlight w:val="none"/>
          <w:lang w:val="en-US" w:eastAsia="zh-CN"/>
        </w:rPr>
      </w:pPr>
      <w:r>
        <w:rPr>
          <w:rFonts w:hint="eastAsia"/>
          <w:color w:val="auto"/>
          <w:spacing w:val="-1"/>
          <w:sz w:val="32"/>
          <w:szCs w:val="32"/>
          <w:highlight w:val="none"/>
          <w:lang w:val="en-US" w:eastAsia="zh-CN"/>
        </w:rPr>
        <w:t>项目编号：XGMB202249</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36" w:firstLineChars="200"/>
        <w:jc w:val="left"/>
        <w:textAlignment w:val="baseline"/>
        <w:rPr>
          <w:rFonts w:hint="default"/>
          <w:color w:val="auto"/>
          <w:spacing w:val="-1"/>
          <w:sz w:val="32"/>
          <w:szCs w:val="32"/>
          <w:highlight w:val="none"/>
          <w:lang w:val="en-US" w:eastAsia="zh-CN"/>
        </w:rPr>
      </w:pPr>
      <w:r>
        <w:rPr>
          <w:rFonts w:hint="eastAsia"/>
          <w:color w:val="auto"/>
          <w:spacing w:val="-1"/>
          <w:sz w:val="32"/>
          <w:szCs w:val="32"/>
          <w:highlight w:val="none"/>
          <w:lang w:val="en-US" w:eastAsia="zh-CN"/>
        </w:rPr>
        <w:t>项目周期：2022年4月-2025年4月</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eastAsia" w:ascii="仿宋" w:hAnsi="仿宋" w:eastAsia="仿宋" w:cs="宋体"/>
          <w:color w:val="auto"/>
          <w:spacing w:val="-4"/>
          <w:sz w:val="32"/>
          <w:szCs w:val="32"/>
          <w:highlight w:val="none"/>
        </w:rPr>
      </w:pPr>
      <w:r>
        <w:rPr>
          <w:rFonts w:hint="eastAsia" w:ascii="仿宋" w:hAnsi="仿宋" w:eastAsia="仿宋" w:cs="宋体"/>
          <w:color w:val="auto"/>
          <w:spacing w:val="-4"/>
          <w:sz w:val="32"/>
          <w:szCs w:val="32"/>
          <w:highlight w:val="none"/>
        </w:rPr>
        <w:t>在充分收集、分析研究和田地区地质、矿产、物探、化探、遥感及相关科研文献等资料，系统总结有色、稀有等优势矿产区域成矿地质条件和成矿规律，开展综合研究和靶区优选工作。采用遥感解译、路线地质调查、专项填图、地物化剖面及采样分析等工作手段，对重要靶区及重要找矿线索进行评价。针对区内科马提岩侵入岩浆活动及成矿效应开展研究。编制区域成矿规律图和矿产预测图，为勘查工作部署提供合理建议。</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default"/>
          <w:color w:val="auto"/>
          <w:spacing w:val="-1"/>
          <w:sz w:val="32"/>
          <w:szCs w:val="32"/>
          <w:highlight w:val="none"/>
          <w:lang w:val="en-US" w:eastAsia="zh-CN"/>
        </w:rPr>
      </w:pPr>
      <w:r>
        <w:rPr>
          <w:rFonts w:hint="eastAsia"/>
          <w:color w:val="auto"/>
          <w:spacing w:val="-1"/>
          <w:sz w:val="32"/>
          <w:szCs w:val="32"/>
          <w:highlight w:val="none"/>
          <w:lang w:val="en-US" w:eastAsia="zh-CN"/>
        </w:rPr>
        <w:t xml:space="preserve">    2.主要内容及实施情况</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default" w:ascii="仿宋" w:hAnsi="仿宋" w:eastAsia="仿宋" w:cs="宋体"/>
          <w:color w:val="auto"/>
          <w:spacing w:val="-4"/>
          <w:sz w:val="32"/>
          <w:szCs w:val="32"/>
          <w:highlight w:val="none"/>
          <w:lang w:val="en-US" w:eastAsia="zh-CN"/>
        </w:rPr>
      </w:pPr>
      <w:r>
        <w:rPr>
          <w:rFonts w:hint="eastAsia" w:cs="宋体"/>
          <w:color w:val="auto"/>
          <w:spacing w:val="-4"/>
          <w:sz w:val="32"/>
          <w:szCs w:val="32"/>
          <w:highlight w:val="none"/>
          <w:lang w:val="en-US" w:eastAsia="zh-CN"/>
        </w:rPr>
        <w:t>1）</w:t>
      </w:r>
      <w:r>
        <w:rPr>
          <w:rFonts w:hint="eastAsia"/>
          <w:color w:val="auto"/>
          <w:sz w:val="32"/>
          <w:szCs w:val="32"/>
          <w:highlight w:val="none"/>
          <w:lang w:val="en-US" w:eastAsia="zh-CN"/>
        </w:rPr>
        <w:t>综合研究</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default" w:ascii="仿宋" w:hAnsi="仿宋" w:eastAsia="仿宋" w:cs="宋体"/>
          <w:color w:val="auto"/>
          <w:spacing w:val="-4"/>
          <w:sz w:val="32"/>
          <w:szCs w:val="32"/>
          <w:highlight w:val="none"/>
          <w:lang w:val="en-US" w:eastAsia="zh-CN"/>
        </w:rPr>
      </w:pPr>
      <w:r>
        <w:rPr>
          <w:rFonts w:hint="eastAsia" w:cs="宋体"/>
          <w:color w:val="auto"/>
          <w:spacing w:val="-4"/>
          <w:sz w:val="32"/>
          <w:szCs w:val="32"/>
          <w:highlight w:val="none"/>
          <w:lang w:val="en-US" w:eastAsia="zh-CN"/>
        </w:rPr>
        <w:t>包括资料收集、</w:t>
      </w:r>
      <w:r>
        <w:rPr>
          <w:rFonts w:hint="eastAsia" w:ascii="仿宋" w:hAnsi="仿宋" w:eastAsia="仿宋"/>
          <w:color w:val="auto"/>
          <w:sz w:val="32"/>
          <w:szCs w:val="32"/>
          <w:highlight w:val="none"/>
          <w:lang w:val="en-US" w:eastAsia="zh-CN"/>
        </w:rPr>
        <w:t>成矿地质背景研究</w:t>
      </w:r>
      <w:r>
        <w:rPr>
          <w:rFonts w:hint="eastAsia"/>
          <w:color w:val="auto"/>
          <w:sz w:val="32"/>
          <w:szCs w:val="32"/>
          <w:highlight w:val="none"/>
          <w:lang w:val="en-US" w:eastAsia="zh-CN"/>
        </w:rPr>
        <w:t>、</w:t>
      </w:r>
      <w:r>
        <w:rPr>
          <w:rFonts w:hint="eastAsia" w:ascii="仿宋" w:hAnsi="仿宋" w:eastAsia="仿宋"/>
          <w:color w:val="auto"/>
          <w:sz w:val="32"/>
          <w:szCs w:val="32"/>
          <w:highlight w:val="none"/>
          <w:lang w:val="en-US" w:eastAsia="zh-CN"/>
        </w:rPr>
        <w:t>典型矿床研究</w:t>
      </w:r>
      <w:r>
        <w:rPr>
          <w:rFonts w:hint="eastAsia"/>
          <w:color w:val="auto"/>
          <w:sz w:val="32"/>
          <w:szCs w:val="32"/>
          <w:highlight w:val="none"/>
          <w:lang w:val="en-US" w:eastAsia="zh-CN"/>
        </w:rPr>
        <w:t>、</w:t>
      </w:r>
      <w:r>
        <w:rPr>
          <w:rFonts w:hint="eastAsia" w:ascii="仿宋" w:hAnsi="仿宋" w:eastAsia="仿宋"/>
          <w:color w:val="auto"/>
          <w:sz w:val="32"/>
          <w:szCs w:val="32"/>
          <w:highlight w:val="none"/>
          <w:lang w:val="en-US" w:eastAsia="zh-CN"/>
        </w:rPr>
        <w:t>多元信息研究</w:t>
      </w:r>
      <w:r>
        <w:rPr>
          <w:rFonts w:hint="eastAsia"/>
          <w:color w:val="auto"/>
          <w:sz w:val="32"/>
          <w:szCs w:val="32"/>
          <w:highlight w:val="none"/>
          <w:lang w:val="en-US" w:eastAsia="zh-CN"/>
        </w:rPr>
        <w:t>、</w:t>
      </w:r>
      <w:r>
        <w:rPr>
          <w:rFonts w:hint="eastAsia" w:ascii="仿宋" w:hAnsi="仿宋" w:eastAsia="仿宋"/>
          <w:color w:val="auto"/>
          <w:sz w:val="32"/>
          <w:szCs w:val="32"/>
          <w:highlight w:val="none"/>
          <w:lang w:val="en-US" w:eastAsia="zh-CN"/>
        </w:rPr>
        <w:t>成矿系列图件编制</w:t>
      </w:r>
      <w:r>
        <w:rPr>
          <w:rFonts w:hint="eastAsia"/>
          <w:color w:val="auto"/>
          <w:sz w:val="32"/>
          <w:szCs w:val="32"/>
          <w:highlight w:val="none"/>
          <w:lang w:val="en-US" w:eastAsia="zh-CN"/>
        </w:rPr>
        <w:t>、</w:t>
      </w:r>
      <w:r>
        <w:rPr>
          <w:rFonts w:hint="eastAsia" w:ascii="仿宋" w:hAnsi="仿宋" w:eastAsia="仿宋"/>
          <w:color w:val="auto"/>
          <w:sz w:val="32"/>
          <w:szCs w:val="32"/>
          <w:highlight w:val="none"/>
          <w:lang w:val="en-US" w:eastAsia="zh-CN"/>
        </w:rPr>
        <w:t>成矿预测及靶区优选</w:t>
      </w:r>
      <w:r>
        <w:rPr>
          <w:rFonts w:hint="eastAsia"/>
          <w:color w:val="auto"/>
          <w:sz w:val="32"/>
          <w:szCs w:val="32"/>
          <w:highlight w:val="none"/>
          <w:lang w:val="en-US" w:eastAsia="zh-CN"/>
        </w:rPr>
        <w:t>。</w:t>
      </w:r>
    </w:p>
    <w:p>
      <w:pPr>
        <w:pStyle w:val="3"/>
        <w:keepNext w:val="0"/>
        <w:keepLines w:val="0"/>
        <w:pageBreakBefore w:val="0"/>
        <w:kinsoku/>
        <w:wordWrap/>
        <w:overflowPunct/>
        <w:topLinePunct w:val="0"/>
        <w:autoSpaceDE/>
        <w:autoSpaceDN/>
        <w:bidi w:val="0"/>
        <w:adjustRightInd w:val="0"/>
        <w:snapToGrid w:val="0"/>
        <w:spacing w:after="0" w:line="360" w:lineRule="auto"/>
        <w:ind w:firstLine="640" w:firstLineChars="200"/>
        <w:jc w:val="left"/>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资料收集</w:t>
      </w:r>
      <w:r>
        <w:rPr>
          <w:rFonts w:hint="eastAsia" w:ascii="仿宋" w:hAnsi="仿宋"/>
          <w:color w:val="auto"/>
          <w:sz w:val="32"/>
          <w:szCs w:val="32"/>
          <w:lang w:val="en-US" w:eastAsia="zh-CN"/>
        </w:rPr>
        <w:t>：</w:t>
      </w:r>
      <w:r>
        <w:rPr>
          <w:rFonts w:hint="eastAsia" w:ascii="仿宋" w:hAnsi="仿宋" w:eastAsia="仿宋"/>
          <w:color w:val="auto"/>
          <w:sz w:val="32"/>
          <w:szCs w:val="32"/>
          <w:lang w:val="en-US" w:eastAsia="zh-CN"/>
        </w:rPr>
        <w:t>收集和田地区已经完成的1:5万、1:25万区域地质矿产、矿产资料、科研报告及科研论文等资料，在已经完成的矿产志、地质志以及潜力评价的基础上，开展资料的综合分析研究。</w:t>
      </w:r>
    </w:p>
    <w:p>
      <w:pPr>
        <w:pStyle w:val="3"/>
        <w:keepNext w:val="0"/>
        <w:keepLines w:val="0"/>
        <w:pageBreakBefore w:val="0"/>
        <w:kinsoku/>
        <w:wordWrap/>
        <w:overflowPunct/>
        <w:topLinePunct w:val="0"/>
        <w:autoSpaceDE/>
        <w:autoSpaceDN/>
        <w:bidi w:val="0"/>
        <w:adjustRightInd w:val="0"/>
        <w:snapToGrid w:val="0"/>
        <w:spacing w:after="0" w:line="360" w:lineRule="auto"/>
        <w:ind w:firstLine="640" w:firstLineChars="200"/>
        <w:jc w:val="left"/>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成矿地质背景研究</w:t>
      </w:r>
      <w:r>
        <w:rPr>
          <w:rFonts w:hint="eastAsia" w:ascii="仿宋" w:hAnsi="仿宋"/>
          <w:color w:val="auto"/>
          <w:sz w:val="32"/>
          <w:szCs w:val="32"/>
          <w:lang w:val="en-US" w:eastAsia="zh-CN"/>
        </w:rPr>
        <w:t>：</w:t>
      </w:r>
      <w:r>
        <w:rPr>
          <w:rFonts w:hint="eastAsia" w:ascii="仿宋" w:hAnsi="仿宋" w:eastAsia="仿宋"/>
          <w:color w:val="auto"/>
          <w:sz w:val="32"/>
          <w:szCs w:val="32"/>
          <w:lang w:val="en-US" w:eastAsia="zh-CN"/>
        </w:rPr>
        <w:t>包括成矿地质背景研究与大地构造相分析、建造构造研究与建造构造分析方法。确定成矿地质作用与成矿建造之间的关系，编制各类地质作用与成矿关系图，总结成矿地质背景与矿产的关系。</w:t>
      </w:r>
    </w:p>
    <w:p>
      <w:pPr>
        <w:pStyle w:val="3"/>
        <w:keepNext w:val="0"/>
        <w:keepLines w:val="0"/>
        <w:pageBreakBefore w:val="0"/>
        <w:kinsoku/>
        <w:wordWrap/>
        <w:overflowPunct/>
        <w:topLinePunct w:val="0"/>
        <w:autoSpaceDE/>
        <w:autoSpaceDN/>
        <w:bidi w:val="0"/>
        <w:adjustRightInd w:val="0"/>
        <w:snapToGrid w:val="0"/>
        <w:spacing w:after="0" w:line="360" w:lineRule="auto"/>
        <w:ind w:firstLine="640" w:firstLineChars="200"/>
        <w:jc w:val="left"/>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典型矿床研究</w:t>
      </w:r>
      <w:r>
        <w:rPr>
          <w:rFonts w:hint="eastAsia" w:ascii="仿宋" w:hAnsi="仿宋"/>
          <w:color w:val="auto"/>
          <w:sz w:val="32"/>
          <w:szCs w:val="32"/>
          <w:lang w:val="en-US" w:eastAsia="zh-CN"/>
        </w:rPr>
        <w:t>：</w:t>
      </w:r>
      <w:r>
        <w:rPr>
          <w:rFonts w:hint="eastAsia" w:ascii="仿宋" w:hAnsi="仿宋" w:eastAsia="仿宋"/>
          <w:color w:val="auto"/>
          <w:sz w:val="32"/>
          <w:szCs w:val="32"/>
          <w:lang w:val="en-US" w:eastAsia="zh-CN"/>
        </w:rPr>
        <w:t>根据和田地区矿产资源禀赋特点和本次工作的要求，选定</w:t>
      </w:r>
      <w:r>
        <w:rPr>
          <w:rFonts w:hint="default" w:ascii="仿宋" w:hAnsi="仿宋" w:eastAsia="仿宋"/>
          <w:color w:val="auto"/>
          <w:sz w:val="32"/>
          <w:szCs w:val="32"/>
          <w:lang w:val="en-US" w:eastAsia="zh-CN"/>
        </w:rPr>
        <w:t>大红柳滩锂铍、苦水湖钾盐</w:t>
      </w:r>
      <w:r>
        <w:rPr>
          <w:rFonts w:hint="eastAsia" w:ascii="仿宋" w:hAnsi="仿宋" w:eastAsia="仿宋"/>
          <w:color w:val="auto"/>
          <w:sz w:val="32"/>
          <w:szCs w:val="32"/>
          <w:lang w:val="en-US" w:eastAsia="zh-CN"/>
        </w:rPr>
        <w:t>矿、</w:t>
      </w:r>
      <w:r>
        <w:rPr>
          <w:rFonts w:hint="default" w:ascii="仿宋" w:hAnsi="仿宋" w:eastAsia="仿宋"/>
          <w:color w:val="auto"/>
          <w:sz w:val="32"/>
          <w:szCs w:val="32"/>
          <w:lang w:val="en-US" w:eastAsia="zh-CN"/>
        </w:rPr>
        <w:t>硝尔库勒锑（金）</w:t>
      </w:r>
      <w:r>
        <w:rPr>
          <w:rFonts w:hint="eastAsia" w:ascii="仿宋" w:hAnsi="仿宋" w:eastAsia="仿宋"/>
          <w:color w:val="auto"/>
          <w:sz w:val="32"/>
          <w:szCs w:val="32"/>
          <w:lang w:val="en-US" w:eastAsia="zh-CN"/>
        </w:rPr>
        <w:t>矿、</w:t>
      </w:r>
      <w:r>
        <w:rPr>
          <w:rFonts w:hint="default" w:ascii="仿宋" w:hAnsi="仿宋" w:eastAsia="仿宋"/>
          <w:color w:val="auto"/>
          <w:sz w:val="32"/>
          <w:szCs w:val="32"/>
          <w:lang w:val="en-US" w:eastAsia="zh-CN"/>
        </w:rPr>
        <w:t>火烧云铅锌</w:t>
      </w:r>
      <w:r>
        <w:rPr>
          <w:rFonts w:hint="eastAsia" w:ascii="仿宋" w:hAnsi="仿宋" w:eastAsia="仿宋"/>
          <w:color w:val="auto"/>
          <w:sz w:val="32"/>
          <w:szCs w:val="32"/>
          <w:lang w:val="en-US" w:eastAsia="zh-CN"/>
        </w:rPr>
        <w:t>矿、</w:t>
      </w:r>
      <w:r>
        <w:rPr>
          <w:rFonts w:hint="default" w:ascii="仿宋" w:hAnsi="仿宋" w:eastAsia="仿宋"/>
          <w:color w:val="auto"/>
          <w:sz w:val="32"/>
          <w:szCs w:val="32"/>
          <w:lang w:val="en-US" w:eastAsia="zh-CN"/>
        </w:rPr>
        <w:t>卡特里西铜锌</w:t>
      </w:r>
      <w:r>
        <w:rPr>
          <w:rFonts w:hint="eastAsia" w:ascii="仿宋" w:hAnsi="仿宋" w:eastAsia="仿宋"/>
          <w:color w:val="auto"/>
          <w:sz w:val="32"/>
          <w:szCs w:val="32"/>
          <w:lang w:val="en-US" w:eastAsia="zh-CN"/>
        </w:rPr>
        <w:t>矿、</w:t>
      </w:r>
      <w:r>
        <w:rPr>
          <w:rFonts w:hint="default" w:ascii="仿宋" w:hAnsi="仿宋" w:eastAsia="仿宋"/>
          <w:color w:val="auto"/>
          <w:sz w:val="32"/>
          <w:szCs w:val="32"/>
          <w:lang w:val="en-US" w:eastAsia="zh-CN"/>
        </w:rPr>
        <w:t>苦阿金</w:t>
      </w:r>
      <w:r>
        <w:rPr>
          <w:rFonts w:hint="eastAsia" w:ascii="仿宋" w:hAnsi="仿宋" w:eastAsia="仿宋"/>
          <w:color w:val="auto"/>
          <w:sz w:val="32"/>
          <w:szCs w:val="32"/>
          <w:lang w:val="en-US" w:eastAsia="zh-CN"/>
        </w:rPr>
        <w:t>矿、</w:t>
      </w:r>
      <w:r>
        <w:rPr>
          <w:rFonts w:hint="default" w:ascii="仿宋" w:hAnsi="仿宋" w:eastAsia="仿宋"/>
          <w:color w:val="auto"/>
          <w:sz w:val="32"/>
          <w:szCs w:val="32"/>
          <w:lang w:val="en-US" w:eastAsia="zh-CN"/>
        </w:rPr>
        <w:t>布穷</w:t>
      </w:r>
      <w:r>
        <w:rPr>
          <w:rFonts w:hint="eastAsia" w:ascii="仿宋" w:hAnsi="仿宋" w:eastAsia="仿宋"/>
          <w:color w:val="auto"/>
          <w:sz w:val="32"/>
          <w:szCs w:val="32"/>
          <w:lang w:val="en-US" w:eastAsia="zh-CN"/>
        </w:rPr>
        <w:t>、</w:t>
      </w:r>
      <w:r>
        <w:rPr>
          <w:rFonts w:hint="default" w:ascii="仿宋" w:hAnsi="仿宋" w:eastAsia="仿宋"/>
          <w:color w:val="auto"/>
          <w:sz w:val="32"/>
          <w:szCs w:val="32"/>
          <w:lang w:val="en-US" w:eastAsia="zh-CN"/>
        </w:rPr>
        <w:t>阿克萨依铁</w:t>
      </w:r>
      <w:r>
        <w:rPr>
          <w:rFonts w:hint="eastAsia" w:ascii="仿宋" w:hAnsi="仿宋" w:eastAsia="仿宋"/>
          <w:color w:val="auto"/>
          <w:sz w:val="32"/>
          <w:szCs w:val="32"/>
          <w:lang w:val="en-US" w:eastAsia="zh-CN"/>
        </w:rPr>
        <w:t>矿、</w:t>
      </w:r>
      <w:r>
        <w:rPr>
          <w:rFonts w:hint="default" w:ascii="仿宋" w:hAnsi="仿宋" w:eastAsia="仿宋"/>
          <w:color w:val="auto"/>
          <w:sz w:val="32"/>
          <w:szCs w:val="32"/>
          <w:lang w:val="en-US" w:eastAsia="zh-CN"/>
        </w:rPr>
        <w:t>阿合栏杆银</w:t>
      </w:r>
      <w:r>
        <w:rPr>
          <w:rFonts w:hint="eastAsia" w:ascii="仿宋" w:hAnsi="仿宋" w:eastAsia="仿宋"/>
          <w:color w:val="auto"/>
          <w:sz w:val="32"/>
          <w:szCs w:val="32"/>
          <w:lang w:val="en-US" w:eastAsia="zh-CN"/>
        </w:rPr>
        <w:t>矿、</w:t>
      </w:r>
      <w:r>
        <w:rPr>
          <w:rFonts w:hint="default" w:ascii="仿宋" w:hAnsi="仿宋" w:eastAsia="仿宋"/>
          <w:color w:val="auto"/>
          <w:sz w:val="32"/>
          <w:szCs w:val="32"/>
          <w:lang w:val="en-US" w:eastAsia="zh-CN"/>
        </w:rPr>
        <w:t>夏日哈木镍</w:t>
      </w:r>
      <w:r>
        <w:rPr>
          <w:rFonts w:hint="eastAsia" w:ascii="仿宋" w:hAnsi="仿宋" w:eastAsia="仿宋"/>
          <w:color w:val="auto"/>
          <w:sz w:val="32"/>
          <w:szCs w:val="32"/>
          <w:lang w:val="en-US" w:eastAsia="zh-CN"/>
        </w:rPr>
        <w:t>矿、黄羊岭锑矿等典型矿床开展研究，研究内容包括成矿时代、大地构造环境、成矿地质特征、成矿构造特征、成矿作用特征。编制典型矿床的成矿要素图，重点标识矿体和成矿地质体、成矿构造及成矿结构面、成矿作用特征标志及其空间关系，建立典型矿床实体地质模型。</w:t>
      </w:r>
    </w:p>
    <w:p>
      <w:pPr>
        <w:pStyle w:val="3"/>
        <w:keepNext w:val="0"/>
        <w:keepLines w:val="0"/>
        <w:pageBreakBefore w:val="0"/>
        <w:kinsoku/>
        <w:wordWrap/>
        <w:overflowPunct/>
        <w:topLinePunct w:val="0"/>
        <w:autoSpaceDE/>
        <w:autoSpaceDN/>
        <w:bidi w:val="0"/>
        <w:adjustRightInd w:val="0"/>
        <w:snapToGrid w:val="0"/>
        <w:spacing w:after="0" w:line="360" w:lineRule="auto"/>
        <w:ind w:firstLine="640" w:firstLineChars="200"/>
        <w:jc w:val="left"/>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多元信息研究</w:t>
      </w:r>
      <w:r>
        <w:rPr>
          <w:rFonts w:hint="eastAsia" w:ascii="仿宋" w:hAnsi="仿宋"/>
          <w:color w:val="auto"/>
          <w:sz w:val="32"/>
          <w:szCs w:val="32"/>
          <w:lang w:val="en-US" w:eastAsia="zh-CN"/>
        </w:rPr>
        <w:t>：</w:t>
      </w:r>
      <w:r>
        <w:rPr>
          <w:rFonts w:hint="default" w:ascii="仿宋" w:hAnsi="仿宋" w:eastAsia="仿宋"/>
          <w:color w:val="auto"/>
          <w:sz w:val="32"/>
          <w:szCs w:val="32"/>
          <w:lang w:val="en-US" w:eastAsia="zh-CN"/>
        </w:rPr>
        <w:t>已有遥感、物探和化探，重点解决预测区信息不对称问题；采用知识驱动和数据驱动相结合，充分发挥已有勘查资料的作用，应用GIS技术挖掘矿产预测有关的多元信息，实现矿产资源定量预测。</w:t>
      </w:r>
    </w:p>
    <w:p>
      <w:pPr>
        <w:pStyle w:val="3"/>
        <w:keepNext w:val="0"/>
        <w:keepLines w:val="0"/>
        <w:pageBreakBefore w:val="0"/>
        <w:kinsoku/>
        <w:wordWrap/>
        <w:overflowPunct/>
        <w:topLinePunct w:val="0"/>
        <w:autoSpaceDE/>
        <w:autoSpaceDN/>
        <w:bidi w:val="0"/>
        <w:adjustRightInd w:val="0"/>
        <w:snapToGrid w:val="0"/>
        <w:spacing w:after="0" w:line="360" w:lineRule="auto"/>
        <w:ind w:firstLine="640" w:firstLineChars="200"/>
        <w:jc w:val="left"/>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成矿系列图件编制</w:t>
      </w:r>
      <w:r>
        <w:rPr>
          <w:rFonts w:hint="eastAsia" w:ascii="仿宋" w:hAnsi="仿宋"/>
          <w:color w:val="auto"/>
          <w:sz w:val="32"/>
          <w:szCs w:val="32"/>
          <w:lang w:val="en-US" w:eastAsia="zh-CN"/>
        </w:rPr>
        <w:t>：</w:t>
      </w:r>
      <w:r>
        <w:rPr>
          <w:rFonts w:hint="eastAsia" w:ascii="仿宋" w:hAnsi="仿宋" w:eastAsia="仿宋"/>
          <w:color w:val="auto"/>
          <w:sz w:val="32"/>
          <w:szCs w:val="32"/>
          <w:lang w:val="en-US" w:eastAsia="zh-CN"/>
        </w:rPr>
        <w:t>在资料综合研究的基础上，根据预测类型，编制预测工作区的底图，在此底图上，首先全面反映工作区成矿地质背景和研究内容；其次全面反映工作区区域成矿特征（规律）的研究内容，形成成矿要素图，同时把典型矿床大比例尺的研究内容转换到该底图上，形成模型区成矿要素；最终，综合物探、化探、遥感、自然重砂等信息，形成预测要素图，作为预测的底图。在此基础上编制和田地区地质矿产图、和田地区成矿规律图和和田地区靶区优选图等主要图件。其中成矿规律图可以考虑分矿种变质。</w:t>
      </w:r>
    </w:p>
    <w:p>
      <w:pPr>
        <w:pStyle w:val="3"/>
        <w:keepNext w:val="0"/>
        <w:keepLines w:val="0"/>
        <w:pageBreakBefore w:val="0"/>
        <w:kinsoku/>
        <w:wordWrap/>
        <w:overflowPunct/>
        <w:topLinePunct w:val="0"/>
        <w:autoSpaceDE/>
        <w:autoSpaceDN/>
        <w:bidi w:val="0"/>
        <w:adjustRightInd w:val="0"/>
        <w:snapToGrid w:val="0"/>
        <w:spacing w:after="0" w:line="360" w:lineRule="auto"/>
        <w:ind w:firstLine="640" w:firstLineChars="200"/>
        <w:jc w:val="left"/>
        <w:textAlignment w:val="auto"/>
        <w:rPr>
          <w:rFonts w:hint="eastAsia" w:ascii="仿宋" w:hAnsi="仿宋"/>
          <w:color w:val="auto"/>
          <w:sz w:val="32"/>
          <w:szCs w:val="32"/>
          <w:lang w:val="en-US" w:eastAsia="zh-CN"/>
        </w:rPr>
      </w:pPr>
      <w:r>
        <w:rPr>
          <w:rFonts w:hint="eastAsia" w:ascii="仿宋" w:hAnsi="仿宋"/>
          <w:color w:val="auto"/>
          <w:sz w:val="32"/>
          <w:szCs w:val="32"/>
          <w:lang w:val="en-US" w:eastAsia="zh-CN"/>
        </w:rPr>
        <w:t>2022年完成实施情况如下：</w:t>
      </w:r>
    </w:p>
    <w:p>
      <w:pPr>
        <w:pStyle w:val="3"/>
        <w:keepNext w:val="0"/>
        <w:keepLines w:val="0"/>
        <w:pageBreakBefore w:val="0"/>
        <w:kinsoku/>
        <w:wordWrap/>
        <w:overflowPunct/>
        <w:topLinePunct w:val="0"/>
        <w:autoSpaceDE/>
        <w:autoSpaceDN/>
        <w:bidi w:val="0"/>
        <w:adjustRightInd w:val="0"/>
        <w:snapToGrid w:val="0"/>
        <w:spacing w:after="0" w:line="360" w:lineRule="auto"/>
        <w:ind w:firstLine="640" w:firstLineChars="200"/>
        <w:jc w:val="left"/>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一是基于</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新疆矿产地质志</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矿产资源国情调查</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等项目成果，开展综合分析，梳理了</w:t>
      </w:r>
      <w:r>
        <w:rPr>
          <w:rFonts w:hint="default" w:ascii="仿宋" w:hAnsi="仿宋" w:eastAsia="仿宋"/>
          <w:color w:val="auto"/>
          <w:sz w:val="32"/>
          <w:szCs w:val="32"/>
          <w:lang w:val="en-US" w:eastAsia="zh-CN"/>
        </w:rPr>
        <w:t>11</w:t>
      </w:r>
      <w:r>
        <w:rPr>
          <w:rFonts w:hint="eastAsia" w:ascii="仿宋" w:hAnsi="仿宋" w:eastAsia="仿宋"/>
          <w:color w:val="auto"/>
          <w:sz w:val="32"/>
          <w:szCs w:val="32"/>
          <w:lang w:val="en-US" w:eastAsia="zh-CN"/>
        </w:rPr>
        <w:t>个目标矿种的</w:t>
      </w:r>
      <w:r>
        <w:rPr>
          <w:rFonts w:hint="default" w:ascii="仿宋" w:hAnsi="仿宋" w:eastAsia="仿宋"/>
          <w:color w:val="auto"/>
          <w:sz w:val="32"/>
          <w:szCs w:val="32"/>
          <w:lang w:val="en-US" w:eastAsia="zh-CN"/>
        </w:rPr>
        <w:t>154</w:t>
      </w:r>
      <w:r>
        <w:rPr>
          <w:rFonts w:hint="eastAsia" w:ascii="仿宋" w:hAnsi="仿宋" w:eastAsia="仿宋"/>
          <w:color w:val="auto"/>
          <w:sz w:val="32"/>
          <w:szCs w:val="32"/>
          <w:lang w:val="en-US" w:eastAsia="zh-CN"/>
        </w:rPr>
        <w:t>个矿产地信息，并确选取了研究的典型矿床。</w:t>
      </w:r>
    </w:p>
    <w:p>
      <w:pPr>
        <w:pStyle w:val="3"/>
        <w:keepNext w:val="0"/>
        <w:keepLines w:val="0"/>
        <w:pageBreakBefore w:val="0"/>
        <w:kinsoku/>
        <w:wordWrap/>
        <w:overflowPunct/>
        <w:topLinePunct w:val="0"/>
        <w:autoSpaceDE/>
        <w:autoSpaceDN/>
        <w:bidi w:val="0"/>
        <w:adjustRightInd w:val="0"/>
        <w:snapToGrid w:val="0"/>
        <w:spacing w:after="0" w:line="360" w:lineRule="auto"/>
        <w:ind w:firstLine="640" w:firstLineChars="200"/>
        <w:jc w:val="left"/>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二是合集成和田地区近年来完成不同比例尺化探资料，并对异常特征进行对比分析，共梳理出综合异常362个，并对重要异常的成矿潜力和查证等情况进行评价。</w:t>
      </w:r>
    </w:p>
    <w:p>
      <w:pPr>
        <w:pStyle w:val="3"/>
        <w:keepNext w:val="0"/>
        <w:keepLines w:val="0"/>
        <w:pageBreakBefore w:val="0"/>
        <w:kinsoku/>
        <w:wordWrap/>
        <w:overflowPunct/>
        <w:topLinePunct w:val="0"/>
        <w:autoSpaceDE/>
        <w:autoSpaceDN/>
        <w:bidi w:val="0"/>
        <w:adjustRightInd w:val="0"/>
        <w:snapToGrid w:val="0"/>
        <w:spacing w:after="0" w:line="360" w:lineRule="auto"/>
        <w:ind w:firstLine="640" w:firstLineChars="200"/>
        <w:jc w:val="left"/>
        <w:textAlignment w:val="auto"/>
        <w:rPr>
          <w:rFonts w:hint="eastAsia" w:ascii="仿宋" w:hAnsi="仿宋"/>
          <w:color w:val="auto"/>
          <w:sz w:val="32"/>
          <w:szCs w:val="32"/>
          <w:lang w:val="en-US" w:eastAsia="zh-CN"/>
        </w:rPr>
      </w:pPr>
      <w:r>
        <w:rPr>
          <w:rFonts w:hint="eastAsia" w:ascii="仿宋" w:hAnsi="仿宋"/>
          <w:color w:val="auto"/>
          <w:sz w:val="32"/>
          <w:szCs w:val="32"/>
          <w:lang w:val="en-US" w:eastAsia="zh-CN"/>
        </w:rPr>
        <w:t>三是系统梳理了以往地质工作圈定402个靶区，并进行优选和评价，初步开展了靶区优选工作。</w:t>
      </w:r>
    </w:p>
    <w:p>
      <w:pPr>
        <w:pStyle w:val="3"/>
        <w:keepNext w:val="0"/>
        <w:keepLines w:val="0"/>
        <w:pageBreakBefore w:val="0"/>
        <w:kinsoku/>
        <w:wordWrap/>
        <w:overflowPunct/>
        <w:topLinePunct w:val="0"/>
        <w:autoSpaceDE/>
        <w:autoSpaceDN/>
        <w:bidi w:val="0"/>
        <w:adjustRightInd w:val="0"/>
        <w:snapToGrid w:val="0"/>
        <w:spacing w:after="0" w:line="360" w:lineRule="auto"/>
        <w:ind w:firstLine="640" w:firstLineChars="200"/>
        <w:jc w:val="left"/>
        <w:textAlignment w:val="auto"/>
        <w:rPr>
          <w:rFonts w:hint="eastAsia" w:ascii="仿宋" w:hAnsi="仿宋"/>
          <w:color w:val="auto"/>
          <w:sz w:val="32"/>
          <w:szCs w:val="32"/>
          <w:lang w:val="en-US" w:eastAsia="zh-CN"/>
        </w:rPr>
      </w:pPr>
      <w:r>
        <w:rPr>
          <w:rFonts w:hint="eastAsia" w:ascii="仿宋" w:hAnsi="仿宋"/>
          <w:color w:val="auto"/>
          <w:sz w:val="32"/>
          <w:szCs w:val="32"/>
          <w:lang w:val="en-US" w:eastAsia="zh-CN"/>
        </w:rPr>
        <w:t>四是综合运用Spot、Aster、ETM以及高分数据，开展遥感解译及蚀变信息提取工作。</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default" w:ascii="仿宋" w:hAnsi="仿宋" w:eastAsia="仿宋" w:cs="宋体"/>
          <w:color w:val="auto"/>
          <w:spacing w:val="-4"/>
          <w:sz w:val="32"/>
          <w:szCs w:val="32"/>
          <w:highlight w:val="none"/>
          <w:lang w:val="en-US" w:eastAsia="zh-CN"/>
        </w:rPr>
      </w:pPr>
      <w:r>
        <w:rPr>
          <w:rFonts w:hint="eastAsia" w:cs="宋体"/>
          <w:color w:val="auto"/>
          <w:spacing w:val="-4"/>
          <w:sz w:val="32"/>
          <w:szCs w:val="32"/>
          <w:highlight w:val="none"/>
          <w:lang w:val="en-US" w:eastAsia="zh-CN"/>
        </w:rPr>
        <w:t>2）专题研究</w:t>
      </w:r>
    </w:p>
    <w:p>
      <w:pPr>
        <w:pStyle w:val="3"/>
        <w:keepNext w:val="0"/>
        <w:keepLines w:val="0"/>
        <w:pageBreakBefore w:val="0"/>
        <w:kinsoku/>
        <w:wordWrap/>
        <w:overflowPunct/>
        <w:topLinePunct w:val="0"/>
        <w:autoSpaceDE/>
        <w:autoSpaceDN/>
        <w:bidi w:val="0"/>
        <w:adjustRightInd w:val="0"/>
        <w:snapToGrid w:val="0"/>
        <w:spacing w:after="0" w:line="360" w:lineRule="auto"/>
        <w:ind w:firstLine="640" w:firstLineChars="200"/>
        <w:jc w:val="left"/>
        <w:textAlignment w:val="auto"/>
        <w:rPr>
          <w:rFonts w:hint="default" w:ascii="仿宋" w:hAnsi="仿宋" w:eastAsia="仿宋"/>
          <w:color w:val="auto"/>
          <w:sz w:val="32"/>
          <w:szCs w:val="32"/>
          <w:highlight w:val="none"/>
          <w:lang w:val="en-US" w:eastAsia="zh-CN"/>
        </w:rPr>
      </w:pPr>
      <w:r>
        <w:rPr>
          <w:rFonts w:hint="default" w:ascii="仿宋" w:hAnsi="仿宋" w:eastAsia="仿宋"/>
          <w:color w:val="auto"/>
          <w:sz w:val="32"/>
          <w:szCs w:val="32"/>
          <w:highlight w:val="none"/>
          <w:lang w:val="en-US" w:eastAsia="zh-CN"/>
        </w:rPr>
        <w:t>西昆仑-喀喇昆仑造山带位于青藏高原北部，是古亚洲洋与古特提斯洋作用部位，经历了原特提斯-中（新）特提斯阶段长期的构造演化，由于自然条件制约以及缺乏对关键地质体（建造）的系统工作，使很多问题仍无法得以解决，其中核心科学问题包括：区内是否存在可靠的前寒武纪基底、特提斯演化过程以及构造演化与成矿效应的耦合关系。幔源岩浆形成的镁铁质-超镁铁质岩是认识壳幔物质组成、壳幔岩浆作用和深部地质作用，以及大陆岩石圈形成、演化、动力学等重大基础地质问题的主要研究对象，也是世界范围内绝大部分铬、镍、铂元素，以及铁、铜、钒、钛等矿产资源的主要来源。随着近些年区内地质工作的开展，幔源岩浆作用逐渐被重视。对区内幔源岩浆作用时空变化规律和成矿作用机制研究，有助于揭示区域构造演化和岩浆成矿作用之间的耦合关系，为区内特提斯洋发育过程中是否存在地幔柱活动？原特提斯洋及古特提斯洋的形成时代？特提斯洋不同阶段的洋陆格局、洋壳俯冲消减过程？与镁铁质-超镁铁质杂岩体、镁铁质-超镁铁质火山-次火山岩有关的各类矿床找矿方向？</w:t>
      </w:r>
    </w:p>
    <w:p>
      <w:pPr>
        <w:pStyle w:val="3"/>
        <w:keepNext w:val="0"/>
        <w:keepLines w:val="0"/>
        <w:pageBreakBefore w:val="0"/>
        <w:kinsoku/>
        <w:wordWrap/>
        <w:overflowPunct/>
        <w:topLinePunct w:val="0"/>
        <w:autoSpaceDE/>
        <w:autoSpaceDN/>
        <w:bidi w:val="0"/>
        <w:adjustRightInd w:val="0"/>
        <w:snapToGrid w:val="0"/>
        <w:spacing w:after="0" w:line="360" w:lineRule="auto"/>
        <w:ind w:firstLine="640" w:firstLineChars="200"/>
        <w:jc w:val="left"/>
        <w:textAlignment w:val="auto"/>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2022年对区内幔源岩浆作用时空变化规律和成矿作用机制研究进行探讨，提出与科马提岩有关的矿床为该地区新的类型，为寻找铜镍矿指明了方向。本次工作对区内基性</w:t>
      </w:r>
      <w:r>
        <w:rPr>
          <w:rFonts w:hint="default" w:ascii="仿宋" w:hAnsi="仿宋" w:eastAsia="仿宋"/>
          <w:color w:val="auto"/>
          <w:sz w:val="32"/>
          <w:szCs w:val="32"/>
          <w:highlight w:val="none"/>
          <w:lang w:val="en-US" w:eastAsia="zh-CN"/>
        </w:rPr>
        <w:t>-</w:t>
      </w:r>
      <w:r>
        <w:rPr>
          <w:rFonts w:hint="eastAsia" w:ascii="仿宋" w:hAnsi="仿宋" w:eastAsia="仿宋"/>
          <w:color w:val="auto"/>
          <w:sz w:val="32"/>
          <w:szCs w:val="32"/>
          <w:highlight w:val="none"/>
          <w:lang w:val="en-US" w:eastAsia="zh-CN"/>
        </w:rPr>
        <w:t>超基性岩进行系统的调查，系统采集了样品，同时运用</w:t>
      </w:r>
      <w:r>
        <w:rPr>
          <w:rFonts w:hint="default" w:ascii="仿宋" w:hAnsi="仿宋" w:eastAsia="仿宋"/>
          <w:color w:val="auto"/>
          <w:sz w:val="32"/>
          <w:szCs w:val="32"/>
          <w:highlight w:val="none"/>
          <w:lang w:val="en-US" w:eastAsia="zh-CN"/>
        </w:rPr>
        <w:t>“</w:t>
      </w:r>
      <w:r>
        <w:rPr>
          <w:rFonts w:hint="eastAsia" w:ascii="仿宋" w:hAnsi="仿宋" w:eastAsia="仿宋"/>
          <w:color w:val="auto"/>
          <w:sz w:val="32"/>
          <w:szCs w:val="32"/>
          <w:highlight w:val="none"/>
          <w:lang w:val="en-US" w:eastAsia="zh-CN"/>
        </w:rPr>
        <w:t>洋板块地质</w:t>
      </w:r>
      <w:r>
        <w:rPr>
          <w:rFonts w:hint="default" w:ascii="仿宋" w:hAnsi="仿宋" w:eastAsia="仿宋"/>
          <w:color w:val="auto"/>
          <w:sz w:val="32"/>
          <w:szCs w:val="32"/>
          <w:highlight w:val="none"/>
          <w:lang w:val="en-US" w:eastAsia="zh-CN"/>
        </w:rPr>
        <w:t>”</w:t>
      </w:r>
      <w:r>
        <w:rPr>
          <w:rFonts w:hint="eastAsia" w:ascii="仿宋" w:hAnsi="仿宋" w:eastAsia="仿宋"/>
          <w:color w:val="auto"/>
          <w:sz w:val="32"/>
          <w:szCs w:val="32"/>
          <w:highlight w:val="none"/>
          <w:lang w:val="en-US" w:eastAsia="zh-CN"/>
        </w:rPr>
        <w:t>思想，初步探讨该区的构造演化历史，认为并非前人认为的前陆盆地。且该区具有寻找铜镍矿的找矿前景。</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default" w:cs="宋体"/>
          <w:color w:val="auto"/>
          <w:spacing w:val="-4"/>
          <w:sz w:val="32"/>
          <w:szCs w:val="32"/>
          <w:highlight w:val="none"/>
          <w:lang w:val="en-US" w:eastAsia="zh-CN"/>
        </w:rPr>
      </w:pPr>
      <w:r>
        <w:rPr>
          <w:rFonts w:hint="eastAsia" w:cs="宋体"/>
          <w:color w:val="auto"/>
          <w:spacing w:val="-4"/>
          <w:sz w:val="32"/>
          <w:szCs w:val="32"/>
          <w:highlight w:val="none"/>
          <w:lang w:val="en-US" w:eastAsia="zh-CN"/>
        </w:rPr>
        <w:t>3）查证评价</w:t>
      </w:r>
    </w:p>
    <w:p>
      <w:pPr>
        <w:pStyle w:val="12"/>
        <w:keepNext w:val="0"/>
        <w:keepLines w:val="0"/>
        <w:pageBreakBefore w:val="0"/>
        <w:widowControl w:val="0"/>
        <w:kinsoku/>
        <w:wordWrap/>
        <w:overflowPunct/>
        <w:topLinePunct w:val="0"/>
        <w:autoSpaceDE/>
        <w:autoSpaceDN/>
        <w:bidi w:val="0"/>
        <w:adjustRightInd w:val="0"/>
        <w:snapToGrid w:val="0"/>
        <w:spacing w:line="360" w:lineRule="auto"/>
        <w:ind w:firstLine="562"/>
        <w:textAlignment w:val="auto"/>
        <w:rPr>
          <w:rFonts w:hint="eastAsia" w:ascii="仿宋" w:hAnsi="仿宋" w:eastAsia="仿宋"/>
          <w:b/>
          <w:bCs w:val="0"/>
          <w:color w:val="auto"/>
          <w:sz w:val="32"/>
          <w:szCs w:val="32"/>
          <w:highlight w:val="none"/>
          <w:lang w:val="en-US" w:eastAsia="zh-CN"/>
        </w:rPr>
      </w:pPr>
      <w:r>
        <w:rPr>
          <w:rFonts w:hint="eastAsia" w:ascii="仿宋" w:hAnsi="仿宋" w:eastAsia="仿宋"/>
          <w:color w:val="auto"/>
          <w:sz w:val="32"/>
          <w:szCs w:val="32"/>
        </w:rPr>
        <w:t>根据成矿地质条件和各类找矿信息，</w:t>
      </w:r>
      <w:r>
        <w:rPr>
          <w:rFonts w:hint="eastAsia" w:ascii="仿宋" w:hAnsi="仿宋"/>
          <w:color w:val="auto"/>
          <w:sz w:val="32"/>
          <w:szCs w:val="32"/>
          <w:lang w:val="en-US" w:eastAsia="zh-CN"/>
        </w:rPr>
        <w:t>2022年选取4个</w:t>
      </w:r>
      <w:r>
        <w:rPr>
          <w:rFonts w:hint="eastAsia" w:ascii="仿宋" w:hAnsi="仿宋" w:eastAsia="仿宋"/>
          <w:color w:val="auto"/>
          <w:sz w:val="32"/>
          <w:szCs w:val="32"/>
        </w:rPr>
        <w:t>重要</w:t>
      </w:r>
      <w:r>
        <w:rPr>
          <w:rFonts w:hint="eastAsia" w:ascii="仿宋" w:hAnsi="仿宋" w:eastAsia="仿宋"/>
          <w:color w:val="auto"/>
          <w:sz w:val="32"/>
          <w:szCs w:val="32"/>
          <w:lang w:val="en-US" w:eastAsia="zh-CN"/>
        </w:rPr>
        <w:t>查证</w:t>
      </w:r>
      <w:r>
        <w:rPr>
          <w:rFonts w:hint="eastAsia" w:ascii="仿宋" w:hAnsi="仿宋" w:eastAsia="仿宋"/>
          <w:color w:val="auto"/>
          <w:sz w:val="32"/>
          <w:szCs w:val="32"/>
        </w:rPr>
        <w:t>区</w:t>
      </w:r>
      <w:r>
        <w:rPr>
          <w:rFonts w:hint="eastAsia" w:ascii="仿宋" w:hAnsi="仿宋"/>
          <w:color w:val="auto"/>
          <w:sz w:val="32"/>
          <w:szCs w:val="32"/>
          <w:lang w:val="en-US" w:eastAsia="zh-CN"/>
        </w:rPr>
        <w:t>开展查证工作</w:t>
      </w:r>
      <w:r>
        <w:rPr>
          <w:rFonts w:hint="eastAsia" w:ascii="仿宋" w:hAnsi="仿宋" w:eastAsia="仿宋"/>
          <w:color w:val="auto"/>
          <w:sz w:val="32"/>
          <w:szCs w:val="32"/>
        </w:rPr>
        <w:t>，</w:t>
      </w:r>
      <w:r>
        <w:rPr>
          <w:rFonts w:hint="eastAsia" w:ascii="仿宋" w:hAnsi="仿宋"/>
          <w:color w:val="auto"/>
          <w:sz w:val="32"/>
          <w:szCs w:val="32"/>
          <w:lang w:val="en-US" w:eastAsia="zh-CN"/>
        </w:rPr>
        <w:t>分别为</w:t>
      </w:r>
      <w:r>
        <w:rPr>
          <w:rFonts w:hint="eastAsia" w:ascii="仿宋" w:hAnsi="仿宋" w:eastAsia="仿宋"/>
          <w:b/>
          <w:bCs/>
          <w:color w:val="auto"/>
          <w:sz w:val="32"/>
          <w:szCs w:val="32"/>
        </w:rPr>
        <w:t>奥依切克重点</w:t>
      </w:r>
      <w:r>
        <w:rPr>
          <w:rFonts w:hint="eastAsia" w:ascii="仿宋" w:hAnsi="仿宋" w:eastAsia="仿宋"/>
          <w:b/>
          <w:bCs/>
          <w:color w:val="auto"/>
          <w:sz w:val="32"/>
          <w:szCs w:val="32"/>
          <w:lang w:val="en-US" w:eastAsia="zh-CN"/>
        </w:rPr>
        <w:t>查证区、</w:t>
      </w:r>
      <w:r>
        <w:rPr>
          <w:rFonts w:hint="eastAsia" w:ascii="仿宋" w:hAnsi="仿宋" w:eastAsia="仿宋"/>
          <w:b/>
          <w:color w:val="auto"/>
          <w:sz w:val="32"/>
          <w:szCs w:val="32"/>
        </w:rPr>
        <w:t>谷顶雪山重点</w:t>
      </w:r>
      <w:r>
        <w:rPr>
          <w:rFonts w:hint="eastAsia" w:ascii="仿宋" w:hAnsi="仿宋" w:eastAsia="仿宋"/>
          <w:b/>
          <w:color w:val="auto"/>
          <w:sz w:val="32"/>
          <w:szCs w:val="32"/>
          <w:lang w:val="en-US" w:eastAsia="zh-CN"/>
        </w:rPr>
        <w:t>查证区、</w:t>
      </w:r>
      <w:r>
        <w:rPr>
          <w:rFonts w:hint="eastAsia" w:ascii="仿宋" w:hAnsi="仿宋" w:eastAsia="仿宋"/>
          <w:b/>
          <w:bCs w:val="0"/>
          <w:color w:val="auto"/>
          <w:sz w:val="32"/>
          <w:szCs w:val="32"/>
        </w:rPr>
        <w:t>鱼尾山-迪拉山口重点</w:t>
      </w:r>
      <w:r>
        <w:rPr>
          <w:rFonts w:hint="eastAsia" w:ascii="仿宋" w:hAnsi="仿宋" w:eastAsia="仿宋"/>
          <w:b/>
          <w:bCs w:val="0"/>
          <w:color w:val="auto"/>
          <w:sz w:val="32"/>
          <w:szCs w:val="32"/>
          <w:lang w:val="en-US" w:eastAsia="zh-CN"/>
        </w:rPr>
        <w:t>查证区和</w:t>
      </w:r>
      <w:r>
        <w:rPr>
          <w:rFonts w:hint="eastAsia" w:ascii="仿宋" w:hAnsi="仿宋" w:eastAsia="仿宋"/>
          <w:b/>
          <w:bCs w:val="0"/>
          <w:color w:val="auto"/>
          <w:sz w:val="32"/>
          <w:szCs w:val="32"/>
          <w:highlight w:val="none"/>
          <w:lang w:val="en-US" w:eastAsia="zh-CN"/>
        </w:rPr>
        <w:t>风口沟</w:t>
      </w:r>
      <w:r>
        <w:rPr>
          <w:rFonts w:hint="eastAsia" w:ascii="仿宋" w:hAnsi="仿宋" w:eastAsia="仿宋"/>
          <w:b/>
          <w:bCs w:val="0"/>
          <w:color w:val="auto"/>
          <w:sz w:val="32"/>
          <w:szCs w:val="32"/>
          <w:highlight w:val="none"/>
        </w:rPr>
        <w:t>重点</w:t>
      </w:r>
      <w:r>
        <w:rPr>
          <w:rFonts w:hint="eastAsia" w:ascii="仿宋" w:hAnsi="仿宋" w:eastAsia="仿宋"/>
          <w:b/>
          <w:bCs w:val="0"/>
          <w:color w:val="auto"/>
          <w:sz w:val="32"/>
          <w:szCs w:val="32"/>
          <w:highlight w:val="none"/>
          <w:lang w:val="en-US" w:eastAsia="zh-CN"/>
        </w:rPr>
        <w:t>查证区。</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eastAsia" w:ascii="仿宋" w:hAnsi="仿宋" w:eastAsia="仿宋" w:cs="宋体"/>
          <w:color w:val="auto"/>
          <w:sz w:val="32"/>
          <w:szCs w:val="32"/>
        </w:rPr>
      </w:pPr>
      <w:r>
        <w:rPr>
          <w:rFonts w:hint="eastAsia" w:ascii="仿宋" w:hAnsi="仿宋" w:eastAsia="仿宋"/>
          <w:b/>
          <w:bCs w:val="0"/>
          <w:color w:val="auto"/>
          <w:sz w:val="32"/>
          <w:szCs w:val="32"/>
          <w:highlight w:val="none"/>
          <w:lang w:val="en-US" w:eastAsia="zh-CN"/>
        </w:rPr>
        <w:t>在风口沟重点查证区</w:t>
      </w:r>
      <w:r>
        <w:rPr>
          <w:rFonts w:hint="eastAsia" w:ascii="仿宋" w:hAnsi="仿宋" w:eastAsia="仿宋" w:cs="宋体"/>
          <w:color w:val="auto"/>
          <w:sz w:val="32"/>
          <w:szCs w:val="32"/>
        </w:rPr>
        <w:t>发现了枕状玄武岩。在其北部银石山，出露有花岗斑岩体，呈现多元素富集特征。银石山岩体东部铜矿石英岩转石，矿石模式5点检测，铜含量为0.28%、2.08% 、2.42 % 、4.47% 、10.82%，平均4.07%。同时检测到的元素还有银0.0116%及铅、锌、镉、砷等。银石山岩体（内）东部见铜矿化斑状花岗岩，含铜矿物主要是黝铜矿或砷黝铜矿，野外检测高铜83002×10</w:t>
      </w:r>
      <w:r>
        <w:rPr>
          <w:rFonts w:hint="eastAsia" w:ascii="仿宋" w:hAnsi="仿宋" w:eastAsia="仿宋" w:cs="宋体"/>
          <w:color w:val="auto"/>
          <w:sz w:val="32"/>
          <w:szCs w:val="32"/>
          <w:vertAlign w:val="superscript"/>
        </w:rPr>
        <w:t>-6</w:t>
      </w:r>
      <w:r>
        <w:rPr>
          <w:rFonts w:hint="eastAsia" w:ascii="仿宋" w:hAnsi="仿宋" w:eastAsia="仿宋" w:cs="宋体"/>
          <w:color w:val="auto"/>
          <w:sz w:val="32"/>
          <w:szCs w:val="32"/>
        </w:rPr>
        <w:t xml:space="preserve"> 、高砷215764×10</w:t>
      </w:r>
      <w:r>
        <w:rPr>
          <w:rFonts w:hint="eastAsia" w:ascii="仿宋" w:hAnsi="仿宋" w:eastAsia="仿宋" w:cs="宋体"/>
          <w:color w:val="auto"/>
          <w:sz w:val="32"/>
          <w:szCs w:val="32"/>
          <w:vertAlign w:val="superscript"/>
        </w:rPr>
        <w:t>-6</w:t>
      </w:r>
      <w:r>
        <w:rPr>
          <w:rFonts w:hint="eastAsia" w:ascii="仿宋" w:hAnsi="仿宋" w:eastAsia="仿宋" w:cs="宋体"/>
          <w:color w:val="auto"/>
          <w:sz w:val="32"/>
          <w:szCs w:val="32"/>
        </w:rPr>
        <w:t>、高锑16052×10</w:t>
      </w:r>
      <w:r>
        <w:rPr>
          <w:rFonts w:hint="eastAsia" w:ascii="仿宋" w:hAnsi="仿宋" w:eastAsia="仿宋" w:cs="宋体"/>
          <w:color w:val="auto"/>
          <w:sz w:val="32"/>
          <w:szCs w:val="32"/>
          <w:vertAlign w:val="superscript"/>
        </w:rPr>
        <w:t>-6</w:t>
      </w:r>
      <w:r>
        <w:rPr>
          <w:rFonts w:hint="eastAsia" w:ascii="仿宋" w:hAnsi="仿宋" w:eastAsia="仿宋" w:cs="宋体"/>
          <w:color w:val="auto"/>
          <w:sz w:val="32"/>
          <w:szCs w:val="32"/>
        </w:rPr>
        <w:t>、高银368.44×10</w:t>
      </w:r>
      <w:r>
        <w:rPr>
          <w:rFonts w:hint="eastAsia" w:ascii="仿宋" w:hAnsi="仿宋" w:eastAsia="仿宋" w:cs="宋体"/>
          <w:color w:val="auto"/>
          <w:sz w:val="32"/>
          <w:szCs w:val="32"/>
          <w:vertAlign w:val="superscript"/>
        </w:rPr>
        <w:t>-6</w:t>
      </w:r>
      <w:r>
        <w:rPr>
          <w:rFonts w:hint="eastAsia" w:ascii="仿宋" w:hAnsi="仿宋" w:eastAsia="仿宋" w:cs="宋体"/>
          <w:color w:val="auto"/>
          <w:sz w:val="32"/>
          <w:szCs w:val="32"/>
        </w:rPr>
        <w:t>、高铁409323×10</w:t>
      </w:r>
      <w:r>
        <w:rPr>
          <w:rFonts w:hint="eastAsia" w:ascii="仿宋" w:hAnsi="仿宋" w:eastAsia="仿宋" w:cs="宋体"/>
          <w:color w:val="auto"/>
          <w:sz w:val="32"/>
          <w:szCs w:val="32"/>
          <w:vertAlign w:val="superscript"/>
        </w:rPr>
        <w:t>-6</w:t>
      </w:r>
      <w:r>
        <w:rPr>
          <w:rFonts w:hint="eastAsia" w:ascii="仿宋" w:hAnsi="仿宋" w:eastAsia="仿宋" w:cs="宋体"/>
          <w:color w:val="auto"/>
          <w:sz w:val="32"/>
          <w:szCs w:val="32"/>
        </w:rPr>
        <w:t>、高硫11491×10</w:t>
      </w:r>
      <w:r>
        <w:rPr>
          <w:rFonts w:hint="eastAsia" w:ascii="仿宋" w:hAnsi="仿宋" w:eastAsia="仿宋" w:cs="宋体"/>
          <w:color w:val="auto"/>
          <w:sz w:val="32"/>
          <w:szCs w:val="32"/>
          <w:vertAlign w:val="superscript"/>
        </w:rPr>
        <w:t>-6</w:t>
      </w:r>
      <w:r>
        <w:rPr>
          <w:rFonts w:hint="eastAsia" w:ascii="仿宋" w:hAnsi="仿宋" w:eastAsia="仿宋" w:cs="宋体"/>
          <w:color w:val="auto"/>
          <w:sz w:val="32"/>
          <w:szCs w:val="32"/>
        </w:rPr>
        <w:t>。初步</w:t>
      </w:r>
      <w:r>
        <w:rPr>
          <w:rFonts w:hint="eastAsia" w:ascii="仿宋" w:hAnsi="仿宋" w:eastAsia="仿宋" w:cs="宋体"/>
          <w:color w:val="auto"/>
          <w:sz w:val="32"/>
          <w:szCs w:val="32"/>
          <w:lang w:val="en-US" w:eastAsia="zh-CN"/>
        </w:rPr>
        <w:t>在</w:t>
      </w:r>
      <w:r>
        <w:rPr>
          <w:rFonts w:hint="eastAsia" w:ascii="仿宋" w:hAnsi="仿宋" w:eastAsia="仿宋" w:cs="宋体"/>
          <w:color w:val="auto"/>
          <w:sz w:val="32"/>
          <w:szCs w:val="32"/>
        </w:rPr>
        <w:t>核心区发现银、铜、铁、重晶石、黑钨矿化普遍），碎裂变质细中粒石英砂岩：锡石(12%)-毒砂(1%)-黄铜矿(少)-萤石(6%)-钛磁铁矿(少)-褐铁矿(6%)。各类矿化转石及露头沿银石山斑状花岗岩及岩体东部分布，集中在东西长3.8千米、南北宽1千米范围内。</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default"/>
          <w:color w:val="auto"/>
          <w:spacing w:val="-1"/>
          <w:sz w:val="32"/>
          <w:szCs w:val="32"/>
          <w:highlight w:val="none"/>
          <w:lang w:val="en-US" w:eastAsia="zh-CN"/>
        </w:rPr>
      </w:pPr>
      <w:r>
        <w:rPr>
          <w:rFonts w:hint="eastAsia"/>
          <w:color w:val="auto"/>
          <w:spacing w:val="-1"/>
          <w:sz w:val="32"/>
          <w:szCs w:val="32"/>
          <w:highlight w:val="none"/>
          <w:lang w:val="en-US" w:eastAsia="zh-CN"/>
        </w:rPr>
        <w:t>3.资金投入和使用情况</w:t>
      </w:r>
    </w:p>
    <w:p>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Courier New"/>
          <w:color w:val="auto"/>
          <w:kern w:val="0"/>
          <w:sz w:val="32"/>
          <w:szCs w:val="32"/>
        </w:rPr>
      </w:pPr>
      <w:r>
        <w:rPr>
          <w:rFonts w:hint="eastAsia" w:ascii="仿宋_GB2312" w:eastAsia="仿宋_GB2312"/>
          <w:color w:val="auto"/>
          <w:sz w:val="32"/>
          <w:szCs w:val="32"/>
          <w:highlight w:val="none"/>
        </w:rPr>
        <w:t>2</w:t>
      </w:r>
      <w:r>
        <w:rPr>
          <w:rFonts w:ascii="仿宋_GB2312" w:eastAsia="仿宋_GB2312"/>
          <w:color w:val="auto"/>
          <w:sz w:val="32"/>
          <w:szCs w:val="32"/>
          <w:highlight w:val="none"/>
        </w:rPr>
        <w:t>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w:t>
      </w:r>
      <w:r>
        <w:rPr>
          <w:rFonts w:hint="eastAsia" w:ascii="仿宋" w:hAnsi="仿宋" w:eastAsia="仿宋" w:cs="Courier New"/>
          <w:color w:val="auto"/>
          <w:kern w:val="0"/>
          <w:sz w:val="32"/>
          <w:szCs w:val="32"/>
        </w:rPr>
        <w:t>项目经费</w:t>
      </w:r>
      <w:r>
        <w:rPr>
          <w:rFonts w:hint="eastAsia" w:ascii="仿宋" w:hAnsi="仿宋" w:eastAsia="仿宋" w:cs="Courier New"/>
          <w:color w:val="auto"/>
          <w:kern w:val="0"/>
          <w:sz w:val="32"/>
          <w:szCs w:val="32"/>
          <w:lang w:val="en-US" w:eastAsia="zh-CN"/>
        </w:rPr>
        <w:t>60.5</w:t>
      </w:r>
      <w:r>
        <w:rPr>
          <w:rFonts w:hint="eastAsia" w:ascii="仿宋" w:hAnsi="仿宋" w:eastAsia="仿宋" w:cs="Courier New"/>
          <w:color w:val="auto"/>
          <w:kern w:val="0"/>
          <w:sz w:val="32"/>
          <w:szCs w:val="32"/>
        </w:rPr>
        <w:t>万元。其中，局出资53.4万元，单位出资</w:t>
      </w:r>
      <w:r>
        <w:rPr>
          <w:rFonts w:hint="eastAsia" w:ascii="仿宋" w:hAnsi="仿宋" w:eastAsia="仿宋" w:cs="Courier New"/>
          <w:color w:val="auto"/>
          <w:kern w:val="0"/>
          <w:sz w:val="32"/>
          <w:szCs w:val="32"/>
          <w:lang w:val="en-US" w:eastAsia="zh-CN"/>
        </w:rPr>
        <w:t>7.1</w:t>
      </w:r>
      <w:r>
        <w:rPr>
          <w:rFonts w:hint="eastAsia" w:ascii="仿宋" w:hAnsi="仿宋" w:eastAsia="仿宋" w:cs="Courier New"/>
          <w:color w:val="auto"/>
          <w:kern w:val="0"/>
          <w:sz w:val="32"/>
          <w:szCs w:val="32"/>
        </w:rPr>
        <w:t>万元。</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firstLine="0" w:firstLineChars="0"/>
        <w:textAlignment w:val="baseline"/>
        <w:rPr>
          <w:spacing w:val="9"/>
          <w:sz w:val="32"/>
          <w:szCs w:val="32"/>
          <w:highlight w:val="none"/>
        </w:rPr>
      </w:pPr>
      <w:r>
        <w:rPr>
          <w:rFonts w:hint="eastAsia"/>
          <w:spacing w:val="9"/>
          <w:sz w:val="32"/>
          <w:szCs w:val="32"/>
          <w:highlight w:val="none"/>
          <w:lang w:val="en-US" w:eastAsia="zh-CN"/>
        </w:rPr>
        <w:t xml:space="preserve">    </w:t>
      </w:r>
      <w:r>
        <w:rPr>
          <w:spacing w:val="9"/>
          <w:sz w:val="32"/>
          <w:szCs w:val="32"/>
          <w:highlight w:val="none"/>
        </w:rPr>
        <w:t>(二)项目绩效目标。包括总体目标和阶段性目标。</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textAlignment w:val="baseline"/>
        <w:rPr>
          <w:rFonts w:hint="default"/>
          <w:color w:val="auto"/>
          <w:spacing w:val="-1"/>
          <w:sz w:val="32"/>
          <w:szCs w:val="32"/>
          <w:highlight w:val="none"/>
          <w:lang w:val="en-US" w:eastAsia="zh-CN"/>
        </w:rPr>
      </w:pPr>
      <w:r>
        <w:rPr>
          <w:rFonts w:hint="eastAsia"/>
          <w:color w:val="auto"/>
          <w:spacing w:val="-1"/>
          <w:sz w:val="32"/>
          <w:szCs w:val="32"/>
          <w:highlight w:val="none"/>
          <w:lang w:val="en-US" w:eastAsia="zh-CN"/>
        </w:rPr>
        <w:t xml:space="preserve">    1.总体目标</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eastAsia" w:ascii="仿宋" w:hAnsi="仿宋" w:eastAsia="仿宋" w:cs="宋体"/>
          <w:color w:val="auto"/>
          <w:spacing w:val="-4"/>
          <w:sz w:val="32"/>
          <w:szCs w:val="32"/>
          <w:highlight w:val="none"/>
        </w:rPr>
      </w:pPr>
      <w:r>
        <w:rPr>
          <w:rFonts w:hint="eastAsia" w:ascii="仿宋" w:hAnsi="仿宋" w:eastAsia="仿宋" w:cs="宋体"/>
          <w:color w:val="auto"/>
          <w:spacing w:val="-4"/>
          <w:sz w:val="32"/>
          <w:szCs w:val="32"/>
          <w:highlight w:val="none"/>
        </w:rPr>
        <w:t>以新认识、新理论为指导，通过资料的分析研究和已有矿化线索，圈定新找矿靶区，对具有找矿前景的化探异常开展在充分收集、分析研究和田地区地质、矿产、物探、化探、遥感及相关科研文献等资料，系统总结有色、稀有等优势矿产区域成矿地质条件和成矿规律，开展综合研究和靶区优选工作。采用遥感解译、路线地质调查、专项填图、地物化剖面及采样分析等工作手段，对重要靶区及重要找矿线索进行评价。针对区内科马提岩侵入岩浆活动及成矿效应开展研究。编制区域成矿规律图和矿产预测图，为勘查工作部署提供合理建议。</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textAlignment w:val="baseline"/>
        <w:rPr>
          <w:rFonts w:hint="default"/>
          <w:color w:val="auto"/>
          <w:spacing w:val="-1"/>
          <w:sz w:val="32"/>
          <w:szCs w:val="32"/>
          <w:highlight w:val="none"/>
          <w:lang w:val="en-US" w:eastAsia="zh-CN"/>
        </w:rPr>
      </w:pPr>
      <w:r>
        <w:rPr>
          <w:rFonts w:hint="eastAsia"/>
          <w:color w:val="auto"/>
          <w:spacing w:val="-1"/>
          <w:sz w:val="32"/>
          <w:szCs w:val="32"/>
          <w:highlight w:val="none"/>
          <w:lang w:val="en-US" w:eastAsia="zh-CN"/>
        </w:rPr>
        <w:t xml:space="preserve">    2.阶段性目标</w:t>
      </w:r>
    </w:p>
    <w:p>
      <w:pPr>
        <w:keepNext w:val="0"/>
        <w:keepLines w:val="0"/>
        <w:pageBreakBefore w:val="0"/>
        <w:kinsoku/>
        <w:wordWrap/>
        <w:overflowPunct/>
        <w:topLinePunct w:val="0"/>
        <w:autoSpaceDE/>
        <w:autoSpaceDN/>
        <w:bidi w:val="0"/>
        <w:adjustRightInd w:val="0"/>
        <w:snapToGrid w:val="0"/>
        <w:spacing w:line="360" w:lineRule="auto"/>
        <w:ind w:firstLine="624" w:firstLineChars="200"/>
        <w:jc w:val="left"/>
        <w:textAlignment w:val="auto"/>
        <w:rPr>
          <w:rFonts w:hint="eastAsia" w:ascii="仿宋" w:hAnsi="仿宋" w:eastAsia="仿宋" w:cs="宋体"/>
          <w:color w:val="auto"/>
          <w:spacing w:val="-4"/>
          <w:sz w:val="32"/>
          <w:szCs w:val="32"/>
        </w:rPr>
      </w:pPr>
      <w:r>
        <w:rPr>
          <w:rFonts w:hint="eastAsia" w:ascii="仿宋" w:hAnsi="仿宋" w:eastAsia="仿宋" w:cs="宋体"/>
          <w:color w:val="auto"/>
          <w:spacing w:val="-4"/>
          <w:sz w:val="32"/>
          <w:szCs w:val="32"/>
        </w:rPr>
        <w:t>1</w:t>
      </w:r>
      <w:r>
        <w:rPr>
          <w:rFonts w:hint="eastAsia" w:ascii="仿宋" w:hAnsi="仿宋" w:eastAsia="仿宋" w:cs="宋体"/>
          <w:color w:val="auto"/>
          <w:spacing w:val="-4"/>
          <w:sz w:val="32"/>
          <w:szCs w:val="32"/>
          <w:lang w:eastAsia="zh-CN"/>
        </w:rPr>
        <w:t>）</w:t>
      </w:r>
      <w:r>
        <w:rPr>
          <w:rFonts w:hint="eastAsia" w:ascii="仿宋" w:hAnsi="仿宋" w:eastAsia="仿宋" w:cs="宋体"/>
          <w:color w:val="auto"/>
          <w:spacing w:val="-4"/>
          <w:sz w:val="32"/>
          <w:szCs w:val="32"/>
        </w:rPr>
        <w:t>充分收集研究已有地质、矿产、物探、化探、遥感、科研文献等资料，深化区域成矿规律认识，开展和田地区有色、稀有等优势矿产资源靶区优选。</w:t>
      </w:r>
    </w:p>
    <w:p>
      <w:pPr>
        <w:keepNext w:val="0"/>
        <w:keepLines w:val="0"/>
        <w:pageBreakBefore w:val="0"/>
        <w:kinsoku/>
        <w:wordWrap/>
        <w:overflowPunct/>
        <w:topLinePunct w:val="0"/>
        <w:autoSpaceDE/>
        <w:autoSpaceDN/>
        <w:bidi w:val="0"/>
        <w:adjustRightInd w:val="0"/>
        <w:snapToGrid w:val="0"/>
        <w:spacing w:line="360" w:lineRule="auto"/>
        <w:ind w:firstLine="624" w:firstLineChars="200"/>
        <w:jc w:val="left"/>
        <w:textAlignment w:val="auto"/>
        <w:rPr>
          <w:rFonts w:hint="eastAsia" w:ascii="仿宋" w:hAnsi="仿宋" w:eastAsia="仿宋" w:cs="宋体"/>
          <w:color w:val="auto"/>
          <w:spacing w:val="-4"/>
          <w:sz w:val="32"/>
          <w:szCs w:val="32"/>
        </w:rPr>
      </w:pPr>
      <w:r>
        <w:rPr>
          <w:rFonts w:hint="eastAsia" w:ascii="仿宋" w:hAnsi="仿宋" w:eastAsia="仿宋" w:cs="宋体"/>
          <w:color w:val="auto"/>
          <w:spacing w:val="-4"/>
          <w:sz w:val="32"/>
          <w:szCs w:val="32"/>
        </w:rPr>
        <w:t>2</w:t>
      </w:r>
      <w:r>
        <w:rPr>
          <w:rFonts w:hint="eastAsia" w:ascii="仿宋" w:hAnsi="仿宋" w:eastAsia="仿宋" w:cs="宋体"/>
          <w:color w:val="auto"/>
          <w:spacing w:val="-4"/>
          <w:sz w:val="32"/>
          <w:szCs w:val="32"/>
          <w:lang w:eastAsia="zh-CN"/>
        </w:rPr>
        <w:t>）</w:t>
      </w:r>
      <w:r>
        <w:rPr>
          <w:rFonts w:hint="eastAsia" w:ascii="仿宋" w:hAnsi="仿宋" w:eastAsia="仿宋" w:cs="宋体"/>
          <w:color w:val="auto"/>
          <w:spacing w:val="-4"/>
          <w:sz w:val="32"/>
          <w:szCs w:val="32"/>
        </w:rPr>
        <w:t>在阿羌、鱼尾山等重点找矿有利区，采用遥感解译、路线地质调查、地（物）化剖面测量等方法手段，进行异常查证工作</w:t>
      </w:r>
    </w:p>
    <w:p>
      <w:pPr>
        <w:keepNext w:val="0"/>
        <w:keepLines w:val="0"/>
        <w:pageBreakBefore w:val="0"/>
        <w:kinsoku/>
        <w:wordWrap/>
        <w:overflowPunct/>
        <w:topLinePunct w:val="0"/>
        <w:autoSpaceDE/>
        <w:autoSpaceDN/>
        <w:bidi w:val="0"/>
        <w:adjustRightInd w:val="0"/>
        <w:snapToGrid w:val="0"/>
        <w:spacing w:line="360" w:lineRule="auto"/>
        <w:ind w:firstLine="624" w:firstLineChars="200"/>
        <w:jc w:val="left"/>
        <w:textAlignment w:val="auto"/>
        <w:rPr>
          <w:rFonts w:hint="eastAsia" w:ascii="仿宋" w:hAnsi="仿宋" w:eastAsia="仿宋" w:cs="宋体"/>
          <w:color w:val="auto"/>
          <w:spacing w:val="-4"/>
          <w:sz w:val="32"/>
          <w:szCs w:val="32"/>
        </w:rPr>
      </w:pPr>
      <w:r>
        <w:rPr>
          <w:rFonts w:hint="eastAsia" w:ascii="仿宋" w:hAnsi="仿宋" w:eastAsia="仿宋" w:cs="宋体"/>
          <w:color w:val="auto"/>
          <w:spacing w:val="-4"/>
          <w:sz w:val="32"/>
          <w:szCs w:val="32"/>
        </w:rPr>
        <w:t>3</w:t>
      </w:r>
      <w:r>
        <w:rPr>
          <w:rFonts w:hint="eastAsia" w:ascii="仿宋" w:hAnsi="仿宋" w:eastAsia="仿宋" w:cs="宋体"/>
          <w:color w:val="auto"/>
          <w:spacing w:val="-4"/>
          <w:sz w:val="32"/>
          <w:szCs w:val="32"/>
          <w:lang w:eastAsia="zh-CN"/>
        </w:rPr>
        <w:t>）</w:t>
      </w:r>
      <w:r>
        <w:rPr>
          <w:rFonts w:hint="eastAsia" w:ascii="仿宋" w:hAnsi="仿宋" w:eastAsia="仿宋" w:cs="宋体"/>
          <w:color w:val="auto"/>
          <w:spacing w:val="-4"/>
          <w:sz w:val="32"/>
          <w:szCs w:val="32"/>
        </w:rPr>
        <w:t>在科马提岩出露区，通过专项填图和系统的样品采集、分析等手段，开展侵入岩浆活动及成矿效应研究。</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spacing w:val="9"/>
          <w:sz w:val="32"/>
          <w:szCs w:val="32"/>
          <w:highlight w:val="yellow"/>
        </w:rPr>
      </w:pPr>
      <w:r>
        <w:rPr>
          <w:rFonts w:hint="eastAsia" w:ascii="仿宋" w:hAnsi="仿宋" w:eastAsia="仿宋" w:cs="宋体"/>
          <w:color w:val="auto"/>
          <w:spacing w:val="-4"/>
          <w:sz w:val="32"/>
          <w:szCs w:val="32"/>
          <w:highlight w:val="none"/>
        </w:rPr>
        <w:t>4</w:t>
      </w:r>
      <w:bookmarkStart w:id="0" w:name="_Hlk124678103"/>
      <w:r>
        <w:rPr>
          <w:rFonts w:hint="eastAsia" w:ascii="仿宋" w:hAnsi="仿宋" w:eastAsia="仿宋" w:cs="宋体"/>
          <w:color w:val="auto"/>
          <w:spacing w:val="-4"/>
          <w:sz w:val="32"/>
          <w:szCs w:val="32"/>
          <w:lang w:eastAsia="zh-CN"/>
        </w:rPr>
        <w:t>）</w:t>
      </w:r>
      <w:r>
        <w:rPr>
          <w:rFonts w:hint="eastAsia" w:ascii="仿宋" w:hAnsi="仿宋" w:eastAsia="仿宋" w:cs="宋体"/>
          <w:color w:val="auto"/>
          <w:spacing w:val="-4"/>
          <w:sz w:val="32"/>
          <w:szCs w:val="32"/>
          <w:highlight w:val="none"/>
        </w:rPr>
        <w:t>深入研究分析区内成矿地质条件，系统总结重要战略性矿产的成矿规律、控矿要素和找矿标志，开展资源潜力评价，编制研究区重要战略性矿产资源成矿规律和靶区优选系列图件</w:t>
      </w:r>
      <w:bookmarkEnd w:id="0"/>
      <w:r>
        <w:rPr>
          <w:rFonts w:hint="eastAsia" w:ascii="仿宋" w:hAnsi="仿宋" w:eastAsia="仿宋" w:cs="宋体"/>
          <w:color w:val="auto"/>
          <w:spacing w:val="-4"/>
          <w:sz w:val="32"/>
          <w:szCs w:val="32"/>
          <w:highlight w:val="none"/>
        </w:rPr>
        <w:t>。</w:t>
      </w:r>
    </w:p>
    <w:p>
      <w:pPr>
        <w:spacing w:before="263" w:line="221" w:lineRule="auto"/>
        <w:ind w:left="564"/>
        <w:outlineLvl w:val="1"/>
        <w:rPr>
          <w:rFonts w:ascii="黑体" w:hAnsi="黑体" w:eastAsia="黑体" w:cs="黑体"/>
          <w:sz w:val="29"/>
          <w:szCs w:val="29"/>
        </w:rPr>
      </w:pPr>
      <w:r>
        <w:rPr>
          <w:rFonts w:ascii="黑体" w:hAnsi="黑体" w:eastAsia="黑体" w:cs="黑体"/>
          <w:b/>
          <w:bCs/>
          <w:spacing w:val="-6"/>
          <w:sz w:val="29"/>
          <w:szCs w:val="29"/>
        </w:rPr>
        <w:t>二</w:t>
      </w:r>
      <w:r>
        <w:rPr>
          <w:rFonts w:ascii="黑体" w:hAnsi="黑体" w:eastAsia="黑体" w:cs="黑体"/>
          <w:spacing w:val="-38"/>
          <w:sz w:val="29"/>
          <w:szCs w:val="29"/>
        </w:rPr>
        <w:t xml:space="preserve"> </w:t>
      </w:r>
      <w:r>
        <w:rPr>
          <w:rFonts w:ascii="黑体" w:hAnsi="黑体" w:eastAsia="黑体" w:cs="黑体"/>
          <w:b/>
          <w:bCs/>
          <w:spacing w:val="-6"/>
          <w:sz w:val="29"/>
          <w:szCs w:val="29"/>
        </w:rPr>
        <w:t>、绩效评价工作开展情况</w:t>
      </w:r>
    </w:p>
    <w:p>
      <w:pPr>
        <w:pStyle w:val="4"/>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绩效评价目的、对象和范围。</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1、绩效评价目的：为全面实施预算绩效管理，建立科学、合理的项目支出绩效评价管理体系，提高财政资源配置效率和使用效益，依据设定的绩效目标，对项目支出的经济性、效率性、效益性和公平性进行客观、公正的测量、分析和评判。</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2、绩效评价对象：运用科学、规范的绩效评价方法，按照财政部《关于印发&lt;项目支出绩效评价管理办法&gt;的通知》，对《野外应急救援队伍建设补助》项目进行科学评价，购置资金项目预算编制合理性、资金使用合规性、项目管理的规范性、项目目标的实现情况、服务对象的满意度等，通过本次绩效评价来总结经验和教训，促进项目成果转化和应用，为今后类似项目的长效管理，提供可行性参考建议</w:t>
      </w:r>
      <w:r>
        <w:rPr>
          <w:rFonts w:hint="eastAsia" w:ascii="仿宋" w:hAnsi="仿宋" w:eastAsia="仿宋" w:cs="仿宋"/>
          <w:spacing w:val="12"/>
          <w:sz w:val="32"/>
          <w:szCs w:val="32"/>
          <w:lang w:eastAsia="zh-CN"/>
        </w:rPr>
        <w:t>。</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3、绩效评价范围：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rPr>
        <w:t>(二)绩效评价原则、评价指标体系(附表说明)、评价方法</w:t>
      </w:r>
      <w:r>
        <w:rPr>
          <w:rFonts w:hint="eastAsia" w:cs="仿宋"/>
          <w:spacing w:val="12"/>
          <w:sz w:val="32"/>
          <w:szCs w:val="32"/>
          <w:lang w:eastAsia="zh-CN"/>
        </w:rPr>
        <w:t>、</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right="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评价标准等。</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5"/>
          <w:sz w:val="32"/>
          <w:szCs w:val="32"/>
        </w:rPr>
      </w:pPr>
      <w:r>
        <w:rPr>
          <w:rFonts w:hint="eastAsia" w:ascii="仿宋" w:hAnsi="仿宋" w:eastAsia="仿宋" w:cs="仿宋"/>
          <w:spacing w:val="12"/>
          <w:sz w:val="32"/>
          <w:szCs w:val="32"/>
        </w:rPr>
        <w:t>本次绩效评价主</w:t>
      </w:r>
      <w:r>
        <w:rPr>
          <w:rFonts w:hint="eastAsia" w:ascii="仿宋" w:hAnsi="仿宋" w:eastAsia="仿宋" w:cs="仿宋"/>
          <w:spacing w:val="-5"/>
          <w:sz w:val="32"/>
          <w:szCs w:val="32"/>
        </w:rPr>
        <w:t>要遵循以下原则：</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rPr>
        <w:t>（1）客观性原则。绩效评价应当运用科学合理的方法，以事实和规范的评价标准为依据，对项目绩效进行客观评价，减少主观性和感情色彩的影响。</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rPr>
        <w:t>（2）相关性原则。要求资金支出与其绩效指标之间有紧密相关的关系。</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620" w:firstLineChars="200"/>
        <w:jc w:val="left"/>
        <w:textAlignment w:val="baseline"/>
        <w:rPr>
          <w:rFonts w:hint="eastAsia" w:ascii="仿宋" w:hAnsi="仿宋" w:eastAsia="仿宋" w:cs="仿宋"/>
          <w:spacing w:val="-5"/>
          <w:sz w:val="32"/>
          <w:szCs w:val="32"/>
        </w:rPr>
      </w:pPr>
      <w:r>
        <w:rPr>
          <w:rFonts w:hint="eastAsia" w:ascii="仿宋" w:hAnsi="仿宋" w:eastAsia="仿宋" w:cs="仿宋"/>
          <w:spacing w:val="-5"/>
          <w:sz w:val="32"/>
          <w:szCs w:val="32"/>
        </w:rPr>
        <w:t>（3）公开性原则。绩效评价结果依法依规公开，并接受社会监督</w:t>
      </w:r>
      <w:r>
        <w:rPr>
          <w:rFonts w:hint="eastAsia" w:ascii="仿宋" w:hAnsi="仿宋" w:eastAsia="仿宋" w:cs="仿宋"/>
          <w:spacing w:val="-5"/>
          <w:sz w:val="32"/>
          <w:szCs w:val="32"/>
          <w:lang w:eastAsia="zh-CN"/>
        </w:rPr>
        <w:t>。</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rPr>
      </w:pPr>
      <w:r>
        <w:rPr>
          <w:rFonts w:hint="eastAsia" w:cs="仿宋"/>
          <w:spacing w:val="-5"/>
          <w:sz w:val="32"/>
          <w:szCs w:val="32"/>
          <w:lang w:val="en-US" w:eastAsia="zh-CN"/>
        </w:rPr>
        <w:t>2、</w:t>
      </w:r>
      <w:r>
        <w:rPr>
          <w:rFonts w:hint="eastAsia" w:ascii="仿宋" w:hAnsi="仿宋" w:eastAsia="仿宋" w:cs="仿宋"/>
          <w:spacing w:val="-5"/>
          <w:sz w:val="32"/>
          <w:szCs w:val="32"/>
        </w:rPr>
        <w:t>评价指标体系</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val="en-US" w:eastAsia="zh-CN"/>
        </w:rPr>
      </w:pPr>
      <w:r>
        <w:rPr>
          <w:rFonts w:hint="eastAsia" w:ascii="仿宋" w:hAnsi="仿宋" w:eastAsia="仿宋" w:cs="仿宋"/>
          <w:spacing w:val="-5"/>
          <w:sz w:val="32"/>
          <w:szCs w:val="32"/>
          <w:lang w:eastAsia="zh-CN"/>
        </w:rPr>
        <w:t>本次绩效评价指标体系主要分为</w:t>
      </w:r>
      <w:r>
        <w:rPr>
          <w:rFonts w:hint="eastAsia" w:ascii="仿宋" w:hAnsi="仿宋" w:eastAsia="仿宋" w:cs="仿宋"/>
          <w:spacing w:val="-5"/>
          <w:sz w:val="32"/>
          <w:szCs w:val="32"/>
          <w:lang w:val="en-US" w:eastAsia="zh-CN"/>
        </w:rPr>
        <w:t>预算执行率指标和项目绩效指标，其中预算执行率指标占10分，项目绩效指标占90分。</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3</w:t>
      </w:r>
      <w:r>
        <w:rPr>
          <w:rFonts w:hint="eastAsia" w:cs="仿宋"/>
          <w:spacing w:val="-5"/>
          <w:sz w:val="32"/>
          <w:szCs w:val="32"/>
          <w:lang w:eastAsia="zh-CN"/>
        </w:rPr>
        <w:t>、</w:t>
      </w:r>
      <w:r>
        <w:rPr>
          <w:rFonts w:hint="eastAsia" w:ascii="仿宋" w:hAnsi="仿宋" w:eastAsia="仿宋" w:cs="仿宋"/>
          <w:spacing w:val="-5"/>
          <w:sz w:val="32"/>
          <w:szCs w:val="32"/>
          <w:lang w:eastAsia="zh-CN"/>
        </w:rPr>
        <w:t>评价方法</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绩效评价方法主要包括成本效益分析法、比较法、因素分析法、最低成本法、公众评判法、标杆管理法等。本单位在评价过程中主要采用了因素分析法、成本效益分析法等。</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4</w:t>
      </w:r>
      <w:r>
        <w:rPr>
          <w:rFonts w:hint="eastAsia" w:cs="仿宋"/>
          <w:spacing w:val="-5"/>
          <w:sz w:val="32"/>
          <w:szCs w:val="32"/>
          <w:lang w:eastAsia="zh-CN"/>
        </w:rPr>
        <w:t>、</w:t>
      </w:r>
      <w:r>
        <w:rPr>
          <w:rFonts w:hint="eastAsia" w:ascii="仿宋" w:hAnsi="仿宋" w:eastAsia="仿宋" w:cs="仿宋"/>
          <w:spacing w:val="-5"/>
          <w:sz w:val="32"/>
          <w:szCs w:val="32"/>
          <w:lang w:eastAsia="zh-CN"/>
        </w:rPr>
        <w:t>评价标准</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绩效评价标准通常包括计划标准、行业标准、历史标准等，用于对绩效指标完成情况进行比较。本单位绩效评价采用计划标准。</w:t>
      </w:r>
    </w:p>
    <w:p>
      <w:pPr>
        <w:pStyle w:val="4"/>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left="0" w:leftChars="0" w:right="0" w:firstLine="692" w:firstLineChars="200"/>
        <w:jc w:val="left"/>
        <w:textAlignment w:val="baseline"/>
        <w:rPr>
          <w:rFonts w:hint="eastAsia" w:ascii="仿宋" w:hAnsi="仿宋" w:eastAsia="仿宋" w:cs="仿宋"/>
          <w:spacing w:val="13"/>
          <w:sz w:val="32"/>
          <w:szCs w:val="32"/>
        </w:rPr>
      </w:pPr>
      <w:r>
        <w:rPr>
          <w:rFonts w:hint="eastAsia" w:ascii="仿宋" w:hAnsi="仿宋" w:eastAsia="仿宋" w:cs="仿宋"/>
          <w:spacing w:val="13"/>
          <w:sz w:val="32"/>
          <w:szCs w:val="32"/>
        </w:rPr>
        <w:t>绩效评价工作过程。</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sz w:val="32"/>
          <w:szCs w:val="32"/>
          <w:lang w:eastAsia="zh-CN"/>
        </w:rPr>
      </w:pPr>
      <w:r>
        <w:rPr>
          <w:rFonts w:hint="eastAsia" w:ascii="仿宋" w:hAnsi="仿宋" w:eastAsia="仿宋" w:cs="仿宋"/>
          <w:spacing w:val="-5"/>
          <w:sz w:val="32"/>
          <w:szCs w:val="32"/>
          <w:lang w:eastAsia="zh-CN"/>
        </w:rPr>
        <w:t>自评价项目启动以来，结合项目具体情况、目标、预算、资金使用情况、采购完成情况综合确定绩效评价对象和范围。根据项目完成情况有针对性、时效性、可行性的研究制订绩效评价工作方案。收集项目基础数据资料、相关的佐证材料，了解项目的实施情况、项目设备验收情况、资金使用情况。认真听取仪器设备使用人员的意见，不断完善该项目的所有资料准备，项目计划内的采购如期完成，并及时对采购设备进行验收、支付和反馈，根据以上绩效评价工作过程，核实数据、意见、结论进行总结得出绩效评价报告。按照确定的评价指标、标准和方法进行自评，形成了自评结论，达到了工作目的。</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b/>
          <w:bCs/>
          <w:snapToGrid w:val="0"/>
          <w:color w:val="000000"/>
          <w:spacing w:val="-5"/>
          <w:kern w:val="0"/>
          <w:sz w:val="32"/>
          <w:szCs w:val="32"/>
          <w:lang w:val="en-US" w:eastAsia="zh-CN" w:bidi="ar-SA"/>
        </w:rPr>
      </w:pPr>
      <w:r>
        <w:rPr>
          <w:rFonts w:hint="eastAsia" w:ascii="仿宋" w:hAnsi="仿宋" w:eastAsia="仿宋" w:cs="仿宋"/>
          <w:snapToGrid w:val="0"/>
          <w:color w:val="000000"/>
          <w:spacing w:val="-5"/>
          <w:kern w:val="0"/>
          <w:sz w:val="32"/>
          <w:szCs w:val="32"/>
          <w:lang w:val="en-US" w:eastAsia="zh-CN" w:bidi="ar-SA"/>
        </w:rPr>
        <w:t>三 、</w:t>
      </w:r>
      <w:r>
        <w:rPr>
          <w:rFonts w:hint="eastAsia" w:ascii="仿宋" w:hAnsi="仿宋" w:eastAsia="仿宋" w:cs="仿宋"/>
          <w:b/>
          <w:bCs/>
          <w:snapToGrid w:val="0"/>
          <w:color w:val="000000"/>
          <w:spacing w:val="-5"/>
          <w:kern w:val="0"/>
          <w:sz w:val="32"/>
          <w:szCs w:val="32"/>
          <w:lang w:val="en-US" w:eastAsia="zh-CN" w:bidi="ar-SA"/>
        </w:rPr>
        <w:t xml:space="preserve">综合评价情况及评价结论 </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napToGrid w:val="0"/>
          <w:color w:val="000000"/>
          <w:spacing w:val="-5"/>
          <w:kern w:val="0"/>
          <w:sz w:val="32"/>
          <w:szCs w:val="32"/>
          <w:lang w:val="en-US" w:eastAsia="zh-CN" w:bidi="ar-SA"/>
        </w:rPr>
      </w:pPr>
      <w:r>
        <w:rPr>
          <w:rFonts w:hint="eastAsia" w:ascii="仿宋" w:hAnsi="仿宋" w:eastAsia="仿宋" w:cs="仿宋"/>
          <w:snapToGrid w:val="0"/>
          <w:color w:val="000000"/>
          <w:spacing w:val="-5"/>
          <w:kern w:val="0"/>
          <w:sz w:val="32"/>
          <w:szCs w:val="32"/>
          <w:lang w:val="en-US" w:eastAsia="zh-CN" w:bidi="ar-SA"/>
        </w:rPr>
        <w:t>1.综合评价情况及评价结论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sz w:val="32"/>
          <w:szCs w:val="32"/>
          <w:lang w:val="en-US" w:eastAsia="en-US"/>
        </w:rPr>
      </w:pPr>
      <w:r>
        <w:rPr>
          <w:rFonts w:hint="eastAsia" w:ascii="仿宋" w:hAnsi="仿宋" w:eastAsia="仿宋" w:cs="仿宋"/>
          <w:snapToGrid w:val="0"/>
          <w:color w:val="000000"/>
          <w:spacing w:val="-5"/>
          <w:kern w:val="0"/>
          <w:sz w:val="32"/>
          <w:szCs w:val="32"/>
          <w:lang w:val="en-US" w:eastAsia="zh-CN" w:bidi="ar-SA"/>
        </w:rPr>
        <w:t>该项目根据年初制定的评价指标体</w:t>
      </w:r>
      <w:r>
        <w:rPr>
          <w:rFonts w:hint="eastAsia" w:ascii="仿宋" w:hAnsi="仿宋" w:eastAsia="仿宋" w:cs="仿宋"/>
          <w:color w:val="333333"/>
          <w:sz w:val="32"/>
          <w:szCs w:val="32"/>
        </w:rPr>
        <w:t>系及评分标准，通过资料采集，对此次项目进行客观评价，最终评分结果：总得分为</w:t>
      </w:r>
      <w:r>
        <w:rPr>
          <w:rFonts w:hint="eastAsia" w:ascii="仿宋" w:hAnsi="仿宋" w:eastAsia="仿宋" w:cs="仿宋"/>
          <w:color w:val="333333"/>
          <w:sz w:val="32"/>
          <w:szCs w:val="32"/>
          <w:lang w:val="en-US" w:eastAsia="zh-CN"/>
        </w:rPr>
        <w:t>95</w:t>
      </w:r>
      <w:r>
        <w:rPr>
          <w:rFonts w:hint="eastAsia" w:ascii="仿宋" w:hAnsi="仿宋" w:eastAsia="仿宋" w:cs="仿宋"/>
          <w:color w:val="333333"/>
          <w:sz w:val="32"/>
          <w:szCs w:val="32"/>
        </w:rPr>
        <w:t>分。其中：项目预算执行情况得分</w:t>
      </w:r>
      <w:r>
        <w:rPr>
          <w:rFonts w:hint="eastAsia" w:ascii="仿宋" w:hAnsi="仿宋" w:eastAsia="仿宋" w:cs="仿宋"/>
          <w:color w:val="333333"/>
          <w:sz w:val="32"/>
          <w:szCs w:val="32"/>
          <w:lang w:val="en-US" w:eastAsia="zh-CN"/>
        </w:rPr>
        <w:t>10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%；产出指标为</w:t>
      </w:r>
      <w:r>
        <w:rPr>
          <w:rFonts w:hint="eastAsia" w:ascii="仿宋" w:hAnsi="仿宋" w:eastAsia="仿宋" w:cs="仿宋"/>
          <w:color w:val="333333"/>
          <w:sz w:val="32"/>
          <w:szCs w:val="32"/>
          <w:lang w:val="en-US" w:eastAsia="zh-CN"/>
        </w:rPr>
        <w:t>40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w:t>
      </w:r>
      <w:r>
        <w:rPr>
          <w:rFonts w:hint="eastAsia" w:ascii="仿宋" w:hAnsi="仿宋" w:eastAsia="仿宋" w:cs="仿宋"/>
          <w:color w:val="333333"/>
          <w:sz w:val="32"/>
          <w:szCs w:val="32"/>
          <w:lang w:eastAsia="zh-CN"/>
        </w:rPr>
        <w:t>成本指标为</w:t>
      </w:r>
      <w:r>
        <w:rPr>
          <w:rFonts w:hint="eastAsia" w:ascii="仿宋" w:hAnsi="仿宋" w:eastAsia="仿宋" w:cs="仿宋"/>
          <w:color w:val="333333"/>
          <w:sz w:val="32"/>
          <w:szCs w:val="32"/>
          <w:lang w:val="en-US" w:eastAsia="zh-CN"/>
        </w:rPr>
        <w:t>20分，得分率100%；</w:t>
      </w:r>
      <w:r>
        <w:rPr>
          <w:rFonts w:hint="eastAsia" w:ascii="仿宋" w:hAnsi="仿宋" w:eastAsia="仿宋" w:cs="仿宋"/>
          <w:color w:val="333333"/>
          <w:sz w:val="32"/>
          <w:szCs w:val="32"/>
        </w:rPr>
        <w:t>效益指标为</w:t>
      </w:r>
      <w:r>
        <w:rPr>
          <w:rFonts w:hint="eastAsia" w:ascii="仿宋" w:hAnsi="仿宋" w:eastAsia="仿宋" w:cs="仿宋"/>
          <w:color w:val="333333"/>
          <w:sz w:val="32"/>
          <w:szCs w:val="32"/>
          <w:lang w:val="en-US" w:eastAsia="zh-CN"/>
        </w:rPr>
        <w:t>15</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75</w:t>
      </w:r>
      <w:r>
        <w:rPr>
          <w:rFonts w:hint="eastAsia" w:ascii="仿宋" w:hAnsi="仿宋" w:eastAsia="仿宋" w:cs="仿宋"/>
          <w:color w:val="333333"/>
          <w:sz w:val="32"/>
          <w:szCs w:val="32"/>
        </w:rPr>
        <w:t>%；满意度指标为</w:t>
      </w:r>
      <w:r>
        <w:rPr>
          <w:rFonts w:hint="eastAsia" w:ascii="仿宋" w:hAnsi="仿宋" w:eastAsia="仿宋" w:cs="仿宋"/>
          <w:color w:val="333333"/>
          <w:sz w:val="32"/>
          <w:szCs w:val="32"/>
          <w:lang w:val="en-US" w:eastAsia="zh-CN"/>
        </w:rPr>
        <w:t>9</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90</w:t>
      </w:r>
      <w:r>
        <w:rPr>
          <w:rFonts w:hint="eastAsia" w:ascii="仿宋" w:hAnsi="仿宋" w:eastAsia="仿宋" w:cs="仿宋"/>
          <w:color w:val="333333"/>
          <w:sz w:val="32"/>
          <w:szCs w:val="32"/>
        </w:rPr>
        <w:t>%。</w:t>
      </w:r>
    </w:p>
    <w:tbl>
      <w:tblPr>
        <w:tblW w:w="83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596"/>
        <w:gridCol w:w="596"/>
        <w:gridCol w:w="596"/>
        <w:gridCol w:w="596"/>
        <w:gridCol w:w="597"/>
        <w:gridCol w:w="596"/>
        <w:gridCol w:w="597"/>
        <w:gridCol w:w="596"/>
        <w:gridCol w:w="596"/>
        <w:gridCol w:w="596"/>
        <w:gridCol w:w="597"/>
        <w:gridCol w:w="596"/>
        <w:gridCol w:w="597"/>
        <w:gridCol w:w="5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36" w:hRule="atLeast"/>
        </w:trPr>
        <w:tc>
          <w:tcPr>
            <w:tcW w:w="8348" w:type="dxa"/>
            <w:gridSpan w:val="14"/>
            <w:shd w:val="cle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snapToGrid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285" w:hRule="atLeast"/>
        </w:trPr>
        <w:tc>
          <w:tcPr>
            <w:tcW w:w="8348" w:type="dxa"/>
            <w:gridSpan w:val="14"/>
            <w:shd w:val="clear"/>
            <w:vAlign w:val="center"/>
          </w:tcPr>
          <w:p>
            <w:pPr>
              <w:keepNext w:val="0"/>
              <w:keepLines w:val="0"/>
              <w:widowControl/>
              <w:suppressLineNumbers w:val="0"/>
              <w:jc w:val="center"/>
              <w:textAlignment w:val="center"/>
              <w:rPr>
                <w:rFonts w:ascii="宋体" w:hAnsi="宋体" w:eastAsia="宋体" w:cs="宋体"/>
                <w:i w:val="0"/>
                <w:color w:val="000000"/>
                <w:sz w:val="16"/>
                <w:szCs w:val="16"/>
                <w:u w:val="none"/>
              </w:rPr>
            </w:pPr>
            <w:r>
              <w:rPr>
                <w:rFonts w:ascii="宋体" w:hAnsi="宋体" w:eastAsia="宋体" w:cs="宋体"/>
                <w:i w:val="0"/>
                <w:snapToGrid w:val="0"/>
                <w:color w:val="000000"/>
                <w:kern w:val="0"/>
                <w:sz w:val="16"/>
                <w:szCs w:val="16"/>
                <w:u w:val="none"/>
                <w:lang w:val="en-US" w:eastAsia="zh-CN" w:bidi="ar"/>
              </w:rPr>
              <w:t xml:space="preserve">  (2023年度)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9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项目名称</w:t>
            </w:r>
          </w:p>
        </w:tc>
        <w:tc>
          <w:tcPr>
            <w:tcW w:w="7156" w:type="dxa"/>
            <w:gridSpan w:val="1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2022年局自筹地勘项目—和田地区战略性矿产资源成矿规律研究与靶区优选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9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主管部门</w:t>
            </w:r>
          </w:p>
        </w:tc>
        <w:tc>
          <w:tcPr>
            <w:tcW w:w="2982"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新疆地质矿产勘查开发局</w:t>
            </w:r>
          </w:p>
        </w:tc>
        <w:tc>
          <w:tcPr>
            <w:tcW w:w="119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实施单位</w:t>
            </w:r>
          </w:p>
        </w:tc>
        <w:tc>
          <w:tcPr>
            <w:tcW w:w="2982"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92"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项目资金</w:t>
            </w:r>
            <w:r>
              <w:rPr>
                <w:rFonts w:ascii="宋体" w:hAnsi="宋体" w:eastAsia="宋体" w:cs="宋体"/>
                <w:i w:val="0"/>
                <w:snapToGrid w:val="0"/>
                <w:color w:val="000000"/>
                <w:kern w:val="0"/>
                <w:sz w:val="12"/>
                <w:szCs w:val="12"/>
                <w:u w:val="none"/>
                <w:lang w:val="en-US" w:eastAsia="zh-CN" w:bidi="ar"/>
              </w:rPr>
              <w:br w:type="textWrapping"/>
            </w:r>
            <w:r>
              <w:rPr>
                <w:rFonts w:ascii="宋体" w:hAnsi="宋体" w:eastAsia="宋体" w:cs="宋体"/>
                <w:i w:val="0"/>
                <w:snapToGrid w:val="0"/>
                <w:color w:val="000000"/>
                <w:kern w:val="0"/>
                <w:sz w:val="12"/>
                <w:szCs w:val="12"/>
                <w:u w:val="none"/>
                <w:lang w:val="en-US" w:eastAsia="zh-CN" w:bidi="ar"/>
              </w:rPr>
              <w:t>(万元)</w:t>
            </w:r>
          </w:p>
        </w:tc>
        <w:tc>
          <w:tcPr>
            <w:tcW w:w="119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资金来源</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年初预算数</w:t>
            </w:r>
          </w:p>
        </w:tc>
        <w:tc>
          <w:tcPr>
            <w:tcW w:w="119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全年预算数</w:t>
            </w:r>
          </w:p>
        </w:tc>
        <w:tc>
          <w:tcPr>
            <w:tcW w:w="119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全年执行数</w:t>
            </w:r>
          </w:p>
        </w:tc>
        <w:tc>
          <w:tcPr>
            <w:tcW w:w="119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分值权重</w:t>
            </w:r>
          </w:p>
        </w:tc>
        <w:tc>
          <w:tcPr>
            <w:tcW w:w="119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执行率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年度资金总额</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60.5</w:t>
            </w:r>
          </w:p>
        </w:tc>
        <w:tc>
          <w:tcPr>
            <w:tcW w:w="119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60.5</w:t>
            </w:r>
          </w:p>
        </w:tc>
        <w:tc>
          <w:tcPr>
            <w:tcW w:w="119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60.5</w:t>
            </w:r>
          </w:p>
        </w:tc>
        <w:tc>
          <w:tcPr>
            <w:tcW w:w="119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119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其中：当年财政披款</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共他资金</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60.5</w:t>
            </w:r>
          </w:p>
        </w:tc>
        <w:tc>
          <w:tcPr>
            <w:tcW w:w="119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60.5</w:t>
            </w:r>
          </w:p>
        </w:tc>
        <w:tc>
          <w:tcPr>
            <w:tcW w:w="1192"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60.5</w:t>
            </w:r>
          </w:p>
        </w:tc>
        <w:tc>
          <w:tcPr>
            <w:tcW w:w="119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9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年度总体目</w:t>
            </w:r>
            <w:r>
              <w:rPr>
                <w:rFonts w:ascii="宋体" w:hAnsi="宋体" w:eastAsia="宋体" w:cs="宋体"/>
                <w:i w:val="0"/>
                <w:snapToGrid w:val="0"/>
                <w:color w:val="000000"/>
                <w:kern w:val="0"/>
                <w:sz w:val="12"/>
                <w:szCs w:val="12"/>
                <w:u w:val="none"/>
                <w:lang w:val="en-US" w:eastAsia="zh-CN" w:bidi="ar"/>
              </w:rPr>
              <w:br w:type="textWrapping"/>
            </w:r>
            <w:r>
              <w:rPr>
                <w:rFonts w:ascii="宋体" w:hAnsi="宋体" w:eastAsia="宋体" w:cs="宋体"/>
                <w:i w:val="0"/>
                <w:snapToGrid w:val="0"/>
                <w:color w:val="000000"/>
                <w:kern w:val="0"/>
                <w:sz w:val="12"/>
                <w:szCs w:val="12"/>
                <w:u w:val="none"/>
                <w:lang w:val="en-US" w:eastAsia="zh-CN" w:bidi="ar"/>
              </w:rPr>
              <w:t>标</w:t>
            </w:r>
          </w:p>
        </w:tc>
        <w:tc>
          <w:tcPr>
            <w:tcW w:w="4770" w:type="dxa"/>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总体目标</w:t>
            </w:r>
          </w:p>
        </w:tc>
        <w:tc>
          <w:tcPr>
            <w:tcW w:w="2982"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3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4770" w:type="dxa"/>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以新认识、新理论为指导，通过资料的分析研究和已有矿化线索，圈定新找矿靶区，对具有找矿前景的化探异常开展在充分收集、分析研究和田地区地质、矿产、物探、化探、遥感及相关科研文献等资料，系统总结有色、稀有等优势矿产区域成矿地质条件和成矿规律，开展综合研究和靶区优选工作。采用遥感解译、路线地质调查、专项填图、地物化剖面及采样分析等工作手段，对重要靶区及重要找矿线索进行评价。针对区内科马提岩侵入岩浆活动及成矿效应开展研究。编制区域成矿规律图和矿产预测图，为勘查工作部署提供合理建议。</w:t>
            </w:r>
          </w:p>
        </w:tc>
        <w:tc>
          <w:tcPr>
            <w:tcW w:w="2982"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效益指标从经济效益、社会效益和科技创新三个方面进行评价，在经济效益方面，完成了计划的野外工作量，并在两个重点工作区的发现了沉积型Li的找矿线索，为进一步选取评价提供依据。在社会效益方面，本次工作完成和田地区成矿系列图件对于认识和田地区开展项目部署、科学研究及找矿突破均有科学意义。在科技创新方面，尝试运用“洋板块”地质学思维，开展构造演化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一级指标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二级指标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三级指标</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指标值</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指标值设置依据</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上年完成值</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指标分值权重</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指标赋分规则</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佐证资料</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指标实际完成值</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完成率</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指标得分</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9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年度绩效指</w:t>
            </w:r>
            <w:r>
              <w:rPr>
                <w:rFonts w:ascii="宋体" w:hAnsi="宋体" w:eastAsia="宋体" w:cs="宋体"/>
                <w:i w:val="0"/>
                <w:snapToGrid w:val="0"/>
                <w:color w:val="000000"/>
                <w:kern w:val="0"/>
                <w:sz w:val="12"/>
                <w:szCs w:val="12"/>
                <w:u w:val="none"/>
                <w:lang w:val="en-US" w:eastAsia="zh-CN" w:bidi="ar"/>
              </w:rPr>
              <w:br w:type="textWrapping"/>
            </w:r>
            <w:r>
              <w:rPr>
                <w:rFonts w:ascii="宋体" w:hAnsi="宋体" w:eastAsia="宋体" w:cs="宋体"/>
                <w:i w:val="0"/>
                <w:snapToGrid w:val="0"/>
                <w:color w:val="000000"/>
                <w:kern w:val="0"/>
                <w:sz w:val="12"/>
                <w:szCs w:val="12"/>
                <w:u w:val="none"/>
                <w:lang w:val="en-US" w:eastAsia="zh-CN" w:bidi="ar"/>
              </w:rPr>
              <w:t>标完成情况</w:t>
            </w:r>
          </w:p>
        </w:tc>
        <w:tc>
          <w:tcPr>
            <w:tcW w:w="59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产出指标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数量指标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提交成果报告数</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=1份</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质量指标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报告合格率</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时效指标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勘查工作按期完成率</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时效指标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报告按期完成率</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成本指标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经济成本指标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项目成本控制率</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&lt;=100%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20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社会成本指标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生态环境成本指标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效蔬指标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经济效益指标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社会效益指标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为社会经济发展提供资源能源保障</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按评判等级赋分</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85%</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15</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生态效益指标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满意度指标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满意度指标</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项目单位满意度</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满意度赋分</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38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总分</w:t>
            </w: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100</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596"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i w:val="0"/>
                <w:color w:val="000000"/>
                <w:sz w:val="22"/>
                <w:szCs w:val="22"/>
                <w:u w:val="none"/>
              </w:rPr>
            </w:pPr>
          </w:p>
        </w:tc>
      </w:tr>
    </w:tbl>
    <w:p>
      <w:pPr>
        <w:pStyle w:val="2"/>
      </w:pPr>
      <w:bookmarkStart w:id="1" w:name="_GoBack"/>
      <w:bookmarkEnd w:id="1"/>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1"/>
        <w:rPr>
          <w:rFonts w:ascii="黑体" w:hAnsi="黑体" w:eastAsia="黑体" w:cs="黑体"/>
          <w:b/>
          <w:bCs/>
          <w:spacing w:val="-6"/>
          <w:sz w:val="32"/>
          <w:szCs w:val="32"/>
        </w:rPr>
      </w:pPr>
      <w:r>
        <w:rPr>
          <w:rFonts w:hint="eastAsia" w:ascii="黑体" w:hAnsi="黑体" w:eastAsia="黑体" w:cs="黑体"/>
          <w:b/>
          <w:bCs/>
          <w:spacing w:val="-6"/>
          <w:sz w:val="29"/>
          <w:szCs w:val="29"/>
          <w:lang w:val="en-US" w:eastAsia="zh-CN"/>
        </w:rPr>
        <w:t xml:space="preserve">  </w:t>
      </w:r>
      <w:r>
        <w:rPr>
          <w:rFonts w:hint="eastAsia" w:ascii="黑体" w:hAnsi="黑体" w:eastAsia="黑体" w:cs="黑体"/>
          <w:b/>
          <w:bCs/>
          <w:spacing w:val="-6"/>
          <w:sz w:val="32"/>
          <w:szCs w:val="32"/>
          <w:lang w:val="en-US" w:eastAsia="zh-CN"/>
        </w:rPr>
        <w:t xml:space="preserve">  </w:t>
      </w:r>
      <w:r>
        <w:rPr>
          <w:rFonts w:ascii="黑体" w:hAnsi="黑体" w:eastAsia="黑体" w:cs="黑体"/>
          <w:b/>
          <w:bCs/>
          <w:spacing w:val="-6"/>
          <w:sz w:val="32"/>
          <w:szCs w:val="32"/>
        </w:rPr>
        <w:t>四、绩效评价指标分析</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spacing w:val="17"/>
          <w:position w:val="23"/>
          <w:sz w:val="32"/>
          <w:szCs w:val="32"/>
          <w:highlight w:val="none"/>
        </w:rPr>
      </w:pPr>
      <w:r>
        <w:rPr>
          <w:rFonts w:hint="eastAsia"/>
          <w:spacing w:val="17"/>
          <w:position w:val="23"/>
          <w:sz w:val="32"/>
          <w:szCs w:val="32"/>
          <w:highlight w:val="none"/>
          <w:lang w:val="en-US" w:eastAsia="zh-CN"/>
        </w:rPr>
        <w:t xml:space="preserve">    </w:t>
      </w:r>
      <w:r>
        <w:rPr>
          <w:spacing w:val="17"/>
          <w:position w:val="23"/>
          <w:sz w:val="32"/>
          <w:szCs w:val="32"/>
          <w:highlight w:val="none"/>
        </w:rPr>
        <w:t>(一)项目决策情况</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eastAsia" w:ascii="仿宋" w:hAnsi="仿宋" w:eastAsia="仿宋" w:cs="宋体"/>
          <w:color w:val="auto"/>
          <w:spacing w:val="-4"/>
          <w:sz w:val="32"/>
          <w:szCs w:val="32"/>
          <w:highlight w:val="none"/>
        </w:rPr>
      </w:pPr>
      <w:r>
        <w:rPr>
          <w:rFonts w:hint="eastAsia" w:ascii="仿宋" w:hAnsi="仿宋" w:eastAsia="仿宋" w:cs="宋体"/>
          <w:color w:val="auto"/>
          <w:spacing w:val="-4"/>
          <w:sz w:val="32"/>
          <w:szCs w:val="32"/>
          <w:highlight w:val="none"/>
        </w:rPr>
        <w:t>1.立项依据充分性</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eastAsia" w:ascii="仿宋" w:hAnsi="仿宋" w:eastAsia="仿宋" w:cs="宋体"/>
          <w:color w:val="auto"/>
          <w:spacing w:val="-4"/>
          <w:sz w:val="32"/>
          <w:szCs w:val="32"/>
          <w:highlight w:val="none"/>
          <w:lang w:eastAsia="zh-CN"/>
        </w:rPr>
      </w:pPr>
      <w:r>
        <w:rPr>
          <w:rFonts w:hint="eastAsia" w:cs="宋体"/>
          <w:color w:val="auto"/>
          <w:spacing w:val="-4"/>
          <w:sz w:val="32"/>
          <w:szCs w:val="32"/>
          <w:highlight w:val="none"/>
          <w:lang w:val="en-US" w:eastAsia="zh-CN"/>
        </w:rPr>
        <w:t>和田地区矿产资源丰富</w:t>
      </w:r>
      <w:r>
        <w:rPr>
          <w:rFonts w:hint="eastAsia" w:ascii="仿宋" w:hAnsi="仿宋" w:eastAsia="仿宋" w:cs="宋体"/>
          <w:color w:val="auto"/>
          <w:spacing w:val="-4"/>
          <w:sz w:val="32"/>
          <w:szCs w:val="32"/>
          <w:highlight w:val="none"/>
        </w:rPr>
        <w:t>，</w:t>
      </w:r>
      <w:r>
        <w:rPr>
          <w:rFonts w:hint="eastAsia" w:cs="宋体"/>
          <w:color w:val="auto"/>
          <w:spacing w:val="-4"/>
          <w:sz w:val="32"/>
          <w:szCs w:val="32"/>
          <w:highlight w:val="none"/>
          <w:lang w:val="en-US" w:eastAsia="zh-CN"/>
        </w:rPr>
        <w:t>但工作程度较低，近年来随着火烧云铅锌矿、大红柳滩锂铍矿等实现找矿突破，在地矿局和与和田地区战略合作协议签署以及兵团向南发展的总体部署下，</w:t>
      </w:r>
      <w:r>
        <w:rPr>
          <w:rFonts w:hint="eastAsia" w:ascii="仿宋" w:hAnsi="仿宋" w:eastAsia="仿宋" w:cs="宋体"/>
          <w:color w:val="auto"/>
          <w:spacing w:val="-4"/>
          <w:sz w:val="32"/>
          <w:szCs w:val="32"/>
          <w:highlight w:val="none"/>
        </w:rPr>
        <w:t>设立本项目，项目立项符合国家法律法规、国民经济发展规划和相关政策、符合行业发展规划和政策要求</w:t>
      </w:r>
      <w:r>
        <w:rPr>
          <w:rFonts w:hint="eastAsia" w:ascii="仿宋" w:hAnsi="仿宋" w:eastAsia="仿宋" w:cs="宋体"/>
          <w:color w:val="auto"/>
          <w:spacing w:val="-4"/>
          <w:sz w:val="32"/>
          <w:szCs w:val="32"/>
          <w:highlight w:val="none"/>
          <w:lang w:eastAsia="zh-CN"/>
        </w:rPr>
        <w:t>。</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eastAsia" w:ascii="仿宋" w:hAnsi="仿宋" w:eastAsia="仿宋" w:cs="宋体"/>
          <w:color w:val="auto"/>
          <w:spacing w:val="-4"/>
          <w:sz w:val="32"/>
          <w:szCs w:val="32"/>
          <w:highlight w:val="none"/>
        </w:rPr>
      </w:pPr>
      <w:r>
        <w:rPr>
          <w:rFonts w:hint="eastAsia" w:ascii="仿宋" w:hAnsi="仿宋" w:eastAsia="仿宋" w:cs="宋体"/>
          <w:color w:val="auto"/>
          <w:spacing w:val="-4"/>
          <w:sz w:val="32"/>
          <w:szCs w:val="32"/>
          <w:highlight w:val="none"/>
        </w:rPr>
        <w:t>2.立项程序规范性</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eastAsia" w:ascii="仿宋" w:hAnsi="仿宋" w:eastAsia="仿宋" w:cs="宋体"/>
          <w:color w:val="auto"/>
          <w:spacing w:val="-4"/>
          <w:sz w:val="32"/>
          <w:szCs w:val="32"/>
          <w:highlight w:val="none"/>
          <w:lang w:eastAsia="zh-CN"/>
        </w:rPr>
      </w:pPr>
      <w:r>
        <w:rPr>
          <w:rFonts w:hint="eastAsia" w:ascii="仿宋" w:hAnsi="仿宋" w:eastAsia="仿宋" w:cs="宋体"/>
          <w:color w:val="auto"/>
          <w:spacing w:val="-4"/>
          <w:sz w:val="32"/>
          <w:szCs w:val="32"/>
          <w:highlight w:val="none"/>
        </w:rPr>
        <w:t>我单位严格按照自治区财政规定的立项程序，在项目立项前，由设备使用部门提出购置申请，财务资产管理科根据单位设备情况进行分析，提出购置计划，单位召开专项会议，进行集体决策，形成会议纪要。在财政一体化系统中，编制项目库，提交符合要求的申请材料，上报上级部门审批、财政审批</w:t>
      </w:r>
      <w:r>
        <w:rPr>
          <w:rFonts w:hint="eastAsia" w:ascii="仿宋" w:hAnsi="仿宋" w:eastAsia="仿宋" w:cs="宋体"/>
          <w:color w:val="auto"/>
          <w:spacing w:val="-4"/>
          <w:sz w:val="32"/>
          <w:szCs w:val="32"/>
          <w:highlight w:val="none"/>
          <w:lang w:eastAsia="zh-CN"/>
        </w:rPr>
        <w:t>。</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eastAsia" w:ascii="仿宋" w:hAnsi="仿宋" w:eastAsia="仿宋" w:cs="宋体"/>
          <w:color w:val="auto"/>
          <w:spacing w:val="-4"/>
          <w:sz w:val="32"/>
          <w:szCs w:val="32"/>
          <w:highlight w:val="none"/>
        </w:rPr>
      </w:pPr>
      <w:r>
        <w:rPr>
          <w:rFonts w:hint="eastAsia" w:ascii="仿宋" w:hAnsi="仿宋" w:eastAsia="仿宋" w:cs="宋体"/>
          <w:color w:val="auto"/>
          <w:spacing w:val="-4"/>
          <w:sz w:val="32"/>
          <w:szCs w:val="32"/>
          <w:highlight w:val="none"/>
        </w:rPr>
        <w:t>3.绩效目标合理性</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eastAsia" w:ascii="仿宋" w:hAnsi="仿宋" w:eastAsia="仿宋" w:cs="宋体"/>
          <w:color w:val="auto"/>
          <w:spacing w:val="-4"/>
          <w:sz w:val="32"/>
          <w:szCs w:val="32"/>
          <w:highlight w:val="none"/>
          <w:lang w:eastAsia="zh-CN"/>
        </w:rPr>
      </w:pPr>
      <w:r>
        <w:rPr>
          <w:rFonts w:hint="eastAsia" w:ascii="仿宋" w:hAnsi="仿宋" w:eastAsia="仿宋" w:cs="宋体"/>
          <w:color w:val="auto"/>
          <w:spacing w:val="-4"/>
          <w:sz w:val="32"/>
          <w:szCs w:val="32"/>
          <w:highlight w:val="none"/>
        </w:rPr>
        <w:t>结合项目内容制定了合理的绩效目标，设置三个一级指标，项目绩效目标中的预期产出效益符合项目预期成果，且与预算确定的项目资金量相匹配</w:t>
      </w:r>
      <w:r>
        <w:rPr>
          <w:rFonts w:hint="eastAsia" w:ascii="仿宋" w:hAnsi="仿宋" w:eastAsia="仿宋" w:cs="宋体"/>
          <w:color w:val="auto"/>
          <w:spacing w:val="-4"/>
          <w:sz w:val="32"/>
          <w:szCs w:val="32"/>
          <w:highlight w:val="none"/>
          <w:lang w:eastAsia="zh-CN"/>
        </w:rPr>
        <w:t>。</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eastAsia" w:ascii="仿宋" w:hAnsi="仿宋" w:eastAsia="仿宋" w:cs="宋体"/>
          <w:color w:val="auto"/>
          <w:spacing w:val="-4"/>
          <w:sz w:val="32"/>
          <w:szCs w:val="32"/>
          <w:highlight w:val="none"/>
        </w:rPr>
      </w:pPr>
      <w:r>
        <w:rPr>
          <w:rFonts w:hint="eastAsia" w:ascii="仿宋" w:hAnsi="仿宋" w:eastAsia="仿宋" w:cs="宋体"/>
          <w:color w:val="auto"/>
          <w:spacing w:val="-4"/>
          <w:sz w:val="32"/>
          <w:szCs w:val="32"/>
          <w:highlight w:val="none"/>
        </w:rPr>
        <w:t>4.绩效指标明确性</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eastAsia" w:ascii="仿宋" w:hAnsi="仿宋" w:eastAsia="仿宋" w:cs="宋体"/>
          <w:color w:val="auto"/>
          <w:spacing w:val="-4"/>
          <w:sz w:val="32"/>
          <w:szCs w:val="32"/>
          <w:highlight w:val="none"/>
          <w:lang w:eastAsia="zh-CN"/>
        </w:rPr>
      </w:pPr>
      <w:r>
        <w:rPr>
          <w:rFonts w:hint="eastAsia" w:ascii="仿宋" w:hAnsi="仿宋" w:eastAsia="仿宋" w:cs="宋体"/>
          <w:color w:val="auto"/>
          <w:spacing w:val="-4"/>
          <w:sz w:val="32"/>
          <w:szCs w:val="32"/>
          <w:highlight w:val="none"/>
        </w:rPr>
        <w:t>参照自治区分行业分领域共性项目绩效指标体系将一级指标细化分解为七个二级指标及</w:t>
      </w:r>
      <w:r>
        <w:rPr>
          <w:rFonts w:hint="eastAsia" w:ascii="仿宋" w:hAnsi="仿宋" w:eastAsia="仿宋" w:cs="宋体"/>
          <w:color w:val="auto"/>
          <w:spacing w:val="-4"/>
          <w:sz w:val="32"/>
          <w:szCs w:val="32"/>
          <w:highlight w:val="none"/>
          <w:lang w:eastAsia="zh-CN"/>
        </w:rPr>
        <w:t>七</w:t>
      </w:r>
      <w:r>
        <w:rPr>
          <w:rFonts w:hint="eastAsia" w:ascii="仿宋" w:hAnsi="仿宋" w:eastAsia="仿宋" w:cs="宋体"/>
          <w:color w:val="auto"/>
          <w:spacing w:val="-4"/>
          <w:sz w:val="32"/>
          <w:szCs w:val="32"/>
          <w:highlight w:val="none"/>
        </w:rPr>
        <w:t>个三级指标，并与项目目标采购数量、质量、时效性、成本、取得成效目标及满意度指标相对应</w:t>
      </w:r>
      <w:r>
        <w:rPr>
          <w:rFonts w:hint="eastAsia" w:ascii="仿宋" w:hAnsi="仿宋" w:eastAsia="仿宋" w:cs="宋体"/>
          <w:color w:val="auto"/>
          <w:spacing w:val="-4"/>
          <w:sz w:val="32"/>
          <w:szCs w:val="32"/>
          <w:highlight w:val="none"/>
          <w:lang w:eastAsia="zh-CN"/>
        </w:rPr>
        <w:t>。</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eastAsia" w:ascii="仿宋" w:hAnsi="仿宋" w:eastAsia="仿宋" w:cs="宋体"/>
          <w:color w:val="auto"/>
          <w:spacing w:val="-4"/>
          <w:sz w:val="32"/>
          <w:szCs w:val="32"/>
          <w:highlight w:val="none"/>
        </w:rPr>
      </w:pPr>
      <w:r>
        <w:rPr>
          <w:rFonts w:hint="eastAsia" w:ascii="仿宋" w:hAnsi="仿宋" w:eastAsia="仿宋" w:cs="宋体"/>
          <w:color w:val="auto"/>
          <w:spacing w:val="-4"/>
          <w:sz w:val="32"/>
          <w:szCs w:val="32"/>
          <w:highlight w:val="none"/>
        </w:rPr>
        <w:t>5.预算编制科学性</w:t>
      </w:r>
    </w:p>
    <w:p>
      <w:pPr>
        <w:pStyle w:val="4"/>
        <w:keepNext w:val="0"/>
        <w:keepLines w:val="0"/>
        <w:pageBreakBefore w:val="0"/>
        <w:kinsoku/>
        <w:wordWrap/>
        <w:overflowPunct/>
        <w:topLinePunct w:val="0"/>
        <w:autoSpaceDE/>
        <w:autoSpaceDN/>
        <w:bidi w:val="0"/>
        <w:adjustRightInd w:val="0"/>
        <w:snapToGrid w:val="0"/>
        <w:spacing w:line="360" w:lineRule="auto"/>
        <w:ind w:firstLine="624" w:firstLineChars="200"/>
        <w:textAlignment w:val="auto"/>
        <w:rPr>
          <w:rFonts w:hint="eastAsia" w:ascii="仿宋" w:hAnsi="仿宋" w:eastAsia="仿宋" w:cs="宋体"/>
          <w:color w:val="auto"/>
          <w:spacing w:val="-4"/>
          <w:sz w:val="32"/>
          <w:szCs w:val="32"/>
          <w:highlight w:val="none"/>
          <w:lang w:eastAsia="zh-CN"/>
        </w:rPr>
      </w:pPr>
      <w:r>
        <w:rPr>
          <w:rFonts w:hint="eastAsia" w:ascii="仿宋" w:hAnsi="仿宋" w:eastAsia="仿宋" w:cs="宋体"/>
          <w:color w:val="auto"/>
          <w:spacing w:val="-4"/>
          <w:sz w:val="32"/>
          <w:szCs w:val="32"/>
          <w:highlight w:val="none"/>
          <w:lang w:eastAsia="zh-CN"/>
        </w:rPr>
        <w:t>根据上级主管局相关要求，以及项目</w:t>
      </w:r>
      <w:r>
        <w:rPr>
          <w:rFonts w:hint="eastAsia" w:ascii="仿宋" w:hAnsi="仿宋" w:eastAsia="仿宋" w:cs="宋体"/>
          <w:color w:val="auto"/>
          <w:spacing w:val="-4"/>
          <w:sz w:val="32"/>
          <w:szCs w:val="32"/>
          <w:highlight w:val="none"/>
        </w:rPr>
        <w:t>预算</w:t>
      </w:r>
      <w:r>
        <w:rPr>
          <w:rFonts w:hint="eastAsia" w:ascii="仿宋" w:hAnsi="仿宋" w:eastAsia="仿宋" w:cs="宋体"/>
          <w:color w:val="auto"/>
          <w:spacing w:val="-4"/>
          <w:sz w:val="32"/>
          <w:szCs w:val="32"/>
          <w:highlight w:val="none"/>
          <w:lang w:eastAsia="zh-CN"/>
        </w:rPr>
        <w:t>，</w:t>
      </w:r>
      <w:r>
        <w:rPr>
          <w:rFonts w:hint="eastAsia" w:ascii="仿宋" w:hAnsi="仿宋" w:eastAsia="仿宋" w:cs="宋体"/>
          <w:color w:val="auto"/>
          <w:spacing w:val="-4"/>
          <w:sz w:val="32"/>
          <w:szCs w:val="32"/>
          <w:highlight w:val="none"/>
        </w:rPr>
        <w:t>测算</w:t>
      </w:r>
      <w:r>
        <w:rPr>
          <w:rFonts w:hint="eastAsia" w:ascii="仿宋" w:hAnsi="仿宋" w:eastAsia="仿宋" w:cs="宋体"/>
          <w:color w:val="auto"/>
          <w:spacing w:val="-4"/>
          <w:sz w:val="32"/>
          <w:szCs w:val="32"/>
          <w:highlight w:val="none"/>
          <w:lang w:eastAsia="zh-CN"/>
        </w:rPr>
        <w:t>合理，</w:t>
      </w:r>
      <w:r>
        <w:rPr>
          <w:rFonts w:hint="eastAsia" w:ascii="仿宋" w:hAnsi="仿宋" w:eastAsia="仿宋" w:cs="宋体"/>
          <w:color w:val="auto"/>
          <w:spacing w:val="-4"/>
          <w:sz w:val="32"/>
          <w:szCs w:val="32"/>
          <w:highlight w:val="none"/>
        </w:rPr>
        <w:t>依据充分，编制科学</w:t>
      </w:r>
      <w:r>
        <w:rPr>
          <w:rFonts w:hint="eastAsia" w:ascii="仿宋" w:hAnsi="仿宋" w:eastAsia="仿宋" w:cs="宋体"/>
          <w:color w:val="auto"/>
          <w:spacing w:val="-4"/>
          <w:sz w:val="32"/>
          <w:szCs w:val="32"/>
          <w:highlight w:val="none"/>
          <w:lang w:eastAsia="zh-CN"/>
        </w:rPr>
        <w:t>。</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spacing w:val="17"/>
          <w:sz w:val="32"/>
          <w:szCs w:val="32"/>
          <w:highlight w:val="none"/>
        </w:rPr>
      </w:pPr>
      <w:r>
        <w:rPr>
          <w:rFonts w:hint="eastAsia"/>
          <w:spacing w:val="17"/>
          <w:sz w:val="29"/>
          <w:szCs w:val="29"/>
          <w:highlight w:val="none"/>
          <w:lang w:val="en-US" w:eastAsia="zh-CN"/>
        </w:rPr>
        <w:t xml:space="preserve">    </w:t>
      </w:r>
      <w:r>
        <w:rPr>
          <w:spacing w:val="17"/>
          <w:sz w:val="32"/>
          <w:szCs w:val="32"/>
          <w:highlight w:val="none"/>
        </w:rPr>
        <w:t>(二)项目过程情况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24" w:firstLineChars="200"/>
        <w:textAlignment w:val="baseline"/>
        <w:rPr>
          <w:rFonts w:ascii="仿宋_GB2312" w:hAnsi="仿宋" w:eastAsia="仿宋_GB2312" w:cs="宋体"/>
          <w:sz w:val="32"/>
          <w:szCs w:val="32"/>
          <w:lang w:bidi="ar"/>
        </w:rPr>
      </w:pPr>
      <w:r>
        <w:rPr>
          <w:rStyle w:val="7"/>
          <w:rFonts w:hint="eastAsia" w:ascii="仿宋_GB2312" w:hAnsi="仿宋_GB2312" w:eastAsia="仿宋_GB2312" w:cs="仿宋_GB2312"/>
          <w:b w:val="0"/>
          <w:bCs w:val="0"/>
          <w:spacing w:val="-4"/>
          <w:sz w:val="32"/>
          <w:szCs w:val="32"/>
        </w:rPr>
        <w:t>1.</w:t>
      </w:r>
      <w:r>
        <w:rPr>
          <w:rFonts w:hint="eastAsia" w:ascii="仿宋_GB2312" w:hAnsi="仿宋" w:eastAsia="仿宋_GB2312" w:cs="宋体"/>
          <w:sz w:val="32"/>
          <w:szCs w:val="32"/>
          <w:lang w:bidi="ar"/>
        </w:rPr>
        <w:t>资金到位率</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624" w:firstLineChars="200"/>
        <w:textAlignment w:val="baseline"/>
        <w:rPr>
          <w:rStyle w:val="7"/>
          <w:rFonts w:hint="eastAsia" w:ascii="仿宋_GB2312" w:hAnsi="仿宋_GB2312" w:eastAsia="仿宋_GB2312" w:cs="仿宋_GB2312"/>
          <w:b w:val="0"/>
          <w:bCs w:val="0"/>
          <w:spacing w:val="-4"/>
          <w:sz w:val="32"/>
          <w:szCs w:val="32"/>
        </w:rPr>
      </w:pPr>
      <w:r>
        <w:rPr>
          <w:rStyle w:val="7"/>
          <w:rFonts w:hint="eastAsia" w:ascii="仿宋_GB2312" w:hAnsi="仿宋_GB2312" w:eastAsia="仿宋_GB2312" w:cs="仿宋_GB2312"/>
          <w:b w:val="0"/>
          <w:bCs w:val="0"/>
          <w:spacing w:val="-4"/>
          <w:sz w:val="32"/>
          <w:szCs w:val="32"/>
        </w:rPr>
        <w:t>202</w:t>
      </w:r>
      <w:r>
        <w:rPr>
          <w:rStyle w:val="7"/>
          <w:rFonts w:hint="eastAsia" w:ascii="仿宋_GB2312" w:hAnsi="仿宋_GB2312" w:eastAsia="仿宋_GB2312" w:cs="仿宋_GB2312"/>
          <w:b w:val="0"/>
          <w:bCs w:val="0"/>
          <w:spacing w:val="-4"/>
          <w:sz w:val="32"/>
          <w:szCs w:val="32"/>
          <w:lang w:val="en-US" w:eastAsia="zh-CN"/>
        </w:rPr>
        <w:t>2</w:t>
      </w:r>
      <w:r>
        <w:rPr>
          <w:rStyle w:val="7"/>
          <w:rFonts w:hint="eastAsia" w:ascii="仿宋_GB2312" w:hAnsi="仿宋_GB2312" w:eastAsia="仿宋_GB2312" w:cs="仿宋_GB2312"/>
          <w:b w:val="0"/>
          <w:bCs w:val="0"/>
          <w:spacing w:val="-4"/>
          <w:sz w:val="32"/>
          <w:szCs w:val="32"/>
        </w:rPr>
        <w:t>年项目经费</w:t>
      </w:r>
      <w:r>
        <w:rPr>
          <w:rStyle w:val="7"/>
          <w:rFonts w:hint="eastAsia" w:ascii="仿宋_GB2312" w:hAnsi="仿宋_GB2312" w:eastAsia="仿宋_GB2312" w:cs="仿宋_GB2312"/>
          <w:b w:val="0"/>
          <w:bCs w:val="0"/>
          <w:spacing w:val="-4"/>
          <w:sz w:val="32"/>
          <w:szCs w:val="32"/>
          <w:lang w:val="en-US" w:eastAsia="zh-CN"/>
        </w:rPr>
        <w:t>60.50</w:t>
      </w:r>
      <w:r>
        <w:rPr>
          <w:rStyle w:val="7"/>
          <w:rFonts w:hint="eastAsia" w:ascii="仿宋_GB2312" w:hAnsi="仿宋_GB2312" w:eastAsia="仿宋_GB2312" w:cs="仿宋_GB2312"/>
          <w:b w:val="0"/>
          <w:bCs w:val="0"/>
          <w:spacing w:val="-4"/>
          <w:sz w:val="32"/>
          <w:szCs w:val="32"/>
        </w:rPr>
        <w:t>万元。其中，局出资53.4</w:t>
      </w:r>
      <w:r>
        <w:rPr>
          <w:rStyle w:val="7"/>
          <w:rFonts w:hint="eastAsia" w:ascii="仿宋_GB2312" w:hAnsi="仿宋_GB2312" w:eastAsia="仿宋_GB2312" w:cs="仿宋_GB2312"/>
          <w:b w:val="0"/>
          <w:bCs w:val="0"/>
          <w:spacing w:val="-4"/>
          <w:sz w:val="32"/>
          <w:szCs w:val="32"/>
          <w:lang w:val="en-US" w:eastAsia="zh-CN"/>
        </w:rPr>
        <w:t>0</w:t>
      </w:r>
      <w:r>
        <w:rPr>
          <w:rStyle w:val="7"/>
          <w:rFonts w:hint="eastAsia" w:ascii="仿宋_GB2312" w:hAnsi="仿宋_GB2312" w:eastAsia="仿宋_GB2312" w:cs="仿宋_GB2312"/>
          <w:b w:val="0"/>
          <w:bCs w:val="0"/>
          <w:spacing w:val="-4"/>
          <w:sz w:val="32"/>
          <w:szCs w:val="32"/>
        </w:rPr>
        <w:t>万元，单位出资</w:t>
      </w:r>
      <w:r>
        <w:rPr>
          <w:rStyle w:val="7"/>
          <w:rFonts w:hint="eastAsia" w:ascii="仿宋_GB2312" w:hAnsi="仿宋_GB2312" w:eastAsia="仿宋_GB2312" w:cs="仿宋_GB2312"/>
          <w:b w:val="0"/>
          <w:bCs w:val="0"/>
          <w:spacing w:val="-4"/>
          <w:sz w:val="32"/>
          <w:szCs w:val="32"/>
          <w:lang w:val="en-US" w:eastAsia="zh-CN"/>
        </w:rPr>
        <w:t>7.10</w:t>
      </w:r>
      <w:r>
        <w:rPr>
          <w:rStyle w:val="7"/>
          <w:rFonts w:hint="eastAsia" w:ascii="仿宋_GB2312" w:hAnsi="仿宋_GB2312" w:eastAsia="仿宋_GB2312" w:cs="仿宋_GB2312"/>
          <w:b w:val="0"/>
          <w:bCs w:val="0"/>
          <w:spacing w:val="-4"/>
          <w:sz w:val="32"/>
          <w:szCs w:val="32"/>
        </w:rPr>
        <w:t>万元。</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624" w:firstLineChars="200"/>
        <w:textAlignment w:val="baseline"/>
        <w:rPr>
          <w:rFonts w:ascii="仿宋_GB2312" w:hAnsi="仿宋" w:eastAsia="仿宋_GB2312" w:cs="宋体"/>
          <w:sz w:val="32"/>
          <w:szCs w:val="32"/>
          <w:lang w:bidi="ar"/>
        </w:rPr>
      </w:pPr>
      <w:r>
        <w:rPr>
          <w:rStyle w:val="7"/>
          <w:rFonts w:hint="eastAsia" w:ascii="仿宋_GB2312" w:hAnsi="仿宋_GB2312" w:eastAsia="仿宋_GB2312" w:cs="仿宋_GB2312"/>
          <w:b w:val="0"/>
          <w:bCs w:val="0"/>
          <w:spacing w:val="-4"/>
          <w:sz w:val="32"/>
          <w:szCs w:val="32"/>
        </w:rPr>
        <w:t>2.</w:t>
      </w:r>
      <w:r>
        <w:rPr>
          <w:rFonts w:hint="eastAsia" w:ascii="仿宋_GB2312" w:hAnsi="仿宋" w:eastAsia="仿宋_GB2312" w:cs="宋体"/>
          <w:sz w:val="32"/>
          <w:szCs w:val="32"/>
          <w:lang w:bidi="ar"/>
        </w:rPr>
        <w:t>预算执行率</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Fonts w:ascii="仿宋_GB2312" w:hAnsi="仿宋" w:eastAsia="仿宋_GB2312" w:cs="宋体"/>
          <w:color w:val="FF0000"/>
          <w:sz w:val="32"/>
          <w:szCs w:val="32"/>
          <w:lang w:bidi="ar"/>
        </w:rPr>
      </w:pPr>
      <w:r>
        <w:rPr>
          <w:rStyle w:val="7"/>
          <w:rFonts w:hint="eastAsia" w:ascii="仿宋_GB2312" w:hAnsi="仿宋" w:eastAsia="仿宋_GB2312"/>
          <w:b w:val="0"/>
          <w:spacing w:val="-4"/>
          <w:sz w:val="32"/>
          <w:szCs w:val="32"/>
          <w:lang w:val="en-US" w:eastAsia="zh-CN"/>
        </w:rPr>
        <w:t>2022年项目经费支出60.50万元。</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24" w:firstLineChars="200"/>
        <w:textAlignment w:val="baseline"/>
        <w:rPr>
          <w:rFonts w:ascii="仿宋_GB2312" w:hAnsi="仿宋" w:eastAsia="仿宋_GB2312" w:cs="宋体"/>
          <w:sz w:val="32"/>
          <w:szCs w:val="32"/>
          <w:lang w:bidi="ar"/>
        </w:rPr>
      </w:pPr>
      <w:r>
        <w:rPr>
          <w:rStyle w:val="7"/>
          <w:rFonts w:hint="eastAsia" w:ascii="仿宋_GB2312" w:hAnsi="仿宋_GB2312" w:eastAsia="仿宋_GB2312" w:cs="仿宋_GB2312"/>
          <w:b w:val="0"/>
          <w:bCs w:val="0"/>
          <w:spacing w:val="-4"/>
          <w:sz w:val="32"/>
          <w:szCs w:val="32"/>
        </w:rPr>
        <w:t>3.</w:t>
      </w:r>
      <w:r>
        <w:rPr>
          <w:rFonts w:hint="eastAsia" w:ascii="仿宋_GB2312" w:hAnsi="仿宋" w:eastAsia="仿宋_GB2312" w:cs="宋体"/>
          <w:sz w:val="32"/>
          <w:szCs w:val="32"/>
          <w:lang w:bidi="ar"/>
        </w:rPr>
        <w:t>资金使用合规性</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Style w:val="7"/>
          <w:rFonts w:hint="default" w:ascii="仿宋_GB2312" w:hAnsi="仿宋" w:eastAsia="仿宋_GB2312"/>
          <w:b w:val="0"/>
          <w:spacing w:val="-4"/>
          <w:sz w:val="32"/>
          <w:szCs w:val="32"/>
          <w:lang w:val="en-US" w:eastAsia="zh-CN"/>
        </w:rPr>
      </w:pPr>
      <w:r>
        <w:rPr>
          <w:rStyle w:val="7"/>
          <w:rFonts w:hint="eastAsia" w:ascii="仿宋_GB2312" w:hAnsi="仿宋" w:eastAsia="仿宋_GB2312"/>
          <w:b w:val="0"/>
          <w:spacing w:val="-4"/>
          <w:sz w:val="32"/>
          <w:szCs w:val="32"/>
          <w:lang w:val="en-US" w:eastAsia="zh-CN"/>
        </w:rPr>
        <w:t>按照地矿局和新疆地质调查院财务规定相关办法执行经费，所有经费均符合相关财务规定。</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spacing w:val="17"/>
          <w:sz w:val="32"/>
          <w:szCs w:val="32"/>
          <w:highlight w:val="none"/>
        </w:rPr>
      </w:pPr>
      <w:r>
        <w:rPr>
          <w:rFonts w:hint="eastAsia"/>
          <w:spacing w:val="17"/>
          <w:sz w:val="32"/>
          <w:szCs w:val="32"/>
          <w:highlight w:val="none"/>
          <w:lang w:val="en-US" w:eastAsia="zh-CN"/>
        </w:rPr>
        <w:t xml:space="preserve">    </w:t>
      </w:r>
      <w:r>
        <w:rPr>
          <w:spacing w:val="17"/>
          <w:sz w:val="32"/>
          <w:szCs w:val="32"/>
          <w:highlight w:val="none"/>
        </w:rPr>
        <w:t>(三)项目产出情况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Style w:val="7"/>
          <w:rFonts w:hint="eastAsia" w:ascii="仿宋_GB2312" w:hAnsi="仿宋" w:eastAsia="仿宋_GB2312"/>
          <w:b w:val="0"/>
          <w:spacing w:val="-4"/>
          <w:sz w:val="32"/>
          <w:szCs w:val="32"/>
          <w:lang w:val="en-US" w:eastAsia="zh-CN"/>
        </w:rPr>
      </w:pPr>
      <w:r>
        <w:rPr>
          <w:rStyle w:val="7"/>
          <w:rFonts w:hint="eastAsia" w:ascii="仿宋_GB2312" w:hAnsi="仿宋" w:eastAsia="仿宋_GB2312"/>
          <w:b w:val="0"/>
          <w:spacing w:val="-4"/>
          <w:sz w:val="32"/>
          <w:szCs w:val="32"/>
          <w:lang w:val="en-US" w:eastAsia="zh-CN"/>
        </w:rPr>
        <w:t>项目产出情况主要从产出数量、产出质量、产出时效3个方面进行评价。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24" w:firstLineChars="200"/>
        <w:textAlignment w:val="baseline"/>
        <w:rPr>
          <w:rFonts w:hint="default" w:ascii="仿宋_GB2312" w:hAnsi="仿宋" w:eastAsia="仿宋_GB2312" w:cs="宋体"/>
          <w:sz w:val="32"/>
          <w:szCs w:val="32"/>
          <w:lang w:val="en-US" w:eastAsia="zh-CN" w:bidi="ar"/>
        </w:rPr>
      </w:pPr>
      <w:r>
        <w:rPr>
          <w:rStyle w:val="7"/>
          <w:rFonts w:hint="eastAsia" w:ascii="仿宋_GB2312" w:hAnsi="仿宋_GB2312" w:eastAsia="仿宋_GB2312" w:cs="仿宋_GB2312"/>
          <w:b w:val="0"/>
          <w:bCs w:val="0"/>
          <w:spacing w:val="-4"/>
          <w:sz w:val="32"/>
          <w:szCs w:val="32"/>
        </w:rPr>
        <w:t>1.</w:t>
      </w:r>
      <w:r>
        <w:rPr>
          <w:rFonts w:hint="eastAsia" w:ascii="仿宋_GB2312" w:hAnsi="仿宋" w:eastAsia="仿宋_GB2312" w:cs="宋体"/>
          <w:sz w:val="32"/>
          <w:szCs w:val="32"/>
          <w:lang w:val="en-US" w:eastAsia="zh-CN" w:bidi="ar"/>
        </w:rPr>
        <w:t>产出数量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Style w:val="7"/>
          <w:rFonts w:hint="eastAsia" w:ascii="仿宋_GB2312" w:hAnsi="仿宋" w:eastAsia="仿宋_GB2312"/>
          <w:b w:val="0"/>
          <w:spacing w:val="-4"/>
          <w:sz w:val="32"/>
          <w:szCs w:val="32"/>
          <w:lang w:val="en-US" w:eastAsia="zh-CN"/>
        </w:rPr>
      </w:pPr>
      <w:r>
        <w:rPr>
          <w:rStyle w:val="7"/>
          <w:rFonts w:hint="eastAsia" w:ascii="仿宋_GB2312" w:hAnsi="仿宋" w:eastAsia="仿宋_GB2312"/>
          <w:b w:val="0"/>
          <w:spacing w:val="-4"/>
          <w:sz w:val="32"/>
          <w:szCs w:val="32"/>
          <w:lang w:val="en-US" w:eastAsia="zh-CN"/>
        </w:rPr>
        <w:t>按照任务书及工作方案要求，完成了工作量，完成情况如下：1:5万遥感地质解译3000平方千米，完成率100%；1:5万路线地质调查200千米，完成率50%；1:1万火山岩专项填图13平方千米， 完成率43.33；1:1万地化剖面20千米，完成率100%；1:1万磁法测量10千米，完成率100%；自然重砂样20件，完成率100%。</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24" w:firstLineChars="200"/>
        <w:textAlignment w:val="baseline"/>
        <w:rPr>
          <w:rFonts w:hint="default" w:ascii="仿宋_GB2312" w:hAnsi="仿宋" w:eastAsia="仿宋_GB2312" w:cs="宋体"/>
          <w:sz w:val="32"/>
          <w:szCs w:val="32"/>
          <w:lang w:val="en-US" w:eastAsia="zh-CN" w:bidi="ar"/>
        </w:rPr>
      </w:pPr>
      <w:r>
        <w:rPr>
          <w:rStyle w:val="7"/>
          <w:rFonts w:hint="eastAsia" w:ascii="仿宋_GB2312" w:hAnsi="仿宋_GB2312" w:eastAsia="仿宋_GB2312" w:cs="仿宋_GB2312"/>
          <w:b w:val="0"/>
          <w:bCs w:val="0"/>
          <w:spacing w:val="-4"/>
          <w:sz w:val="32"/>
          <w:szCs w:val="32"/>
          <w:lang w:val="en-US" w:eastAsia="zh-CN"/>
        </w:rPr>
        <w:t>2</w:t>
      </w:r>
      <w:r>
        <w:rPr>
          <w:rStyle w:val="7"/>
          <w:rFonts w:hint="eastAsia" w:ascii="仿宋_GB2312" w:hAnsi="仿宋_GB2312" w:eastAsia="仿宋_GB2312" w:cs="仿宋_GB2312"/>
          <w:b w:val="0"/>
          <w:bCs w:val="0"/>
          <w:spacing w:val="-4"/>
          <w:sz w:val="32"/>
          <w:szCs w:val="32"/>
        </w:rPr>
        <w:t>.</w:t>
      </w:r>
      <w:r>
        <w:rPr>
          <w:rFonts w:hint="eastAsia" w:ascii="仿宋_GB2312" w:hAnsi="仿宋" w:eastAsia="仿宋_GB2312" w:cs="宋体"/>
          <w:sz w:val="32"/>
          <w:szCs w:val="32"/>
          <w:lang w:val="en-US" w:eastAsia="zh-CN" w:bidi="ar"/>
        </w:rPr>
        <w:t>产出质量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Style w:val="7"/>
          <w:rFonts w:hint="eastAsia" w:ascii="仿宋_GB2312" w:hAnsi="仿宋" w:eastAsia="仿宋_GB2312"/>
          <w:b w:val="0"/>
          <w:spacing w:val="-4"/>
          <w:sz w:val="32"/>
          <w:szCs w:val="32"/>
          <w:lang w:val="en-US" w:eastAsia="zh-CN"/>
        </w:rPr>
      </w:pPr>
      <w:r>
        <w:rPr>
          <w:rStyle w:val="7"/>
          <w:rFonts w:hint="eastAsia" w:ascii="仿宋_GB2312" w:hAnsi="仿宋" w:eastAsia="仿宋_GB2312"/>
          <w:b w:val="0"/>
          <w:spacing w:val="-4"/>
          <w:sz w:val="32"/>
          <w:szCs w:val="32"/>
          <w:lang w:val="en-US" w:eastAsia="zh-CN"/>
        </w:rPr>
        <w:t>按照地质勘查规范开展野外工作，2022年5月6-7日，地矿局地科处组织专家审查了2022年度工作方案设计，认为设计书任务明确、工作部署基本合理、工作方法、技术参数选择到位，安全生产要求基本到位，经费元素标准选用准确，计算方法较合理，给予良好级评价，同意实施。</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Style w:val="7"/>
          <w:rFonts w:hint="eastAsia" w:ascii="仿宋_GB2312" w:hAnsi="仿宋" w:eastAsia="仿宋_GB2312"/>
          <w:b w:val="0"/>
          <w:spacing w:val="-4"/>
          <w:sz w:val="32"/>
          <w:szCs w:val="32"/>
          <w:lang w:val="en-US" w:eastAsia="zh-CN"/>
        </w:rPr>
      </w:pPr>
      <w:r>
        <w:rPr>
          <w:rStyle w:val="7"/>
          <w:rFonts w:hint="eastAsia" w:ascii="仿宋_GB2312" w:hAnsi="仿宋" w:eastAsia="仿宋_GB2312"/>
          <w:b w:val="0"/>
          <w:spacing w:val="-4"/>
          <w:sz w:val="32"/>
          <w:szCs w:val="32"/>
          <w:lang w:val="en-US" w:eastAsia="zh-CN"/>
        </w:rPr>
        <w:t>2022年9月14日，地矿局专家组对开展中期检查，在项目负责汇报的基础上，对原始资料进行检查，并进行质疑问答，认为项目全体工作人员积极开展野外地质工作，初步完成2个有利区的检查工作，并开展成矿规律与成矿预测系列图件编绘，已开展的各项工作部署符合设计要求，成果质量基本符合有关规范、规程，检查综合评分90分，优秀级。</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Style w:val="7"/>
          <w:rFonts w:hint="default" w:ascii="仿宋_GB2312" w:hAnsi="仿宋" w:eastAsia="仿宋_GB2312"/>
          <w:b w:val="0"/>
          <w:spacing w:val="-4"/>
          <w:sz w:val="32"/>
          <w:szCs w:val="32"/>
          <w:lang w:val="en-US" w:eastAsia="zh-CN"/>
        </w:rPr>
      </w:pPr>
      <w:r>
        <w:rPr>
          <w:rStyle w:val="7"/>
          <w:rFonts w:hint="eastAsia" w:ascii="仿宋_GB2312" w:hAnsi="仿宋" w:eastAsia="仿宋_GB2312"/>
          <w:b w:val="0"/>
          <w:spacing w:val="-4"/>
          <w:sz w:val="32"/>
          <w:szCs w:val="32"/>
          <w:lang w:val="en-US" w:eastAsia="zh-CN"/>
        </w:rPr>
        <w:t>2022年11月11日-12日，验收组认为，该项目按设计实施，较好完成了任务书规定的各项工作工作任务。野外工作质量可靠，原始资料完整、齐全，提交的工作总结完整，通过验收，可以提交项目进行下一步工作。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24" w:firstLineChars="200"/>
        <w:textAlignment w:val="baseline"/>
        <w:rPr>
          <w:rFonts w:hint="default" w:ascii="仿宋_GB2312" w:hAnsi="仿宋" w:eastAsia="仿宋_GB2312" w:cs="宋体"/>
          <w:sz w:val="32"/>
          <w:szCs w:val="32"/>
          <w:lang w:val="en-US" w:eastAsia="zh-CN" w:bidi="ar"/>
        </w:rPr>
      </w:pPr>
      <w:r>
        <w:rPr>
          <w:rStyle w:val="7"/>
          <w:rFonts w:hint="eastAsia" w:ascii="仿宋_GB2312" w:hAnsi="仿宋_GB2312" w:eastAsia="仿宋_GB2312" w:cs="仿宋_GB2312"/>
          <w:b w:val="0"/>
          <w:bCs w:val="0"/>
          <w:spacing w:val="-4"/>
          <w:sz w:val="32"/>
          <w:szCs w:val="32"/>
          <w:lang w:val="en-US" w:eastAsia="zh-CN"/>
        </w:rPr>
        <w:t>3</w:t>
      </w:r>
      <w:r>
        <w:rPr>
          <w:rStyle w:val="7"/>
          <w:rFonts w:hint="eastAsia" w:ascii="仿宋_GB2312" w:hAnsi="仿宋_GB2312" w:eastAsia="仿宋_GB2312" w:cs="仿宋_GB2312"/>
          <w:b w:val="0"/>
          <w:bCs w:val="0"/>
          <w:spacing w:val="-4"/>
          <w:sz w:val="32"/>
          <w:szCs w:val="32"/>
        </w:rPr>
        <w:t>.</w:t>
      </w:r>
      <w:r>
        <w:rPr>
          <w:rFonts w:hint="eastAsia" w:ascii="仿宋_GB2312" w:hAnsi="仿宋" w:eastAsia="仿宋_GB2312" w:cs="宋体"/>
          <w:sz w:val="32"/>
          <w:szCs w:val="32"/>
          <w:lang w:val="en-US" w:eastAsia="zh-CN" w:bidi="ar"/>
        </w:rPr>
        <w:t>产出时效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Style w:val="7"/>
          <w:rFonts w:hint="default" w:ascii="仿宋_GB2312" w:hAnsi="仿宋" w:eastAsia="仿宋_GB2312"/>
          <w:b w:val="0"/>
          <w:spacing w:val="-4"/>
          <w:sz w:val="32"/>
          <w:szCs w:val="32"/>
          <w:lang w:val="en-US" w:eastAsia="zh-CN"/>
        </w:rPr>
      </w:pPr>
      <w:r>
        <w:rPr>
          <w:rStyle w:val="7"/>
          <w:rFonts w:hint="eastAsia" w:ascii="仿宋_GB2312" w:hAnsi="仿宋" w:eastAsia="仿宋_GB2312"/>
          <w:b w:val="0"/>
          <w:spacing w:val="-4"/>
          <w:sz w:val="32"/>
          <w:szCs w:val="32"/>
          <w:lang w:val="en-US" w:eastAsia="zh-CN"/>
        </w:rPr>
        <w:t>按照设计书计划，严格按照时间阶段完成相应的工作量，并接受本单位及主管部门的及检查。</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spacing w:val="17"/>
          <w:sz w:val="32"/>
          <w:szCs w:val="32"/>
          <w:highlight w:val="none"/>
        </w:rPr>
      </w:pPr>
      <w:r>
        <w:rPr>
          <w:rFonts w:hint="eastAsia"/>
          <w:spacing w:val="17"/>
          <w:sz w:val="32"/>
          <w:szCs w:val="32"/>
          <w:highlight w:val="none"/>
          <w:lang w:val="en-US" w:eastAsia="zh-CN"/>
        </w:rPr>
        <w:t xml:space="preserve">    </w:t>
      </w:r>
      <w:r>
        <w:rPr>
          <w:spacing w:val="17"/>
          <w:sz w:val="32"/>
          <w:szCs w:val="32"/>
          <w:highlight w:val="none"/>
        </w:rPr>
        <w:t>(四)项目效益情况</w:t>
      </w:r>
    </w:p>
    <w:p>
      <w:pPr>
        <w:pStyle w:val="2"/>
        <w:spacing w:line="560" w:lineRule="exact"/>
        <w:ind w:firstLine="640" w:firstLineChars="200"/>
        <w:rPr>
          <w:rFonts w:hint="default" w:ascii="仿宋_GB2312" w:hAnsi="仿宋" w:eastAsia="仿宋_GB2312" w:cs="宋体"/>
          <w:color w:val="333333"/>
          <w:sz w:val="32"/>
          <w:szCs w:val="32"/>
          <w:lang w:val="en-US"/>
        </w:rPr>
      </w:pPr>
      <w:r>
        <w:rPr>
          <w:rFonts w:hint="eastAsia" w:ascii="仿宋_GB2312" w:hAnsi="仿宋" w:eastAsia="仿宋_GB2312" w:cs="宋体"/>
          <w:sz w:val="32"/>
          <w:szCs w:val="32"/>
          <w:lang w:bidi="ar"/>
        </w:rPr>
        <w:t>效益指标从经济效益</w:t>
      </w:r>
      <w:r>
        <w:rPr>
          <w:rFonts w:hint="eastAsia" w:ascii="仿宋_GB2312" w:hAnsi="仿宋" w:eastAsia="仿宋_GB2312" w:cs="宋体"/>
          <w:sz w:val="32"/>
          <w:szCs w:val="32"/>
          <w:lang w:val="en-US" w:eastAsia="zh-CN" w:bidi="ar"/>
        </w:rPr>
        <w:t>、社会效益和科技创新三个方面进行评价，在经济效益方面，完成了计划的野外工作量，并在两个重点工作区的发现了沉积型Li的找矿线索，为进一步选取评价提供依据。在社会效益方面，本次工作完成和田地区成矿系列图件对于认识和田地区开展项目部署、科学研究及找矿突破均有科学意义。在科技创新方面，尝试运用“洋板块”地质学思维，开展构造演化研究。</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0" w:beforeLines="100" w:beforeAutospacing="0" w:line="560" w:lineRule="exact"/>
        <w:ind w:firstLine="574" w:firstLineChars="200"/>
        <w:textAlignment w:val="baseline"/>
        <w:rPr>
          <w:rFonts w:ascii="黑体" w:hAnsi="黑体" w:eastAsia="黑体" w:cs="黑体"/>
          <w:b/>
          <w:bCs/>
          <w:spacing w:val="-2"/>
          <w:position w:val="21"/>
          <w:sz w:val="29"/>
          <w:szCs w:val="29"/>
        </w:rPr>
      </w:pPr>
      <w:r>
        <w:rPr>
          <w:rFonts w:ascii="黑体" w:hAnsi="黑体" w:eastAsia="黑体" w:cs="黑体"/>
          <w:b/>
          <w:bCs/>
          <w:spacing w:val="-2"/>
          <w:position w:val="21"/>
          <w:sz w:val="29"/>
          <w:szCs w:val="29"/>
        </w:rPr>
        <w:t>主要经验及做法、存在的问题及原因分析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24" w:firstLineChars="200"/>
        <w:textAlignment w:val="baseline"/>
        <w:rPr>
          <w:rStyle w:val="7"/>
          <w:rFonts w:hint="eastAsia" w:ascii="仿宋" w:hAnsi="仿宋" w:eastAsia="仿宋" w:cs="仿宋"/>
          <w:b w:val="0"/>
          <w:bCs w:val="0"/>
          <w:spacing w:val="-4"/>
          <w:sz w:val="32"/>
          <w:szCs w:val="32"/>
        </w:rPr>
      </w:pPr>
      <w:r>
        <w:rPr>
          <w:rStyle w:val="7"/>
          <w:rFonts w:hint="eastAsia" w:ascii="仿宋" w:hAnsi="仿宋" w:eastAsia="仿宋" w:cs="仿宋"/>
          <w:b w:val="0"/>
          <w:bCs w:val="0"/>
          <w:spacing w:val="-4"/>
          <w:sz w:val="32"/>
          <w:szCs w:val="32"/>
        </w:rPr>
        <w:t>1.主要经验及做法</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24" w:firstLineChars="200"/>
        <w:textAlignment w:val="baseline"/>
        <w:rPr>
          <w:rStyle w:val="7"/>
          <w:rFonts w:hint="eastAsia" w:ascii="仿宋" w:hAnsi="仿宋" w:eastAsia="仿宋" w:cs="仿宋"/>
          <w:b w:val="0"/>
          <w:bCs w:val="0"/>
          <w:spacing w:val="-4"/>
          <w:sz w:val="32"/>
          <w:szCs w:val="32"/>
          <w:lang w:eastAsia="zh-CN"/>
        </w:rPr>
      </w:pPr>
      <w:r>
        <w:rPr>
          <w:rStyle w:val="7"/>
          <w:rFonts w:hint="eastAsia" w:ascii="仿宋" w:hAnsi="仿宋" w:eastAsia="仿宋" w:cs="仿宋"/>
          <w:b w:val="0"/>
          <w:bCs w:val="0"/>
          <w:spacing w:val="-4"/>
          <w:sz w:val="32"/>
          <w:szCs w:val="32"/>
          <w:lang w:eastAsia="zh-CN"/>
        </w:rPr>
        <w:t>项目预算与实际执行之间的差异，需要在立项时进一步细化落实，尽可能贴近预算，减少偏差。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24" w:firstLineChars="200"/>
        <w:textAlignment w:val="baseline"/>
        <w:rPr>
          <w:rStyle w:val="7"/>
          <w:rFonts w:hint="eastAsia" w:ascii="仿宋" w:hAnsi="仿宋" w:eastAsia="仿宋" w:cs="仿宋"/>
          <w:b w:val="0"/>
          <w:bCs w:val="0"/>
          <w:spacing w:val="-4"/>
          <w:sz w:val="32"/>
          <w:szCs w:val="32"/>
        </w:rPr>
      </w:pPr>
      <w:r>
        <w:rPr>
          <w:rStyle w:val="7"/>
          <w:rFonts w:hint="eastAsia" w:ascii="仿宋" w:hAnsi="仿宋" w:eastAsia="仿宋" w:cs="仿宋"/>
          <w:b w:val="0"/>
          <w:bCs w:val="0"/>
          <w:spacing w:val="-4"/>
          <w:sz w:val="32"/>
          <w:szCs w:val="32"/>
        </w:rPr>
        <w:t>2.存在的问题及原因分析</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contextualSpacing/>
        <w:textAlignment w:val="baseline"/>
        <w:rPr>
          <w:rFonts w:hint="eastAsia" w:ascii="仿宋" w:hAnsi="仿宋" w:eastAsia="仿宋" w:cs="仿宋"/>
          <w:color w:val="333333"/>
          <w:sz w:val="29"/>
          <w:szCs w:val="29"/>
          <w:lang w:eastAsia="zh-CN"/>
        </w:rPr>
      </w:pPr>
      <w:r>
        <w:rPr>
          <w:rFonts w:hint="eastAsia" w:ascii="仿宋" w:hAnsi="仿宋" w:eastAsia="仿宋" w:cs="仿宋"/>
          <w:color w:val="333333"/>
          <w:sz w:val="32"/>
          <w:szCs w:val="32"/>
          <w:lang w:eastAsia="zh-CN"/>
        </w:rPr>
        <w:t>在预算编制过程中，存在不可预见性与不可抗力，需要充分考虑实际情况，与实际情况相结合，确保全年目标任务的完成。</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0" w:beforeLines="100" w:beforeAutospacing="0" w:line="560" w:lineRule="exact"/>
        <w:ind w:firstLine="635" w:firstLineChars="200"/>
        <w:textAlignment w:val="baseline"/>
        <w:rPr>
          <w:rFonts w:hint="eastAsia" w:ascii="黑体" w:hAnsi="黑体" w:eastAsia="黑体" w:cs="黑体"/>
          <w:b/>
          <w:bCs/>
          <w:spacing w:val="-2"/>
          <w:position w:val="21"/>
          <w:sz w:val="32"/>
          <w:szCs w:val="32"/>
        </w:rPr>
      </w:pPr>
      <w:r>
        <w:rPr>
          <w:rFonts w:hint="eastAsia" w:ascii="黑体" w:hAnsi="黑体" w:eastAsia="黑体" w:cs="黑体"/>
          <w:b/>
          <w:bCs/>
          <w:spacing w:val="-2"/>
          <w:position w:val="21"/>
          <w:sz w:val="32"/>
          <w:szCs w:val="32"/>
        </w:rPr>
        <w:t>有关建议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1.对项目决策的建议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在项目立项时需要进一步细化落实，做到充分掌握情况，避免出现预算和实际偏差较大的情况出现。</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对预算安排与执行的建议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充分考虑实际情况，从实际出发，合理编制预算，严格执行预算。</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3.对资金管理的建议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加强采购资金的管理，通过招投标方式控制采购成本。严格按照合同支付程序办理资金支付。</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项目管理的建议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做好预算基础以及前期资料收集工作，加强资金管理，合理编制预算。</w:t>
      </w:r>
    </w:p>
    <w:p>
      <w:pPr>
        <w:numPr>
          <w:ilvl w:val="0"/>
          <w:numId w:val="5"/>
        </w:numPr>
        <w:spacing w:before="261" w:line="221" w:lineRule="auto"/>
        <w:ind w:left="564"/>
        <w:outlineLvl w:val="1"/>
        <w:rPr>
          <w:rFonts w:ascii="黑体" w:hAnsi="黑体" w:eastAsia="黑体" w:cs="黑体"/>
          <w:b/>
          <w:bCs/>
          <w:spacing w:val="3"/>
          <w:sz w:val="32"/>
          <w:szCs w:val="32"/>
        </w:rPr>
      </w:pPr>
      <w:r>
        <w:rPr>
          <w:rFonts w:ascii="黑体" w:hAnsi="黑体" w:eastAsia="黑体" w:cs="黑体"/>
          <w:b/>
          <w:bCs/>
          <w:spacing w:val="3"/>
          <w:sz w:val="32"/>
          <w:szCs w:val="32"/>
        </w:rPr>
        <w:t>其他需要说明的问题</w:t>
      </w:r>
    </w:p>
    <w:p>
      <w:pPr>
        <w:pStyle w:val="4"/>
        <w:numPr>
          <w:ilvl w:val="0"/>
          <w:numId w:val="0"/>
        </w:numPr>
        <w:rPr>
          <w:rFonts w:hint="eastAsia" w:eastAsia="仿宋"/>
          <w:sz w:val="32"/>
          <w:szCs w:val="32"/>
          <w:lang w:eastAsia="zh-CN"/>
        </w:rPr>
      </w:pPr>
      <w:r>
        <w:rPr>
          <w:rFonts w:hint="eastAsia"/>
          <w:sz w:val="32"/>
          <w:szCs w:val="32"/>
          <w:lang w:val="en-US" w:eastAsia="zh-CN"/>
        </w:rPr>
        <w:t xml:space="preserve">   </w:t>
      </w:r>
      <w:r>
        <w:rPr>
          <w:rFonts w:hint="eastAsia"/>
          <w:sz w:val="32"/>
          <w:szCs w:val="32"/>
          <w:lang w:eastAsia="zh-CN"/>
        </w:rPr>
        <w:t>无</w:t>
      </w:r>
    </w:p>
    <w:sectPr>
      <w:footerReference r:id="rId3" w:type="default"/>
      <w:pgSz w:w="11900" w:h="16840"/>
      <w:pgMar w:top="1431" w:right="1785" w:bottom="40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56F2B2"/>
    <w:multiLevelType w:val="singleLevel"/>
    <w:tmpl w:val="DE56F2B2"/>
    <w:lvl w:ilvl="0" w:tentative="0">
      <w:start w:val="5"/>
      <w:numFmt w:val="chineseCounting"/>
      <w:suff w:val="space"/>
      <w:lvlText w:val="%1、"/>
      <w:lvlJc w:val="left"/>
      <w:rPr>
        <w:rFonts w:hint="eastAsia"/>
      </w:rPr>
    </w:lvl>
  </w:abstractNum>
  <w:abstractNum w:abstractNumId="1">
    <w:nsid w:val="00000005"/>
    <w:multiLevelType w:val="singleLevel"/>
    <w:tmpl w:val="00000005"/>
    <w:lvl w:ilvl="0" w:tentative="0">
      <w:start w:val="2"/>
      <w:numFmt w:val="decimal"/>
      <w:suff w:val="nothing"/>
      <w:lvlText w:val="%1."/>
      <w:lvlJc w:val="left"/>
    </w:lvl>
  </w:abstractNum>
  <w:abstractNum w:abstractNumId="2">
    <w:nsid w:val="00000006"/>
    <w:multiLevelType w:val="singleLevel"/>
    <w:tmpl w:val="00000006"/>
    <w:lvl w:ilvl="0" w:tentative="0">
      <w:start w:val="4"/>
      <w:numFmt w:val="decimal"/>
      <w:suff w:val="nothing"/>
      <w:lvlText w:val="%1."/>
      <w:lvlJc w:val="left"/>
    </w:lvl>
  </w:abstractNum>
  <w:abstractNum w:abstractNumId="3">
    <w:nsid w:val="66C708B7"/>
    <w:multiLevelType w:val="singleLevel"/>
    <w:tmpl w:val="66C708B7"/>
    <w:lvl w:ilvl="0" w:tentative="0">
      <w:start w:val="7"/>
      <w:numFmt w:val="chineseCounting"/>
      <w:suff w:val="nothing"/>
      <w:lvlText w:val="%1、"/>
      <w:lvlJc w:val="left"/>
    </w:lvl>
  </w:abstractNum>
  <w:abstractNum w:abstractNumId="4">
    <w:nsid w:val="7D6A3D81"/>
    <w:multiLevelType w:val="singleLevel"/>
    <w:tmpl w:val="7D6A3D81"/>
    <w:lvl w:ilvl="0" w:tentative="0">
      <w:start w:val="1"/>
      <w:numFmt w:val="chineseCounting"/>
      <w:lvlText w:val="(%1)"/>
      <w:lvlJc w:val="left"/>
      <w:pPr>
        <w:tabs>
          <w:tab w:val="left" w:pos="312"/>
        </w:tabs>
      </w:pPr>
      <w:rPr>
        <w:rFonts w:hint="eastAsi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compat>
    <w:spaceForUL/>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YWUwNWRkYzU1NGY0YzViMDVmMGZjMmRlYWNlOGJjZTkifQ=="/>
  </w:docVars>
  <w:rsids>
    <w:rsidRoot w:val="00000000"/>
    <w:rsid w:val="15DE20D0"/>
    <w:rsid w:val="169D5F44"/>
    <w:rsid w:val="1B063F67"/>
    <w:rsid w:val="28B6327F"/>
    <w:rsid w:val="313E1AC2"/>
    <w:rsid w:val="3AAC1209"/>
    <w:rsid w:val="3C830353"/>
    <w:rsid w:val="529E6B21"/>
    <w:rsid w:val="58A873E4"/>
    <w:rsid w:val="5DA64F1C"/>
    <w:rsid w:val="64A02DEE"/>
    <w:rsid w:val="6AB113B8"/>
    <w:rsid w:val="6ACE0551"/>
    <w:rsid w:val="6C90770E"/>
    <w:rsid w:val="7B5F2DBC"/>
    <w:rsid w:val="7D445D47"/>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Body Text First Indent"/>
    <w:basedOn w:val="4"/>
    <w:qFormat/>
    <w:uiPriority w:val="0"/>
    <w:pPr>
      <w:spacing w:after="120"/>
      <w:ind w:firstLine="420" w:firstLineChars="100"/>
    </w:pPr>
    <w:rPr>
      <w:rFonts w:ascii="Calibri" w:hAnsi="Calibri"/>
    </w:rPr>
  </w:style>
  <w:style w:type="paragraph" w:styleId="4">
    <w:name w:val="Body Text"/>
    <w:basedOn w:val="1"/>
    <w:next w:val="5"/>
    <w:semiHidden/>
    <w:qFormat/>
    <w:uiPriority w:val="0"/>
    <w:rPr>
      <w:rFonts w:ascii="仿宋" w:hAnsi="仿宋" w:eastAsia="仿宋" w:cs="仿宋"/>
      <w:sz w:val="35"/>
      <w:szCs w:val="35"/>
      <w:lang w:val="en-US" w:eastAsia="en-US" w:bidi="ar-SA"/>
    </w:rPr>
  </w:style>
  <w:style w:type="paragraph" w:styleId="5">
    <w:name w:val="Body Text Indent"/>
    <w:basedOn w:val="1"/>
    <w:qFormat/>
    <w:uiPriority w:val="0"/>
    <w:pPr>
      <w:spacing w:after="120"/>
      <w:ind w:left="420" w:leftChars="200"/>
    </w:pPr>
    <w:rPr>
      <w:rFonts w:ascii="仿宋_GB2312" w:hAnsi="Times New Roman" w:eastAsia="仿宋_GB2312"/>
      <w:sz w:val="32"/>
    </w:rPr>
  </w:style>
  <w:style w:type="character" w:styleId="7">
    <w:name w:val="Strong"/>
    <w:basedOn w:val="6"/>
    <w:qFormat/>
    <w:uiPriority w:val="0"/>
    <w:rPr>
      <w:b/>
      <w:bCs/>
    </w:rPr>
  </w:style>
  <w:style w:type="table" w:customStyle="1" w:styleId="9">
    <w:name w:val="Table Normal"/>
    <w:unhideWhenUsed/>
    <w:qFormat/>
    <w:uiPriority w:val="0"/>
    <w:tblPr>
      <w:tblLayout w:type="fixed"/>
      <w:tblCellMar>
        <w:top w:w="0" w:type="dxa"/>
        <w:left w:w="0" w:type="dxa"/>
        <w:bottom w:w="0" w:type="dxa"/>
        <w:right w:w="0" w:type="dxa"/>
      </w:tblCellMar>
    </w:tblPr>
  </w:style>
  <w:style w:type="paragraph" w:customStyle="1" w:styleId="10">
    <w:name w:val="Table Text"/>
    <w:basedOn w:val="1"/>
    <w:semiHidden/>
    <w:qFormat/>
    <w:uiPriority w:val="0"/>
    <w:rPr>
      <w:rFonts w:ascii="Arial" w:hAnsi="Arial" w:eastAsia="Arial" w:cs="Arial"/>
      <w:sz w:val="21"/>
      <w:szCs w:val="21"/>
      <w:lang w:val="en-US" w:eastAsia="en-US" w:bidi="ar-SA"/>
    </w:rPr>
  </w:style>
  <w:style w:type="paragraph" w:customStyle="1" w:styleId="11">
    <w:name w:val="List Paragraph"/>
    <w:basedOn w:val="1"/>
    <w:qFormat/>
    <w:uiPriority w:val="0"/>
    <w:pPr>
      <w:widowControl/>
      <w:ind w:left="720"/>
      <w:jc w:val="left"/>
    </w:pPr>
    <w:rPr>
      <w:rFonts w:ascii="Calibri" w:hAnsi="Calibri" w:eastAsia="宋体"/>
      <w:kern w:val="0"/>
      <w:sz w:val="24"/>
      <w:lang w:eastAsia="en-US"/>
    </w:rPr>
  </w:style>
  <w:style w:type="paragraph" w:customStyle="1" w:styleId="12">
    <w:name w:val="标准正文"/>
    <w:qFormat/>
    <w:uiPriority w:val="99"/>
    <w:pPr>
      <w:widowControl w:val="0"/>
      <w:spacing w:line="360" w:lineRule="exact"/>
      <w:ind w:firstLine="420" w:firstLineChars="200"/>
      <w:jc w:val="both"/>
    </w:pPr>
    <w:rPr>
      <w:rFonts w:ascii="宋体" w:hAnsi="宋体" w:eastAsia="宋体" w:cs="Times New Roman"/>
      <w:sz w:val="21"/>
      <w:szCs w:val="21"/>
      <w:lang w:val="en-US" w:eastAsia="zh-CN" w:bidi="ar-SA"/>
    </w:rPr>
  </w:style>
  <w:style w:type="character" w:customStyle="1" w:styleId="13">
    <w:name w:val="font41"/>
    <w:basedOn w:val="6"/>
    <w:qFormat/>
    <w:uiPriority w:val="0"/>
    <w:rPr>
      <w:rFonts w:hint="eastAsia" w:ascii="宋体" w:hAnsi="宋体" w:eastAsia="宋体" w:cs="宋体"/>
      <w:color w:val="000000"/>
      <w:sz w:val="12"/>
      <w:szCs w:val="12"/>
      <w:u w:val="none"/>
    </w:rPr>
  </w:style>
  <w:style w:type="character" w:customStyle="1" w:styleId="14">
    <w:name w:val="font51"/>
    <w:basedOn w:val="6"/>
    <w:qFormat/>
    <w:uiPriority w:val="0"/>
    <w:rPr>
      <w:rFonts w:hint="default" w:ascii="Arial" w:hAnsi="Arial" w:cs="Arial"/>
      <w:color w:val="000000"/>
      <w:sz w:val="12"/>
      <w:szCs w:val="12"/>
      <w:u w:val="none"/>
    </w:rPr>
  </w:style>
  <w:style w:type="character" w:customStyle="1" w:styleId="15">
    <w:name w:val="font112"/>
    <w:basedOn w:val="6"/>
    <w:qFormat/>
    <w:uiPriority w:val="0"/>
    <w:rPr>
      <w:rFonts w:ascii="宋体" w:hAnsi="宋体" w:eastAsia="宋体" w:cs="宋体"/>
      <w:color w:val="000000"/>
      <w:sz w:val="12"/>
      <w:szCs w:val="12"/>
      <w:u w:val="none"/>
    </w:rPr>
  </w:style>
  <w:style w:type="character" w:customStyle="1" w:styleId="16">
    <w:name w:val="font61"/>
    <w:basedOn w:val="6"/>
    <w:qFormat/>
    <w:uiPriority w:val="0"/>
    <w:rPr>
      <w:rFonts w:hint="eastAsia" w:ascii="宋体" w:hAnsi="宋体" w:eastAsia="宋体" w:cs="宋体"/>
      <w:color w:val="000000"/>
      <w:sz w:val="16"/>
      <w:szCs w:val="16"/>
      <w:u w:val="none"/>
    </w:rPr>
  </w:style>
  <w:style w:type="character" w:customStyle="1" w:styleId="17">
    <w:name w:val="font71"/>
    <w:basedOn w:val="6"/>
    <w:qFormat/>
    <w:uiPriority w:val="0"/>
    <w:rPr>
      <w:rFonts w:hint="default" w:ascii="Arial" w:hAnsi="Arial" w:cs="Arial"/>
      <w:color w:val="000000"/>
      <w:sz w:val="16"/>
      <w:szCs w:val="16"/>
      <w:u w:val="none"/>
    </w:rPr>
  </w:style>
  <w:style w:type="character" w:customStyle="1" w:styleId="18">
    <w:name w:val="font31"/>
    <w:basedOn w:val="6"/>
    <w:uiPriority w:val="0"/>
    <w:rPr>
      <w:rFonts w:hint="eastAsia" w:ascii="宋体" w:hAnsi="宋体" w:eastAsia="宋体" w:cs="宋体"/>
      <w:color w:val="000000"/>
      <w:sz w:val="12"/>
      <w:szCs w:val="12"/>
      <w:u w:val="none"/>
    </w:rPr>
  </w:style>
  <w:style w:type="character" w:customStyle="1" w:styleId="19">
    <w:name w:val="font121"/>
    <w:basedOn w:val="6"/>
    <w:qFormat/>
    <w:uiPriority w:val="0"/>
    <w:rPr>
      <w:rFonts w:ascii="宋体" w:hAnsi="宋体" w:eastAsia="宋体" w:cs="宋体"/>
      <w:color w:val="000000"/>
      <w:sz w:val="12"/>
      <w:szCs w:val="12"/>
      <w:u w:val="none"/>
    </w:rPr>
  </w:style>
  <w:style w:type="character" w:customStyle="1" w:styleId="20">
    <w:name w:val="font81"/>
    <w:basedOn w:val="6"/>
    <w:qFormat/>
    <w:uiPriority w:val="0"/>
    <w:rPr>
      <w:rFonts w:ascii="宋体" w:hAnsi="宋体" w:eastAsia="宋体" w:cs="宋体"/>
      <w:b/>
      <w:bCs/>
      <w:color w:val="000000"/>
      <w:sz w:val="28"/>
      <w:szCs w:val="28"/>
      <w:u w:val="none"/>
    </w:rPr>
  </w:style>
  <w:style w:type="character" w:customStyle="1" w:styleId="21">
    <w:name w:val="font91"/>
    <w:basedOn w:val="6"/>
    <w:qFormat/>
    <w:uiPriority w:val="0"/>
    <w:rPr>
      <w:rFonts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6697</Words>
  <Characters>7069</Characters>
  <Lines>0</Lines>
  <Paragraphs>0</Paragraphs>
  <TotalTime>0</TotalTime>
  <ScaleCrop>false</ScaleCrop>
  <LinksUpToDate>false</LinksUpToDate>
  <CharactersWithSpaces>7131</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dcterms:modified xsi:type="dcterms:W3CDTF">2024-08-27T13:33:23Z</dcterms:modified>
  <dc:subject>pdfbuilder</dc:subject>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2052-10.8.0.5838</vt:lpwstr>
  </property>
  <property fmtid="{D5CDD505-2E9C-101B-9397-08002B2CF9AE}" pid="6" name="ICV">
    <vt:lpwstr>924C99EF9D084FBB96CD0C7FB3E1FED1_12</vt:lpwstr>
  </property>
</Properties>
</file>