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8"/>
          <w:rFonts w:hint="eastAsia" w:ascii="楷体" w:hAnsi="楷体" w:eastAsia="楷体"/>
          <w:spacing w:val="-4"/>
          <w:sz w:val="32"/>
          <w:szCs w:val="32"/>
        </w:rPr>
        <w:t>202</w:t>
      </w:r>
      <w:r>
        <w:rPr>
          <w:rStyle w:val="8"/>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2877" w:leftChars="513" w:hanging="1800" w:hangingChars="500"/>
        <w:jc w:val="left"/>
        <w:textAlignment w:val="baseline"/>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和田地区重要战略性矿产资源成矿规律研究与靶区优选</w:t>
      </w:r>
    </w:p>
    <w:p>
      <w:pPr>
        <w:spacing w:line="700" w:lineRule="exact"/>
        <w:ind w:left="3417" w:leftChars="513" w:hanging="2340" w:hangingChars="6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实施单位（公章）：新疆维吾尔自治区地质</w:t>
      </w:r>
      <w:r>
        <w:rPr>
          <w:rFonts w:hint="eastAsia" w:hAnsi="宋体" w:eastAsia="仿宋_GB2312" w:cs="宋体"/>
          <w:kern w:val="0"/>
          <w:sz w:val="36"/>
          <w:szCs w:val="36"/>
          <w:lang w:eastAsia="zh-CN"/>
        </w:rPr>
        <w:t>调查院</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700" w:lineRule="exact"/>
        <w:ind w:left="3417" w:leftChars="513" w:hanging="2340" w:hangingChars="6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项目负责人（签章）：韩琼</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366" w:lineRule="auto"/>
      </w:pPr>
    </w:p>
    <w:p>
      <w:pPr>
        <w:spacing w:line="540" w:lineRule="exact"/>
        <w:jc w:val="left"/>
        <w:rPr>
          <w:rFonts w:hint="eastAsia" w:ascii="仿宋" w:hAnsi="仿宋" w:eastAsia="仿宋" w:cs="宋体"/>
          <w:kern w:val="0"/>
          <w:sz w:val="28"/>
          <w:szCs w:val="28"/>
        </w:rPr>
      </w:pPr>
    </w:p>
    <w:p>
      <w:pPr>
        <w:spacing w:line="366" w:lineRule="auto"/>
        <w:rPr>
          <w:rFonts w:ascii="Arial"/>
          <w:sz w:val="21"/>
        </w:rPr>
      </w:pPr>
    </w:p>
    <w:p>
      <w:pPr>
        <w:spacing w:line="366" w:lineRule="auto"/>
        <w:rPr>
          <w:rFonts w:ascii="Arial"/>
          <w:sz w:val="21"/>
        </w:rPr>
      </w:pPr>
    </w:p>
    <w:p>
      <w:pPr>
        <w:spacing w:line="366" w:lineRule="auto"/>
        <w:rPr>
          <w:rFonts w:ascii="Arial"/>
          <w:sz w:val="21"/>
        </w:rPr>
      </w:pPr>
    </w:p>
    <w:p>
      <w:pPr>
        <w:spacing w:before="75" w:line="219" w:lineRule="auto"/>
        <w:ind w:left="3"/>
        <w:rPr>
          <w:rFonts w:ascii="宋体" w:hAnsi="宋体" w:eastAsia="宋体" w:cs="宋体"/>
          <w:sz w:val="23"/>
          <w:szCs w:val="23"/>
        </w:rPr>
      </w:pPr>
      <w:r>
        <w:rPr>
          <w:rFonts w:ascii="宋体" w:hAnsi="宋体" w:eastAsia="宋体" w:cs="宋体"/>
          <w:b/>
          <w:bCs/>
          <w:spacing w:val="18"/>
          <w:sz w:val="23"/>
          <w:szCs w:val="23"/>
        </w:rPr>
        <w:t>附件2</w:t>
      </w:r>
    </w:p>
    <w:p>
      <w:pPr>
        <w:spacing w:before="307" w:line="218" w:lineRule="auto"/>
        <w:ind w:left="2644"/>
        <w:rPr>
          <w:rFonts w:ascii="宋体" w:hAnsi="宋体" w:eastAsia="宋体" w:cs="宋体"/>
          <w:sz w:val="29"/>
          <w:szCs w:val="29"/>
        </w:rPr>
      </w:pPr>
      <w:r>
        <w:rPr>
          <w:rFonts w:ascii="宋体" w:hAnsi="宋体" w:eastAsia="宋体" w:cs="宋体"/>
          <w:b/>
          <w:bCs/>
          <w:spacing w:val="58"/>
          <w:sz w:val="29"/>
          <w:szCs w:val="29"/>
        </w:rPr>
        <w:t>项目支出绩效评价报告</w:t>
      </w:r>
    </w:p>
    <w:p>
      <w:pPr>
        <w:spacing w:line="261" w:lineRule="auto"/>
        <w:rPr>
          <w:rFonts w:hint="eastAsia" w:ascii="Arial" w:eastAsia="宋体"/>
          <w:sz w:val="21"/>
          <w:lang w:eastAsia="zh-CN"/>
        </w:rPr>
      </w:pPr>
      <w:r>
        <w:rPr>
          <w:rFonts w:hint="eastAsia" w:eastAsia="宋体"/>
          <w:spacing w:val="19"/>
          <w:sz w:val="29"/>
          <w:szCs w:val="29"/>
          <w:lang w:val="en-US" w:eastAsia="zh-CN"/>
        </w:rPr>
        <w:t xml:space="preserve"> </w:t>
      </w:r>
    </w:p>
    <w:p>
      <w:pPr>
        <w:spacing w:line="261" w:lineRule="auto"/>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sz w:val="29"/>
          <w:szCs w:val="29"/>
        </w:rPr>
      </w:pPr>
      <w:r>
        <w:rPr>
          <w:rFonts w:hint="eastAsia" w:ascii="黑体" w:hAnsi="黑体" w:eastAsia="黑体" w:cs="黑体"/>
          <w:b/>
          <w:bCs/>
          <w:spacing w:val="4"/>
          <w:sz w:val="29"/>
          <w:szCs w:val="29"/>
          <w:lang w:val="en-US" w:eastAsia="zh-CN"/>
        </w:rPr>
        <w:t xml:space="preserve">    </w:t>
      </w:r>
      <w:r>
        <w:rPr>
          <w:rFonts w:ascii="黑体" w:hAnsi="黑体" w:eastAsia="黑体" w:cs="黑体"/>
          <w:b/>
          <w:bCs/>
          <w:spacing w:val="4"/>
          <w:sz w:val="29"/>
          <w:szCs w:val="29"/>
        </w:rPr>
        <w:t>一、基本情况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0" w:firstLineChars="0"/>
        <w:textAlignment w:val="baseline"/>
        <w:rPr>
          <w:color w:val="auto"/>
          <w:spacing w:val="-1"/>
          <w:sz w:val="29"/>
          <w:szCs w:val="29"/>
          <w:highlight w:val="none"/>
        </w:rPr>
      </w:pPr>
      <w:r>
        <w:rPr>
          <w:rFonts w:hint="eastAsia"/>
          <w:color w:val="auto"/>
          <w:spacing w:val="17"/>
          <w:position w:val="23"/>
          <w:sz w:val="29"/>
          <w:szCs w:val="29"/>
          <w:highlight w:val="none"/>
          <w:lang w:val="en-US" w:eastAsia="zh-CN"/>
        </w:rPr>
        <w:t xml:space="preserve">    </w:t>
      </w:r>
      <w:r>
        <w:rPr>
          <w:color w:val="auto"/>
          <w:spacing w:val="17"/>
          <w:position w:val="23"/>
          <w:sz w:val="29"/>
          <w:szCs w:val="29"/>
          <w:highlight w:val="none"/>
        </w:rPr>
        <w:t>(一)项目概况</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eastAsia"/>
          <w:color w:val="auto"/>
          <w:spacing w:val="-1"/>
          <w:sz w:val="29"/>
          <w:szCs w:val="29"/>
          <w:highlight w:val="none"/>
          <w:lang w:val="en-US" w:eastAsia="zh-CN"/>
        </w:rPr>
      </w:pPr>
      <w:r>
        <w:rPr>
          <w:rFonts w:hint="eastAsia"/>
          <w:color w:val="auto"/>
          <w:spacing w:val="-1"/>
          <w:sz w:val="29"/>
          <w:szCs w:val="29"/>
          <w:highlight w:val="none"/>
          <w:lang w:val="en-US" w:eastAsia="zh-CN"/>
        </w:rPr>
        <w:t xml:space="preserve">    1.项目背景</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76" w:firstLineChars="200"/>
        <w:jc w:val="left"/>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项目名称：和田地区重要战略性矿产资源成矿规律研究与靶区优选</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76" w:firstLineChars="200"/>
        <w:jc w:val="left"/>
        <w:textAlignment w:val="baseline"/>
        <w:rPr>
          <w:rFonts w:hint="eastAsia"/>
          <w:color w:val="auto"/>
          <w:spacing w:val="-1"/>
          <w:sz w:val="29"/>
          <w:szCs w:val="29"/>
          <w:highlight w:val="none"/>
          <w:lang w:val="en-US" w:eastAsia="zh-CN"/>
        </w:rPr>
      </w:pPr>
      <w:r>
        <w:rPr>
          <w:rFonts w:hint="eastAsia"/>
          <w:color w:val="auto"/>
          <w:spacing w:val="-1"/>
          <w:sz w:val="29"/>
          <w:szCs w:val="29"/>
          <w:highlight w:val="none"/>
          <w:lang w:val="en-US" w:eastAsia="zh-CN"/>
        </w:rPr>
        <w:t>项目编号：XGMB202249</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76" w:firstLineChars="200"/>
        <w:jc w:val="left"/>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项目周期：2022年4月-2025年4月</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 xml:space="preserve">    2.主要内容及实施情况</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val="en-US" w:eastAsia="zh-CN"/>
        </w:rPr>
      </w:pPr>
      <w:r>
        <w:rPr>
          <w:rFonts w:hint="eastAsia" w:cs="宋体"/>
          <w:color w:val="auto"/>
          <w:spacing w:val="-4"/>
          <w:sz w:val="28"/>
          <w:szCs w:val="28"/>
          <w:highlight w:val="none"/>
          <w:lang w:val="en-US" w:eastAsia="zh-CN"/>
        </w:rPr>
        <w:t>1）</w:t>
      </w:r>
      <w:r>
        <w:rPr>
          <w:rFonts w:hint="eastAsia"/>
          <w:color w:val="auto"/>
          <w:sz w:val="28"/>
          <w:szCs w:val="28"/>
          <w:highlight w:val="none"/>
          <w:lang w:val="en-US" w:eastAsia="zh-CN"/>
        </w:rPr>
        <w:t>综合研究</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val="en-US" w:eastAsia="zh-CN"/>
        </w:rPr>
      </w:pPr>
      <w:r>
        <w:rPr>
          <w:rFonts w:hint="eastAsia" w:cs="宋体"/>
          <w:color w:val="auto"/>
          <w:spacing w:val="-4"/>
          <w:sz w:val="28"/>
          <w:szCs w:val="28"/>
          <w:highlight w:val="none"/>
          <w:lang w:val="en-US" w:eastAsia="zh-CN"/>
        </w:rPr>
        <w:t>包括资料收集、</w:t>
      </w:r>
      <w:r>
        <w:rPr>
          <w:rFonts w:hint="eastAsia" w:ascii="仿宋" w:hAnsi="仿宋" w:eastAsia="仿宋"/>
          <w:color w:val="auto"/>
          <w:sz w:val="28"/>
          <w:szCs w:val="28"/>
          <w:highlight w:val="none"/>
          <w:lang w:val="en-US" w:eastAsia="zh-CN"/>
        </w:rPr>
        <w:t>成矿地质背景研究</w:t>
      </w:r>
      <w:r>
        <w:rPr>
          <w:rFonts w:hint="eastAsia"/>
          <w:color w:val="auto"/>
          <w:sz w:val="28"/>
          <w:szCs w:val="28"/>
          <w:highlight w:val="none"/>
          <w:lang w:val="en-US" w:eastAsia="zh-CN"/>
        </w:rPr>
        <w:t>、</w:t>
      </w:r>
      <w:r>
        <w:rPr>
          <w:rFonts w:hint="eastAsia" w:ascii="仿宋" w:hAnsi="仿宋" w:eastAsia="仿宋"/>
          <w:color w:val="auto"/>
          <w:sz w:val="28"/>
          <w:szCs w:val="28"/>
          <w:highlight w:val="none"/>
          <w:lang w:val="en-US" w:eastAsia="zh-CN"/>
        </w:rPr>
        <w:t>典型矿床研究</w:t>
      </w:r>
      <w:r>
        <w:rPr>
          <w:rFonts w:hint="eastAsia"/>
          <w:color w:val="auto"/>
          <w:sz w:val="28"/>
          <w:szCs w:val="28"/>
          <w:highlight w:val="none"/>
          <w:lang w:val="en-US" w:eastAsia="zh-CN"/>
        </w:rPr>
        <w:t>、</w:t>
      </w:r>
      <w:r>
        <w:rPr>
          <w:rFonts w:hint="eastAsia" w:ascii="仿宋" w:hAnsi="仿宋" w:eastAsia="仿宋"/>
          <w:color w:val="auto"/>
          <w:sz w:val="28"/>
          <w:szCs w:val="28"/>
          <w:highlight w:val="none"/>
          <w:lang w:val="en-US" w:eastAsia="zh-CN"/>
        </w:rPr>
        <w:t>多元信息研究</w:t>
      </w:r>
      <w:r>
        <w:rPr>
          <w:rFonts w:hint="eastAsia"/>
          <w:color w:val="auto"/>
          <w:sz w:val="28"/>
          <w:szCs w:val="28"/>
          <w:highlight w:val="none"/>
          <w:lang w:val="en-US" w:eastAsia="zh-CN"/>
        </w:rPr>
        <w:t>、</w:t>
      </w:r>
      <w:r>
        <w:rPr>
          <w:rFonts w:hint="eastAsia" w:ascii="仿宋" w:hAnsi="仿宋" w:eastAsia="仿宋"/>
          <w:color w:val="auto"/>
          <w:sz w:val="28"/>
          <w:szCs w:val="28"/>
          <w:highlight w:val="none"/>
          <w:lang w:val="en-US" w:eastAsia="zh-CN"/>
        </w:rPr>
        <w:t>成矿系列图件编制</w:t>
      </w:r>
      <w:r>
        <w:rPr>
          <w:rFonts w:hint="eastAsia"/>
          <w:color w:val="auto"/>
          <w:sz w:val="28"/>
          <w:szCs w:val="28"/>
          <w:highlight w:val="none"/>
          <w:lang w:val="en-US" w:eastAsia="zh-CN"/>
        </w:rPr>
        <w:t>、</w:t>
      </w:r>
      <w:r>
        <w:rPr>
          <w:rFonts w:hint="eastAsia" w:ascii="仿宋" w:hAnsi="仿宋" w:eastAsia="仿宋"/>
          <w:color w:val="auto"/>
          <w:sz w:val="28"/>
          <w:szCs w:val="28"/>
          <w:highlight w:val="none"/>
          <w:lang w:val="en-US" w:eastAsia="zh-CN"/>
        </w:rPr>
        <w:t>成矿预测及靶区优选</w:t>
      </w:r>
      <w:r>
        <w:rPr>
          <w:rFonts w:hint="eastAsia"/>
          <w:color w:val="auto"/>
          <w:sz w:val="28"/>
          <w:szCs w:val="28"/>
          <w:highlight w:val="none"/>
          <w:lang w:val="en-US" w:eastAsia="zh-CN"/>
        </w:rPr>
        <w:t>。</w:t>
      </w:r>
    </w:p>
    <w:p>
      <w:pPr>
        <w:pStyle w:val="5"/>
        <w:keepNext w:val="0"/>
        <w:keepLines w:val="0"/>
        <w:pageBreakBefore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202</w:t>
      </w:r>
      <w:r>
        <w:rPr>
          <w:rFonts w:hint="eastAsia" w:ascii="仿宋" w:hAnsi="仿宋"/>
          <w:color w:val="auto"/>
          <w:sz w:val="28"/>
          <w:szCs w:val="28"/>
          <w:highlight w:val="none"/>
          <w:lang w:val="en-US" w:eastAsia="zh-CN"/>
        </w:rPr>
        <w:t>3</w:t>
      </w:r>
      <w:r>
        <w:rPr>
          <w:rFonts w:hint="eastAsia" w:ascii="仿宋" w:hAnsi="仿宋" w:eastAsia="仿宋"/>
          <w:color w:val="auto"/>
          <w:sz w:val="28"/>
          <w:szCs w:val="28"/>
          <w:highlight w:val="none"/>
          <w:lang w:val="en-US" w:eastAsia="zh-CN"/>
        </w:rPr>
        <w:t>年</w:t>
      </w:r>
      <w:r>
        <w:rPr>
          <w:rFonts w:hint="eastAsia" w:ascii="仿宋" w:hAnsi="仿宋"/>
          <w:color w:val="auto"/>
          <w:sz w:val="28"/>
          <w:szCs w:val="28"/>
          <w:highlight w:val="none"/>
          <w:lang w:val="en-US" w:eastAsia="zh-CN"/>
        </w:rPr>
        <w:t>对</w:t>
      </w:r>
      <w:r>
        <w:rPr>
          <w:rFonts w:hint="default" w:ascii="仿宋" w:hAnsi="仿宋" w:eastAsia="仿宋"/>
          <w:color w:val="auto"/>
          <w:sz w:val="28"/>
          <w:szCs w:val="28"/>
          <w:highlight w:val="none"/>
          <w:lang w:val="en-US" w:eastAsia="zh-CN"/>
        </w:rPr>
        <w:t>大红柳滩锂铍、苦水湖钾盐</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硝尔库勒锑（金）</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火烧云铅锌</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卡特里西铜锌</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苦阿金</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布穷</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阿克萨依铁</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阿合栏杆银</w:t>
      </w:r>
      <w:r>
        <w:rPr>
          <w:rFonts w:hint="eastAsia" w:ascii="仿宋" w:hAnsi="仿宋" w:eastAsia="仿宋"/>
          <w:color w:val="auto"/>
          <w:sz w:val="28"/>
          <w:szCs w:val="28"/>
          <w:highlight w:val="none"/>
          <w:lang w:val="en-US" w:eastAsia="zh-CN"/>
        </w:rPr>
        <w:t>矿、</w:t>
      </w:r>
      <w:r>
        <w:rPr>
          <w:rFonts w:hint="default" w:ascii="仿宋" w:hAnsi="仿宋" w:eastAsia="仿宋"/>
          <w:color w:val="auto"/>
          <w:sz w:val="28"/>
          <w:szCs w:val="28"/>
          <w:highlight w:val="none"/>
          <w:lang w:val="en-US" w:eastAsia="zh-CN"/>
        </w:rPr>
        <w:t>夏日哈木镍</w:t>
      </w:r>
      <w:r>
        <w:rPr>
          <w:rFonts w:hint="eastAsia" w:ascii="仿宋" w:hAnsi="仿宋" w:eastAsia="仿宋"/>
          <w:color w:val="auto"/>
          <w:sz w:val="28"/>
          <w:szCs w:val="28"/>
          <w:highlight w:val="none"/>
          <w:lang w:val="en-US" w:eastAsia="zh-CN"/>
        </w:rPr>
        <w:t>矿、黄羊岭锑矿等典型矿床开展研究。收集了大量的研究论文，并对火烧云铅锌矿、大红柳滩锂铍矿开展野外调研工作，初步确定了找矿标志，建立了找矿模型和成矿模式。</w:t>
      </w:r>
      <w:r>
        <w:rPr>
          <w:rFonts w:hint="eastAsia" w:ascii="仿宋" w:hAnsi="仿宋"/>
          <w:color w:val="auto"/>
          <w:sz w:val="28"/>
          <w:szCs w:val="28"/>
          <w:highlight w:val="none"/>
          <w:lang w:val="en-US" w:eastAsia="zh-CN"/>
        </w:rPr>
        <w:t>完成成矿系列图件3张。</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val="en-US" w:eastAsia="zh-CN"/>
        </w:rPr>
      </w:pPr>
      <w:r>
        <w:rPr>
          <w:rFonts w:hint="eastAsia" w:cs="宋体"/>
          <w:color w:val="auto"/>
          <w:spacing w:val="-4"/>
          <w:sz w:val="28"/>
          <w:szCs w:val="28"/>
          <w:highlight w:val="none"/>
          <w:lang w:val="en-US" w:eastAsia="zh-CN"/>
        </w:rPr>
        <w:t>2）专题研究</w:t>
      </w:r>
    </w:p>
    <w:p>
      <w:pPr>
        <w:pStyle w:val="5"/>
        <w:keepNext w:val="0"/>
        <w:keepLines w:val="0"/>
        <w:pageBreakBefore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西昆仑-喀喇昆仑造山带位于青藏高原北部，是古亚洲洋与古特提斯洋作用部位，经历了原特提斯-中（新）特提斯阶段长期的构造演化，由于自然条件制约以及缺乏对关键地质体（建造）的系统工作，使很多问题仍无法得以解决，其中核心科学问题包括：区内是否存在可靠的前寒武纪基底、特提斯演化过程以及构造演化与成矿效应的耦合关系。幔源岩浆形成的镁铁质-超镁铁质岩是认识壳幔物质组成、壳幔岩浆作用和深部地质作用，以及大陆岩石圈形成、演化、动力学等重大基础地质问题的主要研究对象，也是世界范围内绝大部分铬、镍、铂元素，以及铁、铜、钒、钛等矿产资源的主要来源。随着近些年区内地质工作的开展，幔源岩浆作用逐渐被重视。对区内幔源岩浆作用时空变化规律和成矿作用机制研究，有助于揭示区域构造演化和岩浆成矿作用之间的耦合关系，为区内特提斯洋发育过程中是否存在地幔柱活动？原特提斯洋及古特提斯洋的形成时代？特提斯洋不同阶段的洋陆格局、洋壳俯冲消减过程？与镁铁质-超镁铁质杂岩体、镁铁质-超镁铁质火山-次火山岩有关的各类矿床找矿方向？</w:t>
      </w:r>
    </w:p>
    <w:p>
      <w:pPr>
        <w:pStyle w:val="5"/>
        <w:keepNext w:val="0"/>
        <w:keepLines w:val="0"/>
        <w:pageBreakBefore w:val="0"/>
        <w:kinsoku/>
        <w:wordWrap/>
        <w:overflowPunct/>
        <w:topLinePunct w:val="0"/>
        <w:autoSpaceDE/>
        <w:autoSpaceDN/>
        <w:bidi w:val="0"/>
        <w:adjustRightInd w:val="0"/>
        <w:snapToGrid w:val="0"/>
        <w:spacing w:after="0" w:line="360" w:lineRule="auto"/>
        <w:ind w:firstLine="560" w:firstLineChars="200"/>
        <w:jc w:val="left"/>
        <w:textAlignment w:val="auto"/>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2023年度基本完成了样品测试工作，测制地质构造剖面图2张，认为</w:t>
      </w:r>
      <w:r>
        <w:rPr>
          <w:rFonts w:hint="eastAsia" w:ascii="仿宋" w:hAnsi="仿宋"/>
          <w:color w:val="auto"/>
          <w:sz w:val="28"/>
          <w:szCs w:val="28"/>
          <w:highlight w:val="none"/>
          <w:lang w:val="en-US" w:eastAsia="zh-CN"/>
        </w:rPr>
        <w:t>在团结峰兴山一带存在俯冲增生杂岩带，并探讨了基性-超基性岩的空间产出特征及地球化学特征等。</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cs="宋体"/>
          <w:color w:val="auto"/>
          <w:spacing w:val="-4"/>
          <w:sz w:val="28"/>
          <w:szCs w:val="28"/>
          <w:highlight w:val="none"/>
          <w:lang w:val="en-US" w:eastAsia="zh-CN"/>
        </w:rPr>
      </w:pPr>
      <w:r>
        <w:rPr>
          <w:rFonts w:hint="eastAsia" w:cs="宋体"/>
          <w:color w:val="auto"/>
          <w:spacing w:val="-4"/>
          <w:sz w:val="28"/>
          <w:szCs w:val="28"/>
          <w:highlight w:val="none"/>
          <w:lang w:val="en-US" w:eastAsia="zh-CN"/>
        </w:rPr>
        <w:t>3）查证评价</w:t>
      </w:r>
    </w:p>
    <w:p>
      <w:pPr>
        <w:pStyle w:val="5"/>
        <w:keepNext w:val="0"/>
        <w:keepLines w:val="0"/>
        <w:pageBreakBefore w:val="0"/>
        <w:kinsoku/>
        <w:wordWrap/>
        <w:overflowPunct/>
        <w:topLinePunct w:val="0"/>
        <w:autoSpaceDE/>
        <w:autoSpaceDN/>
        <w:bidi w:val="0"/>
        <w:adjustRightInd w:val="0"/>
        <w:snapToGrid w:val="0"/>
        <w:spacing w:after="0" w:line="360" w:lineRule="auto"/>
        <w:ind w:firstLine="544" w:firstLineChars="200"/>
        <w:jc w:val="left"/>
        <w:textAlignment w:val="auto"/>
        <w:rPr>
          <w:rFonts w:hint="eastAsia" w:ascii="仿宋" w:hAnsi="仿宋"/>
          <w:color w:val="auto"/>
          <w:sz w:val="28"/>
          <w:szCs w:val="28"/>
          <w:highlight w:val="none"/>
          <w:lang w:val="en-US" w:eastAsia="zh-CN"/>
        </w:rPr>
      </w:pPr>
      <w:r>
        <w:rPr>
          <w:rFonts w:hint="eastAsia" w:ascii="仿宋" w:hAnsi="仿宋" w:eastAsia="仿宋" w:cs="宋体"/>
          <w:color w:val="auto"/>
          <w:spacing w:val="-4"/>
          <w:sz w:val="28"/>
          <w:szCs w:val="28"/>
          <w:highlight w:val="none"/>
          <w:lang w:val="en-US" w:eastAsia="zh-CN"/>
        </w:rPr>
        <w:t>2023年完成团结峰北和兴南两个重点工作区的查证工作，主要取</w:t>
      </w:r>
      <w:r>
        <w:rPr>
          <w:rFonts w:hint="eastAsia" w:ascii="仿宋" w:hAnsi="仿宋"/>
          <w:color w:val="auto"/>
          <w:sz w:val="28"/>
          <w:szCs w:val="28"/>
          <w:highlight w:val="none"/>
          <w:lang w:val="en-US" w:eastAsia="zh-CN"/>
        </w:rPr>
        <w:t>得以下成果：</w:t>
      </w:r>
    </w:p>
    <w:p>
      <w:pPr>
        <w:pStyle w:val="5"/>
        <w:keepNext w:val="0"/>
        <w:keepLines w:val="0"/>
        <w:pageBreakBefore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color w:val="auto"/>
          <w:sz w:val="28"/>
          <w:szCs w:val="28"/>
          <w:highlight w:val="none"/>
          <w:lang w:val="en-US" w:eastAsia="zh-CN"/>
        </w:rPr>
      </w:pPr>
      <w:r>
        <w:rPr>
          <w:rFonts w:hint="eastAsia" w:ascii="仿宋" w:hAnsi="仿宋"/>
          <w:color w:val="auto"/>
          <w:sz w:val="28"/>
          <w:szCs w:val="28"/>
          <w:highlight w:val="none"/>
          <w:lang w:val="en-US" w:eastAsia="zh-CN"/>
        </w:rPr>
        <w:t>在团结峰北重点工作区：草测区内由北向南岩性分别为辉橄岩、辉长岩、玄武岩和玄武质火山角砾岩，北部山梁处有大量灰岩出露。辉橄岩出露有2处，快速分析仪测试，Ni含量较高，为1000-1400ppm。在TJDH01地化剖面西侧的玄武岩中发现一处铜矿化蚀变带1处，宽约60米，长约90米，走向约300°。孔雀石化主要位于玄武岩裂隙内，呈皮壳、薄膜状，局部有微细脉、侵染状孔雀石。在TJDH04地化剖面发现1处铜矿化蚀变带：蚀变带宽50米，长约200米，走向160°。石英脉宽1-10m，石英脉与砂岩接触带以及附近裂隙内见孔雀石化，呈皮壳状、薄膜状。</w:t>
      </w:r>
    </w:p>
    <w:p>
      <w:pPr>
        <w:pStyle w:val="5"/>
        <w:keepNext w:val="0"/>
        <w:keepLines w:val="0"/>
        <w:pageBreakBefore w:val="0"/>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color w:val="auto"/>
          <w:sz w:val="28"/>
          <w:szCs w:val="28"/>
          <w:highlight w:val="none"/>
          <w:lang w:val="en-US" w:eastAsia="zh-CN"/>
        </w:rPr>
      </w:pPr>
      <w:r>
        <w:rPr>
          <w:rFonts w:hint="eastAsia" w:ascii="仿宋" w:hAnsi="仿宋"/>
          <w:color w:val="auto"/>
          <w:sz w:val="28"/>
          <w:szCs w:val="28"/>
          <w:highlight w:val="none"/>
          <w:lang w:val="en-US" w:eastAsia="zh-CN"/>
        </w:rPr>
        <w:t>兴南重点工作区：在XNDH02地化剖面中发现一处铜矿化蚀变带：蚀变带宽50cm，长约20米，走向260°。蚀变带中石英脉发育，宽2-20cm，石英脉与硅质岩接触带石英脉一侧见有孔雀石化、褐铁矿化现象。</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 xml:space="preserve">    3.资金投入和使用情况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ascii="仿宋" w:hAnsi="仿宋" w:eastAsia="仿宋" w:cs="Courier New"/>
          <w:color w:val="auto"/>
          <w:kern w:val="0"/>
          <w:sz w:val="28"/>
          <w:szCs w:val="28"/>
          <w:highlight w:val="none"/>
        </w:rPr>
      </w:pPr>
      <w:r>
        <w:rPr>
          <w:rFonts w:hint="eastAsia" w:ascii="仿宋_GB2312" w:eastAsia="仿宋_GB2312"/>
          <w:color w:val="auto"/>
          <w:sz w:val="28"/>
          <w:szCs w:val="28"/>
          <w:highlight w:val="none"/>
        </w:rPr>
        <w:t>2</w:t>
      </w:r>
      <w:r>
        <w:rPr>
          <w:rFonts w:ascii="仿宋_GB2312" w:eastAsia="仿宋_GB2312"/>
          <w:color w:val="auto"/>
          <w:sz w:val="28"/>
          <w:szCs w:val="28"/>
          <w:highlight w:val="none"/>
        </w:rPr>
        <w:t>023</w:t>
      </w:r>
      <w:r>
        <w:rPr>
          <w:rFonts w:hint="eastAsia" w:ascii="仿宋_GB2312" w:eastAsia="仿宋_GB2312"/>
          <w:color w:val="auto"/>
          <w:sz w:val="28"/>
          <w:szCs w:val="28"/>
          <w:highlight w:val="none"/>
        </w:rPr>
        <w:t>年项目</w:t>
      </w:r>
      <w:r>
        <w:rPr>
          <w:rFonts w:hint="eastAsia" w:ascii="仿宋_GB2312" w:eastAsia="仿宋_GB2312"/>
          <w:color w:val="auto"/>
          <w:kern w:val="0"/>
          <w:sz w:val="28"/>
          <w:szCs w:val="28"/>
          <w:highlight w:val="none"/>
        </w:rPr>
        <w:t>总</w:t>
      </w:r>
      <w:r>
        <w:rPr>
          <w:rFonts w:hint="eastAsia" w:ascii="仿宋_GB2312" w:eastAsia="仿宋_GB2312"/>
          <w:color w:val="auto"/>
          <w:sz w:val="28"/>
          <w:szCs w:val="28"/>
          <w:highlight w:val="none"/>
        </w:rPr>
        <w:t>经</w:t>
      </w:r>
      <w:r>
        <w:rPr>
          <w:rFonts w:hint="eastAsia" w:ascii="仿宋_GB2312" w:eastAsia="仿宋_GB2312"/>
          <w:color w:val="auto"/>
          <w:kern w:val="0"/>
          <w:sz w:val="28"/>
          <w:szCs w:val="28"/>
          <w:highlight w:val="none"/>
        </w:rPr>
        <w:t>费</w:t>
      </w:r>
      <w:r>
        <w:rPr>
          <w:rFonts w:hint="eastAsia" w:ascii="仿宋_GB2312" w:eastAsia="仿宋_GB2312"/>
          <w:color w:val="auto"/>
          <w:kern w:val="0"/>
          <w:sz w:val="28"/>
          <w:szCs w:val="28"/>
          <w:highlight w:val="none"/>
          <w:lang w:val="en-US" w:eastAsia="zh-CN"/>
        </w:rPr>
        <w:t>72</w:t>
      </w:r>
      <w:r>
        <w:rPr>
          <w:rFonts w:hint="eastAsia" w:ascii="仿宋_GB2312" w:eastAsia="仿宋_GB2312"/>
          <w:color w:val="auto"/>
          <w:kern w:val="0"/>
          <w:sz w:val="28"/>
          <w:szCs w:val="28"/>
          <w:highlight w:val="none"/>
        </w:rPr>
        <w:t>万元。其中，局出资</w:t>
      </w:r>
      <w:r>
        <w:rPr>
          <w:rFonts w:hint="eastAsia" w:ascii="仿宋_GB2312" w:eastAsia="仿宋_GB2312"/>
          <w:color w:val="auto"/>
          <w:kern w:val="0"/>
          <w:sz w:val="28"/>
          <w:szCs w:val="28"/>
          <w:highlight w:val="none"/>
          <w:lang w:val="en-US" w:eastAsia="zh-CN"/>
        </w:rPr>
        <w:t>43.2</w:t>
      </w:r>
      <w:r>
        <w:rPr>
          <w:rFonts w:hint="eastAsia" w:ascii="仿宋_GB2312" w:eastAsia="仿宋_GB2312"/>
          <w:color w:val="auto"/>
          <w:kern w:val="0"/>
          <w:sz w:val="28"/>
          <w:szCs w:val="28"/>
          <w:highlight w:val="none"/>
        </w:rPr>
        <w:t>万元，单位出资</w:t>
      </w:r>
      <w:r>
        <w:rPr>
          <w:rFonts w:hint="eastAsia" w:ascii="仿宋_GB2312" w:eastAsia="仿宋_GB2312"/>
          <w:color w:val="auto"/>
          <w:kern w:val="0"/>
          <w:sz w:val="28"/>
          <w:szCs w:val="28"/>
          <w:highlight w:val="none"/>
          <w:lang w:val="en-US" w:eastAsia="zh-CN"/>
        </w:rPr>
        <w:t>28.8</w:t>
      </w:r>
      <w:r>
        <w:rPr>
          <w:rFonts w:hint="eastAsia" w:ascii="仿宋_GB2312" w:eastAsia="仿宋_GB2312"/>
          <w:color w:val="auto"/>
          <w:kern w:val="0"/>
          <w:sz w:val="28"/>
          <w:szCs w:val="28"/>
          <w:highlight w:val="none"/>
        </w:rPr>
        <w:t>万元</w:t>
      </w:r>
      <w:r>
        <w:rPr>
          <w:rFonts w:hint="eastAsia" w:ascii="仿宋_GB2312" w:eastAsia="仿宋_GB2312"/>
          <w:color w:val="auto"/>
          <w:sz w:val="28"/>
          <w:szCs w:val="28"/>
          <w:highlight w:val="none"/>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0" w:firstLineChars="0"/>
        <w:textAlignment w:val="baseline"/>
        <w:rPr>
          <w:spacing w:val="9"/>
          <w:sz w:val="29"/>
          <w:szCs w:val="29"/>
          <w:highlight w:val="none"/>
        </w:rPr>
      </w:pPr>
      <w:r>
        <w:rPr>
          <w:rFonts w:hint="eastAsia"/>
          <w:spacing w:val="9"/>
          <w:sz w:val="29"/>
          <w:szCs w:val="29"/>
          <w:highlight w:val="none"/>
          <w:lang w:val="en-US" w:eastAsia="zh-CN"/>
        </w:rPr>
        <w:t xml:space="preserve">    </w:t>
      </w:r>
      <w:r>
        <w:rPr>
          <w:spacing w:val="9"/>
          <w:sz w:val="29"/>
          <w:szCs w:val="29"/>
          <w:highlight w:val="none"/>
        </w:rPr>
        <w:t>(二)项目绩效目标。包括总体目标和阶段性目标。</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 xml:space="preserve">    1.总体目标</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以新认识、新理论为指导，通过资料的分析研究和已有矿化线索，圈定新找矿靶区，对具有找矿前景的化探异常开展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default"/>
          <w:color w:val="auto"/>
          <w:spacing w:val="-1"/>
          <w:sz w:val="29"/>
          <w:szCs w:val="29"/>
          <w:highlight w:val="none"/>
          <w:lang w:val="en-US" w:eastAsia="zh-CN"/>
        </w:rPr>
      </w:pPr>
      <w:r>
        <w:rPr>
          <w:rFonts w:hint="eastAsia"/>
          <w:color w:val="auto"/>
          <w:spacing w:val="-1"/>
          <w:sz w:val="29"/>
          <w:szCs w:val="29"/>
          <w:highlight w:val="none"/>
          <w:lang w:val="en-US" w:eastAsia="zh-CN"/>
        </w:rPr>
        <w:t xml:space="preserve">    2.阶段性目标</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eastAsia="zh-CN"/>
        </w:rPr>
      </w:pPr>
      <w:r>
        <w:rPr>
          <w:rFonts w:hint="default" w:ascii="仿宋" w:hAnsi="仿宋" w:eastAsia="仿宋" w:cs="宋体"/>
          <w:color w:val="auto"/>
          <w:spacing w:val="-4"/>
          <w:sz w:val="28"/>
          <w:szCs w:val="28"/>
          <w:highlight w:val="none"/>
          <w:lang w:eastAsia="zh-CN"/>
        </w:rPr>
        <w:t>1）在2022年度工作的基础上，深化区域成矿规律认识，对梳理出的402个找矿靶区进行综合分析和评价，优选重点找矿靶区。</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eastAsia="zh-CN"/>
        </w:rPr>
      </w:pPr>
      <w:r>
        <w:rPr>
          <w:rFonts w:hint="default" w:ascii="仿宋" w:hAnsi="仿宋" w:eastAsia="仿宋" w:cs="宋体"/>
          <w:color w:val="auto"/>
          <w:spacing w:val="-4"/>
          <w:sz w:val="28"/>
          <w:szCs w:val="28"/>
          <w:highlight w:val="none"/>
          <w:lang w:eastAsia="zh-CN"/>
        </w:rPr>
        <w:t>2）在团结峰北铜镍、兴南铜镍等找矿有利区，运用路线地质调查、地化剖面测量、大比例尺填图等方法手段，开展查证评价。</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eastAsia="zh-CN"/>
        </w:rPr>
      </w:pPr>
      <w:r>
        <w:rPr>
          <w:rFonts w:hint="default" w:ascii="仿宋" w:hAnsi="仿宋" w:eastAsia="仿宋" w:cs="宋体"/>
          <w:color w:val="auto"/>
          <w:spacing w:val="-4"/>
          <w:sz w:val="28"/>
          <w:szCs w:val="28"/>
          <w:highlight w:val="none"/>
          <w:lang w:eastAsia="zh-CN"/>
        </w:rPr>
        <w:t>3）在团结峰-兴山一带针对基性-超基性岩开展高光谱遥感解译。并在科马提岩区，通过专项填图和科研样品采集、分析等方法手段，开展超基性-基性火山岩形成演化及成矿效应研究。</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default" w:ascii="仿宋" w:hAnsi="仿宋" w:eastAsia="仿宋" w:cs="宋体"/>
          <w:color w:val="auto"/>
          <w:spacing w:val="-4"/>
          <w:sz w:val="28"/>
          <w:szCs w:val="28"/>
          <w:highlight w:val="none"/>
          <w:lang w:eastAsia="zh-CN"/>
        </w:rPr>
      </w:pPr>
      <w:r>
        <w:rPr>
          <w:rFonts w:hint="default" w:ascii="仿宋" w:hAnsi="仿宋" w:eastAsia="仿宋" w:cs="宋体"/>
          <w:color w:val="auto"/>
          <w:spacing w:val="-4"/>
          <w:sz w:val="28"/>
          <w:szCs w:val="28"/>
          <w:highlight w:val="none"/>
          <w:lang w:eastAsia="zh-CN"/>
        </w:rPr>
        <w:t>4</w:t>
      </w:r>
      <w:bookmarkStart w:id="0" w:name="_Hlk124678103"/>
      <w:r>
        <w:rPr>
          <w:rFonts w:hint="default" w:ascii="仿宋" w:hAnsi="仿宋" w:eastAsia="仿宋" w:cs="宋体"/>
          <w:color w:val="auto"/>
          <w:spacing w:val="-4"/>
          <w:sz w:val="28"/>
          <w:szCs w:val="28"/>
          <w:highlight w:val="none"/>
          <w:lang w:eastAsia="zh-CN"/>
        </w:rPr>
        <w:t>）深入研究分析区内成矿地质条件，系统总结重要战略性矿产的成矿规律、控矿要素和找矿标志，开展资源潜力评价，编制研究区重要战略性矿产资源成矿规律和靶区优选系列图件</w:t>
      </w:r>
      <w:bookmarkEnd w:id="0"/>
      <w:r>
        <w:rPr>
          <w:rFonts w:hint="default" w:ascii="仿宋" w:hAnsi="仿宋" w:eastAsia="仿宋" w:cs="宋体"/>
          <w:color w:val="auto"/>
          <w:spacing w:val="-4"/>
          <w:sz w:val="28"/>
          <w:szCs w:val="28"/>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绩效评价目的、对象和范围。</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2、绩效评价对象：运用科学、规范的绩效评价方法，按照财政部《关于印发&lt;项目支出绩效评价管理办法&gt;的通知》，对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28"/>
          <w:szCs w:val="28"/>
          <w:lang w:eastAsia="zh-CN"/>
        </w:rPr>
        <w:t>。</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3、绩效评价范围：本次评价从项目执行情况、产出指标（包括项目数量指标、质量指标、时效指标和成本指标）、效益指标、满意度指标四个方面进行评价，评价核心为专项资金的支出完成情况和效果。</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(二)绩效评价原则、评价指标体系(附表说明)、评价方法、</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rPr>
        <w:t>评价标准等。</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08" w:firstLineChars="200"/>
        <w:jc w:val="left"/>
        <w:textAlignment w:val="baseline"/>
        <w:rPr>
          <w:rFonts w:hint="eastAsia" w:ascii="仿宋" w:hAnsi="仿宋" w:eastAsia="仿宋" w:cs="仿宋"/>
          <w:spacing w:val="-5"/>
          <w:sz w:val="28"/>
          <w:szCs w:val="28"/>
        </w:rPr>
      </w:pPr>
      <w:r>
        <w:rPr>
          <w:rFonts w:hint="eastAsia" w:ascii="仿宋" w:hAnsi="仿宋" w:eastAsia="仿宋" w:cs="仿宋"/>
          <w:spacing w:val="12"/>
          <w:sz w:val="28"/>
          <w:szCs w:val="28"/>
        </w:rPr>
        <w:t>本次绩效评价主</w:t>
      </w:r>
      <w:r>
        <w:rPr>
          <w:rFonts w:hint="eastAsia" w:ascii="仿宋" w:hAnsi="仿宋" w:eastAsia="仿宋" w:cs="仿宋"/>
          <w:spacing w:val="-5"/>
          <w:sz w:val="28"/>
          <w:szCs w:val="28"/>
        </w:rPr>
        <w:t>要遵循以下原则：</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rPr>
        <w:t>（1）客观性原则。绩效评价应当运用科学合理的方法，以事实和规范的评价标准为依据，对项目绩效进行客观评价，减少主观性和感情色彩的影响。</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rPr>
        <w:t>（2）相关性原则。要求资金支出与其绩效指标之间有紧密相关的关系。</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40" w:firstLineChars="200"/>
        <w:jc w:val="left"/>
        <w:textAlignment w:val="baseline"/>
        <w:rPr>
          <w:rFonts w:hint="eastAsia" w:ascii="仿宋" w:hAnsi="仿宋" w:eastAsia="仿宋" w:cs="仿宋"/>
          <w:spacing w:val="-5"/>
          <w:sz w:val="28"/>
          <w:szCs w:val="28"/>
        </w:rPr>
      </w:pPr>
      <w:r>
        <w:rPr>
          <w:rFonts w:hint="eastAsia" w:ascii="仿宋" w:hAnsi="仿宋" w:eastAsia="仿宋" w:cs="仿宋"/>
          <w:spacing w:val="-5"/>
          <w:sz w:val="28"/>
          <w:szCs w:val="28"/>
        </w:rPr>
        <w:t>（3）公开性原则。绩效评价结果依法依规公开，并接受社会监督</w:t>
      </w:r>
      <w:r>
        <w:rPr>
          <w:rFonts w:hint="eastAsia" w:ascii="仿宋" w:hAnsi="仿宋" w:eastAsia="仿宋" w:cs="仿宋"/>
          <w:spacing w:val="-5"/>
          <w:sz w:val="28"/>
          <w:szCs w:val="28"/>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rPr>
      </w:pPr>
      <w:r>
        <w:rPr>
          <w:rFonts w:hint="eastAsia" w:cs="仿宋"/>
          <w:spacing w:val="-5"/>
          <w:sz w:val="28"/>
          <w:szCs w:val="28"/>
          <w:lang w:val="en-US" w:eastAsia="zh-CN"/>
        </w:rPr>
        <w:t>2、</w:t>
      </w:r>
      <w:r>
        <w:rPr>
          <w:rFonts w:hint="eastAsia" w:ascii="仿宋" w:hAnsi="仿宋" w:eastAsia="仿宋" w:cs="仿宋"/>
          <w:spacing w:val="-5"/>
          <w:sz w:val="28"/>
          <w:szCs w:val="28"/>
        </w:rPr>
        <w:t>评价指标体系</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eastAsia="zh-CN"/>
        </w:rPr>
        <w:t>本次绩效评价指标体系主要分为</w:t>
      </w:r>
      <w:r>
        <w:rPr>
          <w:rFonts w:hint="eastAsia" w:ascii="仿宋" w:hAnsi="仿宋" w:eastAsia="仿宋" w:cs="仿宋"/>
          <w:spacing w:val="-5"/>
          <w:sz w:val="28"/>
          <w:szCs w:val="28"/>
          <w:lang w:val="en-US" w:eastAsia="zh-CN"/>
        </w:rPr>
        <w:t>预算执行率指标和项目绩效指标，其中预算执行率指标占10分，项目绩效指标占90分。</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lang w:eastAsia="zh-CN"/>
        </w:rPr>
        <w:t>3</w:t>
      </w:r>
      <w:r>
        <w:rPr>
          <w:rFonts w:hint="eastAsia" w:cs="仿宋"/>
          <w:spacing w:val="-5"/>
          <w:sz w:val="28"/>
          <w:szCs w:val="28"/>
          <w:lang w:eastAsia="zh-CN"/>
        </w:rPr>
        <w:t>、</w:t>
      </w:r>
      <w:r>
        <w:rPr>
          <w:rFonts w:hint="eastAsia" w:ascii="仿宋" w:hAnsi="仿宋" w:eastAsia="仿宋" w:cs="仿宋"/>
          <w:spacing w:val="-5"/>
          <w:sz w:val="28"/>
          <w:szCs w:val="28"/>
          <w:lang w:eastAsia="zh-CN"/>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lang w:eastAsia="zh-CN"/>
        </w:rPr>
        <w:t>绩效评价方法主要包括成本效益分析法、比较法、因素分析法、最低成本法、公众评判法、标杆管理法等。本单位在评价过程中主要采用了因素分析法、成本效益分析法等。</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lang w:eastAsia="zh-CN"/>
        </w:rPr>
        <w:t>4</w:t>
      </w:r>
      <w:r>
        <w:rPr>
          <w:rFonts w:hint="eastAsia" w:cs="仿宋"/>
          <w:spacing w:val="-5"/>
          <w:sz w:val="28"/>
          <w:szCs w:val="28"/>
          <w:lang w:eastAsia="zh-CN"/>
        </w:rPr>
        <w:t>、</w:t>
      </w:r>
      <w:r>
        <w:rPr>
          <w:rFonts w:hint="eastAsia" w:ascii="仿宋" w:hAnsi="仿宋" w:eastAsia="仿宋" w:cs="仿宋"/>
          <w:spacing w:val="-5"/>
          <w:sz w:val="28"/>
          <w:szCs w:val="28"/>
          <w:lang w:eastAsia="zh-CN"/>
        </w:rPr>
        <w:t>评价标准</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lang w:eastAsia="zh-CN"/>
        </w:rPr>
        <w:t>绩效评价标准通常包括计划标准、行业标准、历史标准等，用于对绩效指标完成情况进行比较。本单位绩效评价采用计划标准。</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leftChars="0" w:right="0" w:firstLine="612" w:firstLineChars="200"/>
        <w:jc w:val="left"/>
        <w:textAlignment w:val="baseline"/>
        <w:rPr>
          <w:rFonts w:hint="eastAsia" w:ascii="仿宋" w:hAnsi="仿宋" w:eastAsia="仿宋" w:cs="仿宋"/>
          <w:spacing w:val="13"/>
          <w:sz w:val="28"/>
          <w:szCs w:val="28"/>
        </w:rPr>
      </w:pPr>
      <w:r>
        <w:rPr>
          <w:rFonts w:hint="eastAsia" w:ascii="仿宋" w:hAnsi="仿宋" w:eastAsia="仿宋" w:cs="仿宋"/>
          <w:spacing w:val="13"/>
          <w:sz w:val="28"/>
          <w:szCs w:val="28"/>
        </w:rPr>
        <w:t>绩效评价工作过程。</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pacing w:val="-5"/>
          <w:sz w:val="28"/>
          <w:szCs w:val="28"/>
          <w:lang w:eastAsia="zh-CN"/>
        </w:rPr>
      </w:pPr>
      <w:r>
        <w:rPr>
          <w:rFonts w:hint="eastAsia" w:ascii="仿宋" w:hAnsi="仿宋" w:eastAsia="仿宋" w:cs="仿宋"/>
          <w:spacing w:val="-5"/>
          <w:sz w:val="28"/>
          <w:szCs w:val="28"/>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textAlignment w:val="baseline"/>
        <w:outlineLvl w:val="1"/>
        <w:rPr>
          <w:rFonts w:ascii="黑体" w:hAnsi="黑体" w:eastAsia="黑体" w:cs="黑体"/>
          <w:b/>
          <w:bCs/>
          <w:spacing w:val="-6"/>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三 、综合评价情况及评价结论 (附相关评分表)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ascii="仿宋" w:hAnsi="仿宋" w:eastAsia="仿宋" w:cs="仿宋"/>
          <w:snapToGrid w:val="0"/>
          <w:color w:val="000000"/>
          <w:spacing w:val="-5"/>
          <w:kern w:val="0"/>
          <w:sz w:val="28"/>
          <w:szCs w:val="28"/>
          <w:lang w:val="en-US" w:eastAsia="zh-CN" w:bidi="ar-SA"/>
        </w:rPr>
      </w:pPr>
      <w:r>
        <w:rPr>
          <w:rFonts w:hint="eastAsia" w:ascii="仿宋" w:hAnsi="仿宋" w:eastAsia="仿宋" w:cs="仿宋"/>
          <w:snapToGrid w:val="0"/>
          <w:color w:val="000000"/>
          <w:spacing w:val="-5"/>
          <w:kern w:val="0"/>
          <w:sz w:val="28"/>
          <w:szCs w:val="28"/>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40" w:firstLineChars="200"/>
        <w:jc w:val="left"/>
        <w:textAlignment w:val="baseline"/>
        <w:rPr>
          <w:rFonts w:hint="eastAsia"/>
          <w:sz w:val="28"/>
          <w:szCs w:val="28"/>
          <w:lang w:val="en-US" w:eastAsia="en-US"/>
        </w:rPr>
      </w:pPr>
      <w:r>
        <w:rPr>
          <w:rFonts w:hint="eastAsia" w:ascii="仿宋" w:hAnsi="仿宋" w:eastAsia="仿宋" w:cs="仿宋"/>
          <w:snapToGrid w:val="0"/>
          <w:color w:val="000000"/>
          <w:spacing w:val="-5"/>
          <w:kern w:val="0"/>
          <w:sz w:val="28"/>
          <w:szCs w:val="28"/>
          <w:lang w:val="en-US" w:eastAsia="zh-CN" w:bidi="ar-SA"/>
        </w:rPr>
        <w:t>该项目根据年初制定的评价指标体</w:t>
      </w:r>
      <w:r>
        <w:rPr>
          <w:rFonts w:hint="eastAsia" w:ascii="仿宋" w:hAnsi="仿宋" w:eastAsia="仿宋" w:cs="仿宋"/>
          <w:color w:val="333333"/>
          <w:sz w:val="28"/>
          <w:szCs w:val="28"/>
        </w:rPr>
        <w:t>系及评分标准，通过资料采集，对此次项目进行客观评价，最终评分结果：总得分为</w:t>
      </w:r>
      <w:r>
        <w:rPr>
          <w:rFonts w:hint="eastAsia" w:ascii="仿宋" w:hAnsi="仿宋" w:eastAsia="仿宋" w:cs="仿宋"/>
          <w:color w:val="333333"/>
          <w:sz w:val="28"/>
          <w:szCs w:val="28"/>
          <w:lang w:val="en-US" w:eastAsia="zh-CN"/>
        </w:rPr>
        <w:t>95</w:t>
      </w:r>
      <w:r>
        <w:rPr>
          <w:rFonts w:hint="eastAsia" w:ascii="仿宋" w:hAnsi="仿宋" w:eastAsia="仿宋" w:cs="仿宋"/>
          <w:color w:val="333333"/>
          <w:sz w:val="28"/>
          <w:szCs w:val="28"/>
        </w:rPr>
        <w:t>分。其中：项目预算执行情况得分</w:t>
      </w:r>
      <w:r>
        <w:rPr>
          <w:rFonts w:hint="eastAsia" w:ascii="仿宋" w:hAnsi="仿宋" w:eastAsia="仿宋" w:cs="仿宋"/>
          <w:color w:val="333333"/>
          <w:sz w:val="28"/>
          <w:szCs w:val="28"/>
          <w:lang w:val="en-US" w:eastAsia="zh-CN"/>
        </w:rPr>
        <w:t>10</w:t>
      </w:r>
      <w:r>
        <w:rPr>
          <w:rFonts w:hint="eastAsia" w:ascii="仿宋" w:hAnsi="仿宋" w:eastAsia="仿宋" w:cs="仿宋"/>
          <w:color w:val="333333"/>
          <w:sz w:val="28"/>
          <w:szCs w:val="28"/>
        </w:rPr>
        <w:t>分，得分率为</w:t>
      </w:r>
      <w:r>
        <w:rPr>
          <w:rFonts w:hint="eastAsia" w:ascii="仿宋" w:hAnsi="仿宋" w:eastAsia="仿宋" w:cs="仿宋"/>
          <w:color w:val="333333"/>
          <w:sz w:val="28"/>
          <w:szCs w:val="28"/>
          <w:lang w:val="en-US" w:eastAsia="zh-CN"/>
        </w:rPr>
        <w:t>100</w:t>
      </w:r>
      <w:r>
        <w:rPr>
          <w:rFonts w:hint="eastAsia" w:ascii="仿宋" w:hAnsi="仿宋" w:eastAsia="仿宋" w:cs="仿宋"/>
          <w:color w:val="333333"/>
          <w:sz w:val="28"/>
          <w:szCs w:val="28"/>
        </w:rPr>
        <w:t>%；产出指标为</w:t>
      </w:r>
      <w:r>
        <w:rPr>
          <w:rFonts w:hint="eastAsia" w:ascii="仿宋" w:hAnsi="仿宋" w:eastAsia="仿宋" w:cs="仿宋"/>
          <w:color w:val="333333"/>
          <w:sz w:val="28"/>
          <w:szCs w:val="28"/>
          <w:lang w:val="en-US" w:eastAsia="zh-CN"/>
        </w:rPr>
        <w:t>40</w:t>
      </w:r>
      <w:r>
        <w:rPr>
          <w:rFonts w:hint="eastAsia" w:ascii="仿宋" w:hAnsi="仿宋" w:eastAsia="仿宋" w:cs="仿宋"/>
          <w:color w:val="333333"/>
          <w:sz w:val="28"/>
          <w:szCs w:val="28"/>
        </w:rPr>
        <w:t>分，得分率为</w:t>
      </w:r>
      <w:r>
        <w:rPr>
          <w:rFonts w:hint="eastAsia" w:ascii="仿宋" w:hAnsi="仿宋" w:eastAsia="仿宋" w:cs="仿宋"/>
          <w:color w:val="333333"/>
          <w:sz w:val="28"/>
          <w:szCs w:val="28"/>
          <w:lang w:val="en-US" w:eastAsia="zh-CN"/>
        </w:rPr>
        <w:t>100</w:t>
      </w:r>
      <w:r>
        <w:rPr>
          <w:rFonts w:hint="eastAsia" w:ascii="仿宋" w:hAnsi="仿宋" w:eastAsia="仿宋" w:cs="仿宋"/>
          <w:color w:val="333333"/>
          <w:sz w:val="28"/>
          <w:szCs w:val="28"/>
        </w:rPr>
        <w:t>%；</w:t>
      </w:r>
      <w:r>
        <w:rPr>
          <w:rFonts w:hint="eastAsia" w:ascii="仿宋" w:hAnsi="仿宋" w:eastAsia="仿宋" w:cs="仿宋"/>
          <w:color w:val="333333"/>
          <w:sz w:val="28"/>
          <w:szCs w:val="28"/>
          <w:lang w:eastAsia="zh-CN"/>
        </w:rPr>
        <w:t>成本指标为</w:t>
      </w:r>
      <w:r>
        <w:rPr>
          <w:rFonts w:hint="eastAsia" w:ascii="仿宋" w:hAnsi="仿宋" w:eastAsia="仿宋" w:cs="仿宋"/>
          <w:color w:val="333333"/>
          <w:sz w:val="28"/>
          <w:szCs w:val="28"/>
          <w:lang w:val="en-US" w:eastAsia="zh-CN"/>
        </w:rPr>
        <w:t>20分，得分率100%；</w:t>
      </w:r>
      <w:r>
        <w:rPr>
          <w:rFonts w:hint="eastAsia" w:ascii="仿宋" w:hAnsi="仿宋" w:eastAsia="仿宋" w:cs="仿宋"/>
          <w:color w:val="333333"/>
          <w:sz w:val="28"/>
          <w:szCs w:val="28"/>
        </w:rPr>
        <w:t>效益指标为</w:t>
      </w:r>
      <w:r>
        <w:rPr>
          <w:rFonts w:hint="eastAsia" w:ascii="仿宋" w:hAnsi="仿宋" w:eastAsia="仿宋" w:cs="仿宋"/>
          <w:color w:val="333333"/>
          <w:sz w:val="28"/>
          <w:szCs w:val="28"/>
          <w:lang w:val="en-US" w:eastAsia="zh-CN"/>
        </w:rPr>
        <w:t>15</w:t>
      </w:r>
      <w:r>
        <w:rPr>
          <w:rFonts w:hint="eastAsia" w:ascii="仿宋" w:hAnsi="仿宋" w:eastAsia="仿宋" w:cs="仿宋"/>
          <w:color w:val="333333"/>
          <w:sz w:val="28"/>
          <w:szCs w:val="28"/>
        </w:rPr>
        <w:t>分，得分率为</w:t>
      </w:r>
      <w:r>
        <w:rPr>
          <w:rFonts w:hint="eastAsia" w:ascii="仿宋" w:hAnsi="仿宋" w:eastAsia="仿宋" w:cs="仿宋"/>
          <w:color w:val="333333"/>
          <w:sz w:val="28"/>
          <w:szCs w:val="28"/>
          <w:lang w:val="en-US" w:eastAsia="zh-CN"/>
        </w:rPr>
        <w:t>75</w:t>
      </w:r>
      <w:r>
        <w:rPr>
          <w:rFonts w:hint="eastAsia" w:ascii="仿宋" w:hAnsi="仿宋" w:eastAsia="仿宋" w:cs="仿宋"/>
          <w:color w:val="333333"/>
          <w:sz w:val="28"/>
          <w:szCs w:val="28"/>
        </w:rPr>
        <w:t>%；满意度指标为</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分，得分率为</w:t>
      </w:r>
      <w:r>
        <w:rPr>
          <w:rFonts w:hint="eastAsia" w:ascii="仿宋" w:hAnsi="仿宋" w:eastAsia="仿宋" w:cs="仿宋"/>
          <w:color w:val="333333"/>
          <w:sz w:val="28"/>
          <w:szCs w:val="28"/>
          <w:lang w:val="en-US" w:eastAsia="zh-CN"/>
        </w:rPr>
        <w:t>90</w:t>
      </w:r>
      <w:r>
        <w:rPr>
          <w:rFonts w:hint="eastAsia" w:ascii="仿宋" w:hAnsi="仿宋" w:eastAsia="仿宋" w:cs="仿宋"/>
          <w:color w:val="333333"/>
          <w:sz w:val="28"/>
          <w:szCs w:val="28"/>
        </w:rPr>
        <w:t>%。</w:t>
      </w:r>
    </w:p>
    <w:tbl>
      <w:tblPr>
        <w:tblStyle w:val="6"/>
        <w:tblW w:w="8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96"/>
        <w:gridCol w:w="596"/>
        <w:gridCol w:w="596"/>
        <w:gridCol w:w="596"/>
        <w:gridCol w:w="597"/>
        <w:gridCol w:w="596"/>
        <w:gridCol w:w="597"/>
        <w:gridCol w:w="596"/>
        <w:gridCol w:w="596"/>
        <w:gridCol w:w="596"/>
        <w:gridCol w:w="597"/>
        <w:gridCol w:w="596"/>
        <w:gridCol w:w="597"/>
        <w:gridCol w:w="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8348"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348"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项目名称</w:t>
            </w:r>
          </w:p>
        </w:tc>
        <w:tc>
          <w:tcPr>
            <w:tcW w:w="71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和田地区战略性矿产资源成矿规律研究与靶区优选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color w:val="000000"/>
                <w:sz w:val="22"/>
                <w:szCs w:val="22"/>
                <w:u w:val="none"/>
              </w:rPr>
            </w:pPr>
            <w:r>
              <w:rPr>
                <w:rStyle w:val="12"/>
                <w:snapToGrid w:val="0"/>
                <w:color w:val="000000"/>
                <w:lang w:val="en-US" w:eastAsia="zh-CN" w:bidi="ar"/>
              </w:rPr>
              <w:t>主管部门</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实施单位</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项目资金</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(万元)</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资金来源</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年初预算数</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全年预算数</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全年执行数</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分值权重</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执行率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年度资金总额</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其中：当年财政披款</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共他资金</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年度总体目</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w:t>
            </w:r>
          </w:p>
        </w:tc>
        <w:tc>
          <w:tcPr>
            <w:tcW w:w="47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7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以新认识、新理论为指导，通过资料的分析研究和已有矿化线索，圈定新找矿靶区，对具有找矿前景的化探异常开展在充分收集、分析研究和田地区地质、矿产、物探、化探、遥感及相关科研文献等资料，系统总结有色、稀有等优势矿产区域成矿地质条件和成矿规律，开展综合研究和靶区优选工作。采用遥感解译、路线地质调查、专项填图、地物化剖面及采样分析等工作手段，对重要靶区及重要找矿线索进行评价。针对区内科马提岩侵入岩浆活动及成矿效应开展研究。编制区域成矿规律图和矿产预测图，为勘查工作部署提供合理建议。</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根据总体目标完成了计划的野外工作量，并在两个重点工作区的发现了沉积型Li的找矿线索，为进一步选取评价提供依据，尝试运用“洋板块”地质学思维，对团结峰-兴山一带的地质构造演化工程进行重新认识，探讨其找矿前景，参加学术会议1次，发表论文1篇，地质矿产、成矿规律和找矿预测图等3张。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一级指标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二级指标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三级指标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指标值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指标值设置依据</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上年完成值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指标分值权重</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指标赋分规则</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佐证资料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指标实际完成值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指标得分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年度绩效指</w:t>
            </w:r>
            <w:r>
              <w:rPr>
                <w:rStyle w:val="12"/>
                <w:snapToGrid w:val="0"/>
                <w:color w:val="000000"/>
                <w:lang w:val="en-US" w:eastAsia="zh-CN" w:bidi="ar"/>
              </w:rPr>
              <w:br w:type="textWrapping"/>
            </w:r>
            <w:r>
              <w:rPr>
                <w:rStyle w:val="12"/>
                <w:snapToGrid w:val="0"/>
                <w:color w:val="000000"/>
                <w:lang w:val="en-US" w:eastAsia="zh-CN" w:bidi="ar"/>
              </w:rPr>
              <w:t>标完成情况</w:t>
            </w: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产出指标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质量指标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报告按期完成率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经济成本指标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社会成本指标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生态环境成本指</w:t>
            </w:r>
            <w:r>
              <w:rPr>
                <w:rStyle w:val="12"/>
                <w:snapToGrid w:val="0"/>
                <w:color w:val="000000"/>
                <w:lang w:val="en-US" w:eastAsia="zh-CN" w:bidi="ar"/>
              </w:rPr>
              <w:br w:type="textWrapping"/>
            </w:r>
            <w:r>
              <w:rPr>
                <w:rStyle w:val="12"/>
                <w:snapToGrid w:val="0"/>
                <w:color w:val="000000"/>
                <w:lang w:val="en-US" w:eastAsia="zh-CN" w:bidi="ar"/>
              </w:rPr>
              <w:t>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效蔬指标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经济效益指标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社会效益指标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为社会经济发展提供资源能源保障</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75%</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生态效益指标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3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2"/>
                <w:snapToGrid w:val="0"/>
                <w:color w:val="000000"/>
                <w:lang w:val="en-US" w:eastAsia="zh-CN" w:bidi="ar"/>
              </w:rPr>
              <w:t>总分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9"/>
        <w:rPr>
          <w:rFonts w:ascii="黑体" w:hAnsi="黑体" w:eastAsia="黑体" w:cs="黑体"/>
          <w:b/>
          <w:bCs/>
          <w:spacing w:val="-6"/>
          <w:sz w:val="29"/>
          <w:szCs w:val="29"/>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9"/>
        <w:rPr>
          <w:rFonts w:ascii="黑体" w:hAnsi="黑体" w:eastAsia="黑体" w:cs="黑体"/>
          <w:b/>
          <w:bCs/>
          <w:spacing w:val="-6"/>
          <w:sz w:val="29"/>
          <w:szCs w:val="29"/>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6"/>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四、绩效评价指标分析</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position w:val="23"/>
          <w:sz w:val="29"/>
          <w:szCs w:val="29"/>
          <w:highlight w:val="none"/>
        </w:rPr>
      </w:pPr>
      <w:r>
        <w:rPr>
          <w:rFonts w:hint="eastAsia"/>
          <w:spacing w:val="17"/>
          <w:position w:val="23"/>
          <w:sz w:val="29"/>
          <w:szCs w:val="29"/>
          <w:highlight w:val="none"/>
          <w:lang w:val="en-US" w:eastAsia="zh-CN"/>
        </w:rPr>
        <w:t xml:space="preserve">    </w:t>
      </w:r>
      <w:r>
        <w:rPr>
          <w:spacing w:val="17"/>
          <w:position w:val="23"/>
          <w:sz w:val="29"/>
          <w:szCs w:val="29"/>
          <w:highlight w:val="none"/>
        </w:rPr>
        <w:t>(一)项目决策情况</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1.立项依据充分性</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lang w:eastAsia="zh-CN"/>
        </w:rPr>
      </w:pPr>
      <w:r>
        <w:rPr>
          <w:rFonts w:hint="eastAsia" w:cs="宋体"/>
          <w:color w:val="auto"/>
          <w:spacing w:val="-4"/>
          <w:sz w:val="28"/>
          <w:szCs w:val="28"/>
          <w:highlight w:val="none"/>
          <w:lang w:val="en-US" w:eastAsia="zh-CN"/>
        </w:rPr>
        <w:t>和田地区矿产资源丰富</w:t>
      </w:r>
      <w:r>
        <w:rPr>
          <w:rFonts w:hint="eastAsia" w:ascii="仿宋" w:hAnsi="仿宋" w:eastAsia="仿宋" w:cs="宋体"/>
          <w:color w:val="auto"/>
          <w:spacing w:val="-4"/>
          <w:sz w:val="28"/>
          <w:szCs w:val="28"/>
          <w:highlight w:val="none"/>
        </w:rPr>
        <w:t>，</w:t>
      </w:r>
      <w:r>
        <w:rPr>
          <w:rFonts w:hint="eastAsia" w:cs="宋体"/>
          <w:color w:val="auto"/>
          <w:spacing w:val="-4"/>
          <w:sz w:val="28"/>
          <w:szCs w:val="28"/>
          <w:highlight w:val="none"/>
          <w:lang w:val="en-US" w:eastAsia="zh-CN"/>
        </w:rPr>
        <w:t>但工作程度较低，近年来随着火烧云铅锌矿、大红柳滩锂铍矿等实现找矿突破，在地矿局和与和田地区战略合作协议签署以及兵团向南发展的总体部署下</w:t>
      </w:r>
      <w:bookmarkStart w:id="1" w:name="_GoBack"/>
      <w:bookmarkEnd w:id="1"/>
      <w:r>
        <w:rPr>
          <w:rFonts w:hint="eastAsia" w:cs="宋体"/>
          <w:color w:val="auto"/>
          <w:spacing w:val="-4"/>
          <w:sz w:val="28"/>
          <w:szCs w:val="28"/>
          <w:highlight w:val="none"/>
          <w:lang w:val="en-US" w:eastAsia="zh-CN"/>
        </w:rPr>
        <w:t>，</w:t>
      </w:r>
      <w:r>
        <w:rPr>
          <w:rFonts w:hint="eastAsia" w:ascii="仿宋" w:hAnsi="仿宋" w:eastAsia="仿宋" w:cs="宋体"/>
          <w:color w:val="auto"/>
          <w:spacing w:val="-4"/>
          <w:sz w:val="28"/>
          <w:szCs w:val="28"/>
          <w:highlight w:val="none"/>
        </w:rPr>
        <w:t>设立本项目，项目立项符合国家法律法规、国民经济发展规划和相关政策、符合行业发展规划和政策要求</w:t>
      </w:r>
      <w:r>
        <w:rPr>
          <w:rFonts w:hint="eastAsia" w:ascii="仿宋" w:hAnsi="仿宋" w:eastAsia="仿宋" w:cs="宋体"/>
          <w:color w:val="auto"/>
          <w:spacing w:val="-4"/>
          <w:sz w:val="28"/>
          <w:szCs w:val="28"/>
          <w:highlight w:val="none"/>
          <w:lang w:eastAsia="zh-CN"/>
        </w:rPr>
        <w:t>。</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2.立项程序规范性</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我单位</w:t>
      </w:r>
      <w:r>
        <w:rPr>
          <w:rFonts w:ascii="仿宋" w:hAnsi="仿宋" w:eastAsia="仿宋" w:cs="仿宋"/>
          <w:sz w:val="28"/>
          <w:szCs w:val="28"/>
          <w:lang w:eastAsia="zh-CN"/>
        </w:rPr>
        <w:t>严格按照自治区财政规定的</w:t>
      </w:r>
      <w:r>
        <w:rPr>
          <w:rFonts w:hint="eastAsia" w:ascii="仿宋" w:hAnsi="仿宋" w:eastAsia="仿宋" w:cs="仿宋"/>
          <w:sz w:val="28"/>
          <w:szCs w:val="28"/>
          <w:lang w:eastAsia="zh-CN"/>
        </w:rPr>
        <w:t>立项</w:t>
      </w:r>
      <w:r>
        <w:rPr>
          <w:rFonts w:ascii="仿宋" w:hAnsi="仿宋" w:eastAsia="仿宋" w:cs="仿宋"/>
          <w:sz w:val="28"/>
          <w:szCs w:val="28"/>
          <w:lang w:eastAsia="zh-CN"/>
        </w:rPr>
        <w:t>程序</w:t>
      </w:r>
      <w:r>
        <w:rPr>
          <w:rFonts w:hint="eastAsia" w:ascii="仿宋" w:hAnsi="仿宋" w:eastAsia="仿宋" w:cs="仿宋"/>
          <w:sz w:val="28"/>
          <w:szCs w:val="28"/>
          <w:lang w:eastAsia="zh-CN"/>
        </w:rPr>
        <w:t>，</w:t>
      </w:r>
      <w:r>
        <w:rPr>
          <w:rFonts w:ascii="仿宋" w:hAnsi="仿宋" w:eastAsia="仿宋" w:cs="仿宋"/>
          <w:sz w:val="28"/>
          <w:szCs w:val="28"/>
          <w:lang w:eastAsia="zh-CN"/>
        </w:rPr>
        <w:t>单位</w:t>
      </w:r>
      <w:r>
        <w:rPr>
          <w:rFonts w:hint="eastAsia" w:ascii="仿宋" w:hAnsi="仿宋" w:eastAsia="仿宋" w:cs="仿宋"/>
          <w:sz w:val="28"/>
          <w:szCs w:val="28"/>
          <w:lang w:eastAsia="zh-CN"/>
        </w:rPr>
        <w:t>召开专项会议，进行集体决策，形成会议纪要。</w:t>
      </w:r>
      <w:r>
        <w:rPr>
          <w:rFonts w:ascii="仿宋" w:hAnsi="仿宋" w:eastAsia="仿宋" w:cs="仿宋"/>
          <w:sz w:val="28"/>
          <w:szCs w:val="28"/>
          <w:lang w:eastAsia="zh-CN"/>
        </w:rPr>
        <w:t>在</w:t>
      </w:r>
      <w:r>
        <w:rPr>
          <w:rFonts w:hint="eastAsia" w:ascii="仿宋" w:hAnsi="仿宋" w:eastAsia="仿宋" w:cs="仿宋"/>
          <w:sz w:val="28"/>
          <w:szCs w:val="28"/>
          <w:lang w:eastAsia="zh-CN"/>
        </w:rPr>
        <w:t>财政一体化系统中，编制项目库，</w:t>
      </w:r>
      <w:r>
        <w:rPr>
          <w:rFonts w:ascii="仿宋" w:hAnsi="仿宋" w:eastAsia="仿宋" w:cs="仿宋"/>
          <w:sz w:val="28"/>
          <w:szCs w:val="28"/>
          <w:lang w:eastAsia="zh-CN"/>
        </w:rPr>
        <w:t>提交符合要求的申请材料，上报</w:t>
      </w:r>
      <w:r>
        <w:rPr>
          <w:rFonts w:hint="eastAsia" w:ascii="仿宋" w:hAnsi="仿宋" w:eastAsia="仿宋" w:cs="仿宋"/>
          <w:sz w:val="28"/>
          <w:szCs w:val="28"/>
          <w:lang w:eastAsia="zh-CN"/>
        </w:rPr>
        <w:t>上级</w:t>
      </w:r>
      <w:r>
        <w:rPr>
          <w:rFonts w:ascii="仿宋" w:hAnsi="仿宋" w:eastAsia="仿宋" w:cs="仿宋"/>
          <w:sz w:val="28"/>
          <w:szCs w:val="28"/>
          <w:lang w:eastAsia="zh-CN"/>
        </w:rPr>
        <w:t>部门审批、财政审批</w:t>
      </w:r>
      <w:r>
        <w:rPr>
          <w:rFonts w:hint="eastAsia" w:ascii="仿宋" w:hAnsi="仿宋" w:eastAsia="仿宋" w:cs="仿宋"/>
          <w:sz w:val="28"/>
          <w:szCs w:val="28"/>
          <w:lang w:eastAsia="zh-CN"/>
        </w:rPr>
        <w:t>。</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3.绩效目标合理性</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lang w:eastAsia="zh-CN"/>
        </w:rPr>
      </w:pPr>
      <w:r>
        <w:rPr>
          <w:rFonts w:hint="eastAsia" w:ascii="仿宋" w:hAnsi="仿宋" w:eastAsia="仿宋" w:cs="宋体"/>
          <w:color w:val="auto"/>
          <w:spacing w:val="-4"/>
          <w:sz w:val="28"/>
          <w:szCs w:val="28"/>
          <w:highlight w:val="none"/>
        </w:rPr>
        <w:t>结合项目内容制定了合理的绩效目标，设置三个一级指标，项目绩效目标中的预期产出效益符合项目预期成果，且与预算确定的项目资金量相匹配</w:t>
      </w:r>
      <w:r>
        <w:rPr>
          <w:rFonts w:hint="eastAsia" w:ascii="仿宋" w:hAnsi="仿宋" w:eastAsia="仿宋" w:cs="宋体"/>
          <w:color w:val="auto"/>
          <w:spacing w:val="-4"/>
          <w:sz w:val="28"/>
          <w:szCs w:val="28"/>
          <w:highlight w:val="none"/>
          <w:lang w:eastAsia="zh-CN"/>
        </w:rPr>
        <w:t>。</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4.绩效指标明确性</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lang w:eastAsia="zh-CN"/>
        </w:rPr>
      </w:pPr>
      <w:r>
        <w:rPr>
          <w:rFonts w:hint="eastAsia" w:ascii="仿宋" w:hAnsi="仿宋" w:eastAsia="仿宋" w:cs="宋体"/>
          <w:color w:val="auto"/>
          <w:spacing w:val="-4"/>
          <w:sz w:val="28"/>
          <w:szCs w:val="28"/>
          <w:highlight w:val="none"/>
        </w:rPr>
        <w:t>参照自治区分行业分领域共性项目绩效指标体系将一级指标细化分解为七个二级指标及</w:t>
      </w:r>
      <w:r>
        <w:rPr>
          <w:rFonts w:hint="eastAsia" w:ascii="仿宋" w:hAnsi="仿宋" w:eastAsia="仿宋" w:cs="宋体"/>
          <w:color w:val="auto"/>
          <w:spacing w:val="-4"/>
          <w:sz w:val="28"/>
          <w:szCs w:val="28"/>
          <w:highlight w:val="none"/>
          <w:lang w:eastAsia="zh-CN"/>
        </w:rPr>
        <w:t>七</w:t>
      </w:r>
      <w:r>
        <w:rPr>
          <w:rFonts w:hint="eastAsia" w:ascii="仿宋" w:hAnsi="仿宋" w:eastAsia="仿宋" w:cs="宋体"/>
          <w:color w:val="auto"/>
          <w:spacing w:val="-4"/>
          <w:sz w:val="28"/>
          <w:szCs w:val="28"/>
          <w:highlight w:val="none"/>
        </w:rPr>
        <w:t>个三级指标，并与项目目标采购数量、质量、时效性、成本、取得成效目标及满意度指标相对应</w:t>
      </w:r>
      <w:r>
        <w:rPr>
          <w:rFonts w:hint="eastAsia" w:ascii="仿宋" w:hAnsi="仿宋" w:eastAsia="仿宋" w:cs="宋体"/>
          <w:color w:val="auto"/>
          <w:spacing w:val="-4"/>
          <w:sz w:val="28"/>
          <w:szCs w:val="28"/>
          <w:highlight w:val="none"/>
          <w:lang w:eastAsia="zh-CN"/>
        </w:rPr>
        <w:t>。</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rPr>
      </w:pPr>
      <w:r>
        <w:rPr>
          <w:rFonts w:hint="eastAsia" w:ascii="仿宋" w:hAnsi="仿宋" w:eastAsia="仿宋" w:cs="宋体"/>
          <w:color w:val="auto"/>
          <w:spacing w:val="-4"/>
          <w:sz w:val="28"/>
          <w:szCs w:val="28"/>
          <w:highlight w:val="none"/>
        </w:rPr>
        <w:t>5.预算编制科学性</w:t>
      </w:r>
    </w:p>
    <w:p>
      <w:pPr>
        <w:pStyle w:val="2"/>
        <w:keepNext w:val="0"/>
        <w:keepLines w:val="0"/>
        <w:pageBreakBefore w:val="0"/>
        <w:kinsoku/>
        <w:wordWrap/>
        <w:overflowPunct/>
        <w:topLinePunct w:val="0"/>
        <w:autoSpaceDE/>
        <w:autoSpaceDN/>
        <w:bidi w:val="0"/>
        <w:adjustRightInd w:val="0"/>
        <w:snapToGrid w:val="0"/>
        <w:spacing w:line="360" w:lineRule="auto"/>
        <w:ind w:firstLine="544" w:firstLineChars="200"/>
        <w:textAlignment w:val="auto"/>
        <w:rPr>
          <w:rFonts w:hint="eastAsia" w:ascii="仿宋" w:hAnsi="仿宋" w:eastAsia="仿宋" w:cs="宋体"/>
          <w:color w:val="auto"/>
          <w:spacing w:val="-4"/>
          <w:sz w:val="28"/>
          <w:szCs w:val="28"/>
          <w:highlight w:val="none"/>
          <w:lang w:eastAsia="zh-CN"/>
        </w:rPr>
      </w:pPr>
      <w:r>
        <w:rPr>
          <w:rFonts w:hint="eastAsia" w:ascii="仿宋" w:hAnsi="仿宋" w:eastAsia="仿宋" w:cs="宋体"/>
          <w:color w:val="auto"/>
          <w:spacing w:val="-4"/>
          <w:sz w:val="28"/>
          <w:szCs w:val="28"/>
          <w:highlight w:val="none"/>
          <w:lang w:eastAsia="zh-CN"/>
        </w:rPr>
        <w:t>根据上级主管局相关要求，以及项目</w:t>
      </w:r>
      <w:r>
        <w:rPr>
          <w:rFonts w:hint="eastAsia" w:ascii="仿宋" w:hAnsi="仿宋" w:eastAsia="仿宋" w:cs="宋体"/>
          <w:color w:val="auto"/>
          <w:spacing w:val="-4"/>
          <w:sz w:val="28"/>
          <w:szCs w:val="28"/>
          <w:highlight w:val="none"/>
        </w:rPr>
        <w:t>预算</w:t>
      </w:r>
      <w:r>
        <w:rPr>
          <w:rFonts w:hint="eastAsia" w:ascii="仿宋" w:hAnsi="仿宋" w:eastAsia="仿宋" w:cs="宋体"/>
          <w:color w:val="auto"/>
          <w:spacing w:val="-4"/>
          <w:sz w:val="28"/>
          <w:szCs w:val="28"/>
          <w:highlight w:val="none"/>
          <w:lang w:eastAsia="zh-CN"/>
        </w:rPr>
        <w:t>，</w:t>
      </w:r>
      <w:r>
        <w:rPr>
          <w:rFonts w:hint="eastAsia" w:ascii="仿宋" w:hAnsi="仿宋" w:eastAsia="仿宋" w:cs="宋体"/>
          <w:color w:val="auto"/>
          <w:spacing w:val="-4"/>
          <w:sz w:val="28"/>
          <w:szCs w:val="28"/>
          <w:highlight w:val="none"/>
        </w:rPr>
        <w:t>测算</w:t>
      </w:r>
      <w:r>
        <w:rPr>
          <w:rFonts w:hint="eastAsia" w:ascii="仿宋" w:hAnsi="仿宋" w:eastAsia="仿宋" w:cs="宋体"/>
          <w:color w:val="auto"/>
          <w:spacing w:val="-4"/>
          <w:sz w:val="28"/>
          <w:szCs w:val="28"/>
          <w:highlight w:val="none"/>
          <w:lang w:eastAsia="zh-CN"/>
        </w:rPr>
        <w:t>合理，</w:t>
      </w:r>
      <w:r>
        <w:rPr>
          <w:rFonts w:hint="eastAsia" w:ascii="仿宋" w:hAnsi="仿宋" w:eastAsia="仿宋" w:cs="宋体"/>
          <w:color w:val="auto"/>
          <w:spacing w:val="-4"/>
          <w:sz w:val="28"/>
          <w:szCs w:val="28"/>
          <w:highlight w:val="none"/>
        </w:rPr>
        <w:t>依据充分，编制科学</w:t>
      </w:r>
      <w:r>
        <w:rPr>
          <w:rFonts w:hint="eastAsia" w:ascii="仿宋" w:hAnsi="仿宋" w:eastAsia="仿宋" w:cs="宋体"/>
          <w:color w:val="auto"/>
          <w:spacing w:val="-4"/>
          <w:sz w:val="28"/>
          <w:szCs w:val="28"/>
          <w:highlight w:val="none"/>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pacing w:val="17"/>
          <w:sz w:val="29"/>
          <w:szCs w:val="29"/>
          <w:highlight w:val="none"/>
        </w:rPr>
      </w:pPr>
      <w:r>
        <w:rPr>
          <w:rFonts w:hint="eastAsia"/>
          <w:spacing w:val="17"/>
          <w:sz w:val="29"/>
          <w:szCs w:val="29"/>
          <w:highlight w:val="none"/>
          <w:lang w:val="en-US" w:eastAsia="zh-CN"/>
        </w:rPr>
        <w:t xml:space="preserve">    </w:t>
      </w:r>
      <w:r>
        <w:rPr>
          <w:spacing w:val="17"/>
          <w:sz w:val="29"/>
          <w:szCs w:val="29"/>
          <w:highlight w:val="none"/>
        </w:rPr>
        <w:t>(二)项目过程情况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bidi="ar"/>
        </w:rPr>
      </w:pPr>
      <w:r>
        <w:rPr>
          <w:rStyle w:val="8"/>
          <w:rFonts w:hint="eastAsia" w:ascii="仿宋" w:hAnsi="仿宋" w:eastAsia="仿宋" w:cs="仿宋"/>
          <w:b w:val="0"/>
          <w:bCs w:val="0"/>
          <w:spacing w:val="-4"/>
          <w:sz w:val="28"/>
          <w:szCs w:val="28"/>
        </w:rPr>
        <w:t>1.</w:t>
      </w:r>
      <w:r>
        <w:rPr>
          <w:rFonts w:hint="eastAsia" w:ascii="仿宋" w:hAnsi="仿宋" w:eastAsia="仿宋" w:cs="仿宋"/>
          <w:sz w:val="28"/>
          <w:szCs w:val="28"/>
          <w:lang w:bidi="ar"/>
        </w:rPr>
        <w:t>资金到位率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Fonts w:hint="eastAsia" w:ascii="仿宋" w:hAnsi="仿宋" w:eastAsia="仿宋" w:cs="仿宋"/>
          <w:sz w:val="28"/>
          <w:szCs w:val="28"/>
          <w:lang w:bidi="ar"/>
        </w:rPr>
      </w:pPr>
      <w:r>
        <w:rPr>
          <w:rFonts w:hint="eastAsia" w:ascii="仿宋" w:hAnsi="仿宋" w:eastAsia="仿宋" w:cs="仿宋"/>
          <w:sz w:val="28"/>
          <w:szCs w:val="28"/>
          <w:lang w:bidi="ar"/>
        </w:rPr>
        <w:t>2023年项目总经费</w:t>
      </w:r>
      <w:r>
        <w:rPr>
          <w:rFonts w:hint="eastAsia" w:ascii="仿宋" w:hAnsi="仿宋" w:eastAsia="仿宋" w:cs="仿宋"/>
          <w:sz w:val="28"/>
          <w:szCs w:val="28"/>
          <w:lang w:val="en-US" w:eastAsia="zh-CN" w:bidi="ar"/>
        </w:rPr>
        <w:t>72</w:t>
      </w:r>
      <w:r>
        <w:rPr>
          <w:rFonts w:hint="eastAsia" w:ascii="仿宋" w:hAnsi="仿宋" w:eastAsia="仿宋" w:cs="仿宋"/>
          <w:sz w:val="28"/>
          <w:szCs w:val="28"/>
          <w:lang w:bidi="ar"/>
        </w:rPr>
        <w:t>万元。其中，局出资</w:t>
      </w:r>
      <w:r>
        <w:rPr>
          <w:rFonts w:hint="eastAsia" w:ascii="仿宋" w:hAnsi="仿宋" w:eastAsia="仿宋" w:cs="仿宋"/>
          <w:sz w:val="28"/>
          <w:szCs w:val="28"/>
          <w:lang w:val="en-US" w:eastAsia="zh-CN" w:bidi="ar"/>
        </w:rPr>
        <w:t>43.2</w:t>
      </w:r>
      <w:r>
        <w:rPr>
          <w:rFonts w:hint="eastAsia" w:ascii="仿宋" w:hAnsi="仿宋" w:eastAsia="仿宋" w:cs="仿宋"/>
          <w:sz w:val="28"/>
          <w:szCs w:val="28"/>
          <w:lang w:bidi="ar"/>
        </w:rPr>
        <w:t>万元，单位出资</w:t>
      </w:r>
      <w:r>
        <w:rPr>
          <w:rFonts w:hint="eastAsia" w:ascii="仿宋" w:hAnsi="仿宋" w:eastAsia="仿宋" w:cs="仿宋"/>
          <w:sz w:val="28"/>
          <w:szCs w:val="28"/>
          <w:lang w:val="en-US" w:eastAsia="zh-CN" w:bidi="ar"/>
        </w:rPr>
        <w:t>28.8</w:t>
      </w:r>
      <w:r>
        <w:rPr>
          <w:rFonts w:hint="eastAsia" w:ascii="仿宋" w:hAnsi="仿宋" w:eastAsia="仿宋" w:cs="仿宋"/>
          <w:sz w:val="28"/>
          <w:szCs w:val="28"/>
          <w:lang w:bidi="ar"/>
        </w:rPr>
        <w:t>万元。</w:t>
      </w: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bidi="ar"/>
        </w:rPr>
      </w:pPr>
      <w:r>
        <w:rPr>
          <w:rStyle w:val="8"/>
          <w:rFonts w:hint="eastAsia" w:ascii="仿宋" w:hAnsi="仿宋" w:eastAsia="仿宋" w:cs="仿宋"/>
          <w:b w:val="0"/>
          <w:bCs w:val="0"/>
          <w:spacing w:val="-4"/>
          <w:sz w:val="28"/>
          <w:szCs w:val="28"/>
        </w:rPr>
        <w:t>2.</w:t>
      </w:r>
      <w:r>
        <w:rPr>
          <w:rFonts w:hint="eastAsia" w:ascii="仿宋" w:hAnsi="仿宋" w:eastAsia="仿宋" w:cs="仿宋"/>
          <w:sz w:val="28"/>
          <w:szCs w:val="28"/>
          <w:lang w:bidi="ar"/>
        </w:rPr>
        <w:t>预算执行率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Fonts w:hint="eastAsia" w:ascii="仿宋" w:hAnsi="仿宋" w:eastAsia="仿宋" w:cs="仿宋"/>
          <w:color w:val="FF0000"/>
          <w:sz w:val="28"/>
          <w:szCs w:val="28"/>
          <w:lang w:bidi="ar"/>
        </w:rPr>
      </w:pPr>
      <w:r>
        <w:rPr>
          <w:rStyle w:val="8"/>
          <w:rFonts w:hint="eastAsia" w:ascii="仿宋" w:hAnsi="仿宋" w:eastAsia="仿宋" w:cs="仿宋"/>
          <w:b w:val="0"/>
          <w:spacing w:val="-4"/>
          <w:sz w:val="28"/>
          <w:szCs w:val="28"/>
          <w:lang w:val="en-US" w:eastAsia="zh-CN"/>
        </w:rPr>
        <w:t>2023年</w:t>
      </w:r>
      <w:r>
        <w:rPr>
          <w:rStyle w:val="8"/>
          <w:rFonts w:hint="eastAsia" w:ascii="仿宋" w:hAnsi="仿宋" w:eastAsia="仿宋" w:cs="仿宋"/>
          <w:b w:val="0"/>
          <w:bCs w:val="0"/>
          <w:spacing w:val="-4"/>
          <w:sz w:val="28"/>
          <w:szCs w:val="28"/>
        </w:rPr>
        <w:t>项目经费</w:t>
      </w:r>
      <w:r>
        <w:rPr>
          <w:rStyle w:val="8"/>
          <w:rFonts w:hint="eastAsia" w:ascii="仿宋" w:hAnsi="仿宋" w:eastAsia="仿宋" w:cs="仿宋"/>
          <w:b w:val="0"/>
          <w:bCs w:val="0"/>
          <w:spacing w:val="-4"/>
          <w:sz w:val="28"/>
          <w:szCs w:val="28"/>
          <w:lang w:eastAsia="zh-CN"/>
        </w:rPr>
        <w:t>预算</w:t>
      </w:r>
      <w:r>
        <w:rPr>
          <w:rStyle w:val="8"/>
          <w:rFonts w:hint="eastAsia" w:ascii="仿宋" w:hAnsi="仿宋" w:eastAsia="仿宋" w:cs="仿宋"/>
          <w:b w:val="0"/>
          <w:bCs w:val="0"/>
          <w:spacing w:val="-4"/>
          <w:sz w:val="28"/>
          <w:szCs w:val="28"/>
          <w:lang w:val="en-US" w:eastAsia="zh-CN"/>
        </w:rPr>
        <w:t>72</w:t>
      </w:r>
      <w:r>
        <w:rPr>
          <w:rStyle w:val="8"/>
          <w:rFonts w:hint="eastAsia" w:ascii="仿宋" w:hAnsi="仿宋" w:eastAsia="仿宋" w:cs="仿宋"/>
          <w:b w:val="0"/>
          <w:bCs w:val="0"/>
          <w:spacing w:val="-4"/>
          <w:sz w:val="28"/>
          <w:szCs w:val="28"/>
        </w:rPr>
        <w:t>万元</w:t>
      </w:r>
      <w:r>
        <w:rPr>
          <w:rStyle w:val="8"/>
          <w:rFonts w:hint="eastAsia" w:ascii="仿宋" w:hAnsi="仿宋" w:eastAsia="仿宋" w:cs="仿宋"/>
          <w:b w:val="0"/>
          <w:bCs w:val="0"/>
          <w:spacing w:val="-4"/>
          <w:sz w:val="28"/>
          <w:szCs w:val="28"/>
          <w:lang w:eastAsia="zh-CN"/>
        </w:rPr>
        <w:t>，收到项目经费</w:t>
      </w:r>
      <w:r>
        <w:rPr>
          <w:rStyle w:val="8"/>
          <w:rFonts w:hint="eastAsia" w:ascii="仿宋" w:hAnsi="仿宋" w:eastAsia="仿宋" w:cs="仿宋"/>
          <w:b w:val="0"/>
          <w:bCs w:val="0"/>
          <w:spacing w:val="-4"/>
          <w:sz w:val="28"/>
          <w:szCs w:val="28"/>
          <w:lang w:val="en-US" w:eastAsia="zh-CN"/>
        </w:rPr>
        <w:t>72万元，</w:t>
      </w:r>
      <w:r>
        <w:rPr>
          <w:rStyle w:val="8"/>
          <w:rFonts w:hint="eastAsia" w:ascii="仿宋" w:hAnsi="仿宋" w:eastAsia="仿宋" w:cs="仿宋"/>
          <w:b w:val="0"/>
          <w:spacing w:val="-4"/>
          <w:sz w:val="28"/>
          <w:szCs w:val="28"/>
          <w:lang w:val="en-US" w:eastAsia="zh-CN"/>
        </w:rPr>
        <w:t>项目经费支出</w:t>
      </w:r>
      <w:r>
        <w:rPr>
          <w:rStyle w:val="8"/>
          <w:rFonts w:hint="eastAsia" w:ascii="仿宋" w:hAnsi="仿宋" w:eastAsia="仿宋" w:cs="仿宋"/>
          <w:b w:val="0"/>
          <w:color w:val="000000" w:themeColor="text1"/>
          <w:spacing w:val="-4"/>
          <w:sz w:val="28"/>
          <w:szCs w:val="28"/>
          <w:highlight w:val="none"/>
          <w:lang w:val="en-US" w:eastAsia="zh-CN"/>
          <w14:textFill>
            <w14:solidFill>
              <w14:schemeClr w14:val="tx1"/>
            </w14:solidFill>
          </w14:textFill>
        </w:rPr>
        <w:t>72</w:t>
      </w:r>
      <w:r>
        <w:rPr>
          <w:rStyle w:val="8"/>
          <w:rFonts w:hint="eastAsia" w:ascii="仿宋" w:hAnsi="仿宋" w:eastAsia="仿宋" w:cs="仿宋"/>
          <w:b w:val="0"/>
          <w:spacing w:val="-4"/>
          <w:sz w:val="28"/>
          <w:szCs w:val="28"/>
          <w:lang w:val="en-US" w:eastAsia="zh-CN"/>
        </w:rPr>
        <w:t>万元。预算执行率100%。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bidi="ar"/>
        </w:rPr>
      </w:pPr>
      <w:r>
        <w:rPr>
          <w:rStyle w:val="8"/>
          <w:rFonts w:hint="eastAsia" w:ascii="仿宋" w:hAnsi="仿宋" w:eastAsia="仿宋" w:cs="仿宋"/>
          <w:b w:val="0"/>
          <w:bCs w:val="0"/>
          <w:spacing w:val="-4"/>
          <w:sz w:val="28"/>
          <w:szCs w:val="28"/>
        </w:rPr>
        <w:t>3.</w:t>
      </w:r>
      <w:r>
        <w:rPr>
          <w:rFonts w:hint="eastAsia" w:ascii="仿宋" w:hAnsi="仿宋" w:eastAsia="仿宋" w:cs="仿宋"/>
          <w:sz w:val="28"/>
          <w:szCs w:val="28"/>
          <w:lang w:bidi="ar"/>
        </w:rPr>
        <w:t>资金使用合规性</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8"/>
          <w:rFonts w:hint="eastAsia" w:ascii="仿宋" w:hAnsi="仿宋" w:eastAsia="仿宋" w:cs="仿宋"/>
          <w:b w:val="0"/>
          <w:spacing w:val="-4"/>
          <w:sz w:val="28"/>
          <w:szCs w:val="28"/>
          <w:lang w:val="en-US" w:eastAsia="zh-CN"/>
        </w:rPr>
      </w:pPr>
      <w:r>
        <w:rPr>
          <w:rStyle w:val="8"/>
          <w:rFonts w:hint="eastAsia" w:ascii="仿宋" w:hAnsi="仿宋" w:eastAsia="仿宋" w:cs="仿宋"/>
          <w:b w:val="0"/>
          <w:spacing w:val="-4"/>
          <w:sz w:val="28"/>
          <w:szCs w:val="28"/>
          <w:lang w:val="en-US" w:eastAsia="zh-CN"/>
        </w:rPr>
        <w:t>按照地矿局和新疆地质调查院财务规定相关办法执行经费，所有经费均符合相关财务规定。</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spacing w:val="17"/>
          <w:sz w:val="28"/>
          <w:szCs w:val="28"/>
          <w:highlight w:val="none"/>
        </w:rPr>
      </w:pPr>
      <w:r>
        <w:rPr>
          <w:rFonts w:hint="eastAsia" w:ascii="仿宋" w:hAnsi="仿宋" w:eastAsia="仿宋" w:cs="仿宋"/>
          <w:spacing w:val="17"/>
          <w:sz w:val="28"/>
          <w:szCs w:val="28"/>
          <w:highlight w:val="none"/>
          <w:lang w:val="en-US" w:eastAsia="zh-CN"/>
        </w:rPr>
        <w:t xml:space="preserve">    </w:t>
      </w:r>
      <w:r>
        <w:rPr>
          <w:rFonts w:hint="eastAsia" w:ascii="仿宋" w:hAnsi="仿宋" w:eastAsia="仿宋" w:cs="仿宋"/>
          <w:spacing w:val="17"/>
          <w:sz w:val="28"/>
          <w:szCs w:val="28"/>
          <w:highlight w:val="none"/>
        </w:rPr>
        <w:t>(三)项目产出情况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8"/>
          <w:rFonts w:hint="eastAsia" w:ascii="仿宋" w:hAnsi="仿宋" w:eastAsia="仿宋" w:cs="仿宋"/>
          <w:b w:val="0"/>
          <w:spacing w:val="-4"/>
          <w:sz w:val="28"/>
          <w:szCs w:val="28"/>
          <w:lang w:val="en-US" w:eastAsia="zh-CN"/>
        </w:rPr>
      </w:pPr>
      <w:r>
        <w:rPr>
          <w:rStyle w:val="8"/>
          <w:rFonts w:hint="eastAsia" w:ascii="仿宋" w:hAnsi="仿宋" w:eastAsia="仿宋" w:cs="仿宋"/>
          <w:b w:val="0"/>
          <w:spacing w:val="-4"/>
          <w:sz w:val="28"/>
          <w:szCs w:val="28"/>
          <w:lang w:val="en-US" w:eastAsia="zh-CN"/>
        </w:rPr>
        <w:t>项目产出情况主要从产出数量、产出质量、产出时效3个方面进行评价。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val="en-US" w:eastAsia="zh-CN" w:bidi="ar"/>
        </w:rPr>
      </w:pPr>
      <w:r>
        <w:rPr>
          <w:rStyle w:val="8"/>
          <w:rFonts w:hint="eastAsia" w:ascii="仿宋" w:hAnsi="仿宋" w:eastAsia="仿宋" w:cs="仿宋"/>
          <w:b w:val="0"/>
          <w:bCs w:val="0"/>
          <w:spacing w:val="-4"/>
          <w:sz w:val="28"/>
          <w:szCs w:val="28"/>
        </w:rPr>
        <w:t>1.</w:t>
      </w:r>
      <w:r>
        <w:rPr>
          <w:rFonts w:hint="eastAsia" w:ascii="仿宋" w:hAnsi="仿宋" w:eastAsia="仿宋" w:cs="仿宋"/>
          <w:sz w:val="28"/>
          <w:szCs w:val="28"/>
          <w:lang w:val="en-US" w:eastAsia="zh-CN" w:bidi="ar"/>
        </w:rPr>
        <w:t>产出数量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8"/>
          <w:rFonts w:hint="eastAsia" w:ascii="仿宋" w:hAnsi="仿宋" w:eastAsia="仿宋" w:cs="仿宋"/>
          <w:b w:val="0"/>
          <w:spacing w:val="-4"/>
          <w:sz w:val="28"/>
          <w:szCs w:val="28"/>
          <w:lang w:val="en-US" w:eastAsia="zh-CN"/>
        </w:rPr>
      </w:pPr>
      <w:r>
        <w:rPr>
          <w:rStyle w:val="8"/>
          <w:rFonts w:hint="eastAsia" w:ascii="仿宋" w:hAnsi="仿宋" w:eastAsia="仿宋" w:cs="仿宋"/>
          <w:b w:val="0"/>
          <w:spacing w:val="-4"/>
          <w:sz w:val="28"/>
          <w:szCs w:val="28"/>
          <w:lang w:val="en-US" w:eastAsia="zh-CN"/>
        </w:rPr>
        <w:t>按照任务书及工作方案要求，完成了工作量，完成情况如下：1∶2.5万遥感解译和蚀变信息提取500平方千米，完成率100%；1∶2.5万路线地质找矿90千米，完成率60%；1∶1万地质草测35平方千米，完成率175%；1∶1万岩石地球化学剖面45千米，完成率150%；地质矿产、成矿规律和找矿预测图等3张，完成率100%。</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val="en-US" w:eastAsia="zh-CN" w:bidi="ar"/>
        </w:rPr>
      </w:pPr>
      <w:r>
        <w:rPr>
          <w:rStyle w:val="8"/>
          <w:rFonts w:hint="eastAsia" w:ascii="仿宋" w:hAnsi="仿宋" w:eastAsia="仿宋" w:cs="仿宋"/>
          <w:b w:val="0"/>
          <w:bCs w:val="0"/>
          <w:spacing w:val="-4"/>
          <w:sz w:val="28"/>
          <w:szCs w:val="28"/>
          <w:lang w:val="en-US" w:eastAsia="zh-CN"/>
        </w:rPr>
        <w:t>2</w:t>
      </w:r>
      <w:r>
        <w:rPr>
          <w:rStyle w:val="8"/>
          <w:rFonts w:hint="eastAsia" w:ascii="仿宋" w:hAnsi="仿宋" w:eastAsia="仿宋" w:cs="仿宋"/>
          <w:b w:val="0"/>
          <w:bCs w:val="0"/>
          <w:spacing w:val="-4"/>
          <w:sz w:val="28"/>
          <w:szCs w:val="28"/>
        </w:rPr>
        <w:t>.</w:t>
      </w:r>
      <w:r>
        <w:rPr>
          <w:rFonts w:hint="eastAsia" w:ascii="仿宋" w:hAnsi="仿宋" w:eastAsia="仿宋" w:cs="仿宋"/>
          <w:sz w:val="28"/>
          <w:szCs w:val="28"/>
          <w:lang w:val="en-US" w:eastAsia="zh-CN" w:bidi="ar"/>
        </w:rPr>
        <w:t>产出质量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8"/>
          <w:rFonts w:hint="eastAsia" w:ascii="仿宋" w:hAnsi="仿宋" w:eastAsia="仿宋" w:cs="仿宋"/>
          <w:b w:val="0"/>
          <w:spacing w:val="-4"/>
          <w:sz w:val="28"/>
          <w:szCs w:val="28"/>
          <w:lang w:val="en-US" w:eastAsia="zh-CN"/>
        </w:rPr>
      </w:pPr>
      <w:r>
        <w:rPr>
          <w:rStyle w:val="8"/>
          <w:rFonts w:hint="eastAsia" w:ascii="仿宋" w:hAnsi="仿宋" w:eastAsia="仿宋" w:cs="仿宋"/>
          <w:b w:val="0"/>
          <w:spacing w:val="-4"/>
          <w:sz w:val="28"/>
          <w:szCs w:val="28"/>
          <w:lang w:val="en-US" w:eastAsia="zh-CN"/>
        </w:rPr>
        <w:t>按照地质勘查规范开展野外工作，2023年3月23日，地矿局地科处组织专家审查了2023年度工作方案设计，认为设计书任务明确、工作部署合理、工作方案得当，同意实施。2023年7月22日-23日，地矿局专家组对开展中期检查，认为项目组积极开展野外工作，取得了一定的找矿线索，已开展的各项工作部署符合设计要求，成矿质量基本符合有关规范、规程。2023年9月29日-9月30日，开展野外验收，认为项目组按照设计和任务书要求开展了各项工作，全面完成了各项工作任务，质量管理体系运行良好，并取得了一定的找矿成果。</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val="en-US" w:eastAsia="zh-CN" w:bidi="ar"/>
        </w:rPr>
      </w:pPr>
      <w:r>
        <w:rPr>
          <w:rStyle w:val="8"/>
          <w:rFonts w:hint="eastAsia" w:ascii="仿宋" w:hAnsi="仿宋" w:eastAsia="仿宋" w:cs="仿宋"/>
          <w:b w:val="0"/>
          <w:bCs w:val="0"/>
          <w:spacing w:val="-4"/>
          <w:sz w:val="28"/>
          <w:szCs w:val="28"/>
          <w:lang w:val="en-US" w:eastAsia="zh-CN"/>
        </w:rPr>
        <w:t>3</w:t>
      </w:r>
      <w:r>
        <w:rPr>
          <w:rStyle w:val="8"/>
          <w:rFonts w:hint="eastAsia" w:ascii="仿宋" w:hAnsi="仿宋" w:eastAsia="仿宋" w:cs="仿宋"/>
          <w:b w:val="0"/>
          <w:bCs w:val="0"/>
          <w:spacing w:val="-4"/>
          <w:sz w:val="28"/>
          <w:szCs w:val="28"/>
        </w:rPr>
        <w:t>.</w:t>
      </w:r>
      <w:r>
        <w:rPr>
          <w:rFonts w:hint="eastAsia" w:ascii="仿宋" w:hAnsi="仿宋" w:eastAsia="仿宋" w:cs="仿宋"/>
          <w:sz w:val="28"/>
          <w:szCs w:val="28"/>
          <w:lang w:val="en-US" w:eastAsia="zh-CN" w:bidi="ar"/>
        </w:rPr>
        <w:t>产出时效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7"/>
        <w:textAlignment w:val="baseline"/>
        <w:rPr>
          <w:rStyle w:val="8"/>
          <w:rFonts w:hint="eastAsia" w:ascii="仿宋" w:hAnsi="仿宋" w:eastAsia="仿宋" w:cs="仿宋"/>
          <w:b w:val="0"/>
          <w:spacing w:val="-4"/>
          <w:sz w:val="28"/>
          <w:szCs w:val="28"/>
          <w:lang w:val="en-US" w:eastAsia="zh-CN"/>
        </w:rPr>
      </w:pPr>
      <w:r>
        <w:rPr>
          <w:rStyle w:val="8"/>
          <w:rFonts w:hint="eastAsia" w:ascii="仿宋" w:hAnsi="仿宋" w:eastAsia="仿宋" w:cs="仿宋"/>
          <w:b w:val="0"/>
          <w:spacing w:val="-4"/>
          <w:sz w:val="28"/>
          <w:szCs w:val="28"/>
          <w:lang w:val="en-US" w:eastAsia="zh-CN"/>
        </w:rPr>
        <w:t>按照设计书计划，严格按照时间阶段完成相应的工作量，并接受本单位及主管部门的及检查。</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spacing w:val="17"/>
          <w:sz w:val="28"/>
          <w:szCs w:val="28"/>
          <w:highlight w:val="none"/>
        </w:rPr>
      </w:pPr>
      <w:r>
        <w:rPr>
          <w:rFonts w:hint="eastAsia" w:ascii="仿宋" w:hAnsi="仿宋" w:eastAsia="仿宋" w:cs="仿宋"/>
          <w:spacing w:val="17"/>
          <w:sz w:val="28"/>
          <w:szCs w:val="28"/>
          <w:highlight w:val="none"/>
          <w:lang w:val="en-US" w:eastAsia="zh-CN"/>
        </w:rPr>
        <w:t xml:space="preserve">    </w:t>
      </w:r>
      <w:r>
        <w:rPr>
          <w:rFonts w:hint="eastAsia" w:ascii="仿宋" w:hAnsi="仿宋" w:eastAsia="仿宋" w:cs="仿宋"/>
          <w:spacing w:val="17"/>
          <w:sz w:val="28"/>
          <w:szCs w:val="28"/>
          <w:highlight w:val="none"/>
        </w:rPr>
        <w:t>(四)项目效益情况</w:t>
      </w:r>
    </w:p>
    <w:p>
      <w:pPr>
        <w:pStyle w:val="4"/>
        <w:spacing w:line="560" w:lineRule="exact"/>
        <w:ind w:firstLine="560" w:firstLineChars="200"/>
        <w:rPr>
          <w:rFonts w:hint="eastAsia" w:ascii="仿宋" w:hAnsi="仿宋" w:eastAsia="仿宋" w:cs="仿宋"/>
          <w:color w:val="333333"/>
          <w:sz w:val="28"/>
          <w:szCs w:val="28"/>
          <w:lang w:val="en-US"/>
        </w:rPr>
      </w:pPr>
      <w:r>
        <w:rPr>
          <w:rFonts w:hint="eastAsia" w:ascii="仿宋" w:hAnsi="仿宋" w:eastAsia="仿宋" w:cs="仿宋"/>
          <w:sz w:val="28"/>
          <w:szCs w:val="28"/>
          <w:lang w:bidi="ar"/>
        </w:rPr>
        <w:t>效益指标从经济效益</w:t>
      </w:r>
      <w:r>
        <w:rPr>
          <w:rFonts w:hint="eastAsia" w:ascii="仿宋" w:hAnsi="仿宋" w:eastAsia="仿宋" w:cs="仿宋"/>
          <w:sz w:val="28"/>
          <w:szCs w:val="28"/>
          <w:lang w:val="en-US" w:eastAsia="zh-CN" w:bidi="ar"/>
        </w:rPr>
        <w:t>、社会效益和科技创新三个方面进行评价，在经济效益方面，完成了计划的野外工作量，并在两个重点工作区的发现了铜、铅锌的找矿线索，为进一步选取评价提供依据。在社会效益方面，本次工作完成和田地区成矿系列图件对于认识和田地区开展项目部署、科学研究及找矿突破均有科学意义。在科技创新方面，尝试运用“洋板块”地质学思维，对团结峰-兴山一带的地质构造演化工程进行重新认识，探讨其找矿前景，参加学术会议1次，发表论文1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6"/>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五、 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在预算编制过程中，存在不可预见性与不可抗力，需要充分考虑实际情况，与实际情况相结合，确保全年目标任务的完成。</w:t>
      </w:r>
    </w:p>
    <w:p>
      <w:pPr>
        <w:pStyle w:val="4"/>
        <w:rPr>
          <w:rFonts w:hint="eastAsia"/>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6"/>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六、 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在项目立项时需要进一步细化落实，做到充分掌握情况，避免出现预算和实际偏差较大的情况出现。</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对预算安排与执行的建议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充分考虑实际情况，从实际出发，合理编制预算，严格执行预算。</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3.对资金管理的建议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加强采购资金的管理，通过招投标方式控制采购成本。严格按照合同支付程序办理资金支付。</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项目管理的建议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contextualSpacing/>
        <w:textAlignment w:val="baseline"/>
        <w:rPr>
          <w:rFonts w:hint="eastAsia" w:ascii="仿宋" w:hAnsi="仿宋" w:eastAsia="仿宋" w:cs="仿宋"/>
          <w:snapToGrid w:val="0"/>
          <w:color w:val="000000"/>
          <w:kern w:val="0"/>
          <w:sz w:val="28"/>
          <w:szCs w:val="28"/>
          <w:lang w:val="en-US" w:eastAsia="zh-CN" w:bidi="ar"/>
        </w:rPr>
      </w:pPr>
      <w:r>
        <w:rPr>
          <w:rFonts w:hint="eastAsia" w:ascii="仿宋" w:hAnsi="仿宋" w:eastAsia="仿宋" w:cs="仿宋"/>
          <w:snapToGrid w:val="0"/>
          <w:color w:val="000000"/>
          <w:kern w:val="0"/>
          <w:sz w:val="28"/>
          <w:szCs w:val="28"/>
          <w:lang w:val="en-US" w:eastAsia="zh-CN" w:bidi="ar"/>
        </w:rPr>
        <w:t>做好预算基础以及前期资料收集工作，加强资金管理，合理编制预算。</w:t>
      </w:r>
    </w:p>
    <w:p>
      <w:pPr>
        <w:pStyle w:val="4"/>
        <w:rPr>
          <w:rFonts w:hint="eastAsia"/>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6"/>
          <w:sz w:val="29"/>
          <w:szCs w:val="29"/>
        </w:rPr>
      </w:pPr>
      <w:r>
        <w:rPr>
          <w:rFonts w:hint="eastAsia" w:ascii="黑体" w:hAnsi="黑体" w:eastAsia="黑体" w:cs="黑体"/>
          <w:b/>
          <w:bCs/>
          <w:spacing w:val="-6"/>
          <w:sz w:val="29"/>
          <w:szCs w:val="29"/>
          <w:lang w:val="en-US" w:eastAsia="zh-CN"/>
        </w:rPr>
        <w:t xml:space="preserve">    </w:t>
      </w:r>
      <w:r>
        <w:rPr>
          <w:rFonts w:ascii="黑体" w:hAnsi="黑体" w:eastAsia="黑体" w:cs="黑体"/>
          <w:b/>
          <w:bCs/>
          <w:spacing w:val="-6"/>
          <w:sz w:val="29"/>
          <w:szCs w:val="29"/>
        </w:rPr>
        <w:t>七、其他需要说明的问题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9"/>
        <w:rPr>
          <w:rFonts w:hint="eastAsia" w:ascii="黑体" w:hAnsi="黑体" w:eastAsia="黑体" w:cs="黑体"/>
          <w:b/>
          <w:bCs/>
          <w:spacing w:val="3"/>
          <w:sz w:val="29"/>
          <w:szCs w:val="29"/>
          <w:lang w:val="en-US" w:eastAsia="zh-CN"/>
        </w:rPr>
      </w:pPr>
      <w:r>
        <w:rPr>
          <w:rFonts w:hint="eastAsia" w:ascii="黑体" w:hAnsi="黑体" w:eastAsia="黑体" w:cs="黑体"/>
          <w:b/>
          <w:bCs/>
          <w:spacing w:val="3"/>
          <w:sz w:val="29"/>
          <w:szCs w:val="29"/>
          <w:lang w:val="en-US" w:eastAsia="zh-CN"/>
        </w:rPr>
        <w:t xml:space="preserve">  </w:t>
      </w:r>
      <w:r>
        <w:rPr>
          <w:rFonts w:hint="eastAsia" w:ascii="黑体" w:hAnsi="黑体" w:eastAsia="黑体" w:cs="黑体"/>
          <w:b w:val="0"/>
          <w:bCs w:val="0"/>
          <w:spacing w:val="3"/>
          <w:sz w:val="29"/>
          <w:szCs w:val="29"/>
          <w:lang w:val="en-US" w:eastAsia="zh-CN"/>
        </w:rPr>
        <w:t xml:space="preserve">   </w:t>
      </w:r>
      <w:r>
        <w:rPr>
          <w:rFonts w:hint="eastAsia" w:ascii="仿宋" w:hAnsi="仿宋" w:eastAsia="仿宋" w:cs="仿宋"/>
          <w:b w:val="0"/>
          <w:bCs w:val="0"/>
          <w:spacing w:val="3"/>
          <w:sz w:val="29"/>
          <w:szCs w:val="29"/>
          <w:lang w:val="en-US" w:eastAsia="zh-CN"/>
        </w:rPr>
        <w:t>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9"/>
        <w:rPr>
          <w:rFonts w:ascii="黑体" w:hAnsi="黑体" w:eastAsia="黑体" w:cs="黑体"/>
          <w:b/>
          <w:bCs/>
          <w:spacing w:val="3"/>
          <w:sz w:val="29"/>
          <w:szCs w:val="29"/>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9"/>
        <w:rPr>
          <w:rFonts w:ascii="黑体" w:hAnsi="黑体" w:eastAsia="黑体" w:cs="黑体"/>
          <w:b/>
          <w:bCs/>
          <w:spacing w:val="3"/>
          <w:sz w:val="29"/>
          <w:szCs w:val="29"/>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ascii="黑体" w:hAnsi="黑体" w:eastAsia="黑体" w:cs="黑体"/>
          <w:b/>
          <w:bCs/>
          <w:spacing w:val="3"/>
          <w:sz w:val="29"/>
          <w:szCs w:val="29"/>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sz w:val="31"/>
          <w:szCs w:val="31"/>
        </w:rPr>
      </w:pPr>
    </w:p>
    <w:sectPr>
      <w:footerReference r:id="rId5" w:type="default"/>
      <w:pgSz w:w="11900" w:h="16840"/>
      <w:pgMar w:top="1431"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6A3D81"/>
    <w:multiLevelType w:val="singleLevel"/>
    <w:tmpl w:val="7D6A3D81"/>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NDEyZmRiNzA5YTY3Y2RiMWRiNmUwNWEyMDE0YjYyZmUifQ=="/>
  </w:docVars>
  <w:rsids>
    <w:rsidRoot w:val="00000000"/>
    <w:rsid w:val="126D072D"/>
    <w:rsid w:val="1B063F67"/>
    <w:rsid w:val="28B6327F"/>
    <w:rsid w:val="2C0F0241"/>
    <w:rsid w:val="37C676F9"/>
    <w:rsid w:val="3AAC1209"/>
    <w:rsid w:val="3C830353"/>
    <w:rsid w:val="4EC124D2"/>
    <w:rsid w:val="58A873E4"/>
    <w:rsid w:val="59D42BD2"/>
    <w:rsid w:val="636E668B"/>
    <w:rsid w:val="64A02DEE"/>
    <w:rsid w:val="69A251DB"/>
    <w:rsid w:val="6ACE0551"/>
    <w:rsid w:val="76537DEA"/>
    <w:rsid w:val="79212D0E"/>
    <w:rsid w:val="7B5F2DBC"/>
    <w:rsid w:val="7D445D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5"/>
      <w:szCs w:val="35"/>
      <w:lang w:val="en-US" w:eastAsia="en-US" w:bidi="ar-SA"/>
    </w:rPr>
  </w:style>
  <w:style w:type="paragraph" w:styleId="3">
    <w:name w:val="Body Text Indent"/>
    <w:basedOn w:val="1"/>
    <w:qFormat/>
    <w:uiPriority w:val="0"/>
    <w:pPr>
      <w:spacing w:after="120"/>
      <w:ind w:left="420" w:leftChars="200"/>
    </w:pPr>
    <w:rPr>
      <w:rFonts w:ascii="仿宋_GB2312" w:hAnsi="Times New Roman" w:eastAsia="仿宋_GB2312"/>
      <w:sz w:val="32"/>
    </w:rPr>
  </w:style>
  <w:style w:type="paragraph" w:styleId="4">
    <w:name w:val="footnote text"/>
    <w:basedOn w:val="1"/>
    <w:qFormat/>
    <w:uiPriority w:val="0"/>
    <w:pPr>
      <w:snapToGrid w:val="0"/>
      <w:jc w:val="left"/>
    </w:pPr>
    <w:rPr>
      <w:sz w:val="18"/>
      <w:szCs w:val="18"/>
    </w:rPr>
  </w:style>
  <w:style w:type="paragraph" w:styleId="5">
    <w:name w:val="Body Text First Indent"/>
    <w:basedOn w:val="2"/>
    <w:qFormat/>
    <w:uiPriority w:val="0"/>
    <w:pPr>
      <w:spacing w:after="120"/>
      <w:ind w:firstLine="420" w:firstLineChars="100"/>
    </w:pPr>
    <w:rPr>
      <w:rFonts w:ascii="Calibri" w:hAnsi="Calibri"/>
    </w:rPr>
  </w:style>
  <w:style w:type="character" w:styleId="8">
    <w:name w:val="Strong"/>
    <w:basedOn w:val="7"/>
    <w:qFormat/>
    <w:uiPriority w:val="0"/>
    <w:rPr>
      <w:b/>
      <w:bCs/>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 w:type="paragraph" w:customStyle="1" w:styleId="11">
    <w:name w:val="List Paragraph"/>
    <w:basedOn w:val="1"/>
    <w:qFormat/>
    <w:uiPriority w:val="0"/>
    <w:pPr>
      <w:widowControl/>
      <w:ind w:left="720"/>
      <w:jc w:val="left"/>
    </w:pPr>
    <w:rPr>
      <w:rFonts w:ascii="Calibri" w:hAnsi="Calibri" w:eastAsia="宋体"/>
      <w:kern w:val="0"/>
      <w:sz w:val="24"/>
      <w:lang w:eastAsia="en-US"/>
    </w:rPr>
  </w:style>
  <w:style w:type="character" w:customStyle="1" w:styleId="12">
    <w:name w:val="font51"/>
    <w:basedOn w:val="7"/>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5600</Words>
  <Characters>5882</Characters>
  <Lines>0</Lines>
  <Paragraphs>0</Paragraphs>
  <TotalTime>8</TotalTime>
  <ScaleCrop>false</ScaleCrop>
  <LinksUpToDate>false</LinksUpToDate>
  <CharactersWithSpaces>5967</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2024-08-27T04:40:19Z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2052-12.1.0.16910</vt:lpwstr>
  </property>
  <property fmtid="{D5CDD505-2E9C-101B-9397-08002B2CF9AE}" pid="6" name="ICV">
    <vt:lpwstr>924C99EF9D084FBB96CD0C7FB3E1FED1_12</vt:lpwstr>
  </property>
</Properties>
</file>