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9"/>
          <w:rFonts w:hint="eastAsia" w:ascii="楷体" w:hAnsi="楷体" w:eastAsia="楷体"/>
          <w:spacing w:val="-4"/>
          <w:sz w:val="32"/>
          <w:szCs w:val="32"/>
        </w:rPr>
        <w:t>202</w:t>
      </w:r>
      <w:r>
        <w:rPr>
          <w:rStyle w:val="9"/>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left="3776" w:leftChars="513" w:hanging="2340" w:hangingChars="6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新疆青河县玉什哈拉—尼塔拉一</w:t>
      </w:r>
    </w:p>
    <w:p>
      <w:pPr>
        <w:spacing w:line="700" w:lineRule="exact"/>
        <w:ind w:left="3768" w:leftChars="1153" w:hanging="540" w:hangingChars="150"/>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带铜镍矿调查评价</w:t>
      </w:r>
    </w:p>
    <w:p>
      <w:pPr>
        <w:spacing w:line="700" w:lineRule="exact"/>
        <w:ind w:left="3776" w:leftChars="513" w:hanging="2340" w:hangingChars="6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实施单位（公章）：新疆维吾尔自治区地质</w:t>
      </w:r>
      <w:r>
        <w:rPr>
          <w:rFonts w:hint="eastAsia" w:hAnsi="宋体" w:eastAsia="仿宋_GB2312" w:cs="宋体"/>
          <w:kern w:val="0"/>
          <w:sz w:val="36"/>
          <w:szCs w:val="36"/>
          <w:lang w:eastAsia="zh-CN"/>
        </w:rPr>
        <w:t>调查院</w:t>
      </w:r>
    </w:p>
    <w:p>
      <w:pPr>
        <w:spacing w:line="700" w:lineRule="exact"/>
        <w:ind w:left="3776"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700" w:lineRule="exact"/>
        <w:ind w:left="3776" w:leftChars="513" w:hanging="2340" w:hangingChars="6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赵玉京</w:t>
      </w:r>
    </w:p>
    <w:p>
      <w:pPr>
        <w:spacing w:line="700" w:lineRule="exact"/>
        <w:ind w:left="3776"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bookmarkStart w:id="1" w:name="_GoBack"/>
      <w:bookmarkEnd w:id="1"/>
    </w:p>
    <w:p>
      <w:pPr>
        <w:spacing w:line="540" w:lineRule="exact"/>
        <w:jc w:val="both"/>
        <w:rPr>
          <w:rFonts w:ascii="宋体" w:hAnsi="宋体" w:eastAsia="宋体" w:cs="宋体"/>
          <w:b/>
          <w:bCs/>
          <w:spacing w:val="18"/>
          <w:sz w:val="23"/>
          <w:szCs w:val="23"/>
        </w:rPr>
      </w:pPr>
    </w:p>
    <w:p>
      <w:pPr>
        <w:spacing w:line="366" w:lineRule="auto"/>
        <w:rPr>
          <w:sz w:val="21"/>
        </w:rPr>
      </w:pPr>
    </w:p>
    <w:p>
      <w:pPr>
        <w:spacing w:before="75" w:line="219" w:lineRule="auto"/>
        <w:ind w:left="3" w:firstLine="498"/>
        <w:rPr>
          <w:rFonts w:ascii="宋体" w:hAnsi="宋体" w:eastAsia="宋体" w:cs="宋体"/>
          <w:b/>
          <w:bCs/>
          <w:spacing w:val="18"/>
          <w:sz w:val="23"/>
          <w:szCs w:val="23"/>
          <w:lang w:eastAsia="zh-CN"/>
        </w:rPr>
      </w:pPr>
    </w:p>
    <w:p>
      <w:pPr>
        <w:spacing w:before="75" w:line="219" w:lineRule="auto"/>
        <w:ind w:left="3" w:firstLine="498"/>
        <w:rPr>
          <w:rFonts w:ascii="宋体" w:hAnsi="宋体" w:eastAsia="宋体" w:cs="宋体"/>
          <w:b/>
          <w:bCs/>
          <w:spacing w:val="18"/>
          <w:sz w:val="23"/>
          <w:szCs w:val="23"/>
          <w:lang w:eastAsia="zh-CN"/>
        </w:rPr>
      </w:pPr>
    </w:p>
    <w:p>
      <w:pPr>
        <w:spacing w:before="75" w:line="219" w:lineRule="auto"/>
        <w:ind w:left="3" w:firstLine="498"/>
        <w:rPr>
          <w:rFonts w:ascii="宋体" w:hAnsi="宋体" w:eastAsia="宋体" w:cs="宋体"/>
          <w:sz w:val="23"/>
          <w:szCs w:val="23"/>
          <w:lang w:eastAsia="zh-CN"/>
        </w:rPr>
      </w:pPr>
      <w:r>
        <w:rPr>
          <w:rFonts w:ascii="宋体" w:hAnsi="宋体" w:eastAsia="宋体" w:cs="宋体"/>
          <w:b/>
          <w:bCs/>
          <w:spacing w:val="18"/>
          <w:sz w:val="23"/>
          <w:szCs w:val="23"/>
          <w:lang w:eastAsia="zh-CN"/>
        </w:rPr>
        <w:t>附件2</w:t>
      </w:r>
    </w:p>
    <w:p>
      <w:pPr>
        <w:spacing w:before="307" w:line="218" w:lineRule="auto"/>
        <w:jc w:val="both"/>
        <w:rPr>
          <w:rFonts w:ascii="宋体" w:hAnsi="宋体" w:eastAsia="宋体" w:cs="宋体"/>
          <w:sz w:val="29"/>
          <w:szCs w:val="29"/>
          <w:lang w:eastAsia="zh-CN"/>
        </w:rPr>
      </w:pPr>
      <w:r>
        <w:rPr>
          <w:rFonts w:hint="eastAsia" w:ascii="宋体" w:hAnsi="宋体" w:eastAsia="宋体" w:cs="宋体"/>
          <w:b/>
          <w:bCs/>
          <w:spacing w:val="58"/>
          <w:sz w:val="29"/>
          <w:szCs w:val="29"/>
          <w:lang w:val="en-US" w:eastAsia="zh-CN"/>
        </w:rPr>
        <w:t xml:space="preserve">         </w:t>
      </w:r>
      <w:r>
        <w:rPr>
          <w:rFonts w:ascii="宋体" w:hAnsi="宋体" w:eastAsia="宋体" w:cs="宋体"/>
          <w:b/>
          <w:bCs/>
          <w:spacing w:val="58"/>
          <w:sz w:val="29"/>
          <w:szCs w:val="29"/>
          <w:lang w:eastAsia="zh-CN"/>
        </w:rPr>
        <w:t>项目支出绩效评价报告</w:t>
      </w:r>
    </w:p>
    <w:p>
      <w:pPr>
        <w:spacing w:line="261" w:lineRule="auto"/>
        <w:jc w:val="both"/>
        <w:rPr>
          <w:sz w:val="21"/>
          <w:lang w:eastAsia="zh-CN"/>
        </w:rPr>
      </w:pPr>
    </w:p>
    <w:p>
      <w:pPr>
        <w:spacing w:line="261" w:lineRule="auto"/>
        <w:rPr>
          <w:sz w:val="21"/>
          <w:lang w:eastAsia="zh-CN"/>
        </w:rPr>
      </w:pPr>
    </w:p>
    <w:p>
      <w:pPr>
        <w:pStyle w:val="2"/>
        <w:spacing w:before="120" w:after="120"/>
        <w:ind w:firstLine="602"/>
        <w:rPr>
          <w:lang w:eastAsia="zh-CN"/>
        </w:rPr>
      </w:pPr>
      <w:r>
        <w:rPr>
          <w:lang w:eastAsia="zh-CN"/>
        </w:rPr>
        <w:t>一、基本情况</w:t>
      </w:r>
    </w:p>
    <w:p>
      <w:pPr>
        <w:pStyle w:val="5"/>
        <w:spacing w:before="250"/>
        <w:ind w:firstLine="614"/>
        <w:jc w:val="both"/>
        <w:rPr>
          <w:color w:val="auto"/>
          <w:spacing w:val="17"/>
          <w:position w:val="23"/>
          <w:sz w:val="29"/>
          <w:szCs w:val="29"/>
          <w:highlight w:val="none"/>
          <w:lang w:eastAsia="zh-CN"/>
        </w:rPr>
      </w:pPr>
      <w:r>
        <w:rPr>
          <w:color w:val="auto"/>
          <w:spacing w:val="17"/>
          <w:position w:val="23"/>
          <w:sz w:val="29"/>
          <w:szCs w:val="29"/>
          <w:highlight w:val="none"/>
          <w:lang w:eastAsia="zh-CN"/>
        </w:rPr>
        <w:t>(一)项目概况</w:t>
      </w:r>
    </w:p>
    <w:p>
      <w:pPr>
        <w:ind w:firstLine="560"/>
        <w:rPr>
          <w:lang w:eastAsia="zh-CN"/>
        </w:rPr>
      </w:pPr>
      <w:r>
        <w:rPr>
          <w:rFonts w:hint="eastAsia"/>
          <w:lang w:eastAsia="zh-CN"/>
        </w:rPr>
        <w:t>1、项目背景</w:t>
      </w:r>
    </w:p>
    <w:p>
      <w:pPr>
        <w:ind w:firstLine="560"/>
        <w:rPr>
          <w:lang w:eastAsia="zh-CN"/>
        </w:rPr>
      </w:pPr>
      <w:r>
        <w:rPr>
          <w:rFonts w:hint="eastAsia"/>
          <w:lang w:eastAsia="zh-CN"/>
        </w:rPr>
        <w:t>2021年新疆地质调查院在奇台县北塔山一带发现和初步评价了托吐喀腊岩浆型铜镍矿，发现基性杂岩体4处，圈定铜镍矿体6条，显示出东准噶尔地区具有进一步寻找岩浆型铜镍矿的潜力。2022年，根据区域成矿地质条件和物化探异常筛选，申请新立了本项目，在东准噶尔玉什哈拉-尼塔拉一带进行铜镍矿调查评价工作。项目属于新疆地质矿产勘查开发局新立自筹资金项目。</w:t>
      </w:r>
    </w:p>
    <w:p>
      <w:pPr>
        <w:ind w:firstLine="560"/>
        <w:rPr>
          <w:lang w:eastAsia="zh-CN"/>
        </w:rPr>
      </w:pPr>
      <w:r>
        <w:rPr>
          <w:rFonts w:hint="eastAsia"/>
          <w:lang w:eastAsia="zh-CN"/>
        </w:rPr>
        <w:t>2、主要内容</w:t>
      </w:r>
    </w:p>
    <w:p>
      <w:pPr>
        <w:ind w:firstLine="560"/>
        <w:rPr>
          <w:lang w:eastAsia="zh-CN"/>
        </w:rPr>
      </w:pPr>
      <w:r>
        <w:rPr>
          <w:rFonts w:hint="eastAsia"/>
          <w:lang w:eastAsia="zh-CN"/>
        </w:rPr>
        <w:t>充分收集、研究以往地质、矿产、物探、化探等成果资料，研究区域成矿规律、控矿因素以铜镍为主攻矿产，兼顾金、钴等其他矿产，采用大比例尺填图、化探、物探等方法手段，对玉什哈拉-也不山南一带铜镍矿开展调查评价工作，为下一步矿产勘查提供依据。</w:t>
      </w:r>
    </w:p>
    <w:p>
      <w:pPr>
        <w:ind w:firstLine="560"/>
        <w:rPr>
          <w:lang w:eastAsia="zh-CN"/>
        </w:rPr>
      </w:pPr>
      <w:r>
        <w:rPr>
          <w:rFonts w:hint="eastAsia"/>
          <w:lang w:eastAsia="zh-CN"/>
        </w:rPr>
        <w:t>3、实施情况</w:t>
      </w:r>
    </w:p>
    <w:p>
      <w:pPr>
        <w:ind w:firstLine="560"/>
        <w:rPr>
          <w:lang w:eastAsia="zh-CN"/>
        </w:rPr>
      </w:pPr>
      <w:r>
        <w:rPr>
          <w:rFonts w:hint="eastAsia"/>
          <w:lang w:eastAsia="zh-CN"/>
        </w:rPr>
        <w:t>根据2022年新疆地质矿产勘查开发局办公室下达项目任务书要求，项目组组织地质技术人员进行了项目设计书的编写。2022年5月7日，通过新疆地质矿产勘查开发局对项目设计书的评审，设计书获得优秀级评价。</w:t>
      </w:r>
    </w:p>
    <w:p>
      <w:pPr>
        <w:ind w:firstLine="560"/>
        <w:rPr>
          <w:lang w:eastAsia="zh-CN"/>
        </w:rPr>
      </w:pPr>
      <w:r>
        <w:rPr>
          <w:rFonts w:hint="eastAsia"/>
          <w:lang w:eastAsia="zh-CN"/>
        </w:rPr>
        <w:t>2022年5月中旬～8月初，项目组开展野外工作。对工区陆续开展了1∶1万地质找矿路线、1∶1万地质草测、1∶1万地化剖面等工作。通过前期在各个重点工作区的矿产检查工作，以找矿为目标的前提下，对项目工作部署情况进行调整。先后在乔奥、结尔得嘎拉工作区发现多处铜、金、钼、银的矿化线索。</w:t>
      </w:r>
    </w:p>
    <w:p>
      <w:pPr>
        <w:ind w:firstLine="560"/>
        <w:rPr>
          <w:lang w:eastAsia="zh-CN"/>
        </w:rPr>
      </w:pPr>
      <w:r>
        <w:rPr>
          <w:rFonts w:hint="eastAsia"/>
          <w:lang w:val="zh-CN" w:eastAsia="zh-CN"/>
        </w:rPr>
        <w:t>202</w:t>
      </w:r>
      <w:r>
        <w:rPr>
          <w:rFonts w:hint="eastAsia"/>
          <w:lang w:eastAsia="zh-CN"/>
        </w:rPr>
        <w:t>2</w:t>
      </w:r>
      <w:r>
        <w:rPr>
          <w:rFonts w:hint="eastAsia"/>
          <w:lang w:val="zh-CN" w:eastAsia="zh-CN"/>
        </w:rPr>
        <w:t>年</w:t>
      </w:r>
      <w:r>
        <w:rPr>
          <w:rFonts w:hint="eastAsia"/>
          <w:lang w:eastAsia="zh-CN"/>
        </w:rPr>
        <w:t>8</w:t>
      </w:r>
      <w:r>
        <w:rPr>
          <w:rFonts w:hint="eastAsia"/>
          <w:lang w:val="zh-CN" w:eastAsia="zh-CN"/>
        </w:rPr>
        <w:t>月</w:t>
      </w:r>
      <w:r>
        <w:rPr>
          <w:rFonts w:hint="eastAsia"/>
          <w:lang w:eastAsia="zh-CN"/>
        </w:rPr>
        <w:t>4</w:t>
      </w:r>
      <w:r>
        <w:rPr>
          <w:rFonts w:hint="eastAsia"/>
          <w:lang w:val="zh-CN" w:eastAsia="zh-CN"/>
        </w:rPr>
        <w:t>日，新疆地质调查院统一安排，单位领导杨在峰、总工办李延清、任燕等专家，在北塔山项目驻地对本项目进行了野外中期监理，在听取项目野外工作汇报、提问答疑、原始资料检查后，指出了工作中存在的问题，并提出了宝贵意见及建议，项目组对此进行了认真的整改。</w:t>
      </w:r>
    </w:p>
    <w:p>
      <w:pPr>
        <w:ind w:firstLine="560"/>
        <w:rPr>
          <w:lang w:eastAsia="zh-CN"/>
        </w:rPr>
      </w:pPr>
      <w:r>
        <w:rPr>
          <w:rFonts w:hint="eastAsia"/>
          <w:lang w:eastAsia="zh-CN"/>
        </w:rPr>
        <w:t>因疫情原因，8月初至11月无法开展野外工作，项目申请了延期。2023年5月至6月，项目组完成了剩余的工作量。6月中旬，通过了地矿局野外验收，并获得了优秀评价。随后，转入了资料整理和报告编写阶段。</w:t>
      </w:r>
    </w:p>
    <w:p>
      <w:pPr>
        <w:ind w:firstLine="560"/>
        <w:rPr>
          <w:lang w:eastAsia="zh-CN"/>
        </w:rPr>
      </w:pPr>
      <w:bookmarkStart w:id="0" w:name="_Toc248812017"/>
      <w:r>
        <w:rPr>
          <w:rFonts w:hint="eastAsia"/>
          <w:lang w:eastAsia="zh-CN"/>
        </w:rPr>
        <w:t>本工作量完成情况见表</w:t>
      </w:r>
    </w:p>
    <w:p>
      <w:pPr>
        <w:tabs>
          <w:tab w:val="center" w:pos="4156"/>
        </w:tabs>
        <w:ind w:firstLine="361"/>
        <w:jc w:val="center"/>
        <w:rPr>
          <w:rFonts w:ascii="宋体" w:hAnsi="宋体" w:eastAsia="宋体" w:cs="宋体"/>
          <w:b/>
          <w:sz w:val="28"/>
          <w:szCs w:val="28"/>
          <w:lang w:eastAsia="zh-CN"/>
        </w:rPr>
      </w:pPr>
      <w:r>
        <w:rPr>
          <w:rFonts w:hint="eastAsia" w:ascii="宋体" w:hAnsi="宋体" w:eastAsia="宋体" w:cs="宋体"/>
          <w:b/>
          <w:sz w:val="30"/>
          <w:szCs w:val="30"/>
          <w:lang w:eastAsia="zh-CN"/>
        </w:rPr>
        <w:t xml:space="preserve"> </w:t>
      </w:r>
      <w:r>
        <w:rPr>
          <w:rFonts w:hint="eastAsia" w:ascii="宋体" w:hAnsi="宋体" w:eastAsia="宋体" w:cs="宋体"/>
          <w:b/>
          <w:sz w:val="28"/>
          <w:szCs w:val="28"/>
          <w:lang w:eastAsia="zh-CN"/>
        </w:rPr>
        <w:t>项目设计工作量完成情况表</w:t>
      </w:r>
    </w:p>
    <w:tbl>
      <w:tblPr>
        <w:tblStyle w:val="7"/>
        <w:tblW w:w="7911" w:type="dxa"/>
        <w:jc w:val="center"/>
        <w:tblLayout w:type="fixed"/>
        <w:tblCellMar>
          <w:top w:w="15" w:type="dxa"/>
          <w:left w:w="15" w:type="dxa"/>
          <w:bottom w:w="15" w:type="dxa"/>
          <w:right w:w="15" w:type="dxa"/>
        </w:tblCellMar>
      </w:tblPr>
      <w:tblGrid>
        <w:gridCol w:w="2929"/>
        <w:gridCol w:w="917"/>
        <w:gridCol w:w="1125"/>
        <w:gridCol w:w="1500"/>
        <w:gridCol w:w="1440"/>
      </w:tblGrid>
      <w:tr>
        <w:tblPrEx>
          <w:tblCellMar>
            <w:top w:w="15" w:type="dxa"/>
            <w:left w:w="15" w:type="dxa"/>
            <w:bottom w:w="15" w:type="dxa"/>
            <w:right w:w="15" w:type="dxa"/>
          </w:tblCellMar>
        </w:tblPrEx>
        <w:trPr>
          <w:trHeight w:val="380" w:hRule="atLeas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工作方法</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单位</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批复工作量</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实际完成工作量</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完成率（%）</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1∶10000地质草测</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rPr>
                <w:rFonts w:ascii="Times New Roman" w:hAnsi="Times New Roman" w:eastAsia="宋体" w:cs="Times New Roman"/>
                <w:sz w:val="21"/>
                <w:vertAlign w:val="superscript"/>
              </w:rPr>
            </w:pPr>
            <w:r>
              <w:rPr>
                <w:rFonts w:ascii="Times New Roman" w:hAnsi="Times New Roman" w:eastAsia="宋体" w:cs="Times New Roman"/>
                <w:sz w:val="21"/>
              </w:rPr>
              <w:t>km</w:t>
            </w:r>
            <w:r>
              <w:rPr>
                <w:rFonts w:ascii="Times New Roman" w:hAnsi="Times New Roman" w:eastAsia="宋体" w:cs="Times New Roman"/>
                <w:sz w:val="21"/>
                <w:vertAlign w:val="superscript"/>
              </w:rPr>
              <w:t>2</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30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30.96</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103</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1∶2000地质草测</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rPr>
                <w:rFonts w:ascii="Times New Roman" w:hAnsi="Times New Roman" w:eastAsia="宋体" w:cs="Times New Roman"/>
                <w:sz w:val="21"/>
              </w:rPr>
            </w:pPr>
            <w:r>
              <w:rPr>
                <w:rFonts w:ascii="Times New Roman" w:hAnsi="Times New Roman" w:eastAsia="宋体" w:cs="Times New Roman"/>
                <w:sz w:val="21"/>
              </w:rPr>
              <w:t>km</w:t>
            </w:r>
            <w:r>
              <w:rPr>
                <w:rFonts w:ascii="Times New Roman" w:hAnsi="Times New Roman" w:eastAsia="宋体" w:cs="Times New Roman"/>
                <w:sz w:val="21"/>
                <w:vertAlign w:val="superscript"/>
              </w:rPr>
              <w:t>2</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2</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2.00</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100</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1∶10000地化剖面测量</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km</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60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61</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102</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1∶10000激电中梯剖面测量</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km</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30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rPr>
              <w:t>30</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100</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1∶10000磁法剖面测量</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km</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30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rPr>
              <w:t>30</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100</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1∶10000重力剖面测量</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km</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30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rPr>
              <w:t>30</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100</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激电测深</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rPr>
              <w:t>点</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20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rPr>
            </w:pPr>
            <w:r>
              <w:rPr>
                <w:rFonts w:ascii="Times New Roman" w:hAnsi="Times New Roman" w:eastAsia="宋体" w:cs="Times New Roman"/>
                <w:sz w:val="21"/>
                <w:lang w:bidi="ar"/>
              </w:rPr>
              <w:t>20</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bidi="ar"/>
              </w:rPr>
            </w:pPr>
            <w:r>
              <w:rPr>
                <w:rFonts w:ascii="Times New Roman" w:hAnsi="Times New Roman" w:eastAsia="宋体" w:cs="Times New Roman"/>
                <w:sz w:val="21"/>
                <w:lang w:bidi="ar"/>
              </w:rPr>
              <w:t>100</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光薄片</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rPr>
            </w:pPr>
            <w:r>
              <w:rPr>
                <w:rFonts w:hint="eastAsia" w:eastAsia="宋体" w:cs="Times New Roman"/>
                <w:sz w:val="21"/>
                <w:lang w:eastAsia="zh-CN"/>
              </w:rPr>
              <w:t>件</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250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115</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46</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捡块化学样</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rPr>
            </w:pPr>
            <w:r>
              <w:rPr>
                <w:rFonts w:hint="eastAsia" w:eastAsia="宋体" w:cs="Times New Roman"/>
                <w:sz w:val="21"/>
                <w:lang w:eastAsia="zh-CN"/>
              </w:rPr>
              <w:t>件</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150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48</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32</w:t>
            </w:r>
          </w:p>
        </w:tc>
      </w:tr>
      <w:tr>
        <w:tblPrEx>
          <w:tblCellMar>
            <w:top w:w="15" w:type="dxa"/>
            <w:left w:w="15" w:type="dxa"/>
            <w:bottom w:w="15" w:type="dxa"/>
            <w:right w:w="15" w:type="dxa"/>
          </w:tblCellMar>
        </w:tblPrEx>
        <w:trPr>
          <w:trHeight w:val="454" w:hRule="exact"/>
          <w:jc w:val="center"/>
        </w:trPr>
        <w:tc>
          <w:tcPr>
            <w:tcW w:w="2929"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光谱分析样</w:t>
            </w:r>
          </w:p>
        </w:tc>
        <w:tc>
          <w:tcPr>
            <w:tcW w:w="917"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rPr>
            </w:pPr>
            <w:r>
              <w:rPr>
                <w:rFonts w:hint="eastAsia" w:eastAsia="宋体" w:cs="Times New Roman"/>
                <w:sz w:val="21"/>
                <w:lang w:eastAsia="zh-CN"/>
              </w:rPr>
              <w:t>件</w:t>
            </w:r>
          </w:p>
        </w:tc>
        <w:tc>
          <w:tcPr>
            <w:tcW w:w="1125"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1600</w:t>
            </w:r>
          </w:p>
        </w:tc>
        <w:tc>
          <w:tcPr>
            <w:tcW w:w="150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1513</w:t>
            </w:r>
          </w:p>
        </w:tc>
        <w:tc>
          <w:tcPr>
            <w:tcW w:w="1440" w:type="dxa"/>
            <w:tcBorders>
              <w:top w:val="single" w:color="auto" w:sz="4" w:space="0"/>
              <w:left w:val="single" w:color="auto" w:sz="4" w:space="0"/>
              <w:bottom w:val="single" w:color="auto" w:sz="4" w:space="0"/>
              <w:right w:val="single" w:color="auto" w:sz="4" w:space="0"/>
            </w:tcBorders>
            <w:vAlign w:val="center"/>
          </w:tcPr>
          <w:p>
            <w:pPr>
              <w:kinsoku/>
              <w:autoSpaceDE/>
              <w:autoSpaceDN/>
              <w:adjustRightInd/>
              <w:snapToGrid/>
              <w:spacing w:line="240" w:lineRule="auto"/>
              <w:ind w:firstLine="0" w:firstLineChars="0"/>
              <w:jc w:val="center"/>
              <w:textAlignment w:val="center"/>
              <w:rPr>
                <w:rFonts w:ascii="Times New Roman" w:hAnsi="Times New Roman" w:eastAsia="宋体" w:cs="Times New Roman"/>
                <w:sz w:val="21"/>
                <w:lang w:eastAsia="zh-CN" w:bidi="ar"/>
              </w:rPr>
            </w:pPr>
            <w:r>
              <w:rPr>
                <w:rFonts w:hint="eastAsia" w:eastAsia="宋体" w:cs="Times New Roman"/>
                <w:sz w:val="21"/>
                <w:lang w:eastAsia="zh-CN" w:bidi="ar"/>
              </w:rPr>
              <w:t>95</w:t>
            </w:r>
          </w:p>
        </w:tc>
      </w:tr>
      <w:bookmarkEnd w:id="0"/>
    </w:tbl>
    <w:p>
      <w:pPr>
        <w:ind w:firstLine="560"/>
        <w:rPr>
          <w:lang w:eastAsia="zh-CN"/>
        </w:rPr>
      </w:pPr>
      <w:r>
        <w:rPr>
          <w:rFonts w:hint="eastAsia"/>
          <w:lang w:eastAsia="zh-CN"/>
        </w:rPr>
        <w:t>通过野外工作，发现乔奥铜金钼矿点、乔夏萨依铜金钴矿化线索、库木铜金矿化线索、结尔得嘎拉铜矿点，进一步划分出成矿远景区5个，找矿靶区9个，为今后本区地质找矿工作部署提供了依据。根据项目成果，滚动立项地勘基金项目2个。</w:t>
      </w:r>
    </w:p>
    <w:p>
      <w:pPr>
        <w:numPr>
          <w:ilvl w:val="0"/>
          <w:numId w:val="1"/>
        </w:numPr>
        <w:ind w:firstLine="560"/>
        <w:rPr>
          <w:lang w:eastAsia="zh-CN"/>
        </w:rPr>
      </w:pPr>
      <w:r>
        <w:rPr>
          <w:rFonts w:hint="eastAsia"/>
          <w:lang w:eastAsia="zh-CN"/>
        </w:rPr>
        <w:t>资金投入和使用情况</w:t>
      </w:r>
    </w:p>
    <w:p>
      <w:pPr>
        <w:ind w:firstLine="560"/>
        <w:rPr>
          <w:lang w:eastAsia="zh-CN"/>
        </w:rPr>
      </w:pPr>
      <w:r>
        <w:rPr>
          <w:rFonts w:hint="eastAsia"/>
          <w:lang w:eastAsia="zh-CN"/>
        </w:rPr>
        <w:t>本项目年初预算金额</w:t>
      </w:r>
      <w:r>
        <w:rPr>
          <w:rFonts w:hint="eastAsia"/>
          <w:lang w:val="en-US" w:eastAsia="zh-CN"/>
        </w:rPr>
        <w:t>63</w:t>
      </w:r>
      <w:r>
        <w:rPr>
          <w:rFonts w:hint="eastAsia"/>
          <w:lang w:eastAsia="zh-CN"/>
        </w:rPr>
        <w:t>万元，实际投入资金</w:t>
      </w:r>
      <w:r>
        <w:rPr>
          <w:rFonts w:hint="eastAsia"/>
          <w:lang w:val="en-US" w:eastAsia="zh-CN"/>
        </w:rPr>
        <w:t>63</w:t>
      </w:r>
      <w:r>
        <w:rPr>
          <w:rFonts w:hint="eastAsia"/>
          <w:lang w:eastAsia="zh-CN"/>
        </w:rPr>
        <w:t>万元，使用资金</w:t>
      </w:r>
      <w:r>
        <w:rPr>
          <w:rFonts w:hint="eastAsia"/>
          <w:lang w:val="en-US" w:eastAsia="zh-CN"/>
        </w:rPr>
        <w:t>63</w:t>
      </w:r>
      <w:r>
        <w:rPr>
          <w:rFonts w:hint="eastAsia"/>
          <w:lang w:eastAsia="zh-CN"/>
        </w:rPr>
        <w:t>万元。</w:t>
      </w:r>
    </w:p>
    <w:p>
      <w:pPr>
        <w:numPr>
          <w:ilvl w:val="0"/>
          <w:numId w:val="2"/>
        </w:numPr>
        <w:ind w:firstLine="560"/>
        <w:rPr>
          <w:lang w:eastAsia="zh-CN"/>
        </w:rPr>
      </w:pPr>
      <w:r>
        <w:rPr>
          <w:lang w:eastAsia="zh-CN"/>
        </w:rPr>
        <w:t>项目绩效目标。包括总体目标和阶段性目标。</w:t>
      </w:r>
    </w:p>
    <w:p>
      <w:pPr>
        <w:ind w:firstLine="560"/>
        <w:rPr>
          <w:rFonts w:hint="eastAsia"/>
          <w:lang w:eastAsia="zh-CN"/>
        </w:rPr>
      </w:pPr>
      <w:r>
        <w:rPr>
          <w:rFonts w:hint="eastAsia"/>
          <w:lang w:eastAsia="zh-CN"/>
        </w:rPr>
        <w:t>总体目标：在充分收集、研究以往地质、矿产、物探、化探等成果资料的基础上，以铜镍为主攻矿产，兼顾金、钴等其他矿产，采用大比例尺填图、化探、物探等方法手段，对玉什哈拉-也不山南一带铜镍矿开展调查评价工作，为下一步矿产勘查提供依据。</w:t>
      </w:r>
    </w:p>
    <w:p>
      <w:pPr>
        <w:pStyle w:val="2"/>
        <w:spacing w:before="120" w:after="120"/>
        <w:ind w:firstLine="570"/>
        <w:rPr>
          <w:rFonts w:ascii="黑体" w:hAnsi="黑体" w:eastAsia="黑体" w:cs="黑体"/>
          <w:sz w:val="29"/>
          <w:szCs w:val="29"/>
          <w:lang w:eastAsia="zh-CN"/>
        </w:rPr>
      </w:pPr>
      <w:r>
        <w:rPr>
          <w:rFonts w:ascii="黑体" w:hAnsi="黑体" w:eastAsia="黑体" w:cs="黑体"/>
          <w:bCs/>
          <w:spacing w:val="-6"/>
          <w:sz w:val="29"/>
          <w:szCs w:val="29"/>
          <w:lang w:eastAsia="zh-CN"/>
        </w:rPr>
        <w:t>二</w:t>
      </w:r>
      <w:r>
        <w:rPr>
          <w:rFonts w:ascii="黑体" w:hAnsi="黑体" w:eastAsia="黑体" w:cs="黑体"/>
          <w:spacing w:val="-38"/>
          <w:sz w:val="29"/>
          <w:szCs w:val="29"/>
          <w:lang w:eastAsia="zh-CN"/>
        </w:rPr>
        <w:t xml:space="preserve"> </w:t>
      </w:r>
      <w:r>
        <w:rPr>
          <w:rFonts w:ascii="黑体" w:hAnsi="黑体" w:eastAsia="黑体" w:cs="黑体"/>
          <w:bCs/>
          <w:spacing w:val="-6"/>
          <w:sz w:val="29"/>
          <w:szCs w:val="29"/>
          <w:lang w:eastAsia="zh-CN"/>
        </w:rPr>
        <w:t>、绩效评价工作开展情况</w:t>
      </w:r>
    </w:p>
    <w:p>
      <w:pPr>
        <w:pStyle w:val="5"/>
        <w:spacing w:before="248" w:line="222" w:lineRule="auto"/>
        <w:ind w:firstLineChars="139"/>
        <w:rPr>
          <w:spacing w:val="12"/>
          <w:sz w:val="29"/>
          <w:szCs w:val="29"/>
          <w:lang w:eastAsia="zh-CN"/>
        </w:rPr>
      </w:pPr>
      <w:r>
        <w:rPr>
          <w:rFonts w:hint="eastAsia"/>
          <w:spacing w:val="12"/>
          <w:sz w:val="29"/>
          <w:szCs w:val="29"/>
          <w:lang w:eastAsia="zh-CN"/>
        </w:rPr>
        <w:t xml:space="preserve">  </w:t>
      </w:r>
      <w:r>
        <w:rPr>
          <w:spacing w:val="12"/>
          <w:sz w:val="29"/>
          <w:szCs w:val="29"/>
          <w:lang w:eastAsia="zh-CN"/>
        </w:rPr>
        <w:t>(一)绩效评价目的、对象和范围。</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2、绩效评价对象：运用科学、规范的绩效评价方法，按照财政部《关于印发&lt;项目支出绩效评价管理办法&gt;的通知》，对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29"/>
          <w:szCs w:val="29"/>
          <w:lang w:eastAsia="zh-CN"/>
        </w:rPr>
        <w:t>。</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5"/>
        <w:spacing w:before="241" w:line="600" w:lineRule="exact"/>
        <w:ind w:left="0" w:leftChars="0" w:right="25" w:firstLine="0" w:firstLineChars="0"/>
        <w:jc w:val="both"/>
        <w:rPr>
          <w:sz w:val="29"/>
          <w:szCs w:val="29"/>
          <w:lang w:eastAsia="zh-CN"/>
        </w:rPr>
      </w:pPr>
      <w:r>
        <w:rPr>
          <w:spacing w:val="15"/>
          <w:position w:val="23"/>
          <w:sz w:val="29"/>
          <w:szCs w:val="29"/>
          <w:lang w:eastAsia="zh-CN"/>
        </w:rPr>
        <w:t>(二)绩效评价原则、评价指标体系(附表说明)、评价方法</w:t>
      </w:r>
      <w:r>
        <w:rPr>
          <w:rFonts w:hint="eastAsia"/>
          <w:spacing w:val="15"/>
          <w:position w:val="23"/>
          <w:sz w:val="29"/>
          <w:szCs w:val="29"/>
          <w:lang w:eastAsia="zh-CN"/>
        </w:rPr>
        <w:t>、</w:t>
      </w:r>
    </w:p>
    <w:p>
      <w:pPr>
        <w:ind w:left="0" w:leftChars="0" w:firstLine="0" w:firstLineChars="0"/>
        <w:rPr>
          <w:lang w:eastAsia="zh-CN"/>
        </w:rPr>
      </w:pPr>
      <w:r>
        <w:rPr>
          <w:lang w:eastAsia="zh-CN"/>
        </w:rPr>
        <w:t>评价标准等</w:t>
      </w:r>
    </w:p>
    <w:p>
      <w:pPr>
        <w:ind w:firstLine="560"/>
        <w:rPr>
          <w:lang w:eastAsia="zh-CN"/>
        </w:rPr>
      </w:pPr>
      <w:r>
        <w:rPr>
          <w:rFonts w:hint="eastAsia"/>
          <w:lang w:eastAsia="zh-CN"/>
        </w:rPr>
        <w:t>1、本次绩效评价主要遵循以下原则：</w:t>
      </w:r>
    </w:p>
    <w:p>
      <w:pPr>
        <w:ind w:firstLine="560"/>
        <w:rPr>
          <w:lang w:eastAsia="zh-CN"/>
        </w:rPr>
      </w:pPr>
      <w:r>
        <w:rPr>
          <w:lang w:eastAsia="zh-CN"/>
        </w:rPr>
        <w:t>（1）客观性原则。绩效评价应当运用科学合理的方法，以事实和规范的评价标准为依据，对项目绩效进行客观评价，减少主观性和感情色彩的影响。</w:t>
      </w:r>
    </w:p>
    <w:p>
      <w:pPr>
        <w:ind w:firstLine="560"/>
        <w:rPr>
          <w:rFonts w:ascii="仿宋_GB2312" w:hAnsi="仿宋" w:eastAsia="仿宋_GB2312" w:cs="宋体"/>
          <w:szCs w:val="32"/>
          <w:lang w:eastAsia="zh-CN" w:bidi="ar"/>
        </w:rPr>
      </w:pPr>
      <w:r>
        <w:rPr>
          <w:rFonts w:ascii="仿宋_GB2312" w:hAnsi="仿宋" w:eastAsia="仿宋_GB2312" w:cs="宋体"/>
          <w:szCs w:val="32"/>
          <w:lang w:eastAsia="zh-CN" w:bidi="ar"/>
        </w:rPr>
        <w:t>（2）相关性原则。要求资金支出与其绩效指标之间有紧密相关的关系。</w:t>
      </w:r>
    </w:p>
    <w:p>
      <w:pPr>
        <w:ind w:firstLine="560"/>
        <w:rPr>
          <w:rFonts w:hint="eastAsia" w:ascii="仿宋_GB2312" w:hAnsi="仿宋" w:eastAsia="仿宋_GB2312" w:cs="宋体"/>
          <w:szCs w:val="32"/>
          <w:lang w:eastAsia="zh-CN" w:bidi="ar"/>
        </w:rPr>
      </w:pPr>
      <w:r>
        <w:rPr>
          <w:rFonts w:ascii="仿宋_GB2312" w:hAnsi="仿宋" w:eastAsia="仿宋_GB2312" w:cs="宋体"/>
          <w:szCs w:val="32"/>
          <w:lang w:eastAsia="zh-CN" w:bidi="ar"/>
        </w:rPr>
        <w:t>（3）公开性原则。绩效评价结果依法依规公开，并接受社会监督</w:t>
      </w:r>
      <w:r>
        <w:rPr>
          <w:rFonts w:hint="eastAsia" w:ascii="仿宋_GB2312" w:hAnsi="仿宋" w:eastAsia="仿宋_GB2312" w:cs="宋体"/>
          <w:szCs w:val="32"/>
          <w:lang w:eastAsia="zh-CN" w:bidi="ar"/>
        </w:rPr>
        <w:t>。</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rPr>
      </w:pPr>
      <w:r>
        <w:rPr>
          <w:rFonts w:hint="eastAsia" w:cs="仿宋"/>
          <w:spacing w:val="-5"/>
          <w:sz w:val="29"/>
          <w:szCs w:val="29"/>
          <w:lang w:val="en-US" w:eastAsia="zh-CN"/>
        </w:rPr>
        <w:t>2、</w:t>
      </w:r>
      <w:r>
        <w:rPr>
          <w:rFonts w:hint="eastAsia" w:ascii="仿宋" w:hAnsi="仿宋" w:eastAsia="仿宋" w:cs="仿宋"/>
          <w:spacing w:val="-5"/>
          <w:sz w:val="29"/>
          <w:szCs w:val="29"/>
        </w:rPr>
        <w:t>评价指标体系</w:t>
      </w:r>
    </w:p>
    <w:p>
      <w:pPr>
        <w:spacing w:line="600" w:lineRule="exact"/>
        <w:ind w:firstLine="560"/>
        <w:rPr>
          <w:rFonts w:ascii="仿宋_GB2312" w:hAnsi="仿宋" w:eastAsia="仿宋_GB2312" w:cs="宋体"/>
          <w:szCs w:val="32"/>
          <w:lang w:eastAsia="zh-CN" w:bidi="ar"/>
        </w:rPr>
      </w:pPr>
      <w:r>
        <w:rPr>
          <w:rFonts w:hint="eastAsia" w:ascii="仿宋_GB2312" w:hAnsi="仿宋" w:eastAsia="仿宋_GB2312" w:cs="宋体"/>
          <w:szCs w:val="32"/>
          <w:lang w:eastAsia="zh-CN" w:bidi="ar"/>
        </w:rPr>
        <w:t>本次绩效评价指标体系主要分为预算执行率指标和项目绩效指标，其中预算执行率指标占10分，项目绩效指标占90分。</w:t>
      </w:r>
    </w:p>
    <w:p>
      <w:pPr>
        <w:spacing w:line="600" w:lineRule="exact"/>
        <w:ind w:firstLine="552"/>
        <w:rPr>
          <w:rStyle w:val="9"/>
          <w:rFonts w:ascii="仿宋_GB2312" w:hAnsi="仿宋_GB2312" w:eastAsia="仿宋_GB2312" w:cs="仿宋_GB2312"/>
          <w:b w:val="0"/>
          <w:bCs w:val="0"/>
          <w:spacing w:val="-4"/>
          <w:szCs w:val="32"/>
          <w:lang w:eastAsia="zh-CN"/>
        </w:rPr>
      </w:pPr>
      <w:r>
        <w:rPr>
          <w:rStyle w:val="9"/>
          <w:rFonts w:hint="eastAsia" w:ascii="仿宋_GB2312" w:hAnsi="仿宋_GB2312" w:eastAsia="仿宋_GB2312" w:cs="仿宋_GB2312"/>
          <w:b w:val="0"/>
          <w:bCs w:val="0"/>
          <w:spacing w:val="-4"/>
          <w:szCs w:val="32"/>
          <w:lang w:eastAsia="zh-CN"/>
        </w:rPr>
        <w:t>3.评价方法</w:t>
      </w:r>
    </w:p>
    <w:p>
      <w:pPr>
        <w:spacing w:line="600" w:lineRule="exact"/>
        <w:ind w:firstLine="560"/>
        <w:rPr>
          <w:rStyle w:val="9"/>
          <w:rFonts w:ascii="仿宋_GB2312" w:hAnsi="仿宋" w:eastAsia="仿宋_GB2312" w:cs="宋体"/>
          <w:b w:val="0"/>
          <w:bCs w:val="0"/>
          <w:szCs w:val="32"/>
          <w:lang w:eastAsia="zh-CN" w:bidi="ar"/>
        </w:rPr>
      </w:pPr>
      <w:r>
        <w:rPr>
          <w:rFonts w:hint="eastAsia" w:ascii="仿宋_GB2312" w:hAnsi="仿宋" w:eastAsia="仿宋_GB2312" w:cs="宋体"/>
          <w:szCs w:val="32"/>
          <w:lang w:eastAsia="zh-CN" w:bidi="ar"/>
        </w:rPr>
        <w:t>绩效评价方法主要包括成本效益分析法、比较法、因素分析法、最低成本法、公众评判法、标杆管理法等。本单位在评价过程中主要采用了因素分析法、成本效益分析法等。</w:t>
      </w:r>
    </w:p>
    <w:p>
      <w:pPr>
        <w:spacing w:line="600" w:lineRule="exact"/>
        <w:ind w:firstLine="552"/>
        <w:rPr>
          <w:rStyle w:val="9"/>
          <w:rFonts w:ascii="仿宋_GB2312" w:hAnsi="仿宋_GB2312" w:eastAsia="仿宋_GB2312" w:cs="仿宋_GB2312"/>
          <w:b w:val="0"/>
          <w:bCs w:val="0"/>
          <w:spacing w:val="-4"/>
          <w:szCs w:val="32"/>
          <w:lang w:eastAsia="zh-CN"/>
        </w:rPr>
      </w:pPr>
      <w:r>
        <w:rPr>
          <w:rStyle w:val="9"/>
          <w:rFonts w:hint="eastAsia" w:ascii="仿宋_GB2312" w:hAnsi="仿宋_GB2312" w:eastAsia="仿宋_GB2312" w:cs="仿宋_GB2312"/>
          <w:b w:val="0"/>
          <w:bCs w:val="0"/>
          <w:spacing w:val="-4"/>
          <w:szCs w:val="32"/>
          <w:lang w:eastAsia="zh-CN"/>
        </w:rPr>
        <w:t>4.评价标准</w:t>
      </w:r>
    </w:p>
    <w:p>
      <w:pPr>
        <w:spacing w:line="600" w:lineRule="exact"/>
        <w:ind w:firstLine="560"/>
        <w:rPr>
          <w:rStyle w:val="9"/>
          <w:rFonts w:ascii="仿宋_GB2312" w:hAnsi="仿宋" w:eastAsia="仿宋_GB2312" w:cs="宋体"/>
          <w:b w:val="0"/>
          <w:bCs w:val="0"/>
          <w:szCs w:val="32"/>
          <w:lang w:eastAsia="zh-CN" w:bidi="ar"/>
        </w:rPr>
      </w:pPr>
      <w:r>
        <w:rPr>
          <w:rFonts w:hint="eastAsia" w:ascii="仿宋_GB2312" w:hAnsi="仿宋" w:eastAsia="仿宋_GB2312" w:cs="宋体"/>
          <w:szCs w:val="32"/>
          <w:lang w:eastAsia="zh-CN" w:bidi="ar"/>
        </w:rPr>
        <w:t>绩效评价标准通常包括计划标准、行业标准、历史标准等，用于对绩效指标完成情况进行比较。本单位绩效评价采用计划标准。</w:t>
      </w:r>
    </w:p>
    <w:p>
      <w:pPr>
        <w:pStyle w:val="5"/>
        <w:spacing w:before="248" w:line="220" w:lineRule="auto"/>
        <w:ind w:left="0" w:leftChars="0" w:firstLine="0" w:firstLineChars="0"/>
        <w:rPr>
          <w:spacing w:val="13"/>
          <w:sz w:val="29"/>
          <w:szCs w:val="29"/>
          <w:lang w:eastAsia="zh-CN"/>
        </w:rPr>
      </w:pPr>
      <w:r>
        <w:rPr>
          <w:rFonts w:hint="eastAsia"/>
          <w:spacing w:val="13"/>
          <w:sz w:val="29"/>
          <w:szCs w:val="29"/>
          <w:lang w:val="en-US" w:eastAsia="zh-CN"/>
        </w:rPr>
        <w:t xml:space="preserve">    </w:t>
      </w:r>
      <w:r>
        <w:rPr>
          <w:spacing w:val="13"/>
          <w:sz w:val="29"/>
          <w:szCs w:val="29"/>
          <w:lang w:eastAsia="zh-CN"/>
        </w:rPr>
        <w:t>(三)绩效评价工作过程。</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w:t>
      </w:r>
      <w:r>
        <w:rPr>
          <w:rFonts w:hint="eastAsia" w:cs="仿宋"/>
          <w:spacing w:val="-5"/>
          <w:sz w:val="29"/>
          <w:szCs w:val="29"/>
          <w:lang w:eastAsia="zh-CN"/>
        </w:rPr>
        <w:t>项目</w:t>
      </w:r>
      <w:r>
        <w:rPr>
          <w:rFonts w:hint="eastAsia" w:ascii="仿宋" w:hAnsi="仿宋" w:eastAsia="仿宋" w:cs="仿宋"/>
          <w:spacing w:val="-5"/>
          <w:sz w:val="29"/>
          <w:szCs w:val="29"/>
          <w:lang w:eastAsia="zh-CN"/>
        </w:rPr>
        <w:t>人员的意见，不断完善该项目的所有资料准备，项目计划内的采购如期完成，根据以上绩效评价工作过程，核实数据、意见、结论进行总结得出绩效评价报告。按照确定的评价指标、标准和方法进行自评，形成了自评结论，达到了工作目的。</w:t>
      </w:r>
    </w:p>
    <w:p>
      <w:pPr>
        <w:pStyle w:val="2"/>
        <w:spacing w:before="120" w:after="120"/>
        <w:ind w:firstLine="602"/>
        <w:rPr>
          <w:lang w:eastAsia="zh-CN"/>
        </w:rPr>
      </w:pPr>
      <w:r>
        <w:rPr>
          <w:lang w:eastAsia="zh-CN"/>
        </w:rPr>
        <w:t>三 、综合评价情况及评价结论 (附相关评分表)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lang w:val="en-US" w:eastAsia="en-US"/>
        </w:rPr>
      </w:pPr>
      <w:r>
        <w:rPr>
          <w:rFonts w:hint="eastAsia" w:ascii="仿宋" w:hAnsi="仿宋" w:eastAsia="仿宋" w:cs="仿宋"/>
          <w:snapToGrid w:val="0"/>
          <w:color w:val="000000"/>
          <w:spacing w:val="-5"/>
          <w:kern w:val="0"/>
          <w:sz w:val="29"/>
          <w:szCs w:val="29"/>
          <w:lang w:val="en-US" w:eastAsia="zh-CN" w:bidi="ar-SA"/>
        </w:rPr>
        <w:t>该项目根据年初制定的评价指标体</w:t>
      </w:r>
      <w:r>
        <w:rPr>
          <w:rFonts w:hint="eastAsia" w:ascii="仿宋" w:hAnsi="仿宋" w:eastAsia="仿宋" w:cs="仿宋"/>
          <w:color w:val="333333"/>
          <w:sz w:val="29"/>
          <w:szCs w:val="29"/>
        </w:rPr>
        <w:t>系及评分标准，通过资料采集，对此次项目进行客观评价，最终评分结果：总得分为</w:t>
      </w:r>
      <w:r>
        <w:rPr>
          <w:rFonts w:hint="eastAsia" w:ascii="仿宋" w:hAnsi="仿宋" w:eastAsia="仿宋" w:cs="仿宋"/>
          <w:color w:val="333333"/>
          <w:sz w:val="29"/>
          <w:szCs w:val="29"/>
          <w:lang w:val="en-US" w:eastAsia="zh-CN"/>
        </w:rPr>
        <w:t>95</w:t>
      </w:r>
      <w:r>
        <w:rPr>
          <w:rFonts w:hint="eastAsia" w:ascii="仿宋" w:hAnsi="仿宋" w:eastAsia="仿宋" w:cs="仿宋"/>
          <w:color w:val="333333"/>
          <w:sz w:val="29"/>
          <w:szCs w:val="29"/>
        </w:rPr>
        <w:t>分。其中：项目预算执行情况得分</w:t>
      </w:r>
      <w:r>
        <w:rPr>
          <w:rFonts w:hint="eastAsia" w:ascii="仿宋" w:hAnsi="仿宋" w:eastAsia="仿宋" w:cs="仿宋"/>
          <w:color w:val="333333"/>
          <w:sz w:val="29"/>
          <w:szCs w:val="29"/>
          <w:lang w:val="en-US" w:eastAsia="zh-CN"/>
        </w:rPr>
        <w:t>10</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100</w:t>
      </w:r>
      <w:r>
        <w:rPr>
          <w:rFonts w:hint="eastAsia" w:ascii="仿宋" w:hAnsi="仿宋" w:eastAsia="仿宋" w:cs="仿宋"/>
          <w:color w:val="333333"/>
          <w:sz w:val="29"/>
          <w:szCs w:val="29"/>
        </w:rPr>
        <w:t>%；产出指标为</w:t>
      </w:r>
      <w:r>
        <w:rPr>
          <w:rFonts w:hint="eastAsia" w:ascii="仿宋" w:hAnsi="仿宋" w:eastAsia="仿宋" w:cs="仿宋"/>
          <w:color w:val="333333"/>
          <w:sz w:val="29"/>
          <w:szCs w:val="29"/>
          <w:lang w:val="en-US" w:eastAsia="zh-CN"/>
        </w:rPr>
        <w:t>40</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100</w:t>
      </w:r>
      <w:r>
        <w:rPr>
          <w:rFonts w:hint="eastAsia" w:ascii="仿宋" w:hAnsi="仿宋" w:eastAsia="仿宋" w:cs="仿宋"/>
          <w:color w:val="333333"/>
          <w:sz w:val="29"/>
          <w:szCs w:val="29"/>
        </w:rPr>
        <w:t>%；</w:t>
      </w:r>
      <w:r>
        <w:rPr>
          <w:rFonts w:hint="eastAsia" w:ascii="仿宋" w:hAnsi="仿宋" w:eastAsia="仿宋" w:cs="仿宋"/>
          <w:color w:val="333333"/>
          <w:sz w:val="29"/>
          <w:szCs w:val="29"/>
          <w:lang w:eastAsia="zh-CN"/>
        </w:rPr>
        <w:t>成本指标为</w:t>
      </w:r>
      <w:r>
        <w:rPr>
          <w:rFonts w:hint="eastAsia" w:ascii="仿宋" w:hAnsi="仿宋" w:eastAsia="仿宋" w:cs="仿宋"/>
          <w:color w:val="333333"/>
          <w:sz w:val="29"/>
          <w:szCs w:val="29"/>
          <w:lang w:val="en-US" w:eastAsia="zh-CN"/>
        </w:rPr>
        <w:t>20分，得分率100%；</w:t>
      </w:r>
      <w:r>
        <w:rPr>
          <w:rFonts w:hint="eastAsia" w:ascii="仿宋" w:hAnsi="仿宋" w:eastAsia="仿宋" w:cs="仿宋"/>
          <w:color w:val="333333"/>
          <w:sz w:val="29"/>
          <w:szCs w:val="29"/>
        </w:rPr>
        <w:t>效益指标为</w:t>
      </w:r>
      <w:r>
        <w:rPr>
          <w:rFonts w:hint="eastAsia" w:ascii="仿宋" w:hAnsi="仿宋" w:eastAsia="仿宋" w:cs="仿宋"/>
          <w:color w:val="333333"/>
          <w:sz w:val="29"/>
          <w:szCs w:val="29"/>
          <w:lang w:val="en-US" w:eastAsia="zh-CN"/>
        </w:rPr>
        <w:t>15</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75</w:t>
      </w:r>
      <w:r>
        <w:rPr>
          <w:rFonts w:hint="eastAsia" w:ascii="仿宋" w:hAnsi="仿宋" w:eastAsia="仿宋" w:cs="仿宋"/>
          <w:color w:val="333333"/>
          <w:sz w:val="29"/>
          <w:szCs w:val="29"/>
        </w:rPr>
        <w:t>%；满意度指标为</w:t>
      </w:r>
      <w:r>
        <w:rPr>
          <w:rFonts w:hint="eastAsia" w:ascii="仿宋" w:hAnsi="仿宋" w:eastAsia="仿宋" w:cs="仿宋"/>
          <w:color w:val="333333"/>
          <w:sz w:val="29"/>
          <w:szCs w:val="29"/>
          <w:lang w:val="en-US" w:eastAsia="zh-CN"/>
        </w:rPr>
        <w:t>9</w:t>
      </w:r>
      <w:r>
        <w:rPr>
          <w:rFonts w:hint="eastAsia" w:ascii="仿宋" w:hAnsi="仿宋" w:eastAsia="仿宋" w:cs="仿宋"/>
          <w:color w:val="333333"/>
          <w:sz w:val="29"/>
          <w:szCs w:val="29"/>
        </w:rPr>
        <w:t>分，得分率为</w:t>
      </w:r>
      <w:r>
        <w:rPr>
          <w:rFonts w:hint="eastAsia" w:ascii="仿宋" w:hAnsi="仿宋" w:eastAsia="仿宋" w:cs="仿宋"/>
          <w:color w:val="333333"/>
          <w:sz w:val="29"/>
          <w:szCs w:val="29"/>
          <w:lang w:val="en-US" w:eastAsia="zh-CN"/>
        </w:rPr>
        <w:t>90</w:t>
      </w:r>
      <w:r>
        <w:rPr>
          <w:rFonts w:hint="eastAsia" w:ascii="仿宋" w:hAnsi="仿宋" w:eastAsia="仿宋" w:cs="仿宋"/>
          <w:color w:val="333333"/>
          <w:sz w:val="29"/>
          <w:szCs w:val="29"/>
        </w:rPr>
        <w:t>%。</w:t>
      </w:r>
    </w:p>
    <w:tbl>
      <w:tblPr>
        <w:tblStyle w:val="7"/>
        <w:tblW w:w="87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87"/>
        <w:gridCol w:w="587"/>
        <w:gridCol w:w="587"/>
        <w:gridCol w:w="587"/>
        <w:gridCol w:w="783"/>
        <w:gridCol w:w="587"/>
        <w:gridCol w:w="587"/>
        <w:gridCol w:w="652"/>
        <w:gridCol w:w="587"/>
        <w:gridCol w:w="587"/>
        <w:gridCol w:w="685"/>
        <w:gridCol w:w="685"/>
        <w:gridCol w:w="625"/>
        <w:gridCol w:w="5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8724"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724"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w:t>
            </w:r>
            <w:r>
              <w:rPr>
                <w:rFonts w:hint="eastAsia" w:ascii="宋体" w:hAnsi="宋体" w:eastAsia="宋体" w:cs="宋体"/>
                <w:i w:val="0"/>
                <w:snapToGrid w:val="0"/>
                <w:color w:val="000000"/>
                <w:kern w:val="0"/>
                <w:sz w:val="16"/>
                <w:szCs w:val="16"/>
                <w:u w:val="none"/>
                <w:lang w:val="en-US" w:eastAsia="zh-CN" w:bidi="ar"/>
              </w:rPr>
              <w:t>3</w:t>
            </w:r>
            <w:r>
              <w:rPr>
                <w:rFonts w:ascii="宋体" w:hAnsi="宋体" w:eastAsia="宋体" w:cs="宋体"/>
                <w:i w:val="0"/>
                <w:snapToGrid w:val="0"/>
                <w:color w:val="000000"/>
                <w:kern w:val="0"/>
                <w:sz w:val="16"/>
                <w:szCs w:val="16"/>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项目名称</w:t>
            </w:r>
          </w:p>
        </w:tc>
        <w:tc>
          <w:tcPr>
            <w:tcW w:w="755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新疆青河县玉什哈拉—尼塔拉一带铜镍矿调查评价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color w:val="000000"/>
                <w:sz w:val="22"/>
                <w:szCs w:val="22"/>
                <w:u w:val="none"/>
              </w:rPr>
            </w:pPr>
            <w:r>
              <w:rPr>
                <w:rStyle w:val="17"/>
                <w:snapToGrid w:val="0"/>
                <w:color w:val="000000"/>
                <w:lang w:val="en-US" w:eastAsia="zh-CN" w:bidi="ar"/>
              </w:rPr>
              <w:t>主管部门</w:t>
            </w:r>
          </w:p>
        </w:tc>
        <w:tc>
          <w:tcPr>
            <w:tcW w:w="31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实施单位</w:t>
            </w:r>
          </w:p>
        </w:tc>
        <w:tc>
          <w:tcPr>
            <w:tcW w:w="3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项目资金</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(万元)</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资金来源</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年初预算数</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全年预算数</w:t>
            </w:r>
          </w:p>
        </w:tc>
        <w:tc>
          <w:tcPr>
            <w:tcW w:w="1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全年执行数</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分值权重</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执行率</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年度资金总额</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lang w:val="en-US"/>
              </w:rPr>
            </w:pPr>
            <w:r>
              <w:rPr>
                <w:rFonts w:hint="eastAsia" w:eastAsia="宋体" w:cs="Arial"/>
                <w:i w:val="0"/>
                <w:snapToGrid w:val="0"/>
                <w:color w:val="000000"/>
                <w:kern w:val="0"/>
                <w:sz w:val="12"/>
                <w:szCs w:val="12"/>
                <w:u w:val="none"/>
                <w:lang w:val="en-US" w:eastAsia="zh-CN" w:bidi="ar"/>
              </w:rPr>
              <w:t>63.00</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63.00</w:t>
            </w:r>
          </w:p>
        </w:tc>
        <w:tc>
          <w:tcPr>
            <w:tcW w:w="1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63.00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其中：当年财政披款</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1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共他资金</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63.00</w:t>
            </w:r>
          </w:p>
        </w:tc>
        <w:tc>
          <w:tcPr>
            <w:tcW w:w="11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63.00</w:t>
            </w:r>
          </w:p>
        </w:tc>
        <w:tc>
          <w:tcPr>
            <w:tcW w:w="12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63.00</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年度总体目</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w:t>
            </w:r>
          </w:p>
        </w:tc>
        <w:tc>
          <w:tcPr>
            <w:tcW w:w="49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w:t>
            </w:r>
          </w:p>
        </w:tc>
        <w:tc>
          <w:tcPr>
            <w:tcW w:w="3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9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snapToGrid w:val="0"/>
                <w:color w:val="000000"/>
                <w:kern w:val="0"/>
                <w:sz w:val="16"/>
                <w:szCs w:val="16"/>
                <w:u w:val="none"/>
                <w:lang w:val="en-US" w:eastAsia="zh-CN" w:bidi="ar"/>
              </w:rPr>
              <w:t>在充分收集、研究以往地质、矿产、物探、化探等成果资料的基础上，以铜镍为主攻矿产，兼顾金、钴等其他矿产，采用大比例尺填图、化探、物探等方法手段，对玉什哈拉-也不山南一带铜镍矿开展调查评价工作，为下一步矿产勘查提供依据。</w:t>
            </w:r>
          </w:p>
        </w:tc>
        <w:tc>
          <w:tcPr>
            <w:tcW w:w="31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snapToGrid w:val="0"/>
                <w:color w:val="000000"/>
                <w:kern w:val="0"/>
                <w:sz w:val="16"/>
                <w:szCs w:val="16"/>
                <w:u w:val="none"/>
                <w:lang w:val="en-US" w:eastAsia="zh-CN" w:bidi="ar"/>
              </w:rPr>
              <w:t>根据总体目标发现乔奥铜金钼矿点、乔夏萨依铜金钴矿化线索、库木铜金矿化线索、结尔得嘎拉铜矿点，进一步划分出成矿远景区5个，找矿靶区9个，为今后本区地质找矿工作部署提供了依据。根据项目成果，滚动立项地勘基金项目2个，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一级指标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二级指标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三级指标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指标值</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指标值设置依据</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上年完成值</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指标分值权重</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指标赋分规则</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佐证资料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指标实际完成值</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完成率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指标得分</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年度绩效指</w:t>
            </w:r>
            <w:r>
              <w:rPr>
                <w:rStyle w:val="17"/>
                <w:snapToGrid w:val="0"/>
                <w:color w:val="000000"/>
                <w:lang w:val="en-US" w:eastAsia="zh-CN" w:bidi="ar"/>
              </w:rPr>
              <w:br w:type="textWrapping"/>
            </w:r>
            <w:r>
              <w:rPr>
                <w:rStyle w:val="17"/>
                <w:snapToGrid w:val="0"/>
                <w:color w:val="000000"/>
                <w:lang w:val="en-US" w:eastAsia="zh-CN" w:bidi="ar"/>
              </w:rPr>
              <w:t>标完成情况</w:t>
            </w: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产出指标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效益指标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质量指标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时效指标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时效指标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报告按期完成率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成本指标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经济成本指标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20</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社会成本指标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生态环境成本指</w:t>
            </w:r>
            <w:r>
              <w:rPr>
                <w:rStyle w:val="17"/>
                <w:snapToGrid w:val="0"/>
                <w:color w:val="000000"/>
                <w:lang w:val="en-US" w:eastAsia="zh-CN" w:bidi="ar"/>
              </w:rPr>
              <w:br w:type="textWrapping"/>
            </w:r>
            <w:r>
              <w:rPr>
                <w:rStyle w:val="17"/>
                <w:snapToGrid w:val="0"/>
                <w:color w:val="000000"/>
                <w:lang w:val="en-US" w:eastAsia="zh-CN" w:bidi="ar"/>
              </w:rPr>
              <w:t>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效蔬指标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经济效益指标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社会效益指标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为社会经济发展提供资源能源保障</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20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75%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15</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生态效益指标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满意度指标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满意度指标</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9.5</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2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Style w:val="17"/>
                <w:snapToGrid w:val="0"/>
                <w:color w:val="000000"/>
                <w:lang w:val="en-US" w:eastAsia="zh-CN" w:bidi="ar"/>
              </w:rPr>
              <w:t>总分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100</w:t>
            </w: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bl>
    <w:p>
      <w:pPr>
        <w:rPr>
          <w:lang w:eastAsia="zh-CN"/>
        </w:rPr>
      </w:pPr>
    </w:p>
    <w:p>
      <w:pPr>
        <w:pStyle w:val="2"/>
        <w:spacing w:before="120" w:after="120"/>
        <w:ind w:firstLine="602"/>
        <w:rPr>
          <w:lang w:eastAsia="zh-CN"/>
        </w:rPr>
      </w:pPr>
      <w:r>
        <w:rPr>
          <w:lang w:eastAsia="zh-CN"/>
        </w:rPr>
        <w:t>四、绩效评价指标分析</w:t>
      </w:r>
    </w:p>
    <w:p>
      <w:pPr>
        <w:pStyle w:val="3"/>
        <w:spacing w:before="240" w:after="240"/>
        <w:ind w:firstLine="562"/>
        <w:rPr>
          <w:lang w:eastAsia="zh-CN"/>
        </w:rPr>
      </w:pPr>
      <w:r>
        <w:rPr>
          <w:rFonts w:hint="eastAsia"/>
          <w:lang w:eastAsia="zh-CN"/>
        </w:rPr>
        <w:t>（一）</w:t>
      </w:r>
      <w:r>
        <w:rPr>
          <w:lang w:eastAsia="zh-CN"/>
        </w:rPr>
        <w:t>项目决策情况。</w:t>
      </w:r>
    </w:p>
    <w:p>
      <w:pPr>
        <w:ind w:firstLine="560"/>
        <w:rPr>
          <w:lang w:eastAsia="zh-CN"/>
        </w:rPr>
      </w:pPr>
      <w:r>
        <w:rPr>
          <w:rFonts w:hint="eastAsia"/>
          <w:lang w:eastAsia="zh-CN"/>
        </w:rPr>
        <w:t>1.立项依据充分性</w:t>
      </w:r>
    </w:p>
    <w:p>
      <w:pPr>
        <w:ind w:firstLine="560"/>
        <w:rPr>
          <w:lang w:eastAsia="zh-CN"/>
        </w:rPr>
      </w:pPr>
      <w:r>
        <w:rPr>
          <w:rFonts w:hint="eastAsia"/>
          <w:lang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ind w:firstLine="560"/>
        <w:rPr>
          <w:lang w:eastAsia="zh-CN"/>
        </w:rPr>
      </w:pPr>
      <w:r>
        <w:rPr>
          <w:rFonts w:hint="eastAsia"/>
          <w:lang w:eastAsia="zh-CN"/>
        </w:rPr>
        <w:t>2.立项程序规范性</w:t>
      </w:r>
    </w:p>
    <w:p>
      <w:pPr>
        <w:spacing w:line="360" w:lineRule="auto"/>
        <w:ind w:firstLine="560" w:firstLineChars="200"/>
        <w:rPr>
          <w:rFonts w:ascii="仿宋" w:hAnsi="仿宋" w:eastAsia="仿宋" w:cs="仿宋"/>
          <w:sz w:val="28"/>
          <w:szCs w:val="28"/>
          <w:lang w:eastAsia="zh-CN"/>
        </w:rPr>
      </w:pPr>
      <w:r>
        <w:rPr>
          <w:rFonts w:hint="eastAsia" w:ascii="仿宋" w:hAnsi="仿宋" w:eastAsia="仿宋" w:cs="仿宋"/>
          <w:sz w:val="28"/>
          <w:szCs w:val="28"/>
          <w:lang w:eastAsia="zh-CN"/>
        </w:rPr>
        <w:t>我单位</w:t>
      </w:r>
      <w:r>
        <w:rPr>
          <w:rFonts w:ascii="仿宋" w:hAnsi="仿宋" w:eastAsia="仿宋" w:cs="仿宋"/>
          <w:sz w:val="28"/>
          <w:szCs w:val="28"/>
          <w:lang w:eastAsia="zh-CN"/>
        </w:rPr>
        <w:t>严格按照自治区财政规定的</w:t>
      </w:r>
      <w:r>
        <w:rPr>
          <w:rFonts w:hint="eastAsia" w:ascii="仿宋" w:hAnsi="仿宋" w:eastAsia="仿宋" w:cs="仿宋"/>
          <w:sz w:val="28"/>
          <w:szCs w:val="28"/>
          <w:lang w:eastAsia="zh-CN"/>
        </w:rPr>
        <w:t>立项</w:t>
      </w:r>
      <w:r>
        <w:rPr>
          <w:rFonts w:ascii="仿宋" w:hAnsi="仿宋" w:eastAsia="仿宋" w:cs="仿宋"/>
          <w:sz w:val="28"/>
          <w:szCs w:val="28"/>
          <w:lang w:eastAsia="zh-CN"/>
        </w:rPr>
        <w:t>程序</w:t>
      </w:r>
      <w:r>
        <w:rPr>
          <w:rFonts w:hint="eastAsia" w:ascii="仿宋" w:hAnsi="仿宋" w:eastAsia="仿宋" w:cs="仿宋"/>
          <w:sz w:val="28"/>
          <w:szCs w:val="28"/>
          <w:lang w:eastAsia="zh-CN"/>
        </w:rPr>
        <w:t>，</w:t>
      </w:r>
      <w:r>
        <w:rPr>
          <w:rFonts w:ascii="仿宋" w:hAnsi="仿宋" w:eastAsia="仿宋" w:cs="仿宋"/>
          <w:sz w:val="28"/>
          <w:szCs w:val="28"/>
          <w:lang w:eastAsia="zh-CN"/>
        </w:rPr>
        <w:t>单位</w:t>
      </w:r>
      <w:r>
        <w:rPr>
          <w:rFonts w:hint="eastAsia" w:ascii="仿宋" w:hAnsi="仿宋" w:eastAsia="仿宋" w:cs="仿宋"/>
          <w:sz w:val="28"/>
          <w:szCs w:val="28"/>
          <w:lang w:eastAsia="zh-CN"/>
        </w:rPr>
        <w:t>召开专项会议，进行集体决策，形成会议纪要。</w:t>
      </w:r>
      <w:r>
        <w:rPr>
          <w:rFonts w:ascii="仿宋" w:hAnsi="仿宋" w:eastAsia="仿宋" w:cs="仿宋"/>
          <w:sz w:val="28"/>
          <w:szCs w:val="28"/>
          <w:lang w:eastAsia="zh-CN"/>
        </w:rPr>
        <w:t>在</w:t>
      </w:r>
      <w:r>
        <w:rPr>
          <w:rFonts w:hint="eastAsia" w:ascii="仿宋" w:hAnsi="仿宋" w:eastAsia="仿宋" w:cs="仿宋"/>
          <w:sz w:val="28"/>
          <w:szCs w:val="28"/>
          <w:lang w:eastAsia="zh-CN"/>
        </w:rPr>
        <w:t>财政一体化系统中，编制项目库，</w:t>
      </w:r>
      <w:r>
        <w:rPr>
          <w:rFonts w:ascii="仿宋" w:hAnsi="仿宋" w:eastAsia="仿宋" w:cs="仿宋"/>
          <w:sz w:val="28"/>
          <w:szCs w:val="28"/>
          <w:lang w:eastAsia="zh-CN"/>
        </w:rPr>
        <w:t>提交符合要求的申请材料，上报</w:t>
      </w:r>
      <w:r>
        <w:rPr>
          <w:rFonts w:hint="eastAsia" w:ascii="仿宋" w:hAnsi="仿宋" w:eastAsia="仿宋" w:cs="仿宋"/>
          <w:sz w:val="28"/>
          <w:szCs w:val="28"/>
          <w:lang w:eastAsia="zh-CN"/>
        </w:rPr>
        <w:t>上级</w:t>
      </w:r>
      <w:r>
        <w:rPr>
          <w:rFonts w:ascii="仿宋" w:hAnsi="仿宋" w:eastAsia="仿宋" w:cs="仿宋"/>
          <w:sz w:val="28"/>
          <w:szCs w:val="28"/>
          <w:lang w:eastAsia="zh-CN"/>
        </w:rPr>
        <w:t>部门审批、财政审批</w:t>
      </w:r>
      <w:r>
        <w:rPr>
          <w:rFonts w:hint="eastAsia" w:ascii="仿宋" w:hAnsi="仿宋" w:eastAsia="仿宋" w:cs="仿宋"/>
          <w:sz w:val="28"/>
          <w:szCs w:val="28"/>
          <w:lang w:eastAsia="zh-CN"/>
        </w:rPr>
        <w:t>。</w:t>
      </w:r>
    </w:p>
    <w:p>
      <w:pPr>
        <w:ind w:firstLine="560"/>
        <w:rPr>
          <w:lang w:eastAsia="zh-CN"/>
        </w:rPr>
      </w:pPr>
      <w:r>
        <w:rPr>
          <w:rFonts w:hint="eastAsia"/>
          <w:lang w:eastAsia="zh-CN"/>
        </w:rPr>
        <w:t>3.绩效目标合理性</w:t>
      </w:r>
    </w:p>
    <w:p>
      <w:pPr>
        <w:ind w:firstLine="560"/>
        <w:rPr>
          <w:lang w:eastAsia="zh-CN"/>
        </w:rPr>
      </w:pPr>
      <w:r>
        <w:rPr>
          <w:rFonts w:hint="eastAsia"/>
          <w:lang w:eastAsia="zh-CN"/>
        </w:rPr>
        <w:t>结合项目内容制定了合理的</w:t>
      </w:r>
      <w:r>
        <w:rPr>
          <w:lang w:eastAsia="zh-CN"/>
        </w:rPr>
        <w:t>绩效目标，</w:t>
      </w:r>
      <w:r>
        <w:rPr>
          <w:rFonts w:hint="eastAsia"/>
          <w:lang w:eastAsia="zh-CN"/>
        </w:rPr>
        <w:t>设置三个一级</w:t>
      </w:r>
      <w:r>
        <w:rPr>
          <w:lang w:eastAsia="zh-CN"/>
        </w:rPr>
        <w:t>指标</w:t>
      </w:r>
      <w:r>
        <w:rPr>
          <w:rFonts w:hint="eastAsia"/>
          <w:lang w:eastAsia="zh-CN"/>
        </w:rPr>
        <w:t>，</w:t>
      </w:r>
      <w:r>
        <w:rPr>
          <w:lang w:eastAsia="zh-CN"/>
        </w:rPr>
        <w:t>项目绩效目标中的预期产出效益符合项目预期成果，且与预算确定的项目资金量相匹配</w:t>
      </w:r>
      <w:r>
        <w:rPr>
          <w:rFonts w:hint="eastAsia"/>
          <w:lang w:eastAsia="zh-CN"/>
        </w:rPr>
        <w:t>。</w:t>
      </w:r>
    </w:p>
    <w:p>
      <w:pPr>
        <w:ind w:firstLine="560"/>
        <w:rPr>
          <w:lang w:eastAsia="zh-CN"/>
        </w:rPr>
      </w:pPr>
      <w:r>
        <w:rPr>
          <w:rFonts w:hint="eastAsia"/>
          <w:lang w:eastAsia="zh-CN"/>
        </w:rPr>
        <w:t>4.绩效指标明确性</w:t>
      </w:r>
    </w:p>
    <w:p>
      <w:pPr>
        <w:ind w:firstLine="560"/>
        <w:rPr>
          <w:lang w:eastAsia="zh-CN"/>
        </w:rPr>
      </w:pPr>
      <w:r>
        <w:rPr>
          <w:rFonts w:hint="eastAsia"/>
          <w:lang w:eastAsia="zh-CN"/>
        </w:rPr>
        <w:t>参照自治区分行业分领域共性项目绩效指标体系将一级指标细化分解为七个二级指标及七个三级指标</w:t>
      </w:r>
      <w:r>
        <w:rPr>
          <w:lang w:eastAsia="zh-CN"/>
        </w:rPr>
        <w:t>，并与项目目标采购数量、</w:t>
      </w:r>
      <w:r>
        <w:rPr>
          <w:rFonts w:hint="eastAsia"/>
          <w:lang w:eastAsia="zh-CN"/>
        </w:rPr>
        <w:t>质量、时效性、成本、取得成效目标及满意度指标</w:t>
      </w:r>
      <w:r>
        <w:rPr>
          <w:lang w:eastAsia="zh-CN"/>
        </w:rPr>
        <w:t>相对应</w:t>
      </w:r>
      <w:r>
        <w:rPr>
          <w:rFonts w:hint="eastAsia"/>
          <w:lang w:eastAsia="zh-CN"/>
        </w:rPr>
        <w:t>。</w:t>
      </w:r>
    </w:p>
    <w:p>
      <w:pPr>
        <w:ind w:firstLine="560"/>
        <w:rPr>
          <w:lang w:eastAsia="zh-CN"/>
        </w:rPr>
      </w:pPr>
      <w:r>
        <w:rPr>
          <w:rFonts w:hint="eastAsia"/>
          <w:lang w:eastAsia="zh-CN"/>
        </w:rPr>
        <w:t>5.预算编制科学性</w:t>
      </w:r>
    </w:p>
    <w:p>
      <w:pPr>
        <w:ind w:firstLine="560"/>
        <w:rPr>
          <w:lang w:eastAsia="zh-CN"/>
        </w:rPr>
      </w:pPr>
      <w:r>
        <w:rPr>
          <w:rFonts w:hint="eastAsia"/>
          <w:lang w:eastAsia="zh-CN"/>
        </w:rPr>
        <w:t>根据上级主管局相关要求，以及项目预算，测算合理，依据充分，编制科学。</w:t>
      </w:r>
    </w:p>
    <w:p>
      <w:pPr>
        <w:ind w:firstLine="560"/>
        <w:rPr>
          <w:lang w:eastAsia="zh-CN"/>
        </w:rPr>
      </w:pPr>
      <w:r>
        <w:rPr>
          <w:rFonts w:hint="eastAsia"/>
          <w:lang w:eastAsia="zh-CN"/>
        </w:rPr>
        <w:t>6.资金分配合理性</w:t>
      </w:r>
    </w:p>
    <w:p>
      <w:pPr>
        <w:ind w:firstLine="560"/>
        <w:rPr>
          <w:lang w:eastAsia="zh-CN"/>
        </w:rPr>
      </w:pPr>
      <w:r>
        <w:rPr>
          <w:lang w:eastAsia="zh-CN"/>
        </w:rPr>
        <w:t>项目预算资金分配依据</w:t>
      </w:r>
      <w:r>
        <w:rPr>
          <w:rFonts w:hint="eastAsia"/>
          <w:lang w:eastAsia="zh-CN"/>
        </w:rPr>
        <w:t>项目</w:t>
      </w:r>
      <w:r>
        <w:rPr>
          <w:lang w:eastAsia="zh-CN"/>
        </w:rPr>
        <w:t>中各</w:t>
      </w:r>
      <w:r>
        <w:rPr>
          <w:rFonts w:hint="eastAsia"/>
          <w:lang w:eastAsia="zh-CN"/>
        </w:rPr>
        <w:t>项费用调研金额</w:t>
      </w:r>
      <w:r>
        <w:rPr>
          <w:lang w:eastAsia="zh-CN"/>
        </w:rPr>
        <w:t>，资金分配额度合理，适合单位</w:t>
      </w:r>
      <w:r>
        <w:rPr>
          <w:rFonts w:hint="eastAsia"/>
          <w:lang w:eastAsia="zh-CN"/>
        </w:rPr>
        <w:t>生产</w:t>
      </w:r>
      <w:r>
        <w:rPr>
          <w:lang w:eastAsia="zh-CN"/>
        </w:rPr>
        <w:t>实施</w:t>
      </w:r>
      <w:r>
        <w:rPr>
          <w:rFonts w:hint="eastAsia"/>
          <w:lang w:eastAsia="zh-CN"/>
        </w:rPr>
        <w:t>，与单位生产相适应。</w:t>
      </w:r>
    </w:p>
    <w:p>
      <w:pPr>
        <w:pStyle w:val="3"/>
        <w:numPr>
          <w:ilvl w:val="0"/>
          <w:numId w:val="3"/>
        </w:numPr>
        <w:spacing w:before="240" w:after="240"/>
        <w:ind w:firstLine="562"/>
      </w:pPr>
      <w:r>
        <w:t>项目过程情况。</w:t>
      </w:r>
    </w:p>
    <w:p>
      <w:pPr>
        <w:spacing w:line="600" w:lineRule="exact"/>
        <w:ind w:left="0" w:leftChars="0" w:firstLine="0" w:firstLineChars="0"/>
        <w:rPr>
          <w:rFonts w:ascii="仿宋" w:hAnsi="仿宋" w:cs="仿宋"/>
          <w:szCs w:val="28"/>
          <w:lang w:eastAsia="zh-CN"/>
        </w:rPr>
      </w:pPr>
      <w:r>
        <w:rPr>
          <w:rFonts w:hint="eastAsia" w:ascii="仿宋" w:hAnsi="仿宋" w:cs="仿宋"/>
          <w:szCs w:val="28"/>
          <w:lang w:val="en-US" w:eastAsia="zh-CN"/>
        </w:rPr>
        <w:t xml:space="preserve">    </w:t>
      </w:r>
      <w:r>
        <w:rPr>
          <w:rFonts w:hint="eastAsia" w:ascii="仿宋" w:hAnsi="仿宋" w:cs="仿宋"/>
          <w:szCs w:val="28"/>
          <w:lang w:eastAsia="zh-CN"/>
        </w:rPr>
        <w:t>1.资金到位率</w:t>
      </w:r>
    </w:p>
    <w:p>
      <w:pPr>
        <w:spacing w:line="600" w:lineRule="exact"/>
        <w:ind w:firstLine="560" w:firstLineChars="0"/>
        <w:rPr>
          <w:rFonts w:ascii="仿宋" w:hAnsi="仿宋" w:cs="仿宋"/>
          <w:color w:val="000000" w:themeColor="text1"/>
          <w:szCs w:val="28"/>
          <w:lang w:eastAsia="zh-CN"/>
          <w14:textFill>
            <w14:solidFill>
              <w14:schemeClr w14:val="tx1"/>
            </w14:solidFill>
          </w14:textFill>
        </w:rPr>
      </w:pPr>
      <w:r>
        <w:rPr>
          <w:rFonts w:hint="eastAsia" w:ascii="仿宋" w:hAnsi="仿宋" w:cs="仿宋"/>
          <w:szCs w:val="28"/>
          <w:lang w:eastAsia="zh-CN"/>
        </w:rPr>
        <w:t>本项目预算</w:t>
      </w:r>
      <w:r>
        <w:rPr>
          <w:rFonts w:hint="eastAsia" w:ascii="仿宋" w:hAnsi="仿宋" w:cs="仿宋"/>
          <w:szCs w:val="28"/>
          <w:lang w:val="en-US" w:eastAsia="zh-CN"/>
        </w:rPr>
        <w:t>63</w:t>
      </w:r>
      <w:r>
        <w:rPr>
          <w:rFonts w:hint="eastAsia" w:ascii="仿宋" w:hAnsi="仿宋" w:cs="仿宋"/>
          <w:szCs w:val="28"/>
          <w:lang w:eastAsia="zh-CN"/>
        </w:rPr>
        <w:t>万元，</w:t>
      </w:r>
      <w:r>
        <w:rPr>
          <w:rFonts w:ascii="仿宋" w:hAnsi="仿宋" w:cs="仿宋"/>
          <w:szCs w:val="28"/>
          <w:lang w:eastAsia="zh-CN"/>
        </w:rPr>
        <w:t>其中，局出资</w:t>
      </w:r>
      <w:r>
        <w:rPr>
          <w:rFonts w:hint="eastAsia" w:ascii="仿宋" w:hAnsi="仿宋" w:cs="仿宋"/>
          <w:szCs w:val="28"/>
          <w:lang w:eastAsia="zh-CN"/>
        </w:rPr>
        <w:t>51</w:t>
      </w:r>
      <w:r>
        <w:rPr>
          <w:rFonts w:ascii="仿宋" w:hAnsi="仿宋" w:cs="仿宋"/>
          <w:szCs w:val="28"/>
          <w:lang w:eastAsia="zh-CN"/>
        </w:rPr>
        <w:t>万元，单位出资</w:t>
      </w:r>
      <w:r>
        <w:rPr>
          <w:rFonts w:hint="eastAsia" w:ascii="仿宋" w:hAnsi="仿宋" w:cs="仿宋"/>
          <w:szCs w:val="28"/>
          <w:lang w:val="en-US" w:eastAsia="zh-CN"/>
        </w:rPr>
        <w:t>12</w:t>
      </w:r>
      <w:r>
        <w:rPr>
          <w:rFonts w:ascii="仿宋" w:hAnsi="仿宋" w:cs="仿宋"/>
          <w:szCs w:val="28"/>
          <w:lang w:eastAsia="zh-CN"/>
        </w:rPr>
        <w:t>万元</w:t>
      </w:r>
      <w:r>
        <w:rPr>
          <w:rFonts w:hint="eastAsia" w:ascii="仿宋" w:hAnsi="仿宋" w:cs="仿宋"/>
          <w:szCs w:val="28"/>
          <w:lang w:eastAsia="zh-CN"/>
        </w:rPr>
        <w:t>。</w:t>
      </w:r>
      <w:r>
        <w:rPr>
          <w:rFonts w:hint="eastAsia" w:ascii="仿宋" w:hAnsi="仿宋" w:cs="仿宋"/>
          <w:color w:val="000000" w:themeColor="text1"/>
          <w:szCs w:val="28"/>
          <w:lang w:eastAsia="zh-CN"/>
          <w14:textFill>
            <w14:solidFill>
              <w14:schemeClr w14:val="tx1"/>
            </w14:solidFill>
          </w14:textFill>
        </w:rPr>
        <w:t>实际到位资金</w:t>
      </w:r>
      <w:r>
        <w:rPr>
          <w:rFonts w:hint="eastAsia" w:ascii="仿宋" w:hAnsi="仿宋" w:cs="仿宋"/>
          <w:color w:val="000000" w:themeColor="text1"/>
          <w:szCs w:val="28"/>
          <w:lang w:val="en-US" w:eastAsia="zh-CN"/>
          <w14:textFill>
            <w14:solidFill>
              <w14:schemeClr w14:val="tx1"/>
            </w14:solidFill>
          </w14:textFill>
        </w:rPr>
        <w:t>63</w:t>
      </w:r>
      <w:r>
        <w:rPr>
          <w:rFonts w:hint="eastAsia" w:ascii="仿宋" w:hAnsi="仿宋" w:cs="仿宋"/>
          <w:color w:val="000000" w:themeColor="text1"/>
          <w:szCs w:val="28"/>
          <w:lang w:eastAsia="zh-CN"/>
          <w14:textFill>
            <w14:solidFill>
              <w14:schemeClr w14:val="tx1"/>
            </w14:solidFill>
          </w14:textFill>
        </w:rPr>
        <w:t>万元，资金到位率</w:t>
      </w:r>
      <w:r>
        <w:rPr>
          <w:rFonts w:hint="eastAsia" w:ascii="仿宋" w:hAnsi="仿宋" w:cs="仿宋"/>
          <w:color w:val="000000" w:themeColor="text1"/>
          <w:szCs w:val="28"/>
          <w:lang w:val="en-US" w:eastAsia="zh-CN"/>
          <w14:textFill>
            <w14:solidFill>
              <w14:schemeClr w14:val="tx1"/>
            </w14:solidFill>
          </w14:textFill>
        </w:rPr>
        <w:t>100</w:t>
      </w:r>
      <w:r>
        <w:rPr>
          <w:rFonts w:hint="eastAsia" w:ascii="仿宋" w:hAnsi="仿宋" w:cs="仿宋"/>
          <w:color w:val="000000" w:themeColor="text1"/>
          <w:szCs w:val="28"/>
          <w:lang w:eastAsia="zh-CN"/>
          <w14:textFill>
            <w14:solidFill>
              <w14:schemeClr w14:val="tx1"/>
            </w14:solidFill>
          </w14:textFill>
        </w:rPr>
        <w:t>%。</w:t>
      </w:r>
    </w:p>
    <w:p>
      <w:pPr>
        <w:pStyle w:val="6"/>
        <w:spacing w:line="600" w:lineRule="exact"/>
        <w:ind w:left="560" w:firstLine="0" w:firstLineChars="0"/>
        <w:rPr>
          <w:rFonts w:ascii="仿宋" w:hAnsi="仿宋" w:cs="仿宋"/>
          <w:sz w:val="28"/>
          <w:szCs w:val="28"/>
          <w:lang w:eastAsia="zh-CN"/>
        </w:rPr>
      </w:pPr>
      <w:r>
        <w:rPr>
          <w:rFonts w:hint="eastAsia" w:ascii="仿宋" w:hAnsi="仿宋" w:cs="仿宋"/>
          <w:sz w:val="28"/>
          <w:szCs w:val="28"/>
          <w:lang w:eastAsia="zh-CN"/>
        </w:rPr>
        <w:t>2.预算执行率</w:t>
      </w:r>
    </w:p>
    <w:p>
      <w:pPr>
        <w:spacing w:line="600" w:lineRule="exact"/>
        <w:ind w:firstLine="567"/>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cs="仿宋"/>
          <w:bCs/>
          <w:color w:val="000000" w:themeColor="text1"/>
          <w:szCs w:val="28"/>
          <w:lang w:eastAsia="zh-CN"/>
          <w14:textFill>
            <w14:solidFill>
              <w14:schemeClr w14:val="tx1"/>
            </w14:solidFill>
          </w14:textFill>
        </w:rPr>
        <w:t>项目全年预算</w:t>
      </w:r>
      <w:r>
        <w:rPr>
          <w:rFonts w:hint="eastAsia" w:ascii="仿宋" w:cs="仿宋"/>
          <w:bCs/>
          <w:color w:val="000000" w:themeColor="text1"/>
          <w:szCs w:val="28"/>
          <w:lang w:val="en-US" w:eastAsia="zh-CN"/>
          <w14:textFill>
            <w14:solidFill>
              <w14:schemeClr w14:val="tx1"/>
            </w14:solidFill>
          </w14:textFill>
        </w:rPr>
        <w:t>63</w:t>
      </w:r>
      <w:r>
        <w:rPr>
          <w:rFonts w:hint="eastAsia" w:ascii="仿宋" w:hAnsi="仿宋" w:cs="仿宋"/>
          <w:color w:val="000000" w:themeColor="text1"/>
          <w:szCs w:val="28"/>
          <w:lang w:eastAsia="zh-CN"/>
          <w14:textFill>
            <w14:solidFill>
              <w14:schemeClr w14:val="tx1"/>
            </w14:solidFill>
          </w14:textFill>
        </w:rPr>
        <w:t>万元，实际执行</w:t>
      </w:r>
      <w:r>
        <w:rPr>
          <w:rFonts w:hint="eastAsia" w:ascii="仿宋" w:hAnsi="仿宋" w:cs="仿宋"/>
          <w:color w:val="000000" w:themeColor="text1"/>
          <w:szCs w:val="28"/>
          <w:lang w:val="en-US" w:eastAsia="zh-CN"/>
          <w14:textFill>
            <w14:solidFill>
              <w14:schemeClr w14:val="tx1"/>
            </w14:solidFill>
          </w14:textFill>
        </w:rPr>
        <w:t>63</w:t>
      </w:r>
      <w:r>
        <w:rPr>
          <w:rFonts w:hint="eastAsia" w:ascii="仿宋" w:hAnsi="仿宋" w:cs="仿宋"/>
          <w:color w:val="000000" w:themeColor="text1"/>
          <w:szCs w:val="28"/>
          <w:lang w:eastAsia="zh-CN"/>
          <w14:textFill>
            <w14:solidFill>
              <w14:schemeClr w14:val="tx1"/>
            </w14:solidFill>
          </w14:textFill>
        </w:rPr>
        <w:t>万元，预算执行率</w:t>
      </w:r>
      <w:r>
        <w:rPr>
          <w:rFonts w:hint="eastAsia" w:ascii="仿宋" w:hAnsi="仿宋" w:cs="仿宋"/>
          <w:color w:val="000000" w:themeColor="text1"/>
          <w:szCs w:val="28"/>
          <w:lang w:val="en-US" w:eastAsia="zh-CN"/>
          <w14:textFill>
            <w14:solidFill>
              <w14:schemeClr w14:val="tx1"/>
            </w14:solidFill>
          </w14:textFill>
        </w:rPr>
        <w:t>100</w:t>
      </w:r>
      <w:r>
        <w:rPr>
          <w:rFonts w:hint="eastAsia" w:ascii="仿宋" w:hAnsi="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在项目支出绩效评价体系中，预算执行率占权重10分，得</w:t>
      </w: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lang w:eastAsia="zh-CN"/>
          <w14:textFill>
            <w14:solidFill>
              <w14:schemeClr w14:val="tx1"/>
            </w14:solidFill>
          </w14:textFill>
        </w:rPr>
        <w:t>分。</w:t>
      </w:r>
    </w:p>
    <w:p>
      <w:pPr>
        <w:pStyle w:val="6"/>
        <w:rPr>
          <w:lang w:eastAsia="zh-CN"/>
        </w:rPr>
      </w:pPr>
    </w:p>
    <w:p>
      <w:pPr>
        <w:ind w:firstLine="560" w:firstLineChars="0"/>
        <w:rPr>
          <w:lang w:eastAsia="zh-CN"/>
        </w:rPr>
      </w:pPr>
      <w:r>
        <w:rPr>
          <w:rFonts w:hint="eastAsia" w:ascii="仿宋" w:hAnsi="仿宋" w:eastAsia="仿宋" w:cs="仿宋"/>
          <w:color w:val="FF0000"/>
          <w:sz w:val="28"/>
          <w:szCs w:val="28"/>
          <w:lang w:eastAsia="zh-CN"/>
        </w:rPr>
        <w:t xml:space="preserve">  </w:t>
      </w:r>
      <w:r>
        <w:rPr>
          <w:lang w:eastAsia="zh-CN"/>
        </w:rPr>
        <w:t xml:space="preserve"> (三)项目产出情况。</w:t>
      </w:r>
    </w:p>
    <w:p>
      <w:pPr>
        <w:ind w:firstLine="560"/>
        <w:rPr>
          <w:rFonts w:ascii="仿宋" w:hAnsi="仿宋" w:cs="仿宋"/>
          <w:szCs w:val="28"/>
          <w:lang w:eastAsia="zh-CN"/>
        </w:rPr>
      </w:pPr>
      <w:r>
        <w:rPr>
          <w:rFonts w:hint="eastAsia" w:ascii="仿宋" w:hAnsi="仿宋" w:cs="仿宋"/>
          <w:szCs w:val="28"/>
          <w:lang w:eastAsia="zh-CN"/>
        </w:rPr>
        <w:t>项目产出情况主要从产出数量、产出质量、产出时效</w:t>
      </w:r>
      <w:r>
        <w:rPr>
          <w:rFonts w:ascii="仿宋" w:hAnsi="仿宋" w:cs="仿宋"/>
          <w:szCs w:val="28"/>
          <w:lang w:eastAsia="zh-CN"/>
        </w:rPr>
        <w:t>3</w:t>
      </w:r>
      <w:r>
        <w:rPr>
          <w:rFonts w:hint="eastAsia" w:ascii="仿宋" w:hAnsi="仿宋" w:cs="仿宋"/>
          <w:szCs w:val="28"/>
          <w:lang w:eastAsia="zh-CN"/>
        </w:rPr>
        <w:t>个方面进行评价，该项目产出指标分值</w:t>
      </w:r>
      <w:r>
        <w:rPr>
          <w:rFonts w:ascii="仿宋" w:hAnsi="仿宋" w:cs="仿宋"/>
          <w:szCs w:val="28"/>
          <w:lang w:eastAsia="zh-CN"/>
        </w:rPr>
        <w:t>55</w:t>
      </w:r>
      <w:r>
        <w:rPr>
          <w:rFonts w:hint="eastAsia" w:ascii="仿宋" w:hAnsi="仿宋" w:cs="仿宋"/>
          <w:szCs w:val="28"/>
          <w:lang w:eastAsia="zh-CN"/>
        </w:rPr>
        <w:t>分，实际得分</w:t>
      </w:r>
      <w:r>
        <w:rPr>
          <w:rFonts w:ascii="仿宋" w:hAnsi="仿宋" w:cs="仿宋"/>
          <w:szCs w:val="28"/>
          <w:lang w:eastAsia="zh-CN"/>
        </w:rPr>
        <w:t>55</w:t>
      </w:r>
      <w:r>
        <w:rPr>
          <w:rFonts w:hint="eastAsia" w:ascii="仿宋" w:hAnsi="仿宋" w:cs="仿宋"/>
          <w:szCs w:val="28"/>
          <w:lang w:eastAsia="zh-CN"/>
        </w:rPr>
        <w:t>分，完成率为100%，如表所示：</w:t>
      </w:r>
    </w:p>
    <w:tbl>
      <w:tblPr>
        <w:tblStyle w:val="7"/>
        <w:tblW w:w="8874" w:type="dxa"/>
        <w:tblInd w:w="0" w:type="dxa"/>
        <w:tblLayout w:type="fixed"/>
        <w:tblCellMar>
          <w:top w:w="0" w:type="dxa"/>
          <w:left w:w="0" w:type="dxa"/>
          <w:bottom w:w="0" w:type="dxa"/>
          <w:right w:w="0" w:type="dxa"/>
        </w:tblCellMar>
      </w:tblPr>
      <w:tblGrid>
        <w:gridCol w:w="891"/>
        <w:gridCol w:w="930"/>
        <w:gridCol w:w="1880"/>
        <w:gridCol w:w="567"/>
        <w:gridCol w:w="1701"/>
        <w:gridCol w:w="1701"/>
        <w:gridCol w:w="709"/>
        <w:gridCol w:w="495"/>
      </w:tblGrid>
      <w:tr>
        <w:trPr>
          <w:trHeight w:val="285" w:hRule="atLeast"/>
        </w:trPr>
        <w:tc>
          <w:tcPr>
            <w:tcW w:w="89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cs="宋体"/>
                <w:sz w:val="18"/>
                <w:szCs w:val="18"/>
              </w:rPr>
            </w:pPr>
            <w:r>
              <w:rPr>
                <w:rFonts w:hint="eastAsia" w:ascii="仿宋" w:hAnsi="仿宋" w:cs="宋体"/>
                <w:sz w:val="18"/>
                <w:szCs w:val="18"/>
              </w:rPr>
              <w:t>一级指标</w:t>
            </w:r>
          </w:p>
        </w:tc>
        <w:tc>
          <w:tcPr>
            <w:tcW w:w="9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cs="宋体"/>
                <w:sz w:val="18"/>
                <w:szCs w:val="18"/>
              </w:rPr>
            </w:pPr>
            <w:r>
              <w:rPr>
                <w:rFonts w:hint="eastAsia" w:ascii="仿宋" w:hAnsi="仿宋" w:cs="宋体"/>
                <w:sz w:val="18"/>
                <w:szCs w:val="18"/>
              </w:rPr>
              <w:t>二级指标</w:t>
            </w:r>
          </w:p>
        </w:tc>
        <w:tc>
          <w:tcPr>
            <w:tcW w:w="1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cs="宋体"/>
                <w:sz w:val="18"/>
                <w:szCs w:val="18"/>
              </w:rPr>
            </w:pPr>
            <w:r>
              <w:rPr>
                <w:rFonts w:hint="eastAsia" w:ascii="仿宋" w:hAnsi="仿宋" w:cs="宋体"/>
                <w:sz w:val="18"/>
                <w:szCs w:val="18"/>
              </w:rPr>
              <w:t>三级指标</w:t>
            </w:r>
          </w:p>
        </w:tc>
        <w:tc>
          <w:tcPr>
            <w:tcW w:w="567"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cs="宋体"/>
                <w:sz w:val="18"/>
                <w:szCs w:val="18"/>
              </w:rPr>
            </w:pPr>
            <w:r>
              <w:rPr>
                <w:rFonts w:hint="eastAsia" w:ascii="仿宋" w:hAnsi="仿宋" w:cs="宋体"/>
                <w:sz w:val="18"/>
                <w:szCs w:val="18"/>
              </w:rPr>
              <w:t>权重</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jc w:val="center"/>
              <w:textAlignment w:val="center"/>
              <w:rPr>
                <w:rFonts w:ascii="仿宋" w:hAnsi="仿宋" w:cs="宋体"/>
                <w:sz w:val="18"/>
                <w:szCs w:val="18"/>
              </w:rPr>
            </w:pPr>
            <w:r>
              <w:rPr>
                <w:rFonts w:hint="eastAsia" w:ascii="仿宋" w:hAnsi="仿宋" w:cs="宋体"/>
                <w:sz w:val="18"/>
                <w:szCs w:val="18"/>
              </w:rPr>
              <w:t>目标值</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cs="宋体"/>
                <w:sz w:val="18"/>
                <w:szCs w:val="18"/>
              </w:rPr>
            </w:pPr>
            <w:r>
              <w:rPr>
                <w:rFonts w:hint="eastAsia" w:ascii="仿宋" w:hAnsi="仿宋" w:cs="宋体"/>
                <w:sz w:val="18"/>
                <w:szCs w:val="18"/>
              </w:rPr>
              <w:t>实际完成值</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cs="宋体"/>
                <w:sz w:val="18"/>
                <w:szCs w:val="18"/>
              </w:rPr>
            </w:pPr>
            <w:r>
              <w:rPr>
                <w:rFonts w:hint="eastAsia" w:ascii="仿宋" w:hAnsi="仿宋" w:cs="宋体"/>
                <w:sz w:val="18"/>
                <w:szCs w:val="18"/>
              </w:rPr>
              <w:t>完成率</w:t>
            </w:r>
          </w:p>
        </w:tc>
        <w:tc>
          <w:tcPr>
            <w:tcW w:w="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cs="宋体"/>
                <w:sz w:val="18"/>
                <w:szCs w:val="18"/>
              </w:rPr>
            </w:pPr>
            <w:r>
              <w:rPr>
                <w:rFonts w:hint="eastAsia" w:ascii="仿宋" w:hAnsi="仿宋" w:cs="宋体"/>
                <w:sz w:val="18"/>
                <w:szCs w:val="18"/>
              </w:rPr>
              <w:t>得分</w:t>
            </w:r>
          </w:p>
        </w:tc>
      </w:tr>
      <w:tr>
        <w:tblPrEx>
          <w:tblCellMar>
            <w:top w:w="0" w:type="dxa"/>
            <w:left w:w="0" w:type="dxa"/>
            <w:bottom w:w="0" w:type="dxa"/>
            <w:right w:w="0" w:type="dxa"/>
          </w:tblCellMar>
        </w:tblPrEx>
        <w:trPr>
          <w:trHeight w:val="285" w:hRule="atLeast"/>
        </w:trPr>
        <w:tc>
          <w:tcPr>
            <w:tcW w:w="891"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auto"/>
              <w:ind w:firstLine="0" w:firstLineChars="0"/>
              <w:rPr>
                <w:rFonts w:ascii="仿宋" w:hAnsi="仿宋"/>
                <w:sz w:val="18"/>
                <w:szCs w:val="18"/>
                <w:lang w:eastAsia="zh-CN"/>
              </w:rPr>
            </w:pPr>
            <w:r>
              <w:rPr>
                <w:rFonts w:hint="eastAsia" w:ascii="仿宋" w:hAnsi="仿宋"/>
                <w:sz w:val="18"/>
                <w:szCs w:val="18"/>
                <w:lang w:eastAsia="zh-CN"/>
              </w:rPr>
              <w:t>工作任务完成情况（30分）</w:t>
            </w:r>
          </w:p>
        </w:tc>
        <w:tc>
          <w:tcPr>
            <w:tcW w:w="93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textAlignment w:val="center"/>
              <w:rPr>
                <w:rFonts w:ascii="仿宋" w:hAnsi="仿宋"/>
                <w:sz w:val="18"/>
                <w:szCs w:val="18"/>
              </w:rPr>
            </w:pPr>
            <w:r>
              <w:rPr>
                <w:rFonts w:hint="eastAsia" w:ascii="仿宋" w:hAnsi="仿宋"/>
                <w:sz w:val="18"/>
                <w:szCs w:val="18"/>
              </w:rPr>
              <w:t>时效指标</w:t>
            </w:r>
          </w:p>
          <w:p>
            <w:pPr>
              <w:spacing w:line="240" w:lineRule="auto"/>
              <w:ind w:firstLine="0" w:firstLineChars="0"/>
              <w:jc w:val="center"/>
              <w:textAlignment w:val="center"/>
              <w:rPr>
                <w:rFonts w:ascii="仿宋" w:hAnsi="仿宋"/>
                <w:sz w:val="18"/>
                <w:szCs w:val="18"/>
              </w:rPr>
            </w:pPr>
            <w:r>
              <w:rPr>
                <w:rFonts w:hint="eastAsia" w:ascii="仿宋" w:hAnsi="仿宋"/>
                <w:sz w:val="18"/>
                <w:szCs w:val="18"/>
              </w:rPr>
              <w:t>(5分)</w:t>
            </w:r>
          </w:p>
        </w:tc>
        <w:tc>
          <w:tcPr>
            <w:tcW w:w="1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sz w:val="18"/>
                <w:szCs w:val="18"/>
                <w:lang w:eastAsia="zh-CN"/>
              </w:rPr>
            </w:pPr>
            <w:r>
              <w:rPr>
                <w:rFonts w:hint="eastAsia" w:ascii="仿宋" w:hAnsi="仿宋"/>
                <w:sz w:val="18"/>
                <w:szCs w:val="18"/>
                <w:lang w:eastAsia="zh-CN"/>
              </w:rPr>
              <w:t>1.项目设计、成果报告、资料汇交按时完成（3分）。</w:t>
            </w:r>
          </w:p>
          <w:p>
            <w:pPr>
              <w:spacing w:line="240" w:lineRule="auto"/>
              <w:ind w:firstLine="0" w:firstLineChars="0"/>
              <w:textAlignment w:val="center"/>
              <w:rPr>
                <w:rFonts w:ascii="仿宋" w:hAnsi="仿宋"/>
                <w:sz w:val="18"/>
                <w:szCs w:val="18"/>
                <w:lang w:eastAsia="zh-CN"/>
              </w:rPr>
            </w:pPr>
            <w:r>
              <w:rPr>
                <w:rFonts w:hint="eastAsia" w:ascii="仿宋" w:hAnsi="仿宋"/>
                <w:sz w:val="18"/>
                <w:szCs w:val="18"/>
                <w:lang w:eastAsia="zh-CN"/>
              </w:rPr>
              <w:t>2.月季年报按时间报送（2分）。</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仿宋" w:hAnsi="仿宋" w:cs="宋体"/>
                <w:sz w:val="18"/>
                <w:szCs w:val="18"/>
              </w:rPr>
            </w:pPr>
            <w:r>
              <w:rPr>
                <w:rFonts w:hint="eastAsia" w:ascii="仿宋" w:hAnsi="仿宋" w:cs="宋体"/>
                <w:sz w:val="18"/>
                <w:szCs w:val="18"/>
              </w:rPr>
              <w:t>15</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6"/>
              <w:kinsoku w:val="0"/>
              <w:overflowPunct w:val="0"/>
              <w:snapToGrid w:val="0"/>
              <w:spacing w:before="4"/>
              <w:rPr>
                <w:rFonts w:ascii="仿宋" w:hAnsi="仿宋" w:eastAsia="仿宋"/>
                <w:kern w:val="2"/>
                <w:sz w:val="18"/>
                <w:szCs w:val="18"/>
              </w:rPr>
            </w:pPr>
            <w:r>
              <w:rPr>
                <w:rFonts w:hint="eastAsia" w:ascii="仿宋" w:hAnsi="仿宋" w:eastAsia="仿宋"/>
                <w:kern w:val="2"/>
                <w:sz w:val="18"/>
                <w:szCs w:val="18"/>
              </w:rPr>
              <w:t>1.按时完成设计、成果报告、资料汇交。</w:t>
            </w:r>
          </w:p>
          <w:p>
            <w:pPr>
              <w:pStyle w:val="16"/>
              <w:kinsoku w:val="0"/>
              <w:overflowPunct w:val="0"/>
              <w:snapToGrid w:val="0"/>
              <w:rPr>
                <w:rFonts w:ascii="仿宋" w:hAnsi="仿宋" w:eastAsia="仿宋"/>
                <w:kern w:val="2"/>
                <w:sz w:val="18"/>
                <w:szCs w:val="18"/>
              </w:rPr>
            </w:pPr>
            <w:r>
              <w:rPr>
                <w:rFonts w:hint="eastAsia" w:ascii="仿宋" w:hAnsi="仿宋" w:eastAsia="仿宋"/>
                <w:kern w:val="2"/>
                <w:sz w:val="18"/>
                <w:szCs w:val="18"/>
              </w:rPr>
              <w:t>2. 按时间报送月季年报。</w:t>
            </w:r>
          </w:p>
          <w:p>
            <w:pPr>
              <w:spacing w:line="240" w:lineRule="auto"/>
              <w:ind w:firstLine="360"/>
              <w:jc w:val="center"/>
              <w:rPr>
                <w:rFonts w:ascii="仿宋" w:hAnsi="仿宋" w:cs="宋体"/>
                <w:sz w:val="18"/>
                <w:szCs w:val="18"/>
                <w:lang w:eastAsia="zh-CN"/>
              </w:rPr>
            </w:pP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6"/>
              <w:kinsoku w:val="0"/>
              <w:overflowPunct w:val="0"/>
              <w:snapToGrid w:val="0"/>
              <w:spacing w:before="4"/>
              <w:rPr>
                <w:rFonts w:ascii="仿宋" w:hAnsi="仿宋" w:eastAsia="仿宋"/>
                <w:kern w:val="2"/>
                <w:sz w:val="18"/>
                <w:szCs w:val="18"/>
              </w:rPr>
            </w:pPr>
            <w:r>
              <w:rPr>
                <w:rFonts w:hint="eastAsia" w:ascii="仿宋" w:hAnsi="仿宋" w:eastAsia="仿宋"/>
                <w:kern w:val="2"/>
                <w:sz w:val="18"/>
                <w:szCs w:val="18"/>
              </w:rPr>
              <w:t>1.按时完成设计、成果报告、资料汇交。</w:t>
            </w:r>
          </w:p>
          <w:p>
            <w:pPr>
              <w:pStyle w:val="16"/>
              <w:kinsoku w:val="0"/>
              <w:overflowPunct w:val="0"/>
              <w:snapToGrid w:val="0"/>
              <w:rPr>
                <w:rFonts w:ascii="仿宋" w:hAnsi="仿宋" w:eastAsia="仿宋"/>
                <w:kern w:val="2"/>
                <w:sz w:val="18"/>
                <w:szCs w:val="18"/>
              </w:rPr>
            </w:pPr>
            <w:r>
              <w:rPr>
                <w:rFonts w:hint="eastAsia" w:ascii="仿宋" w:hAnsi="仿宋" w:eastAsia="仿宋"/>
                <w:kern w:val="2"/>
                <w:sz w:val="18"/>
                <w:szCs w:val="18"/>
              </w:rPr>
              <w:t>2. 按时间报送月季年报。</w:t>
            </w:r>
          </w:p>
          <w:p>
            <w:pPr>
              <w:spacing w:line="240" w:lineRule="auto"/>
              <w:ind w:firstLine="360"/>
              <w:jc w:val="center"/>
              <w:rPr>
                <w:rFonts w:ascii="仿宋" w:hAnsi="仿宋" w:cs="宋体"/>
                <w:sz w:val="18"/>
                <w:szCs w:val="18"/>
                <w:lang w:eastAsia="zh-CN"/>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90" w:firstLineChars="50"/>
              <w:rPr>
                <w:rFonts w:ascii="仿宋" w:hAnsi="仿宋" w:cs="宋体"/>
                <w:sz w:val="18"/>
                <w:szCs w:val="18"/>
              </w:rPr>
            </w:pPr>
            <w:r>
              <w:rPr>
                <w:rFonts w:ascii="仿宋" w:hAnsi="仿宋" w:cs="宋体"/>
                <w:sz w:val="18"/>
                <w:szCs w:val="18"/>
              </w:rPr>
              <w:t>100</w:t>
            </w:r>
            <w:r>
              <w:rPr>
                <w:rFonts w:hint="eastAsia" w:ascii="仿宋" w:hAnsi="仿宋" w:cs="宋体"/>
                <w:sz w:val="18"/>
                <w:szCs w:val="18"/>
              </w:rPr>
              <w:t>%</w:t>
            </w:r>
          </w:p>
        </w:tc>
        <w:tc>
          <w:tcPr>
            <w:tcW w:w="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rPr>
                <w:rFonts w:ascii="仿宋" w:hAnsi="仿宋" w:cs="宋体"/>
                <w:sz w:val="18"/>
                <w:szCs w:val="18"/>
              </w:rPr>
            </w:pPr>
            <w:r>
              <w:rPr>
                <w:rFonts w:ascii="仿宋" w:hAnsi="仿宋" w:cs="宋体"/>
                <w:sz w:val="18"/>
                <w:szCs w:val="18"/>
              </w:rPr>
              <w:t>5</w:t>
            </w:r>
          </w:p>
        </w:tc>
      </w:tr>
      <w:tr>
        <w:tblPrEx>
          <w:tblCellMar>
            <w:top w:w="0" w:type="dxa"/>
            <w:left w:w="0" w:type="dxa"/>
            <w:bottom w:w="0" w:type="dxa"/>
            <w:right w:w="0" w:type="dxa"/>
          </w:tblCellMar>
        </w:tblPrEx>
        <w:trPr>
          <w:trHeight w:val="2725" w:hRule="atLeast"/>
        </w:trPr>
        <w:tc>
          <w:tcPr>
            <w:tcW w:w="891"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auto"/>
              <w:ind w:firstLine="360"/>
              <w:rPr>
                <w:rFonts w:ascii="仿宋" w:hAnsi="仿宋" w:cs="宋体"/>
                <w:sz w:val="18"/>
                <w:szCs w:val="18"/>
              </w:rPr>
            </w:pPr>
          </w:p>
        </w:tc>
        <w:tc>
          <w:tcPr>
            <w:tcW w:w="93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textAlignment w:val="center"/>
              <w:rPr>
                <w:rFonts w:ascii="仿宋" w:hAnsi="仿宋"/>
                <w:sz w:val="18"/>
                <w:szCs w:val="18"/>
              </w:rPr>
            </w:pPr>
            <w:r>
              <w:rPr>
                <w:rFonts w:hint="eastAsia" w:ascii="仿宋" w:hAnsi="仿宋"/>
                <w:sz w:val="18"/>
                <w:szCs w:val="18"/>
              </w:rPr>
              <w:t>数量指标</w:t>
            </w:r>
          </w:p>
          <w:p>
            <w:pPr>
              <w:spacing w:line="240" w:lineRule="auto"/>
              <w:ind w:firstLine="0" w:firstLineChars="0"/>
              <w:rPr>
                <w:rFonts w:ascii="仿宋" w:hAnsi="仿宋" w:cs="宋体"/>
                <w:sz w:val="18"/>
                <w:szCs w:val="18"/>
              </w:rPr>
            </w:pPr>
            <w:r>
              <w:rPr>
                <w:rFonts w:hint="eastAsia" w:ascii="仿宋" w:hAnsi="仿宋"/>
                <w:sz w:val="18"/>
                <w:szCs w:val="18"/>
              </w:rPr>
              <w:t>（25分）</w:t>
            </w:r>
          </w:p>
        </w:tc>
        <w:tc>
          <w:tcPr>
            <w:tcW w:w="1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sz w:val="18"/>
                <w:szCs w:val="18"/>
                <w:lang w:eastAsia="zh-CN"/>
              </w:rPr>
            </w:pPr>
            <w:r>
              <w:rPr>
                <w:rFonts w:hint="eastAsia" w:ascii="仿宋" w:hAnsi="仿宋"/>
                <w:sz w:val="18"/>
                <w:szCs w:val="18"/>
                <w:lang w:eastAsia="zh-CN"/>
              </w:rPr>
              <w:t>1.实物工作量完成100%（15分）。</w:t>
            </w:r>
          </w:p>
          <w:p>
            <w:pPr>
              <w:spacing w:line="240" w:lineRule="auto"/>
              <w:ind w:firstLine="0" w:firstLineChars="0"/>
              <w:textAlignment w:val="center"/>
              <w:rPr>
                <w:rFonts w:hint="eastAsia" w:ascii="仿宋" w:hAnsi="仿宋"/>
                <w:sz w:val="18"/>
                <w:szCs w:val="18"/>
                <w:lang w:eastAsia="zh-CN"/>
              </w:rPr>
            </w:pPr>
            <w:r>
              <w:rPr>
                <w:rFonts w:hint="eastAsia" w:ascii="仿宋" w:hAnsi="仿宋"/>
                <w:sz w:val="18"/>
                <w:szCs w:val="18"/>
                <w:lang w:eastAsia="zh-CN"/>
              </w:rPr>
              <w:t>2.提供可供进一步工作的找矿靶区2-3处（8分）。</w:t>
            </w:r>
          </w:p>
          <w:p>
            <w:pPr>
              <w:spacing w:line="240" w:lineRule="auto"/>
              <w:ind w:firstLine="0" w:firstLineChars="0"/>
              <w:rPr>
                <w:rFonts w:ascii="仿宋" w:hAnsi="仿宋" w:cs="宋体"/>
                <w:sz w:val="18"/>
                <w:szCs w:val="18"/>
                <w:lang w:eastAsia="zh-CN"/>
              </w:rPr>
            </w:pPr>
            <w:r>
              <w:rPr>
                <w:rFonts w:hint="eastAsia" w:ascii="仿宋" w:hAnsi="仿宋"/>
                <w:sz w:val="18"/>
                <w:szCs w:val="18"/>
                <w:lang w:eastAsia="zh-CN"/>
              </w:rPr>
              <w:t>3.项目技术人员安排合理（2分）。</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仿宋" w:hAnsi="仿宋"/>
                <w:sz w:val="18"/>
                <w:szCs w:val="18"/>
              </w:rPr>
            </w:pPr>
            <w:r>
              <w:rPr>
                <w:rFonts w:hint="eastAsia" w:ascii="仿宋" w:hAnsi="仿宋" w:cs="宋体"/>
                <w:sz w:val="18"/>
                <w:szCs w:val="18"/>
              </w:rPr>
              <w:t>15</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1.实物工作量（野外工作、阶段成果和年终总结等）完成95%以上。</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2.提交勘查靶区2-3处。</w:t>
            </w:r>
          </w:p>
          <w:p>
            <w:pPr>
              <w:spacing w:line="240" w:lineRule="auto"/>
              <w:ind w:firstLine="360"/>
              <w:jc w:val="center"/>
              <w:rPr>
                <w:rFonts w:ascii="仿宋" w:hAnsi="仿宋" w:cs="宋体"/>
                <w:sz w:val="18"/>
                <w:szCs w:val="18"/>
                <w:lang w:eastAsia="zh-CN"/>
              </w:rPr>
            </w:pPr>
            <w:r>
              <w:rPr>
                <w:rFonts w:hint="eastAsia" w:ascii="仿宋" w:hAnsi="仿宋"/>
                <w:sz w:val="18"/>
                <w:szCs w:val="18"/>
                <w:lang w:eastAsia="zh-CN"/>
              </w:rPr>
              <w:t>3.项目技术人员安排合理，能起到传、帮、带作用。</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1.实物工作量（野外工作、阶段成果和年终总结等）完成95%以上。</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2.提交勘查靶区2-3处。</w:t>
            </w:r>
          </w:p>
          <w:p>
            <w:pPr>
              <w:spacing w:line="240" w:lineRule="auto"/>
              <w:ind w:firstLine="360"/>
              <w:jc w:val="center"/>
              <w:rPr>
                <w:rFonts w:ascii="仿宋" w:hAnsi="仿宋" w:cs="宋体"/>
                <w:sz w:val="18"/>
                <w:szCs w:val="18"/>
                <w:lang w:eastAsia="zh-CN"/>
              </w:rPr>
            </w:pPr>
            <w:r>
              <w:rPr>
                <w:rFonts w:hint="eastAsia" w:ascii="仿宋" w:hAnsi="仿宋"/>
                <w:sz w:val="18"/>
                <w:szCs w:val="18"/>
                <w:lang w:eastAsia="zh-CN"/>
              </w:rPr>
              <w:t>3.项目技术人员安排合理，能起到传、帮、带作用。</w:t>
            </w:r>
          </w:p>
        </w:tc>
        <w:tc>
          <w:tcPr>
            <w:tcW w:w="709"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spacing w:line="240" w:lineRule="auto"/>
              <w:ind w:firstLine="0" w:firstLineChars="0"/>
              <w:rPr>
                <w:rFonts w:ascii="仿宋" w:hAnsi="仿宋" w:cs="宋体"/>
                <w:sz w:val="18"/>
                <w:szCs w:val="18"/>
              </w:rPr>
            </w:pPr>
            <w:r>
              <w:rPr>
                <w:rFonts w:ascii="仿宋" w:hAnsi="仿宋" w:cs="宋体"/>
                <w:sz w:val="18"/>
                <w:szCs w:val="18"/>
              </w:rPr>
              <w:t>100</w:t>
            </w:r>
            <w:r>
              <w:rPr>
                <w:rFonts w:hint="eastAsia" w:ascii="仿宋" w:hAnsi="仿宋" w:cs="宋体"/>
                <w:sz w:val="18"/>
                <w:szCs w:val="18"/>
              </w:rPr>
              <w:t>%</w:t>
            </w:r>
          </w:p>
        </w:tc>
        <w:tc>
          <w:tcPr>
            <w:tcW w:w="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90" w:firstLineChars="50"/>
              <w:rPr>
                <w:rFonts w:ascii="仿宋" w:hAnsi="仿宋" w:cs="宋体"/>
                <w:sz w:val="18"/>
                <w:szCs w:val="18"/>
              </w:rPr>
            </w:pPr>
            <w:r>
              <w:rPr>
                <w:rFonts w:ascii="仿宋" w:hAnsi="仿宋" w:cs="宋体"/>
                <w:sz w:val="18"/>
                <w:szCs w:val="18"/>
              </w:rPr>
              <w:t>2</w:t>
            </w:r>
            <w:r>
              <w:rPr>
                <w:rFonts w:hint="eastAsia" w:ascii="仿宋" w:hAnsi="仿宋" w:cs="宋体"/>
                <w:sz w:val="18"/>
                <w:szCs w:val="18"/>
              </w:rPr>
              <w:t>5</w:t>
            </w:r>
          </w:p>
        </w:tc>
      </w:tr>
      <w:tr>
        <w:tblPrEx>
          <w:tblCellMar>
            <w:top w:w="0" w:type="dxa"/>
            <w:left w:w="0" w:type="dxa"/>
            <w:bottom w:w="0" w:type="dxa"/>
            <w:right w:w="0" w:type="dxa"/>
          </w:tblCellMar>
        </w:tblPrEx>
        <w:trPr>
          <w:trHeight w:val="385" w:hRule="atLeast"/>
        </w:trPr>
        <w:tc>
          <w:tcPr>
            <w:tcW w:w="89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auto"/>
              <w:ind w:firstLine="0" w:firstLineChars="0"/>
              <w:jc w:val="center"/>
              <w:textAlignment w:val="center"/>
              <w:rPr>
                <w:rFonts w:ascii="仿宋" w:hAnsi="仿宋"/>
                <w:sz w:val="18"/>
                <w:szCs w:val="18"/>
              </w:rPr>
            </w:pPr>
            <w:r>
              <w:rPr>
                <w:rFonts w:hint="eastAsia" w:ascii="仿宋" w:hAnsi="仿宋"/>
                <w:sz w:val="18"/>
                <w:szCs w:val="18"/>
              </w:rPr>
              <w:t>工作质量（25分）</w:t>
            </w:r>
          </w:p>
        </w:tc>
        <w:tc>
          <w:tcPr>
            <w:tcW w:w="930"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textAlignment w:val="center"/>
              <w:rPr>
                <w:rFonts w:ascii="仿宋" w:hAnsi="仿宋"/>
                <w:sz w:val="18"/>
                <w:szCs w:val="18"/>
              </w:rPr>
            </w:pPr>
            <w:r>
              <w:rPr>
                <w:rFonts w:hint="eastAsia" w:ascii="仿宋" w:hAnsi="仿宋"/>
                <w:sz w:val="18"/>
                <w:szCs w:val="18"/>
              </w:rPr>
              <w:t>质量指标</w:t>
            </w:r>
          </w:p>
          <w:p>
            <w:pPr>
              <w:spacing w:line="240" w:lineRule="auto"/>
              <w:ind w:firstLine="0" w:firstLineChars="0"/>
              <w:jc w:val="center"/>
              <w:textAlignment w:val="center"/>
              <w:rPr>
                <w:rFonts w:ascii="仿宋" w:hAnsi="仿宋"/>
                <w:sz w:val="18"/>
                <w:szCs w:val="18"/>
              </w:rPr>
            </w:pPr>
            <w:r>
              <w:rPr>
                <w:rFonts w:hint="eastAsia" w:ascii="仿宋" w:hAnsi="仿宋"/>
                <w:sz w:val="18"/>
                <w:szCs w:val="18"/>
              </w:rPr>
              <w:t>（25分）</w:t>
            </w:r>
          </w:p>
        </w:tc>
        <w:tc>
          <w:tcPr>
            <w:tcW w:w="1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仿宋" w:hAnsi="仿宋"/>
                <w:sz w:val="18"/>
                <w:szCs w:val="18"/>
                <w:lang w:eastAsia="zh-CN"/>
              </w:rPr>
            </w:pPr>
            <w:r>
              <w:rPr>
                <w:rFonts w:hint="eastAsia" w:ascii="仿宋" w:hAnsi="仿宋"/>
                <w:sz w:val="18"/>
                <w:szCs w:val="18"/>
                <w:lang w:eastAsia="zh-CN"/>
              </w:rPr>
              <w:t>1.设计、中期检查、野外验收、成果报告等评价良好（18分）。</w:t>
            </w:r>
          </w:p>
          <w:p>
            <w:pPr>
              <w:spacing w:line="240" w:lineRule="auto"/>
              <w:ind w:firstLine="0" w:firstLineChars="0"/>
              <w:textAlignment w:val="center"/>
              <w:rPr>
                <w:rFonts w:hint="eastAsia" w:ascii="仿宋" w:hAnsi="仿宋"/>
                <w:strike/>
                <w:sz w:val="18"/>
                <w:szCs w:val="18"/>
                <w:lang w:eastAsia="zh-CN"/>
              </w:rPr>
            </w:pPr>
            <w:r>
              <w:rPr>
                <w:rFonts w:hint="eastAsia" w:ascii="仿宋" w:hAnsi="仿宋"/>
                <w:sz w:val="18"/>
                <w:szCs w:val="18"/>
                <w:lang w:eastAsia="zh-CN"/>
              </w:rPr>
              <w:t>2.质量体系运行正常（3分）。</w:t>
            </w:r>
          </w:p>
          <w:p>
            <w:pPr>
              <w:spacing w:line="240" w:lineRule="auto"/>
              <w:ind w:firstLine="0" w:firstLineChars="0"/>
              <w:textAlignment w:val="center"/>
              <w:rPr>
                <w:rFonts w:hint="eastAsia" w:ascii="仿宋" w:hAnsi="仿宋"/>
                <w:sz w:val="18"/>
                <w:szCs w:val="18"/>
                <w:lang w:eastAsia="zh-CN"/>
              </w:rPr>
            </w:pPr>
            <w:r>
              <w:rPr>
                <w:rFonts w:hint="eastAsia" w:ascii="仿宋" w:hAnsi="仿宋"/>
                <w:sz w:val="18"/>
                <w:szCs w:val="18"/>
                <w:lang w:eastAsia="zh-CN"/>
              </w:rPr>
              <w:t>3.野外工作严格落实绿色勘查要求（2分）。</w:t>
            </w:r>
          </w:p>
          <w:p>
            <w:pPr>
              <w:spacing w:line="240" w:lineRule="auto"/>
              <w:ind w:firstLine="0" w:firstLineChars="0"/>
              <w:textAlignment w:val="center"/>
              <w:rPr>
                <w:rFonts w:ascii="仿宋" w:hAnsi="仿宋"/>
                <w:sz w:val="18"/>
                <w:szCs w:val="18"/>
                <w:lang w:eastAsia="zh-CN"/>
              </w:rPr>
            </w:pPr>
            <w:r>
              <w:rPr>
                <w:rFonts w:hint="eastAsia" w:ascii="仿宋" w:hAnsi="仿宋"/>
                <w:sz w:val="18"/>
                <w:szCs w:val="18"/>
                <w:lang w:eastAsia="zh-CN"/>
              </w:rPr>
              <w:t>4.无工作量变更（2分）。</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仿宋" w:hAnsi="仿宋" w:cs="宋体"/>
                <w:sz w:val="18"/>
                <w:szCs w:val="18"/>
              </w:rPr>
            </w:pPr>
            <w:r>
              <w:rPr>
                <w:rFonts w:hint="eastAsia" w:ascii="仿宋" w:hAnsi="仿宋" w:cs="宋体"/>
                <w:sz w:val="18"/>
                <w:szCs w:val="18"/>
                <w:lang w:eastAsia="zh-CN"/>
              </w:rPr>
              <w:t xml:space="preserve"> </w:t>
            </w:r>
            <w:r>
              <w:rPr>
                <w:rFonts w:hint="eastAsia" w:ascii="仿宋" w:hAnsi="仿宋" w:cs="宋体"/>
                <w:sz w:val="18"/>
                <w:szCs w:val="18"/>
              </w:rPr>
              <w:t>15</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1.设计、中期检查、成果报告等优良率按目标完成。</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2.质量体系运行情况（三级质量检查运转正常、野外验收到位）。</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3.野外实施做到绿色勘查。</w:t>
            </w:r>
          </w:p>
          <w:p>
            <w:pPr>
              <w:spacing w:line="240" w:lineRule="auto"/>
              <w:ind w:firstLine="360"/>
              <w:jc w:val="center"/>
              <w:rPr>
                <w:rFonts w:ascii="仿宋" w:hAnsi="仿宋" w:cs="宋体"/>
                <w:sz w:val="18"/>
                <w:szCs w:val="18"/>
                <w:lang w:eastAsia="zh-CN"/>
              </w:rPr>
            </w:pPr>
            <w:r>
              <w:rPr>
                <w:rFonts w:hint="eastAsia" w:ascii="仿宋" w:hAnsi="仿宋"/>
                <w:sz w:val="18"/>
                <w:szCs w:val="18"/>
                <w:lang w:eastAsia="zh-CN"/>
              </w:rPr>
              <w:t>4.严格按照任务书及设计工作量施工，如需变更及时向局管理部门提出申请，同意后方可实施。</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1.设计、中期检查、成果报告等优良率按目标完成。</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2.质量体系运行情况（三级质量检查运转正常、野外验收到位）。</w:t>
            </w:r>
          </w:p>
          <w:p>
            <w:pPr>
              <w:spacing w:line="240" w:lineRule="auto"/>
              <w:ind w:firstLine="360"/>
              <w:textAlignment w:val="center"/>
              <w:rPr>
                <w:rFonts w:ascii="仿宋" w:hAnsi="仿宋"/>
                <w:sz w:val="18"/>
                <w:szCs w:val="18"/>
                <w:lang w:eastAsia="zh-CN"/>
              </w:rPr>
            </w:pPr>
            <w:r>
              <w:rPr>
                <w:rFonts w:hint="eastAsia" w:ascii="仿宋" w:hAnsi="仿宋"/>
                <w:sz w:val="18"/>
                <w:szCs w:val="18"/>
                <w:lang w:eastAsia="zh-CN"/>
              </w:rPr>
              <w:t>3.野外实施做到绿色勘查。</w:t>
            </w:r>
          </w:p>
          <w:p>
            <w:pPr>
              <w:spacing w:line="240" w:lineRule="auto"/>
              <w:ind w:firstLine="360"/>
              <w:jc w:val="center"/>
              <w:rPr>
                <w:rFonts w:ascii="仿宋" w:hAnsi="仿宋" w:cs="宋体"/>
                <w:sz w:val="18"/>
                <w:szCs w:val="18"/>
                <w:lang w:eastAsia="zh-CN"/>
              </w:rPr>
            </w:pPr>
            <w:r>
              <w:rPr>
                <w:rFonts w:hint="eastAsia" w:ascii="仿宋" w:hAnsi="仿宋"/>
                <w:sz w:val="18"/>
                <w:szCs w:val="18"/>
                <w:lang w:eastAsia="zh-CN"/>
              </w:rPr>
              <w:t>4.严格按照任务书及设计工作量施工，如需变更及时向局管理部门提出申请，同意后方可实施。</w:t>
            </w: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仿宋" w:hAnsi="仿宋" w:cs="宋体"/>
                <w:sz w:val="18"/>
                <w:szCs w:val="18"/>
              </w:rPr>
            </w:pPr>
            <w:r>
              <w:rPr>
                <w:rFonts w:ascii="仿宋" w:hAnsi="仿宋" w:cs="宋体"/>
                <w:sz w:val="18"/>
                <w:szCs w:val="18"/>
              </w:rPr>
              <w:t>100</w:t>
            </w:r>
            <w:r>
              <w:rPr>
                <w:rFonts w:hint="eastAsia" w:ascii="仿宋" w:hAnsi="仿宋" w:cs="宋体"/>
                <w:sz w:val="18"/>
                <w:szCs w:val="18"/>
              </w:rPr>
              <w:t>%</w:t>
            </w:r>
          </w:p>
        </w:tc>
        <w:tc>
          <w:tcPr>
            <w:tcW w:w="4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仿宋" w:hAnsi="仿宋" w:cs="宋体"/>
                <w:sz w:val="18"/>
                <w:szCs w:val="18"/>
              </w:rPr>
            </w:pPr>
            <w:r>
              <w:rPr>
                <w:rFonts w:ascii="仿宋" w:hAnsi="仿宋" w:cs="宋体"/>
                <w:sz w:val="18"/>
                <w:szCs w:val="18"/>
              </w:rPr>
              <w:t>25</w:t>
            </w:r>
          </w:p>
        </w:tc>
      </w:tr>
    </w:tbl>
    <w:p>
      <w:pPr>
        <w:pStyle w:val="3"/>
        <w:spacing w:before="240" w:after="240"/>
        <w:ind w:firstLine="562"/>
        <w:rPr>
          <w:lang w:eastAsia="zh-CN"/>
        </w:rPr>
      </w:pPr>
      <w:r>
        <w:rPr>
          <w:lang w:eastAsia="zh-CN"/>
        </w:rPr>
        <w:t xml:space="preserve"> (四)项目效益情况</w:t>
      </w:r>
    </w:p>
    <w:p>
      <w:pPr>
        <w:spacing w:line="600" w:lineRule="exact"/>
        <w:ind w:firstLine="560"/>
        <w:rPr>
          <w:rFonts w:ascii="仿宋" w:hAnsi="仿宋" w:cs="仿宋"/>
          <w:szCs w:val="28"/>
          <w:lang w:eastAsia="zh-CN"/>
        </w:rPr>
      </w:pPr>
      <w:r>
        <w:rPr>
          <w:rFonts w:hint="eastAsia" w:ascii="仿宋" w:hAnsi="仿宋" w:cs="仿宋"/>
          <w:szCs w:val="28"/>
          <w:lang w:eastAsia="zh-CN"/>
        </w:rPr>
        <w:t>项目</w:t>
      </w:r>
      <w:r>
        <w:rPr>
          <w:rFonts w:ascii="仿宋" w:hAnsi="仿宋" w:cs="仿宋"/>
          <w:szCs w:val="28"/>
          <w:lang w:eastAsia="zh-CN"/>
        </w:rPr>
        <w:t>效益情况从经济效益和社会效益</w:t>
      </w:r>
      <w:r>
        <w:rPr>
          <w:rFonts w:hint="eastAsia" w:ascii="仿宋" w:hAnsi="仿宋" w:cs="仿宋"/>
          <w:szCs w:val="28"/>
          <w:lang w:eastAsia="zh-CN"/>
        </w:rPr>
        <w:t>方面对项目的效益指标情况进行考察，效益指标分值2</w:t>
      </w:r>
      <w:r>
        <w:rPr>
          <w:rFonts w:ascii="仿宋" w:hAnsi="仿宋" w:cs="仿宋"/>
          <w:szCs w:val="28"/>
          <w:lang w:eastAsia="zh-CN"/>
        </w:rPr>
        <w:t>5</w:t>
      </w:r>
      <w:r>
        <w:rPr>
          <w:rFonts w:hint="eastAsia" w:ascii="仿宋" w:hAnsi="仿宋" w:cs="仿宋"/>
          <w:szCs w:val="28"/>
          <w:lang w:eastAsia="zh-CN"/>
        </w:rPr>
        <w:t>分，实际得分2</w:t>
      </w:r>
      <w:r>
        <w:rPr>
          <w:rFonts w:ascii="仿宋" w:hAnsi="仿宋" w:cs="仿宋"/>
          <w:szCs w:val="28"/>
          <w:lang w:eastAsia="zh-CN"/>
        </w:rPr>
        <w:t>5</w:t>
      </w:r>
      <w:r>
        <w:rPr>
          <w:rFonts w:hint="eastAsia" w:ascii="仿宋" w:hAnsi="仿宋" w:cs="仿宋"/>
          <w:szCs w:val="28"/>
          <w:lang w:eastAsia="zh-CN"/>
        </w:rPr>
        <w:t>分，得分率为100%。效益指标得分情况如表所示：</w:t>
      </w:r>
    </w:p>
    <w:tbl>
      <w:tblPr>
        <w:tblStyle w:val="7"/>
        <w:tblW w:w="8874" w:type="dxa"/>
        <w:tblInd w:w="0" w:type="dxa"/>
        <w:tblLayout w:type="fixed"/>
        <w:tblCellMar>
          <w:top w:w="0" w:type="dxa"/>
          <w:left w:w="0" w:type="dxa"/>
          <w:bottom w:w="0" w:type="dxa"/>
          <w:right w:w="0" w:type="dxa"/>
        </w:tblCellMar>
      </w:tblPr>
      <w:tblGrid>
        <w:gridCol w:w="861"/>
        <w:gridCol w:w="1139"/>
        <w:gridCol w:w="1701"/>
        <w:gridCol w:w="992"/>
        <w:gridCol w:w="1551"/>
        <w:gridCol w:w="1246"/>
        <w:gridCol w:w="756"/>
        <w:gridCol w:w="628"/>
      </w:tblGrid>
      <w:tr>
        <w:trPr>
          <w:trHeight w:val="285" w:hRule="atLeast"/>
        </w:trPr>
        <w:tc>
          <w:tcPr>
            <w:tcW w:w="8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一级指标</w:t>
            </w:r>
          </w:p>
        </w:tc>
        <w:tc>
          <w:tcPr>
            <w:tcW w:w="11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二级指标</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宋体" w:hAnsi="宋体" w:cs="宋体"/>
                <w:sz w:val="18"/>
                <w:szCs w:val="18"/>
              </w:rPr>
            </w:pPr>
            <w:r>
              <w:rPr>
                <w:rFonts w:hint="eastAsia" w:ascii="宋体" w:hAnsi="宋体" w:cs="宋体"/>
                <w:sz w:val="18"/>
                <w:szCs w:val="18"/>
              </w:rPr>
              <w:t>三级指标</w:t>
            </w:r>
          </w:p>
        </w:tc>
        <w:tc>
          <w:tcPr>
            <w:tcW w:w="992"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spacing w:line="240" w:lineRule="auto"/>
              <w:ind w:firstLine="360"/>
              <w:textAlignment w:val="center"/>
              <w:rPr>
                <w:rFonts w:ascii="宋体" w:hAnsi="宋体" w:cs="宋体"/>
                <w:sz w:val="18"/>
                <w:szCs w:val="18"/>
              </w:rPr>
            </w:pPr>
            <w:r>
              <w:rPr>
                <w:rFonts w:hint="eastAsia" w:ascii="宋体" w:hAnsi="宋体" w:cs="宋体"/>
                <w:sz w:val="18"/>
                <w:szCs w:val="18"/>
              </w:rPr>
              <w:t>权重</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jc w:val="center"/>
              <w:textAlignment w:val="center"/>
              <w:rPr>
                <w:rFonts w:ascii="宋体" w:hAnsi="宋体" w:cs="宋体"/>
                <w:sz w:val="18"/>
                <w:szCs w:val="18"/>
              </w:rPr>
            </w:pPr>
            <w:r>
              <w:rPr>
                <w:rFonts w:hint="eastAsia" w:ascii="宋体" w:hAnsi="宋体" w:cs="宋体"/>
                <w:sz w:val="18"/>
                <w:szCs w:val="18"/>
              </w:rPr>
              <w:t>目标值</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实际完成值</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完成率</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得分</w:t>
            </w:r>
          </w:p>
        </w:tc>
      </w:tr>
      <w:tr>
        <w:tblPrEx>
          <w:tblCellMar>
            <w:top w:w="0" w:type="dxa"/>
            <w:left w:w="0" w:type="dxa"/>
            <w:bottom w:w="0" w:type="dxa"/>
            <w:right w:w="0" w:type="dxa"/>
          </w:tblCellMar>
        </w:tblPrEx>
        <w:trPr>
          <w:trHeight w:val="420" w:hRule="atLeast"/>
        </w:trPr>
        <w:tc>
          <w:tcPr>
            <w:tcW w:w="86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rPr>
                <w:rFonts w:ascii="宋体" w:hAnsi="宋体" w:cs="宋体"/>
                <w:sz w:val="18"/>
                <w:szCs w:val="18"/>
              </w:rPr>
            </w:pPr>
            <w:r>
              <w:rPr>
                <w:rFonts w:hint="eastAsia" w:ascii="宋体" w:hAnsi="宋体" w:cs="宋体"/>
                <w:sz w:val="18"/>
                <w:szCs w:val="18"/>
              </w:rPr>
              <w:t>效益指标（25分）</w:t>
            </w:r>
          </w:p>
        </w:tc>
        <w:tc>
          <w:tcPr>
            <w:tcW w:w="113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240" w:lineRule="auto"/>
              <w:ind w:firstLine="0" w:firstLineChars="0"/>
              <w:rPr>
                <w:rFonts w:ascii="宋体" w:hAnsi="宋体" w:cs="宋体"/>
                <w:sz w:val="18"/>
                <w:szCs w:val="18"/>
              </w:rPr>
            </w:pPr>
            <w:r>
              <w:rPr>
                <w:rFonts w:hint="eastAsia" w:ascii="宋体" w:hAnsi="宋体" w:cs="宋体"/>
                <w:sz w:val="18"/>
                <w:szCs w:val="18"/>
              </w:rPr>
              <w:t>经济效益指标</w:t>
            </w:r>
          </w:p>
        </w:tc>
        <w:tc>
          <w:tcPr>
            <w:tcW w:w="1701"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hint="eastAsia" w:ascii="宋体" w:hAnsi="宋体" w:cs="宋体"/>
                <w:sz w:val="18"/>
                <w:szCs w:val="18"/>
              </w:rPr>
              <w:t>1.拉动资金500万元（10分）。</w:t>
            </w:r>
          </w:p>
          <w:p>
            <w:pPr>
              <w:spacing w:line="240" w:lineRule="auto"/>
              <w:ind w:firstLine="0" w:firstLineChars="0"/>
              <w:textAlignment w:val="center"/>
              <w:rPr>
                <w:rFonts w:hint="eastAsia" w:ascii="宋体" w:hAnsi="宋体" w:cs="宋体"/>
                <w:sz w:val="18"/>
                <w:szCs w:val="18"/>
              </w:rPr>
            </w:pPr>
            <w:r>
              <w:rPr>
                <w:rFonts w:hint="eastAsia" w:ascii="宋体" w:hAnsi="宋体" w:cs="宋体"/>
                <w:sz w:val="18"/>
                <w:szCs w:val="18"/>
              </w:rPr>
              <w:t>2.新发现5处矿化点（5分）。</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rPr>
                <w:rFonts w:ascii="宋体" w:hAnsi="宋体" w:cs="宋体"/>
                <w:sz w:val="18"/>
                <w:szCs w:val="18"/>
              </w:rPr>
            </w:pPr>
            <w:r>
              <w:rPr>
                <w:rFonts w:hint="eastAsia" w:ascii="宋体" w:hAnsi="宋体" w:cs="宋体"/>
                <w:sz w:val="18"/>
                <w:szCs w:val="18"/>
              </w:rPr>
              <w:t>20　</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ascii="宋体" w:hAnsi="宋体" w:cs="宋体"/>
                <w:sz w:val="18"/>
                <w:szCs w:val="18"/>
              </w:rPr>
              <w:t>1.</w:t>
            </w:r>
            <w:r>
              <w:rPr>
                <w:rFonts w:hint="eastAsia" w:ascii="宋体" w:hAnsi="宋体" w:cs="宋体"/>
                <w:sz w:val="18"/>
                <w:szCs w:val="18"/>
              </w:rPr>
              <w:t xml:space="preserve"> </w:t>
            </w:r>
            <w:r>
              <w:rPr>
                <w:rFonts w:ascii="宋体" w:hAnsi="宋体" w:cs="宋体"/>
                <w:sz w:val="18"/>
                <w:szCs w:val="18"/>
              </w:rPr>
              <w:t>拉动资金：1039</w:t>
            </w:r>
            <w:r>
              <w:rPr>
                <w:rFonts w:hint="eastAsia" w:ascii="宋体" w:hAnsi="宋体" w:cs="宋体"/>
                <w:sz w:val="18"/>
                <w:szCs w:val="18"/>
              </w:rPr>
              <w:t>万元以上计</w:t>
            </w:r>
            <w:r>
              <w:rPr>
                <w:rFonts w:ascii="宋体" w:hAnsi="宋体" w:cs="宋体"/>
                <w:sz w:val="18"/>
                <w:szCs w:val="18"/>
              </w:rPr>
              <w:t>15</w:t>
            </w:r>
            <w:r>
              <w:rPr>
                <w:rFonts w:hint="eastAsia" w:ascii="宋体" w:hAnsi="宋体" w:cs="宋体"/>
                <w:sz w:val="18"/>
                <w:szCs w:val="18"/>
              </w:rPr>
              <w:t>分。</w:t>
            </w:r>
          </w:p>
          <w:p>
            <w:pPr>
              <w:spacing w:line="240" w:lineRule="auto"/>
              <w:ind w:firstLine="0" w:firstLineChars="0"/>
              <w:textAlignment w:val="center"/>
              <w:rPr>
                <w:rFonts w:ascii="宋体" w:hAnsi="宋体" w:cs="宋体"/>
                <w:sz w:val="18"/>
                <w:szCs w:val="18"/>
              </w:rPr>
            </w:pPr>
            <w:r>
              <w:rPr>
                <w:rFonts w:ascii="宋体" w:hAnsi="宋体" w:cs="宋体"/>
                <w:sz w:val="18"/>
                <w:szCs w:val="18"/>
              </w:rPr>
              <w:t>2.</w:t>
            </w:r>
            <w:r>
              <w:rPr>
                <w:rFonts w:hint="eastAsia" w:ascii="宋体" w:hAnsi="宋体" w:cs="宋体"/>
                <w:sz w:val="18"/>
                <w:szCs w:val="18"/>
              </w:rPr>
              <w:t>新发现矿化点5处，总计</w:t>
            </w:r>
            <w:r>
              <w:rPr>
                <w:rFonts w:ascii="宋体" w:hAnsi="宋体" w:cs="宋体"/>
                <w:sz w:val="18"/>
                <w:szCs w:val="18"/>
              </w:rPr>
              <w:t>5</w:t>
            </w:r>
            <w:r>
              <w:rPr>
                <w:rFonts w:hint="eastAsia" w:ascii="宋体" w:hAnsi="宋体" w:cs="宋体"/>
                <w:sz w:val="18"/>
                <w:szCs w:val="18"/>
              </w:rPr>
              <w:t>分。</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rPr>
                <w:rFonts w:ascii="宋体" w:hAnsi="宋体" w:cs="宋体"/>
                <w:sz w:val="18"/>
                <w:szCs w:val="18"/>
              </w:rPr>
            </w:pPr>
            <w:r>
              <w:rPr>
                <w:rFonts w:hint="eastAsia" w:ascii="宋体" w:hAnsi="宋体" w:cs="宋体"/>
                <w:sz w:val="18"/>
                <w:szCs w:val="18"/>
              </w:rPr>
              <w:t>1</w:t>
            </w:r>
            <w:r>
              <w:rPr>
                <w:rFonts w:ascii="宋体" w:hAnsi="宋体" w:cs="宋体"/>
                <w:sz w:val="18"/>
                <w:szCs w:val="18"/>
              </w:rPr>
              <w:t>00%</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ascii="宋体" w:hAnsi="宋体" w:cs="宋体"/>
                <w:sz w:val="18"/>
                <w:szCs w:val="18"/>
              </w:rPr>
              <w:t>100</w:t>
            </w:r>
            <w:r>
              <w:rPr>
                <w:rFonts w:hint="eastAsia" w:ascii="宋体" w:hAnsi="宋体" w:cs="宋体"/>
                <w:sz w:val="18"/>
                <w:szCs w:val="18"/>
              </w:rPr>
              <w:t>%</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rPr>
                <w:rFonts w:ascii="宋体" w:hAnsi="宋体" w:cs="宋体"/>
                <w:sz w:val="18"/>
                <w:szCs w:val="18"/>
              </w:rPr>
            </w:pPr>
            <w:r>
              <w:rPr>
                <w:rFonts w:ascii="宋体" w:hAnsi="宋体" w:cs="宋体"/>
                <w:sz w:val="18"/>
                <w:szCs w:val="18"/>
              </w:rPr>
              <w:t>20</w:t>
            </w:r>
          </w:p>
        </w:tc>
      </w:tr>
      <w:tr>
        <w:tblPrEx>
          <w:tblCellMar>
            <w:top w:w="0" w:type="dxa"/>
            <w:left w:w="0" w:type="dxa"/>
            <w:bottom w:w="0" w:type="dxa"/>
            <w:right w:w="0" w:type="dxa"/>
          </w:tblCellMar>
        </w:tblPrEx>
        <w:trPr>
          <w:trHeight w:val="315" w:hRule="atLeast"/>
        </w:trPr>
        <w:tc>
          <w:tcPr>
            <w:tcW w:w="861" w:type="dxa"/>
            <w:vMerge w:val="continue"/>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spacing w:line="240" w:lineRule="auto"/>
              <w:ind w:firstLine="360"/>
              <w:rPr>
                <w:rFonts w:ascii="宋体" w:hAnsi="宋体" w:cs="宋体"/>
                <w:sz w:val="18"/>
                <w:szCs w:val="18"/>
              </w:rPr>
            </w:pPr>
          </w:p>
        </w:tc>
        <w:tc>
          <w:tcPr>
            <w:tcW w:w="113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auto"/>
              <w:ind w:firstLine="0" w:firstLineChars="0"/>
              <w:rPr>
                <w:rFonts w:ascii="宋体" w:hAnsi="宋体" w:cs="宋体"/>
                <w:sz w:val="18"/>
                <w:szCs w:val="18"/>
              </w:rPr>
            </w:pPr>
            <w:r>
              <w:rPr>
                <w:rFonts w:hint="eastAsia" w:ascii="宋体" w:hAnsi="宋体" w:cs="宋体"/>
                <w:sz w:val="18"/>
                <w:szCs w:val="18"/>
              </w:rPr>
              <w:t>社会效益分析</w:t>
            </w:r>
          </w:p>
        </w:tc>
        <w:tc>
          <w:tcPr>
            <w:tcW w:w="1701"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240" w:lineRule="auto"/>
              <w:ind w:firstLine="0" w:firstLineChars="0"/>
              <w:textAlignment w:val="center"/>
              <w:rPr>
                <w:rFonts w:ascii="宋体" w:hAnsi="宋体" w:cs="宋体"/>
                <w:sz w:val="18"/>
                <w:szCs w:val="18"/>
              </w:rPr>
            </w:pPr>
            <w:r>
              <w:rPr>
                <w:rFonts w:ascii="宋体" w:hAnsi="宋体" w:cs="宋体"/>
                <w:sz w:val="18"/>
                <w:szCs w:val="18"/>
              </w:rPr>
              <w:t>1.</w:t>
            </w:r>
            <w:r>
              <w:rPr>
                <w:rFonts w:hint="eastAsia" w:ascii="宋体" w:hAnsi="宋体" w:cs="宋体"/>
                <w:sz w:val="18"/>
                <w:szCs w:val="18"/>
              </w:rPr>
              <w:t xml:space="preserve"> 为青河县提供</w:t>
            </w:r>
            <w:r>
              <w:rPr>
                <w:rFonts w:ascii="宋体" w:hAnsi="宋体" w:cs="宋体"/>
                <w:sz w:val="18"/>
                <w:szCs w:val="18"/>
              </w:rPr>
              <w:t>2</w:t>
            </w:r>
            <w:r>
              <w:rPr>
                <w:rFonts w:hint="eastAsia" w:ascii="宋体" w:hAnsi="宋体" w:cs="宋体"/>
                <w:sz w:val="18"/>
                <w:szCs w:val="18"/>
              </w:rPr>
              <w:t>-</w:t>
            </w:r>
            <w:r>
              <w:rPr>
                <w:rFonts w:ascii="宋体" w:hAnsi="宋体" w:cs="宋体"/>
                <w:sz w:val="18"/>
                <w:szCs w:val="18"/>
              </w:rPr>
              <w:t>3</w:t>
            </w:r>
            <w:r>
              <w:rPr>
                <w:rFonts w:hint="eastAsia" w:ascii="宋体" w:hAnsi="宋体" w:cs="宋体"/>
                <w:sz w:val="18"/>
                <w:szCs w:val="18"/>
              </w:rPr>
              <w:t>处可进一步工作的铜金矿勘查靶区。</w:t>
            </w:r>
            <w:r>
              <w:rPr>
                <w:rFonts w:ascii="宋体" w:hAnsi="宋体" w:cs="宋体"/>
                <w:sz w:val="18"/>
                <w:szCs w:val="18"/>
              </w:rPr>
              <w:t>总计2</w:t>
            </w:r>
            <w:r>
              <w:rPr>
                <w:rFonts w:hint="eastAsia" w:ascii="宋体" w:hAnsi="宋体" w:cs="宋体"/>
                <w:sz w:val="18"/>
                <w:szCs w:val="18"/>
              </w:rPr>
              <w:t>分。</w:t>
            </w:r>
          </w:p>
          <w:p>
            <w:pPr>
              <w:spacing w:line="240" w:lineRule="auto"/>
              <w:ind w:firstLine="0" w:firstLineChars="0"/>
              <w:rPr>
                <w:rFonts w:ascii="宋体" w:hAnsi="宋体" w:cs="宋体"/>
                <w:sz w:val="18"/>
                <w:szCs w:val="18"/>
              </w:rPr>
            </w:pPr>
            <w:r>
              <w:rPr>
                <w:rFonts w:ascii="宋体" w:hAnsi="宋体" w:cs="宋体"/>
                <w:sz w:val="18"/>
                <w:szCs w:val="18"/>
              </w:rPr>
              <w:t>2.</w:t>
            </w:r>
            <w:r>
              <w:rPr>
                <w:rFonts w:hint="eastAsia" w:ascii="宋体" w:hAnsi="宋体" w:cs="宋体"/>
                <w:sz w:val="18"/>
                <w:szCs w:val="18"/>
              </w:rPr>
              <w:t xml:space="preserve"> 雇佣当地牧民2-3人参与野外工作，提高当地牧民收入。</w:t>
            </w:r>
            <w:r>
              <w:rPr>
                <w:rFonts w:ascii="宋体" w:hAnsi="宋体" w:cs="宋体"/>
                <w:sz w:val="18"/>
                <w:szCs w:val="18"/>
              </w:rPr>
              <w:t>总计</w:t>
            </w:r>
            <w:r>
              <w:rPr>
                <w:rFonts w:hint="eastAsia" w:ascii="宋体" w:hAnsi="宋体" w:cs="宋体"/>
                <w:sz w:val="18"/>
                <w:szCs w:val="18"/>
              </w:rPr>
              <w:t>3分。1.聘用当地群众作为临时工参与项目工作（3分）</w:t>
            </w:r>
          </w:p>
        </w:tc>
        <w:tc>
          <w:tcPr>
            <w:tcW w:w="99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5</w:t>
            </w:r>
          </w:p>
        </w:tc>
        <w:tc>
          <w:tcPr>
            <w:tcW w:w="15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textAlignment w:val="center"/>
              <w:rPr>
                <w:rFonts w:ascii="宋体" w:hAnsi="宋体" w:cs="宋体"/>
                <w:sz w:val="18"/>
                <w:szCs w:val="18"/>
              </w:rPr>
            </w:pPr>
            <w:r>
              <w:rPr>
                <w:rFonts w:ascii="宋体" w:hAnsi="宋体" w:cs="宋体"/>
                <w:sz w:val="18"/>
                <w:szCs w:val="18"/>
              </w:rPr>
              <w:t>1.</w:t>
            </w:r>
            <w:r>
              <w:rPr>
                <w:rFonts w:hint="eastAsia" w:ascii="宋体" w:hAnsi="宋体" w:cs="宋体"/>
                <w:sz w:val="18"/>
                <w:szCs w:val="18"/>
              </w:rPr>
              <w:t xml:space="preserve"> 为青河县提供</w:t>
            </w:r>
            <w:r>
              <w:rPr>
                <w:rFonts w:ascii="宋体" w:hAnsi="宋体" w:cs="宋体"/>
                <w:sz w:val="18"/>
                <w:szCs w:val="18"/>
              </w:rPr>
              <w:t>3-5</w:t>
            </w:r>
            <w:r>
              <w:rPr>
                <w:rFonts w:hint="eastAsia" w:ascii="宋体" w:hAnsi="宋体" w:cs="宋体"/>
                <w:sz w:val="18"/>
                <w:szCs w:val="18"/>
              </w:rPr>
              <w:t>处可进一步工作的铜金矿勘查靶区。</w:t>
            </w:r>
            <w:r>
              <w:rPr>
                <w:rFonts w:ascii="宋体" w:hAnsi="宋体" w:cs="宋体"/>
                <w:sz w:val="18"/>
                <w:szCs w:val="18"/>
              </w:rPr>
              <w:t>总计2</w:t>
            </w:r>
            <w:r>
              <w:rPr>
                <w:rFonts w:hint="eastAsia" w:ascii="宋体" w:hAnsi="宋体" w:cs="宋体"/>
                <w:sz w:val="18"/>
                <w:szCs w:val="18"/>
              </w:rPr>
              <w:t>分。</w:t>
            </w:r>
          </w:p>
          <w:p>
            <w:pPr>
              <w:spacing w:line="240" w:lineRule="auto"/>
              <w:ind w:firstLine="0" w:firstLineChars="0"/>
              <w:rPr>
                <w:rFonts w:ascii="宋体" w:hAnsi="宋体" w:cs="宋体"/>
                <w:sz w:val="18"/>
                <w:szCs w:val="18"/>
              </w:rPr>
            </w:pPr>
            <w:r>
              <w:rPr>
                <w:rFonts w:ascii="宋体" w:hAnsi="宋体" w:cs="宋体"/>
                <w:sz w:val="18"/>
                <w:szCs w:val="18"/>
              </w:rPr>
              <w:t>2.</w:t>
            </w:r>
            <w:r>
              <w:rPr>
                <w:rFonts w:hint="eastAsia" w:ascii="宋体" w:hAnsi="宋体" w:cs="宋体"/>
                <w:sz w:val="18"/>
                <w:szCs w:val="18"/>
              </w:rPr>
              <w:t xml:space="preserve"> 雇佣当地牧民2-3人参与野外工作，提高当地牧民收入。</w:t>
            </w:r>
          </w:p>
        </w:tc>
        <w:tc>
          <w:tcPr>
            <w:tcW w:w="12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rPr>
                <w:rFonts w:ascii="宋体" w:hAnsi="宋体" w:cs="宋体"/>
                <w:sz w:val="18"/>
                <w:szCs w:val="18"/>
              </w:rPr>
            </w:pPr>
            <w:r>
              <w:rPr>
                <w:rFonts w:hint="eastAsia" w:ascii="宋体" w:hAnsi="宋体" w:cs="宋体"/>
                <w:sz w:val="18"/>
                <w:szCs w:val="18"/>
              </w:rPr>
              <w:t>1</w:t>
            </w:r>
            <w:r>
              <w:rPr>
                <w:rFonts w:ascii="宋体" w:hAnsi="宋体" w:cs="宋体"/>
                <w:sz w:val="18"/>
                <w:szCs w:val="18"/>
              </w:rPr>
              <w:t>00%</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ascii="宋体" w:hAnsi="宋体" w:cs="宋体"/>
                <w:sz w:val="18"/>
                <w:szCs w:val="18"/>
              </w:rPr>
              <w:t>100</w:t>
            </w:r>
            <w:r>
              <w:rPr>
                <w:rFonts w:hint="eastAsia" w:ascii="宋体" w:hAnsi="宋体" w:cs="宋体"/>
                <w:sz w:val="18"/>
                <w:szCs w:val="18"/>
              </w:rPr>
              <w:t>%</w:t>
            </w:r>
          </w:p>
        </w:tc>
        <w:tc>
          <w:tcPr>
            <w:tcW w:w="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240" w:lineRule="auto"/>
              <w:ind w:firstLine="360"/>
              <w:rPr>
                <w:rFonts w:ascii="宋体" w:hAnsi="宋体" w:cs="宋体"/>
                <w:sz w:val="18"/>
                <w:szCs w:val="18"/>
              </w:rPr>
            </w:pPr>
            <w:r>
              <w:rPr>
                <w:rFonts w:ascii="宋体" w:hAnsi="宋体" w:cs="宋体"/>
                <w:sz w:val="18"/>
                <w:szCs w:val="18"/>
              </w:rPr>
              <w:t>5</w:t>
            </w:r>
            <w:r>
              <w:rPr>
                <w:rFonts w:hint="eastAsia" w:ascii="宋体" w:hAnsi="宋体" w:cs="宋体"/>
                <w:sz w:val="18"/>
                <w:szCs w:val="18"/>
              </w:rPr>
              <w:t>　</w:t>
            </w:r>
          </w:p>
        </w:tc>
      </w:tr>
    </w:tbl>
    <w:p>
      <w:pPr>
        <w:ind w:firstLine="560"/>
        <w:rPr>
          <w:rFonts w:hint="eastAsia"/>
          <w:lang w:eastAsia="zh-CN"/>
        </w:rPr>
      </w:pPr>
    </w:p>
    <w:p>
      <w:pPr>
        <w:numPr>
          <w:ilvl w:val="0"/>
          <w:numId w:val="4"/>
        </w:numPr>
        <w:ind w:firstLine="578"/>
        <w:rPr>
          <w:rFonts w:ascii="黑体" w:hAnsi="黑体" w:eastAsia="黑体" w:cs="黑体"/>
          <w:b/>
          <w:bCs/>
          <w:spacing w:val="-2"/>
          <w:position w:val="21"/>
          <w:sz w:val="29"/>
          <w:szCs w:val="29"/>
          <w:lang w:eastAsia="zh-CN"/>
        </w:rPr>
      </w:pPr>
      <w:r>
        <w:rPr>
          <w:rFonts w:ascii="黑体" w:hAnsi="黑体" w:eastAsia="黑体" w:cs="黑体"/>
          <w:b/>
          <w:bCs/>
          <w:spacing w:val="-2"/>
          <w:position w:val="21"/>
          <w:sz w:val="29"/>
          <w:szCs w:val="29"/>
          <w:lang w:eastAsia="zh-CN"/>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0" w:firstLineChars="200"/>
        <w:textAlignment w:val="baseline"/>
        <w:rPr>
          <w:rStyle w:val="9"/>
          <w:rFonts w:hint="eastAsia" w:ascii="仿宋" w:hAnsi="仿宋" w:eastAsia="仿宋" w:cs="仿宋"/>
          <w:b w:val="0"/>
          <w:bCs w:val="0"/>
          <w:spacing w:val="-4"/>
          <w:sz w:val="29"/>
          <w:szCs w:val="29"/>
        </w:rPr>
      </w:pPr>
      <w:r>
        <w:rPr>
          <w:rFonts w:hint="eastAsia"/>
          <w:lang w:val="en-US" w:eastAsia="zh-CN"/>
        </w:rPr>
        <w:t xml:space="preserve">     </w:t>
      </w:r>
      <w:r>
        <w:rPr>
          <w:rStyle w:val="9"/>
          <w:rFonts w:hint="eastAsia" w:ascii="仿宋" w:hAnsi="仿宋" w:eastAsia="仿宋" w:cs="仿宋"/>
          <w:b w:val="0"/>
          <w:bCs w:val="0"/>
          <w:spacing w:val="-4"/>
          <w:sz w:val="29"/>
          <w:szCs w:val="29"/>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9"/>
          <w:rFonts w:hint="eastAsia" w:ascii="仿宋" w:hAnsi="仿宋" w:eastAsia="仿宋" w:cs="仿宋"/>
          <w:b w:val="0"/>
          <w:bCs w:val="0"/>
          <w:spacing w:val="-4"/>
          <w:sz w:val="29"/>
          <w:szCs w:val="29"/>
          <w:lang w:eastAsia="zh-CN"/>
        </w:rPr>
      </w:pPr>
      <w:r>
        <w:rPr>
          <w:rStyle w:val="9"/>
          <w:rFonts w:hint="eastAsia" w:ascii="仿宋" w:hAnsi="仿宋" w:eastAsia="仿宋" w:cs="仿宋"/>
          <w:b w:val="0"/>
          <w:bCs w:val="0"/>
          <w:spacing w:val="-4"/>
          <w:sz w:val="29"/>
          <w:szCs w:val="29"/>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9"/>
          <w:rFonts w:hint="eastAsia" w:ascii="仿宋" w:hAnsi="仿宋" w:eastAsia="仿宋" w:cs="仿宋"/>
          <w:b w:val="0"/>
          <w:bCs w:val="0"/>
          <w:spacing w:val="-4"/>
          <w:sz w:val="29"/>
          <w:szCs w:val="29"/>
        </w:rPr>
      </w:pPr>
      <w:r>
        <w:rPr>
          <w:rStyle w:val="9"/>
          <w:rFonts w:hint="eastAsia" w:ascii="仿宋" w:hAnsi="仿宋" w:eastAsia="仿宋" w:cs="仿宋"/>
          <w:b w:val="0"/>
          <w:bCs w:val="0"/>
          <w:spacing w:val="-4"/>
          <w:sz w:val="29"/>
          <w:szCs w:val="29"/>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80" w:firstLineChars="200"/>
        <w:contextualSpacing/>
        <w:textAlignment w:val="baseline"/>
        <w:rPr>
          <w:rFonts w:hint="eastAsia" w:ascii="仿宋" w:hAnsi="仿宋" w:eastAsia="仿宋" w:cs="仿宋"/>
          <w:color w:val="333333"/>
          <w:sz w:val="29"/>
          <w:szCs w:val="29"/>
          <w:lang w:eastAsia="zh-CN"/>
        </w:rPr>
      </w:pPr>
      <w:r>
        <w:rPr>
          <w:rFonts w:hint="eastAsia" w:ascii="仿宋" w:hAnsi="仿宋" w:eastAsia="仿宋" w:cs="仿宋"/>
          <w:color w:val="333333"/>
          <w:sz w:val="29"/>
          <w:szCs w:val="29"/>
          <w:lang w:eastAsia="zh-CN"/>
        </w:rPr>
        <w:t>在预算编制过程中，存在不可预见性与不可抗力，需要充分考虑实际情况，与实际情况相结合，确保全年目标任务的完成。</w:t>
      </w:r>
    </w:p>
    <w:p>
      <w:pPr>
        <w:pStyle w:val="6"/>
        <w:numPr>
          <w:ilvl w:val="0"/>
          <w:numId w:val="0"/>
        </w:numPr>
        <w:rPr>
          <w:lang w:val="en-US" w:eastAsia="zh-CN"/>
        </w:rPr>
      </w:pPr>
    </w:p>
    <w:p>
      <w:pPr>
        <w:numPr>
          <w:ilvl w:val="0"/>
          <w:numId w:val="0"/>
        </w:numPr>
        <w:spacing w:line="221" w:lineRule="auto"/>
        <w:ind w:leftChars="200"/>
        <w:rPr>
          <w:rFonts w:ascii="黑体" w:hAnsi="黑体" w:eastAsia="黑体" w:cs="黑体"/>
          <w:b/>
          <w:bCs/>
          <w:spacing w:val="-12"/>
          <w:sz w:val="29"/>
          <w:szCs w:val="29"/>
          <w:lang w:eastAsia="zh-CN"/>
        </w:rPr>
      </w:pPr>
      <w:r>
        <w:rPr>
          <w:rFonts w:hint="eastAsia" w:ascii="黑体" w:hAnsi="黑体" w:eastAsia="黑体" w:cs="黑体"/>
          <w:b/>
          <w:bCs/>
          <w:spacing w:val="-12"/>
          <w:sz w:val="29"/>
          <w:szCs w:val="29"/>
          <w:lang w:eastAsia="zh-CN"/>
        </w:rPr>
        <w:t>六、</w:t>
      </w:r>
      <w:r>
        <w:rPr>
          <w:rFonts w:ascii="黑体" w:hAnsi="黑体" w:eastAsia="黑体" w:cs="黑体"/>
          <w:b/>
          <w:bCs/>
          <w:spacing w:val="-12"/>
          <w:sz w:val="29"/>
          <w:szCs w:val="29"/>
          <w:lang w:eastAsia="zh-CN"/>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0" w:firstLineChars="200"/>
        <w:textAlignment w:val="baseline"/>
        <w:rPr>
          <w:rStyle w:val="9"/>
          <w:rFonts w:hint="eastAsia" w:ascii="仿宋" w:hAnsi="仿宋" w:eastAsia="仿宋" w:cs="仿宋"/>
          <w:b w:val="0"/>
          <w:bCs w:val="0"/>
          <w:spacing w:val="-4"/>
          <w:sz w:val="29"/>
          <w:szCs w:val="29"/>
          <w:lang w:val="en-US" w:eastAsia="zh-CN"/>
        </w:rPr>
      </w:pPr>
      <w:r>
        <w:rPr>
          <w:rFonts w:hint="eastAsia"/>
          <w:lang w:val="en-US" w:eastAsia="zh-CN"/>
        </w:rPr>
        <w:t xml:space="preserve"> </w:t>
      </w:r>
      <w:r>
        <w:rPr>
          <w:rStyle w:val="9"/>
          <w:rFonts w:hint="eastAsia" w:ascii="仿宋" w:hAnsi="仿宋" w:eastAsia="仿宋" w:cs="仿宋"/>
          <w:b w:val="0"/>
          <w:bCs w:val="0"/>
          <w:spacing w:val="-4"/>
          <w:sz w:val="29"/>
          <w:szCs w:val="29"/>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在项目立项时需要进一步细化落实，做到充分掌握情况，避免出现预算和实际偏差较大的情况出现。</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加强采购资金的管理，通过招投标方式控制采购成本。严格按照合同支付程序办理资金支付。</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9"/>
          <w:rFonts w:hint="eastAsia" w:ascii="仿宋" w:hAnsi="仿宋" w:eastAsia="仿宋" w:cs="仿宋"/>
          <w:b w:val="0"/>
          <w:bCs w:val="0"/>
          <w:spacing w:val="-4"/>
          <w:sz w:val="29"/>
          <w:szCs w:val="29"/>
          <w:lang w:val="en-US" w:eastAsia="zh-CN"/>
        </w:rPr>
      </w:pPr>
      <w:r>
        <w:rPr>
          <w:rStyle w:val="9"/>
          <w:rFonts w:hint="eastAsia" w:ascii="仿宋" w:hAnsi="仿宋" w:eastAsia="仿宋" w:cs="仿宋"/>
          <w:b w:val="0"/>
          <w:bCs w:val="0"/>
          <w:spacing w:val="-4"/>
          <w:sz w:val="29"/>
          <w:szCs w:val="29"/>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Fonts w:ascii="黑体" w:hAnsi="黑体" w:eastAsia="黑体" w:cs="黑体"/>
          <w:b/>
          <w:bCs/>
          <w:spacing w:val="3"/>
          <w:sz w:val="29"/>
          <w:szCs w:val="29"/>
          <w:lang w:eastAsia="zh-CN"/>
        </w:rPr>
      </w:pPr>
      <w:r>
        <w:rPr>
          <w:rStyle w:val="9"/>
          <w:rFonts w:hint="eastAsia" w:ascii="仿宋" w:hAnsi="仿宋" w:eastAsia="仿宋" w:cs="仿宋"/>
          <w:b w:val="0"/>
          <w:bCs w:val="0"/>
          <w:spacing w:val="-4"/>
          <w:sz w:val="29"/>
          <w:szCs w:val="29"/>
          <w:lang w:val="en-US" w:eastAsia="zh-CN"/>
        </w:rPr>
        <w:t>做好预算基础以及前期资料收集工作，加强资金管理，合理编制预算。</w:t>
      </w:r>
    </w:p>
    <w:p>
      <w:pPr>
        <w:spacing w:before="261" w:line="221" w:lineRule="auto"/>
        <w:ind w:left="0" w:leftChars="0" w:firstLine="0" w:firstLineChars="0"/>
        <w:outlineLvl w:val="1"/>
        <w:rPr>
          <w:rFonts w:ascii="黑体" w:hAnsi="黑体" w:eastAsia="黑体" w:cs="黑体"/>
          <w:b/>
          <w:bCs/>
          <w:spacing w:val="3"/>
          <w:sz w:val="29"/>
          <w:szCs w:val="29"/>
          <w:lang w:eastAsia="zh-CN"/>
        </w:rPr>
      </w:pPr>
      <w:r>
        <w:rPr>
          <w:rFonts w:hint="eastAsia" w:ascii="黑体" w:hAnsi="黑体" w:eastAsia="黑体" w:cs="黑体"/>
          <w:b/>
          <w:bCs/>
          <w:spacing w:val="3"/>
          <w:sz w:val="29"/>
          <w:szCs w:val="29"/>
          <w:lang w:val="en-US" w:eastAsia="zh-CN"/>
        </w:rPr>
        <w:t xml:space="preserve">    </w:t>
      </w:r>
      <w:r>
        <w:rPr>
          <w:rFonts w:ascii="黑体" w:hAnsi="黑体" w:eastAsia="黑体" w:cs="黑体"/>
          <w:b/>
          <w:bCs/>
          <w:spacing w:val="3"/>
          <w:sz w:val="29"/>
          <w:szCs w:val="29"/>
          <w:lang w:eastAsia="zh-CN"/>
        </w:rPr>
        <w:t>七、其他需要说明的问题</w:t>
      </w:r>
    </w:p>
    <w:p>
      <w:pPr>
        <w:pStyle w:val="5"/>
        <w:spacing w:line="240" w:lineRule="auto"/>
        <w:ind w:left="0" w:leftChars="0" w:firstLine="0" w:firstLineChars="0"/>
        <w:rPr>
          <w:sz w:val="31"/>
          <w:szCs w:val="31"/>
          <w:lang w:eastAsia="zh-CN"/>
        </w:rPr>
      </w:pPr>
    </w:p>
    <w:sectPr>
      <w:footerReference r:id="rId5" w:type="default"/>
      <w:pgSz w:w="11900" w:h="16840"/>
      <w:pgMar w:top="1431"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ind w:firstLine="4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7C9AC"/>
    <w:multiLevelType w:val="singleLevel"/>
    <w:tmpl w:val="88A7C9AC"/>
    <w:lvl w:ilvl="0" w:tentative="0">
      <w:start w:val="2"/>
      <w:numFmt w:val="chineseCounting"/>
      <w:lvlText w:val="(%1)"/>
      <w:lvlJc w:val="left"/>
      <w:pPr>
        <w:tabs>
          <w:tab w:val="left" w:pos="312"/>
        </w:tabs>
      </w:pPr>
      <w:rPr>
        <w:rFonts w:hint="eastAsia"/>
      </w:rPr>
    </w:lvl>
  </w:abstractNum>
  <w:abstractNum w:abstractNumId="1">
    <w:nsid w:val="9CB01A4B"/>
    <w:multiLevelType w:val="singleLevel"/>
    <w:tmpl w:val="9CB01A4B"/>
    <w:lvl w:ilvl="0" w:tentative="0">
      <w:start w:val="2"/>
      <w:numFmt w:val="chineseCounting"/>
      <w:suff w:val="nothing"/>
      <w:lvlText w:val="（%1）"/>
      <w:lvlJc w:val="left"/>
      <w:rPr>
        <w:rFonts w:hint="eastAsia"/>
      </w:rPr>
    </w:lvl>
  </w:abstractNum>
  <w:abstractNum w:abstractNumId="2">
    <w:nsid w:val="D7D6592C"/>
    <w:multiLevelType w:val="singleLevel"/>
    <w:tmpl w:val="D7D6592C"/>
    <w:lvl w:ilvl="0" w:tentative="0">
      <w:start w:val="4"/>
      <w:numFmt w:val="decimal"/>
      <w:suff w:val="nothing"/>
      <w:lvlText w:val="%1、"/>
      <w:lvlJc w:val="left"/>
    </w:lvl>
  </w:abstractNum>
  <w:abstractNum w:abstractNumId="3">
    <w:nsid w:val="00000005"/>
    <w:multiLevelType w:val="singleLevel"/>
    <w:tmpl w:val="00000005"/>
    <w:lvl w:ilvl="0" w:tentative="0">
      <w:start w:val="2"/>
      <w:numFmt w:val="decimal"/>
      <w:suff w:val="nothing"/>
      <w:lvlText w:val="%1."/>
      <w:lvlJc w:val="left"/>
    </w:lvl>
  </w:abstractNum>
  <w:abstractNum w:abstractNumId="4">
    <w:nsid w:val="00000006"/>
    <w:multiLevelType w:val="singleLevel"/>
    <w:tmpl w:val="00000006"/>
    <w:lvl w:ilvl="0" w:tentative="0">
      <w:start w:val="4"/>
      <w:numFmt w:val="decimal"/>
      <w:suff w:val="nothing"/>
      <w:lvlText w:val="%1."/>
      <w:lvlJc w:val="left"/>
    </w:lvl>
  </w:abstractNum>
  <w:abstractNum w:abstractNumId="5">
    <w:nsid w:val="65F27577"/>
    <w:multiLevelType w:val="singleLevel"/>
    <w:tmpl w:val="65F27577"/>
    <w:lvl w:ilvl="0" w:tentative="0">
      <w:start w:val="5"/>
      <w:numFmt w:val="chineseCounting"/>
      <w:suff w:val="space"/>
      <w:lvlText w:val="%1、"/>
      <w:lvlJc w:val="left"/>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NDEyZmRiNzA5YTY3Y2RiMWRiNmUwNWEyMDE0YjYyZmUifQ=="/>
  </w:docVars>
  <w:rsids>
    <w:rsidRoot w:val="00A66F81"/>
    <w:rsid w:val="000473B5"/>
    <w:rsid w:val="000D4211"/>
    <w:rsid w:val="005055D7"/>
    <w:rsid w:val="0079729A"/>
    <w:rsid w:val="007D0C64"/>
    <w:rsid w:val="008D54EC"/>
    <w:rsid w:val="00A24296"/>
    <w:rsid w:val="00A66F81"/>
    <w:rsid w:val="00F20107"/>
    <w:rsid w:val="19D90DF0"/>
    <w:rsid w:val="19F64DBC"/>
    <w:rsid w:val="2C383285"/>
    <w:rsid w:val="2CA67EC2"/>
    <w:rsid w:val="3AAC1209"/>
    <w:rsid w:val="3DBF3ABF"/>
    <w:rsid w:val="40363104"/>
    <w:rsid w:val="58C90835"/>
    <w:rsid w:val="5A3C12FC"/>
    <w:rsid w:val="5DB80555"/>
    <w:rsid w:val="5FC75AF3"/>
    <w:rsid w:val="62431C9B"/>
    <w:rsid w:val="6E03231B"/>
    <w:rsid w:val="74370CEB"/>
    <w:rsid w:val="785C7C2C"/>
    <w:rsid w:val="7B5F2DBC"/>
    <w:rsid w:val="7D445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ind w:firstLine="420" w:firstLineChars="200"/>
      <w:textAlignment w:val="baseline"/>
    </w:pPr>
    <w:rPr>
      <w:rFonts w:ascii="Arial" w:hAnsi="Arial" w:eastAsia="仿宋" w:cs="Arial"/>
      <w:snapToGrid w:val="0"/>
      <w:color w:val="000000"/>
      <w:sz w:val="28"/>
      <w:szCs w:val="21"/>
      <w:lang w:val="en-US" w:eastAsia="en-US" w:bidi="ar-SA"/>
    </w:rPr>
  </w:style>
  <w:style w:type="paragraph" w:styleId="2">
    <w:name w:val="heading 1"/>
    <w:basedOn w:val="1"/>
    <w:next w:val="1"/>
    <w:qFormat/>
    <w:uiPriority w:val="0"/>
    <w:pPr>
      <w:keepNext/>
      <w:keepLines/>
      <w:spacing w:before="50" w:beforeLines="50" w:after="50" w:afterLines="50"/>
      <w:outlineLvl w:val="0"/>
    </w:pPr>
    <w:rPr>
      <w:b/>
      <w:kern w:val="44"/>
      <w:sz w:val="30"/>
    </w:rPr>
  </w:style>
  <w:style w:type="paragraph" w:styleId="3">
    <w:name w:val="heading 2"/>
    <w:basedOn w:val="1"/>
    <w:next w:val="1"/>
    <w:unhideWhenUsed/>
    <w:qFormat/>
    <w:uiPriority w:val="0"/>
    <w:pPr>
      <w:keepNext/>
      <w:keepLines/>
      <w:spacing w:before="100" w:beforeLines="100" w:after="100" w:afterLines="100"/>
      <w:outlineLvl w:val="1"/>
    </w:pPr>
    <w:rPr>
      <w:b/>
    </w:rPr>
  </w:style>
  <w:style w:type="paragraph" w:styleId="4">
    <w:name w:val="heading 3"/>
    <w:basedOn w:val="1"/>
    <w:next w:val="1"/>
    <w:unhideWhenUsed/>
    <w:qFormat/>
    <w:uiPriority w:val="0"/>
    <w:pPr>
      <w:keepNext/>
      <w:keepLines/>
      <w:outlineLvl w:val="2"/>
    </w:pPr>
    <w:rPr>
      <w:b/>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5">
    <w:name w:val="Body Text"/>
    <w:basedOn w:val="1"/>
    <w:semiHidden/>
    <w:qFormat/>
    <w:uiPriority w:val="0"/>
    <w:rPr>
      <w:rFonts w:ascii="仿宋" w:hAnsi="仿宋" w:cs="仿宋"/>
      <w:sz w:val="35"/>
      <w:szCs w:val="35"/>
    </w:rPr>
  </w:style>
  <w:style w:type="paragraph" w:styleId="6">
    <w:name w:val="footnote text"/>
    <w:basedOn w:val="1"/>
    <w:link w:val="14"/>
    <w:qFormat/>
    <w:uiPriority w:val="0"/>
    <w:rPr>
      <w:sz w:val="18"/>
      <w:szCs w:val="18"/>
    </w:rPr>
  </w:style>
  <w:style w:type="character" w:styleId="9">
    <w:name w:val="Strong"/>
    <w:basedOn w:val="8"/>
    <w:qFormat/>
    <w:uiPriority w:val="0"/>
    <w:rPr>
      <w:b/>
      <w:bCs/>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eastAsia="Arial"/>
      <w:sz w:val="21"/>
    </w:rPr>
  </w:style>
  <w:style w:type="paragraph" w:customStyle="1" w:styleId="12">
    <w:name w:val="恰瓦报告表格"/>
    <w:basedOn w:val="1"/>
    <w:qFormat/>
    <w:uiPriority w:val="0"/>
    <w:pPr>
      <w:jc w:val="center"/>
    </w:pPr>
    <w:rPr>
      <w:rFonts w:ascii="宋体" w:eastAsia="宋体"/>
    </w:rPr>
  </w:style>
  <w:style w:type="paragraph" w:customStyle="1" w:styleId="13">
    <w:name w:val="列出段落1"/>
    <w:basedOn w:val="1"/>
    <w:qFormat/>
    <w:uiPriority w:val="0"/>
    <w:pPr>
      <w:ind w:left="720"/>
    </w:pPr>
    <w:rPr>
      <w:rFonts w:ascii="Calibri" w:hAnsi="Calibri" w:eastAsia="宋体"/>
      <w:sz w:val="24"/>
    </w:rPr>
  </w:style>
  <w:style w:type="character" w:customStyle="1" w:styleId="14">
    <w:name w:val="脚注文本 字符"/>
    <w:basedOn w:val="8"/>
    <w:link w:val="6"/>
    <w:qFormat/>
    <w:uiPriority w:val="0"/>
    <w:rPr>
      <w:rFonts w:eastAsia="仿宋"/>
      <w:snapToGrid w:val="0"/>
      <w:color w:val="000000"/>
      <w:sz w:val="18"/>
      <w:szCs w:val="18"/>
      <w:lang w:eastAsia="en-US"/>
    </w:rPr>
  </w:style>
  <w:style w:type="paragraph" w:customStyle="1" w:styleId="15">
    <w:name w:val="List Paragraph"/>
    <w:basedOn w:val="1"/>
    <w:qFormat/>
    <w:uiPriority w:val="99"/>
  </w:style>
  <w:style w:type="paragraph" w:customStyle="1" w:styleId="16">
    <w:name w:val="Table Paragraph"/>
    <w:basedOn w:val="1"/>
    <w:qFormat/>
    <w:uiPriority w:val="1"/>
    <w:pPr>
      <w:widowControl w:val="0"/>
      <w:kinsoku/>
      <w:snapToGrid/>
      <w:spacing w:line="240" w:lineRule="auto"/>
      <w:ind w:firstLine="0" w:firstLineChars="0"/>
      <w:textAlignment w:val="auto"/>
    </w:pPr>
    <w:rPr>
      <w:rFonts w:ascii="Times New Roman" w:hAnsi="Times New Roman" w:eastAsia="仿宋_GB2312" w:cs="Times New Roman"/>
      <w:snapToGrid/>
      <w:color w:val="auto"/>
      <w:sz w:val="24"/>
      <w:szCs w:val="24"/>
      <w:lang w:eastAsia="zh-CN"/>
    </w:rPr>
  </w:style>
  <w:style w:type="character" w:customStyle="1" w:styleId="17">
    <w:name w:val="font61"/>
    <w:basedOn w:val="8"/>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5124</Words>
  <Characters>5492</Characters>
  <Lines>30</Lines>
  <Paragraphs>8</Paragraphs>
  <TotalTime>8</TotalTime>
  <ScaleCrop>false</ScaleCrop>
  <LinksUpToDate>false</LinksUpToDate>
  <CharactersWithSpaces>5541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2024-08-27T04:17:18Z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2052-12.1.0.16910</vt:lpwstr>
  </property>
  <property fmtid="{D5CDD505-2E9C-101B-9397-08002B2CF9AE}" pid="6" name="ICV">
    <vt:lpwstr>924C99EF9D084FBB96CD0C7FB3E1FED1_12</vt:lpwstr>
  </property>
</Properties>
</file>