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ascii="宋体" w:hAnsi="宋体" w:eastAsia="宋体" w:cs="宋体"/>
          <w:b/>
          <w:bCs/>
          <w:spacing w:val="18"/>
          <w:sz w:val="23"/>
          <w:szCs w:val="23"/>
        </w:rPr>
      </w:pPr>
      <w:r>
        <w:rPr>
          <w:rFonts w:ascii="宋体" w:hAnsi="宋体" w:eastAsia="宋体" w:cs="宋体"/>
          <w:b/>
          <w:bCs/>
          <w:spacing w:val="18"/>
          <w:sz w:val="23"/>
          <w:szCs w:val="23"/>
        </w:rPr>
        <w:t>附件2</w:t>
      </w:r>
    </w:p>
    <w:p>
      <w:pPr>
        <w:spacing w:line="540" w:lineRule="exact"/>
        <w:jc w:val="both"/>
        <w:rPr>
          <w:rFonts w:ascii="宋体" w:hAnsi="宋体" w:eastAsia="宋体" w:cs="宋体"/>
          <w:b/>
          <w:bCs/>
          <w:spacing w:val="18"/>
          <w:sz w:val="23"/>
          <w:szCs w:val="23"/>
        </w:rPr>
      </w:pPr>
    </w:p>
    <w:p>
      <w:pPr>
        <w:spacing w:line="540" w:lineRule="exact"/>
        <w:jc w:val="both"/>
        <w:rPr>
          <w:rFonts w:ascii="宋体" w:hAnsi="宋体" w:eastAsia="宋体" w:cs="宋体"/>
          <w:b/>
          <w:bCs/>
          <w:spacing w:val="18"/>
          <w:sz w:val="23"/>
          <w:szCs w:val="23"/>
        </w:rPr>
      </w:pPr>
    </w:p>
    <w:p>
      <w:pPr>
        <w:pStyle w:val="8"/>
        <w:rPr>
          <w:rFonts w:ascii="宋体" w:hAnsi="宋体" w:eastAsia="宋体" w:cs="宋体"/>
          <w:sz w:val="23"/>
          <w:szCs w:val="23"/>
        </w:rPr>
      </w:pPr>
    </w:p>
    <w:p>
      <w:pPr>
        <w:pStyle w:val="8"/>
        <w:rPr>
          <w:rFonts w:ascii="宋体" w:hAnsi="宋体" w:eastAsia="宋体" w:cs="宋体"/>
          <w:sz w:val="23"/>
          <w:szCs w:val="23"/>
        </w:rPr>
      </w:pPr>
    </w:p>
    <w:p>
      <w:pPr>
        <w:pStyle w:val="8"/>
        <w:rPr>
          <w:rFonts w:ascii="宋体" w:hAnsi="宋体" w:eastAsia="宋体" w:cs="宋体"/>
          <w:sz w:val="23"/>
          <w:szCs w:val="23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0"/>
          <w:rFonts w:hint="eastAsia" w:ascii="楷体" w:hAnsi="楷体" w:eastAsia="楷体"/>
          <w:spacing w:val="-4"/>
          <w:sz w:val="32"/>
          <w:szCs w:val="32"/>
        </w:rPr>
        <w:t>202</w:t>
      </w:r>
      <w:r>
        <w:rPr>
          <w:rStyle w:val="10"/>
          <w:rFonts w:hint="eastAsia" w:ascii="楷体" w:hAnsi="楷体" w:eastAsia="楷体"/>
          <w:spacing w:val="-4"/>
          <w:sz w:val="32"/>
          <w:szCs w:val="32"/>
          <w:lang w:val="en-US" w:eastAsia="zh-CN"/>
        </w:rPr>
        <w:t>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cs="仿宋"/>
          <w:spacing w:val="12"/>
          <w:sz w:val="28"/>
          <w:szCs w:val="28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访惠聚及乡村振兴工作经费补助支出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新疆维吾尔自治区地质调查院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  </w:t>
      </w:r>
      <w:r>
        <w:rPr>
          <w:rFonts w:hint="eastAsia" w:hAnsi="宋体" w:eastAsia="仿宋_GB2312" w:cs="宋体"/>
          <w:kern w:val="0"/>
          <w:sz w:val="36"/>
          <w:szCs w:val="36"/>
        </w:rPr>
        <w:t>主管部门（公章）：新疆维吾尔自治区地质矿产勘查开发局</w:t>
      </w:r>
    </w:p>
    <w:p>
      <w:pPr>
        <w:spacing w:line="540" w:lineRule="exact"/>
        <w:ind w:firstLine="900" w:firstLineChars="250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</w:p>
    <w:p>
      <w:pPr>
        <w:spacing w:line="540" w:lineRule="exac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  </w:t>
      </w: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屈栓柱</w:t>
      </w:r>
    </w:p>
    <w:p>
      <w:pPr>
        <w:pStyle w:val="8"/>
        <w:rPr>
          <w:rFonts w:hint="eastAsia"/>
          <w:lang w:eastAsia="zh-CN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hAnsi="宋体" w:eastAsia="仿宋_GB2312" w:cs="宋体"/>
          <w:kern w:val="0"/>
          <w:sz w:val="36"/>
          <w:szCs w:val="36"/>
        </w:rPr>
        <w:t>填报时间：202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4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7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261" w:lineRule="auto"/>
        <w:rPr>
          <w:rFonts w:hint="eastAsia" w:ascii="Arial" w:eastAsia="宋体"/>
          <w:sz w:val="21"/>
          <w:lang w:eastAsia="zh-CN"/>
        </w:rPr>
      </w:pPr>
      <w:r>
        <w:rPr>
          <w:rFonts w:hint="eastAsia" w:eastAsia="宋体"/>
          <w:spacing w:val="19"/>
          <w:sz w:val="29"/>
          <w:szCs w:val="29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ind w:left="0" w:firstLine="598" w:firstLineChars="200"/>
        <w:textAlignment w:val="baseline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4"/>
          <w:sz w:val="29"/>
          <w:szCs w:val="29"/>
        </w:rPr>
        <w:t>一、基本情况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0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(一)项目概况。包括项目背景、主要内容及实施情况、资金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投入和使用情况等。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0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1.项目背景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08" w:firstLineChars="200"/>
        <w:jc w:val="left"/>
        <w:textAlignment w:val="baseline"/>
        <w:rPr>
          <w:rFonts w:hint="eastAsia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项目名称：</w:t>
      </w:r>
      <w:r>
        <w:rPr>
          <w:rFonts w:hint="eastAsia" w:cs="仿宋"/>
          <w:spacing w:val="12"/>
          <w:sz w:val="32"/>
          <w:szCs w:val="32"/>
          <w:lang w:val="en-US" w:eastAsia="zh-CN"/>
        </w:rPr>
        <w:t>访惠聚及乡村振兴工作经费补助支出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0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项目期限：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202</w:t>
      </w:r>
      <w:r>
        <w:rPr>
          <w:rFonts w:hint="eastAsia" w:cs="仿宋"/>
          <w:spacing w:val="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年</w:t>
      </w:r>
      <w:r>
        <w:rPr>
          <w:rFonts w:hint="eastAsia" w:cs="仿宋"/>
          <w:spacing w:val="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-202</w:t>
      </w:r>
      <w:r>
        <w:rPr>
          <w:rFonts w:hint="eastAsia" w:cs="仿宋"/>
          <w:spacing w:val="1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12月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0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项目背景：我单位派出工作队为驻阿克苏地区托乎拉乡托万克库尔巴格村“访惠聚”工作队有成员7人，主要来自治区地矿局下属单位新疆地质调查院、新疆地质矿产研究所。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0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该村位于温宿县西北，距离温宿县8公里，下辖4个村民小组，有192户725人，少数民族177户680人，汉族户15户，45人。全村占地面积7913亩，其中耕地6266亩，是一个以水稻、核桃种植为主的行政村。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0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托万克库尔巴格村村集体经济负债高，坑风险能力不强；基础设施建设离乡村振兴示范村要求有较大差距；本地就业薄弱，没有产品加工、招商产业，旅游产业打造动力不足；思想认识不统一，发展等靠要的思想仍在一定范围内存在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56" w:firstLineChars="200"/>
        <w:jc w:val="left"/>
        <w:textAlignment w:val="baseline"/>
        <w:rPr>
          <w:rFonts w:hint="eastAsia" w:ascii="仿宋" w:hAnsi="仿宋" w:eastAsia="仿宋" w:cs="仿宋"/>
          <w:color w:val="auto"/>
          <w:spacing w:val="-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32"/>
          <w:szCs w:val="32"/>
          <w:highlight w:val="none"/>
          <w:lang w:val="en-US" w:eastAsia="zh-CN"/>
        </w:rPr>
        <w:t>2.主要内容及实施情况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56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该工作队计划2023年在托万克库尔巴格村开展促进民族团结、稳定增收等工作，计划使用上级主管局拨付补助经费15万元。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56" w:firstLineChars="200"/>
        <w:jc w:val="left"/>
        <w:textAlignment w:val="baseline"/>
        <w:rPr>
          <w:rFonts w:hint="eastAsia" w:ascii="仿宋" w:hAnsi="仿宋" w:eastAsia="仿宋" w:cs="仿宋"/>
          <w:color w:val="auto"/>
          <w:spacing w:val="-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32"/>
          <w:szCs w:val="32"/>
          <w:highlight w:val="none"/>
          <w:lang w:val="en-US" w:eastAsia="zh-CN"/>
        </w:rPr>
        <w:t>3.资金投入和使用情况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napToGrid w:val="0"/>
        <w:spacing w:line="560" w:lineRule="exact"/>
        <w:ind w:left="0" w:firstLine="56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本项目预算金额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15.00</w:t>
      </w:r>
      <w:r>
        <w:rPr>
          <w:rFonts w:hint="eastAsia" w:ascii="仿宋" w:hAnsi="仿宋" w:eastAsia="仿宋" w:cs="仿宋"/>
          <w:bCs/>
          <w:sz w:val="32"/>
          <w:szCs w:val="32"/>
        </w:rPr>
        <w:t>万元，实际投入资金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15.00</w:t>
      </w:r>
      <w:r>
        <w:rPr>
          <w:rFonts w:hint="eastAsia" w:ascii="仿宋" w:hAnsi="仿宋" w:eastAsia="仿宋" w:cs="仿宋"/>
          <w:bCs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预算执行率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adjustRightInd w:val="0"/>
        <w:spacing w:line="560" w:lineRule="exact"/>
        <w:ind w:left="0" w:firstLine="596" w:firstLineChars="200"/>
        <w:jc w:val="left"/>
        <w:textAlignment w:val="baseline"/>
        <w:rPr>
          <w:rFonts w:hint="eastAsia" w:ascii="仿宋" w:hAnsi="仿宋" w:eastAsia="仿宋" w:cs="仿宋"/>
          <w:spacing w:val="9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9"/>
          <w:sz w:val="32"/>
          <w:szCs w:val="32"/>
          <w:highlight w:val="none"/>
        </w:rPr>
        <w:t>(二)项目绩效目标。包括总体目标和阶段性目标。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96" w:firstLineChars="200"/>
        <w:textAlignment w:val="baseline"/>
        <w:outlineLvl w:val="1"/>
        <w:rPr>
          <w:rFonts w:hint="eastAsia" w:ascii="仿宋" w:hAnsi="仿宋" w:eastAsia="仿宋" w:cs="仿宋"/>
          <w:snapToGrid w:val="0"/>
          <w:color w:val="000000"/>
          <w:spacing w:val="9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9"/>
          <w:kern w:val="0"/>
          <w:sz w:val="32"/>
          <w:szCs w:val="32"/>
          <w:highlight w:val="none"/>
          <w:lang w:val="en-US" w:eastAsia="en-US" w:bidi="ar-SA"/>
        </w:rPr>
        <w:t>总体目标：</w:t>
      </w:r>
      <w:r>
        <w:rPr>
          <w:rFonts w:hint="eastAsia" w:ascii="仿宋" w:hAnsi="仿宋" w:eastAsia="仿宋" w:cs="仿宋"/>
          <w:snapToGrid w:val="0"/>
          <w:color w:val="000000"/>
          <w:spacing w:val="9"/>
          <w:kern w:val="0"/>
          <w:sz w:val="32"/>
          <w:szCs w:val="32"/>
          <w:highlight w:val="none"/>
          <w:lang w:val="en-US" w:eastAsia="zh-CN" w:bidi="ar-SA"/>
        </w:rPr>
        <w:t>保障我单位乡村振兴工作正常开展。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96" w:firstLineChars="200"/>
        <w:textAlignment w:val="baseline"/>
        <w:outlineLvl w:val="1"/>
        <w:rPr>
          <w:rFonts w:hint="eastAsia" w:ascii="仿宋" w:hAnsi="仿宋" w:eastAsia="仿宋" w:cs="仿宋"/>
          <w:snapToGrid w:val="0"/>
          <w:color w:val="000000"/>
          <w:spacing w:val="9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9"/>
          <w:kern w:val="0"/>
          <w:sz w:val="32"/>
          <w:szCs w:val="32"/>
          <w:highlight w:val="none"/>
          <w:lang w:val="en-US" w:eastAsia="en-US" w:bidi="ar-SA"/>
        </w:rPr>
        <w:t>阶段性目标：此项目年初设定绩效目标申请表时，未设定阶段性目标，所以阶段性目标和总体目标是一致的。</w:t>
      </w:r>
    </w:p>
    <w:p>
      <w:pPr>
        <w:spacing w:before="263" w:line="221" w:lineRule="auto"/>
        <w:ind w:left="564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6"/>
          <w:sz w:val="29"/>
          <w:szCs w:val="29"/>
        </w:rPr>
        <w:t>二</w:t>
      </w:r>
      <w:r>
        <w:rPr>
          <w:rFonts w:ascii="黑体" w:hAnsi="黑体" w:eastAsia="黑体" w:cs="黑体"/>
          <w:spacing w:val="-38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6"/>
          <w:sz w:val="29"/>
          <w:szCs w:val="29"/>
        </w:rPr>
        <w:t>、绩效评价工作开展情况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2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en-US" w:bidi="ar-SA"/>
        </w:rPr>
        <w:t>(一)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绩效评价目的、对象和范围。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</w:rPr>
      </w:pPr>
      <w:r>
        <w:rPr>
          <w:rFonts w:hint="eastAsia" w:ascii="仿宋" w:hAnsi="仿宋" w:eastAsia="仿宋" w:cs="仿宋"/>
          <w:spacing w:val="12"/>
          <w:sz w:val="32"/>
          <w:szCs w:val="32"/>
        </w:rPr>
        <w:t>1、绩效评价目的：绩效评价旨在通过评价改善预算部门的项目支出管理，优化资源配置及提高公共服务水平。加强资金支出的规范化管理，提高资金的使用效益。为全面实施预算绩效管理，建立科学、合理的项目支出绩效评价管理体系，提高财政资源配置效率和使用效益，依据设定的绩效目标，对项目支出的经济性、效率性、效益性和公平性进行客观、公正的测量、分析和评判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</w:rPr>
      </w:pPr>
      <w:r>
        <w:rPr>
          <w:rFonts w:hint="eastAsia" w:ascii="仿宋" w:hAnsi="仿宋" w:eastAsia="仿宋" w:cs="仿宋"/>
          <w:spacing w:val="12"/>
          <w:sz w:val="32"/>
          <w:szCs w:val="32"/>
        </w:rPr>
        <w:t>2、绩效评价对象：运用科学、规范的绩效评价方法，按照财政部《关于印发&lt;项目支出绩效评价管理办法&gt;的通知》，对项目进行科学评价，项目预算编制合理性、资金使用合规性、项目管理的规范性、项目目标的实现情况、服务对象的满意度等，通过本次绩效评价来总结经验和教训，促进项目成果转化和应用，为今后类似项目的长效管理，提供可行性参考建议</w:t>
      </w: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</w:rPr>
      </w:pPr>
      <w:r>
        <w:rPr>
          <w:rFonts w:hint="eastAsia" w:ascii="仿宋" w:hAnsi="仿宋" w:eastAsia="仿宋" w:cs="仿宋"/>
          <w:spacing w:val="12"/>
          <w:sz w:val="32"/>
          <w:szCs w:val="32"/>
        </w:rPr>
        <w:t>3、绩效评价范围：本次评价从项目执行情况、产出指标（包括项目数量指标、质量指标、时效指标和成本指标）、效益指标、满意度指标四个方面进行评价，评价核心为专项资金的支出完成情况和效果。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8" w:firstLineChars="20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</w:rPr>
      </w:pPr>
      <w:r>
        <w:rPr>
          <w:rFonts w:hint="eastAsia" w:ascii="仿宋" w:hAnsi="仿宋" w:eastAsia="仿宋" w:cs="仿宋"/>
          <w:spacing w:val="12"/>
          <w:sz w:val="32"/>
          <w:szCs w:val="32"/>
        </w:rPr>
        <w:t>(二)绩效评价原则、评价指标体系(附表说明)、评价方法、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left"/>
        <w:textAlignment w:val="baseline"/>
        <w:rPr>
          <w:rFonts w:hint="eastAsia" w:ascii="仿宋" w:hAnsi="仿宋" w:eastAsia="仿宋" w:cs="仿宋"/>
          <w:spacing w:val="12"/>
          <w:sz w:val="32"/>
          <w:szCs w:val="32"/>
        </w:rPr>
      </w:pPr>
      <w:r>
        <w:rPr>
          <w:rFonts w:hint="eastAsia" w:ascii="仿宋" w:hAnsi="仿宋" w:eastAsia="仿宋" w:cs="仿宋"/>
          <w:spacing w:val="12"/>
          <w:sz w:val="32"/>
          <w:szCs w:val="32"/>
        </w:rPr>
        <w:t>评价标准等。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8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</w:rPr>
      </w:pPr>
      <w:r>
        <w:rPr>
          <w:rFonts w:hint="eastAsia" w:cs="仿宋"/>
          <w:spacing w:val="12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本次绩效评价主</w:t>
      </w:r>
      <w:r>
        <w:rPr>
          <w:rFonts w:hint="eastAsia" w:ascii="仿宋" w:hAnsi="仿宋" w:eastAsia="仿宋" w:cs="仿宋"/>
          <w:spacing w:val="-5"/>
          <w:sz w:val="32"/>
          <w:szCs w:val="32"/>
        </w:rPr>
        <w:t>要遵循以下原则：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rightChars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（1）客观性原则。绩效评价应当运用科学合理的方法，以事实和规范的评价标准为依据，对项目绩效进行客观评价，减少主观性和感情色彩的影响。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（2）相关性原则。要求资金支出与其绩效指标之间有紧密相关的关系。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（3）公开性原则。绩效评价结果依法依规公开，并接受社会监督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</w:rPr>
      </w:pPr>
      <w:r>
        <w:rPr>
          <w:rFonts w:hint="eastAsia" w:cs="仿宋"/>
          <w:spacing w:val="-5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pacing w:val="-5"/>
          <w:sz w:val="32"/>
          <w:szCs w:val="32"/>
        </w:rPr>
        <w:t>评价指标体系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本次绩效评价指标体系主要分为</w:t>
      </w:r>
      <w:r>
        <w:rPr>
          <w:rFonts w:hint="eastAsia" w:ascii="仿宋" w:hAnsi="仿宋" w:eastAsia="仿宋" w:cs="仿宋"/>
          <w:spacing w:val="-5"/>
          <w:sz w:val="32"/>
          <w:szCs w:val="32"/>
          <w:lang w:val="en-US" w:eastAsia="zh-CN"/>
        </w:rPr>
        <w:t>预算执行率指标和项目绩效指标，其中预算执行率指标占10分，项目绩效指标占90分。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3</w:t>
      </w:r>
      <w:r>
        <w:rPr>
          <w:rFonts w:hint="eastAsia" w:cs="仿宋"/>
          <w:spacing w:val="-5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评价方法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绩效评价方法主要包括成本效益分析法、比较法、因素分析法、最低成本法、公众评判法、标杆管理法等。本单位在评价过程中主要采用了因素分析法、成本效益分析法等。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4</w:t>
      </w:r>
      <w:r>
        <w:rPr>
          <w:rFonts w:hint="eastAsia" w:cs="仿宋"/>
          <w:spacing w:val="-5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评价标准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绩效评价标准通常包括计划标准、行业标准、历史标准等，用于对绩效指标完成情况进行比较。本单位绩效评价采用计划标准。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32" w:firstLineChars="200"/>
        <w:jc w:val="left"/>
        <w:textAlignment w:val="baseline"/>
        <w:rPr>
          <w:rFonts w:hint="eastAsia" w:ascii="仿宋" w:hAnsi="仿宋" w:eastAsia="仿宋" w:cs="仿宋"/>
          <w:spacing w:val="13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13"/>
          <w:kern w:val="0"/>
          <w:sz w:val="32"/>
          <w:szCs w:val="32"/>
          <w:lang w:val="en-US" w:eastAsia="en-US" w:bidi="ar-SA"/>
        </w:rPr>
        <w:t>(二)</w:t>
      </w:r>
      <w:r>
        <w:rPr>
          <w:rFonts w:hint="eastAsia" w:ascii="仿宋" w:hAnsi="仿宋" w:eastAsia="仿宋" w:cs="仿宋"/>
          <w:spacing w:val="13"/>
          <w:sz w:val="32"/>
          <w:szCs w:val="32"/>
        </w:rPr>
        <w:t>绩效评价工作过程。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自评价项目启动以来，结合项目具体情况、目标、预算、资金使用情况、采购完成情况综合确定绩效评价对象和范围。根据项目完成情况有针对性、时效性、可行性的研究制订绩效评价工作方案。收集项目基础数据资料、相关的佐证材料，了解项目的实施情况。认真听取</w:t>
      </w:r>
      <w:r>
        <w:rPr>
          <w:rFonts w:hint="eastAsia" w:cs="仿宋"/>
          <w:spacing w:val="-5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人员的意见，不断完善该项目的所有资料准备，根据以上绩效评价工作过程，核实数据、意见、结论进行总结得出绩效评价报告。按照确定的评价指标、标准和方法进行自评，形成了自评结论，达到了工作目的。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5"/>
          <w:kern w:val="0"/>
          <w:sz w:val="29"/>
          <w:szCs w:val="29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5"/>
          <w:kern w:val="0"/>
          <w:sz w:val="29"/>
          <w:szCs w:val="29"/>
          <w:lang w:val="en-US" w:eastAsia="zh-CN" w:bidi="ar-SA"/>
        </w:rPr>
        <w:t>三 、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5"/>
          <w:kern w:val="0"/>
          <w:sz w:val="29"/>
          <w:szCs w:val="29"/>
          <w:lang w:val="en-US" w:eastAsia="zh-CN" w:bidi="ar-SA"/>
        </w:rPr>
        <w:t xml:space="preserve">综合评价情况及评价结论 </w:t>
      </w:r>
      <w:r>
        <w:rPr>
          <w:rFonts w:hint="eastAsia" w:ascii="仿宋" w:hAnsi="仿宋" w:eastAsia="仿宋" w:cs="仿宋"/>
          <w:snapToGrid w:val="0"/>
          <w:color w:val="000000"/>
          <w:spacing w:val="-5"/>
          <w:kern w:val="0"/>
          <w:sz w:val="29"/>
          <w:szCs w:val="29"/>
          <w:lang w:val="en-US" w:eastAsia="zh-CN" w:bidi="ar-SA"/>
        </w:rPr>
        <w:t>(附相关评分表)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-5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5"/>
          <w:kern w:val="0"/>
          <w:sz w:val="32"/>
          <w:szCs w:val="32"/>
          <w:lang w:val="en-US" w:eastAsia="zh-CN" w:bidi="ar-SA"/>
        </w:rPr>
        <w:t>1.综合评价情况及评价结论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560" w:firstLineChars="200"/>
        <w:jc w:val="left"/>
        <w:textAlignment w:val="baseline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spacing w:val="-5"/>
          <w:kern w:val="0"/>
          <w:sz w:val="32"/>
          <w:szCs w:val="32"/>
          <w:lang w:val="en-US" w:eastAsia="zh-CN" w:bidi="ar-SA"/>
        </w:rPr>
        <w:t>该项目根据年初制定的评价指标体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系及评分标准，通过资料采集，对此次项目进行客观评价，最终评分结果：总得分为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分。其中：项目预算执行情况得分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分，得分率为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%；产出指标为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分，得分率为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%；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成本指标为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20分，得分率100%；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效益指标为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分，得分率为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%；满意度指标为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分，得分率为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%。</w:t>
      </w:r>
    </w:p>
    <w:tbl>
      <w:tblPr>
        <w:tblStyle w:val="11"/>
        <w:tblW w:w="89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636"/>
        <w:gridCol w:w="636"/>
        <w:gridCol w:w="637"/>
        <w:gridCol w:w="637"/>
        <w:gridCol w:w="637"/>
        <w:gridCol w:w="637"/>
        <w:gridCol w:w="639"/>
        <w:gridCol w:w="637"/>
        <w:gridCol w:w="637"/>
        <w:gridCol w:w="637"/>
        <w:gridCol w:w="637"/>
        <w:gridCol w:w="6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9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(2023年度)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  <w:lang w:eastAsia="zh-CN"/>
              </w:rPr>
              <w:t>访惠聚及乡村振兴工作经费支出项目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主管部门</w:t>
            </w:r>
          </w:p>
        </w:tc>
        <w:tc>
          <w:tcPr>
            <w:tcW w:w="3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新疆地质矿产勘查开发局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1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新疆维吾尔自治区地质调查院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项目资金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(万元)</w:t>
            </w: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年初预算数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分值权重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执行率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100.0%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其中：当年财政披款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共他资金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年度总体目</w:t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标</w:t>
            </w:r>
          </w:p>
        </w:tc>
        <w:tc>
          <w:tcPr>
            <w:tcW w:w="50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31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总体目标完成情况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50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保障我单位2023年访惠聚及乡村振兴工作正常进行。</w:t>
            </w:r>
          </w:p>
        </w:tc>
        <w:tc>
          <w:tcPr>
            <w:tcW w:w="31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保障我单位2023年访惠聚及乡村振兴工作正常进行。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二级指标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三级指标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指标值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上年完成值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指标分值权重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指标赋分规则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佐证资料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指标实际完成值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完成率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指标得分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年度绩效指</w:t>
            </w:r>
            <w:r>
              <w:rPr>
                <w:rStyle w:val="20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标完成情况</w:t>
            </w:r>
          </w:p>
        </w:tc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产出指标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访惠聚对口帮扶乡村数量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=1个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访惠聚及乡村振兴工作参与人数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&gt;=7人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协助乡村工作合格率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&gt;=90%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经费支付及时率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&gt;=95%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成本指标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预算成本控制率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&lt;=100%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社会成本指标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生态环境成本指</w:t>
            </w:r>
            <w:r>
              <w:rPr>
                <w:rStyle w:val="20"/>
                <w:snapToGrid w:val="0"/>
                <w:color w:val="000000"/>
                <w:lang w:val="en-US" w:eastAsia="zh-CN" w:bidi="ar"/>
              </w:rPr>
              <w:br w:type="textWrapping"/>
            </w: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效蔬指标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社会效益指标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有效完善工作队工作职能正常运转率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有效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有效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社会效益指标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有效解决乡村居民困难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有效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有效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生态效益指标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满意度指标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满意度指标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&gt;=95%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/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满意度赋分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工作资料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95%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5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snapToGrid w:val="0"/>
                <w:color w:val="000000"/>
                <w:lang w:val="en-US" w:eastAsia="zh-CN" w:bidi="ar"/>
              </w:rPr>
              <w:t>总分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420" w:firstLineChars="200"/>
        <w:jc w:val="left"/>
        <w:textAlignment w:val="baseline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98" w:firstLineChars="200"/>
        <w:textAlignment w:val="baseline"/>
        <w:rPr>
          <w:rFonts w:ascii="黑体" w:hAnsi="黑体" w:eastAsia="黑体" w:cs="黑体"/>
          <w:b/>
          <w:bCs/>
          <w:spacing w:val="4"/>
          <w:sz w:val="29"/>
          <w:szCs w:val="29"/>
        </w:rPr>
      </w:pPr>
      <w:r>
        <w:rPr>
          <w:rFonts w:hint="eastAsia" w:ascii="黑体" w:hAnsi="黑体" w:eastAsia="黑体" w:cs="黑体"/>
          <w:b/>
          <w:bCs/>
          <w:spacing w:val="4"/>
          <w:sz w:val="29"/>
          <w:szCs w:val="29"/>
          <w:lang w:val="en-US" w:eastAsia="en-US"/>
        </w:rPr>
        <w:t>四、绩</w:t>
      </w:r>
      <w:r>
        <w:rPr>
          <w:rFonts w:ascii="黑体" w:hAnsi="黑体" w:eastAsia="黑体" w:cs="黑体"/>
          <w:b/>
          <w:bCs/>
          <w:spacing w:val="4"/>
          <w:sz w:val="29"/>
          <w:szCs w:val="29"/>
        </w:rPr>
        <w:t>效评价指标分析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(一)项目决策情况。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1.立项依据充分性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我单位依据上级主管局相关要求，结合地勘单位发展规划及我单位主要职责，设立本项目，项目立项符合国家法律法规、国民经济发展规划和相关政策、符合行业发展规划和政策要求，该项目不属于公共财政支持范围，与相关部门同类项目无重复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2.立项程序规范性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我单位严格按照自治区财政规定的立项程序，单位召开专项会议，进行集体决策，形成会议纪要。在财政一体化系统中，编制项目库，提交符合要求的申请材料，上报上级部门审批、财政审批。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3.绩效目标合理性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结合项目内容制定了合理的绩效目标，设置三个一级指标，项目绩效目标中的预期产出效益符合项目预期成果，且与预算确定的项目资金量相匹配。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.预算编制科学性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根据上级主管局相关要求，以及项目预算，测算合理，依据充分，编制科学。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5</w:t>
      </w: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.资金分配合理性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8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32"/>
          <w:szCs w:val="32"/>
          <w:lang w:val="en-US" w:eastAsia="zh-CN" w:bidi="ar-SA"/>
        </w:rPr>
        <w:t>项目预算资金分配依据项目中各项费用调研金额，资金分配额度合理，适合单位生产实施，与单位生产相适应。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tabs>
          <w:tab w:val="clear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8" w:firstLineChars="200"/>
        <w:textAlignment w:val="baseline"/>
        <w:rPr>
          <w:spacing w:val="17"/>
          <w:sz w:val="32"/>
          <w:szCs w:val="32"/>
          <w:highlight w:val="none"/>
        </w:rPr>
      </w:pPr>
      <w:r>
        <w:rPr>
          <w:spacing w:val="17"/>
          <w:sz w:val="32"/>
          <w:szCs w:val="32"/>
          <w:highlight w:val="none"/>
        </w:rPr>
        <w:t>项目过程情况。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8" w:firstLineChars="200"/>
        <w:textAlignment w:val="baseline"/>
        <w:rPr>
          <w:spacing w:val="17"/>
          <w:sz w:val="32"/>
          <w:szCs w:val="32"/>
          <w:highlight w:val="none"/>
        </w:rPr>
      </w:pPr>
      <w:r>
        <w:rPr>
          <w:rFonts w:hint="eastAsia"/>
          <w:spacing w:val="17"/>
          <w:sz w:val="32"/>
          <w:szCs w:val="32"/>
          <w:highlight w:val="none"/>
          <w:lang w:val="en-US" w:eastAsia="zh-CN"/>
        </w:rPr>
        <w:t>按照项目推进计划进行，保障我单位访惠聚工作正常开展，保障乡村振兴工作顺利进行，提高村民幸福感。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560" w:lineRule="exact"/>
        <w:ind w:left="0" w:leftChars="0" w:firstLine="648" w:firstLineChars="200"/>
        <w:textAlignment w:val="baseline"/>
        <w:rPr>
          <w:spacing w:val="17"/>
          <w:sz w:val="32"/>
          <w:szCs w:val="32"/>
          <w:highlight w:val="none"/>
        </w:rPr>
      </w:pPr>
      <w:r>
        <w:rPr>
          <w:spacing w:val="17"/>
          <w:sz w:val="32"/>
          <w:szCs w:val="32"/>
          <w:highlight w:val="none"/>
        </w:rPr>
        <w:t>项目产出情况。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560" w:lineRule="exact"/>
        <w:textAlignment w:val="baseline"/>
        <w:rPr>
          <w:rFonts w:hint="default" w:eastAsia="仿宋"/>
          <w:spacing w:val="17"/>
          <w:sz w:val="32"/>
          <w:szCs w:val="32"/>
          <w:highlight w:val="none"/>
          <w:lang w:val="en-US" w:eastAsia="zh-CN"/>
        </w:rPr>
      </w:pPr>
      <w:r>
        <w:rPr>
          <w:rFonts w:hint="eastAsia"/>
          <w:spacing w:val="17"/>
          <w:sz w:val="32"/>
          <w:szCs w:val="32"/>
          <w:highlight w:val="none"/>
          <w:lang w:val="en-US" w:eastAsia="zh-CN"/>
        </w:rPr>
        <w:t xml:space="preserve">    完成2023年访惠聚工作，修缮村基础设施为村民提供资金支持。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69" w:beforeAutospacing="0" w:afterAutospacing="0" w:line="560" w:lineRule="exact"/>
        <w:ind w:firstLine="574" w:firstLineChars="200"/>
        <w:textAlignment w:val="baseline"/>
        <w:rPr>
          <w:rFonts w:ascii="黑体" w:hAnsi="黑体" w:eastAsia="黑体" w:cs="黑体"/>
          <w:b/>
          <w:bCs/>
          <w:spacing w:val="-2"/>
          <w:position w:val="21"/>
          <w:sz w:val="29"/>
          <w:szCs w:val="29"/>
        </w:rPr>
      </w:pPr>
      <w:r>
        <w:rPr>
          <w:rFonts w:ascii="黑体" w:hAnsi="黑体" w:eastAsia="黑体" w:cs="黑体"/>
          <w:b/>
          <w:bCs/>
          <w:spacing w:val="-2"/>
          <w:position w:val="21"/>
          <w:sz w:val="29"/>
          <w:szCs w:val="29"/>
        </w:rPr>
        <w:t>主要经验及做法、存在的问题及原因分析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560" w:lineRule="exact"/>
        <w:ind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1.主要经验及做法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项目预算与实际执行之间的差异，需要在立项时进一步细化落实，尽可能贴近预算，减少偏差。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2.存在的问题及原因分析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80" w:firstLineChars="200"/>
        <w:contextualSpacing/>
        <w:textAlignment w:val="baseline"/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在预算编制过程中，存在不可预见性与不可抗力，需要充分考虑实际情况，与实际情况相结合，确保全年目标任务的完成。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100" w:beforeAutospacing="0" w:line="560" w:lineRule="exact"/>
        <w:ind w:firstLine="574" w:firstLineChars="200"/>
        <w:textAlignment w:val="baseline"/>
        <w:rPr>
          <w:rFonts w:hint="eastAsia" w:ascii="黑体" w:hAnsi="黑体" w:eastAsia="黑体" w:cs="黑体"/>
          <w:b/>
          <w:bCs/>
          <w:spacing w:val="-2"/>
          <w:position w:val="21"/>
          <w:sz w:val="29"/>
          <w:szCs w:val="29"/>
        </w:rPr>
      </w:pPr>
      <w:r>
        <w:rPr>
          <w:rFonts w:hint="eastAsia" w:ascii="黑体" w:hAnsi="黑体" w:eastAsia="黑体" w:cs="黑体"/>
          <w:b/>
          <w:bCs/>
          <w:spacing w:val="-2"/>
          <w:position w:val="21"/>
          <w:sz w:val="29"/>
          <w:szCs w:val="29"/>
        </w:rPr>
        <w:t>有关建议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1.对项目决策的建议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在项目立项时需要进一步细化落实，做到充分掌握情况，避免出现预算和实际偏差较大的情况出现。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29"/>
          <w:szCs w:val="29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29"/>
          <w:szCs w:val="29"/>
          <w:lang w:val="en-US" w:eastAsia="zh-CN"/>
        </w:rPr>
        <w:t>对预算安排与执行的建议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充分考虑实际情况，从实际出发，合理编制预算，严格执行预算。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3.对资金管理的建议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加强采购资金的管理，通过招投标方式控制采购成本。严格按照合同支付程序办理资金支付。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项目管理的建议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564" w:firstLineChars="200"/>
        <w:textAlignment w:val="baseline"/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做好预算基础以及前期资料收集工作，加强资金管理，合理编制预算。</w:t>
      </w:r>
    </w:p>
    <w:p>
      <w:pPr>
        <w:numPr>
          <w:ilvl w:val="0"/>
          <w:numId w:val="5"/>
        </w:numPr>
        <w:spacing w:before="261" w:line="221" w:lineRule="auto"/>
        <w:ind w:left="564"/>
        <w:outlineLvl w:val="1"/>
        <w:rPr>
          <w:rFonts w:ascii="黑体" w:hAnsi="黑体" w:eastAsia="黑体" w:cs="黑体"/>
          <w:b/>
          <w:bCs/>
          <w:spacing w:val="3"/>
          <w:sz w:val="29"/>
          <w:szCs w:val="29"/>
        </w:rPr>
      </w:pPr>
      <w:r>
        <w:rPr>
          <w:rFonts w:ascii="黑体" w:hAnsi="黑体" w:eastAsia="黑体" w:cs="黑体"/>
          <w:b/>
          <w:bCs/>
          <w:spacing w:val="3"/>
          <w:sz w:val="29"/>
          <w:szCs w:val="29"/>
        </w:rPr>
        <w:t>其他需要说明的问题</w:t>
      </w:r>
    </w:p>
    <w:p>
      <w:pPr>
        <w:numPr>
          <w:ilvl w:val="0"/>
          <w:numId w:val="0"/>
        </w:numPr>
        <w:spacing w:before="261" w:line="221" w:lineRule="auto"/>
        <w:outlineLvl w:val="1"/>
        <w:rPr>
          <w:rFonts w:ascii="黑体" w:hAnsi="黑体" w:eastAsia="黑体" w:cs="黑体"/>
          <w:b/>
          <w:bCs/>
          <w:spacing w:val="3"/>
          <w:sz w:val="29"/>
          <w:szCs w:val="29"/>
        </w:rPr>
      </w:pPr>
      <w:r>
        <w:rPr>
          <w:rStyle w:val="10"/>
          <w:rFonts w:hint="eastAsia" w:ascii="仿宋" w:hAnsi="仿宋" w:eastAsia="仿宋" w:cs="仿宋"/>
          <w:b w:val="0"/>
          <w:bCs w:val="0"/>
          <w:spacing w:val="-4"/>
          <w:sz w:val="29"/>
          <w:szCs w:val="29"/>
          <w:lang w:val="en-US" w:eastAsia="zh-CN"/>
        </w:rPr>
        <w:t xml:space="preserve">    无</w:t>
      </w:r>
    </w:p>
    <w:sectPr>
      <w:footerReference r:id="rId3" w:type="default"/>
      <w:pgSz w:w="11900" w:h="16840"/>
      <w:pgMar w:top="1431" w:right="1785" w:bottom="40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B674D640-A183-4CC7-8FB2-53A5EA03367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520FEA5-EAC9-432F-A15E-C58F2C98F46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CFE686F-F7E5-422F-A94A-936A7A279FF1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  <w:embedRegular r:id="rId4" w:fontKey="{B3BFD33D-B11F-453C-B37D-224E09B0F86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B75F4E5-F846-4588-BE62-AF21ABA7F7D3}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D1EB328B-D924-4F86-A107-FDA8987B5D12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7" w:fontKey="{F079C65E-E312-4B02-892D-DE9C3009BBE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56F2B2"/>
    <w:multiLevelType w:val="singleLevel"/>
    <w:tmpl w:val="DE56F2B2"/>
    <w:lvl w:ilvl="0" w:tentative="0">
      <w:start w:val="5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00000005"/>
    <w:multiLevelType w:val="singleLevel"/>
    <w:tmpl w:val="00000005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00000006"/>
    <w:multiLevelType w:val="singleLevel"/>
    <w:tmpl w:val="00000006"/>
    <w:lvl w:ilvl="0" w:tentative="0">
      <w:start w:val="4"/>
      <w:numFmt w:val="decimal"/>
      <w:suff w:val="nothing"/>
      <w:lvlText w:val="%1."/>
      <w:lvlJc w:val="left"/>
    </w:lvl>
  </w:abstractNum>
  <w:abstractNum w:abstractNumId="3">
    <w:nsid w:val="3E5F6C7E"/>
    <w:multiLevelType w:val="singleLevel"/>
    <w:tmpl w:val="3E5F6C7E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4">
    <w:nsid w:val="66C72021"/>
    <w:multiLevelType w:val="singleLevel"/>
    <w:tmpl w:val="66C72021"/>
    <w:lvl w:ilvl="0" w:tentative="0">
      <w:start w:val="7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I0ODEyNzgxZGM0N2I0M2MzOGQzZWNhOTA3NDYwNjIifQ=="/>
  </w:docVars>
  <w:rsids>
    <w:rsidRoot w:val="00000000"/>
    <w:rsid w:val="006D5625"/>
    <w:rsid w:val="02BA3F8E"/>
    <w:rsid w:val="048900BC"/>
    <w:rsid w:val="04DD163F"/>
    <w:rsid w:val="06C76C7A"/>
    <w:rsid w:val="08CC4A1B"/>
    <w:rsid w:val="097E055B"/>
    <w:rsid w:val="0BF00A21"/>
    <w:rsid w:val="0C313DDB"/>
    <w:rsid w:val="0D701E19"/>
    <w:rsid w:val="16D43419"/>
    <w:rsid w:val="1C0F6CA1"/>
    <w:rsid w:val="1CBD0DE6"/>
    <w:rsid w:val="1FBE7EF0"/>
    <w:rsid w:val="266B71CA"/>
    <w:rsid w:val="26720558"/>
    <w:rsid w:val="273232C6"/>
    <w:rsid w:val="28414686"/>
    <w:rsid w:val="2AEB0A58"/>
    <w:rsid w:val="2E112405"/>
    <w:rsid w:val="31FC0220"/>
    <w:rsid w:val="321D581C"/>
    <w:rsid w:val="384F1B33"/>
    <w:rsid w:val="38DF57D3"/>
    <w:rsid w:val="39290F4A"/>
    <w:rsid w:val="3AAC1209"/>
    <w:rsid w:val="3D240796"/>
    <w:rsid w:val="3DFD4754"/>
    <w:rsid w:val="3F8D3386"/>
    <w:rsid w:val="471A6376"/>
    <w:rsid w:val="47A53E92"/>
    <w:rsid w:val="494871CB"/>
    <w:rsid w:val="4B637BDF"/>
    <w:rsid w:val="4D8077D2"/>
    <w:rsid w:val="509A2BD3"/>
    <w:rsid w:val="58FC2A1A"/>
    <w:rsid w:val="5D4D03CC"/>
    <w:rsid w:val="60AE3960"/>
    <w:rsid w:val="61073070"/>
    <w:rsid w:val="6713439E"/>
    <w:rsid w:val="6C507FC1"/>
    <w:rsid w:val="6DD469CF"/>
    <w:rsid w:val="6F9401C4"/>
    <w:rsid w:val="71C87FCB"/>
    <w:rsid w:val="73DC1454"/>
    <w:rsid w:val="74341F76"/>
    <w:rsid w:val="748D262D"/>
    <w:rsid w:val="765960E8"/>
    <w:rsid w:val="76952419"/>
    <w:rsid w:val="7B5F2DBC"/>
    <w:rsid w:val="7D445D47"/>
    <w:rsid w:val="7F2F10A9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"/>
    <w:basedOn w:val="6"/>
    <w:qFormat/>
    <w:uiPriority w:val="0"/>
    <w:pPr>
      <w:adjustRightInd w:val="0"/>
      <w:snapToGrid w:val="0"/>
      <w:spacing w:after="0" w:line="300" w:lineRule="auto"/>
      <w:ind w:firstLine="576"/>
      <w:textAlignment w:val="baseline"/>
    </w:pPr>
    <w:rPr>
      <w:rFonts w:hAnsi="华文仿宋"/>
      <w:spacing w:val="4"/>
      <w:kern w:val="0"/>
      <w:sz w:val="28"/>
    </w:rPr>
  </w:style>
  <w:style w:type="paragraph" w:styleId="6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7">
    <w:name w:val="Plain Text"/>
    <w:basedOn w:val="1"/>
    <w:uiPriority w:val="0"/>
    <w:rPr>
      <w:rFonts w:ascii="宋体" w:hAnsi="Courier New" w:eastAsia="宋体"/>
      <w:sz w:val="21"/>
      <w:szCs w:val="20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  <w:bCs/>
    </w:rPr>
  </w:style>
  <w:style w:type="table" w:customStyle="1" w:styleId="12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14">
    <w:name w:val="font41"/>
    <w:basedOn w:val="9"/>
    <w:qFormat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customStyle="1" w:styleId="15">
    <w:name w:val="font51"/>
    <w:basedOn w:val="9"/>
    <w:qFormat/>
    <w:uiPriority w:val="0"/>
    <w:rPr>
      <w:rFonts w:hint="default" w:ascii="Arial" w:hAnsi="Arial" w:cs="Arial"/>
      <w:color w:val="000000"/>
      <w:sz w:val="12"/>
      <w:szCs w:val="12"/>
      <w:u w:val="none"/>
    </w:rPr>
  </w:style>
  <w:style w:type="character" w:customStyle="1" w:styleId="16">
    <w:name w:val="font112"/>
    <w:basedOn w:val="9"/>
    <w:qFormat/>
    <w:uiPriority w:val="0"/>
    <w:rPr>
      <w:rFonts w:ascii="宋体" w:hAnsi="宋体" w:eastAsia="宋体" w:cs="宋体"/>
      <w:color w:val="000000"/>
      <w:sz w:val="12"/>
      <w:szCs w:val="12"/>
      <w:u w:val="none"/>
    </w:rPr>
  </w:style>
  <w:style w:type="character" w:customStyle="1" w:styleId="17">
    <w:name w:val="font61"/>
    <w:basedOn w:val="9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8">
    <w:name w:val="font71"/>
    <w:basedOn w:val="9"/>
    <w:qFormat/>
    <w:uiPriority w:val="0"/>
    <w:rPr>
      <w:rFonts w:hint="default" w:ascii="Arial" w:hAnsi="Arial" w:cs="Arial"/>
      <w:color w:val="000000"/>
      <w:sz w:val="16"/>
      <w:szCs w:val="16"/>
      <w:u w:val="none"/>
    </w:rPr>
  </w:style>
  <w:style w:type="character" w:customStyle="1" w:styleId="19">
    <w:name w:val="font131"/>
    <w:basedOn w:val="9"/>
    <w:qFormat/>
    <w:uiPriority w:val="0"/>
    <w:rPr>
      <w:rFonts w:ascii="宋体" w:hAnsi="宋体" w:eastAsia="宋体" w:cs="宋体"/>
      <w:color w:val="000000"/>
      <w:sz w:val="12"/>
      <w:szCs w:val="12"/>
      <w:u w:val="none"/>
    </w:rPr>
  </w:style>
  <w:style w:type="character" w:customStyle="1" w:styleId="20">
    <w:name w:val="font111"/>
    <w:basedOn w:val="9"/>
    <w:qFormat/>
    <w:uiPriority w:val="0"/>
    <w:rPr>
      <w:rFonts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2024-03-07T15:40:00Z</dcterms:created>
  <dc:creator>Kingsoft-PDF</dc:creator>
  <cp:lastModifiedBy>Administrator</cp:lastModifiedBy>
  <dcterms:modified xsi:type="dcterms:W3CDTF">2024-08-27T13:57:27Z</dcterms:modified>
  <dc:subject>pdfbuilder</dc:subject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2024-03-07T15:40:17Z</vt:filetime>
  </property>
  <property fmtid="{D5CDD505-2E9C-101B-9397-08002B2CF9AE}" pid="4" name="UsrData">
    <vt:lpwstr>65e96f599563c7001fa9c631wl</vt:lpwstr>
  </property>
  <property fmtid="{D5CDD505-2E9C-101B-9397-08002B2CF9AE}" pid="5" name="KSOProductBuildVer">
    <vt:lpwstr>2052-10.8.0.5838</vt:lpwstr>
  </property>
  <property fmtid="{D5CDD505-2E9C-101B-9397-08002B2CF9AE}" pid="6" name="ICV">
    <vt:lpwstr>888D8F41E4164A55953F325D7B24ADE9_13</vt:lpwstr>
  </property>
</Properties>
</file>