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新疆维吾尔自治区地质矿产勘查开发局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第六地质大队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snapToGrid w:val="0"/>
        <w:spacing w:line="520" w:lineRule="exact"/>
        <w:ind w:firstLine="640" w:firstLineChars="200"/>
        <w:rPr>
          <w:rFonts w:hint="eastAsia" w:ascii="仿宋_GB2312" w:eastAsia="仿宋_GB2312"/>
          <w:sz w:val="32"/>
          <w:szCs w:val="32"/>
          <w:highlight w:val="none"/>
        </w:rPr>
      </w:pPr>
      <w:bookmarkStart w:id="4" w:name="_Toc31238"/>
      <w:bookmarkStart w:id="5" w:name="_Toc2151"/>
      <w:r>
        <w:rPr>
          <w:rFonts w:hint="eastAsia" w:ascii="仿宋_GB2312" w:hAnsi="仿宋_GB2312" w:eastAsia="仿宋_GB2312" w:cs="仿宋_GB2312"/>
          <w:sz w:val="32"/>
          <w:szCs w:val="32"/>
        </w:rPr>
        <w:t>新疆地矿局第六地质大队成立于1957年，</w:t>
      </w:r>
      <w:r>
        <w:rPr>
          <w:rFonts w:hint="eastAsia" w:ascii="仿宋_GB2312" w:hAnsi="仿宋_GB2312" w:eastAsia="仿宋_GB2312" w:cs="仿宋_GB2312"/>
          <w:sz w:val="32"/>
          <w:szCs w:val="32"/>
          <w:lang w:val="en-US" w:eastAsia="zh-CN"/>
        </w:rPr>
        <w:t>是利用</w:t>
      </w:r>
      <w:r>
        <w:rPr>
          <w:rFonts w:hint="eastAsia" w:ascii="仿宋_GB2312" w:hAnsi="仿宋_GB2312" w:eastAsia="仿宋_GB2312" w:cs="仿宋_GB2312"/>
          <w:sz w:val="32"/>
          <w:szCs w:val="32"/>
        </w:rPr>
        <w:t>地质</w:t>
      </w:r>
      <w:r>
        <w:rPr>
          <w:rFonts w:hint="eastAsia" w:ascii="仿宋_GB2312" w:hAnsi="仿宋_GB2312" w:eastAsia="仿宋_GB2312" w:cs="仿宋_GB2312"/>
          <w:sz w:val="32"/>
          <w:szCs w:val="32"/>
          <w:lang w:val="en-US" w:eastAsia="zh-CN"/>
        </w:rPr>
        <w:t>测量</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物化探、</w:t>
      </w:r>
      <w:r>
        <w:rPr>
          <w:rFonts w:hint="eastAsia" w:ascii="仿宋_GB2312" w:hAnsi="仿宋_GB2312" w:eastAsia="仿宋_GB2312" w:cs="仿宋_GB2312"/>
          <w:sz w:val="32"/>
          <w:szCs w:val="32"/>
        </w:rPr>
        <w:t>钻探、</w:t>
      </w:r>
      <w:r>
        <w:rPr>
          <w:rFonts w:hint="eastAsia" w:ascii="仿宋_GB2312" w:hAnsi="仿宋_GB2312" w:eastAsia="仿宋_GB2312" w:cs="仿宋_GB2312"/>
          <w:sz w:val="32"/>
          <w:szCs w:val="32"/>
          <w:lang w:val="en-US" w:eastAsia="zh-CN"/>
        </w:rPr>
        <w:t>遥感解译</w:t>
      </w:r>
      <w:r>
        <w:rPr>
          <w:rFonts w:hint="eastAsia" w:ascii="仿宋_GB2312" w:hAnsi="仿宋_GB2312" w:eastAsia="仿宋_GB2312" w:cs="仿宋_GB2312"/>
          <w:sz w:val="32"/>
          <w:szCs w:val="32"/>
        </w:rPr>
        <w:t>等工作</w:t>
      </w:r>
      <w:r>
        <w:rPr>
          <w:rFonts w:hint="eastAsia" w:ascii="仿宋_GB2312" w:hAnsi="仿宋_GB2312" w:eastAsia="仿宋_GB2312" w:cs="仿宋_GB2312"/>
          <w:sz w:val="32"/>
          <w:szCs w:val="32"/>
          <w:lang w:val="en-US" w:eastAsia="zh-CN"/>
        </w:rPr>
        <w:t>手段，为基础地质数据调查、采集、更新工作提供数据支持；在相关部门授权下，承担矿山环境、地质遗迹及地质灾害调查评价工作；开展岩石、矿物、水质等地质检验、检测工作；</w:t>
      </w:r>
      <w:r>
        <w:rPr>
          <w:rFonts w:hint="eastAsia" w:ascii="仿宋_GB2312" w:hAnsi="仿宋_GB2312" w:eastAsia="仿宋_GB2312" w:cs="仿宋_GB2312"/>
          <w:color w:val="auto"/>
          <w:sz w:val="32"/>
          <w:szCs w:val="32"/>
        </w:rPr>
        <w:t>开展地质勘查手段技术方法试验、示范与推广</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为国土空间生态保护与修复规划编制、矿山地质环境监测与生态修复、绿色矿山建设提供</w:t>
      </w:r>
      <w:r>
        <w:rPr>
          <w:rFonts w:hint="eastAsia" w:ascii="仿宋_GB2312" w:hAnsi="仿宋" w:eastAsia="仿宋_GB2312"/>
          <w:sz w:val="32"/>
          <w:szCs w:val="32"/>
          <w:lang w:val="en-US" w:eastAsia="zh-CN"/>
        </w:rPr>
        <w:t>技术</w:t>
      </w:r>
      <w:r>
        <w:rPr>
          <w:rFonts w:hint="eastAsia" w:ascii="仿宋_GB2312" w:hAnsi="仿宋_GB2312" w:eastAsia="仿宋_GB2312" w:cs="仿宋_GB2312"/>
          <w:sz w:val="32"/>
          <w:szCs w:val="32"/>
          <w:lang w:val="en-US" w:eastAsia="zh-CN"/>
        </w:rPr>
        <w:t>支撑。属于独立核算的公益二类事业单位。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rPr>
      </w:pPr>
      <w:r>
        <w:rPr>
          <w:rFonts w:hint="eastAsia" w:ascii="仿宋_GB2312" w:eastAsia="仿宋_GB2312"/>
          <w:color w:val="auto"/>
          <w:sz w:val="32"/>
          <w:szCs w:val="32"/>
          <w:highlight w:val="none"/>
          <w:lang w:val="en-US" w:eastAsia="zh-CN"/>
        </w:rPr>
        <w:t>新疆维吾尔自治区地质矿产勘查开发局第六地质大队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875</w:t>
      </w:r>
      <w:r>
        <w:rPr>
          <w:rFonts w:hint="eastAsia" w:ascii="仿宋_GB2312" w:eastAsia="仿宋_GB2312"/>
          <w:color w:val="auto"/>
          <w:sz w:val="32"/>
          <w:szCs w:val="32"/>
          <w:highlight w:val="none"/>
        </w:rPr>
        <w:t>人，其中：在职人员</w:t>
      </w:r>
      <w:r>
        <w:rPr>
          <w:rFonts w:hint="eastAsia" w:ascii="Times New Roman" w:hAnsi="Times New Roman" w:eastAsia="仿宋_GB2312" w:cs="Times New Roman"/>
          <w:color w:val="auto"/>
          <w:sz w:val="32"/>
          <w:szCs w:val="32"/>
          <w:highlight w:val="none"/>
          <w:lang w:val="zh-CN" w:eastAsia="zh-CN"/>
        </w:rPr>
        <w:t>259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Times New Roman" w:hAnsi="Times New Roman" w:eastAsia="仿宋_GB2312" w:cs="Times New Roman"/>
          <w:color w:val="auto"/>
          <w:sz w:val="32"/>
          <w:szCs w:val="32"/>
          <w:highlight w:val="none"/>
          <w:lang w:val="zh-CN" w:eastAsia="zh-CN"/>
        </w:rPr>
        <w:t>3</w:t>
      </w:r>
      <w:r>
        <w:rPr>
          <w:rFonts w:hint="eastAsia" w:ascii="仿宋_GB2312" w:eastAsia="仿宋_GB2312"/>
          <w:color w:val="auto"/>
          <w:sz w:val="32"/>
          <w:szCs w:val="32"/>
          <w:highlight w:val="none"/>
        </w:rPr>
        <w:t>人，退休人员</w:t>
      </w:r>
      <w:r>
        <w:rPr>
          <w:rFonts w:hint="eastAsia" w:ascii="Times New Roman" w:hAnsi="Times New Roman" w:eastAsia="仿宋_GB2312" w:cs="Times New Roman"/>
          <w:color w:val="auto"/>
          <w:sz w:val="32"/>
          <w:szCs w:val="32"/>
          <w:highlight w:val="none"/>
          <w:lang w:val="zh-CN" w:eastAsia="zh-CN"/>
        </w:rPr>
        <w:t>613</w:t>
      </w:r>
      <w:r>
        <w:rPr>
          <w:rFonts w:hint="eastAsia" w:ascii="仿宋_GB2312" w:eastAsia="仿宋_GB2312"/>
          <w:color w:val="auto"/>
          <w:sz w:val="32"/>
          <w:szCs w:val="32"/>
          <w:highlight w:val="none"/>
        </w:rPr>
        <w:t>人。</w:t>
      </w:r>
      <w:bookmarkStart w:id="6" w:name="_Toc29374"/>
      <w:bookmarkStart w:id="7" w:name="_Toc3092"/>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highlight w:val="none"/>
          <w:lang w:val="en-US" w:eastAsia="zh-CN"/>
        </w:rPr>
        <w:t>我</w:t>
      </w:r>
      <w:r>
        <w:rPr>
          <w:rFonts w:hint="eastAsia" w:ascii="仿宋_GB2312" w:hAnsi="黑体" w:eastAsia="仿宋_GB2312" w:cs="宋体"/>
          <w:bCs/>
          <w:kern w:val="0"/>
          <w:sz w:val="32"/>
          <w:szCs w:val="32"/>
          <w:highlight w:val="none"/>
        </w:rPr>
        <w:t>单位无下属预算单位，</w:t>
      </w:r>
      <w:r>
        <w:rPr>
          <w:rFonts w:hint="eastAsia" w:ascii="仿宋_GB2312" w:hAnsi="仿宋" w:eastAsia="仿宋_GB2312"/>
          <w:sz w:val="32"/>
          <w:szCs w:val="32"/>
          <w:lang w:val="en-US" w:eastAsia="zh-CN"/>
        </w:rPr>
        <w:t>全队设置职能科室</w:t>
      </w:r>
      <w:r>
        <w:rPr>
          <w:rFonts w:hint="eastAsia" w:ascii="Times New Roman" w:hAnsi="Times New Roman" w:eastAsia="仿宋_GB2312" w:cs="Times New Roman"/>
          <w:color w:val="auto"/>
          <w:sz w:val="32"/>
          <w:szCs w:val="32"/>
          <w:highlight w:val="none"/>
          <w:lang w:val="en-US" w:eastAsia="zh-CN"/>
        </w:rPr>
        <w:t>9</w:t>
      </w:r>
      <w:r>
        <w:rPr>
          <w:rFonts w:hint="eastAsia" w:ascii="仿宋_GB2312" w:hAnsi="仿宋" w:eastAsia="仿宋_GB2312"/>
          <w:sz w:val="32"/>
          <w:szCs w:val="32"/>
          <w:lang w:val="en-US" w:eastAsia="zh-CN"/>
        </w:rPr>
        <w:t>个，</w:t>
      </w:r>
      <w:r>
        <w:rPr>
          <w:rFonts w:hint="eastAsia" w:ascii="仿宋_GB2312" w:hAnsi="黑体" w:eastAsia="仿宋_GB2312" w:cs="宋体"/>
          <w:bCs/>
          <w:kern w:val="0"/>
          <w:sz w:val="32"/>
          <w:szCs w:val="32"/>
          <w:highlight w:val="none"/>
        </w:rPr>
        <w:t>分别是：</w:t>
      </w:r>
      <w:r>
        <w:rPr>
          <w:rFonts w:hint="eastAsia" w:ascii="仿宋_GB2312" w:hAnsi="宋体" w:eastAsia="仿宋_GB2312" w:cs="宋体"/>
          <w:kern w:val="0"/>
          <w:sz w:val="32"/>
          <w:szCs w:val="32"/>
          <w:highlight w:val="none"/>
        </w:rPr>
        <w:t>党政办公室、党群办公室（含团委）、人事科、财务资产管理科、地质矿产科、综合计划管理科、安全生产管理科、纪检监察科、工会</w:t>
      </w:r>
      <w:r>
        <w:rPr>
          <w:rFonts w:hint="eastAsia" w:ascii="仿宋_GB2312" w:hAnsi="宋体" w:eastAsia="仿宋_GB2312" w:cs="宋体"/>
          <w:kern w:val="0"/>
          <w:sz w:val="32"/>
          <w:szCs w:val="32"/>
          <w:highlight w:val="none"/>
          <w:lang w:eastAsia="zh-CN"/>
        </w:rPr>
        <w:t>。</w:t>
      </w:r>
      <w:r>
        <w:rPr>
          <w:rFonts w:hint="eastAsia" w:ascii="仿宋_GB2312" w:hAnsi="仿宋_GB2312" w:eastAsia="仿宋_GB2312" w:cs="仿宋_GB2312"/>
          <w:sz w:val="32"/>
          <w:szCs w:val="32"/>
        </w:rPr>
        <w:t>设置生产部门</w:t>
      </w:r>
      <w:r>
        <w:rPr>
          <w:rFonts w:hint="eastAsia" w:ascii="Times New Roman" w:hAnsi="Times New Roman" w:eastAsia="仿宋_GB2312" w:cs="Times New Roman"/>
          <w:color w:val="auto"/>
          <w:sz w:val="32"/>
          <w:szCs w:val="32"/>
          <w:highlight w:val="none"/>
          <w:lang w:val="en-US" w:eastAsia="zh-CN"/>
        </w:rPr>
        <w:t>5</w:t>
      </w:r>
      <w:r>
        <w:rPr>
          <w:rFonts w:hint="eastAsia" w:ascii="仿宋_GB2312" w:hAnsi="仿宋_GB2312" w:eastAsia="仿宋_GB2312" w:cs="仿宋_GB2312"/>
          <w:sz w:val="32"/>
          <w:szCs w:val="32"/>
        </w:rPr>
        <w:t>个，</w:t>
      </w:r>
      <w:r>
        <w:rPr>
          <w:rFonts w:hint="eastAsia" w:ascii="仿宋_GB2312" w:hAnsi="黑体" w:eastAsia="仿宋_GB2312" w:cs="宋体"/>
          <w:bCs/>
          <w:kern w:val="0"/>
          <w:sz w:val="32"/>
          <w:szCs w:val="32"/>
          <w:highlight w:val="none"/>
        </w:rPr>
        <w:t>分别是：</w:t>
      </w:r>
      <w:r>
        <w:rPr>
          <w:rFonts w:hint="eastAsia" w:ascii="仿宋_GB2312" w:hAnsi="宋体" w:eastAsia="仿宋_GB2312" w:cs="宋体"/>
          <w:kern w:val="0"/>
          <w:sz w:val="32"/>
          <w:szCs w:val="32"/>
          <w:highlight w:val="none"/>
        </w:rPr>
        <w:t>地质调查一院、地质调查二院、地质调查三院、地质工程勘察院、地质探矿工程院</w:t>
      </w:r>
      <w:r>
        <w:rPr>
          <w:rFonts w:hint="eastAsia" w:ascii="仿宋_GB2312" w:hAnsi="宋体" w:eastAsia="仿宋_GB2312" w:cs="宋体"/>
          <w:kern w:val="0"/>
          <w:sz w:val="32"/>
          <w:szCs w:val="32"/>
          <w:highlight w:val="none"/>
          <w:lang w:eastAsia="zh-CN"/>
        </w:rPr>
        <w:t>。</w:t>
      </w:r>
      <w:r>
        <w:rPr>
          <w:rFonts w:hint="eastAsia" w:ascii="仿宋_GB2312" w:hAnsi="仿宋" w:eastAsia="仿宋_GB2312"/>
          <w:color w:val="000000"/>
          <w:sz w:val="32"/>
          <w:szCs w:val="32"/>
        </w:rPr>
        <w:t>设置辅助生产部门</w:t>
      </w:r>
      <w:r>
        <w:rPr>
          <w:rFonts w:hint="eastAsia" w:ascii="Times New Roman" w:hAnsi="Times New Roman" w:eastAsia="仿宋_GB2312" w:cs="Times New Roman"/>
          <w:color w:val="auto"/>
          <w:sz w:val="32"/>
          <w:szCs w:val="32"/>
          <w:highlight w:val="none"/>
          <w:lang w:val="en-US" w:eastAsia="zh-CN"/>
        </w:rPr>
        <w:t>3</w:t>
      </w:r>
      <w:r>
        <w:rPr>
          <w:rFonts w:hint="eastAsia" w:ascii="仿宋_GB2312" w:hAnsi="仿宋" w:eastAsia="仿宋_GB2312"/>
          <w:color w:val="000000"/>
          <w:sz w:val="32"/>
          <w:szCs w:val="32"/>
        </w:rPr>
        <w:t>个，分别是：</w:t>
      </w:r>
      <w:r>
        <w:rPr>
          <w:rFonts w:hint="eastAsia" w:ascii="仿宋_GB2312" w:hAnsi="宋体" w:eastAsia="仿宋_GB2312" w:cs="宋体"/>
          <w:kern w:val="0"/>
          <w:sz w:val="32"/>
          <w:szCs w:val="32"/>
          <w:highlight w:val="none"/>
        </w:rPr>
        <w:t>实验室、物资供应科、车队</w:t>
      </w:r>
      <w:r>
        <w:rPr>
          <w:rFonts w:hint="eastAsia" w:ascii="仿宋_GB2312" w:hAnsi="宋体" w:eastAsia="仿宋_GB2312" w:cs="宋体"/>
          <w:kern w:val="0"/>
          <w:sz w:val="32"/>
          <w:szCs w:val="32"/>
          <w:highlight w:val="none"/>
          <w:lang w:eastAsia="zh-CN"/>
        </w:rPr>
        <w:t>。</w:t>
      </w:r>
      <w:r>
        <w:rPr>
          <w:rFonts w:hint="eastAsia" w:ascii="仿宋_GB2312" w:hAnsi="仿宋" w:eastAsia="仿宋_GB2312"/>
          <w:color w:val="000000"/>
          <w:sz w:val="32"/>
          <w:szCs w:val="32"/>
        </w:rPr>
        <w:t>设置服务部门</w:t>
      </w:r>
      <w:r>
        <w:rPr>
          <w:rFonts w:hint="eastAsia" w:ascii="Times New Roman" w:hAnsi="Times New Roman" w:eastAsia="仿宋_GB2312" w:cs="Times New Roman"/>
          <w:color w:val="auto"/>
          <w:sz w:val="32"/>
          <w:szCs w:val="32"/>
          <w:highlight w:val="none"/>
          <w:lang w:val="en-US" w:eastAsia="zh-CN"/>
        </w:rPr>
        <w:t>2</w:t>
      </w:r>
      <w:r>
        <w:rPr>
          <w:rFonts w:hint="eastAsia" w:ascii="仿宋_GB2312" w:hAnsi="仿宋" w:eastAsia="仿宋_GB2312"/>
          <w:color w:val="000000"/>
          <w:sz w:val="32"/>
          <w:szCs w:val="32"/>
        </w:rPr>
        <w:t>个，分别是：</w:t>
      </w:r>
      <w:r>
        <w:rPr>
          <w:rFonts w:hint="eastAsia" w:ascii="仿宋_GB2312" w:hAnsi="宋体" w:eastAsia="仿宋_GB2312" w:cs="宋体"/>
          <w:kern w:val="0"/>
          <w:sz w:val="32"/>
          <w:szCs w:val="32"/>
          <w:highlight w:val="none"/>
        </w:rPr>
        <w:t>离退休人员管理科、后勤服务中心。</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Times New Roman" w:hAnsi="Times New Roman" w:eastAsia="仿宋_GB2312" w:cs="Times New Roman"/>
          <w:color w:val="auto"/>
          <w:sz w:val="32"/>
          <w:szCs w:val="32"/>
          <w:highlight w:val="none"/>
          <w:lang w:val="en-US" w:eastAsia="zh-CN"/>
        </w:rPr>
        <w:t>14,731.35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其中：本年收入合计</w:t>
      </w:r>
      <w:r>
        <w:rPr>
          <w:rFonts w:hint="eastAsia" w:ascii="Times New Roman" w:hAnsi="Times New Roman" w:eastAsia="仿宋_GB2312" w:cs="Times New Roman"/>
          <w:color w:val="auto"/>
          <w:sz w:val="32"/>
          <w:szCs w:val="32"/>
          <w:highlight w:val="none"/>
          <w:lang w:val="en-US" w:eastAsia="zh-CN"/>
        </w:rPr>
        <w:t>11,996.31</w:t>
      </w:r>
      <w:r>
        <w:rPr>
          <w:rFonts w:hint="eastAsia" w:ascii="仿宋_GB2312" w:eastAsia="仿宋_GB2312"/>
          <w:color w:val="auto"/>
          <w:spacing w:val="0"/>
          <w:sz w:val="32"/>
          <w:szCs w:val="32"/>
          <w:highlight w:val="none"/>
          <w:lang w:eastAsia="zh-CN"/>
        </w:rPr>
        <w:t>万元，使用非财政拨款结余</w:t>
      </w:r>
      <w:r>
        <w:rPr>
          <w:rFonts w:hint="eastAsia" w:ascii="Times New Roman" w:hAnsi="Times New Roman" w:eastAsia="仿宋_GB2312" w:cs="Times New Roman"/>
          <w:color w:val="auto"/>
          <w:sz w:val="32"/>
          <w:szCs w:val="32"/>
          <w:highlight w:val="none"/>
          <w:lang w:val="en-US" w:eastAsia="zh-CN"/>
        </w:rPr>
        <w:t>2,735.04</w:t>
      </w:r>
      <w:r>
        <w:rPr>
          <w:rFonts w:hint="eastAsia" w:ascii="仿宋_GB2312" w:eastAsia="仿宋_GB2312"/>
          <w:color w:val="auto"/>
          <w:spacing w:val="0"/>
          <w:sz w:val="32"/>
          <w:szCs w:val="32"/>
          <w:highlight w:val="none"/>
          <w:lang w:eastAsia="zh-CN"/>
        </w:rPr>
        <w:t>万元，年初结转和结余</w:t>
      </w:r>
      <w:r>
        <w:rPr>
          <w:rFonts w:hint="eastAsia" w:ascii="Times New Roman" w:hAnsi="Times New Roman" w:eastAsia="仿宋_GB2312" w:cs="Times New Roman"/>
          <w:color w:val="auto"/>
          <w:sz w:val="32"/>
          <w:szCs w:val="32"/>
          <w:highlight w:val="none"/>
          <w:lang w:val="en-US" w:eastAsia="zh-CN"/>
        </w:rPr>
        <w:t>0.00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Times New Roman" w:hAnsi="Times New Roman" w:eastAsia="仿宋_GB2312" w:cs="Times New Roman"/>
          <w:color w:val="auto"/>
          <w:sz w:val="32"/>
          <w:szCs w:val="32"/>
          <w:highlight w:val="none"/>
          <w:lang w:val="en-US" w:eastAsia="zh-CN"/>
        </w:rPr>
        <w:t>14,731.35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其中：本年支出合计</w:t>
      </w:r>
      <w:r>
        <w:rPr>
          <w:rFonts w:hint="eastAsia" w:ascii="Times New Roman" w:hAnsi="Times New Roman" w:eastAsia="仿宋_GB2312" w:cs="Times New Roman"/>
          <w:color w:val="auto"/>
          <w:sz w:val="32"/>
          <w:szCs w:val="32"/>
          <w:highlight w:val="none"/>
          <w:lang w:val="en-US" w:eastAsia="zh-CN"/>
        </w:rPr>
        <w:t>11,883.62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结余分配</w:t>
      </w:r>
      <w:r>
        <w:rPr>
          <w:rFonts w:hint="eastAsia" w:ascii="Times New Roman" w:hAnsi="Times New Roman" w:eastAsia="仿宋_GB2312" w:cs="Times New Roman"/>
          <w:color w:val="auto"/>
          <w:sz w:val="32"/>
          <w:szCs w:val="32"/>
          <w:highlight w:val="none"/>
          <w:lang w:val="en-US" w:eastAsia="zh-CN"/>
        </w:rPr>
        <w:t>2,847.73</w:t>
      </w:r>
      <w:r>
        <w:rPr>
          <w:rFonts w:hint="eastAsia" w:ascii="仿宋_GB2312" w:eastAsia="仿宋_GB2312"/>
          <w:color w:val="auto"/>
          <w:spacing w:val="0"/>
          <w:sz w:val="32"/>
          <w:szCs w:val="32"/>
          <w:highlight w:val="none"/>
          <w:lang w:eastAsia="zh-CN"/>
        </w:rPr>
        <w:t>万元，年末结转和结余</w:t>
      </w:r>
      <w:r>
        <w:rPr>
          <w:rFonts w:hint="eastAsia" w:ascii="Times New Roman" w:hAnsi="Times New Roman" w:eastAsia="仿宋_GB2312" w:cs="Times New Roman"/>
          <w:color w:val="auto"/>
          <w:sz w:val="32"/>
          <w:szCs w:val="32"/>
          <w:highlight w:val="none"/>
          <w:lang w:val="en-US" w:eastAsia="zh-CN"/>
        </w:rPr>
        <w:t>0.00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w:t>
      </w:r>
      <w:r>
        <w:rPr>
          <w:rFonts w:hint="eastAsia" w:ascii="Times New Roman" w:hAnsi="Times New Roman" w:eastAsia="仿宋_GB2312" w:cs="Times New Roman"/>
          <w:color w:val="auto"/>
          <w:sz w:val="32"/>
          <w:szCs w:val="32"/>
          <w:highlight w:val="none"/>
          <w:lang w:val="zh-CN" w:eastAsia="zh-CN"/>
        </w:rPr>
        <w:t>5,829.47</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，增长</w:t>
      </w:r>
      <w:r>
        <w:rPr>
          <w:rFonts w:hint="eastAsia" w:ascii="Times New Roman" w:hAnsi="Times New Roman" w:eastAsia="仿宋_GB2312" w:cs="Times New Roman"/>
          <w:color w:val="auto"/>
          <w:sz w:val="32"/>
          <w:szCs w:val="32"/>
          <w:highlight w:val="none"/>
          <w:lang w:val="zh-CN" w:eastAsia="zh-CN"/>
        </w:rPr>
        <w:t>65.49%</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支出增加较大</w:t>
      </w:r>
      <w:r>
        <w:rPr>
          <w:rFonts w:hint="eastAsia" w:ascii="仿宋_GB2312" w:hAnsi="仿宋_GB2312" w:eastAsia="仿宋_GB2312" w:cs="仿宋_GB2312"/>
          <w:sz w:val="32"/>
          <w:szCs w:val="32"/>
        </w:rPr>
        <w:t>，因为</w:t>
      </w:r>
      <w:r>
        <w:rPr>
          <w:rFonts w:hint="eastAsia" w:ascii="仿宋_GB2312" w:hAnsi="仿宋_GB2312" w:eastAsia="仿宋_GB2312" w:cs="仿宋_GB2312"/>
          <w:sz w:val="32"/>
          <w:szCs w:val="32"/>
          <w:lang w:val="en-US" w:eastAsia="zh-CN"/>
        </w:rPr>
        <w:t>我单位积极拓宽市场渠道，参与市场竞争，取得的市场项目明显增加，同时以往因疫情原因推迟的项目今年陆续开展，使得我单位市场项目收入支出增加，故我单位本年取得的经营收入支出都</w:t>
      </w:r>
      <w:r>
        <w:rPr>
          <w:rFonts w:hint="eastAsia" w:ascii="仿宋_GB2312" w:hAnsi="仿宋_GB2312" w:eastAsia="仿宋_GB2312" w:cs="仿宋_GB2312"/>
          <w:sz w:val="32"/>
          <w:szCs w:val="32"/>
        </w:rPr>
        <w:t>较上年</w:t>
      </w:r>
      <w:r>
        <w:rPr>
          <w:rFonts w:hint="eastAsia" w:ascii="仿宋_GB2312" w:hAnsi="仿宋_GB2312" w:eastAsia="仿宋_GB2312" w:cs="仿宋_GB2312"/>
          <w:sz w:val="32"/>
          <w:szCs w:val="32"/>
          <w:lang w:val="en-US" w:eastAsia="zh-CN"/>
        </w:rPr>
        <w:t>增加明显</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通过分析说明我单位收入支出受市场影响较大，存在较高风险，应进一步增强抗风险能力，拓宽收入渠道，降低风险，同时加强地质人员技术培训和学习，提高地质人员业务水平，从而在市场竞争中取得优势，获得更高的市场回报。还要加强管理水平，取得更多资质和认证，确保单位在本行业中保持优势地位，获得更多专业认可，从而获得地勘基金项目的承揽权利，获得更多财政项目拨款。更应该有目的的加强踏勘工作，争取获得第一手资料，为与其他单位开展合作开发提供可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Times New Roman" w:hAnsi="Times New Roman" w:eastAsia="仿宋_GB2312" w:cs="Times New Roman"/>
          <w:color w:val="auto"/>
          <w:sz w:val="32"/>
          <w:szCs w:val="32"/>
          <w:highlight w:val="none"/>
          <w:lang w:val="zh-CN" w:eastAsia="zh-CN"/>
        </w:rPr>
        <w:t>11,996.31</w:t>
      </w:r>
      <w:r>
        <w:rPr>
          <w:rFonts w:hint="eastAsia" w:ascii="仿宋_GB2312" w:eastAsia="仿宋_GB2312"/>
          <w:color w:val="auto"/>
          <w:sz w:val="32"/>
          <w:szCs w:val="32"/>
          <w:highlight w:val="none"/>
        </w:rPr>
        <w:t>万元，其中：财政拨款收入</w:t>
      </w:r>
      <w:r>
        <w:rPr>
          <w:rFonts w:hint="eastAsia" w:ascii="Times New Roman" w:hAnsi="Times New Roman" w:eastAsia="仿宋_GB2312" w:cs="Times New Roman"/>
          <w:color w:val="auto"/>
          <w:sz w:val="32"/>
          <w:szCs w:val="32"/>
          <w:highlight w:val="none"/>
          <w:lang w:val="zh-CN" w:eastAsia="zh-CN"/>
        </w:rPr>
        <w:t>3,966.37</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33.06%</w:t>
      </w:r>
      <w:r>
        <w:rPr>
          <w:rFonts w:hint="eastAsia" w:ascii="仿宋_GB2312" w:eastAsia="仿宋_GB2312"/>
          <w:color w:val="auto"/>
          <w:sz w:val="32"/>
          <w:szCs w:val="32"/>
          <w:highlight w:val="none"/>
        </w:rPr>
        <w:t>；上级补助收入</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；事业收入</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；经营收入</w:t>
      </w:r>
      <w:r>
        <w:rPr>
          <w:rFonts w:hint="eastAsia" w:ascii="Times New Roman" w:hAnsi="Times New Roman" w:eastAsia="仿宋_GB2312" w:cs="Times New Roman"/>
          <w:color w:val="auto"/>
          <w:sz w:val="32"/>
          <w:szCs w:val="32"/>
          <w:highlight w:val="none"/>
          <w:lang w:val="zh-CN" w:eastAsia="zh-CN"/>
        </w:rPr>
        <w:t>7,665.94</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63.90%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；其他收入</w:t>
      </w:r>
      <w:r>
        <w:rPr>
          <w:rFonts w:hint="eastAsia" w:ascii="Times New Roman" w:hAnsi="Times New Roman" w:eastAsia="仿宋_GB2312" w:cs="Times New Roman"/>
          <w:color w:val="auto"/>
          <w:sz w:val="32"/>
          <w:szCs w:val="32"/>
          <w:highlight w:val="none"/>
          <w:lang w:val="zh-CN" w:eastAsia="zh-CN"/>
        </w:rPr>
        <w:t>364.00</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3.03%</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w:t>
      </w:r>
      <w:r>
        <w:rPr>
          <w:rFonts w:hint="eastAsia" w:ascii="Times New Roman" w:hAnsi="Times New Roman" w:eastAsia="仿宋_GB2312" w:cs="Times New Roman"/>
          <w:color w:val="auto"/>
          <w:sz w:val="32"/>
          <w:szCs w:val="32"/>
          <w:highlight w:val="none"/>
          <w:lang w:val="zh-CN" w:eastAsia="zh-CN"/>
        </w:rPr>
        <w:t>11,883.62</w:t>
      </w:r>
      <w:r>
        <w:rPr>
          <w:rFonts w:hint="eastAsia" w:ascii="Times New Roman" w:hAnsi="Times New Roman" w:eastAsia="仿宋_GB2312" w:cs="仿宋_GB2312"/>
          <w:color w:val="auto"/>
          <w:sz w:val="32"/>
          <w:szCs w:val="32"/>
          <w:highlight w:val="none"/>
          <w:lang w:val="zh-CN" w:eastAsia="zh-CN"/>
        </w:rPr>
        <w:t>万元，其中：基本支出6,495.41万元，占54.66%；项目支出570.00万元，占4.80%；上缴上级支出0.00万元，占0.00%；经营支出4,818.21万元，占40.54%；对附属单位补助支出0.00万元，占0.00%。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Times New Roman" w:hAnsi="Times New Roman" w:eastAsia="仿宋_GB2312" w:cs="仿宋_GB2312"/>
          <w:color w:val="auto"/>
          <w:sz w:val="32"/>
          <w:szCs w:val="32"/>
          <w:highlight w:val="none"/>
          <w:lang w:val="zh-CN" w:eastAsia="zh-CN"/>
        </w:rPr>
        <w:t>3,966.37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Times New Roman" w:hAnsi="Times New Roman" w:eastAsia="仿宋_GB2312" w:cs="仿宋_GB2312"/>
          <w:color w:val="auto"/>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Times New Roman" w:hAnsi="Times New Roman" w:eastAsia="仿宋_GB2312" w:cs="仿宋_GB2312"/>
          <w:color w:val="auto"/>
          <w:sz w:val="32"/>
          <w:szCs w:val="32"/>
          <w:highlight w:val="none"/>
          <w:lang w:val="zh-CN" w:eastAsia="zh-CN"/>
        </w:rPr>
        <w:t>3,966.37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Times New Roman" w:hAnsi="Times New Roman" w:eastAsia="仿宋_GB2312" w:cs="仿宋_GB2312"/>
          <w:color w:val="auto"/>
          <w:sz w:val="32"/>
          <w:szCs w:val="32"/>
          <w:highlight w:val="none"/>
          <w:lang w:val="zh-CN" w:eastAsia="zh-CN"/>
        </w:rPr>
        <w:t>3,966.37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Times New Roman" w:hAnsi="Times New Roman" w:eastAsia="仿宋_GB2312" w:cs="仿宋_GB2312"/>
          <w:color w:val="auto"/>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Times New Roman" w:hAnsi="Times New Roman" w:eastAsia="仿宋_GB2312" w:cs="仿宋_GB2312"/>
          <w:color w:val="auto"/>
          <w:sz w:val="32"/>
          <w:szCs w:val="32"/>
          <w:highlight w:val="none"/>
          <w:lang w:val="zh-CN" w:eastAsia="zh-CN"/>
        </w:rPr>
        <w:t>3,966.37</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w:t>
      </w:r>
      <w:r>
        <w:rPr>
          <w:rFonts w:hint="eastAsia" w:ascii="Times New Roman" w:hAnsi="Times New Roman" w:eastAsia="仿宋_GB2312" w:cs="仿宋_GB2312"/>
          <w:color w:val="auto"/>
          <w:sz w:val="32"/>
          <w:szCs w:val="32"/>
          <w:highlight w:val="none"/>
          <w:lang w:val="zh-CN" w:eastAsia="zh-CN"/>
        </w:rPr>
        <w:t>34.23</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w:t>
      </w:r>
      <w:r>
        <w:rPr>
          <w:rFonts w:hint="eastAsia" w:ascii="Times New Roman" w:hAnsi="Times New Roman" w:eastAsia="仿宋_GB2312" w:cs="仿宋_GB2312"/>
          <w:color w:val="auto"/>
          <w:sz w:val="32"/>
          <w:szCs w:val="32"/>
          <w:highlight w:val="none"/>
          <w:lang w:val="en-US" w:eastAsia="zh-CN"/>
        </w:rPr>
        <w:t>0.87%</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sz w:val="32"/>
          <w:szCs w:val="32"/>
          <w:lang w:val="en-US" w:eastAsia="zh-CN"/>
        </w:rPr>
        <w:t>离退休及在职职工的基本工资和效益奖金均有增加</w:t>
      </w:r>
      <w:r>
        <w:rPr>
          <w:rFonts w:hint="eastAsia" w:ascii="仿宋_GB2312" w:eastAsia="仿宋_GB2312"/>
          <w:color w:val="auto"/>
          <w:spacing w:val="0"/>
          <w:sz w:val="32"/>
          <w:szCs w:val="32"/>
          <w:highlight w:val="none"/>
          <w:lang w:eastAsia="zh-CN"/>
        </w:rPr>
        <w:t>。与年初预算相比，年初预算数</w:t>
      </w:r>
      <w:r>
        <w:rPr>
          <w:rFonts w:hint="eastAsia" w:ascii="Times New Roman" w:hAnsi="Times New Roman" w:eastAsia="仿宋_GB2312" w:cs="仿宋_GB2312"/>
          <w:color w:val="auto"/>
          <w:sz w:val="32"/>
          <w:szCs w:val="32"/>
          <w:highlight w:val="none"/>
          <w:lang w:val="zh-CN" w:eastAsia="zh-CN"/>
        </w:rPr>
        <w:t>3,164.46</w:t>
      </w:r>
      <w:r>
        <w:rPr>
          <w:rFonts w:hint="eastAsia" w:ascii="仿宋_GB2312" w:eastAsia="仿宋_GB2312"/>
          <w:color w:val="auto"/>
          <w:spacing w:val="0"/>
          <w:sz w:val="32"/>
          <w:szCs w:val="32"/>
          <w:highlight w:val="none"/>
          <w:lang w:eastAsia="zh-CN"/>
        </w:rPr>
        <w:t>万元，决算数</w:t>
      </w:r>
      <w:r>
        <w:rPr>
          <w:rFonts w:hint="eastAsia" w:ascii="Times New Roman" w:hAnsi="Times New Roman" w:eastAsia="仿宋_GB2312" w:cs="仿宋_GB2312"/>
          <w:color w:val="auto"/>
          <w:sz w:val="32"/>
          <w:szCs w:val="32"/>
          <w:highlight w:val="none"/>
          <w:lang w:val="zh-CN" w:eastAsia="zh-CN"/>
        </w:rPr>
        <w:t>3,966.37</w:t>
      </w:r>
      <w:r>
        <w:rPr>
          <w:rFonts w:hint="eastAsia" w:ascii="仿宋_GB2312" w:eastAsia="仿宋_GB2312"/>
          <w:color w:val="auto"/>
          <w:spacing w:val="0"/>
          <w:sz w:val="32"/>
          <w:szCs w:val="32"/>
          <w:highlight w:val="none"/>
          <w:lang w:eastAsia="zh-CN"/>
        </w:rPr>
        <w:t>万元，预决算差异率</w:t>
      </w:r>
      <w:r>
        <w:rPr>
          <w:rFonts w:hint="eastAsia" w:ascii="Times New Roman" w:hAnsi="Times New Roman" w:eastAsia="仿宋_GB2312" w:cs="仿宋_GB2312"/>
          <w:color w:val="auto"/>
          <w:sz w:val="32"/>
          <w:szCs w:val="32"/>
          <w:highlight w:val="none"/>
          <w:lang w:val="zh-CN" w:eastAsia="zh-CN"/>
        </w:rPr>
        <w:t>25.34%</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sz w:val="32"/>
          <w:szCs w:val="32"/>
          <w:lang w:val="en-US" w:eastAsia="zh-CN"/>
        </w:rPr>
        <w:t>2023年4月我单位通过招标取得</w:t>
      </w:r>
      <w:r>
        <w:rPr>
          <w:rFonts w:hint="eastAsia" w:ascii="仿宋_GB2312" w:hAnsi="仿宋_GB2312" w:eastAsia="仿宋_GB2312" w:cs="仿宋_GB2312"/>
          <w:sz w:val="32"/>
          <w:szCs w:val="32"/>
        </w:rPr>
        <w:t>财政</w:t>
      </w:r>
      <w:r>
        <w:rPr>
          <w:rFonts w:hint="eastAsia" w:ascii="仿宋_GB2312" w:hAnsi="仿宋_GB2312" w:eastAsia="仿宋_GB2312" w:cs="仿宋_GB2312"/>
          <w:sz w:val="32"/>
          <w:szCs w:val="32"/>
          <w:lang w:val="en-US" w:eastAsia="zh-CN"/>
        </w:rPr>
        <w:t>拨款的2</w:t>
      </w:r>
      <w:r>
        <w:rPr>
          <w:rFonts w:hint="eastAsia" w:ascii="仿宋_GB2312" w:hAnsi="仿宋_GB2312" w:eastAsia="仿宋_GB2312" w:cs="仿宋_GB2312"/>
          <w:sz w:val="32"/>
          <w:szCs w:val="32"/>
        </w:rPr>
        <w:t>个地勘基金项目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新疆哈密市天湖-白</w:t>
      </w:r>
      <w:r>
        <w:rPr>
          <w:rFonts w:hint="eastAsia" w:ascii="仿宋_GB2312" w:hAnsi="仿宋_GB2312" w:eastAsia="仿宋_GB2312" w:cs="仿宋_GB2312"/>
          <w:sz w:val="32"/>
          <w:szCs w:val="32"/>
          <w:lang w:val="en-US" w:eastAsia="zh-CN"/>
        </w:rPr>
        <w:t>山一带钛铁多金属矿普查项目；新疆哈密市梧桐沟金矿普查项目），故财政拨款收入支出较年初预算增加。另</w:t>
      </w:r>
      <w:r>
        <w:rPr>
          <w:rFonts w:hint="eastAsia" w:ascii="仿宋_GB2312" w:hAnsi="微软雅黑" w:eastAsia="仿宋_GB2312"/>
          <w:sz w:val="32"/>
          <w:szCs w:val="32"/>
        </w:rPr>
        <w:t>在职人员工资标准及津贴补贴标准上调、职务职称正常晋升，相关费用随之调增</w:t>
      </w:r>
      <w:r>
        <w:rPr>
          <w:rFonts w:hint="eastAsia" w:ascii="仿宋_GB2312" w:hAnsi="仿宋_GB2312" w:eastAsia="仿宋_GB2312" w:cs="仿宋_GB2312"/>
          <w:kern w:val="0"/>
          <w:sz w:val="32"/>
          <w:szCs w:val="32"/>
          <w:highlight w:val="none"/>
          <w:lang w:eastAsia="zh-CN"/>
        </w:rPr>
        <w:t>。</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w:t>
      </w:r>
      <w:r>
        <w:rPr>
          <w:rFonts w:hint="eastAsia" w:ascii="Times New Roman" w:hAnsi="Times New Roman" w:eastAsia="仿宋_GB2312" w:cs="仿宋_GB2312"/>
          <w:color w:val="auto"/>
          <w:sz w:val="32"/>
          <w:szCs w:val="32"/>
          <w:highlight w:val="none"/>
          <w:lang w:val="en-US" w:eastAsia="zh-CN"/>
        </w:rPr>
        <w:t>3,966.37</w:t>
      </w:r>
      <w:r>
        <w:rPr>
          <w:rFonts w:hint="eastAsia" w:ascii="仿宋_GB2312" w:eastAsia="仿宋_GB2312"/>
          <w:color w:val="auto"/>
          <w:spacing w:val="0"/>
          <w:sz w:val="32"/>
          <w:szCs w:val="32"/>
          <w:highlight w:val="none"/>
          <w:lang w:eastAsia="zh-CN"/>
        </w:rPr>
        <w:t>万元，占本年支出合计的</w:t>
      </w:r>
      <w:r>
        <w:rPr>
          <w:rFonts w:hint="eastAsia" w:ascii="Times New Roman" w:hAnsi="Times New Roman" w:eastAsia="仿宋_GB2312" w:cs="仿宋_GB2312"/>
          <w:color w:val="auto"/>
          <w:sz w:val="32"/>
          <w:szCs w:val="32"/>
          <w:highlight w:val="none"/>
          <w:lang w:val="zh-CN" w:eastAsia="zh-CN"/>
        </w:rPr>
        <w:t>33.38%</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w:t>
      </w:r>
      <w:r>
        <w:rPr>
          <w:rFonts w:hint="eastAsia" w:ascii="Times New Roman" w:hAnsi="Times New Roman" w:eastAsia="仿宋_GB2312" w:cs="仿宋_GB2312"/>
          <w:color w:val="auto"/>
          <w:sz w:val="32"/>
          <w:szCs w:val="32"/>
          <w:highlight w:val="none"/>
          <w:lang w:val="zh-CN" w:eastAsia="zh-CN"/>
        </w:rPr>
        <w:t>34.23</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w:t>
      </w:r>
      <w:r>
        <w:rPr>
          <w:rFonts w:hint="eastAsia" w:ascii="Times New Roman" w:hAnsi="Times New Roman" w:eastAsia="仿宋_GB2312" w:cs="仿宋_GB2312"/>
          <w:color w:val="auto"/>
          <w:sz w:val="32"/>
          <w:szCs w:val="32"/>
          <w:highlight w:val="none"/>
          <w:lang w:val="en-US" w:eastAsia="zh-CN"/>
        </w:rPr>
        <w:t>0.87%</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sz w:val="32"/>
          <w:szCs w:val="32"/>
          <w:lang w:val="en-US" w:eastAsia="zh-CN"/>
        </w:rPr>
        <w:t>离退休及在职职工的基本工资和效益奖金均有增加</w:t>
      </w:r>
      <w:r>
        <w:rPr>
          <w:rFonts w:hint="eastAsia" w:ascii="仿宋_GB2312" w:eastAsia="仿宋_GB2312"/>
          <w:sz w:val="32"/>
          <w:szCs w:val="32"/>
          <w:highlight w:val="none"/>
        </w:rPr>
        <w:t>。</w:t>
      </w:r>
      <w:r>
        <w:rPr>
          <w:rFonts w:hint="eastAsia" w:ascii="仿宋_GB2312" w:eastAsia="仿宋_GB2312"/>
          <w:color w:val="auto"/>
          <w:spacing w:val="0"/>
          <w:sz w:val="32"/>
          <w:szCs w:val="32"/>
          <w:highlight w:val="none"/>
          <w:lang w:eastAsia="zh-CN"/>
        </w:rPr>
        <w:t>与年初预算相比，年初预算数</w:t>
      </w:r>
      <w:r>
        <w:rPr>
          <w:rFonts w:hint="eastAsia" w:ascii="Times New Roman" w:hAnsi="Times New Roman" w:eastAsia="仿宋_GB2312" w:cs="仿宋_GB2312"/>
          <w:color w:val="auto"/>
          <w:sz w:val="32"/>
          <w:szCs w:val="32"/>
          <w:highlight w:val="none"/>
          <w:lang w:val="zh-CN" w:eastAsia="zh-CN"/>
        </w:rPr>
        <w:t>3,164.46</w:t>
      </w:r>
      <w:r>
        <w:rPr>
          <w:rFonts w:hint="eastAsia" w:ascii="仿宋_GB2312" w:eastAsia="仿宋_GB2312"/>
          <w:color w:val="auto"/>
          <w:spacing w:val="0"/>
          <w:sz w:val="32"/>
          <w:szCs w:val="32"/>
          <w:highlight w:val="none"/>
          <w:lang w:eastAsia="zh-CN"/>
        </w:rPr>
        <w:t>万元，决算数</w:t>
      </w:r>
      <w:r>
        <w:rPr>
          <w:rFonts w:hint="eastAsia" w:ascii="Times New Roman" w:hAnsi="Times New Roman" w:eastAsia="仿宋_GB2312" w:cs="仿宋_GB2312"/>
          <w:color w:val="auto"/>
          <w:sz w:val="32"/>
          <w:szCs w:val="32"/>
          <w:highlight w:val="none"/>
          <w:lang w:val="zh-CN" w:eastAsia="zh-CN"/>
        </w:rPr>
        <w:t>3,966.37</w:t>
      </w:r>
      <w:r>
        <w:rPr>
          <w:rFonts w:hint="eastAsia" w:ascii="仿宋_GB2312" w:eastAsia="仿宋_GB2312"/>
          <w:color w:val="auto"/>
          <w:spacing w:val="0"/>
          <w:sz w:val="32"/>
          <w:szCs w:val="32"/>
          <w:highlight w:val="none"/>
          <w:lang w:eastAsia="zh-CN"/>
        </w:rPr>
        <w:t>万元，预决算差异率</w:t>
      </w:r>
      <w:r>
        <w:rPr>
          <w:rFonts w:hint="eastAsia" w:ascii="Times New Roman" w:hAnsi="Times New Roman" w:eastAsia="仿宋_GB2312" w:cs="仿宋_GB2312"/>
          <w:color w:val="auto"/>
          <w:sz w:val="32"/>
          <w:szCs w:val="32"/>
          <w:highlight w:val="none"/>
          <w:lang w:val="zh-CN" w:eastAsia="zh-CN"/>
        </w:rPr>
        <w:t>25.34%</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sz w:val="32"/>
          <w:szCs w:val="32"/>
          <w:lang w:val="en-US" w:eastAsia="zh-CN"/>
        </w:rPr>
        <w:t>2023年4月我单位通过招标取得</w:t>
      </w:r>
      <w:r>
        <w:rPr>
          <w:rFonts w:hint="eastAsia" w:ascii="仿宋_GB2312" w:hAnsi="仿宋_GB2312" w:eastAsia="仿宋_GB2312" w:cs="仿宋_GB2312"/>
          <w:sz w:val="32"/>
          <w:szCs w:val="32"/>
        </w:rPr>
        <w:t>财政</w:t>
      </w:r>
      <w:r>
        <w:rPr>
          <w:rFonts w:hint="eastAsia" w:ascii="仿宋_GB2312" w:hAnsi="仿宋_GB2312" w:eastAsia="仿宋_GB2312" w:cs="仿宋_GB2312"/>
          <w:sz w:val="32"/>
          <w:szCs w:val="32"/>
          <w:lang w:val="en-US" w:eastAsia="zh-CN"/>
        </w:rPr>
        <w:t>拨款的</w:t>
      </w:r>
      <w:r>
        <w:rPr>
          <w:rFonts w:hint="eastAsia" w:ascii="Times New Roman" w:hAnsi="Times New Roman" w:eastAsia="仿宋_GB2312" w:cs="仿宋_GB2312"/>
          <w:color w:val="auto"/>
          <w:sz w:val="32"/>
          <w:szCs w:val="32"/>
          <w:highlight w:val="none"/>
          <w:lang w:val="en-US" w:eastAsia="zh-CN"/>
        </w:rPr>
        <w:t>2</w:t>
      </w:r>
      <w:r>
        <w:rPr>
          <w:rFonts w:hint="eastAsia" w:ascii="仿宋_GB2312" w:hAnsi="仿宋_GB2312" w:eastAsia="仿宋_GB2312" w:cs="仿宋_GB2312"/>
          <w:sz w:val="32"/>
          <w:szCs w:val="32"/>
        </w:rPr>
        <w:t>个地勘基金项目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新疆哈密市天湖-白</w:t>
      </w:r>
      <w:r>
        <w:rPr>
          <w:rFonts w:hint="eastAsia" w:ascii="仿宋_GB2312" w:hAnsi="仿宋_GB2312" w:eastAsia="仿宋_GB2312" w:cs="仿宋_GB2312"/>
          <w:sz w:val="32"/>
          <w:szCs w:val="32"/>
          <w:lang w:val="en-US" w:eastAsia="zh-CN"/>
        </w:rPr>
        <w:t>山一带钛铁多金属矿普查项目和新疆哈密市梧桐沟金矿普查项目），故一般公共预算财政拨款支出较年初预算增加。</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Times New Roman" w:hAnsi="Times New Roman" w:eastAsia="仿宋_GB2312" w:cs="仿宋_GB2312"/>
          <w:color w:val="auto"/>
          <w:kern w:val="2"/>
          <w:sz w:val="32"/>
          <w:szCs w:val="32"/>
          <w:highlight w:val="none"/>
          <w:lang w:val="zh-CN" w:eastAsia="zh-CN" w:bidi="ar-SA"/>
        </w:rPr>
        <w:t>1,242.61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仿宋_GB2312"/>
          <w:color w:val="auto"/>
          <w:kern w:val="2"/>
          <w:sz w:val="32"/>
          <w:szCs w:val="32"/>
          <w:highlight w:val="none"/>
          <w:lang w:val="zh-CN" w:eastAsia="zh-CN" w:bidi="ar-SA"/>
        </w:rPr>
        <w:t>31.33</w:t>
      </w:r>
      <w:r>
        <w:rPr>
          <w:rFonts w:hint="default" w:ascii="Times New Roman" w:hAnsi="Times New Roman" w:eastAsia="仿宋_GB2312" w:cs="仿宋_GB2312"/>
          <w:color w:val="auto"/>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Times New Roman" w:hAnsi="Times New Roman" w:eastAsia="仿宋_GB2312" w:cs="仿宋_GB2312"/>
          <w:color w:val="auto"/>
          <w:kern w:val="2"/>
          <w:sz w:val="32"/>
          <w:szCs w:val="32"/>
          <w:highlight w:val="none"/>
          <w:lang w:val="zh-CN" w:eastAsia="zh-CN" w:bidi="ar-SA"/>
        </w:rPr>
        <w:t>311.50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仿宋_GB2312"/>
          <w:color w:val="auto"/>
          <w:kern w:val="2"/>
          <w:sz w:val="32"/>
          <w:szCs w:val="32"/>
          <w:highlight w:val="none"/>
          <w:lang w:val="zh-CN" w:eastAsia="zh-CN" w:bidi="ar-SA"/>
        </w:rPr>
        <w:t>7.85</w:t>
      </w:r>
      <w:r>
        <w:rPr>
          <w:rFonts w:hint="default" w:ascii="Times New Roman" w:hAnsi="Times New Roman" w:eastAsia="仿宋_GB2312" w:cs="仿宋_GB2312"/>
          <w:color w:val="auto"/>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Times New Roman" w:hAnsi="Times New Roman" w:eastAsia="仿宋_GB2312" w:cs="仿宋_GB2312"/>
          <w:color w:val="auto"/>
          <w:kern w:val="2"/>
          <w:sz w:val="32"/>
          <w:szCs w:val="32"/>
          <w:highlight w:val="none"/>
          <w:lang w:val="zh-CN" w:eastAsia="zh-CN" w:bidi="ar-SA"/>
        </w:rPr>
        <w:t>1,973.73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仿宋_GB2312"/>
          <w:color w:val="auto"/>
          <w:kern w:val="2"/>
          <w:sz w:val="32"/>
          <w:szCs w:val="32"/>
          <w:highlight w:val="none"/>
          <w:lang w:val="zh-CN" w:eastAsia="zh-CN" w:bidi="ar-SA"/>
        </w:rPr>
        <w:t>49.76</w:t>
      </w:r>
      <w:r>
        <w:rPr>
          <w:rFonts w:hint="default" w:ascii="Times New Roman" w:hAnsi="Times New Roman" w:eastAsia="仿宋_GB2312" w:cs="仿宋_GB2312"/>
          <w:color w:val="auto"/>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Times New Roman" w:hAnsi="Times New Roman" w:eastAsia="仿宋_GB2312" w:cs="仿宋_GB2312"/>
          <w:color w:val="auto"/>
          <w:kern w:val="2"/>
          <w:sz w:val="32"/>
          <w:szCs w:val="32"/>
          <w:highlight w:val="none"/>
          <w:lang w:val="zh-CN" w:eastAsia="zh-CN" w:bidi="ar-SA"/>
        </w:rPr>
        <w:t>438.53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仿宋_GB2312"/>
          <w:color w:val="auto"/>
          <w:kern w:val="2"/>
          <w:sz w:val="32"/>
          <w:szCs w:val="32"/>
          <w:highlight w:val="none"/>
          <w:lang w:val="zh-CN" w:eastAsia="zh-CN" w:bidi="ar-SA"/>
        </w:rPr>
        <w:t>11.06</w:t>
      </w:r>
      <w:r>
        <w:rPr>
          <w:rFonts w:hint="default" w:ascii="Times New Roman" w:hAnsi="Times New Roman" w:eastAsia="仿宋_GB2312" w:cs="仿宋_GB2312"/>
          <w:color w:val="auto"/>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pStyle w:val="5"/>
        <w:numPr>
          <w:ilvl w:val="0"/>
          <w:numId w:val="0"/>
        </w:numPr>
        <w:ind w:firstLine="64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1.自然资源海洋气象等支出（类）自然资源事务（款）地质勘查与矿产资源管理（项）:支出决算数为510.00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57.59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10.15%，主要原因是：</w:t>
      </w:r>
      <w:r>
        <w:rPr>
          <w:rFonts w:hint="eastAsia" w:ascii="仿宋_GB2312" w:hAnsi="仿宋_GB2312" w:eastAsia="仿宋_GB2312" w:cs="仿宋_GB2312"/>
          <w:kern w:val="0"/>
          <w:sz w:val="32"/>
          <w:szCs w:val="32"/>
          <w:highlight w:val="none"/>
          <w:lang w:val="en-US" w:eastAsia="zh-CN"/>
        </w:rPr>
        <w:t>2022年度有使用2021年结转资金的项目，2023年度没有</w:t>
      </w:r>
      <w:r>
        <w:rPr>
          <w:rFonts w:hint="eastAsia" w:ascii="仿宋_GB2312" w:hAnsi="微软雅黑" w:eastAsia="仿宋_GB2312"/>
          <w:sz w:val="32"/>
          <w:szCs w:val="32"/>
        </w:rPr>
        <w:t>。</w:t>
      </w:r>
    </w:p>
    <w:p>
      <w:pPr>
        <w:pStyle w:val="5"/>
        <w:numPr>
          <w:ilvl w:val="0"/>
          <w:numId w:val="0"/>
        </w:num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2.卫生健康支出（类）行政事业单位医疗（款）事业单位医疗（项）:支出决算数为209.37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7.76%，主要原因是：</w:t>
      </w:r>
      <w:r>
        <w:rPr>
          <w:rFonts w:hint="eastAsia" w:ascii="仿宋_GB2312" w:hAnsi="微软雅黑" w:eastAsia="仿宋_GB2312"/>
          <w:sz w:val="32"/>
          <w:szCs w:val="32"/>
        </w:rPr>
        <w:t>在职人员工资标准及津贴补贴标准上调、职务职称正常晋升，相关费用随之调增。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3.卫生健康支出（类）行政事业单位医疗（款）公务员医疗补助（项）:支出决算数为102.13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13.14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14.77%，主要原因是：</w:t>
      </w:r>
      <w:r>
        <w:rPr>
          <w:rFonts w:hint="eastAsia" w:ascii="仿宋_GB2312" w:hAnsi="微软雅黑" w:eastAsia="仿宋_GB2312"/>
          <w:sz w:val="32"/>
          <w:szCs w:val="32"/>
        </w:rPr>
        <w:t>在职人员工资标准及津贴补贴标准上调、职务职称正常晋升，相关费用随之调增</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4.住房保障支出（类）住房改革支出（款）住房公积金（项）:支出决算数为438.53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6.46%，主要原因是：</w:t>
      </w:r>
      <w:r>
        <w:rPr>
          <w:rFonts w:hint="eastAsia" w:ascii="仿宋_GB2312" w:hAnsi="微软雅黑" w:eastAsia="仿宋_GB2312"/>
          <w:sz w:val="32"/>
          <w:szCs w:val="32"/>
        </w:rPr>
        <w:t>在职人员工资标准及津贴补贴标准上调、职务职称正常晋升，相关费用随之调增</w:t>
      </w:r>
      <w:r>
        <w:rPr>
          <w:rFonts w:hint="eastAsia" w:eastAsia="仿宋_GB2312" w:cs="Times New Roman"/>
          <w:color w:val="auto"/>
          <w:kern w:val="2"/>
          <w:sz w:val="32"/>
          <w:szCs w:val="32"/>
          <w:highlight w:val="none"/>
          <w:lang w:val="zh-CN" w:eastAsia="zh-CN" w:bidi="ar-SA"/>
        </w:rPr>
        <w:t>。</w:t>
      </w:r>
    </w:p>
    <w:p>
      <w:pPr>
        <w:widowControl/>
        <w:spacing w:line="560" w:lineRule="exact"/>
        <w:ind w:firstLine="640" w:firstLineChars="200"/>
        <w:jc w:val="left"/>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5.自然资源海洋气象等支出（类）自然资源事务（款）事业运行（项）:支出决算数为1,463.73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456.76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45.36%，主要原因是：</w:t>
      </w:r>
      <w:r>
        <w:rPr>
          <w:rFonts w:hint="eastAsia" w:ascii="仿宋_GB2312" w:hAnsi="微软雅黑" w:eastAsia="仿宋_GB2312"/>
          <w:sz w:val="32"/>
          <w:szCs w:val="32"/>
        </w:rPr>
        <w:t>实行全口径预算</w:t>
      </w:r>
      <w:r>
        <w:rPr>
          <w:rFonts w:hint="eastAsia" w:ascii="仿宋_GB2312" w:hAnsi="微软雅黑" w:eastAsia="仿宋_GB2312"/>
          <w:sz w:val="32"/>
          <w:szCs w:val="32"/>
          <w:lang w:val="en-US" w:eastAsia="zh-CN"/>
        </w:rPr>
        <w:t>的</w:t>
      </w:r>
      <w:r>
        <w:rPr>
          <w:rFonts w:hint="eastAsia" w:ascii="仿宋_GB2312" w:hAnsi="微软雅黑" w:eastAsia="仿宋_GB2312"/>
          <w:sz w:val="32"/>
          <w:szCs w:val="32"/>
        </w:rPr>
        <w:t>财政拨款远远不能满足</w:t>
      </w:r>
      <w:r>
        <w:rPr>
          <w:rFonts w:hint="eastAsia" w:ascii="仿宋_GB2312" w:hAnsi="微软雅黑" w:eastAsia="仿宋_GB2312"/>
          <w:sz w:val="32"/>
          <w:szCs w:val="32"/>
          <w:lang w:val="en-US" w:eastAsia="zh-CN"/>
        </w:rPr>
        <w:t>我单位</w:t>
      </w:r>
      <w:r>
        <w:rPr>
          <w:rFonts w:hint="eastAsia" w:ascii="仿宋_GB2312" w:hAnsi="微软雅黑" w:eastAsia="仿宋_GB2312"/>
          <w:sz w:val="32"/>
          <w:szCs w:val="32"/>
        </w:rPr>
        <w:t>实际支出需要，为保障单位人员工资收入，单位积极承揽社会资金类项目，大力拓展环境地质、地质灾害防治、环境监测、水质监测类项目，202</w:t>
      </w:r>
      <w:r>
        <w:rPr>
          <w:rFonts w:hint="eastAsia" w:ascii="仿宋_GB2312" w:hAnsi="微软雅黑" w:eastAsia="仿宋_GB2312"/>
          <w:sz w:val="32"/>
          <w:szCs w:val="32"/>
          <w:lang w:val="en-US" w:eastAsia="zh-CN"/>
        </w:rPr>
        <w:t>3</w:t>
      </w:r>
      <w:r>
        <w:rPr>
          <w:rFonts w:hint="eastAsia" w:ascii="仿宋_GB2312" w:hAnsi="微软雅黑" w:eastAsia="仿宋_GB2312"/>
          <w:sz w:val="32"/>
          <w:szCs w:val="32"/>
        </w:rPr>
        <w:t>年</w:t>
      </w:r>
      <w:r>
        <w:rPr>
          <w:rFonts w:hint="eastAsia" w:ascii="仿宋_GB2312" w:hAnsi="微软雅黑" w:eastAsia="仿宋_GB2312"/>
          <w:sz w:val="32"/>
          <w:szCs w:val="32"/>
          <w:lang w:val="en-US" w:eastAsia="zh-CN"/>
        </w:rPr>
        <w:t>事业运行费用</w:t>
      </w:r>
      <w:r>
        <w:rPr>
          <w:rFonts w:hint="eastAsia" w:ascii="仿宋_GB2312" w:hAnsi="微软雅黑" w:eastAsia="仿宋_GB2312"/>
          <w:sz w:val="32"/>
          <w:szCs w:val="32"/>
        </w:rPr>
        <w:t>增加</w:t>
      </w:r>
      <w:r>
        <w:rPr>
          <w:rFonts w:hint="eastAsia" w:ascii="仿宋_GB2312" w:hAnsi="微软雅黑" w:eastAsia="仿宋_GB2312"/>
          <w:sz w:val="32"/>
          <w:szCs w:val="32"/>
          <w:lang w:val="en-US" w:eastAsia="zh-CN"/>
        </w:rPr>
        <w:t>较上年增加</w:t>
      </w:r>
      <w:r>
        <w:rPr>
          <w:rFonts w:hint="eastAsia" w:ascii="仿宋_GB2312" w:hAnsi="微软雅黑" w:eastAsia="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6.社会保障和就业支出（类）行政事业单位养老支出（款）事业单位离退休（项）:支出决算数为425.54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487.05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53.37%，主要原因是：</w:t>
      </w:r>
      <w:r>
        <w:rPr>
          <w:rFonts w:hint="eastAsia" w:ascii="仿宋_GB2312" w:hAnsi="微软雅黑" w:eastAsia="仿宋_GB2312"/>
          <w:sz w:val="32"/>
          <w:szCs w:val="32"/>
          <w:lang w:val="en-US" w:eastAsia="zh-CN"/>
        </w:rPr>
        <w:t>从2023年1月起离退休人员不在缴纳医疗保险金，我单位离退休人员有</w:t>
      </w:r>
      <w:r>
        <w:rPr>
          <w:rFonts w:hint="eastAsia" w:ascii="Times New Roman" w:hAnsi="Times New Roman" w:eastAsia="仿宋_GB2312" w:cs="仿宋_GB2312"/>
          <w:color w:val="auto"/>
          <w:kern w:val="2"/>
          <w:sz w:val="32"/>
          <w:szCs w:val="32"/>
          <w:highlight w:val="none"/>
          <w:lang w:val="en-US" w:eastAsia="zh-CN" w:bidi="ar-SA"/>
        </w:rPr>
        <w:t>613</w:t>
      </w:r>
      <w:r>
        <w:rPr>
          <w:rFonts w:hint="eastAsia" w:ascii="仿宋_GB2312" w:hAnsi="微软雅黑" w:eastAsia="仿宋_GB2312"/>
          <w:sz w:val="32"/>
          <w:szCs w:val="32"/>
          <w:lang w:val="en-US" w:eastAsia="zh-CN"/>
        </w:rPr>
        <w:t>人，故本项金额减少明显</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7.社会保障和就业支出（类）行政事业单位养老支出（款）机关事业单位职业年金缴费支出（项）:支出决算数为272.36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35.06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14.77%，主要原因是：</w:t>
      </w:r>
      <w:r>
        <w:rPr>
          <w:rFonts w:hint="eastAsia" w:ascii="仿宋_GB2312" w:hAnsi="微软雅黑" w:eastAsia="仿宋_GB2312"/>
          <w:sz w:val="32"/>
          <w:szCs w:val="32"/>
        </w:rPr>
        <w:t>在职人员工资标准及津贴补贴标准上调、职务职称正常晋升，相关费用随之调增</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8.社会保障和就业支出（类）行政事业单位养老支出（款）机关事业单位基本养老保险缴费支出（项）:支出决算数为544.71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70.10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14.77%，主要原因是：</w:t>
      </w:r>
      <w:r>
        <w:rPr>
          <w:rFonts w:hint="eastAsia" w:ascii="仿宋_GB2312" w:hAnsi="微软雅黑" w:eastAsia="仿宋_GB2312"/>
          <w:sz w:val="32"/>
          <w:szCs w:val="32"/>
        </w:rPr>
        <w:t>在职人员工资标准及津贴补贴标准上调、职务职称正常晋升，相关费用随之调增</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9.灾害防治及应急管理支出（类）自然灾害防治（款）地质灾害防治（项）:支出决算数为0.00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hAnsi="仿宋_GB2312" w:eastAsia="仿宋_GB2312" w:cs="仿宋_GB2312"/>
          <w:kern w:val="0"/>
          <w:sz w:val="32"/>
          <w:szCs w:val="32"/>
          <w:highlight w:val="none"/>
          <w:lang w:val="en-US" w:eastAsia="zh-CN"/>
        </w:rPr>
        <w:t>2022年度有使用2021年结转资金的项目，2023年度没有</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10.自然资源海洋气象等支出（类）自然资源事务（款）地质矿产资源与环境调查（项）:支出决算数为0.00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30.43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hAnsi="仿宋_GB2312" w:eastAsia="仿宋_GB2312" w:cs="仿宋_GB2312"/>
          <w:kern w:val="0"/>
          <w:sz w:val="32"/>
          <w:szCs w:val="32"/>
          <w:highlight w:val="none"/>
          <w:lang w:val="en-US" w:eastAsia="zh-CN"/>
        </w:rPr>
        <w:t>2022年度有使用2021年结转资金的项目，2023年度没有</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Times New Roman" w:hAnsi="Times New Roman" w:eastAsia="仿宋_GB2312" w:cs="Times New Roman"/>
          <w:color w:val="auto"/>
          <w:kern w:val="2"/>
          <w:sz w:val="32"/>
          <w:szCs w:val="32"/>
          <w:highlight w:val="none"/>
          <w:lang w:val="en-US" w:eastAsia="zh-CN" w:bidi="ar-SA"/>
        </w:rPr>
        <w:t>3,456.37</w:t>
      </w:r>
      <w:r>
        <w:rPr>
          <w:rFonts w:hint="eastAsia" w:ascii="仿宋_GB2312" w:eastAsia="仿宋_GB2312"/>
          <w:color w:val="auto"/>
          <w:sz w:val="32"/>
          <w:szCs w:val="32"/>
          <w:highlight w:val="none"/>
        </w:rPr>
        <w:t>万元，其中：人员经费</w:t>
      </w:r>
      <w:r>
        <w:rPr>
          <w:rFonts w:hint="eastAsia" w:ascii="Times New Roman" w:hAnsi="Times New Roman" w:eastAsia="仿宋_GB2312" w:cs="Times New Roman"/>
          <w:color w:val="auto"/>
          <w:kern w:val="2"/>
          <w:sz w:val="32"/>
          <w:szCs w:val="32"/>
          <w:highlight w:val="none"/>
          <w:lang w:val="en-US" w:eastAsia="zh-CN" w:bidi="ar-SA"/>
        </w:rPr>
        <w:t>3,456.37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离休费、退休费、抚恤金、医疗费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，包括：无公用经费。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增长</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万元，占</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，比上年增加</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增长</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w:t>
      </w:r>
      <w:r>
        <w:rPr>
          <w:rFonts w:hint="eastAsia" w:ascii="仿宋_GB2312" w:eastAsia="仿宋_GB2312"/>
          <w:sz w:val="32"/>
          <w:szCs w:val="32"/>
          <w:lang w:val="en-US" w:eastAsia="zh-CN"/>
        </w:rPr>
        <w:t>财政拨款的</w:t>
      </w:r>
      <w:r>
        <w:rPr>
          <w:rFonts w:ascii="仿宋_GB2312" w:eastAsia="仿宋_GB2312"/>
          <w:sz w:val="32"/>
          <w:szCs w:val="32"/>
        </w:rPr>
        <w:t>因公出国（境）费</w:t>
      </w:r>
      <w:r>
        <w:rPr>
          <w:rFonts w:hint="eastAsia" w:ascii="仿宋_GB2312" w:eastAsia="仿宋_GB2312"/>
          <w:color w:val="auto"/>
          <w:sz w:val="32"/>
          <w:szCs w:val="32"/>
          <w:highlight w:val="none"/>
          <w:lang w:val="zh-CN" w:eastAsia="zh-CN"/>
        </w:rPr>
        <w:t>；公务用车购置及运行维护费支出</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万元，占</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，比上年增加</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增长</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单位无</w:t>
      </w:r>
      <w:r>
        <w:rPr>
          <w:rFonts w:hint="eastAsia" w:ascii="仿宋_GB2312" w:eastAsia="仿宋_GB2312"/>
          <w:sz w:val="32"/>
          <w:szCs w:val="32"/>
          <w:lang w:val="en-US" w:eastAsia="zh-CN"/>
        </w:rPr>
        <w:t>财政拨款的</w:t>
      </w:r>
      <w:r>
        <w:rPr>
          <w:rFonts w:ascii="仿宋_GB2312" w:eastAsia="仿宋_GB2312"/>
          <w:sz w:val="32"/>
          <w:szCs w:val="32"/>
        </w:rPr>
        <w:t>公务用车购置及运行维护费</w:t>
      </w:r>
      <w:r>
        <w:rPr>
          <w:rFonts w:hint="eastAsia" w:ascii="仿宋_GB2312" w:eastAsia="仿宋_GB2312"/>
          <w:color w:val="auto"/>
          <w:sz w:val="32"/>
          <w:szCs w:val="32"/>
          <w:highlight w:val="none"/>
          <w:lang w:val="zh-CN" w:eastAsia="zh-CN"/>
        </w:rPr>
        <w:t>；公务接待费支出</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万元，占</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，比上年增加</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增长</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w:t>
      </w:r>
      <w:r>
        <w:rPr>
          <w:rFonts w:hint="eastAsia" w:ascii="仿宋_GB2312" w:eastAsia="仿宋_GB2312"/>
          <w:sz w:val="32"/>
          <w:szCs w:val="32"/>
          <w:lang w:val="en-US" w:eastAsia="zh-CN"/>
        </w:rPr>
        <w:t>财政拨款的</w:t>
      </w:r>
      <w:r>
        <w:rPr>
          <w:rFonts w:ascii="仿宋_GB2312" w:eastAsia="仿宋_GB2312"/>
          <w:sz w:val="32"/>
          <w:szCs w:val="32"/>
        </w:rPr>
        <w:t>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eastAsia="仿宋_GB2312"/>
          <w:color w:val="auto"/>
          <w:sz w:val="32"/>
          <w:szCs w:val="32"/>
          <w:highlight w:val="none"/>
          <w:lang w:val="zh-CN" w:eastAsia="zh-CN"/>
        </w:rPr>
        <w:t>个，因公出国（境）</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eastAsia="仿宋_GB2312"/>
          <w:color w:val="auto"/>
          <w:sz w:val="32"/>
          <w:szCs w:val="32"/>
          <w:highlight w:val="none"/>
          <w:lang w:val="zh-CN" w:eastAsia="zh-CN"/>
        </w:rPr>
        <w:t>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万元，其中：公务用车购置费</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万元，公务用车运行维护费</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eastAsia="仿宋_GB2312"/>
          <w:color w:val="auto"/>
          <w:sz w:val="32"/>
          <w:szCs w:val="32"/>
          <w:highlight w:val="none"/>
          <w:lang w:val="zh-CN" w:eastAsia="zh-CN"/>
        </w:rPr>
        <w:t>辆，公务用车保有量</w:t>
      </w:r>
      <w:r>
        <w:rPr>
          <w:rFonts w:hint="eastAsia" w:eastAsia="仿宋_GB2312" w:cs="Times New Roman"/>
          <w:color w:val="auto"/>
          <w:kern w:val="2"/>
          <w:sz w:val="32"/>
          <w:szCs w:val="32"/>
          <w:highlight w:val="none"/>
          <w:lang w:val="en-US" w:eastAsia="zh-CN" w:bidi="ar-SA"/>
        </w:rPr>
        <w:t>0</w:t>
      </w:r>
      <w:r>
        <w:rPr>
          <w:rFonts w:hint="eastAsia" w:ascii="仿宋_GB2312" w:eastAsia="仿宋_GB2312"/>
          <w:color w:val="auto"/>
          <w:sz w:val="32"/>
          <w:szCs w:val="32"/>
          <w:highlight w:val="none"/>
          <w:lang w:val="zh-CN" w:eastAsia="zh-CN"/>
        </w:rPr>
        <w:t>辆。国有资产占用情况</w:t>
      </w:r>
      <w:r>
        <w:rPr>
          <w:rFonts w:hint="eastAsia" w:ascii="仿宋_GB2312" w:eastAsia="仿宋_GB2312"/>
          <w:color w:val="auto"/>
          <w:sz w:val="32"/>
          <w:szCs w:val="32"/>
          <w:highlight w:val="none"/>
          <w:lang w:val="en-US" w:eastAsia="zh-CN"/>
        </w:rPr>
        <w:t>中固定资产车辆</w:t>
      </w:r>
      <w:r>
        <w:rPr>
          <w:rFonts w:hint="eastAsia" w:ascii="Times New Roman" w:hAnsi="Times New Roman" w:eastAsia="仿宋_GB2312" w:cs="Times New Roman"/>
          <w:color w:val="auto"/>
          <w:kern w:val="2"/>
          <w:sz w:val="32"/>
          <w:szCs w:val="32"/>
          <w:highlight w:val="none"/>
          <w:lang w:val="zh-CN" w:eastAsia="zh-CN" w:bidi="ar-SA"/>
        </w:rPr>
        <w:t>11</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Times New Roman" w:hAnsi="Times New Roman" w:eastAsia="仿宋_GB2312" w:cs="Times New Roman"/>
          <w:sz w:val="32"/>
          <w:szCs w:val="32"/>
          <w:highlight w:val="none"/>
          <w:lang w:val="en-US" w:eastAsia="zh-CN"/>
        </w:rPr>
        <w:t>固定资产中的</w:t>
      </w:r>
      <w:r>
        <w:rPr>
          <w:rFonts w:hint="eastAsia" w:eastAsia="仿宋_GB2312" w:cs="Times New Roman"/>
          <w:sz w:val="32"/>
          <w:szCs w:val="32"/>
          <w:highlight w:val="none"/>
          <w:lang w:val="en-US" w:eastAsia="zh-CN"/>
        </w:rPr>
        <w:t>7</w:t>
      </w:r>
      <w:r>
        <w:rPr>
          <w:rFonts w:hint="eastAsia" w:ascii="Times New Roman" w:hAnsi="Times New Roman" w:eastAsia="仿宋_GB2312" w:cs="Times New Roman"/>
          <w:sz w:val="32"/>
          <w:szCs w:val="32"/>
          <w:highlight w:val="none"/>
          <w:lang w:val="en-US" w:eastAsia="zh-CN"/>
        </w:rPr>
        <w:t>辆车已无法使用并且已申请报废</w:t>
      </w:r>
      <w:r>
        <w:rPr>
          <w:rFonts w:hint="eastAsia" w:eastAsia="仿宋_GB2312" w:cs="Times New Roman"/>
          <w:sz w:val="32"/>
          <w:szCs w:val="32"/>
          <w:highlight w:val="none"/>
          <w:lang w:val="en-US" w:eastAsia="zh-CN"/>
        </w:rPr>
        <w:t>，其余4辆车为业务用车，经费支出由我单位自由资金</w:t>
      </w:r>
      <w:bookmarkStart w:id="48" w:name="_GoBack"/>
      <w:bookmarkEnd w:id="48"/>
      <w:r>
        <w:rPr>
          <w:rFonts w:hint="eastAsia" w:eastAsia="仿宋_GB2312" w:cs="Times New Roman"/>
          <w:sz w:val="32"/>
          <w:szCs w:val="32"/>
          <w:highlight w:val="none"/>
          <w:lang w:val="en-US" w:eastAsia="zh-CN"/>
        </w:rPr>
        <w:t>承担</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eastAsia="仿宋_GB2312"/>
          <w:color w:val="auto"/>
          <w:sz w:val="32"/>
          <w:szCs w:val="32"/>
          <w:highlight w:val="none"/>
          <w:lang w:val="zh-CN" w:eastAsia="zh-CN"/>
        </w:rPr>
        <w:t>批次，</w:t>
      </w:r>
      <w:r>
        <w:rPr>
          <w:rFonts w:hint="eastAsia" w:ascii="Times New Roman" w:hAnsi="Times New Roman" w:eastAsia="仿宋_GB2312" w:cs="Times New Roman"/>
          <w:color w:val="auto"/>
          <w:kern w:val="2"/>
          <w:sz w:val="32"/>
          <w:szCs w:val="32"/>
          <w:highlight w:val="none"/>
          <w:lang w:val="zh-CN" w:eastAsia="zh-CN" w:bidi="ar-SA"/>
        </w:rPr>
        <w:t>0</w:t>
      </w:r>
      <w:r>
        <w:rPr>
          <w:rFonts w:hint="eastAsia" w:ascii="仿宋_GB2312" w:eastAsia="仿宋_GB2312"/>
          <w:color w:val="auto"/>
          <w:sz w:val="32"/>
          <w:szCs w:val="32"/>
          <w:highlight w:val="none"/>
          <w:lang w:val="zh-CN" w:eastAsia="zh-CN"/>
        </w:rPr>
        <w:t>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w:t>
      </w:r>
      <w:r>
        <w:rPr>
          <w:rFonts w:hint="eastAsia" w:ascii="仿宋_GB2312" w:eastAsia="仿宋_GB2312"/>
          <w:sz w:val="32"/>
          <w:szCs w:val="32"/>
          <w:lang w:val="en-US" w:eastAsia="zh-CN"/>
        </w:rPr>
        <w:t>财政拨款的</w:t>
      </w:r>
      <w:r>
        <w:rPr>
          <w:rFonts w:hint="eastAsia" w:ascii="仿宋_GB2312" w:eastAsia="仿宋_GB2312"/>
          <w:sz w:val="32"/>
          <w:szCs w:val="32"/>
        </w:rPr>
        <w:t>公务用车</w:t>
      </w:r>
      <w:r>
        <w:rPr>
          <w:rFonts w:hint="eastAsia" w:ascii="仿宋_GB2312" w:eastAsia="仿宋_GB2312"/>
          <w:color w:val="auto"/>
          <w:sz w:val="32"/>
          <w:szCs w:val="32"/>
          <w:highlight w:val="none"/>
          <w:lang w:val="zh-CN" w:eastAsia="zh-CN"/>
        </w:rPr>
        <w:t>购置</w:t>
      </w:r>
      <w:r>
        <w:rPr>
          <w:rFonts w:hint="eastAsia" w:ascii="仿宋_GB2312" w:eastAsia="仿宋_GB2312"/>
          <w:sz w:val="32"/>
          <w:szCs w:val="32"/>
        </w:rPr>
        <w:t>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w:t>
      </w:r>
      <w:r>
        <w:rPr>
          <w:rFonts w:hint="eastAsia" w:ascii="仿宋_GB2312" w:eastAsia="仿宋_GB2312"/>
          <w:sz w:val="32"/>
          <w:szCs w:val="32"/>
          <w:lang w:val="en-US" w:eastAsia="zh-CN"/>
        </w:rPr>
        <w:t>财政拨款的</w:t>
      </w:r>
      <w:r>
        <w:rPr>
          <w:rFonts w:hint="eastAsia" w:ascii="仿宋_GB2312" w:eastAsia="仿宋_GB2312"/>
          <w:sz w:val="32"/>
          <w:szCs w:val="32"/>
        </w:rPr>
        <w:t>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w:t>
      </w:r>
      <w:r>
        <w:rPr>
          <w:rFonts w:hint="eastAsia" w:ascii="仿宋_GB2312" w:eastAsia="仿宋_GB2312"/>
          <w:sz w:val="32"/>
          <w:szCs w:val="32"/>
          <w:lang w:val="en-US" w:eastAsia="zh-CN"/>
        </w:rPr>
        <w:t>财政拨款的</w:t>
      </w:r>
      <w:r>
        <w:rPr>
          <w:rFonts w:hint="eastAsia" w:ascii="仿宋_GB2312" w:eastAsia="仿宋_GB2312"/>
          <w:sz w:val="32"/>
          <w:szCs w:val="32"/>
        </w:rPr>
        <w:t>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新疆维吾尔自治区地质矿产勘查开发局第六地质大队（事业单位）公用经费支出0.00万元，</w:t>
      </w:r>
      <w:r>
        <w:rPr>
          <w:rFonts w:hint="eastAsia" w:ascii="Times New Roman" w:hAnsi="Times New Roman" w:eastAsia="仿宋_GB2312" w:cs="Times New Roman"/>
          <w:color w:val="auto"/>
          <w:sz w:val="32"/>
          <w:szCs w:val="32"/>
          <w:highlight w:val="none"/>
          <w:lang w:val="zh-CN" w:eastAsia="zh-CN"/>
        </w:rPr>
        <w:t>比上年增加0.00万元，增长0.00%，主要原因是：</w:t>
      </w:r>
      <w:r>
        <w:rPr>
          <w:rFonts w:hint="eastAsia" w:ascii="仿宋_GB2312" w:eastAsia="仿宋_GB2312"/>
          <w:sz w:val="32"/>
          <w:szCs w:val="32"/>
        </w:rPr>
        <w:t>我单位没有“机关运行”经费支出预算，本年没有支出</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2.47万元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其中：政府采购货物支出1.55万元、政府采购工程支出0.00万元、政府采购服务支出0.92万元。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授予中小企业合同金额2.47万元，占政府采购支出总额的100.00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，其中：授予小微企业合同金额2.47万元，占政府采购支出总额的100.00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2,539.93</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屋13,277.33平方米，价值1,380.95万元。车辆11辆，价值253.52万元，其中：副部（省）级及以上领导用车0辆、主要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用车0辆、机要通信用车0辆、应急保障用车0辆、执法执勤用车0辆、特种专业技术用车2辆、离退休干部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用车0辆、其他用车9辆，其他用车主要是：</w:t>
      </w:r>
      <w:r>
        <w:rPr>
          <w:rFonts w:hint="eastAsia" w:ascii="仿宋_GB2312" w:eastAsia="仿宋_GB2312"/>
          <w:sz w:val="32"/>
          <w:szCs w:val="32"/>
        </w:rPr>
        <w:t>载货车</w:t>
      </w:r>
      <w:r>
        <w:rPr>
          <w:rFonts w:hint="eastAsia" w:ascii="Times New Roman" w:hAnsi="Times New Roman" w:eastAsia="仿宋_GB2312" w:cs="Times New Roman"/>
          <w:color w:val="auto"/>
          <w:sz w:val="32"/>
          <w:szCs w:val="32"/>
          <w:highlight w:val="none"/>
          <w:lang w:val="zh-CN" w:eastAsia="zh-CN"/>
        </w:rPr>
        <w:t>2</w:t>
      </w:r>
      <w:r>
        <w:rPr>
          <w:rFonts w:hint="eastAsia" w:ascii="仿宋_GB2312" w:eastAsia="仿宋_GB2312"/>
          <w:sz w:val="32"/>
          <w:szCs w:val="32"/>
        </w:rPr>
        <w:t>辆、皮卡车</w:t>
      </w:r>
      <w:r>
        <w:rPr>
          <w:rFonts w:hint="eastAsia" w:ascii="Times New Roman" w:hAnsi="Times New Roman" w:eastAsia="仿宋_GB2312" w:cs="Times New Roman"/>
          <w:color w:val="auto"/>
          <w:sz w:val="32"/>
          <w:szCs w:val="32"/>
          <w:highlight w:val="none"/>
          <w:lang w:val="zh-CN" w:eastAsia="zh-CN"/>
        </w:rPr>
        <w:t>6</w:t>
      </w:r>
      <w:r>
        <w:rPr>
          <w:rFonts w:hint="eastAsia" w:ascii="仿宋_GB2312" w:eastAsia="仿宋_GB2312"/>
          <w:sz w:val="32"/>
          <w:szCs w:val="32"/>
        </w:rPr>
        <w:t>辆、庆铃越野车</w:t>
      </w:r>
      <w:r>
        <w:rPr>
          <w:rFonts w:hint="eastAsia" w:ascii="Times New Roman" w:hAnsi="Times New Roman" w:eastAsia="仿宋_GB2312" w:cs="Times New Roman"/>
          <w:color w:val="auto"/>
          <w:sz w:val="32"/>
          <w:szCs w:val="32"/>
          <w:highlight w:val="none"/>
          <w:lang w:val="zh-CN" w:eastAsia="zh-CN"/>
        </w:rPr>
        <w:t>1</w:t>
      </w:r>
      <w:r>
        <w:rPr>
          <w:rFonts w:hint="eastAsia" w:ascii="仿宋_GB2312" w:eastAsia="仿宋_GB2312"/>
          <w:sz w:val="32"/>
          <w:szCs w:val="32"/>
        </w:rPr>
        <w:t>辆</w:t>
      </w:r>
      <w:r>
        <w:rPr>
          <w:rFonts w:hint="eastAsia" w:ascii="Times New Roman" w:hAnsi="Times New Roman" w:eastAsia="仿宋_GB2312" w:cs="Times New Roman"/>
          <w:color w:val="auto"/>
          <w:sz w:val="32"/>
          <w:szCs w:val="32"/>
          <w:highlight w:val="none"/>
          <w:lang w:val="zh-CN" w:eastAsia="zh-CN"/>
        </w:rPr>
        <w:t>；单价100万元（含）以上设备（不含车辆）2</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整体绩效自评表</w:t>
      </w:r>
      <w:r>
        <w:rPr>
          <w:rFonts w:hint="eastAsia" w:eastAsia="仿宋_GB2312" w:cs="Times New Roman"/>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Times New Roman" w:hAnsi="Times New Roman" w:eastAsia="仿宋_GB2312" w:cs="Times New Roman"/>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w:t>
      </w:r>
      <w:r>
        <w:rPr>
          <w:rFonts w:hint="eastAsia" w:ascii="Times New Roman" w:hAnsi="Times New Roman" w:eastAsia="仿宋_GB2312" w:cs="Times New Roman"/>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w:t>
      </w:r>
      <w:r>
        <w:rPr>
          <w:rFonts w:hint="eastAsia" w:ascii="仿宋_GB2312" w:hAnsi="仿宋_GB2312" w:eastAsia="仿宋_GB2312" w:cs="仿宋_GB2312"/>
          <w:color w:val="auto"/>
          <w:kern w:val="0"/>
          <w:sz w:val="32"/>
          <w:szCs w:val="32"/>
          <w:highlight w:val="none"/>
          <w:lang w:val="en-US" w:eastAsia="zh-CN"/>
        </w:rPr>
        <w:t>我单位整体支出绩效自评表由主管部门编报并公开。</w:t>
      </w:r>
      <w:r>
        <w:rPr>
          <w:rFonts w:hint="eastAsia" w:ascii="仿宋_GB2312" w:eastAsia="仿宋_GB2312"/>
          <w:color w:val="auto"/>
          <w:sz w:val="32"/>
          <w:szCs w:val="32"/>
          <w:highlight w:val="none"/>
          <w:lang w:eastAsia="zh-CN"/>
        </w:rPr>
        <w:t>预算绩效评价项目</w:t>
      </w:r>
      <w:r>
        <w:rPr>
          <w:rFonts w:hint="eastAsia" w:ascii="Times New Roman" w:hAnsi="Times New Roman" w:eastAsia="仿宋_GB2312" w:cs="Times New Roman"/>
          <w:color w:val="auto"/>
          <w:sz w:val="32"/>
          <w:szCs w:val="32"/>
          <w:highlight w:val="none"/>
          <w:lang w:val="en-US" w:eastAsia="zh-CN"/>
        </w:rPr>
        <w:t>4</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w:t>
      </w:r>
      <w:r>
        <w:rPr>
          <w:rFonts w:hint="eastAsia" w:ascii="Times New Roman" w:hAnsi="Times New Roman" w:eastAsia="仿宋_GB2312" w:cs="Times New Roman"/>
          <w:color w:val="auto"/>
          <w:sz w:val="32"/>
          <w:szCs w:val="32"/>
          <w:highlight w:val="none"/>
          <w:lang w:val="en-US" w:eastAsia="zh-CN"/>
        </w:rPr>
        <w:t>4</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887.42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eastAsia" w:ascii="Times New Roman" w:hAnsi="Times New Roman" w:eastAsia="仿宋_GB2312" w:cs="Times New Roman"/>
          <w:color w:val="auto"/>
          <w:sz w:val="32"/>
          <w:szCs w:val="32"/>
          <w:highlight w:val="none"/>
          <w:lang w:val="en-US" w:eastAsia="zh-CN"/>
        </w:rPr>
        <w:t>4</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884.81</w:t>
      </w:r>
      <w:r>
        <w:rPr>
          <w:rFonts w:hint="eastAsia" w:ascii="仿宋_GB2312" w:eastAsia="仿宋_GB2312"/>
          <w:color w:val="auto"/>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其中sm项目</w:t>
      </w:r>
      <w:r>
        <w:rPr>
          <w:rFonts w:hint="eastAsia" w:ascii="Times New Roman" w:hAnsi="Times New Roman" w:eastAsia="仿宋_GB2312" w:cs="Times New Roman"/>
          <w:color w:val="auto"/>
          <w:sz w:val="32"/>
          <w:szCs w:val="32"/>
          <w:highlight w:val="none"/>
          <w:lang w:val="en-US" w:eastAsia="zh-CN"/>
        </w:rPr>
        <w:t>1</w:t>
      </w:r>
      <w:r>
        <w:rPr>
          <w:rFonts w:hint="eastAsia" w:ascii="仿宋_GB2312" w:eastAsia="仿宋_GB2312"/>
          <w:sz w:val="32"/>
          <w:szCs w:val="32"/>
          <w:highlight w:val="none"/>
          <w:lang w:val="en-US" w:eastAsia="zh-CN"/>
        </w:rPr>
        <w:t>个，全年预算数</w:t>
      </w:r>
      <w:r>
        <w:rPr>
          <w:rFonts w:hint="eastAsia" w:ascii="Times New Roman" w:hAnsi="Times New Roman" w:eastAsia="仿宋_GB2312" w:cs="Times New Roman"/>
          <w:color w:val="auto"/>
          <w:sz w:val="32"/>
          <w:szCs w:val="32"/>
          <w:highlight w:val="none"/>
          <w:lang w:val="en-US" w:eastAsia="zh-CN"/>
        </w:rPr>
        <w:t>23</w:t>
      </w:r>
      <w:r>
        <w:rPr>
          <w:rFonts w:hint="eastAsia" w:ascii="仿宋_GB2312" w:eastAsia="仿宋_GB2312"/>
          <w:sz w:val="32"/>
          <w:szCs w:val="32"/>
          <w:highlight w:val="none"/>
          <w:lang w:val="en-US" w:eastAsia="zh-CN"/>
        </w:rPr>
        <w:t>万元，全年执行数</w:t>
      </w:r>
      <w:r>
        <w:rPr>
          <w:rFonts w:hint="eastAsia" w:ascii="Times New Roman" w:hAnsi="Times New Roman" w:eastAsia="仿宋_GB2312" w:cs="Times New Roman"/>
          <w:color w:val="auto"/>
          <w:sz w:val="32"/>
          <w:szCs w:val="32"/>
          <w:highlight w:val="none"/>
          <w:lang w:val="en-US" w:eastAsia="zh-CN"/>
        </w:rPr>
        <w:t>22.21</w:t>
      </w:r>
      <w:r>
        <w:rPr>
          <w:rFonts w:hint="eastAsia" w:ascii="仿宋_GB2312" w:eastAsia="仿宋_GB2312"/>
          <w:sz w:val="32"/>
          <w:szCs w:val="32"/>
          <w:highlight w:val="none"/>
          <w:lang w:val="en-US" w:eastAsia="zh-CN"/>
        </w:rPr>
        <w:t>万元</w:t>
      </w:r>
      <w:r>
        <w:rPr>
          <w:rFonts w:hint="eastAsia" w:ascii="仿宋_GB2312" w:eastAsia="仿宋_GB2312"/>
          <w:sz w:val="32"/>
          <w:szCs w:val="32"/>
          <w:highlight w:val="none"/>
          <w:lang w:eastAsia="zh-CN"/>
        </w:rPr>
        <w:t>。</w:t>
      </w:r>
      <w:r>
        <w:rPr>
          <w:rFonts w:hint="eastAsia" w:ascii="仿宋_GB2312" w:eastAsia="仿宋_GB2312"/>
          <w:color w:val="auto"/>
          <w:sz w:val="32"/>
          <w:szCs w:val="32"/>
          <w:highlight w:val="none"/>
          <w:lang w:eastAsia="zh-CN"/>
        </w:rPr>
        <w:t>预算绩效管理取得的成效：一是</w:t>
      </w:r>
      <w:r>
        <w:rPr>
          <w:rFonts w:ascii="仿宋_GB2312" w:eastAsia="仿宋_GB2312"/>
          <w:sz w:val="32"/>
          <w:szCs w:val="32"/>
        </w:rPr>
        <w:t>通过预算绩效管理提高了我单位预算的科学性，使得支出能够得到更加严格的监控。我单位通过严格执行预算绩效管理制度，有效避免财务工作中的常见问题，提升了单位财务管理的科学性和有效性，使得每一笔支出都能够得到更加严格的监控</w:t>
      </w:r>
      <w:r>
        <w:rPr>
          <w:rFonts w:hint="eastAsia" w:ascii="仿宋_GB2312" w:eastAsia="仿宋_GB2312"/>
          <w:color w:val="auto"/>
          <w:sz w:val="32"/>
          <w:szCs w:val="32"/>
          <w:highlight w:val="none"/>
          <w:lang w:eastAsia="zh-CN"/>
        </w:rPr>
        <w:t>；二是</w:t>
      </w:r>
      <w:r>
        <w:rPr>
          <w:rFonts w:ascii="仿宋_GB2312" w:eastAsia="仿宋_GB2312"/>
          <w:sz w:val="32"/>
          <w:szCs w:val="32"/>
        </w:rPr>
        <w:t>通过预算绩效管理提升了我单位资金的利用效率，实现了资源的合理利用。我单位为差额预算管理单位，一部分收入来源于财政拨款，另一部分收入来源于自主经营，在平时的业务活动中同财政拨款数量、国库支出等都有较为密切的联系，通过开展预算绩效管理，积极落实预算管理工作，贴合单位实际的资金需求，可以避免出现资金不足或者资金大量结余的情况，从而提升资金的使用效率</w:t>
      </w:r>
      <w:r>
        <w:rPr>
          <w:rFonts w:hint="eastAsia" w:ascii="仿宋_GB2312" w:eastAsia="仿宋_GB2312"/>
          <w:color w:val="auto"/>
          <w:sz w:val="32"/>
          <w:szCs w:val="32"/>
          <w:highlight w:val="none"/>
          <w:lang w:eastAsia="zh-CN"/>
        </w:rPr>
        <w:t>。发现的问题及原因：一是</w:t>
      </w:r>
      <w:r>
        <w:rPr>
          <w:rFonts w:hint="eastAsia" w:ascii="仿宋_GB2312" w:eastAsia="仿宋_GB2312"/>
          <w:sz w:val="32"/>
          <w:szCs w:val="32"/>
          <w:highlight w:val="none"/>
          <w:lang w:val="en-US" w:eastAsia="zh-CN"/>
        </w:rPr>
        <w:t>项目施工多在野外，项目产生的费用会有不能及时报销的情况</w:t>
      </w:r>
      <w:r>
        <w:rPr>
          <w:rFonts w:hint="eastAsia" w:ascii="仿宋_GB2312" w:eastAsia="仿宋_GB2312"/>
          <w:color w:val="auto"/>
          <w:sz w:val="32"/>
          <w:szCs w:val="32"/>
          <w:highlight w:val="none"/>
          <w:lang w:eastAsia="zh-CN"/>
        </w:rPr>
        <w:t>；二是</w:t>
      </w:r>
      <w:r>
        <w:rPr>
          <w:rFonts w:ascii="仿宋_GB2312" w:eastAsia="仿宋_GB2312"/>
          <w:sz w:val="32"/>
          <w:szCs w:val="32"/>
        </w:rPr>
        <w:t>项目实施是一个涉及多部门合作的过程，对项目进行预算绩效管理也是一个需要各部门配合的过程，单位各部门人员对预算绩效管理认识水平不一，在执行过程中会有各种问题出现</w:t>
      </w:r>
      <w:r>
        <w:rPr>
          <w:rFonts w:hint="eastAsia" w:ascii="仿宋_GB2312" w:eastAsia="仿宋_GB2312"/>
          <w:color w:val="auto"/>
          <w:sz w:val="32"/>
          <w:szCs w:val="32"/>
          <w:highlight w:val="none"/>
          <w:lang w:eastAsia="zh-CN"/>
        </w:rPr>
        <w:t>。下一步改进措施：一是</w:t>
      </w:r>
      <w:r>
        <w:rPr>
          <w:rFonts w:ascii="仿宋_GB2312" w:eastAsia="仿宋_GB2312"/>
          <w:sz w:val="32"/>
          <w:szCs w:val="32"/>
        </w:rPr>
        <w:t>针对结算报销不及时的困境，我单位采用网络视频等方式多方沟通，将大额的费用进行确认，确保了本年度项目工作量按时完成和大额费用</w:t>
      </w:r>
      <w:r>
        <w:rPr>
          <w:rFonts w:hint="eastAsia" w:ascii="仿宋_GB2312" w:eastAsia="仿宋_GB2312"/>
          <w:sz w:val="32"/>
          <w:szCs w:val="32"/>
          <w:lang w:val="en-US" w:eastAsia="zh-CN"/>
        </w:rPr>
        <w:t>及时结算和</w:t>
      </w:r>
      <w:r>
        <w:rPr>
          <w:rFonts w:ascii="仿宋_GB2312" w:eastAsia="仿宋_GB2312"/>
          <w:sz w:val="32"/>
          <w:szCs w:val="32"/>
        </w:rPr>
        <w:t>报销</w:t>
      </w:r>
      <w:r>
        <w:rPr>
          <w:rFonts w:hint="eastAsia" w:ascii="仿宋_GB2312" w:eastAsia="仿宋_GB2312"/>
          <w:color w:val="auto"/>
          <w:sz w:val="32"/>
          <w:szCs w:val="32"/>
          <w:highlight w:val="none"/>
          <w:lang w:eastAsia="zh-CN"/>
        </w:rPr>
        <w:t>；二是</w:t>
      </w:r>
      <w:r>
        <w:rPr>
          <w:rFonts w:ascii="仿宋_GB2312" w:eastAsia="仿宋_GB2312"/>
          <w:sz w:val="32"/>
          <w:szCs w:val="32"/>
        </w:rPr>
        <w:t>加强对预算绩效管理的培训，统一各部门的认识，提升预算绩效管理执行水平</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hAnsi="仿宋_GB2312" w:eastAsia="仿宋_GB2312" w:cs="仿宋_GB2312"/>
          <w:color w:val="auto"/>
          <w:kern w:val="0"/>
          <w:sz w:val="32"/>
          <w:szCs w:val="32"/>
          <w:highlight w:val="none"/>
          <w:lang w:val="en-US" w:eastAsia="zh-CN"/>
        </w:rPr>
      </w:pPr>
      <w:bookmarkStart w:id="30" w:name="_Toc3250"/>
      <w:bookmarkStart w:id="31" w:name="_Toc24143"/>
      <w:r>
        <w:rPr>
          <w:rFonts w:hint="eastAsia" w:ascii="仿宋_GB2312" w:hAnsi="仿宋_GB2312" w:eastAsia="仿宋_GB2312" w:cs="仿宋_GB2312"/>
          <w:color w:val="auto"/>
          <w:kern w:val="0"/>
          <w:sz w:val="32"/>
          <w:szCs w:val="32"/>
          <w:highlight w:val="none"/>
          <w:lang w:val="en-US" w:eastAsia="zh-CN"/>
        </w:rPr>
        <w:t>本单位本年度</w:t>
      </w:r>
      <w:r>
        <w:rPr>
          <w:rFonts w:hint="eastAsia" w:ascii="仿宋_GB2312" w:eastAsia="仿宋_GB2312"/>
          <w:sz w:val="32"/>
          <w:szCs w:val="32"/>
          <w:highlight w:val="none"/>
          <w:lang w:val="en-US" w:eastAsia="zh-CN"/>
        </w:rPr>
        <w:t>sm项目</w:t>
      </w:r>
      <w:r>
        <w:rPr>
          <w:rFonts w:hint="eastAsia" w:ascii="Times New Roman" w:hAnsi="Times New Roman" w:eastAsia="仿宋_GB2312" w:cs="Times New Roman"/>
          <w:color w:val="auto"/>
          <w:sz w:val="32"/>
          <w:szCs w:val="32"/>
          <w:highlight w:val="none"/>
          <w:lang w:val="en-US" w:eastAsia="zh-CN"/>
        </w:rPr>
        <w:t>1</w:t>
      </w:r>
      <w:r>
        <w:rPr>
          <w:rFonts w:hint="eastAsia" w:ascii="仿宋_GB2312" w:eastAsia="仿宋_GB2312"/>
          <w:sz w:val="32"/>
          <w:szCs w:val="32"/>
          <w:highlight w:val="none"/>
          <w:lang w:val="en-US" w:eastAsia="zh-CN"/>
        </w:rPr>
        <w:t>个，全年预算数</w:t>
      </w:r>
      <w:r>
        <w:rPr>
          <w:rFonts w:hint="eastAsia" w:ascii="Times New Roman" w:hAnsi="Times New Roman" w:eastAsia="仿宋_GB2312" w:cs="Times New Roman"/>
          <w:color w:val="auto"/>
          <w:sz w:val="32"/>
          <w:szCs w:val="32"/>
          <w:highlight w:val="none"/>
          <w:lang w:val="en-US" w:eastAsia="zh-CN"/>
        </w:rPr>
        <w:t>23</w:t>
      </w:r>
      <w:r>
        <w:rPr>
          <w:rFonts w:hint="eastAsia" w:eastAsia="仿宋_GB2312" w:cs="Times New Roman"/>
          <w:color w:val="auto"/>
          <w:sz w:val="32"/>
          <w:szCs w:val="32"/>
          <w:highlight w:val="none"/>
          <w:lang w:val="en-US" w:eastAsia="zh-CN"/>
        </w:rPr>
        <w:t>.00</w:t>
      </w:r>
      <w:r>
        <w:rPr>
          <w:rFonts w:hint="eastAsia" w:ascii="仿宋_GB2312" w:eastAsia="仿宋_GB2312"/>
          <w:sz w:val="32"/>
          <w:szCs w:val="32"/>
          <w:highlight w:val="none"/>
          <w:lang w:val="en-US" w:eastAsia="zh-CN"/>
        </w:rPr>
        <w:t>万元，全年执行数</w:t>
      </w:r>
      <w:r>
        <w:rPr>
          <w:rFonts w:hint="eastAsia" w:ascii="Times New Roman" w:hAnsi="Times New Roman" w:eastAsia="仿宋_GB2312" w:cs="Times New Roman"/>
          <w:color w:val="auto"/>
          <w:sz w:val="32"/>
          <w:szCs w:val="32"/>
          <w:highlight w:val="none"/>
          <w:lang w:val="en-US" w:eastAsia="zh-CN"/>
        </w:rPr>
        <w:t>22.21</w:t>
      </w:r>
      <w:r>
        <w:rPr>
          <w:rFonts w:hint="eastAsia" w:ascii="仿宋_GB2312" w:eastAsia="仿宋_GB2312"/>
          <w:sz w:val="32"/>
          <w:szCs w:val="32"/>
          <w:highlight w:val="none"/>
          <w:lang w:val="en-US" w:eastAsia="zh-CN"/>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项目已完成。</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swiss"/>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B7&#10;pqW7twEAAFQDAAAOAAAAAAAAAAEAIAAAAB4BAABkcnMvZTJvRG9jLnhtbFBLBQYAAAAABgAGAFkB&#10;AABHBQAAAAA=&#10;">
              <v:fill on="f" focussize="0,0"/>
              <v:stroke on="f"/>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abstractNum w:abstractNumId="1">
    <w:nsid w:val="3828AE49"/>
    <w:multiLevelType w:val="singleLevel"/>
    <w:tmpl w:val="3828AE49"/>
    <w:lvl w:ilvl="0" w:tentative="0">
      <w:start w:val="1"/>
      <w:numFmt w:val="decimal"/>
      <w:pStyle w:val="5"/>
      <w:lvlText w:val="%1."/>
      <w:lvlJc w:val="left"/>
      <w:pPr>
        <w:tabs>
          <w:tab w:val="left" w:pos="2040"/>
        </w:tabs>
        <w:ind w:left="20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ED22F2"/>
    <w:rsid w:val="02732579"/>
    <w:rsid w:val="02BD3108"/>
    <w:rsid w:val="02F73D26"/>
    <w:rsid w:val="034D4FEF"/>
    <w:rsid w:val="035D1785"/>
    <w:rsid w:val="039F47CE"/>
    <w:rsid w:val="03E05CE8"/>
    <w:rsid w:val="03F22589"/>
    <w:rsid w:val="03F973EE"/>
    <w:rsid w:val="043E5B56"/>
    <w:rsid w:val="04C04386"/>
    <w:rsid w:val="04D96608"/>
    <w:rsid w:val="04DE0F2F"/>
    <w:rsid w:val="04FA68C4"/>
    <w:rsid w:val="053F5AE6"/>
    <w:rsid w:val="057C0B0F"/>
    <w:rsid w:val="05E76876"/>
    <w:rsid w:val="05EF4B48"/>
    <w:rsid w:val="05F76ECA"/>
    <w:rsid w:val="06792773"/>
    <w:rsid w:val="07093795"/>
    <w:rsid w:val="07804730"/>
    <w:rsid w:val="079052BE"/>
    <w:rsid w:val="08145C21"/>
    <w:rsid w:val="08422688"/>
    <w:rsid w:val="085854ED"/>
    <w:rsid w:val="0879188F"/>
    <w:rsid w:val="08A0354D"/>
    <w:rsid w:val="08C03E74"/>
    <w:rsid w:val="08CD4C49"/>
    <w:rsid w:val="09114954"/>
    <w:rsid w:val="095A5B83"/>
    <w:rsid w:val="096466E3"/>
    <w:rsid w:val="0968304D"/>
    <w:rsid w:val="09AF3D17"/>
    <w:rsid w:val="0A275CE1"/>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434B6D"/>
    <w:rsid w:val="0E640559"/>
    <w:rsid w:val="0F1113DA"/>
    <w:rsid w:val="0F78534A"/>
    <w:rsid w:val="0F89358A"/>
    <w:rsid w:val="0F8C6D51"/>
    <w:rsid w:val="105B0B5E"/>
    <w:rsid w:val="112E58D0"/>
    <w:rsid w:val="11533238"/>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D9198B"/>
    <w:rsid w:val="16E120E1"/>
    <w:rsid w:val="17385A05"/>
    <w:rsid w:val="173B3901"/>
    <w:rsid w:val="176747F9"/>
    <w:rsid w:val="17954A6E"/>
    <w:rsid w:val="180059E9"/>
    <w:rsid w:val="184510FD"/>
    <w:rsid w:val="187C4BF1"/>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562FF5"/>
    <w:rsid w:val="1FA15E62"/>
    <w:rsid w:val="1FEB535A"/>
    <w:rsid w:val="1FED69B6"/>
    <w:rsid w:val="2064678E"/>
    <w:rsid w:val="20DC1AB9"/>
    <w:rsid w:val="20DD6197"/>
    <w:rsid w:val="212631E0"/>
    <w:rsid w:val="214661DC"/>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0D1BE9"/>
    <w:rsid w:val="291029F3"/>
    <w:rsid w:val="29CB58F0"/>
    <w:rsid w:val="2A053397"/>
    <w:rsid w:val="2A145E96"/>
    <w:rsid w:val="2A2131BB"/>
    <w:rsid w:val="2AF5378F"/>
    <w:rsid w:val="2B104F14"/>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96565C"/>
    <w:rsid w:val="31C63837"/>
    <w:rsid w:val="31C82E39"/>
    <w:rsid w:val="32601BAD"/>
    <w:rsid w:val="329F6389"/>
    <w:rsid w:val="330F3766"/>
    <w:rsid w:val="3340370C"/>
    <w:rsid w:val="3389023A"/>
    <w:rsid w:val="33CB74FA"/>
    <w:rsid w:val="33E7709F"/>
    <w:rsid w:val="343642F2"/>
    <w:rsid w:val="343F3010"/>
    <w:rsid w:val="345D0A00"/>
    <w:rsid w:val="34713BFD"/>
    <w:rsid w:val="34C13589"/>
    <w:rsid w:val="353369E3"/>
    <w:rsid w:val="35B21E0B"/>
    <w:rsid w:val="35E00D72"/>
    <w:rsid w:val="36965B9D"/>
    <w:rsid w:val="36C549FD"/>
    <w:rsid w:val="37A755DD"/>
    <w:rsid w:val="37F15EF0"/>
    <w:rsid w:val="37F94FA0"/>
    <w:rsid w:val="380D3381"/>
    <w:rsid w:val="38115B1F"/>
    <w:rsid w:val="385E3AC3"/>
    <w:rsid w:val="387D6B9E"/>
    <w:rsid w:val="38B75FF0"/>
    <w:rsid w:val="38D45016"/>
    <w:rsid w:val="38D90432"/>
    <w:rsid w:val="3914510A"/>
    <w:rsid w:val="3926770B"/>
    <w:rsid w:val="397605A0"/>
    <w:rsid w:val="398D3668"/>
    <w:rsid w:val="39DA0497"/>
    <w:rsid w:val="3A893816"/>
    <w:rsid w:val="3A893B6D"/>
    <w:rsid w:val="3AD1763A"/>
    <w:rsid w:val="3B6716E3"/>
    <w:rsid w:val="3B6C6B2D"/>
    <w:rsid w:val="3B937AAA"/>
    <w:rsid w:val="3C242659"/>
    <w:rsid w:val="3C393F19"/>
    <w:rsid w:val="3C7F72AA"/>
    <w:rsid w:val="3C96719C"/>
    <w:rsid w:val="3CA72BE8"/>
    <w:rsid w:val="3CF37F8C"/>
    <w:rsid w:val="3D0C0F7F"/>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0586"/>
    <w:rsid w:val="40834692"/>
    <w:rsid w:val="40D32888"/>
    <w:rsid w:val="41431AD5"/>
    <w:rsid w:val="414B3C0F"/>
    <w:rsid w:val="417C1CE7"/>
    <w:rsid w:val="41900018"/>
    <w:rsid w:val="41944406"/>
    <w:rsid w:val="41CE128F"/>
    <w:rsid w:val="41DA6F12"/>
    <w:rsid w:val="42171FB1"/>
    <w:rsid w:val="434E6957"/>
    <w:rsid w:val="436B660F"/>
    <w:rsid w:val="43BA0E31"/>
    <w:rsid w:val="43C15147"/>
    <w:rsid w:val="43E14DD2"/>
    <w:rsid w:val="43F800E9"/>
    <w:rsid w:val="441028FC"/>
    <w:rsid w:val="443A7E4B"/>
    <w:rsid w:val="452F5B3A"/>
    <w:rsid w:val="454E7FD2"/>
    <w:rsid w:val="46061BDC"/>
    <w:rsid w:val="461404F8"/>
    <w:rsid w:val="46413018"/>
    <w:rsid w:val="464B7E04"/>
    <w:rsid w:val="468041AA"/>
    <w:rsid w:val="468123C6"/>
    <w:rsid w:val="46901EEE"/>
    <w:rsid w:val="469C74D2"/>
    <w:rsid w:val="47445515"/>
    <w:rsid w:val="474B4782"/>
    <w:rsid w:val="478413E3"/>
    <w:rsid w:val="47D90D14"/>
    <w:rsid w:val="48387FB0"/>
    <w:rsid w:val="483A6114"/>
    <w:rsid w:val="488727DB"/>
    <w:rsid w:val="48B82268"/>
    <w:rsid w:val="48C354B3"/>
    <w:rsid w:val="493D58B5"/>
    <w:rsid w:val="494A7A04"/>
    <w:rsid w:val="4A0A26D2"/>
    <w:rsid w:val="4A2019A5"/>
    <w:rsid w:val="4A241A0B"/>
    <w:rsid w:val="4A7B2875"/>
    <w:rsid w:val="4A934476"/>
    <w:rsid w:val="4AAA220A"/>
    <w:rsid w:val="4AB60C6E"/>
    <w:rsid w:val="4AE12E67"/>
    <w:rsid w:val="4B4C0111"/>
    <w:rsid w:val="4B8553A9"/>
    <w:rsid w:val="4BDB3730"/>
    <w:rsid w:val="4C200F7A"/>
    <w:rsid w:val="4CEE3180"/>
    <w:rsid w:val="4D0F4AF6"/>
    <w:rsid w:val="4DF94F37"/>
    <w:rsid w:val="4E012AF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D673F7"/>
    <w:rsid w:val="52F647F7"/>
    <w:rsid w:val="52F92565"/>
    <w:rsid w:val="53D03877"/>
    <w:rsid w:val="542F73CA"/>
    <w:rsid w:val="5430786D"/>
    <w:rsid w:val="545A1D2A"/>
    <w:rsid w:val="54C811C0"/>
    <w:rsid w:val="556A442D"/>
    <w:rsid w:val="55DA564E"/>
    <w:rsid w:val="55E816A3"/>
    <w:rsid w:val="5604127D"/>
    <w:rsid w:val="56166703"/>
    <w:rsid w:val="56510474"/>
    <w:rsid w:val="56861525"/>
    <w:rsid w:val="568C25D5"/>
    <w:rsid w:val="56A93273"/>
    <w:rsid w:val="56BD550C"/>
    <w:rsid w:val="56E07045"/>
    <w:rsid w:val="56FF28AF"/>
    <w:rsid w:val="57540E7D"/>
    <w:rsid w:val="576A0D7A"/>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8303D"/>
    <w:rsid w:val="5DD92690"/>
    <w:rsid w:val="5DDB1CFD"/>
    <w:rsid w:val="5E7E6D93"/>
    <w:rsid w:val="5ED44800"/>
    <w:rsid w:val="5F350BDE"/>
    <w:rsid w:val="5F61632C"/>
    <w:rsid w:val="5FA17648"/>
    <w:rsid w:val="5FC56E66"/>
    <w:rsid w:val="5FE705CB"/>
    <w:rsid w:val="603D5080"/>
    <w:rsid w:val="60D0261B"/>
    <w:rsid w:val="60F94DB0"/>
    <w:rsid w:val="618E3791"/>
    <w:rsid w:val="61947DCA"/>
    <w:rsid w:val="61A46A97"/>
    <w:rsid w:val="61D1382F"/>
    <w:rsid w:val="61F114A2"/>
    <w:rsid w:val="622B0ABA"/>
    <w:rsid w:val="62512BB4"/>
    <w:rsid w:val="625D7D1A"/>
    <w:rsid w:val="62DD7D21"/>
    <w:rsid w:val="637D586B"/>
    <w:rsid w:val="63A5560B"/>
    <w:rsid w:val="63E9091F"/>
    <w:rsid w:val="63EB5158"/>
    <w:rsid w:val="64322AF9"/>
    <w:rsid w:val="64D6010D"/>
    <w:rsid w:val="64D82665"/>
    <w:rsid w:val="64E47C96"/>
    <w:rsid w:val="651E5741"/>
    <w:rsid w:val="658A4877"/>
    <w:rsid w:val="65A00902"/>
    <w:rsid w:val="65AC6EDD"/>
    <w:rsid w:val="65D97752"/>
    <w:rsid w:val="65FE16FF"/>
    <w:rsid w:val="66085536"/>
    <w:rsid w:val="66105BF7"/>
    <w:rsid w:val="66150023"/>
    <w:rsid w:val="6628010D"/>
    <w:rsid w:val="66760E6E"/>
    <w:rsid w:val="669B4528"/>
    <w:rsid w:val="66CC12D7"/>
    <w:rsid w:val="67134CEF"/>
    <w:rsid w:val="671F1ABD"/>
    <w:rsid w:val="67521A59"/>
    <w:rsid w:val="678478D0"/>
    <w:rsid w:val="67C304AB"/>
    <w:rsid w:val="683F0658"/>
    <w:rsid w:val="689C6793"/>
    <w:rsid w:val="68DB0208"/>
    <w:rsid w:val="68FB170C"/>
    <w:rsid w:val="691B3D98"/>
    <w:rsid w:val="693748F0"/>
    <w:rsid w:val="69846A0E"/>
    <w:rsid w:val="69AA1366"/>
    <w:rsid w:val="69AD798C"/>
    <w:rsid w:val="69D005C0"/>
    <w:rsid w:val="69D80B96"/>
    <w:rsid w:val="6A807517"/>
    <w:rsid w:val="6B68175F"/>
    <w:rsid w:val="6BFD799F"/>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657E74"/>
    <w:rsid w:val="718F7F65"/>
    <w:rsid w:val="71D52E1A"/>
    <w:rsid w:val="727B234E"/>
    <w:rsid w:val="72D068C7"/>
    <w:rsid w:val="72E42ED8"/>
    <w:rsid w:val="735F4CB9"/>
    <w:rsid w:val="73674C62"/>
    <w:rsid w:val="73845865"/>
    <w:rsid w:val="739B6D9E"/>
    <w:rsid w:val="73BC1D76"/>
    <w:rsid w:val="73FB6630"/>
    <w:rsid w:val="743C13B2"/>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7FE4669"/>
    <w:rsid w:val="782B6A6C"/>
    <w:rsid w:val="784E7CA6"/>
    <w:rsid w:val="78574801"/>
    <w:rsid w:val="7873527F"/>
    <w:rsid w:val="790A6425"/>
    <w:rsid w:val="790E2D96"/>
    <w:rsid w:val="791B54B2"/>
    <w:rsid w:val="795A0A34"/>
    <w:rsid w:val="797339C3"/>
    <w:rsid w:val="798679A4"/>
    <w:rsid w:val="79D57D57"/>
    <w:rsid w:val="79F00650"/>
    <w:rsid w:val="7A6242BF"/>
    <w:rsid w:val="7A794513"/>
    <w:rsid w:val="7AE952D2"/>
    <w:rsid w:val="7C7248A0"/>
    <w:rsid w:val="7C8436F2"/>
    <w:rsid w:val="7C885CC8"/>
    <w:rsid w:val="7C976D69"/>
    <w:rsid w:val="7CD752DA"/>
    <w:rsid w:val="7CDE40AB"/>
    <w:rsid w:val="7CF057E2"/>
    <w:rsid w:val="7D1548B5"/>
    <w:rsid w:val="7DF84014"/>
    <w:rsid w:val="7E207949"/>
    <w:rsid w:val="7E5C0A47"/>
    <w:rsid w:val="7E670C75"/>
    <w:rsid w:val="7EE24272"/>
    <w:rsid w:val="7EEA6053"/>
    <w:rsid w:val="7F487C04"/>
    <w:rsid w:val="7FA00BF9"/>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next w:val="4"/>
    <w:unhideWhenUsed/>
    <w:qFormat/>
    <w:uiPriority w:val="0"/>
    <w:pPr>
      <w:spacing w:beforeLines="0" w:afterLines="0"/>
      <w:ind w:firstLine="420" w:firstLineChars="200"/>
    </w:pPr>
    <w:rPr>
      <w:rFonts w:hint="eastAsia"/>
      <w:sz w:val="32"/>
      <w:szCs w:val="20"/>
    </w:rPr>
  </w:style>
  <w:style w:type="paragraph" w:styleId="3">
    <w:name w:val="Body Text Indent"/>
    <w:basedOn w:val="1"/>
    <w:next w:val="1"/>
    <w:unhideWhenUsed/>
    <w:qFormat/>
    <w:uiPriority w:val="0"/>
    <w:pPr>
      <w:spacing w:beforeLines="0" w:afterLines="0" w:line="620" w:lineRule="exact"/>
      <w:ind w:firstLine="630"/>
    </w:pPr>
    <w:rPr>
      <w:rFonts w:hint="eastAsia" w:ascii="楷体_GB2312" w:hAnsi="Times New Roman" w:eastAsia="楷体_GB2312"/>
      <w:sz w:val="32"/>
      <w:szCs w:val="20"/>
    </w:rPr>
  </w:style>
  <w:style w:type="paragraph" w:styleId="4">
    <w:name w:val="Plain Text"/>
    <w:basedOn w:val="1"/>
    <w:next w:val="5"/>
    <w:unhideWhenUsed/>
    <w:qFormat/>
    <w:uiPriority w:val="0"/>
    <w:pPr>
      <w:spacing w:beforeLines="0" w:afterLines="0"/>
    </w:pPr>
    <w:rPr>
      <w:rFonts w:hint="default" w:ascii="宋体" w:hAnsi="Courier New" w:cs="Courier New"/>
      <w:sz w:val="21"/>
      <w:szCs w:val="21"/>
    </w:rPr>
  </w:style>
  <w:style w:type="paragraph" w:styleId="5">
    <w:name w:val="List Number 5"/>
    <w:basedOn w:val="1"/>
    <w:qFormat/>
    <w:uiPriority w:val="0"/>
    <w:pPr>
      <w:numPr>
        <w:ilvl w:val="0"/>
        <w:numId w:val="1"/>
      </w:numPr>
    </w:p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5">
    <w:name w:val="Strong"/>
    <w:basedOn w:val="14"/>
    <w:qFormat/>
    <w:uiPriority w:val="0"/>
    <w:rPr>
      <w:b/>
    </w:rPr>
  </w:style>
  <w:style w:type="paragraph" w:customStyle="1" w:styleId="16">
    <w:name w:val="WPSOffice手动目录 3"/>
    <w:qFormat/>
    <w:uiPriority w:val="0"/>
    <w:pPr>
      <w:ind w:leftChars="40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6460</Words>
  <Characters>20598</Characters>
  <Lines>0</Lines>
  <Paragraphs>0</Paragraphs>
  <TotalTime>2</TotalTime>
  <ScaleCrop>false</ScaleCrop>
  <LinksUpToDate>false</LinksUpToDate>
  <CharactersWithSpaces>20832</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2024-10-12T09:26:53Z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D624B15633CD43C8BF9435464A96BF70</vt:lpwstr>
  </property>
</Properties>
</file>