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7CB54">
      <w:pPr>
        <w:rPr>
          <w:rFonts w:ascii="黑体" w:hAnsi="黑体" w:eastAsia="黑体"/>
          <w:sz w:val="32"/>
          <w:szCs w:val="32"/>
        </w:rPr>
      </w:pPr>
    </w:p>
    <w:p w14:paraId="2A28860D">
      <w:pPr>
        <w:jc w:val="center"/>
        <w:rPr>
          <w:rFonts w:ascii="方正小标宋_GBK" w:hAnsi="宋体" w:eastAsia="方正小标宋_GBK"/>
          <w:sz w:val="44"/>
          <w:szCs w:val="44"/>
        </w:rPr>
      </w:pPr>
    </w:p>
    <w:p w14:paraId="682342A1">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新疆维吾尔自治区地质矿产勘查开发局第二水文工程地质大队</w:t>
      </w:r>
    </w:p>
    <w:p w14:paraId="6E6691AA">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CAAA96F">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6ADF5CAB">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479BADD2">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6BBC8FF">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F4F9E4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DD40D0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64A25DD">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4D4340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3EF261E">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87FDFD7">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712B943">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3F9BB1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6C7F99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BAF257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6A1A1E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2DDF37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2C1F2A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32CC786">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1FB443A">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1D143B6">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89A76D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1167997">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BDC41B2">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562AF53">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E0756B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EF30C35">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FA23AE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7B6757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8E182D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5817C47">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C9ED7B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ABC59B7">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F9949BE">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94AAB80">
      <w:r>
        <w:rPr>
          <w:rFonts w:hint="eastAsia" w:ascii="仿宋_GB2312" w:hAnsi="仿宋_GB2312" w:eastAsia="仿宋_GB2312" w:cs="仿宋_GB2312"/>
          <w:sz w:val="32"/>
          <w:szCs w:val="32"/>
        </w:rPr>
        <w:fldChar w:fldCharType="end"/>
      </w:r>
    </w:p>
    <w:p w14:paraId="297EE733">
      <w:pPr>
        <w:rPr>
          <w:rFonts w:ascii="仿宋_GB2312" w:eastAsia="仿宋_GB2312"/>
          <w:sz w:val="32"/>
          <w:szCs w:val="32"/>
        </w:rPr>
      </w:pPr>
      <w:r>
        <w:rPr>
          <w:rFonts w:hint="eastAsia" w:ascii="仿宋_GB2312" w:eastAsia="仿宋_GB2312"/>
          <w:sz w:val="32"/>
          <w:szCs w:val="32"/>
        </w:rPr>
        <w:br w:type="page"/>
      </w:r>
    </w:p>
    <w:p w14:paraId="262B277D">
      <w:pPr>
        <w:jc w:val="center"/>
        <w:outlineLvl w:val="0"/>
        <w:rPr>
          <w:rFonts w:hint="default" w:ascii="Times New Roman" w:hAnsi="Times New Roman" w:eastAsia="黑体" w:cs="Times New Roman"/>
          <w:sz w:val="32"/>
          <w:szCs w:val="32"/>
        </w:rPr>
      </w:pPr>
      <w:bookmarkStart w:id="0" w:name="_Toc32314"/>
      <w:bookmarkStart w:id="1" w:name="_Toc24028"/>
      <w:r>
        <w:rPr>
          <w:rFonts w:hint="default" w:ascii="Times New Roman" w:hAnsi="Times New Roman" w:eastAsia="黑体" w:cs="Times New Roman"/>
          <w:sz w:val="32"/>
          <w:szCs w:val="32"/>
        </w:rPr>
        <w:t>第一部分 单位概况</w:t>
      </w:r>
      <w:bookmarkEnd w:id="0"/>
      <w:bookmarkEnd w:id="1"/>
    </w:p>
    <w:p w14:paraId="3D84182C">
      <w:pPr>
        <w:ind w:firstLine="640" w:firstLineChars="200"/>
        <w:outlineLvl w:val="1"/>
        <w:rPr>
          <w:rFonts w:hint="default" w:ascii="Times New Roman" w:hAnsi="Times New Roman" w:eastAsia="黑体" w:cs="Times New Roman"/>
          <w:bCs/>
          <w:kern w:val="0"/>
          <w:sz w:val="32"/>
          <w:szCs w:val="32"/>
        </w:rPr>
      </w:pPr>
      <w:bookmarkStart w:id="2" w:name="_Toc30738"/>
      <w:bookmarkStart w:id="3" w:name="_Toc30567"/>
      <w:r>
        <w:rPr>
          <w:rFonts w:hint="default" w:ascii="Times New Roman" w:hAnsi="Times New Roman" w:eastAsia="黑体" w:cs="Times New Roman"/>
          <w:bCs/>
          <w:kern w:val="0"/>
          <w:sz w:val="32"/>
          <w:szCs w:val="32"/>
        </w:rPr>
        <w:t>一、主要职能</w:t>
      </w:r>
      <w:bookmarkEnd w:id="2"/>
      <w:bookmarkEnd w:id="3"/>
    </w:p>
    <w:p w14:paraId="1256C6E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疆维吾尔自治区地质矿产勘查开发局第二水文工程地质大队主要职能：为国家建设提供水文地质调查服务。具体有承担国家和自治区基础性、公益性水文地质、工程地质、环境地质、地球物理勘查，地下水资源勘查、评价，液体矿产勘查，固体矿产勘查和城市、工矿企业供水水源地勘查及开发任务；从事农田供水勘查、土壤改良以及防病改水工作；承担地质环境调查、评价和地质灾害防治工程勘查；承担地质工程施工，地质钻探，地质实验测试及土壤、水质的分析、鉴定等工作。</w:t>
      </w:r>
    </w:p>
    <w:p w14:paraId="16035D22">
      <w:pPr>
        <w:ind w:firstLine="640" w:firstLineChars="200"/>
        <w:outlineLvl w:val="1"/>
        <w:rPr>
          <w:rFonts w:hint="default" w:ascii="Times New Roman" w:hAnsi="Times New Roman" w:eastAsia="黑体" w:cs="Times New Roman"/>
          <w:bCs/>
          <w:kern w:val="0"/>
          <w:sz w:val="32"/>
          <w:szCs w:val="32"/>
        </w:rPr>
      </w:pPr>
      <w:bookmarkStart w:id="4" w:name="_Toc31238"/>
      <w:bookmarkStart w:id="5" w:name="_Toc2151"/>
      <w:r>
        <w:rPr>
          <w:rFonts w:hint="default" w:ascii="Times New Roman" w:hAnsi="Times New Roman" w:eastAsia="黑体" w:cs="Times New Roman"/>
          <w:bCs/>
          <w:kern w:val="0"/>
          <w:sz w:val="32"/>
          <w:szCs w:val="32"/>
        </w:rPr>
        <w:t>二、机构设置及</w:t>
      </w:r>
      <w:bookmarkEnd w:id="4"/>
      <w:r>
        <w:rPr>
          <w:rFonts w:hint="default" w:ascii="Times New Roman" w:hAnsi="Times New Roman" w:eastAsia="黑体" w:cs="Times New Roman"/>
          <w:bCs/>
          <w:kern w:val="0"/>
          <w:sz w:val="32"/>
          <w:szCs w:val="32"/>
        </w:rPr>
        <w:t>人员情况</w:t>
      </w:r>
      <w:bookmarkEnd w:id="5"/>
    </w:p>
    <w:p w14:paraId="38E6C88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新疆维吾尔自治区地质矿产勘查开发局第二水文工程地质大队2023年度，实有人数</w:t>
      </w:r>
      <w:r>
        <w:rPr>
          <w:rFonts w:hint="default" w:ascii="Times New Roman" w:hAnsi="Times New Roman" w:eastAsia="仿宋_GB2312" w:cs="Times New Roman"/>
          <w:sz w:val="32"/>
          <w:szCs w:val="32"/>
          <w:lang w:val="zh-CN"/>
        </w:rPr>
        <w:t>594</w:t>
      </w:r>
      <w:r>
        <w:rPr>
          <w:rFonts w:hint="default" w:ascii="Times New Roman" w:hAnsi="Times New Roman" w:eastAsia="仿宋_GB2312" w:cs="Times New Roman"/>
          <w:sz w:val="32"/>
          <w:szCs w:val="32"/>
        </w:rPr>
        <w:t>人，其中：在职人员</w:t>
      </w:r>
      <w:r>
        <w:rPr>
          <w:rFonts w:hint="default" w:ascii="Times New Roman" w:hAnsi="Times New Roman" w:eastAsia="仿宋_GB2312" w:cs="Times New Roman"/>
          <w:sz w:val="32"/>
          <w:szCs w:val="32"/>
          <w:lang w:val="zh-CN"/>
        </w:rPr>
        <w:t>161</w:t>
      </w:r>
      <w:r>
        <w:rPr>
          <w:rFonts w:hint="default" w:ascii="Times New Roman" w:hAnsi="Times New Roman" w:eastAsia="仿宋_GB2312" w:cs="Times New Roman"/>
          <w:sz w:val="32"/>
          <w:szCs w:val="32"/>
        </w:rPr>
        <w:t>人，离休人员</w:t>
      </w:r>
      <w:r>
        <w:rPr>
          <w:rFonts w:hint="default" w:ascii="Times New Roman" w:hAnsi="Times New Roman" w:eastAsia="仿宋_GB2312" w:cs="Times New Roman"/>
          <w:sz w:val="32"/>
          <w:szCs w:val="32"/>
          <w:lang w:val="zh-CN"/>
        </w:rPr>
        <w:t>1</w:t>
      </w:r>
      <w:r>
        <w:rPr>
          <w:rFonts w:hint="default" w:ascii="Times New Roman" w:hAnsi="Times New Roman" w:eastAsia="仿宋_GB2312" w:cs="Times New Roman"/>
          <w:sz w:val="32"/>
          <w:szCs w:val="32"/>
        </w:rPr>
        <w:t>人，退休人员</w:t>
      </w:r>
      <w:r>
        <w:rPr>
          <w:rFonts w:hint="default" w:ascii="Times New Roman" w:hAnsi="Times New Roman" w:eastAsia="仿宋_GB2312" w:cs="Times New Roman"/>
          <w:sz w:val="32"/>
          <w:szCs w:val="32"/>
          <w:lang w:val="zh-CN"/>
        </w:rPr>
        <w:t>432</w:t>
      </w:r>
      <w:r>
        <w:rPr>
          <w:rFonts w:hint="default" w:ascii="Times New Roman" w:hAnsi="Times New Roman" w:eastAsia="仿宋_GB2312" w:cs="Times New Roman"/>
          <w:sz w:val="32"/>
          <w:szCs w:val="32"/>
        </w:rPr>
        <w:t>人。</w:t>
      </w:r>
    </w:p>
    <w:p w14:paraId="7362E5F7">
      <w:pPr>
        <w:ind w:firstLine="640" w:firstLineChars="200"/>
        <w:rPr>
          <w:rFonts w:hint="default" w:ascii="Times New Roman" w:hAnsi="Times New Roman" w:eastAsia="仿宋_GB2312" w:cs="Times New Roman"/>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default" w:ascii="Times New Roman" w:hAnsi="Times New Roman" w:eastAsia="仿宋_GB2312" w:cs="Times New Roman"/>
          <w:sz w:val="32"/>
          <w:szCs w:val="32"/>
        </w:rPr>
        <w:t>单位无下属预算单位，下设24个处室，分别是：纪检监察（审计）科、安全生产管理科、财务资产管理科、党政办公室、党群办公室（含团委）、离退休人员管理科、工会、后勤服务中心、人事科、综合计划管理科、技术管理科、地质灾害与地质遗迹调查中心、地热勘查中心、水工环勘察二院、水工环勘察三院、水工环勘察五院、岩土工程勘察院、物探工程勘察院、综合勘察院、国土空间生态修复中心、信息中心、实验室、地质工程一院、地质工程二院。</w:t>
      </w:r>
    </w:p>
    <w:p w14:paraId="2B2CED82">
      <w:pPr>
        <w:jc w:val="center"/>
        <w:outlineLvl w:val="0"/>
        <w:rPr>
          <w:rFonts w:hint="default" w:ascii="Times New Roman" w:hAnsi="Times New Roman" w:eastAsia="黑体" w:cs="Times New Roman"/>
          <w:sz w:val="32"/>
          <w:szCs w:val="32"/>
        </w:rPr>
      </w:pPr>
      <w:bookmarkStart w:id="6" w:name="_Toc3092"/>
      <w:bookmarkStart w:id="7" w:name="_Toc29374"/>
      <w:r>
        <w:rPr>
          <w:rFonts w:hint="default" w:ascii="Times New Roman" w:hAnsi="Times New Roman" w:eastAsia="黑体" w:cs="Times New Roman"/>
          <w:sz w:val="32"/>
          <w:szCs w:val="32"/>
        </w:rPr>
        <w:t>第二部分 部门决算情况说明</w:t>
      </w:r>
      <w:bookmarkEnd w:id="6"/>
      <w:bookmarkEnd w:id="7"/>
    </w:p>
    <w:p w14:paraId="14B4B33C">
      <w:pPr>
        <w:ind w:firstLine="640" w:firstLineChars="200"/>
        <w:outlineLvl w:val="1"/>
        <w:rPr>
          <w:rFonts w:hint="default" w:ascii="Times New Roman" w:hAnsi="Times New Roman" w:eastAsia="黑体" w:cs="Times New Roman"/>
          <w:bCs/>
          <w:kern w:val="0"/>
          <w:sz w:val="32"/>
          <w:szCs w:val="32"/>
        </w:rPr>
      </w:pPr>
      <w:bookmarkStart w:id="8" w:name="_Toc25314"/>
      <w:bookmarkStart w:id="9" w:name="_Toc12566"/>
      <w:r>
        <w:rPr>
          <w:rFonts w:hint="default" w:ascii="Times New Roman" w:hAnsi="Times New Roman" w:eastAsia="黑体" w:cs="Times New Roman"/>
          <w:bCs/>
          <w:kern w:val="0"/>
          <w:sz w:val="32"/>
          <w:szCs w:val="32"/>
        </w:rPr>
        <w:t>一、收入支出决算总体情况说明</w:t>
      </w:r>
      <w:bookmarkEnd w:id="8"/>
      <w:bookmarkEnd w:id="9"/>
    </w:p>
    <w:p w14:paraId="0654E5B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2023年度收入总计9,393.63万元，其中：本年收入合计6,483.34万元，使用非财政拨款结余2,856.28万元，年初结转和结余54.00万元。</w:t>
      </w:r>
    </w:p>
    <w:p w14:paraId="728F6EC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2023年度支出总计9,393.63万元，其中：本年支出合计7,369.22万元，结余分配2,024.41万元，年末结转和结余0.00万元。</w:t>
      </w:r>
    </w:p>
    <w:p w14:paraId="1A4B33DC">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收入支出总体与上年相比，</w:t>
      </w:r>
      <w:r>
        <w:rPr>
          <w:rFonts w:hint="default" w:ascii="Times New Roman" w:hAnsi="Times New Roman" w:eastAsia="仿宋_GB2312" w:cs="Times New Roman"/>
          <w:sz w:val="32"/>
          <w:szCs w:val="32"/>
          <w:lang w:val="zh-CN"/>
        </w:rPr>
        <w:t>增加1,742.5</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zh-CN"/>
        </w:rPr>
        <w:t>增长22.77%</w:t>
      </w:r>
      <w:r>
        <w:rPr>
          <w:rFonts w:hint="default" w:ascii="Times New Roman" w:hAnsi="Times New Roman" w:eastAsia="仿宋_GB2312" w:cs="Times New Roman"/>
          <w:sz w:val="32"/>
          <w:szCs w:val="32"/>
        </w:rPr>
        <w:t>，主要原因是：2023年在职职工、离退休人员工资较上年增加，基本养老保险缴费及职业年金缴费增加，职工相关的工资和社保财政拨款收入增加；伴随地勘行业高质量发展的新挑战，单位鼓励技术人员大力承揽局自筹项目，取得效果较为显著，局自筹项目经费较上年增加；本年中标自治区勘查基金项目一个，造成收入增加。</w:t>
      </w:r>
    </w:p>
    <w:p w14:paraId="71D98D4A">
      <w:pPr>
        <w:ind w:firstLine="640" w:firstLineChars="200"/>
        <w:jc w:val="left"/>
        <w:outlineLvl w:val="1"/>
        <w:rPr>
          <w:rFonts w:hint="default" w:ascii="Times New Roman" w:hAnsi="Times New Roman" w:eastAsia="黑体" w:cs="Times New Roman"/>
          <w:bCs/>
          <w:kern w:val="0"/>
          <w:sz w:val="32"/>
          <w:szCs w:val="32"/>
        </w:rPr>
      </w:pPr>
      <w:bookmarkStart w:id="10" w:name="_Toc1979"/>
      <w:bookmarkStart w:id="11" w:name="_Toc12142"/>
      <w:r>
        <w:rPr>
          <w:rFonts w:hint="default" w:ascii="Times New Roman" w:hAnsi="Times New Roman" w:eastAsia="黑体" w:cs="Times New Roman"/>
          <w:bCs/>
          <w:kern w:val="0"/>
          <w:sz w:val="32"/>
          <w:szCs w:val="32"/>
        </w:rPr>
        <w:t>二、收入决算情况说明</w:t>
      </w:r>
      <w:bookmarkEnd w:id="10"/>
      <w:bookmarkEnd w:id="11"/>
    </w:p>
    <w:p w14:paraId="52D057D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本年收入6,483.34万元，其中：财政拨款收入</w:t>
      </w:r>
      <w:r>
        <w:rPr>
          <w:rFonts w:hint="default" w:ascii="Times New Roman" w:hAnsi="Times New Roman" w:eastAsia="仿宋_GB2312" w:cs="Times New Roman"/>
          <w:sz w:val="32"/>
          <w:szCs w:val="32"/>
          <w:lang w:val="zh-CN"/>
        </w:rPr>
        <w:t>3,058.89</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47.18</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3,087.28</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47.62</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337.18</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5.20</w:t>
      </w:r>
      <w:r>
        <w:rPr>
          <w:rFonts w:hint="default" w:ascii="Times New Roman" w:hAnsi="Times New Roman" w:eastAsia="仿宋_GB2312" w:cs="Times New Roman"/>
          <w:sz w:val="32"/>
          <w:szCs w:val="32"/>
        </w:rPr>
        <w:t>%。</w:t>
      </w:r>
    </w:p>
    <w:p w14:paraId="4E06BA5E">
      <w:pPr>
        <w:ind w:firstLine="640" w:firstLineChars="200"/>
        <w:jc w:val="left"/>
        <w:outlineLvl w:val="1"/>
        <w:rPr>
          <w:rFonts w:hint="default" w:ascii="Times New Roman" w:hAnsi="Times New Roman" w:eastAsia="黑体" w:cs="Times New Roman"/>
          <w:bCs/>
          <w:kern w:val="0"/>
          <w:sz w:val="32"/>
          <w:szCs w:val="32"/>
        </w:rPr>
      </w:pPr>
      <w:bookmarkStart w:id="12" w:name="_Toc13201"/>
      <w:bookmarkStart w:id="13" w:name="_Toc27961"/>
      <w:r>
        <w:rPr>
          <w:rFonts w:hint="default" w:ascii="Times New Roman" w:hAnsi="Times New Roman" w:eastAsia="黑体" w:cs="Times New Roman"/>
          <w:bCs/>
          <w:kern w:val="0"/>
          <w:sz w:val="32"/>
          <w:szCs w:val="32"/>
        </w:rPr>
        <w:t>三、支出决算情况说明</w:t>
      </w:r>
      <w:bookmarkEnd w:id="12"/>
      <w:bookmarkEnd w:id="13"/>
    </w:p>
    <w:p w14:paraId="12AE6719">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本年支出7,369.22万元，其中：基本支出4,028.57万元，占54.67%；项目支出2,277.78万元，占30.91%；上缴上级支出0.00万元，占0.00%；经营支出1,062.87万元，占14.42%；对附属单位补助支出0.00万元，占0.00%。</w:t>
      </w:r>
    </w:p>
    <w:p w14:paraId="1D0CDE50">
      <w:pPr>
        <w:ind w:firstLine="640" w:firstLineChars="200"/>
        <w:jc w:val="left"/>
        <w:outlineLvl w:val="1"/>
        <w:rPr>
          <w:rFonts w:hint="default" w:ascii="Times New Roman" w:hAnsi="Times New Roman" w:eastAsia="黑体" w:cs="Times New Roman"/>
          <w:bCs/>
          <w:kern w:val="0"/>
          <w:sz w:val="32"/>
          <w:szCs w:val="32"/>
        </w:rPr>
      </w:pPr>
      <w:bookmarkStart w:id="14" w:name="_Toc4393"/>
      <w:bookmarkStart w:id="15" w:name="_Toc26564"/>
      <w:r>
        <w:rPr>
          <w:rFonts w:hint="default" w:ascii="Times New Roman" w:hAnsi="Times New Roman" w:eastAsia="黑体" w:cs="Times New Roman"/>
          <w:bCs/>
          <w:kern w:val="0"/>
          <w:sz w:val="32"/>
          <w:szCs w:val="32"/>
        </w:rPr>
        <w:t>四、财政拨款收入支出决算总体情况说明</w:t>
      </w:r>
      <w:bookmarkEnd w:id="14"/>
      <w:bookmarkEnd w:id="15"/>
    </w:p>
    <w:p w14:paraId="5EAE4604">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2023年度财政拨款收入</w:t>
      </w:r>
      <w:r>
        <w:rPr>
          <w:rFonts w:hint="default" w:ascii="Times New Roman" w:hAnsi="Times New Roman" w:eastAsia="仿宋_GB2312" w:cs="Times New Roman"/>
          <w:sz w:val="32"/>
          <w:szCs w:val="32"/>
        </w:rPr>
        <w:t>总计</w:t>
      </w:r>
      <w:r>
        <w:rPr>
          <w:rFonts w:hint="default" w:ascii="Times New Roman" w:hAnsi="Times New Roman" w:eastAsia="仿宋_GB2312" w:cs="Times New Roman"/>
          <w:sz w:val="32"/>
          <w:szCs w:val="32"/>
          <w:lang w:val="zh-CN"/>
        </w:rPr>
        <w:t>3,058.89万元，</w:t>
      </w:r>
      <w:r>
        <w:rPr>
          <w:rFonts w:hint="default" w:ascii="Times New Roman" w:hAnsi="Times New Roman" w:eastAsia="仿宋_GB2312" w:cs="Times New Roman"/>
          <w:sz w:val="32"/>
          <w:szCs w:val="32"/>
        </w:rPr>
        <w:t>其中：年初财政拨款结转和结余</w:t>
      </w:r>
      <w:r>
        <w:rPr>
          <w:rFonts w:hint="default" w:ascii="Times New Roman" w:hAnsi="Times New Roman" w:eastAsia="仿宋_GB2312" w:cs="Times New Roman"/>
          <w:sz w:val="32"/>
          <w:szCs w:val="32"/>
          <w:lang w:val="zh-CN"/>
        </w:rPr>
        <w:t>0.00万元，</w:t>
      </w:r>
      <w:r>
        <w:rPr>
          <w:rFonts w:hint="default" w:ascii="Times New Roman" w:hAnsi="Times New Roman" w:eastAsia="仿宋_GB2312" w:cs="Times New Roman"/>
          <w:sz w:val="32"/>
          <w:szCs w:val="32"/>
        </w:rPr>
        <w:t>本年财政拨款收入3</w:t>
      </w:r>
      <w:r>
        <w:rPr>
          <w:rFonts w:hint="default" w:ascii="Times New Roman" w:hAnsi="Times New Roman" w:eastAsia="仿宋_GB2312" w:cs="Times New Roman"/>
          <w:sz w:val="32"/>
          <w:szCs w:val="32"/>
          <w:lang w:val="zh-CN"/>
        </w:rPr>
        <w:t>,058.89万元。财政拨款支出</w:t>
      </w:r>
      <w:r>
        <w:rPr>
          <w:rFonts w:hint="default" w:ascii="Times New Roman" w:hAnsi="Times New Roman" w:eastAsia="仿宋_GB2312" w:cs="Times New Roman"/>
          <w:sz w:val="32"/>
          <w:szCs w:val="32"/>
        </w:rPr>
        <w:t>总计</w:t>
      </w:r>
      <w:r>
        <w:rPr>
          <w:rFonts w:hint="default" w:ascii="Times New Roman" w:hAnsi="Times New Roman" w:eastAsia="仿宋_GB2312" w:cs="Times New Roman"/>
          <w:sz w:val="32"/>
          <w:szCs w:val="32"/>
          <w:lang w:val="zh-CN"/>
        </w:rPr>
        <w:t>3,058.89万元，</w:t>
      </w:r>
      <w:r>
        <w:rPr>
          <w:rFonts w:hint="default" w:ascii="Times New Roman" w:hAnsi="Times New Roman" w:eastAsia="仿宋_GB2312" w:cs="Times New Roman"/>
          <w:sz w:val="32"/>
          <w:szCs w:val="32"/>
        </w:rPr>
        <w:t>其中：年末财政拨款结转和结余</w:t>
      </w:r>
      <w:r>
        <w:rPr>
          <w:rFonts w:hint="default" w:ascii="Times New Roman" w:hAnsi="Times New Roman" w:eastAsia="仿宋_GB2312" w:cs="Times New Roman"/>
          <w:sz w:val="32"/>
          <w:szCs w:val="32"/>
          <w:lang w:val="zh-CN"/>
        </w:rPr>
        <w:t>0.00万元，</w:t>
      </w:r>
      <w:r>
        <w:rPr>
          <w:rFonts w:hint="default" w:ascii="Times New Roman" w:hAnsi="Times New Roman" w:eastAsia="仿宋_GB2312" w:cs="Times New Roman"/>
          <w:sz w:val="32"/>
          <w:szCs w:val="32"/>
        </w:rPr>
        <w:t>本年财政拨款支出</w:t>
      </w:r>
      <w:r>
        <w:rPr>
          <w:rFonts w:hint="default" w:ascii="Times New Roman" w:hAnsi="Times New Roman" w:eastAsia="仿宋_GB2312" w:cs="Times New Roman"/>
          <w:sz w:val="32"/>
          <w:szCs w:val="32"/>
          <w:lang w:val="zh-CN"/>
        </w:rPr>
        <w:t>3,058.89万元。</w:t>
      </w:r>
    </w:p>
    <w:p w14:paraId="415FC26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财政拨款收入支出总体与上年相比</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zh-CN"/>
        </w:rPr>
        <w:t>减少66.3</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zh-CN"/>
        </w:rPr>
        <w:t>万元，下降2.12%，主要原因是：</w:t>
      </w:r>
      <w:r>
        <w:rPr>
          <w:rFonts w:hint="default" w:ascii="Times New Roman" w:hAnsi="Times New Roman" w:eastAsia="仿宋_GB2312" w:cs="Times New Roman"/>
          <w:sz w:val="32"/>
          <w:szCs w:val="32"/>
        </w:rPr>
        <w:t>去年含2021年度结转项目资金461.82万元，导致本年</w:t>
      </w:r>
      <w:r>
        <w:rPr>
          <w:rFonts w:hint="default" w:ascii="Times New Roman" w:hAnsi="Times New Roman" w:eastAsia="仿宋_GB2312" w:cs="Times New Roman"/>
          <w:sz w:val="32"/>
          <w:szCs w:val="32"/>
          <w:lang w:val="zh-CN"/>
        </w:rPr>
        <w:t>财政拨款收入</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val="zh-CN"/>
        </w:rPr>
        <w:t>总体较上年有所</w:t>
      </w:r>
      <w:r>
        <w:rPr>
          <w:rFonts w:hint="default" w:ascii="Times New Roman" w:hAnsi="Times New Roman" w:eastAsia="仿宋_GB2312" w:cs="Times New Roman"/>
          <w:sz w:val="32"/>
          <w:szCs w:val="32"/>
        </w:rPr>
        <w:t>减少</w:t>
      </w:r>
      <w:r>
        <w:rPr>
          <w:rFonts w:hint="default" w:ascii="Times New Roman" w:hAnsi="Times New Roman" w:eastAsia="仿宋_GB2312" w:cs="Times New Roman"/>
          <w:sz w:val="32"/>
          <w:szCs w:val="32"/>
          <w:lang w:val="zh-CN"/>
        </w:rPr>
        <w:t>。与年初预算相比，年初预算数2,066.21万元，决算数3,058.89万元，预决算差异率48.04%，主要原因是：本年事业单位离退休人员不用交医疗费，事业单位增资基本工资、基础绩效奖，追加去世人员抚恤金，中标地勘基金项目，导致财政拨款决算数较预算数有较大差异。</w:t>
      </w:r>
    </w:p>
    <w:p w14:paraId="7560B12E">
      <w:pPr>
        <w:ind w:firstLine="640" w:firstLineChars="200"/>
        <w:jc w:val="left"/>
        <w:outlineLvl w:val="1"/>
        <w:rPr>
          <w:rFonts w:hint="default" w:ascii="Times New Roman" w:hAnsi="Times New Roman" w:eastAsia="黑体" w:cs="Times New Roman"/>
          <w:bCs/>
          <w:kern w:val="0"/>
          <w:sz w:val="32"/>
          <w:szCs w:val="32"/>
        </w:rPr>
      </w:pPr>
      <w:bookmarkStart w:id="16" w:name="_Toc13833"/>
      <w:bookmarkStart w:id="17" w:name="_Toc20360"/>
      <w:r>
        <w:rPr>
          <w:rFonts w:hint="default" w:ascii="Times New Roman" w:hAnsi="Times New Roman" w:eastAsia="黑体" w:cs="Times New Roman"/>
          <w:bCs/>
          <w:kern w:val="0"/>
          <w:sz w:val="32"/>
          <w:szCs w:val="32"/>
        </w:rPr>
        <w:t>五、一般公共预算财政拨款支出决算情况说明</w:t>
      </w:r>
      <w:bookmarkEnd w:id="16"/>
      <w:bookmarkEnd w:id="17"/>
    </w:p>
    <w:p w14:paraId="1245627D">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14:paraId="6955570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2023年度一般公共预算财政拨款支出3,058.89万元，占本年支出合计的41.51%。与上年相比，减少66.3</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zh-CN"/>
        </w:rPr>
        <w:t>万元，下降2.12%，主要原因是：</w:t>
      </w:r>
      <w:r>
        <w:rPr>
          <w:rFonts w:hint="default" w:ascii="Times New Roman" w:hAnsi="Times New Roman" w:eastAsia="仿宋_GB2312" w:cs="Times New Roman"/>
          <w:sz w:val="32"/>
          <w:szCs w:val="32"/>
        </w:rPr>
        <w:t>去年含2021年度结转项目资金461.82万元，导致本年</w:t>
      </w:r>
      <w:r>
        <w:rPr>
          <w:rFonts w:hint="default" w:ascii="Times New Roman" w:hAnsi="Times New Roman" w:eastAsia="仿宋_GB2312" w:cs="Times New Roman"/>
          <w:sz w:val="32"/>
          <w:szCs w:val="32"/>
          <w:lang w:val="zh-CN"/>
        </w:rPr>
        <w:t>财政拨款支出较上年有所</w:t>
      </w:r>
      <w:r>
        <w:rPr>
          <w:rFonts w:hint="default" w:ascii="Times New Roman" w:hAnsi="Times New Roman" w:eastAsia="仿宋_GB2312" w:cs="Times New Roman"/>
          <w:sz w:val="32"/>
          <w:szCs w:val="32"/>
        </w:rPr>
        <w:t>减少</w:t>
      </w:r>
      <w:r>
        <w:rPr>
          <w:rFonts w:hint="default" w:ascii="Times New Roman" w:hAnsi="Times New Roman" w:eastAsia="仿宋_GB2312" w:cs="Times New Roman"/>
          <w:sz w:val="32"/>
          <w:szCs w:val="32"/>
          <w:lang w:val="zh-CN"/>
        </w:rPr>
        <w:t>。与年初预算相比，年初预算数2,066.21万元，决算数3,058.89万元，预决算差异率48.04%，主要原因是：本年事业单位离退休人员不用交医疗费，事业单位增资基本工资、基础绩效奖，追加去世人员抚恤金，中标地勘基金项目，导致财政拨款决算数较预算数有较大差异。</w:t>
      </w:r>
    </w:p>
    <w:p w14:paraId="583C42E6">
      <w:pPr>
        <w:numPr>
          <w:ilvl w:val="0"/>
          <w:numId w:val="1"/>
        </w:num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14:paraId="5F159A37">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zh-CN"/>
        </w:rPr>
        <w:t>.社会保障和就业支出（类）767.82万元，占25.10%；</w:t>
      </w:r>
    </w:p>
    <w:p w14:paraId="2F051112">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zh-CN"/>
        </w:rPr>
        <w:t>.卫生健康支出（类）152.40万元，占4.98%；</w:t>
      </w:r>
    </w:p>
    <w:p w14:paraId="1B90A16D">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zh-CN"/>
        </w:rPr>
        <w:t>.自然资源海洋气象等支出（类）1,858.42万元，占60.75%；</w:t>
      </w:r>
    </w:p>
    <w:p w14:paraId="56C5C335">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zh-CN"/>
        </w:rPr>
        <w:t>.住房保障支出（类）280.24万元，占9.16%；</w:t>
      </w:r>
    </w:p>
    <w:p w14:paraId="34C5498E">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14:paraId="73D1AF44">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自然资源海洋气象等支出（类）自然资源事务（款）地质勘查与矿产资源管理（项）:支出决算数为770.00万元，比上年决算减少171.82万元，下降18.24%，主要原因是：去年有年初财政拨款结转和结余，为去年自治区勘查基金项目经费结转，导致本年地质勘查与矿产资源管理支出较上年有所减少</w:t>
      </w:r>
      <w:r>
        <w:rPr>
          <w:rFonts w:hint="default" w:ascii="Times New Roman" w:hAnsi="Times New Roman" w:eastAsia="仿宋_GB2312" w:cs="Times New Roman"/>
          <w:sz w:val="32"/>
          <w:szCs w:val="32"/>
          <w:lang w:val="zh-CN"/>
        </w:rPr>
        <w:t>。</w:t>
      </w:r>
    </w:p>
    <w:p w14:paraId="1835D685">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2.卫生健康支出（类）行政事业单位医疗（款）事业单位医疗（项）:支出决算数为142.67万元，比上年决算减少28.05万元，下降16.43%，主要原因是：本年医疗保险费缴费比例下降，导致事业单位医疗支出减少</w:t>
      </w:r>
      <w:r>
        <w:rPr>
          <w:rFonts w:hint="default" w:ascii="Times New Roman" w:hAnsi="Times New Roman" w:eastAsia="仿宋_GB2312" w:cs="Times New Roman"/>
          <w:sz w:val="32"/>
          <w:szCs w:val="32"/>
          <w:lang w:val="zh-CN"/>
        </w:rPr>
        <w:t>。</w:t>
      </w:r>
    </w:p>
    <w:p w14:paraId="5B5B55D7">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3.卫生健康支出（类）行政事业单位医疗（款）公务员医疗补助（项）:支出决算数为9.73万元，比上年决算减少43.47万元，下降81.71%，主要原因是：本年公务员医疗补助缴费比例下降，导致公务员医疗补助支出减少</w:t>
      </w:r>
      <w:r>
        <w:rPr>
          <w:rFonts w:hint="default" w:ascii="Times New Roman" w:hAnsi="Times New Roman" w:eastAsia="仿宋_GB2312" w:cs="Times New Roman"/>
          <w:sz w:val="32"/>
          <w:szCs w:val="32"/>
          <w:lang w:val="zh-CN"/>
        </w:rPr>
        <w:t>。</w:t>
      </w:r>
    </w:p>
    <w:p w14:paraId="2C4EACD0">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4.住房保障支出（类）住房改革支出（款）住房公积金（项）:支出决算数为280.24万元，比上年决算减少24.59万元，下降8.07%，主要原因是：本年</w:t>
      </w:r>
      <w:r>
        <w:rPr>
          <w:rFonts w:hint="default" w:ascii="Times New Roman" w:hAnsi="Times New Roman" w:eastAsia="仿宋_GB2312" w:cs="Times New Roman"/>
          <w:sz w:val="32"/>
          <w:szCs w:val="32"/>
          <w:lang w:val="zh-CN"/>
        </w:rPr>
        <w:t>在职人员</w:t>
      </w:r>
      <w:r>
        <w:rPr>
          <w:rFonts w:hint="default" w:ascii="Times New Roman" w:hAnsi="Times New Roman" w:eastAsia="仿宋_GB2312" w:cs="Times New Roman"/>
          <w:sz w:val="32"/>
          <w:szCs w:val="32"/>
        </w:rPr>
        <w:t>退休13人，导致住房公积金支出减少</w:t>
      </w:r>
      <w:r>
        <w:rPr>
          <w:rFonts w:hint="default" w:ascii="Times New Roman" w:hAnsi="Times New Roman" w:eastAsia="仿宋_GB2312" w:cs="Times New Roman"/>
          <w:sz w:val="32"/>
          <w:szCs w:val="32"/>
          <w:lang w:val="zh-CN"/>
        </w:rPr>
        <w:t>。</w:t>
      </w:r>
    </w:p>
    <w:p w14:paraId="1E6D64CE">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5.自然资源海洋气象等支出（类）自然资源事务（款）事业运行（项）:支出决算数为1,088.42万元，比上年决算增加436.0</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万元，增长66.84%，主要原因是：本年财政拨款安排的在职职工工资增加，并且本年追加的丧葬费及抚恤金比上年多</w:t>
      </w:r>
      <w:r>
        <w:rPr>
          <w:rFonts w:hint="default" w:ascii="Times New Roman" w:hAnsi="Times New Roman" w:eastAsia="仿宋_GB2312" w:cs="Times New Roman"/>
          <w:sz w:val="32"/>
          <w:szCs w:val="32"/>
          <w:lang w:val="zh-CN"/>
        </w:rPr>
        <w:t>。</w:t>
      </w:r>
    </w:p>
    <w:p w14:paraId="229B7158">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6.社会保障和就业支出（类）行政事业单位养老支出（款）事业单位离退休（项）:支出决算数为321.77万元，比上年决算减少254.95万元，下降44.21%，主要原因是：本</w:t>
      </w:r>
      <w:r>
        <w:rPr>
          <w:rFonts w:hint="default" w:ascii="Times New Roman" w:hAnsi="Times New Roman" w:eastAsia="仿宋_GB2312" w:cs="Times New Roman"/>
          <w:sz w:val="32"/>
          <w:szCs w:val="32"/>
          <w:lang w:val="zh-CN"/>
        </w:rPr>
        <w:t>年事业单位离退休人员不用交医疗费。</w:t>
      </w:r>
    </w:p>
    <w:p w14:paraId="40F9192D">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7.社会保障和就业支出（类）行政事业单位养老支出（款）机关事业单位职业年金缴费支出（项）:支出决算数为146.12万元，比上年决算增加4.25万元，增长3.00%，主要原因是：在职人员工资增加，导致职业年金缴费基数上涨</w:t>
      </w:r>
      <w:r>
        <w:rPr>
          <w:rFonts w:hint="default" w:ascii="Times New Roman" w:hAnsi="Times New Roman" w:eastAsia="仿宋_GB2312" w:cs="Times New Roman"/>
          <w:sz w:val="32"/>
          <w:szCs w:val="32"/>
          <w:lang w:val="zh-CN"/>
        </w:rPr>
        <w:t>。</w:t>
      </w:r>
    </w:p>
    <w:p w14:paraId="6F1CEA00">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8.社会保障和就业支出（类）行政事业单位养老支出（款）机关事业单位基本养老保险缴费支出（项）:支出决算数为299.93万元，比上年决算增加16.20万元，增长5.71%，主要原因是：在职人员工资增加，导致基本养老保险缴费基数上涨</w:t>
      </w:r>
      <w:r>
        <w:rPr>
          <w:rFonts w:hint="default" w:ascii="Times New Roman" w:hAnsi="Times New Roman" w:eastAsia="仿宋_GB2312" w:cs="Times New Roman"/>
          <w:sz w:val="32"/>
          <w:szCs w:val="32"/>
          <w:lang w:val="zh-CN"/>
        </w:rPr>
        <w:t>。</w:t>
      </w:r>
    </w:p>
    <w:p w14:paraId="5129E7A1">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14:paraId="11807F2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基本支出2,288.89万元，其中：人员经费2,288.89万元，包括：基本工资、津贴补贴、奖金、绩效工资、机关事业单位基本养老保险缴费、职业年金缴费、职工基本医疗保险缴费、公务员医疗补助缴费、其他社会保障缴费、住房公积金、离休费、退休费、抚恤金、生活补助、医疗费补助、其他对个人和家庭的补助。</w:t>
      </w:r>
    </w:p>
    <w:p w14:paraId="4D477CF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公用经费0.00万元，包括：无公用经费。</w:t>
      </w:r>
    </w:p>
    <w:p w14:paraId="33E9861D">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七、财政拨款“三公”经费支出决算情况说明</w:t>
      </w:r>
    </w:p>
    <w:p w14:paraId="02A554D7">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lang w:val="zh-CN"/>
        </w:rPr>
        <w:t>“三公”经费支出0.00万元，</w:t>
      </w:r>
      <w:r>
        <w:rPr>
          <w:rFonts w:hint="default" w:ascii="Times New Roman" w:hAnsi="Times New Roman" w:eastAsia="仿宋_GB2312" w:cs="Times New Roman"/>
          <w:sz w:val="32"/>
          <w:szCs w:val="32"/>
        </w:rPr>
        <w:t>比上年</w:t>
      </w:r>
      <w:r>
        <w:rPr>
          <w:rFonts w:hint="default" w:ascii="Times New Roman" w:hAnsi="Times New Roman" w:eastAsia="仿宋_GB2312" w:cs="Times New Roman"/>
          <w:sz w:val="32"/>
          <w:szCs w:val="32"/>
          <w:lang w:val="zh-CN"/>
        </w:rPr>
        <w:t>增加0.00万元，增长0.00%，主要原因是：我单位无财政拨款“三公”经费支出。其中：因公出国（境）费支出0.00万元，占0.00%，比上年增加0.00万元，增长0.00%，主要原因是：我单位无因公出国（境）费支出；公务用车购置及运行维护费支出0.00万元，占0.00%，比上年增加0.00万元，增长0.00%，主要原因是：我单位无公务用车购置及运行维护费支出；公务接待费支出0.00万元，占0.00%，比上年增加0.00万元，增长0.00%，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公务接待费支出。</w:t>
      </w:r>
    </w:p>
    <w:p w14:paraId="143A6CA2">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具体情况如下：</w:t>
      </w:r>
    </w:p>
    <w:p w14:paraId="7ED5B7D2">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因公出国（境）费支出0.00万元，开支内容包括我单位无因公出国（境）费。单位全年安排的因公出国（境）团组0个，因公出国（境）0人次。</w:t>
      </w:r>
    </w:p>
    <w:p w14:paraId="51AA173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公务用车购置及运行维护费0.00万元，其中：公务用车购置费0.00万元，公务用车运行维护费0.00万元。公务用车运行维护费开支内容包括</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公务用车运行维护</w:t>
      </w:r>
      <w:r>
        <w:rPr>
          <w:rFonts w:hint="default" w:ascii="Times New Roman" w:hAnsi="Times New Roman" w:eastAsia="仿宋_GB2312" w:cs="Times New Roman"/>
          <w:sz w:val="32"/>
          <w:szCs w:val="32"/>
        </w:rPr>
        <w:t>费</w:t>
      </w:r>
      <w:r>
        <w:rPr>
          <w:rFonts w:hint="default" w:ascii="Times New Roman" w:hAnsi="Times New Roman" w:eastAsia="仿宋_GB2312" w:cs="Times New Roman"/>
          <w:sz w:val="32"/>
          <w:szCs w:val="32"/>
          <w:lang w:val="zh-CN"/>
        </w:rPr>
        <w:t>。公务用车购置数0辆，公务用车保有量0辆。国有资产占用情况</w:t>
      </w:r>
      <w:r>
        <w:rPr>
          <w:rFonts w:hint="default" w:ascii="Times New Roman" w:hAnsi="Times New Roman" w:eastAsia="仿宋_GB2312" w:cs="Times New Roman"/>
          <w:sz w:val="32"/>
          <w:szCs w:val="32"/>
        </w:rPr>
        <w:t>中固定资产车辆</w:t>
      </w:r>
      <w:r>
        <w:rPr>
          <w:rFonts w:hint="default" w:ascii="Times New Roman" w:hAnsi="Times New Roman" w:eastAsia="仿宋_GB2312" w:cs="Times New Roman"/>
          <w:sz w:val="32"/>
          <w:szCs w:val="32"/>
          <w:lang w:val="zh-CN"/>
        </w:rPr>
        <w:t>2辆，</w:t>
      </w:r>
      <w:r>
        <w:rPr>
          <w:rFonts w:hint="default" w:ascii="Times New Roman" w:hAnsi="Times New Roman" w:eastAsia="仿宋_GB2312" w:cs="Times New Roman"/>
          <w:sz w:val="32"/>
          <w:szCs w:val="32"/>
        </w:rPr>
        <w:t>与</w:t>
      </w:r>
      <w:r>
        <w:rPr>
          <w:rFonts w:hint="default" w:ascii="Times New Roman" w:hAnsi="Times New Roman" w:eastAsia="仿宋_GB2312" w:cs="Times New Roman"/>
          <w:sz w:val="32"/>
          <w:szCs w:val="32"/>
          <w:lang w:val="zh-CN"/>
        </w:rPr>
        <w:t>公务用车</w:t>
      </w:r>
      <w:r>
        <w:rPr>
          <w:rFonts w:hint="default" w:ascii="Times New Roman" w:hAnsi="Times New Roman" w:eastAsia="仿宋_GB2312" w:cs="Times New Roman"/>
          <w:sz w:val="32"/>
          <w:szCs w:val="32"/>
        </w:rPr>
        <w:t>保有量差异</w:t>
      </w:r>
      <w:r>
        <w:rPr>
          <w:rFonts w:hint="default" w:ascii="Times New Roman" w:hAnsi="Times New Roman" w:eastAsia="仿宋_GB2312" w:cs="Times New Roman"/>
          <w:sz w:val="32"/>
          <w:szCs w:val="32"/>
          <w:lang w:val="zh-CN"/>
        </w:rPr>
        <w:t>原因是：公务用车保有量</w:t>
      </w:r>
      <w:r>
        <w:rPr>
          <w:rFonts w:hint="default" w:ascii="Times New Roman" w:hAnsi="Times New Roman" w:eastAsia="仿宋_GB2312" w:cs="Times New Roman"/>
          <w:sz w:val="32"/>
          <w:szCs w:val="32"/>
        </w:rPr>
        <w:t>提取上年数，</w:t>
      </w:r>
      <w:r>
        <w:rPr>
          <w:rFonts w:hint="default" w:ascii="Times New Roman" w:hAnsi="Times New Roman" w:eastAsia="仿宋_GB2312" w:cs="Times New Roman"/>
          <w:sz w:val="32"/>
          <w:szCs w:val="32"/>
          <w:lang w:val="zh-CN"/>
        </w:rPr>
        <w:t>国有资产占用情况</w:t>
      </w:r>
      <w:r>
        <w:rPr>
          <w:rFonts w:hint="default" w:ascii="Times New Roman" w:hAnsi="Times New Roman" w:eastAsia="仿宋_GB2312" w:cs="Times New Roman"/>
          <w:sz w:val="32"/>
          <w:szCs w:val="32"/>
        </w:rPr>
        <w:t>中固定资产</w:t>
      </w:r>
      <w:r>
        <w:rPr>
          <w:rFonts w:hint="default" w:ascii="Times New Roman" w:hAnsi="Times New Roman" w:eastAsia="仿宋_GB2312" w:cs="Times New Roman"/>
          <w:sz w:val="32"/>
          <w:szCs w:val="32"/>
          <w:lang w:val="zh-CN"/>
        </w:rPr>
        <w:t>2辆</w:t>
      </w:r>
      <w:r>
        <w:rPr>
          <w:rFonts w:hint="default" w:ascii="Times New Roman" w:hAnsi="Times New Roman" w:eastAsia="仿宋_GB2312" w:cs="Times New Roman"/>
          <w:sz w:val="32"/>
          <w:szCs w:val="32"/>
        </w:rPr>
        <w:t>车已不能使用，并提交报废申请，等待报废</w:t>
      </w:r>
      <w:r>
        <w:rPr>
          <w:rFonts w:hint="default" w:ascii="Times New Roman" w:hAnsi="Times New Roman" w:eastAsia="仿宋_GB2312" w:cs="Times New Roman"/>
          <w:sz w:val="32"/>
          <w:szCs w:val="32"/>
          <w:lang w:val="zh-CN"/>
        </w:rPr>
        <w:t>。</w:t>
      </w:r>
    </w:p>
    <w:p w14:paraId="7AFAC4DC">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公务接待费0.00万元，开支内容包括</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公务接待费。单位全年安排的国内公务接待0批次，0人次。</w:t>
      </w:r>
    </w:p>
    <w:p w14:paraId="0D6E7294">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与</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预算相比</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zh-CN"/>
        </w:rPr>
        <w:t>财政拨款“三公”经费支出</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财政拨款“三公”经费支出。其中：因公出国（境）费</w:t>
      </w:r>
      <w:r>
        <w:rPr>
          <w:rFonts w:hint="default" w:ascii="Times New Roman" w:hAnsi="Times New Roman" w:eastAsia="仿宋_GB2312" w:cs="Times New Roman"/>
          <w:sz w:val="32"/>
          <w:szCs w:val="32"/>
        </w:rPr>
        <w:t>全年预算数</w:t>
      </w:r>
      <w:r>
        <w:rPr>
          <w:rFonts w:hint="default" w:ascii="Times New Roman" w:hAnsi="Times New Roman" w:eastAsia="仿宋_GB2312" w:cs="Times New Roman"/>
          <w:sz w:val="32"/>
          <w:szCs w:val="32"/>
          <w:lang w:val="zh-CN"/>
        </w:rPr>
        <w:t>0.00万元，决算数0.00万元，预决算差异率0.00%，主要原因是：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因公出国（境）费；公务用车购置费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公务用车购置费；公务用车运行费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公务用车运行费；公务接待费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w:t>
      </w:r>
      <w:r>
        <w:rPr>
          <w:rFonts w:hint="default" w:ascii="Times New Roman" w:hAnsi="Times New Roman" w:eastAsia="仿宋_GB2312" w:cs="Times New Roman"/>
          <w:sz w:val="32"/>
          <w:szCs w:val="32"/>
          <w:lang w:val="zh-CN"/>
        </w:rPr>
        <w:t>公务接待费。</w:t>
      </w:r>
    </w:p>
    <w:p w14:paraId="5379C629">
      <w:pPr>
        <w:ind w:firstLine="640" w:firstLineChars="200"/>
        <w:jc w:val="left"/>
        <w:outlineLvl w:val="1"/>
        <w:rPr>
          <w:rFonts w:hint="default" w:ascii="Times New Roman" w:hAnsi="Times New Roman" w:eastAsia="黑体" w:cs="Times New Roman"/>
          <w:bCs/>
          <w:kern w:val="0"/>
          <w:sz w:val="32"/>
          <w:szCs w:val="32"/>
        </w:rPr>
      </w:pPr>
      <w:bookmarkStart w:id="18" w:name="_Toc5810"/>
      <w:bookmarkStart w:id="19" w:name="_Toc7927"/>
      <w:r>
        <w:rPr>
          <w:rFonts w:hint="default" w:ascii="Times New Roman" w:hAnsi="Times New Roman" w:eastAsia="黑体" w:cs="Times New Roman"/>
          <w:bCs/>
          <w:kern w:val="0"/>
          <w:sz w:val="32"/>
          <w:szCs w:val="32"/>
        </w:rPr>
        <w:t>八、政府性基金预算财政拨款收入支出决算情况说明</w:t>
      </w:r>
      <w:bookmarkEnd w:id="18"/>
      <w:bookmarkEnd w:id="19"/>
    </w:p>
    <w:p w14:paraId="30D3FF8F">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我</w:t>
      </w:r>
      <w:r>
        <w:rPr>
          <w:rFonts w:hint="default" w:ascii="Times New Roman" w:hAnsi="Times New Roman" w:eastAsia="仿宋_GB2312" w:cs="Times New Roman"/>
          <w:sz w:val="32"/>
          <w:szCs w:val="32"/>
        </w:rPr>
        <w:t>单位</w:t>
      </w:r>
      <w:r>
        <w:rPr>
          <w:rFonts w:hint="default" w:ascii="Times New Roman" w:hAnsi="Times New Roman" w:eastAsia="仿宋_GB2312" w:cs="Times New Roman"/>
          <w:sz w:val="32"/>
          <w:szCs w:val="32"/>
          <w:lang w:val="zh-CN"/>
        </w:rPr>
        <w:t>本年度无政府性基金预算财政拨款收入、支出</w:t>
      </w:r>
      <w:r>
        <w:rPr>
          <w:rFonts w:hint="default" w:ascii="Times New Roman" w:hAnsi="Times New Roman" w:eastAsia="仿宋_GB2312" w:cs="Times New Roman"/>
          <w:sz w:val="32"/>
          <w:szCs w:val="32"/>
        </w:rPr>
        <w:t>及结转和结余</w:t>
      </w:r>
      <w:r>
        <w:rPr>
          <w:rFonts w:hint="default" w:ascii="Times New Roman" w:hAnsi="Times New Roman" w:eastAsia="仿宋_GB2312" w:cs="Times New Roman"/>
          <w:sz w:val="32"/>
          <w:szCs w:val="32"/>
          <w:lang w:val="zh-CN"/>
        </w:rPr>
        <w:t>，政府性基金预算财政拨款收入支出决算表为空表。</w:t>
      </w:r>
    </w:p>
    <w:p w14:paraId="72132818">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14:paraId="6DD3A1C1">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我</w:t>
      </w:r>
      <w:r>
        <w:rPr>
          <w:rFonts w:hint="default" w:ascii="Times New Roman" w:hAnsi="Times New Roman" w:eastAsia="仿宋_GB2312" w:cs="Times New Roman"/>
          <w:sz w:val="32"/>
          <w:szCs w:val="32"/>
        </w:rPr>
        <w:t>单位</w:t>
      </w:r>
      <w:r>
        <w:rPr>
          <w:rFonts w:hint="default" w:ascii="Times New Roman" w:hAnsi="Times New Roman" w:eastAsia="仿宋_GB2312" w:cs="Times New Roman"/>
          <w:sz w:val="32"/>
          <w:szCs w:val="32"/>
          <w:lang w:val="zh-CN"/>
        </w:rPr>
        <w:t>本年度无国有资本经营预算财政拨款收入、支出</w:t>
      </w:r>
      <w:r>
        <w:rPr>
          <w:rFonts w:hint="default" w:ascii="Times New Roman" w:hAnsi="Times New Roman" w:eastAsia="仿宋_GB2312" w:cs="Times New Roman"/>
          <w:sz w:val="32"/>
          <w:szCs w:val="32"/>
        </w:rPr>
        <w:t>及结转和结余</w:t>
      </w:r>
      <w:r>
        <w:rPr>
          <w:rFonts w:hint="default" w:ascii="Times New Roman" w:hAnsi="Times New Roman" w:eastAsia="仿宋_GB2312" w:cs="Times New Roman"/>
          <w:sz w:val="32"/>
          <w:szCs w:val="32"/>
          <w:lang w:val="zh-CN"/>
        </w:rPr>
        <w:t>，国有资本经营预算财政拨款收入支出决算表为空表。</w:t>
      </w:r>
    </w:p>
    <w:p w14:paraId="375FC8E4">
      <w:pPr>
        <w:ind w:firstLine="640" w:firstLineChars="200"/>
        <w:jc w:val="left"/>
        <w:outlineLvl w:val="1"/>
        <w:rPr>
          <w:rFonts w:hint="default" w:ascii="Times New Roman" w:hAnsi="Times New Roman" w:eastAsia="黑体" w:cs="Times New Roman"/>
          <w:bCs/>
          <w:kern w:val="0"/>
          <w:sz w:val="32"/>
          <w:szCs w:val="32"/>
        </w:rPr>
      </w:pPr>
      <w:bookmarkStart w:id="20" w:name="_Toc1235"/>
      <w:bookmarkStart w:id="21" w:name="_Toc7314"/>
      <w:r>
        <w:rPr>
          <w:rFonts w:hint="default" w:ascii="Times New Roman" w:hAnsi="Times New Roman" w:eastAsia="黑体" w:cs="Times New Roman"/>
          <w:bCs/>
          <w:kern w:val="0"/>
          <w:sz w:val="32"/>
          <w:szCs w:val="32"/>
        </w:rPr>
        <w:t>十、其他重要事项的情况说明</w:t>
      </w:r>
      <w:bookmarkEnd w:id="20"/>
      <w:bookmarkEnd w:id="21"/>
    </w:p>
    <w:p w14:paraId="326B8C61">
      <w:pPr>
        <w:ind w:firstLine="640" w:firstLineChars="200"/>
        <w:jc w:val="left"/>
        <w:outlineLvl w:val="2"/>
        <w:rPr>
          <w:rFonts w:hint="default" w:ascii="Times New Roman" w:hAnsi="Times New Roman" w:eastAsia="黑体" w:cs="Times New Roman"/>
          <w:sz w:val="32"/>
          <w:szCs w:val="32"/>
        </w:rPr>
      </w:pPr>
      <w:bookmarkStart w:id="22" w:name="_Toc14519"/>
      <w:bookmarkStart w:id="23" w:name="_Toc13105"/>
      <w:r>
        <w:rPr>
          <w:rFonts w:hint="default" w:ascii="Times New Roman" w:hAnsi="Times New Roman" w:eastAsia="黑体" w:cs="Times New Roman"/>
          <w:sz w:val="32"/>
          <w:szCs w:val="32"/>
        </w:rPr>
        <w:t>（一）机关运行经费支出情况</w:t>
      </w:r>
      <w:bookmarkEnd w:id="22"/>
      <w:bookmarkEnd w:id="23"/>
    </w:p>
    <w:p w14:paraId="0A00C052">
      <w:pPr>
        <w:ind w:firstLine="640" w:firstLineChars="200"/>
        <w:rPr>
          <w:rFonts w:hint="default" w:ascii="Times New Roman" w:hAnsi="Times New Roman" w:eastAsia="仿宋_GB2312" w:cs="Times New Roman"/>
          <w:sz w:val="32"/>
          <w:szCs w:val="32"/>
          <w:lang w:val="zh-CN"/>
        </w:rPr>
      </w:pPr>
      <w:bookmarkStart w:id="24" w:name="_Toc26704"/>
      <w:bookmarkStart w:id="25" w:name="_Toc227"/>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新疆维吾尔自治区地质矿产勘查开发局第二水文工程地质大队</w:t>
      </w:r>
      <w:r>
        <w:rPr>
          <w:rFonts w:hint="default" w:ascii="Times New Roman" w:hAnsi="Times New Roman" w:eastAsia="仿宋_GB2312" w:cs="Times New Roman"/>
          <w:sz w:val="32"/>
          <w:szCs w:val="32"/>
          <w:lang w:val="zh-CN"/>
        </w:rPr>
        <w:t>（事业单位）公用经费支出0.00万元，比上年增加0.00万元，增长0.00%，主要原因是：</w:t>
      </w:r>
      <w:r>
        <w:rPr>
          <w:rFonts w:hint="default" w:ascii="Times New Roman" w:hAnsi="Times New Roman" w:eastAsia="仿宋_GB2312" w:cs="Times New Roman"/>
          <w:sz w:val="32"/>
          <w:szCs w:val="32"/>
        </w:rPr>
        <w:t>我单位为</w:t>
      </w:r>
      <w:r>
        <w:rPr>
          <w:rFonts w:hint="default" w:ascii="Times New Roman" w:hAnsi="Times New Roman" w:eastAsia="仿宋_GB2312" w:cs="Times New Roman"/>
          <w:sz w:val="32"/>
          <w:szCs w:val="32"/>
          <w:lang w:val="zh-CN"/>
        </w:rPr>
        <w:t>事业单位</w:t>
      </w:r>
      <w:r>
        <w:rPr>
          <w:rFonts w:hint="default" w:ascii="Times New Roman" w:hAnsi="Times New Roman" w:eastAsia="仿宋_GB2312" w:cs="Times New Roman"/>
          <w:sz w:val="32"/>
          <w:szCs w:val="32"/>
        </w:rPr>
        <w:t>财政拨款优先保障人员经费支出，公用经费支出使用经营收入弥补</w:t>
      </w:r>
      <w:r>
        <w:rPr>
          <w:rFonts w:hint="default" w:ascii="Times New Roman" w:hAnsi="Times New Roman" w:eastAsia="仿宋_GB2312" w:cs="Times New Roman"/>
          <w:sz w:val="32"/>
          <w:szCs w:val="32"/>
          <w:lang w:val="zh-CN"/>
        </w:rPr>
        <w:t>。</w:t>
      </w:r>
    </w:p>
    <w:p w14:paraId="16286D3A">
      <w:pPr>
        <w:ind w:firstLine="640" w:firstLineChars="200"/>
        <w:jc w:val="left"/>
        <w:rPr>
          <w:rFonts w:hint="default" w:ascii="Times New Roman" w:hAnsi="Times New Roman" w:eastAsia="黑体" w:cs="Times New Roman"/>
          <w:sz w:val="32"/>
          <w:szCs w:val="30"/>
          <w:lang w:val="zh-CN"/>
        </w:rPr>
      </w:pPr>
      <w:r>
        <w:rPr>
          <w:rFonts w:hint="default" w:ascii="Times New Roman" w:hAnsi="Times New Roman" w:eastAsia="黑体" w:cs="Times New Roman"/>
          <w:sz w:val="32"/>
          <w:szCs w:val="30"/>
          <w:lang w:val="zh-CN"/>
        </w:rPr>
        <w:t>（二）政府采购情况</w:t>
      </w:r>
      <w:bookmarkEnd w:id="24"/>
      <w:bookmarkEnd w:id="25"/>
    </w:p>
    <w:p w14:paraId="724DB309">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2023年度政府采购支出总额218.48万元，其中：政府采购货物支出218.48万元、政府采购工程支出0.00万元、政府采购服务支出0.00万元。</w:t>
      </w:r>
    </w:p>
    <w:p w14:paraId="75902B4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授予中小企业合同金额218.48万元，占政府采购支出总额的100.00%，其中：授予小微企业合同金额218.48万元，占政府采购支出总额的100.00%</w:t>
      </w:r>
      <w:r>
        <w:rPr>
          <w:rFonts w:hint="default" w:ascii="Times New Roman" w:hAnsi="Times New Roman" w:eastAsia="仿宋_GB2312" w:cs="Times New Roman"/>
          <w:sz w:val="32"/>
          <w:szCs w:val="32"/>
        </w:rPr>
        <w:t>。</w:t>
      </w:r>
    </w:p>
    <w:p w14:paraId="6D205A90">
      <w:pPr>
        <w:ind w:firstLine="640" w:firstLineChars="200"/>
        <w:jc w:val="left"/>
        <w:rPr>
          <w:rFonts w:hint="default" w:ascii="Times New Roman" w:hAnsi="Times New Roman" w:eastAsia="黑体" w:cs="Times New Roman"/>
          <w:sz w:val="32"/>
          <w:szCs w:val="30"/>
          <w:lang w:val="zh-CN"/>
        </w:rPr>
      </w:pPr>
      <w:bookmarkStart w:id="26" w:name="_Toc4591"/>
      <w:bookmarkStart w:id="27" w:name="_Toc8391"/>
      <w:r>
        <w:rPr>
          <w:rFonts w:hint="default" w:ascii="Times New Roman" w:hAnsi="Times New Roman" w:eastAsia="黑体" w:cs="Times New Roman"/>
          <w:sz w:val="32"/>
          <w:szCs w:val="30"/>
          <w:lang w:val="zh-CN"/>
        </w:rPr>
        <w:t>（三）国有资产占用情况说明</w:t>
      </w:r>
      <w:bookmarkEnd w:id="26"/>
      <w:bookmarkEnd w:id="27"/>
    </w:p>
    <w:p w14:paraId="29041D1B">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截至2023年12月31日，固定资产原值1,553.20万元，房屋4981.63平方米，价值554.46万元。车辆2辆，价值55.52万元，其中：副部（省）级及以上领导用车0辆、主要负责人用车0辆、机要通信用车0辆、应急保障用车0辆、执法执勤用车0辆、特种专业技术用车0辆、离退休干部服务用车0辆、其他用车2辆，其他用车主要是：项目野外施工用车，主要用于野外勘查和仪器设备装载等；单价100万元（含）以上设备（不含车辆）2台（套）。</w:t>
      </w:r>
    </w:p>
    <w:p w14:paraId="541F9582">
      <w:pPr>
        <w:ind w:firstLine="640" w:firstLineChars="200"/>
        <w:jc w:val="left"/>
        <w:outlineLvl w:val="1"/>
        <w:rPr>
          <w:rFonts w:hint="default" w:ascii="Times New Roman" w:hAnsi="Times New Roman" w:eastAsia="黑体" w:cs="Times New Roman"/>
          <w:bCs/>
          <w:kern w:val="0"/>
          <w:sz w:val="32"/>
          <w:szCs w:val="32"/>
        </w:rPr>
      </w:pPr>
      <w:bookmarkStart w:id="28" w:name="_Toc435"/>
      <w:bookmarkStart w:id="29" w:name="_Toc11283"/>
      <w:r>
        <w:rPr>
          <w:rFonts w:hint="default" w:ascii="Times New Roman" w:hAnsi="Times New Roman" w:eastAsia="黑体" w:cs="Times New Roman"/>
          <w:bCs/>
          <w:kern w:val="0"/>
          <w:sz w:val="32"/>
          <w:szCs w:val="32"/>
        </w:rPr>
        <w:t>十一、预算绩效的情况说明</w:t>
      </w:r>
      <w:bookmarkEnd w:id="28"/>
      <w:bookmarkEnd w:id="29"/>
    </w:p>
    <w:p w14:paraId="229FE58D">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根据预算绩效管理要求，我单位2023年度预算绩效管理整体支出绩效自评表</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lang w:val="zh-CN"/>
        </w:rPr>
        <w:t>个，全年预算总额0万元，实际执行0万元</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我单位整体</w:t>
      </w:r>
      <w:r>
        <w:rPr>
          <w:rFonts w:hint="eastAsia" w:eastAsia="仿宋_GB2312" w:cs="Times New Roman"/>
          <w:sz w:val="32"/>
          <w:szCs w:val="32"/>
          <w:lang w:val="en-US" w:eastAsia="zh-CN"/>
        </w:rPr>
        <w:t>支出</w:t>
      </w:r>
      <w:r>
        <w:rPr>
          <w:rFonts w:hint="default" w:ascii="Times New Roman" w:hAnsi="Times New Roman" w:eastAsia="仿宋_GB2312" w:cs="Times New Roman"/>
          <w:sz w:val="32"/>
          <w:szCs w:val="32"/>
          <w:lang w:val="zh-CN"/>
        </w:rPr>
        <w:t>绩效</w:t>
      </w:r>
      <w:r>
        <w:rPr>
          <w:rFonts w:hint="eastAsia" w:eastAsia="仿宋_GB2312" w:cs="Times New Roman"/>
          <w:sz w:val="32"/>
          <w:szCs w:val="32"/>
          <w:lang w:val="en-US" w:eastAsia="zh-CN"/>
        </w:rPr>
        <w:t>自评表</w:t>
      </w:r>
      <w:r>
        <w:rPr>
          <w:rFonts w:hint="default" w:ascii="Times New Roman" w:hAnsi="Times New Roman" w:eastAsia="仿宋_GB2312" w:cs="Times New Roman"/>
          <w:sz w:val="32"/>
          <w:szCs w:val="32"/>
          <w:lang w:val="zh-CN"/>
        </w:rPr>
        <w:t>由主管部门</w:t>
      </w:r>
      <w:r>
        <w:rPr>
          <w:rFonts w:hint="eastAsia" w:eastAsia="仿宋_GB2312" w:cs="Times New Roman"/>
          <w:sz w:val="32"/>
          <w:szCs w:val="32"/>
          <w:lang w:val="en-US" w:eastAsia="zh-CN"/>
        </w:rPr>
        <w:t>编报并公开</w:t>
      </w:r>
      <w:r>
        <w:rPr>
          <w:rFonts w:hint="default" w:ascii="Times New Roman" w:hAnsi="Times New Roman" w:eastAsia="仿宋_GB2312" w:cs="Times New Roman"/>
          <w:sz w:val="32"/>
          <w:szCs w:val="32"/>
          <w:lang w:val="zh-CN"/>
        </w:rPr>
        <w:t>。预算绩效评价项目1</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zh-CN"/>
        </w:rPr>
        <w:t>个，全年预算数2519.73万元，全年执行数</w:t>
      </w:r>
      <w:r>
        <w:rPr>
          <w:rFonts w:hint="eastAsia" w:eastAsia="仿宋_GB2312" w:cs="Times New Roman"/>
          <w:sz w:val="32"/>
          <w:szCs w:val="32"/>
          <w:lang w:val="en-US" w:eastAsia="zh-CN"/>
        </w:rPr>
        <w:t>2518.67</w:t>
      </w:r>
      <w:r>
        <w:rPr>
          <w:rFonts w:hint="default" w:ascii="Times New Roman" w:hAnsi="Times New Roman" w:eastAsia="仿宋_GB2312" w:cs="Times New Roman"/>
          <w:sz w:val="32"/>
          <w:szCs w:val="32"/>
          <w:lang w:val="zh-CN"/>
        </w:rPr>
        <w:t>万元，其中sm项目1个，全年预算数23.00万元，全年执行数</w:t>
      </w:r>
      <w:bookmarkStart w:id="48" w:name="_GoBack"/>
      <w:bookmarkEnd w:id="48"/>
      <w:r>
        <w:rPr>
          <w:rFonts w:hint="default" w:ascii="Times New Roman" w:hAnsi="Times New Roman" w:eastAsia="仿宋_GB2312" w:cs="Times New Roman"/>
          <w:sz w:val="32"/>
          <w:szCs w:val="32"/>
          <w:lang w:val="zh-CN"/>
        </w:rPr>
        <w:t>22.96万元。预算绩效管理取得的成效：一是为国家建设提供水文地质调查服务，积极开展地质找矿新技术、新方法、新工艺的研究、为国家探明矿产资源储量提供技术支持，积极承揽自然资源厅及市场招投标项目；二是按时发放干部职工工资、津贴，缴纳政策性社会保障缴费；三是完成办公楼挤塑板加固与食堂装饰装修改造，解决安全隐患，改善职工的办公环境与用餐环境；四是完成设备购置，改善单位设备老化、功能不全、无法适应目前工作需要的现状，提高野外生产质量及效率，保证各项工作能顺利实施；五是应急救援队的个人保障装备和综合保障装备更加完备，对队员开展各项培训学习与应急演练，持续推进应急救援队伍建设，进一步提高了队伍的综合能力。发现的问题及原因：一是预算不全面，应进一步加强预算数据的准确性和全面性。预算编制的合理性需要提高，预算执行力度还要进一步加强；二是主观上相关部门负责人对主动适应财政预算资金管理要求理解不深入，对项目预算重视程度不够，没有充分认识预算执行的重要性。下一步改进措施：一是应高度重视全面预算管理工作，细化预算，将预算制度、责任、指标、费用、定额等进行细化。继续完善内控制度建设及信息化建设，提高预算执行力度，</w:t>
      </w:r>
      <w:r>
        <w:rPr>
          <w:rFonts w:hint="default" w:ascii="Times New Roman" w:hAnsi="Times New Roman" w:eastAsia="仿宋_GB2312" w:cs="Times New Roman"/>
          <w:sz w:val="32"/>
          <w:szCs w:val="32"/>
        </w:rPr>
        <w:t>避免出现预算收入支出与实际金额差距过大的现象发生</w:t>
      </w:r>
      <w:r>
        <w:rPr>
          <w:rFonts w:hint="default" w:ascii="Times New Roman" w:hAnsi="Times New Roman" w:eastAsia="仿宋_GB2312" w:cs="Times New Roman"/>
          <w:sz w:val="32"/>
          <w:szCs w:val="32"/>
          <w:lang w:val="zh-CN"/>
        </w:rPr>
        <w:t>；二是财务部门及相关业务部门要认真学习财政有关项目预算绩效管理制度，主动适应财政预算资金管理要求，在项目立项时，立足实际，加强事前绩效目标管理，明确责任，推进绩效结果与预算管理相结合，做好项目预算。具体项目自评情况附绩效自评表及自评报告。</w:t>
      </w:r>
    </w:p>
    <w:p w14:paraId="368C8DBB">
      <w:pPr>
        <w:ind w:firstLine="640" w:firstLineChars="200"/>
        <w:jc w:val="lef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14:paraId="518BA81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我单位</w:t>
      </w:r>
      <w:r>
        <w:rPr>
          <w:rFonts w:hint="default" w:ascii="Times New Roman" w:hAnsi="Times New Roman" w:eastAsia="仿宋_GB2312" w:cs="Times New Roman"/>
          <w:sz w:val="32"/>
          <w:szCs w:val="32"/>
          <w:lang w:val="zh-CN"/>
        </w:rPr>
        <w:t>sm项目1个，全年预算数23.00万元，全年执行数22.96万元</w:t>
      </w:r>
      <w:r>
        <w:rPr>
          <w:rFonts w:hint="default" w:ascii="Times New Roman" w:hAnsi="Times New Roman" w:eastAsia="仿宋_GB2312" w:cs="Times New Roman"/>
          <w:sz w:val="32"/>
          <w:szCs w:val="32"/>
        </w:rPr>
        <w:t>。</w:t>
      </w:r>
    </w:p>
    <w:p w14:paraId="0A5FFD7C">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41EDB8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292CE3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6CA0E8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CF0A6F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64BD97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8A25F4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566ACE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19FB29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297E0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ECD081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AC0656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D24970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6F9CF6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D9F75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51668C8">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AF0547C">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D1DD0E6">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7351EE5F">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248A2EE">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69F7545">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C6AA338">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6B234C8">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5533D21">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95B192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D200758">
      <w:pPr>
        <w:ind w:firstLine="640" w:firstLineChars="200"/>
        <w:rPr>
          <w:rFonts w:ascii="仿宋_GB2312" w:eastAsia="仿宋_GB2312"/>
          <w:sz w:val="32"/>
          <w:szCs w:val="32"/>
        </w:rPr>
      </w:pPr>
    </w:p>
    <w:p w14:paraId="36165F6A">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BB211">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428848">
                          <w:pPr>
                            <w:pStyle w:val="5"/>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4428848">
                    <w:pPr>
                      <w:pStyle w:val="5"/>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mYTMzZDUyZTQ1ZGU1ODE5MmM5NTRjM2NmOGM0ZTEifQ=="/>
    <w:docVar w:name="KSO_WPS_MARK_KEY" w:val="41ee2a61-2d54-4f93-83be-afdb9a40d732"/>
  </w:docVars>
  <w:rsids>
    <w:rsidRoot w:val="00CC0696"/>
    <w:rsid w:val="00053C90"/>
    <w:rsid w:val="0011747C"/>
    <w:rsid w:val="00213C59"/>
    <w:rsid w:val="002147C5"/>
    <w:rsid w:val="002726B7"/>
    <w:rsid w:val="002E5897"/>
    <w:rsid w:val="002E5BA4"/>
    <w:rsid w:val="003210CE"/>
    <w:rsid w:val="007F1199"/>
    <w:rsid w:val="008A3BCF"/>
    <w:rsid w:val="00910016"/>
    <w:rsid w:val="00B70D59"/>
    <w:rsid w:val="00CC0696"/>
    <w:rsid w:val="00EC3251"/>
    <w:rsid w:val="00ED4A8A"/>
    <w:rsid w:val="00F52A8D"/>
    <w:rsid w:val="00F71171"/>
    <w:rsid w:val="019404F8"/>
    <w:rsid w:val="02955F7B"/>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7B92E8A"/>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221E01"/>
    <w:rsid w:val="0E640559"/>
    <w:rsid w:val="0F1113DA"/>
    <w:rsid w:val="0F78534A"/>
    <w:rsid w:val="0F89358A"/>
    <w:rsid w:val="0F8C6D51"/>
    <w:rsid w:val="105B0B5E"/>
    <w:rsid w:val="112E58D0"/>
    <w:rsid w:val="11731CAC"/>
    <w:rsid w:val="119500A0"/>
    <w:rsid w:val="11C0733B"/>
    <w:rsid w:val="11D50D17"/>
    <w:rsid w:val="120E0809"/>
    <w:rsid w:val="127F665A"/>
    <w:rsid w:val="12F7068C"/>
    <w:rsid w:val="131477AF"/>
    <w:rsid w:val="14207DC0"/>
    <w:rsid w:val="14B932DA"/>
    <w:rsid w:val="14DB49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505A72"/>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246555"/>
    <w:rsid w:val="353369E3"/>
    <w:rsid w:val="35E00D72"/>
    <w:rsid w:val="36965B9D"/>
    <w:rsid w:val="36C549FD"/>
    <w:rsid w:val="37A755DD"/>
    <w:rsid w:val="37E15C4D"/>
    <w:rsid w:val="37F94FA0"/>
    <w:rsid w:val="380D3381"/>
    <w:rsid w:val="38115B1F"/>
    <w:rsid w:val="385E3AC3"/>
    <w:rsid w:val="387D6B9E"/>
    <w:rsid w:val="38B75FF0"/>
    <w:rsid w:val="38D45016"/>
    <w:rsid w:val="38D90432"/>
    <w:rsid w:val="39072D8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92285"/>
    <w:rsid w:val="3DCC2473"/>
    <w:rsid w:val="3DEB0883"/>
    <w:rsid w:val="3E2527BF"/>
    <w:rsid w:val="3E731662"/>
    <w:rsid w:val="3E8168DD"/>
    <w:rsid w:val="3EA7725F"/>
    <w:rsid w:val="3EB03713"/>
    <w:rsid w:val="3EBF1A11"/>
    <w:rsid w:val="3EC52607"/>
    <w:rsid w:val="3EEC6CEF"/>
    <w:rsid w:val="3F183429"/>
    <w:rsid w:val="3F5E4A90"/>
    <w:rsid w:val="3FB77A1D"/>
    <w:rsid w:val="3FDC3674"/>
    <w:rsid w:val="3FED7F8A"/>
    <w:rsid w:val="40094AEF"/>
    <w:rsid w:val="405470BD"/>
    <w:rsid w:val="40794A29"/>
    <w:rsid w:val="40834692"/>
    <w:rsid w:val="40DE26D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3F2418"/>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239A6"/>
    <w:rsid w:val="4B8553A9"/>
    <w:rsid w:val="4BDB3730"/>
    <w:rsid w:val="4C200F7A"/>
    <w:rsid w:val="4CEE3180"/>
    <w:rsid w:val="4D0F4AF6"/>
    <w:rsid w:val="4DF94F37"/>
    <w:rsid w:val="4E0A1DD5"/>
    <w:rsid w:val="4E12786B"/>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68404C"/>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DDE05BB"/>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2F77654"/>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批注框文本 字符"/>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6250</Words>
  <Characters>6994</Characters>
  <Lines>56</Lines>
  <Paragraphs>15</Paragraphs>
  <TotalTime>20</TotalTime>
  <ScaleCrop>false</ScaleCrop>
  <LinksUpToDate>false</LinksUpToDate>
  <CharactersWithSpaces>7005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yy</cp:lastModifiedBy>
  <cp:lastPrinted>2024-08-22T11:36:00Z</cp:lastPrinted>
  <dcterms:modified xsi:type="dcterms:W3CDTF">2024-08-27T03:38:33Z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