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新疆维吾尔自治区地质矿产勘查开发局第九地质大队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 xml:space="preserve">自治区地质矿产勘查开发局第九地质大队为自治区地质矿产勘查开发局直属正处级财政补助事业单位，其主要职责是：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1.从事区域地质调查、固体矿产勘查、气体矿产勘查、地质钻探、地质灾害危险性评估、凿井的甲级资质生产经营活动。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2.从事地球物理勘查、地质灾害治理工程勘查、地质灾害治理工程施工的乙级资质生产经营活动。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3.从事地质灾害治理工程设计、测绘的丙级资质生产经营活动。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4.参与自治区地质勘查基金的管理和项目的实施。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5.负责实施国家基础性、公益性和战略性地质矿产勘查工作（包括基础地质调查、矿产资源评价、水文地质、工程地质、环境地质调查评价等）。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6.开展与地质矿产勘查、矿业开发相关的科学技术研究和技术攻关工作，推广新技术、新方法、新工艺。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7.实施开拓区外地质矿产勘查、矿业开发、工程勘察市场，广泛进行对外技术交流与合作。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仿宋_GB2312" w:eastAsia="仿宋_GB2312"/>
          <w:color w:val="auto"/>
          <w:sz w:val="32"/>
          <w:szCs w:val="32"/>
          <w:highlight w:val="none"/>
        </w:rPr>
        <w:t>8.组织开展党的建设、精神文明建设和思想政治工作，提高队伍素质和职工物质、文化生活水平，保持队伍稳定。</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w:t>
      </w: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新疆维吾尔自治区地质矿产勘查开发局第九地质大队</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907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236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669</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本单位</w:t>
      </w:r>
      <w:r>
        <w:rPr>
          <w:rFonts w:hint="eastAsia" w:ascii="仿宋_GB2312" w:eastAsia="仿宋_GB2312"/>
          <w:color w:val="auto"/>
          <w:sz w:val="32"/>
          <w:szCs w:val="32"/>
          <w:highlight w:val="none"/>
        </w:rPr>
        <w:t>无下属预算单位，下设22个</w:t>
      </w:r>
      <w:r>
        <w:rPr>
          <w:rFonts w:hint="eastAsia" w:ascii="仿宋_GB2312" w:eastAsia="仿宋_GB2312"/>
          <w:color w:val="auto"/>
          <w:sz w:val="32"/>
          <w:szCs w:val="32"/>
          <w:highlight w:val="none"/>
          <w:lang w:val="en-US" w:eastAsia="zh-CN"/>
        </w:rPr>
        <w:t>科</w:t>
      </w:r>
      <w:r>
        <w:rPr>
          <w:rFonts w:hint="eastAsia" w:ascii="仿宋_GB2312" w:eastAsia="仿宋_GB2312"/>
          <w:color w:val="auto"/>
          <w:sz w:val="32"/>
          <w:szCs w:val="32"/>
          <w:highlight w:val="none"/>
        </w:rPr>
        <w:t>室，分别是：党政办公室、党群办公室（含团委）、人事科、财务资产管理科、地质矿产科、综合计划管理科、安全生产管理科、纪检监察科、审计科、工会、地质勘查院、地质勘查一院、地质勘查二院、地质勘查三院、非常规能源研发中心、信息中心、工程勘察院、环境勘查院、物探测绘院、物资管理科、离退休人员管理科、后勤服务中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pStyle w:val="2"/>
        <w:rPr>
          <w:rFonts w:hint="eastAsia" w:ascii="仿宋_GB2312" w:eastAsia="仿宋_GB2312"/>
          <w:color w:val="auto"/>
          <w:sz w:val="32"/>
          <w:szCs w:val="32"/>
          <w:highlight w:val="none"/>
        </w:rPr>
      </w:pPr>
    </w:p>
    <w:p>
      <w:pPr>
        <w:pStyle w:val="2"/>
        <w:rPr>
          <w:rFonts w:hint="eastAsia" w:ascii="仿宋_GB2312" w:eastAsia="仿宋_GB2312"/>
          <w:color w:val="auto"/>
          <w:sz w:val="32"/>
          <w:szCs w:val="32"/>
          <w:highlight w:val="none"/>
        </w:rPr>
      </w:pPr>
    </w:p>
    <w:p>
      <w:pPr>
        <w:pStyle w:val="2"/>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18,135.05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16,476.52</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val="en-US" w:eastAsia="zh-CN"/>
        </w:rPr>
        <w:t>663.3</w:t>
      </w:r>
      <w:r>
        <w:rPr>
          <w:rFonts w:hint="eastAsia" w:ascii="仿宋_GB2312" w:eastAsia="仿宋_GB2312"/>
          <w:color w:val="auto"/>
          <w:spacing w:val="0"/>
          <w:sz w:val="32"/>
          <w:szCs w:val="32"/>
          <w:highlight w:val="none"/>
          <w:lang w:val="en-US" w:eastAsia="zh-CN"/>
        </w:rPr>
        <w:t>9</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18,135.05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val="en-US" w:eastAsia="zh-CN"/>
        </w:rPr>
        <w:t>16,067.96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val="en-US" w:eastAsia="zh-CN"/>
        </w:rPr>
        <w:t>1,071.95</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7,868.60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，下降</w:t>
      </w:r>
      <w:r>
        <w:rPr>
          <w:rFonts w:hint="default" w:ascii="Times New Roman" w:hAnsi="Times New Roman" w:eastAsia="仿宋_GB2312" w:cs="Times New Roman"/>
          <w:color w:val="auto"/>
          <w:spacing w:val="0"/>
          <w:sz w:val="32"/>
          <w:szCs w:val="32"/>
          <w:highlight w:val="none"/>
          <w:lang w:val="en-US" w:eastAsia="zh-CN"/>
        </w:rPr>
        <w:t>30.26</w:t>
      </w:r>
      <w:r>
        <w:rPr>
          <w:rFonts w:hint="default" w:ascii="Times New Roman" w:hAnsi="Times New Roman" w:eastAsia="仿宋_GB2312" w:cs="Times New Roman"/>
          <w:color w:val="auto"/>
          <w:spacing w:val="0"/>
          <w:sz w:val="32"/>
          <w:szCs w:val="32"/>
          <w:highlight w:val="none"/>
          <w:lang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上缴地勘结转结余资金</w:t>
      </w:r>
      <w:r>
        <w:rPr>
          <w:rFonts w:hint="default" w:ascii="Times New Roman" w:hAnsi="Times New Roman" w:eastAsia="仿宋_GB2312" w:cs="Times New Roman"/>
          <w:color w:val="auto"/>
          <w:spacing w:val="0"/>
          <w:sz w:val="32"/>
          <w:szCs w:val="32"/>
          <w:highlight w:val="none"/>
          <w:lang w:val="en-US" w:eastAsia="zh-CN"/>
        </w:rPr>
        <w:t>7,681.25</w:t>
      </w:r>
      <w:r>
        <w:rPr>
          <w:rFonts w:hint="eastAsia" w:ascii="仿宋_GB2312" w:eastAsia="仿宋_GB2312"/>
          <w:color w:val="auto"/>
          <w:spacing w:val="0"/>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16,476.52</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3,567.73</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21.65</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en-US" w:eastAsia="zh-CN"/>
        </w:rPr>
        <w:t>9,363.79</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56.83</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en-US" w:eastAsia="zh-CN"/>
        </w:rPr>
        <w:t>3,544.99</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21.52</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default" w:ascii="Times New Roman" w:hAnsi="Times New Roman" w:eastAsia="仿宋_GB2312" w:cs="Times New Roman"/>
          <w:color w:val="auto"/>
          <w:sz w:val="32"/>
          <w:szCs w:val="32"/>
          <w:highlight w:val="none"/>
          <w:lang w:val="zh-CN" w:eastAsia="zh-CN"/>
        </w:rPr>
        <w:t>16,067.96</w:t>
      </w:r>
      <w:r>
        <w:rPr>
          <w:rFonts w:hint="eastAsia" w:ascii="Times New Roman" w:hAnsi="Times New Roman" w:eastAsia="仿宋_GB2312" w:cs="仿宋_GB2312"/>
          <w:color w:val="auto"/>
          <w:sz w:val="32"/>
          <w:szCs w:val="32"/>
          <w:highlight w:val="none"/>
          <w:lang w:val="zh-CN" w:eastAsia="zh-CN"/>
        </w:rPr>
        <w:t>万元，其中：基本支出</w:t>
      </w:r>
      <w:r>
        <w:rPr>
          <w:rFonts w:hint="default" w:ascii="Times New Roman" w:hAnsi="Times New Roman" w:eastAsia="仿宋_GB2312" w:cs="Times New Roman"/>
          <w:color w:val="auto"/>
          <w:sz w:val="32"/>
          <w:szCs w:val="32"/>
          <w:highlight w:val="none"/>
          <w:lang w:val="zh-CN" w:eastAsia="zh-CN"/>
        </w:rPr>
        <w:t>6,391.91</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39.78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；项目支出</w:t>
      </w:r>
      <w:r>
        <w:rPr>
          <w:rFonts w:hint="default" w:ascii="Times New Roman" w:hAnsi="Times New Roman" w:eastAsia="仿宋_GB2312" w:cs="Times New Roman"/>
          <w:color w:val="auto"/>
          <w:sz w:val="32"/>
          <w:szCs w:val="32"/>
          <w:highlight w:val="none"/>
          <w:lang w:val="zh-CN" w:eastAsia="zh-CN"/>
        </w:rPr>
        <w:t>1,208.39</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7.52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；上缴上级支出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default" w:ascii="Times New Roman" w:hAnsi="Times New Roman" w:eastAsia="仿宋_GB2312" w:cs="Times New Roman"/>
          <w:color w:val="auto"/>
          <w:sz w:val="32"/>
          <w:szCs w:val="32"/>
          <w:highlight w:val="none"/>
          <w:lang w:val="zh-CN" w:eastAsia="zh-CN"/>
        </w:rPr>
        <w:t>8,467.66</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52.70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；对附属单位补助支出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4,562.87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en-US" w:eastAsia="zh-CN"/>
        </w:rPr>
        <w:t>4,562.87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en-US" w:eastAsia="zh-CN"/>
        </w:rPr>
        <w:t>3,662.14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default" w:ascii="Times New Roman" w:hAnsi="Times New Roman" w:eastAsia="仿宋_GB2312" w:cs="Times New Roman"/>
          <w:color w:val="auto"/>
          <w:spacing w:val="0"/>
          <w:sz w:val="32"/>
          <w:szCs w:val="32"/>
          <w:highlight w:val="none"/>
          <w:lang w:val="en-US" w:eastAsia="zh-CN"/>
        </w:rPr>
        <w:t>44.52%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上缴财政项目结转结余资金</w:t>
      </w:r>
      <w:r>
        <w:rPr>
          <w:rFonts w:hint="default" w:ascii="Times New Roman" w:hAnsi="Times New Roman" w:eastAsia="仿宋_GB2312" w:cs="Times New Roman"/>
          <w:color w:val="auto"/>
          <w:spacing w:val="0"/>
          <w:sz w:val="32"/>
          <w:szCs w:val="32"/>
          <w:highlight w:val="none"/>
          <w:lang w:val="en-US" w:eastAsia="zh-CN"/>
        </w:rPr>
        <w:t>3,627.10</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2,978.08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4,562.87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53.22%</w:t>
      </w:r>
      <w:r>
        <w:rPr>
          <w:rFonts w:hint="eastAsia" w:ascii="仿宋_GB2312" w:eastAsia="仿宋_GB2312"/>
          <w:color w:val="auto"/>
          <w:spacing w:val="0"/>
          <w:sz w:val="32"/>
          <w:szCs w:val="32"/>
          <w:highlight w:val="none"/>
          <w:lang w:eastAsia="zh-CN"/>
        </w:rPr>
        <w:t>，主要原因：年中对</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年在职职工、离退休职工津贴增资</w:t>
      </w:r>
      <w:r>
        <w:rPr>
          <w:rFonts w:hint="default" w:ascii="Times New Roman" w:hAnsi="Times New Roman" w:eastAsia="仿宋_GB2312" w:cs="Times New Roman"/>
          <w:color w:val="auto"/>
          <w:spacing w:val="0"/>
          <w:sz w:val="32"/>
          <w:szCs w:val="32"/>
          <w:highlight w:val="none"/>
          <w:lang w:val="en-US" w:eastAsia="zh-CN"/>
        </w:rPr>
        <w:t>453.79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年抚恤金</w:t>
      </w:r>
      <w:r>
        <w:rPr>
          <w:rFonts w:hint="default" w:ascii="Times New Roman" w:hAnsi="Times New Roman" w:eastAsia="仿宋_GB2312" w:cs="Times New Roman"/>
          <w:color w:val="auto"/>
          <w:spacing w:val="0"/>
          <w:sz w:val="32"/>
          <w:szCs w:val="32"/>
          <w:highlight w:val="none"/>
          <w:lang w:val="en-US" w:eastAsia="zh-CN"/>
        </w:rPr>
        <w:t>219.98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年民族团结一家亲交通费</w:t>
      </w:r>
      <w:r>
        <w:rPr>
          <w:rFonts w:hint="default" w:ascii="Times New Roman" w:hAnsi="Times New Roman" w:eastAsia="仿宋_GB2312" w:cs="Times New Roman"/>
          <w:color w:val="auto"/>
          <w:spacing w:val="0"/>
          <w:sz w:val="32"/>
          <w:szCs w:val="32"/>
          <w:highlight w:val="none"/>
          <w:lang w:val="en-US" w:eastAsia="zh-CN"/>
        </w:rPr>
        <w:t>5.07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年基础工作经费等</w:t>
      </w:r>
      <w:r>
        <w:rPr>
          <w:rFonts w:hint="default" w:ascii="Times New Roman" w:hAnsi="Times New Roman" w:eastAsia="仿宋_GB2312" w:cs="Times New Roman"/>
          <w:color w:val="auto"/>
          <w:spacing w:val="0"/>
          <w:sz w:val="32"/>
          <w:szCs w:val="32"/>
          <w:highlight w:val="none"/>
          <w:lang w:val="en-US" w:eastAsia="zh-CN"/>
        </w:rPr>
        <w:t>41.59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、基金项目经费追加</w:t>
      </w:r>
      <w:r>
        <w:rPr>
          <w:rFonts w:hint="default" w:ascii="Times New Roman" w:hAnsi="Times New Roman" w:eastAsia="仿宋_GB2312" w:cs="Times New Roman"/>
          <w:color w:val="auto"/>
          <w:spacing w:val="0"/>
          <w:sz w:val="32"/>
          <w:szCs w:val="32"/>
          <w:highlight w:val="none"/>
          <w:lang w:val="en-US" w:eastAsia="zh-CN"/>
        </w:rPr>
        <w:t>545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en-US" w:eastAsia="zh-CN"/>
        </w:rPr>
        <w:t>22.20%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en-US" w:eastAsia="zh-CN"/>
        </w:rPr>
        <w:t>35.04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default" w:ascii="Times New Roman" w:hAnsi="Times New Roman" w:eastAsia="仿宋_GB2312" w:cs="Times New Roman"/>
          <w:color w:val="auto"/>
          <w:spacing w:val="0"/>
          <w:sz w:val="32"/>
          <w:szCs w:val="32"/>
          <w:highlight w:val="none"/>
          <w:lang w:val="en-US" w:eastAsia="zh-CN"/>
        </w:rPr>
        <w:t>0.97%</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单位人数减少，导致人员经费较上年减少</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2,978.08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3,567.73</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19.80%</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年中追加</w:t>
      </w:r>
      <w:r>
        <w:rPr>
          <w:rFonts w:hint="eastAsia" w:ascii="仿宋_GB2312" w:eastAsia="仿宋_GB2312"/>
          <w:color w:val="auto"/>
          <w:spacing w:val="0"/>
          <w:sz w:val="32"/>
          <w:szCs w:val="32"/>
          <w:highlight w:val="none"/>
          <w:lang w:eastAsia="zh-CN"/>
        </w:rPr>
        <w:t>基金项目经费</w:t>
      </w:r>
      <w:r>
        <w:rPr>
          <w:rFonts w:hint="default" w:ascii="Times New Roman" w:hAnsi="Times New Roman" w:eastAsia="仿宋_GB2312" w:cs="Times New Roman"/>
          <w:color w:val="auto"/>
          <w:spacing w:val="0"/>
          <w:sz w:val="32"/>
          <w:szCs w:val="32"/>
          <w:highlight w:val="none"/>
          <w:lang w:val="en-US" w:eastAsia="zh-CN"/>
        </w:rPr>
        <w:t>545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638" w:leftChars="304" w:right="0" w:rightChars="0" w:firstLine="0" w:firstLineChars="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1,137.81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31.89%</w:t>
      </w:r>
      <w:r>
        <w:rPr>
          <w:rFonts w:hint="eastAsia" w:ascii="仿宋_GB2312" w:eastAsia="仿宋_GB2312"/>
          <w:color w:val="auto"/>
          <w:spacing w:val="0"/>
          <w:sz w:val="32"/>
          <w:szCs w:val="32"/>
          <w:highlight w:val="none"/>
          <w:lang w:eastAsia="zh-CN"/>
        </w:rPr>
        <w:t>。</w:t>
      </w:r>
      <w:bookmarkStart w:id="48" w:name="_GoBack"/>
      <w:bookmarkEnd w:id="48"/>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422.88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11.85%</w:t>
      </w:r>
      <w:r>
        <w:rPr>
          <w:rFonts w:hint="eastAsia" w:ascii="仿宋_GB2312" w:eastAsia="仿宋_GB2312"/>
          <w:color w:val="auto"/>
          <w:spacing w:val="0"/>
          <w:sz w:val="32"/>
          <w:szCs w:val="32"/>
          <w:highlight w:val="none"/>
          <w:lang w:eastAsia="zh-CN"/>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1,589.44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44.55</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olor w:val="auto"/>
          <w:spacing w:val="0"/>
          <w:sz w:val="32"/>
          <w:szCs w:val="32"/>
          <w:highlight w:val="none"/>
          <w:lang w:eastAsia="zh-CN"/>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417.60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11.70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540.00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6.39%</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年新增基金项目一个，项目支出</w:t>
      </w:r>
      <w:r>
        <w:rPr>
          <w:rFonts w:hint="default" w:ascii="Times New Roman" w:hAnsi="Times New Roman" w:eastAsia="仿宋_GB2312" w:cs="Times New Roman"/>
          <w:color w:val="auto"/>
          <w:kern w:val="2"/>
          <w:sz w:val="32"/>
          <w:szCs w:val="32"/>
          <w:highlight w:val="none"/>
          <w:lang w:val="en-US" w:eastAsia="zh-CN" w:bidi="ar-SA"/>
        </w:rPr>
        <w:t>540</w:t>
      </w:r>
      <w:r>
        <w:rPr>
          <w:rFonts w:hint="eastAsia" w:eastAsia="仿宋_GB2312" w:cs="Times New Roman"/>
          <w:color w:val="auto"/>
          <w:kern w:val="2"/>
          <w:sz w:val="32"/>
          <w:szCs w:val="32"/>
          <w:highlight w:val="none"/>
          <w:lang w:val="en-US" w:eastAsia="zh-CN" w:bidi="ar-SA"/>
        </w:rPr>
        <w:t>万，较上年增加</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229.44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40.94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15.14%</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ascii="仿宋_GB2312" w:eastAsia="仿宋_GB2312"/>
          <w:color w:val="auto"/>
          <w:spacing w:val="0"/>
          <w:sz w:val="32"/>
          <w:szCs w:val="32"/>
          <w:highlight w:val="none"/>
          <w:lang w:val="en-US" w:eastAsia="zh-CN"/>
        </w:rPr>
        <w:t>单位人数减少，导致人员医疗金较上年减少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193.44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0.16%</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年社保基数加大，支出较上年增加。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417.60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18.27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4.19%</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ascii="仿宋_GB2312" w:eastAsia="仿宋_GB2312"/>
          <w:color w:val="auto"/>
          <w:spacing w:val="0"/>
          <w:sz w:val="32"/>
          <w:szCs w:val="32"/>
          <w:highlight w:val="none"/>
          <w:lang w:val="en-US" w:eastAsia="zh-CN"/>
        </w:rPr>
        <w:t>单位人数减少，导致人员住房公积金较上年减少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5.自然资源海洋气象等支出（类）自然资源事务（款）地质矿产资源与环境调查（项）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30.78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86.03%</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年新增项目一个，项目支出</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万，较上年减少</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6.自然资源海洋气象等支出（类）自然资源事务（款）事业运行（项）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1,044.44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504.48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93.43%</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年在职人员绩效增资307.68万元、社保基数调整增加99.15万元。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474.69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483.22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50.45%</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eastAsia="仿宋_GB2312" w:cs="Times New Roman"/>
          <w:color w:val="auto"/>
          <w:kern w:val="2"/>
          <w:sz w:val="32"/>
          <w:szCs w:val="32"/>
          <w:highlight w:val="none"/>
          <w:lang w:val="en-US" w:eastAsia="zh-CN" w:bidi="ar-SA"/>
        </w:rPr>
        <w:t>医保中心退回离退休医疗金</w:t>
      </w:r>
      <w:r>
        <w:rPr>
          <w:rFonts w:hint="default" w:ascii="Times New Roman" w:hAnsi="Times New Roman" w:eastAsia="仿宋_GB2312" w:cs="Times New Roman"/>
          <w:color w:val="auto"/>
          <w:kern w:val="2"/>
          <w:sz w:val="32"/>
          <w:szCs w:val="32"/>
          <w:highlight w:val="none"/>
          <w:lang w:val="en-US" w:eastAsia="zh-CN" w:bidi="ar-SA"/>
        </w:rPr>
        <w:t>618.51</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220.80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0.04%</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年社保基数加大，支出较上年增加。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w:t>
      </w:r>
      <w:r>
        <w:rPr>
          <w:rFonts w:hint="default" w:ascii="Times New Roman" w:hAnsi="Times New Roman" w:eastAsia="仿宋_GB2312" w:cs="Times New Roman"/>
          <w:color w:val="auto"/>
          <w:kern w:val="2"/>
          <w:sz w:val="32"/>
          <w:szCs w:val="32"/>
          <w:highlight w:val="none"/>
          <w:lang w:val="en-US" w:eastAsia="zh-CN" w:bidi="ar-SA"/>
        </w:rPr>
        <w:t>442.32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0.20%</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eastAsia="仿宋_GB2312" w:cs="Times New Roman"/>
          <w:color w:val="auto"/>
          <w:kern w:val="2"/>
          <w:sz w:val="32"/>
          <w:szCs w:val="32"/>
          <w:highlight w:val="none"/>
          <w:lang w:val="en-US" w:eastAsia="zh-CN" w:bidi="ar-SA"/>
        </w:rPr>
        <w:t>2023年社保基数加大，使支出较上年增加。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val="en-US" w:eastAsia="zh-CN"/>
        </w:rPr>
        <w:t>3,022.73</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val="en-US" w:eastAsia="zh-CN"/>
        </w:rPr>
        <w:t>3,005.16</w:t>
      </w:r>
      <w:r>
        <w:rPr>
          <w:rFonts w:hint="eastAsia" w:ascii="仿宋_GB2312" w:eastAsia="仿宋_GB2312"/>
          <w:color w:val="auto"/>
          <w:sz w:val="32"/>
          <w:szCs w:val="32"/>
          <w:highlight w:val="none"/>
        </w:rPr>
        <w:t>万元，包括：基本工资、津贴补贴、</w:t>
      </w:r>
      <w:r>
        <w:rPr>
          <w:rFonts w:hint="eastAsia" w:ascii="仿宋_GB2312" w:eastAsia="仿宋_GB2312"/>
          <w:color w:val="auto"/>
          <w:sz w:val="32"/>
          <w:szCs w:val="32"/>
          <w:highlight w:val="none"/>
          <w:lang w:val="en-US" w:eastAsia="zh-CN"/>
        </w:rPr>
        <w:t>绩效工资、</w:t>
      </w:r>
      <w:r>
        <w:rPr>
          <w:rFonts w:hint="eastAsia" w:ascii="仿宋_GB2312" w:eastAsia="仿宋_GB2312"/>
          <w:color w:val="auto"/>
          <w:sz w:val="32"/>
          <w:szCs w:val="32"/>
          <w:highlight w:val="none"/>
        </w:rPr>
        <w:t>机关事业单位基本养老保险缴费、职业年金缴费、职工基本医疗保险缴费、公务员医疗补助缴费、其他社会保障缴费、住房公积金、离休费、退休费、抚恤金、医疗费补助、其他对个人和家庭的补助</w:t>
      </w:r>
      <w:r>
        <w:rPr>
          <w:rFonts w:hint="eastAsia" w:ascii="仿宋_GB2312" w:eastAsia="仿宋_GB2312"/>
          <w:color w:val="auto"/>
          <w:sz w:val="32"/>
          <w:szCs w:val="32"/>
          <w:highlight w:val="none"/>
          <w:lang w:val="en-US" w:eastAsia="zh-CN"/>
        </w:rPr>
        <w:t>。</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val="en-US" w:eastAsia="zh-CN"/>
        </w:rPr>
        <w:t>17.57</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差旅费、</w:t>
      </w:r>
      <w:r>
        <w:rPr>
          <w:rFonts w:hint="eastAsia" w:ascii="仿宋_GB2312" w:hAnsi="仿宋_GB2312" w:eastAsia="仿宋_GB2312" w:cs="仿宋_GB2312"/>
          <w:bCs/>
          <w:color w:val="auto"/>
          <w:kern w:val="0"/>
          <w:sz w:val="32"/>
          <w:szCs w:val="32"/>
          <w:highlight w:val="none"/>
          <w:lang w:val="en-US" w:eastAsia="zh-CN"/>
        </w:rPr>
        <w:t>维修（护）费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主要原因：我单位无财政拨款“三公”经费支出。其中：因公出国（境）费支出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r>
        <w:rPr>
          <w:rFonts w:hint="eastAsia" w:ascii="仿宋_GB2312" w:eastAsia="仿宋_GB2312"/>
          <w:color w:val="auto"/>
          <w:sz w:val="32"/>
          <w:szCs w:val="32"/>
          <w:highlight w:val="none"/>
          <w:lang w:val="zh-CN" w:eastAsia="zh-CN"/>
        </w:rPr>
        <w:t>我单位无因公出国（境）费。单位全年安排的因公出国（境）团组0个，因公出国（境）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r>
        <w:rPr>
          <w:rFonts w:hint="eastAsia" w:ascii="仿宋_GB2312" w:eastAsia="仿宋_GB2312"/>
          <w:color w:val="auto"/>
          <w:sz w:val="32"/>
          <w:szCs w:val="32"/>
          <w:highlight w:val="none"/>
          <w:lang w:val="zh-CN" w:eastAsia="zh-CN"/>
        </w:rPr>
        <w:t>我单位无公务用车运行维护费。公务用车购置数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25</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共有车辆25辆，其中14辆为野外特种专业技术用车，11辆为办公室通勤车和野外工作用车，均不属于公务用车。我单位未安排公务用车运行维护费，车辆费用均列支在其他交通费科目，经费支出来源为事业收入。</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w:t>
      </w:r>
      <w:r>
        <w:rPr>
          <w:rFonts w:hint="eastAsia" w:ascii="仿宋_GB2312" w:eastAsia="仿宋_GB2312"/>
          <w:color w:val="auto"/>
          <w:sz w:val="32"/>
          <w:szCs w:val="32"/>
          <w:highlight w:val="none"/>
          <w:lang w:val="zh-CN" w:eastAsia="zh-CN"/>
        </w:rPr>
        <w:t>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新疆维吾尔自治区地质矿产勘查开发局第九地质大队（事业单位）公用经费支出</w:t>
      </w:r>
      <w:r>
        <w:rPr>
          <w:rFonts w:hint="default" w:ascii="Times New Roman" w:hAnsi="Times New Roman" w:eastAsia="仿宋_GB2312" w:cs="Times New Roman"/>
          <w:color w:val="auto"/>
          <w:sz w:val="32"/>
          <w:szCs w:val="32"/>
          <w:highlight w:val="none"/>
          <w:lang w:val="en-US" w:eastAsia="zh-CN"/>
        </w:rPr>
        <w:t>17.57</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eastAsia="zh-CN"/>
        </w:rPr>
        <w:t>比上年减少</w:t>
      </w:r>
      <w:r>
        <w:rPr>
          <w:rFonts w:hint="default" w:ascii="Times New Roman" w:hAnsi="Times New Roman" w:eastAsia="仿宋_GB2312" w:cs="Times New Roman"/>
          <w:color w:val="auto"/>
          <w:sz w:val="32"/>
          <w:szCs w:val="32"/>
          <w:highlight w:val="none"/>
          <w:lang w:val="zh-CN" w:eastAsia="zh-CN"/>
        </w:rPr>
        <w:t>52.01</w:t>
      </w:r>
      <w:r>
        <w:rPr>
          <w:rFonts w:hint="eastAsia" w:ascii="Times New Roman" w:hAnsi="Times New Roman" w:eastAsia="仿宋_GB2312" w:cs="Times New Roman"/>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74.75%</w:t>
      </w:r>
      <w:r>
        <w:rPr>
          <w:rFonts w:hint="eastAsia" w:ascii="Times New Roman" w:hAnsi="Times New Roman" w:eastAsia="仿宋_GB2312" w:cs="Times New Roman"/>
          <w:color w:val="auto"/>
          <w:sz w:val="32"/>
          <w:szCs w:val="32"/>
          <w:highlight w:val="none"/>
          <w:lang w:val="zh-CN" w:eastAsia="zh-CN"/>
        </w:rPr>
        <w:t>，主要原因：</w:t>
      </w:r>
      <w:r>
        <w:rPr>
          <w:rFonts w:hint="eastAsia" w:eastAsia="仿宋_GB2312" w:cs="Times New Roman"/>
          <w:color w:val="auto"/>
          <w:sz w:val="32"/>
          <w:szCs w:val="32"/>
          <w:highlight w:val="none"/>
          <w:lang w:val="en-US" w:eastAsia="zh-CN"/>
        </w:rPr>
        <w:t>我单位</w:t>
      </w:r>
      <w:r>
        <w:rPr>
          <w:rFonts w:hint="default"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sz w:val="32"/>
          <w:szCs w:val="32"/>
          <w:highlight w:val="none"/>
          <w:lang w:val="en-US" w:eastAsia="zh-CN"/>
        </w:rPr>
        <w:t>年办公用房取暖费于</w:t>
      </w:r>
      <w:r>
        <w:rPr>
          <w:rFonts w:hint="default" w:ascii="Times New Roman" w:hAnsi="Times New Roman" w:eastAsia="仿宋_GB2312" w:cs="Times New Roman"/>
          <w:color w:val="auto"/>
          <w:sz w:val="32"/>
          <w:szCs w:val="32"/>
          <w:highlight w:val="none"/>
          <w:lang w:val="en-US" w:eastAsia="zh-CN"/>
        </w:rPr>
        <w:t>2024</w:t>
      </w:r>
      <w:r>
        <w:rPr>
          <w:rFonts w:hint="eastAsia" w:eastAsia="仿宋_GB2312" w:cs="Times New Roman"/>
          <w:color w:val="auto"/>
          <w:sz w:val="32"/>
          <w:szCs w:val="32"/>
          <w:highlight w:val="none"/>
          <w:lang w:val="en-US" w:eastAsia="zh-CN"/>
        </w:rPr>
        <w:t>年年初缴纳，取暖费较上年减少</w:t>
      </w:r>
      <w:r>
        <w:rPr>
          <w:rFonts w:hint="default" w:ascii="Times New Roman" w:hAnsi="Times New Roman" w:eastAsia="仿宋_GB2312" w:cs="Times New Roman"/>
          <w:color w:val="auto"/>
          <w:sz w:val="32"/>
          <w:szCs w:val="32"/>
          <w:highlight w:val="none"/>
          <w:lang w:val="en-US" w:eastAsia="zh-CN"/>
        </w:rPr>
        <w:t>51.24</w:t>
      </w:r>
      <w:r>
        <w:rPr>
          <w:rFonts w:hint="eastAsia"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170.19</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default" w:ascii="Times New Roman" w:hAnsi="Times New Roman" w:eastAsia="仿宋_GB2312" w:cs="Times New Roman"/>
          <w:color w:val="auto"/>
          <w:sz w:val="32"/>
          <w:szCs w:val="32"/>
          <w:highlight w:val="none"/>
          <w:lang w:val="zh-CN" w:eastAsia="zh-CN"/>
        </w:rPr>
        <w:t>165.26</w:t>
      </w:r>
      <w:r>
        <w:rPr>
          <w:rFonts w:hint="eastAsia" w:ascii="Times New Roman" w:hAnsi="Times New Roman" w:eastAsia="仿宋_GB2312" w:cs="Times New Roman"/>
          <w:color w:val="auto"/>
          <w:sz w:val="32"/>
          <w:szCs w:val="32"/>
          <w:highlight w:val="none"/>
          <w:lang w:val="zh-CN" w:eastAsia="zh-CN"/>
        </w:rPr>
        <w:t>万元、政府采购工程支出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default" w:ascii="Times New Roman" w:hAnsi="Times New Roman" w:eastAsia="仿宋_GB2312" w:cs="Times New Roman"/>
          <w:color w:val="auto"/>
          <w:sz w:val="32"/>
          <w:szCs w:val="32"/>
          <w:highlight w:val="none"/>
          <w:lang w:val="zh-CN" w:eastAsia="zh-CN"/>
        </w:rPr>
        <w:t>4.93</w:t>
      </w:r>
      <w:r>
        <w:rPr>
          <w:rFonts w:hint="eastAsia" w:ascii="Times New Roman" w:hAnsi="Times New Roman" w:eastAsia="仿宋_GB2312" w:cs="Times New Roman"/>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default" w:ascii="Times New Roman" w:hAnsi="Times New Roman" w:eastAsia="仿宋_GB2312" w:cs="Times New Roman"/>
          <w:color w:val="auto"/>
          <w:sz w:val="32"/>
          <w:szCs w:val="32"/>
          <w:highlight w:val="none"/>
          <w:lang w:val="zh-CN" w:eastAsia="zh-CN"/>
        </w:rPr>
        <w:t>164.23</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96.50%</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default" w:ascii="Times New Roman" w:hAnsi="Times New Roman" w:eastAsia="仿宋_GB2312" w:cs="Times New Roman"/>
          <w:color w:val="auto"/>
          <w:sz w:val="32"/>
          <w:szCs w:val="32"/>
          <w:highlight w:val="none"/>
          <w:lang w:val="zh-CN" w:eastAsia="zh-CN"/>
        </w:rPr>
        <w:t>54.78</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32.19%</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default" w:ascii="Times New Roman" w:hAnsi="Times New Roman" w:eastAsia="仿宋_GB2312" w:cs="Times New Roman"/>
          <w:color w:val="auto"/>
          <w:sz w:val="32"/>
          <w:szCs w:val="32"/>
          <w:highlight w:val="none"/>
          <w:lang w:val="en-US" w:eastAsia="zh-CN"/>
        </w:rPr>
        <w:t>2023</w:t>
      </w:r>
      <w:r>
        <w:rPr>
          <w:rFonts w:hint="eastAsia"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31</w:t>
      </w:r>
      <w:r>
        <w:rPr>
          <w:rFonts w:hint="eastAsia"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13,991.91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w:t>
      </w:r>
      <w:r>
        <w:rPr>
          <w:rFonts w:hint="default" w:ascii="Times New Roman" w:hAnsi="Times New Roman" w:eastAsia="仿宋_GB2312" w:cs="Times New Roman"/>
          <w:color w:val="auto"/>
          <w:sz w:val="32"/>
          <w:szCs w:val="32"/>
          <w:highlight w:val="none"/>
          <w:lang w:val="zh-CN" w:eastAsia="zh-CN"/>
        </w:rPr>
        <w:t>44,026.6</w:t>
      </w:r>
      <w:r>
        <w:rPr>
          <w:rFonts w:hint="default"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zh-CN" w:eastAsia="zh-CN"/>
        </w:rPr>
        <w:t>平方米，价值</w:t>
      </w:r>
      <w:r>
        <w:rPr>
          <w:rFonts w:hint="default" w:ascii="Times New Roman" w:hAnsi="Times New Roman" w:eastAsia="仿宋_GB2312" w:cs="Times New Roman"/>
          <w:color w:val="auto"/>
          <w:sz w:val="32"/>
          <w:szCs w:val="32"/>
          <w:highlight w:val="none"/>
          <w:lang w:val="zh-CN" w:eastAsia="zh-CN"/>
        </w:rPr>
        <w:t>10,638.24</w:t>
      </w:r>
      <w:r>
        <w:rPr>
          <w:rFonts w:hint="eastAsia" w:ascii="Times New Roman" w:hAnsi="Times New Roman" w:eastAsia="仿宋_GB2312" w:cs="Times New Roman"/>
          <w:color w:val="auto"/>
          <w:sz w:val="32"/>
          <w:szCs w:val="32"/>
          <w:highlight w:val="none"/>
          <w:lang w:val="zh-CN" w:eastAsia="zh-CN"/>
        </w:rPr>
        <w:t>万元。车辆</w:t>
      </w:r>
      <w:r>
        <w:rPr>
          <w:rFonts w:hint="default" w:ascii="Times New Roman" w:hAnsi="Times New Roman" w:eastAsia="仿宋_GB2312" w:cs="Times New Roman"/>
          <w:color w:val="auto"/>
          <w:sz w:val="32"/>
          <w:szCs w:val="32"/>
          <w:highlight w:val="none"/>
          <w:lang w:val="zh-CN" w:eastAsia="zh-CN"/>
        </w:rPr>
        <w:t>25</w:t>
      </w:r>
      <w:r>
        <w:rPr>
          <w:rFonts w:hint="eastAsia" w:ascii="Times New Roman" w:hAnsi="Times New Roman" w:eastAsia="仿宋_GB2312" w:cs="Times New Roman"/>
          <w:color w:val="auto"/>
          <w:sz w:val="32"/>
          <w:szCs w:val="32"/>
          <w:highlight w:val="none"/>
          <w:lang w:val="zh-CN" w:eastAsia="zh-CN"/>
        </w:rPr>
        <w:t>辆，价值</w:t>
      </w:r>
      <w:r>
        <w:rPr>
          <w:rFonts w:hint="default" w:ascii="Times New Roman" w:hAnsi="Times New Roman" w:eastAsia="仿宋_GB2312" w:cs="Times New Roman"/>
          <w:color w:val="auto"/>
          <w:sz w:val="32"/>
          <w:szCs w:val="32"/>
          <w:highlight w:val="none"/>
          <w:lang w:val="zh-CN" w:eastAsia="zh-CN"/>
        </w:rPr>
        <w:t>752.41</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辆、机要通信用车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辆、应急保障用车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辆、执法执勤用车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辆、特种专业技术用车14辆、离退休干部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辆、其他用车</w:t>
      </w:r>
      <w:r>
        <w:rPr>
          <w:rFonts w:hint="default" w:ascii="Times New Roman" w:hAnsi="Times New Roman" w:eastAsia="仿宋_GB2312" w:cs="Times New Roman"/>
          <w:color w:val="auto"/>
          <w:sz w:val="32"/>
          <w:szCs w:val="32"/>
          <w:highlight w:val="none"/>
          <w:lang w:val="zh-CN" w:eastAsia="zh-CN"/>
        </w:rPr>
        <w:t>11</w:t>
      </w:r>
      <w:r>
        <w:rPr>
          <w:rFonts w:hint="eastAsia" w:ascii="Times New Roman" w:hAnsi="Times New Roman" w:eastAsia="仿宋_GB2312" w:cs="Times New Roman"/>
          <w:color w:val="auto"/>
          <w:sz w:val="32"/>
          <w:szCs w:val="32"/>
          <w:highlight w:val="none"/>
          <w:lang w:val="zh-CN" w:eastAsia="zh-CN"/>
        </w:rPr>
        <w:t>辆，其他用车主要是：</w:t>
      </w:r>
      <w:r>
        <w:rPr>
          <w:rFonts w:hint="eastAsia" w:ascii="仿宋_GB2312" w:eastAsia="仿宋_GB2312"/>
          <w:sz w:val="32"/>
          <w:szCs w:val="32"/>
        </w:rPr>
        <w:t>野外作业使用车辆</w:t>
      </w:r>
      <w:r>
        <w:rPr>
          <w:rFonts w:hint="eastAsia" w:ascii="Times New Roman" w:hAnsi="Times New Roman" w:eastAsia="仿宋_GB2312" w:cs="Times New Roman"/>
          <w:color w:val="auto"/>
          <w:sz w:val="32"/>
          <w:szCs w:val="32"/>
          <w:highlight w:val="none"/>
          <w:lang w:val="zh-CN" w:eastAsia="zh-CN"/>
        </w:rPr>
        <w:t>；单价</w:t>
      </w:r>
      <w:r>
        <w:rPr>
          <w:rFonts w:hint="default" w:ascii="Times New Roman" w:hAnsi="Times New Roman" w:eastAsia="仿宋_GB2312" w:cs="Times New Roman"/>
          <w:color w:val="auto"/>
          <w:sz w:val="32"/>
          <w:szCs w:val="32"/>
          <w:highlight w:val="none"/>
          <w:lang w:val="zh-CN" w:eastAsia="zh-CN"/>
        </w:rPr>
        <w:t>100</w:t>
      </w:r>
      <w:r>
        <w:rPr>
          <w:rFonts w:hint="eastAsia" w:ascii="Times New Roman" w:hAnsi="Times New Roman" w:eastAsia="仿宋_GB2312" w:cs="Times New Roman"/>
          <w:color w:val="auto"/>
          <w:sz w:val="32"/>
          <w:szCs w:val="32"/>
          <w:highlight w:val="none"/>
          <w:lang w:val="zh-CN" w:eastAsia="zh-CN"/>
        </w:rPr>
        <w:t>万元（含）以上设备（不含车辆）3</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color w:val="auto"/>
          <w:kern w:val="0"/>
          <w:sz w:val="32"/>
          <w:szCs w:val="32"/>
          <w:highlight w:val="none"/>
          <w:lang w:val="en-US" w:eastAsia="zh-CN"/>
        </w:rPr>
        <w:t>整体</w:t>
      </w:r>
      <w:r>
        <w:rPr>
          <w:rFonts w:hint="eastAsia" w:ascii="仿宋_GB2312" w:hAnsi="仿宋_GB2312" w:eastAsia="仿宋_GB2312" w:cs="仿宋_GB2312"/>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。我单位整体支出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kern w:val="0"/>
          <w:sz w:val="32"/>
          <w:szCs w:val="32"/>
          <w:highlight w:val="none"/>
          <w:lang w:val="en-US" w:eastAsia="zh-CN"/>
        </w:rPr>
        <w:t>由主管部门编报并公开。</w:t>
      </w:r>
      <w:r>
        <w:rPr>
          <w:rFonts w:hint="eastAsia" w:ascii="仿宋_GB2312" w:eastAsia="仿宋_GB2312"/>
          <w:color w:val="auto"/>
          <w:sz w:val="32"/>
          <w:szCs w:val="32"/>
          <w:highlight w:val="none"/>
          <w:lang w:eastAsia="zh-CN"/>
        </w:rPr>
        <w:t>预算绩效评价项目</w:t>
      </w:r>
      <w:r>
        <w:rPr>
          <w:rFonts w:hint="eastAsia"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10102.49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9486.38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23.00</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22.</w:t>
      </w:r>
      <w:r>
        <w:rPr>
          <w:rFonts w:hint="eastAsia" w:eastAsia="仿宋_GB2312" w:cs="Times New Roman"/>
          <w:color w:val="auto"/>
          <w:sz w:val="32"/>
          <w:szCs w:val="32"/>
          <w:highlight w:val="none"/>
          <w:lang w:val="en-US" w:eastAsia="zh-CN"/>
        </w:rPr>
        <w:t>94</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lang w:eastAsia="zh-CN"/>
        </w:rPr>
        <w:t>我单位项目计划方案完整，申报材料审批完整，立项符合规划，项目年度立项清晰，项目资金使用规范</w:t>
      </w:r>
      <w:r>
        <w:rPr>
          <w:rFonts w:hint="eastAsia" w:ascii="仿宋_GB2312" w:eastAsia="仿宋_GB2312"/>
          <w:sz w:val="32"/>
          <w:szCs w:val="32"/>
          <w:lang w:val="en-US" w:eastAsia="zh-CN"/>
        </w:rPr>
        <w:t>,</w:t>
      </w:r>
      <w:r>
        <w:rPr>
          <w:rFonts w:hint="eastAsia" w:ascii="仿宋_GB2312" w:eastAsia="仿宋_GB2312"/>
          <w:color w:val="auto"/>
          <w:sz w:val="32"/>
          <w:szCs w:val="32"/>
          <w:highlight w:val="none"/>
          <w:lang w:eastAsia="zh-CN"/>
        </w:rPr>
        <w:t xml:space="preserve"> 符合国家财经法规和单位的财务管理制度及资金管理办法规定，每一项支出都严格执行单位的审批程序和手续，符合项目预算批复的用途，安排自有资金购置资产，不存在截留、挤占、挪用、虚列支出情况。</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发现的问题及原因：通过对近三年项目情况分析，由于地勘单位事业收入或经营收入成本费用税金等支出资金来源为社会资金，社会资金会随着国家政策的变化，存在很多不确定性，项目申请不精准，从而使项目资金结余。</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eastAsia="zh-CN"/>
        </w:rPr>
        <w:t>下一步改进措施：预算编制应充分考虑单位的运营情况和未来发展方向，结合单位上一年度的预算实施情况以及外部环境变化，预测下一年的发展趋势，编制出科学合理的预算方案。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仿宋_GB2312" w:hAnsi="仿宋_GB2312" w:eastAsia="仿宋_GB2312" w:cs="仿宋_GB2312"/>
          <w:color w:val="auto"/>
          <w:kern w:val="0"/>
          <w:sz w:val="32"/>
          <w:szCs w:val="32"/>
          <w:highlight w:val="none"/>
          <w:lang w:val="en-US" w:eastAsia="zh-CN"/>
        </w:rPr>
        <w:t xml:space="preserve">    我单位sm项目</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个，全年预算数</w:t>
      </w:r>
      <w:r>
        <w:rPr>
          <w:rFonts w:hint="default" w:ascii="Times New Roman" w:hAnsi="Times New Roman" w:eastAsia="仿宋_GB2312" w:cs="Times New Roman"/>
          <w:color w:val="auto"/>
          <w:kern w:val="0"/>
          <w:sz w:val="32"/>
          <w:szCs w:val="32"/>
          <w:highlight w:val="none"/>
          <w:lang w:val="en-US" w:eastAsia="zh-CN"/>
        </w:rPr>
        <w:t>23.00</w:t>
      </w:r>
      <w:r>
        <w:rPr>
          <w:rFonts w:hint="eastAsia" w:ascii="仿宋_GB2312" w:hAnsi="仿宋_GB2312" w:eastAsia="仿宋_GB2312" w:cs="仿宋_GB2312"/>
          <w:color w:val="auto"/>
          <w:kern w:val="0"/>
          <w:sz w:val="32"/>
          <w:szCs w:val="32"/>
          <w:highlight w:val="none"/>
          <w:lang w:val="en-US" w:eastAsia="zh-CN"/>
        </w:rPr>
        <w:t>万元，全年执行数</w:t>
      </w:r>
      <w:r>
        <w:rPr>
          <w:rFonts w:hint="default" w:ascii="Times New Roman" w:hAnsi="Times New Roman" w:eastAsia="仿宋_GB2312" w:cs="Times New Roman"/>
          <w:color w:val="auto"/>
          <w:kern w:val="0"/>
          <w:sz w:val="32"/>
          <w:szCs w:val="32"/>
          <w:highlight w:val="none"/>
          <w:lang w:val="en-US" w:eastAsia="zh-CN"/>
        </w:rPr>
        <w:t>22.</w:t>
      </w:r>
      <w:r>
        <w:rPr>
          <w:rFonts w:hint="eastAsia" w:ascii="Times New Roman" w:hAnsi="Times New Roman" w:eastAsia="仿宋_GB2312" w:cs="Times New Roman"/>
          <w:color w:val="auto"/>
          <w:kern w:val="0"/>
          <w:sz w:val="32"/>
          <w:szCs w:val="32"/>
          <w:highlight w:val="none"/>
          <w:lang w:val="en-US" w:eastAsia="zh-CN"/>
        </w:rPr>
        <w:t>94</w:t>
      </w:r>
      <w:r>
        <w:rPr>
          <w:rFonts w:hint="eastAsia" w:ascii="仿宋_GB2312" w:hAnsi="仿宋_GB2312" w:eastAsia="仿宋_GB2312" w:cs="仿宋_GB2312"/>
          <w:color w:val="auto"/>
          <w:kern w:val="0"/>
          <w:sz w:val="32"/>
          <w:szCs w:val="32"/>
          <w:highlight w:val="none"/>
          <w:lang w:val="en-US" w:eastAsia="zh-CN"/>
        </w:rPr>
        <w:t>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EDB167"/>
    <w:multiLevelType w:val="singleLevel"/>
    <w:tmpl w:val="BFEDB167"/>
    <w:lvl w:ilvl="0" w:tentative="0">
      <w:start w:val="1"/>
      <w:numFmt w:val="decimal"/>
      <w:pStyle w:val="7"/>
      <w:lvlText w:val="%1."/>
      <w:lvlJc w:val="left"/>
      <w:pPr>
        <w:tabs>
          <w:tab w:val="left" w:pos="2040"/>
        </w:tabs>
        <w:ind w:left="2040" w:hanging="360"/>
      </w:p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MTgwOGRiMzY3N2ZjZGI2MDY0MDkxYTlkZTc1MGMifQ=="/>
    <w:docVar w:name="KSO_WPS_MARK_KEY" w:val="41ee2a61-2d54-4f93-83be-afdb9a40d732"/>
  </w:docVars>
  <w:rsids>
    <w:rsidRoot w:val="00000000"/>
    <w:rsid w:val="00135135"/>
    <w:rsid w:val="00213C59"/>
    <w:rsid w:val="003210CE"/>
    <w:rsid w:val="00351032"/>
    <w:rsid w:val="00B70D59"/>
    <w:rsid w:val="00C84CC7"/>
    <w:rsid w:val="00F52A8D"/>
    <w:rsid w:val="019404F8"/>
    <w:rsid w:val="02BD3108"/>
    <w:rsid w:val="02CE54A5"/>
    <w:rsid w:val="02E220DC"/>
    <w:rsid w:val="02F73D26"/>
    <w:rsid w:val="034D4FEF"/>
    <w:rsid w:val="035D1785"/>
    <w:rsid w:val="039F47CE"/>
    <w:rsid w:val="03C031FC"/>
    <w:rsid w:val="03E05CE8"/>
    <w:rsid w:val="03F973EE"/>
    <w:rsid w:val="03FF434E"/>
    <w:rsid w:val="040F3E66"/>
    <w:rsid w:val="043E5B56"/>
    <w:rsid w:val="04AF197E"/>
    <w:rsid w:val="04C04386"/>
    <w:rsid w:val="04C846A1"/>
    <w:rsid w:val="04D96608"/>
    <w:rsid w:val="04FA68C4"/>
    <w:rsid w:val="05092FAB"/>
    <w:rsid w:val="053F5AE6"/>
    <w:rsid w:val="057C0B0F"/>
    <w:rsid w:val="059351B7"/>
    <w:rsid w:val="05EF4B48"/>
    <w:rsid w:val="05F76ECA"/>
    <w:rsid w:val="062E4126"/>
    <w:rsid w:val="06792773"/>
    <w:rsid w:val="07093795"/>
    <w:rsid w:val="07804730"/>
    <w:rsid w:val="079052BE"/>
    <w:rsid w:val="08024FA9"/>
    <w:rsid w:val="08145C21"/>
    <w:rsid w:val="0831084F"/>
    <w:rsid w:val="08422688"/>
    <w:rsid w:val="084C7436"/>
    <w:rsid w:val="085854ED"/>
    <w:rsid w:val="0879188F"/>
    <w:rsid w:val="08A0354D"/>
    <w:rsid w:val="08BA3EF7"/>
    <w:rsid w:val="08C300D8"/>
    <w:rsid w:val="08CD4C49"/>
    <w:rsid w:val="09114954"/>
    <w:rsid w:val="095A5B83"/>
    <w:rsid w:val="096466E3"/>
    <w:rsid w:val="0968304D"/>
    <w:rsid w:val="09AF3D17"/>
    <w:rsid w:val="09F935EE"/>
    <w:rsid w:val="0A466E38"/>
    <w:rsid w:val="0A7809B7"/>
    <w:rsid w:val="0A7B4867"/>
    <w:rsid w:val="0A840954"/>
    <w:rsid w:val="0A943317"/>
    <w:rsid w:val="0A9928ED"/>
    <w:rsid w:val="0B2E2BD1"/>
    <w:rsid w:val="0B3F14D4"/>
    <w:rsid w:val="0B61769D"/>
    <w:rsid w:val="0B875E0C"/>
    <w:rsid w:val="0B8C3ECC"/>
    <w:rsid w:val="0B9A5DD0"/>
    <w:rsid w:val="0B9C639D"/>
    <w:rsid w:val="0BB052B2"/>
    <w:rsid w:val="0BD33FFC"/>
    <w:rsid w:val="0BE97AC1"/>
    <w:rsid w:val="0BEF6486"/>
    <w:rsid w:val="0C1C4780"/>
    <w:rsid w:val="0C3613A3"/>
    <w:rsid w:val="0C3628D7"/>
    <w:rsid w:val="0C5E519C"/>
    <w:rsid w:val="0C7227A7"/>
    <w:rsid w:val="0CA52EE8"/>
    <w:rsid w:val="0CBD6988"/>
    <w:rsid w:val="0CD208AC"/>
    <w:rsid w:val="0CD8573D"/>
    <w:rsid w:val="0D4903E8"/>
    <w:rsid w:val="0D4B23B2"/>
    <w:rsid w:val="0D7A4A46"/>
    <w:rsid w:val="0D80268F"/>
    <w:rsid w:val="0E1F1149"/>
    <w:rsid w:val="0E552DBD"/>
    <w:rsid w:val="0E640559"/>
    <w:rsid w:val="0E8A2A67"/>
    <w:rsid w:val="0ED620E3"/>
    <w:rsid w:val="0F0547E3"/>
    <w:rsid w:val="0F1113DA"/>
    <w:rsid w:val="0F6B02EB"/>
    <w:rsid w:val="0F78534A"/>
    <w:rsid w:val="0F89358A"/>
    <w:rsid w:val="0F8C6D51"/>
    <w:rsid w:val="0FC401FA"/>
    <w:rsid w:val="105B0B5E"/>
    <w:rsid w:val="106317C1"/>
    <w:rsid w:val="10AB4F16"/>
    <w:rsid w:val="112E58D0"/>
    <w:rsid w:val="114E5C44"/>
    <w:rsid w:val="11731CAC"/>
    <w:rsid w:val="119500A0"/>
    <w:rsid w:val="11C0733B"/>
    <w:rsid w:val="11D50D17"/>
    <w:rsid w:val="120E0809"/>
    <w:rsid w:val="1220211B"/>
    <w:rsid w:val="12380A2C"/>
    <w:rsid w:val="127F665A"/>
    <w:rsid w:val="12843C71"/>
    <w:rsid w:val="12A93D6D"/>
    <w:rsid w:val="12F7068C"/>
    <w:rsid w:val="1329181A"/>
    <w:rsid w:val="14207DC0"/>
    <w:rsid w:val="149305B9"/>
    <w:rsid w:val="14B932DA"/>
    <w:rsid w:val="150A66AF"/>
    <w:rsid w:val="154C1139"/>
    <w:rsid w:val="158C5B77"/>
    <w:rsid w:val="159348F7"/>
    <w:rsid w:val="15B96717"/>
    <w:rsid w:val="15EA028F"/>
    <w:rsid w:val="1602382A"/>
    <w:rsid w:val="1606156C"/>
    <w:rsid w:val="160D1149"/>
    <w:rsid w:val="163563C0"/>
    <w:rsid w:val="164315EF"/>
    <w:rsid w:val="16557DFE"/>
    <w:rsid w:val="1662251B"/>
    <w:rsid w:val="167268FB"/>
    <w:rsid w:val="16770D0A"/>
    <w:rsid w:val="16843BBC"/>
    <w:rsid w:val="16D50C50"/>
    <w:rsid w:val="16E120E1"/>
    <w:rsid w:val="16EC28F3"/>
    <w:rsid w:val="17385A05"/>
    <w:rsid w:val="173B3901"/>
    <w:rsid w:val="176747F9"/>
    <w:rsid w:val="17954A6E"/>
    <w:rsid w:val="180059E9"/>
    <w:rsid w:val="182A4058"/>
    <w:rsid w:val="184510FD"/>
    <w:rsid w:val="18C96881"/>
    <w:rsid w:val="18ED1786"/>
    <w:rsid w:val="190648B0"/>
    <w:rsid w:val="19071D6C"/>
    <w:rsid w:val="19341F4D"/>
    <w:rsid w:val="19514442"/>
    <w:rsid w:val="1977452F"/>
    <w:rsid w:val="19D26CD4"/>
    <w:rsid w:val="19E60D19"/>
    <w:rsid w:val="1A3E3450"/>
    <w:rsid w:val="1AD807E5"/>
    <w:rsid w:val="1B39345B"/>
    <w:rsid w:val="1BA50EE0"/>
    <w:rsid w:val="1BE91913"/>
    <w:rsid w:val="1BFB2A1F"/>
    <w:rsid w:val="1C015D4A"/>
    <w:rsid w:val="1C290ED5"/>
    <w:rsid w:val="1C317E4F"/>
    <w:rsid w:val="1C472464"/>
    <w:rsid w:val="1C7D5920"/>
    <w:rsid w:val="1CFB78FF"/>
    <w:rsid w:val="1D22799A"/>
    <w:rsid w:val="1D5C1A72"/>
    <w:rsid w:val="1D8E42B8"/>
    <w:rsid w:val="1D94745E"/>
    <w:rsid w:val="1DAF458D"/>
    <w:rsid w:val="1DE008F5"/>
    <w:rsid w:val="1E086ACE"/>
    <w:rsid w:val="1E285EBA"/>
    <w:rsid w:val="1E2E3747"/>
    <w:rsid w:val="1E62130A"/>
    <w:rsid w:val="1E97358B"/>
    <w:rsid w:val="1EAA4A5F"/>
    <w:rsid w:val="1EE869A7"/>
    <w:rsid w:val="1F5D7D23"/>
    <w:rsid w:val="1FA15E62"/>
    <w:rsid w:val="1FB76E98"/>
    <w:rsid w:val="1FED69B6"/>
    <w:rsid w:val="20457135"/>
    <w:rsid w:val="204708BD"/>
    <w:rsid w:val="2064678E"/>
    <w:rsid w:val="20B61DE1"/>
    <w:rsid w:val="20DC1AB9"/>
    <w:rsid w:val="20DD6197"/>
    <w:rsid w:val="212631E0"/>
    <w:rsid w:val="213D3E4F"/>
    <w:rsid w:val="21487642"/>
    <w:rsid w:val="21A53757"/>
    <w:rsid w:val="221236C6"/>
    <w:rsid w:val="2265586D"/>
    <w:rsid w:val="22D7662C"/>
    <w:rsid w:val="23326B7F"/>
    <w:rsid w:val="235A4E27"/>
    <w:rsid w:val="2380045B"/>
    <w:rsid w:val="23BC04D2"/>
    <w:rsid w:val="23CD72A7"/>
    <w:rsid w:val="23EF1892"/>
    <w:rsid w:val="24091E96"/>
    <w:rsid w:val="2483647E"/>
    <w:rsid w:val="24A32D55"/>
    <w:rsid w:val="24AF4778"/>
    <w:rsid w:val="24F627AC"/>
    <w:rsid w:val="25292727"/>
    <w:rsid w:val="252E5CA9"/>
    <w:rsid w:val="255B1C36"/>
    <w:rsid w:val="256F7692"/>
    <w:rsid w:val="25855364"/>
    <w:rsid w:val="25B52667"/>
    <w:rsid w:val="25BA2154"/>
    <w:rsid w:val="25C8773F"/>
    <w:rsid w:val="26420430"/>
    <w:rsid w:val="264A7253"/>
    <w:rsid w:val="26C8461C"/>
    <w:rsid w:val="26F0170C"/>
    <w:rsid w:val="27201D62"/>
    <w:rsid w:val="27286E73"/>
    <w:rsid w:val="27CF2642"/>
    <w:rsid w:val="27E777F5"/>
    <w:rsid w:val="27EA1D4C"/>
    <w:rsid w:val="27EA2E41"/>
    <w:rsid w:val="27FD20A3"/>
    <w:rsid w:val="28041684"/>
    <w:rsid w:val="282459E2"/>
    <w:rsid w:val="283A7FE5"/>
    <w:rsid w:val="285F51FF"/>
    <w:rsid w:val="288822B5"/>
    <w:rsid w:val="28B210E0"/>
    <w:rsid w:val="28DF2665"/>
    <w:rsid w:val="29072599"/>
    <w:rsid w:val="291029F3"/>
    <w:rsid w:val="29CB58F0"/>
    <w:rsid w:val="2A053397"/>
    <w:rsid w:val="2A145E96"/>
    <w:rsid w:val="2A2131BB"/>
    <w:rsid w:val="2ACF3BAB"/>
    <w:rsid w:val="2AF5378F"/>
    <w:rsid w:val="2B480A21"/>
    <w:rsid w:val="2BB94DBF"/>
    <w:rsid w:val="2BCD2C62"/>
    <w:rsid w:val="2C626979"/>
    <w:rsid w:val="2C6F314E"/>
    <w:rsid w:val="2CC206BE"/>
    <w:rsid w:val="2CCC395C"/>
    <w:rsid w:val="2D1136DF"/>
    <w:rsid w:val="2D20606D"/>
    <w:rsid w:val="2D3C541C"/>
    <w:rsid w:val="2DB87198"/>
    <w:rsid w:val="2DB93C54"/>
    <w:rsid w:val="2E3D144C"/>
    <w:rsid w:val="2E891204"/>
    <w:rsid w:val="2F0C1936"/>
    <w:rsid w:val="2F3F0A28"/>
    <w:rsid w:val="2FBF7029"/>
    <w:rsid w:val="2FD0187F"/>
    <w:rsid w:val="2FD27414"/>
    <w:rsid w:val="2FE73901"/>
    <w:rsid w:val="2FFE4BB0"/>
    <w:rsid w:val="300E7B60"/>
    <w:rsid w:val="300F6E18"/>
    <w:rsid w:val="30862F5F"/>
    <w:rsid w:val="31321010"/>
    <w:rsid w:val="314029C9"/>
    <w:rsid w:val="31A0241D"/>
    <w:rsid w:val="31C63837"/>
    <w:rsid w:val="31C82E39"/>
    <w:rsid w:val="322841C1"/>
    <w:rsid w:val="32601BAD"/>
    <w:rsid w:val="32794A1C"/>
    <w:rsid w:val="329F6389"/>
    <w:rsid w:val="3389023A"/>
    <w:rsid w:val="33C148CD"/>
    <w:rsid w:val="33CB74FA"/>
    <w:rsid w:val="343642F2"/>
    <w:rsid w:val="343F3010"/>
    <w:rsid w:val="345D0A00"/>
    <w:rsid w:val="34713BFD"/>
    <w:rsid w:val="34806536"/>
    <w:rsid w:val="34C13589"/>
    <w:rsid w:val="353369E3"/>
    <w:rsid w:val="3546508A"/>
    <w:rsid w:val="35E00D72"/>
    <w:rsid w:val="36032F7B"/>
    <w:rsid w:val="36124568"/>
    <w:rsid w:val="36965B9D"/>
    <w:rsid w:val="36AF4627"/>
    <w:rsid w:val="36C549FD"/>
    <w:rsid w:val="36F34D9D"/>
    <w:rsid w:val="37285547"/>
    <w:rsid w:val="37A755DD"/>
    <w:rsid w:val="37D55D61"/>
    <w:rsid w:val="37F54B45"/>
    <w:rsid w:val="37F708BD"/>
    <w:rsid w:val="37F94FA0"/>
    <w:rsid w:val="38033DDB"/>
    <w:rsid w:val="380D3381"/>
    <w:rsid w:val="38115B1F"/>
    <w:rsid w:val="384004B6"/>
    <w:rsid w:val="385E3AC3"/>
    <w:rsid w:val="387719FE"/>
    <w:rsid w:val="387C7014"/>
    <w:rsid w:val="387D6B9E"/>
    <w:rsid w:val="38B75FF0"/>
    <w:rsid w:val="38D45016"/>
    <w:rsid w:val="38D90432"/>
    <w:rsid w:val="39046D85"/>
    <w:rsid w:val="3914510A"/>
    <w:rsid w:val="3926770B"/>
    <w:rsid w:val="395767D6"/>
    <w:rsid w:val="398D3668"/>
    <w:rsid w:val="39934616"/>
    <w:rsid w:val="39DA0497"/>
    <w:rsid w:val="39E15381"/>
    <w:rsid w:val="3A837984"/>
    <w:rsid w:val="3A893816"/>
    <w:rsid w:val="3A893B6D"/>
    <w:rsid w:val="3AD1763A"/>
    <w:rsid w:val="3B494A65"/>
    <w:rsid w:val="3B661C6F"/>
    <w:rsid w:val="3B6716E3"/>
    <w:rsid w:val="3B6C6B2D"/>
    <w:rsid w:val="3B9C3C56"/>
    <w:rsid w:val="3C194ABE"/>
    <w:rsid w:val="3C1C1D10"/>
    <w:rsid w:val="3C242659"/>
    <w:rsid w:val="3C744FEF"/>
    <w:rsid w:val="3C96719C"/>
    <w:rsid w:val="3C97441D"/>
    <w:rsid w:val="3CA72BE8"/>
    <w:rsid w:val="3CDB7419"/>
    <w:rsid w:val="3CF37F8C"/>
    <w:rsid w:val="3D137554"/>
    <w:rsid w:val="3D5275AC"/>
    <w:rsid w:val="3D826E7B"/>
    <w:rsid w:val="3DCC2473"/>
    <w:rsid w:val="3DEB0883"/>
    <w:rsid w:val="3E2527BF"/>
    <w:rsid w:val="3E731662"/>
    <w:rsid w:val="3E8168DD"/>
    <w:rsid w:val="3EA7725F"/>
    <w:rsid w:val="3EB03713"/>
    <w:rsid w:val="3EBF1A11"/>
    <w:rsid w:val="3EC52607"/>
    <w:rsid w:val="3EEC6CEF"/>
    <w:rsid w:val="3F183429"/>
    <w:rsid w:val="3F43263A"/>
    <w:rsid w:val="3FB77A1D"/>
    <w:rsid w:val="3FDC3674"/>
    <w:rsid w:val="3FED7F8A"/>
    <w:rsid w:val="40094AEF"/>
    <w:rsid w:val="40356427"/>
    <w:rsid w:val="404C743A"/>
    <w:rsid w:val="405470BD"/>
    <w:rsid w:val="40794A29"/>
    <w:rsid w:val="40834692"/>
    <w:rsid w:val="409018AF"/>
    <w:rsid w:val="4093340B"/>
    <w:rsid w:val="411029F0"/>
    <w:rsid w:val="41105B26"/>
    <w:rsid w:val="41431AD5"/>
    <w:rsid w:val="414B3C0F"/>
    <w:rsid w:val="41732ED5"/>
    <w:rsid w:val="417C1CE7"/>
    <w:rsid w:val="41900018"/>
    <w:rsid w:val="41944406"/>
    <w:rsid w:val="41CE128F"/>
    <w:rsid w:val="41DA6F12"/>
    <w:rsid w:val="42171FB1"/>
    <w:rsid w:val="422141DA"/>
    <w:rsid w:val="422449A5"/>
    <w:rsid w:val="4236477F"/>
    <w:rsid w:val="42D00689"/>
    <w:rsid w:val="42EB10D7"/>
    <w:rsid w:val="434A5A16"/>
    <w:rsid w:val="434E6957"/>
    <w:rsid w:val="43BA0E31"/>
    <w:rsid w:val="43C15147"/>
    <w:rsid w:val="43E14DD2"/>
    <w:rsid w:val="43F40330"/>
    <w:rsid w:val="43F800E9"/>
    <w:rsid w:val="43FB0A8D"/>
    <w:rsid w:val="443A7E4B"/>
    <w:rsid w:val="44936F24"/>
    <w:rsid w:val="44B33DBE"/>
    <w:rsid w:val="451744D4"/>
    <w:rsid w:val="452F5B3A"/>
    <w:rsid w:val="453A0C0A"/>
    <w:rsid w:val="454E7FD2"/>
    <w:rsid w:val="46061BDC"/>
    <w:rsid w:val="461404F8"/>
    <w:rsid w:val="46413018"/>
    <w:rsid w:val="464B7E04"/>
    <w:rsid w:val="468041AA"/>
    <w:rsid w:val="468123C6"/>
    <w:rsid w:val="46901EEE"/>
    <w:rsid w:val="469C74D2"/>
    <w:rsid w:val="47445515"/>
    <w:rsid w:val="474B4782"/>
    <w:rsid w:val="47B0368B"/>
    <w:rsid w:val="47D90D14"/>
    <w:rsid w:val="48387FB0"/>
    <w:rsid w:val="483A6114"/>
    <w:rsid w:val="48627FD5"/>
    <w:rsid w:val="488727DB"/>
    <w:rsid w:val="488A12DA"/>
    <w:rsid w:val="48B82268"/>
    <w:rsid w:val="48C354B3"/>
    <w:rsid w:val="48EE731B"/>
    <w:rsid w:val="493D58B5"/>
    <w:rsid w:val="494A7A04"/>
    <w:rsid w:val="497F0713"/>
    <w:rsid w:val="4A0A26D2"/>
    <w:rsid w:val="4A2019A5"/>
    <w:rsid w:val="4A241A0B"/>
    <w:rsid w:val="4A7B2875"/>
    <w:rsid w:val="4A934476"/>
    <w:rsid w:val="4AA523FB"/>
    <w:rsid w:val="4AAA220A"/>
    <w:rsid w:val="4AE12E67"/>
    <w:rsid w:val="4AE20F59"/>
    <w:rsid w:val="4B4C0111"/>
    <w:rsid w:val="4B7073B2"/>
    <w:rsid w:val="4B8553A9"/>
    <w:rsid w:val="4BB24DCF"/>
    <w:rsid w:val="4BDB3730"/>
    <w:rsid w:val="4C200F7A"/>
    <w:rsid w:val="4CBD6E35"/>
    <w:rsid w:val="4CEE3180"/>
    <w:rsid w:val="4D0F4AF6"/>
    <w:rsid w:val="4D537EEC"/>
    <w:rsid w:val="4D8B1D7C"/>
    <w:rsid w:val="4DF94F37"/>
    <w:rsid w:val="4E0A1DD5"/>
    <w:rsid w:val="4E3160E5"/>
    <w:rsid w:val="4E4D37AF"/>
    <w:rsid w:val="4E8C6496"/>
    <w:rsid w:val="4EFD18DE"/>
    <w:rsid w:val="4F144236"/>
    <w:rsid w:val="4F663C87"/>
    <w:rsid w:val="4F7E29A8"/>
    <w:rsid w:val="4F876573"/>
    <w:rsid w:val="4F9E1FFC"/>
    <w:rsid w:val="4FA43A45"/>
    <w:rsid w:val="4FFF6109"/>
    <w:rsid w:val="50447CC2"/>
    <w:rsid w:val="50483F54"/>
    <w:rsid w:val="50874A7C"/>
    <w:rsid w:val="50895EE7"/>
    <w:rsid w:val="50921B9D"/>
    <w:rsid w:val="50943A72"/>
    <w:rsid w:val="50D16158"/>
    <w:rsid w:val="50DB5F45"/>
    <w:rsid w:val="50DC2766"/>
    <w:rsid w:val="51025EB1"/>
    <w:rsid w:val="51141503"/>
    <w:rsid w:val="517B3EB5"/>
    <w:rsid w:val="518D0ED5"/>
    <w:rsid w:val="51D830B6"/>
    <w:rsid w:val="525C687F"/>
    <w:rsid w:val="52F647F7"/>
    <w:rsid w:val="52F92565"/>
    <w:rsid w:val="532644A8"/>
    <w:rsid w:val="534F40E3"/>
    <w:rsid w:val="53A616BE"/>
    <w:rsid w:val="53BF75D5"/>
    <w:rsid w:val="53D03877"/>
    <w:rsid w:val="542F73CA"/>
    <w:rsid w:val="5430786D"/>
    <w:rsid w:val="545A1D2A"/>
    <w:rsid w:val="54AA5FF5"/>
    <w:rsid w:val="54C811C0"/>
    <w:rsid w:val="556A442D"/>
    <w:rsid w:val="55DA564E"/>
    <w:rsid w:val="55DF4A13"/>
    <w:rsid w:val="5604127D"/>
    <w:rsid w:val="56166703"/>
    <w:rsid w:val="5642697E"/>
    <w:rsid w:val="56510474"/>
    <w:rsid w:val="56861525"/>
    <w:rsid w:val="56A93273"/>
    <w:rsid w:val="56B20F81"/>
    <w:rsid w:val="56BD550C"/>
    <w:rsid w:val="56E07045"/>
    <w:rsid w:val="56F00EA2"/>
    <w:rsid w:val="56FF28AF"/>
    <w:rsid w:val="57540E7D"/>
    <w:rsid w:val="576511D6"/>
    <w:rsid w:val="577B4878"/>
    <w:rsid w:val="57926973"/>
    <w:rsid w:val="58175352"/>
    <w:rsid w:val="581F2200"/>
    <w:rsid w:val="583059FA"/>
    <w:rsid w:val="584A0929"/>
    <w:rsid w:val="58CD2491"/>
    <w:rsid w:val="591B41B2"/>
    <w:rsid w:val="59254A26"/>
    <w:rsid w:val="59326325"/>
    <w:rsid w:val="594828CF"/>
    <w:rsid w:val="595C505B"/>
    <w:rsid w:val="595E55C3"/>
    <w:rsid w:val="596E7E20"/>
    <w:rsid w:val="59BE699D"/>
    <w:rsid w:val="59C3464B"/>
    <w:rsid w:val="5A60780B"/>
    <w:rsid w:val="5AB34579"/>
    <w:rsid w:val="5AFC6609"/>
    <w:rsid w:val="5B113480"/>
    <w:rsid w:val="5B6339F0"/>
    <w:rsid w:val="5BB25DC2"/>
    <w:rsid w:val="5BD456CE"/>
    <w:rsid w:val="5C0D1F49"/>
    <w:rsid w:val="5C262223"/>
    <w:rsid w:val="5C7D31D8"/>
    <w:rsid w:val="5C805285"/>
    <w:rsid w:val="5CBB0CE2"/>
    <w:rsid w:val="5CC17177"/>
    <w:rsid w:val="5CF306BC"/>
    <w:rsid w:val="5D3F3D64"/>
    <w:rsid w:val="5D833043"/>
    <w:rsid w:val="5DD92690"/>
    <w:rsid w:val="5DDB1CFD"/>
    <w:rsid w:val="5E47304B"/>
    <w:rsid w:val="5E7E6D93"/>
    <w:rsid w:val="5ED44800"/>
    <w:rsid w:val="5EEA4973"/>
    <w:rsid w:val="5F2F48BE"/>
    <w:rsid w:val="5F350BDE"/>
    <w:rsid w:val="5F61632C"/>
    <w:rsid w:val="5F6F6D74"/>
    <w:rsid w:val="5FA17648"/>
    <w:rsid w:val="5FE705CB"/>
    <w:rsid w:val="603D5080"/>
    <w:rsid w:val="609C19ED"/>
    <w:rsid w:val="60D0261B"/>
    <w:rsid w:val="61227EAA"/>
    <w:rsid w:val="618E3791"/>
    <w:rsid w:val="61947DCA"/>
    <w:rsid w:val="61A46A97"/>
    <w:rsid w:val="61D1382F"/>
    <w:rsid w:val="61F114A2"/>
    <w:rsid w:val="62044554"/>
    <w:rsid w:val="62512BB4"/>
    <w:rsid w:val="625D7D1A"/>
    <w:rsid w:val="62AE40EB"/>
    <w:rsid w:val="62DD7D21"/>
    <w:rsid w:val="637D586B"/>
    <w:rsid w:val="63A5560B"/>
    <w:rsid w:val="63B2581F"/>
    <w:rsid w:val="63E9091F"/>
    <w:rsid w:val="64283A29"/>
    <w:rsid w:val="64322AF9"/>
    <w:rsid w:val="6481138B"/>
    <w:rsid w:val="64813139"/>
    <w:rsid w:val="64D6010D"/>
    <w:rsid w:val="64D82665"/>
    <w:rsid w:val="64DD2A65"/>
    <w:rsid w:val="64E47C96"/>
    <w:rsid w:val="64F65351"/>
    <w:rsid w:val="651E5741"/>
    <w:rsid w:val="65316CD9"/>
    <w:rsid w:val="658A4877"/>
    <w:rsid w:val="658B7F9D"/>
    <w:rsid w:val="65A00902"/>
    <w:rsid w:val="65AC6EDD"/>
    <w:rsid w:val="65B55250"/>
    <w:rsid w:val="65D97752"/>
    <w:rsid w:val="66085536"/>
    <w:rsid w:val="66105BF7"/>
    <w:rsid w:val="66150023"/>
    <w:rsid w:val="66195D1F"/>
    <w:rsid w:val="6628010D"/>
    <w:rsid w:val="666F475B"/>
    <w:rsid w:val="667E7F5D"/>
    <w:rsid w:val="669B4528"/>
    <w:rsid w:val="66AE605A"/>
    <w:rsid w:val="66CC12D7"/>
    <w:rsid w:val="66F92693"/>
    <w:rsid w:val="67134CEF"/>
    <w:rsid w:val="671F1ABD"/>
    <w:rsid w:val="67521A59"/>
    <w:rsid w:val="67694A84"/>
    <w:rsid w:val="67C304AB"/>
    <w:rsid w:val="67EC5B39"/>
    <w:rsid w:val="68011E61"/>
    <w:rsid w:val="683F0658"/>
    <w:rsid w:val="684B73E5"/>
    <w:rsid w:val="689B6EBF"/>
    <w:rsid w:val="689C6793"/>
    <w:rsid w:val="68DB0208"/>
    <w:rsid w:val="68FB170C"/>
    <w:rsid w:val="691B3D98"/>
    <w:rsid w:val="693748F0"/>
    <w:rsid w:val="69670A4C"/>
    <w:rsid w:val="69846A0E"/>
    <w:rsid w:val="69AA1366"/>
    <w:rsid w:val="69AD798C"/>
    <w:rsid w:val="69D005C0"/>
    <w:rsid w:val="69D80B96"/>
    <w:rsid w:val="6A0960AB"/>
    <w:rsid w:val="6A7470AD"/>
    <w:rsid w:val="6A8D2838"/>
    <w:rsid w:val="6B572142"/>
    <w:rsid w:val="6B68175F"/>
    <w:rsid w:val="6BFD799F"/>
    <w:rsid w:val="6C2D074A"/>
    <w:rsid w:val="6C4A2E5A"/>
    <w:rsid w:val="6C5D5536"/>
    <w:rsid w:val="6C8138D0"/>
    <w:rsid w:val="6C851336"/>
    <w:rsid w:val="6CEF0725"/>
    <w:rsid w:val="6D4B2604"/>
    <w:rsid w:val="6D4C011E"/>
    <w:rsid w:val="6D5B6C52"/>
    <w:rsid w:val="6D611D5A"/>
    <w:rsid w:val="6D785A21"/>
    <w:rsid w:val="6D8030E4"/>
    <w:rsid w:val="6DFF1C9E"/>
    <w:rsid w:val="6E0E35C4"/>
    <w:rsid w:val="6E0F7A08"/>
    <w:rsid w:val="6E3947F5"/>
    <w:rsid w:val="6E6F1866"/>
    <w:rsid w:val="6E9C74ED"/>
    <w:rsid w:val="6EF72976"/>
    <w:rsid w:val="6F4F27B2"/>
    <w:rsid w:val="6F795A80"/>
    <w:rsid w:val="6F7C1D2E"/>
    <w:rsid w:val="6F8E0407"/>
    <w:rsid w:val="6FDC4FAB"/>
    <w:rsid w:val="6FDD069F"/>
    <w:rsid w:val="6FE86762"/>
    <w:rsid w:val="701F2F98"/>
    <w:rsid w:val="702B4D16"/>
    <w:rsid w:val="703025E3"/>
    <w:rsid w:val="70691B44"/>
    <w:rsid w:val="70AA6621"/>
    <w:rsid w:val="70BE0993"/>
    <w:rsid w:val="70FF2F8F"/>
    <w:rsid w:val="71015D2D"/>
    <w:rsid w:val="71091C97"/>
    <w:rsid w:val="7111480F"/>
    <w:rsid w:val="71261F49"/>
    <w:rsid w:val="712E6956"/>
    <w:rsid w:val="71473612"/>
    <w:rsid w:val="71504F32"/>
    <w:rsid w:val="7152309F"/>
    <w:rsid w:val="718F7F65"/>
    <w:rsid w:val="71A838E7"/>
    <w:rsid w:val="72203F91"/>
    <w:rsid w:val="727B234E"/>
    <w:rsid w:val="72D068C7"/>
    <w:rsid w:val="72E42ED8"/>
    <w:rsid w:val="72FE3F93"/>
    <w:rsid w:val="735F4CB9"/>
    <w:rsid w:val="73674C62"/>
    <w:rsid w:val="73845865"/>
    <w:rsid w:val="739B6D9E"/>
    <w:rsid w:val="73BC1D76"/>
    <w:rsid w:val="73D56FFD"/>
    <w:rsid w:val="73FB6630"/>
    <w:rsid w:val="74085625"/>
    <w:rsid w:val="748D790E"/>
    <w:rsid w:val="749820CC"/>
    <w:rsid w:val="74A7099A"/>
    <w:rsid w:val="74CE04EC"/>
    <w:rsid w:val="74E7523A"/>
    <w:rsid w:val="74E76DCD"/>
    <w:rsid w:val="751D7C0A"/>
    <w:rsid w:val="75722D56"/>
    <w:rsid w:val="75774810"/>
    <w:rsid w:val="75B9759E"/>
    <w:rsid w:val="75DB5477"/>
    <w:rsid w:val="75FC6AC3"/>
    <w:rsid w:val="7616619B"/>
    <w:rsid w:val="76381B18"/>
    <w:rsid w:val="76487F5B"/>
    <w:rsid w:val="76660D7C"/>
    <w:rsid w:val="766C5968"/>
    <w:rsid w:val="76BE0C8F"/>
    <w:rsid w:val="76CD53B2"/>
    <w:rsid w:val="770719AC"/>
    <w:rsid w:val="77637DD5"/>
    <w:rsid w:val="776526CC"/>
    <w:rsid w:val="77A262E1"/>
    <w:rsid w:val="77B13C33"/>
    <w:rsid w:val="77C875A5"/>
    <w:rsid w:val="77D575CC"/>
    <w:rsid w:val="77ED6F44"/>
    <w:rsid w:val="77F45548"/>
    <w:rsid w:val="781E5417"/>
    <w:rsid w:val="782A5B6A"/>
    <w:rsid w:val="784E7CA6"/>
    <w:rsid w:val="78574801"/>
    <w:rsid w:val="78604E79"/>
    <w:rsid w:val="7873527F"/>
    <w:rsid w:val="790A6425"/>
    <w:rsid w:val="790E2D96"/>
    <w:rsid w:val="791B54B2"/>
    <w:rsid w:val="791D56CF"/>
    <w:rsid w:val="795A0A34"/>
    <w:rsid w:val="797339C3"/>
    <w:rsid w:val="797D616D"/>
    <w:rsid w:val="79D57D57"/>
    <w:rsid w:val="79F00650"/>
    <w:rsid w:val="7A6242BF"/>
    <w:rsid w:val="7A794513"/>
    <w:rsid w:val="7ACC115A"/>
    <w:rsid w:val="7AE952D2"/>
    <w:rsid w:val="7B9511FE"/>
    <w:rsid w:val="7C482A62"/>
    <w:rsid w:val="7C611D76"/>
    <w:rsid w:val="7C7248A0"/>
    <w:rsid w:val="7C976D69"/>
    <w:rsid w:val="7CB1685A"/>
    <w:rsid w:val="7CD752DA"/>
    <w:rsid w:val="7CDE40AB"/>
    <w:rsid w:val="7CF057E2"/>
    <w:rsid w:val="7D0C1CE2"/>
    <w:rsid w:val="7D1548B5"/>
    <w:rsid w:val="7D4A45B8"/>
    <w:rsid w:val="7D6E474B"/>
    <w:rsid w:val="7DF84014"/>
    <w:rsid w:val="7E207949"/>
    <w:rsid w:val="7E5C0A47"/>
    <w:rsid w:val="7E670C75"/>
    <w:rsid w:val="7EA06516"/>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annotation text"/>
    <w:basedOn w:val="1"/>
    <w:qFormat/>
    <w:uiPriority w:val="0"/>
    <w:pPr>
      <w:jc w:val="left"/>
    </w:pPr>
  </w:style>
  <w:style w:type="paragraph" w:styleId="4">
    <w:name w:val="Body Text Indent"/>
    <w:basedOn w:val="1"/>
    <w:next w:val="1"/>
    <w:qFormat/>
    <w:uiPriority w:val="0"/>
    <w:pPr>
      <w:spacing w:after="120"/>
      <w:ind w:left="420" w:leftChars="200"/>
    </w:pPr>
  </w:style>
  <w:style w:type="paragraph" w:styleId="5">
    <w:name w:val="toc 3"/>
    <w:basedOn w:val="1"/>
    <w:next w:val="1"/>
    <w:qFormat/>
    <w:uiPriority w:val="0"/>
    <w:pPr>
      <w:ind w:left="840" w:leftChars="400"/>
    </w:pPr>
  </w:style>
  <w:style w:type="paragraph" w:styleId="6">
    <w:name w:val="Plain Text"/>
    <w:basedOn w:val="1"/>
    <w:next w:val="7"/>
    <w:qFormat/>
    <w:uiPriority w:val="0"/>
    <w:rPr>
      <w:rFonts w:ascii="宋体" w:hAnsi="Courier New"/>
      <w:szCs w:val="21"/>
    </w:rPr>
  </w:style>
  <w:style w:type="paragraph" w:styleId="7">
    <w:name w:val="List Number 5"/>
    <w:basedOn w:val="1"/>
    <w:qFormat/>
    <w:uiPriority w:val="0"/>
    <w:pPr>
      <w:numPr>
        <w:ilvl w:val="0"/>
        <w:numId w:val="1"/>
      </w:numPr>
    </w:p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4"/>
    <w:next w:val="6"/>
    <w:qFormat/>
    <w:uiPriority w:val="0"/>
    <w:pPr>
      <w:widowControl/>
      <w:ind w:firstLine="200" w:firstLineChars="200"/>
      <w:jc w:val="left"/>
    </w:pPr>
    <w:rPr>
      <w:rFonts w:hAnsi="宋体"/>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Strong"/>
    <w:basedOn w:val="14"/>
    <w:qFormat/>
    <w:uiPriority w:val="0"/>
    <w:rPr>
      <w:b/>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报告正文"/>
    <w:basedOn w:val="1"/>
    <w:qFormat/>
    <w:uiPriority w:val="0"/>
    <w:pPr>
      <w:spacing w:line="360" w:lineRule="auto"/>
      <w:ind w:firstLine="560" w:firstLineChars="200"/>
    </w:pPr>
    <w:rPr>
      <w:rFonts w:ascii="宋体" w:hAnsi="宋体"/>
      <w:snapToGrid w:val="0"/>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5865</Words>
  <Characters>6751</Characters>
  <Lines>0</Lines>
  <Paragraphs>0</Paragraphs>
  <TotalTime>1</TotalTime>
  <ScaleCrop>false</ScaleCrop>
  <LinksUpToDate>false</LinksUpToDate>
  <CharactersWithSpaces>6786</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xuminghua</cp:lastModifiedBy>
  <dcterms:modified xsi:type="dcterms:W3CDTF">2024-11-12T02:25:20Z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1FE419BD8F0C475B86F4C93ED4B4D305_13</vt:lpwstr>
  </property>
</Properties>
</file>