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adjustRightInd/>
        <w:snapToGrid/>
        <w:spacing w:line="240" w:lineRule="auto"/>
        <w:textAlignment w:val="auto"/>
        <w:rPr>
          <w:rFonts w:ascii="黑体" w:hAnsi="黑体" w:eastAsia="黑体"/>
          <w:color w:val="auto"/>
          <w:sz w:val="32"/>
          <w:szCs w:val="32"/>
          <w:highlight w:val="none"/>
        </w:rPr>
      </w:pPr>
    </w:p>
    <w:p>
      <w:pPr>
        <w:widowControl w:val="0"/>
        <w:wordWrap/>
        <w:adjustRightInd/>
        <w:snapToGrid/>
        <w:spacing w:line="240" w:lineRule="auto"/>
        <w:jc w:val="center"/>
        <w:textAlignment w:val="auto"/>
        <w:rPr>
          <w:rFonts w:hint="eastAsia" w:ascii="方正小标宋_GBK" w:hAnsi="宋体" w:eastAsia="方正小标宋_GBK"/>
          <w:color w:val="auto"/>
          <w:sz w:val="44"/>
          <w:szCs w:val="44"/>
          <w:highlight w:val="none"/>
        </w:rPr>
      </w:pPr>
    </w:p>
    <w:p>
      <w:pPr>
        <w:widowControl w:val="0"/>
        <w:wordWrap/>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新疆维吾尔自治区地质矿产勘查开发局第三水文工程地质大队</w:t>
      </w:r>
    </w:p>
    <w:p>
      <w:pPr>
        <w:widowControl w:val="0"/>
        <w:wordWrap/>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widowControl w:val="0"/>
        <w:wordWrap/>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widowControl w:val="0"/>
        <w:wordWrap/>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widowControl w:val="0"/>
        <w:tabs>
          <w:tab w:val="right" w:pos="8306"/>
        </w:tabs>
        <w:wordWrap/>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widowControl w:val="0"/>
        <w:tabs>
          <w:tab w:val="right" w:pos="8306"/>
        </w:tabs>
        <w:wordWrap/>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widowControl w:val="0"/>
        <w:tabs>
          <w:tab w:val="right" w:pos="8306"/>
        </w:tabs>
        <w:wordWrap/>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widowControl w:val="0"/>
        <w:wordWrap/>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widowControl w:val="0"/>
        <w:wordWrap/>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widowControl w:val="0"/>
        <w:wordWrap/>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widowControl w:val="0"/>
        <w:wordWrap/>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新疆维吾尔自治区地质矿产勘查开发局</w:t>
      </w:r>
      <w:r>
        <w:rPr>
          <w:rFonts w:hint="eastAsia" w:ascii="仿宋_GB2312" w:eastAsia="仿宋_GB2312"/>
          <w:sz w:val="32"/>
          <w:szCs w:val="32"/>
          <w:lang w:eastAsia="zh-CN"/>
        </w:rPr>
        <w:t>第三水文</w:t>
      </w:r>
      <w:r>
        <w:rPr>
          <w:rFonts w:ascii="仿宋_GB2312" w:eastAsia="仿宋_GB2312"/>
          <w:sz w:val="32"/>
          <w:szCs w:val="32"/>
        </w:rPr>
        <w:t>工程地质大队主要职能：为国家建设提供水文地质调查服务。具体有承担国家和自治区基础性、公益性水文地质、工程地质、环境地质、地球物理勘查，地下水资源勘查、评价，液体矿产勘查，固体矿产勘查和城市、工矿企业供水水源地勘查及开发任务；从事农田供水勘查、土壤改良以及防病改水工作；承担地质环境调查、评价和地质灾害防治工程勘查；承担地质工程施工，地质钻探，地质实验测试及土壤、水质的分析、鉴定等工作</w:t>
      </w:r>
      <w:r>
        <w:rPr>
          <w:rFonts w:hint="eastAsia" w:ascii="仿宋_GB2312" w:eastAsia="仿宋_GB2312"/>
          <w:sz w:val="32"/>
          <w:szCs w:val="32"/>
        </w:rPr>
        <w:t>。</w:t>
      </w:r>
    </w:p>
    <w:p>
      <w:pPr>
        <w:widowControl w:val="0"/>
        <w:wordWrap/>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新疆维吾尔自治区地质矿产勘查开发局第三水文工程地质大队</w:t>
      </w:r>
      <w:r>
        <w:rPr>
          <w:rFonts w:hint="eastAsia" w:ascii="Times New Roman" w:hAnsi="Times New Roman" w:eastAsia="仿宋_GB2312" w:cs="Times New Roman"/>
          <w:color w:val="auto"/>
          <w:kern w:val="2"/>
          <w:sz w:val="32"/>
          <w:szCs w:val="32"/>
          <w:highlight w:val="none"/>
          <w:lang w:val="zh-CN" w:eastAsia="zh-CN" w:bidi="ar-SA"/>
        </w:rPr>
        <w:t>2023</w:t>
      </w:r>
      <w:r>
        <w:rPr>
          <w:rFonts w:hint="eastAsia" w:ascii="仿宋_GB2312" w:eastAsia="仿宋_GB2312"/>
          <w:color w:val="auto"/>
          <w:sz w:val="32"/>
          <w:szCs w:val="32"/>
          <w:highlight w:val="none"/>
          <w:lang w:eastAsia="zh-CN"/>
        </w:rPr>
        <w:t>年度，</w:t>
      </w:r>
      <w:r>
        <w:rPr>
          <w:rFonts w:hint="eastAsia" w:ascii="仿宋_GB2312" w:eastAsia="仿宋_GB2312"/>
          <w:color w:val="auto"/>
          <w:sz w:val="32"/>
          <w:szCs w:val="32"/>
          <w:highlight w:val="none"/>
        </w:rPr>
        <w:t>实有人数</w:t>
      </w:r>
      <w:r>
        <w:rPr>
          <w:rFonts w:hint="default" w:ascii="Times New Roman" w:hAnsi="Times New Roman" w:eastAsia="仿宋_GB2312" w:cs="Times New Roman"/>
          <w:color w:val="auto"/>
          <w:kern w:val="2"/>
          <w:sz w:val="32"/>
          <w:szCs w:val="32"/>
          <w:highlight w:val="none"/>
          <w:lang w:val="zh-CN" w:eastAsia="zh-CN" w:bidi="ar-SA"/>
        </w:rPr>
        <w:t>201</w:t>
      </w:r>
      <w:r>
        <w:rPr>
          <w:rFonts w:hint="eastAsia" w:ascii="仿宋_GB2312" w:eastAsia="仿宋_GB2312"/>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59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142</w:t>
      </w:r>
      <w:r>
        <w:rPr>
          <w:rFonts w:hint="eastAsia" w:ascii="仿宋_GB2312" w:eastAsia="仿宋_GB2312"/>
          <w:color w:val="auto"/>
          <w:sz w:val="32"/>
          <w:szCs w:val="32"/>
          <w:highlight w:val="none"/>
        </w:rPr>
        <w:t>人。</w:t>
      </w:r>
    </w:p>
    <w:p>
      <w:pPr>
        <w:widowControl w:val="0"/>
        <w:wordWrap/>
        <w:adjustRightInd/>
        <w:snapToGrid/>
        <w:spacing w:line="240" w:lineRule="auto"/>
        <w:ind w:firstLine="640" w:firstLineChars="200"/>
        <w:jc w:val="left"/>
        <w:textAlignment w:val="auto"/>
      </w:pPr>
      <w:r>
        <w:rPr>
          <w:rFonts w:hint="eastAsia" w:ascii="仿宋_GB2312" w:eastAsia="仿宋_GB2312"/>
          <w:color w:val="auto"/>
          <w:sz w:val="32"/>
          <w:szCs w:val="32"/>
          <w:highlight w:val="none"/>
          <w:lang w:val="en-US" w:eastAsia="zh-CN"/>
        </w:rPr>
        <w:t>单位无下属预算单位，下设</w:t>
      </w:r>
      <w:r>
        <w:rPr>
          <w:rFonts w:hint="default" w:ascii="Times New Roman" w:hAnsi="Times New Roman" w:eastAsia="仿宋_GB2312" w:cs="Times New Roman"/>
          <w:color w:val="auto"/>
          <w:sz w:val="32"/>
          <w:szCs w:val="32"/>
          <w:highlight w:val="none"/>
          <w:lang w:val="en-US" w:eastAsia="zh-CN"/>
        </w:rPr>
        <w:t xml:space="preserve"> 7</w:t>
      </w:r>
      <w:r>
        <w:rPr>
          <w:rFonts w:hint="eastAsia" w:ascii="仿宋_GB2312" w:eastAsia="仿宋_GB2312"/>
          <w:color w:val="auto"/>
          <w:sz w:val="32"/>
          <w:szCs w:val="32"/>
          <w:highlight w:val="none"/>
          <w:lang w:val="en-US" w:eastAsia="zh-CN"/>
        </w:rPr>
        <w:t xml:space="preserve"> 个处室，分别是：地质工程三院、水工环勘察一院、地质工程四院、水工环勘察四院、基地服务中心、综合办公室、</w:t>
      </w:r>
      <w:r>
        <w:rPr>
          <w:rFonts w:hint="eastAsia" w:ascii="仿宋_GB2312" w:eastAsia="仿宋_GB2312"/>
          <w:color w:val="auto"/>
          <w:sz w:val="32"/>
          <w:szCs w:val="32"/>
          <w:highlight w:val="none"/>
          <w:lang w:eastAsia="zh-CN"/>
        </w:rPr>
        <w:t>财务资产管理科</w:t>
      </w:r>
      <w:r>
        <w:rPr>
          <w:rFonts w:hint="eastAsia" w:ascii="仿宋_GB2312" w:eastAsia="仿宋_GB2312"/>
          <w:color w:val="auto"/>
          <w:sz w:val="32"/>
          <w:szCs w:val="32"/>
          <w:highlight w:val="none"/>
          <w:lang w:val="en-US" w:eastAsia="zh-CN"/>
        </w:rPr>
        <w:t>。</w:t>
      </w:r>
      <w:r>
        <w:rPr>
          <w:rFonts w:hint="eastAsia" w:ascii="仿宋" w:hAnsi="仿宋" w:eastAsia="仿宋" w:cs="仿宋"/>
          <w:color w:val="000000"/>
          <w:kern w:val="0"/>
          <w:sz w:val="32"/>
          <w:szCs w:val="32"/>
          <w:lang w:val="en-US" w:eastAsia="zh-CN"/>
        </w:rPr>
        <w:t xml:space="preserve"> </w:t>
      </w:r>
    </w:p>
    <w:p>
      <w:pPr>
        <w:widowControl w:val="0"/>
        <w:wordWrap/>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p>
    <w:p>
      <w:pPr>
        <w:widowControl w:val="0"/>
        <w:wordWrap/>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widowControl w:val="0"/>
        <w:wordWrap/>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widowControl w:val="0"/>
        <w:wordWrap/>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widowControl w:val="0"/>
        <w:wordWrap/>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val="en-US" w:eastAsia="zh-CN"/>
        </w:rPr>
        <w:t xml:space="preserve"> </w:t>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widowControl w:val="0"/>
        <w:wordWrap/>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widowControl w:val="0"/>
        <w:wordWrap/>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pacing w:val="0"/>
          <w:sz w:val="32"/>
          <w:szCs w:val="32"/>
          <w:highlight w:val="none"/>
          <w:lang w:val="en-US" w:eastAsia="zh-CN"/>
        </w:rPr>
        <w:t>收入总计</w:t>
      </w:r>
      <w:r>
        <w:rPr>
          <w:rFonts w:hint="default" w:ascii="Times New Roman" w:hAnsi="Times New Roman" w:eastAsia="仿宋_GB2312" w:cs="Times New Roman"/>
          <w:color w:val="auto"/>
          <w:spacing w:val="0"/>
          <w:sz w:val="32"/>
          <w:szCs w:val="32"/>
          <w:highlight w:val="none"/>
          <w:lang w:eastAsia="zh-CN"/>
        </w:rPr>
        <w:t>2,078.17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1,560.70</w:t>
      </w:r>
      <w:r>
        <w:rPr>
          <w:rFonts w:hint="eastAsia" w:ascii="仿宋_GB2312" w:eastAsia="仿宋_GB2312"/>
          <w:color w:val="auto"/>
          <w:spacing w:val="0"/>
          <w:sz w:val="32"/>
          <w:szCs w:val="32"/>
          <w:highlight w:val="none"/>
          <w:lang w:eastAsia="zh-CN"/>
        </w:rPr>
        <w:t>万元，使用非财政拨款结余</w:t>
      </w:r>
      <w:r>
        <w:rPr>
          <w:rFonts w:hint="default" w:ascii="Times New Roman" w:hAnsi="Times New Roman" w:eastAsia="仿宋_GB2312" w:cs="Times New Roman"/>
          <w:color w:val="auto"/>
          <w:spacing w:val="0"/>
          <w:sz w:val="32"/>
          <w:szCs w:val="32"/>
          <w:highlight w:val="none"/>
          <w:lang w:eastAsia="zh-CN"/>
        </w:rPr>
        <w:t>517.47</w:t>
      </w:r>
      <w:r>
        <w:rPr>
          <w:rFonts w:hint="eastAsia" w:ascii="仿宋_GB2312" w:eastAsia="仿宋_GB2312"/>
          <w:color w:val="auto"/>
          <w:spacing w:val="0"/>
          <w:sz w:val="32"/>
          <w:szCs w:val="32"/>
          <w:highlight w:val="none"/>
          <w:lang w:eastAsia="zh-CN"/>
        </w:rPr>
        <w:t>万元，年初结转和结余</w:t>
      </w:r>
      <w:r>
        <w:rPr>
          <w:rFonts w:hint="default" w:ascii="Times New Roman" w:hAnsi="Times New Roman" w:eastAsia="仿宋_GB2312" w:cs="Times New Roman"/>
          <w:color w:val="auto"/>
          <w:spacing w:val="0"/>
          <w:sz w:val="32"/>
          <w:szCs w:val="32"/>
          <w:highlight w:val="none"/>
          <w:lang w:eastAsia="zh-CN"/>
        </w:rPr>
        <w:t>0.00</w:t>
      </w:r>
      <w:r>
        <w:rPr>
          <w:rFonts w:hint="eastAsia" w:ascii="仿宋_GB2312" w:eastAsia="仿宋_GB2312"/>
          <w:color w:val="auto"/>
          <w:spacing w:val="0"/>
          <w:sz w:val="32"/>
          <w:szCs w:val="32"/>
          <w:highlight w:val="none"/>
          <w:lang w:eastAsia="zh-CN"/>
        </w:rPr>
        <w:t>万元。</w:t>
      </w:r>
    </w:p>
    <w:p>
      <w:pPr>
        <w:widowControl w:val="0"/>
        <w:wordWrap/>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eastAsia="zh-CN"/>
        </w:rPr>
        <w:t>2,078.17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1,554.81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523.36</w:t>
      </w:r>
      <w:r>
        <w:rPr>
          <w:rFonts w:hint="eastAsia" w:ascii="仿宋_GB2312" w:eastAsia="仿宋_GB2312"/>
          <w:color w:val="auto"/>
          <w:spacing w:val="0"/>
          <w:sz w:val="32"/>
          <w:szCs w:val="32"/>
          <w:highlight w:val="none"/>
          <w:lang w:eastAsia="zh-CN"/>
        </w:rPr>
        <w:t>万元，年末结转和结余</w:t>
      </w:r>
      <w:r>
        <w:rPr>
          <w:rFonts w:hint="default" w:ascii="Times New Roman" w:hAnsi="Times New Roman" w:eastAsia="仿宋_GB2312" w:cs="Times New Roman"/>
          <w:color w:val="auto"/>
          <w:spacing w:val="0"/>
          <w:sz w:val="32"/>
          <w:szCs w:val="32"/>
          <w:highlight w:val="none"/>
          <w:lang w:eastAsia="zh-CN"/>
        </w:rPr>
        <w:t>0.00</w:t>
      </w:r>
      <w:r>
        <w:rPr>
          <w:rFonts w:hint="eastAsia" w:ascii="仿宋_GB2312" w:eastAsia="仿宋_GB2312"/>
          <w:color w:val="auto"/>
          <w:spacing w:val="0"/>
          <w:sz w:val="32"/>
          <w:szCs w:val="32"/>
          <w:highlight w:val="none"/>
          <w:lang w:eastAsia="zh-CN"/>
        </w:rPr>
        <w:t>万元。</w:t>
      </w:r>
    </w:p>
    <w:p>
      <w:pPr>
        <w:ind w:firstLine="640" w:firstLineChars="200"/>
        <w:rPr>
          <w:rFonts w:ascii="仿宋_GB2312" w:hAnsi="仿宋" w:eastAsia="仿宋_GB2312" w:cs="仿宋"/>
          <w:sz w:val="32"/>
          <w:szCs w:val="32"/>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default" w:ascii="Times New Roman" w:hAnsi="Times New Roman" w:eastAsia="仿宋_GB2312" w:cs="Times New Roman"/>
          <w:color w:val="auto"/>
          <w:spacing w:val="0"/>
          <w:sz w:val="32"/>
          <w:szCs w:val="32"/>
          <w:highlight w:val="none"/>
          <w:lang w:val="zh-CN" w:eastAsia="zh-CN"/>
        </w:rPr>
        <w:t>568.25</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default" w:ascii="Times New Roman" w:hAnsi="Times New Roman" w:eastAsia="仿宋_GB2312" w:cs="Times New Roman"/>
          <w:color w:val="auto"/>
          <w:spacing w:val="0"/>
          <w:sz w:val="32"/>
          <w:szCs w:val="32"/>
          <w:highlight w:val="none"/>
          <w:lang w:val="zh-CN" w:eastAsia="zh-CN"/>
        </w:rPr>
        <w:t>37.63%</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仿宋"/>
          <w:sz w:val="32"/>
          <w:szCs w:val="32"/>
        </w:rPr>
        <w:t>使用非财政拨款结余</w:t>
      </w:r>
      <w:r>
        <w:rPr>
          <w:rFonts w:hint="default" w:ascii="Times New Roman" w:hAnsi="Times New Roman" w:eastAsia="仿宋_GB2312" w:cs="Times New Roman"/>
          <w:sz w:val="32"/>
          <w:szCs w:val="32"/>
        </w:rPr>
        <w:t>517.47</w:t>
      </w:r>
      <w:r>
        <w:rPr>
          <w:rFonts w:hint="eastAsia" w:ascii="仿宋_GB2312" w:hAnsi="仿宋" w:eastAsia="仿宋_GB2312" w:cs="仿宋"/>
          <w:sz w:val="32"/>
          <w:szCs w:val="32"/>
        </w:rPr>
        <w:t>万元过费用科目核算，导致支出增加。</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default" w:ascii="Times New Roman" w:hAnsi="Times New Roman" w:eastAsia="仿宋_GB2312" w:cs="Times New Roman"/>
          <w:color w:val="auto"/>
          <w:sz w:val="32"/>
          <w:szCs w:val="32"/>
          <w:highlight w:val="none"/>
          <w:lang w:eastAsia="zh-CN"/>
        </w:rPr>
        <w:t>1,560.70</w:t>
      </w:r>
      <w:r>
        <w:rPr>
          <w:rFonts w:hint="eastAsia" w:ascii="仿宋_GB2312" w:eastAsia="仿宋_GB2312"/>
          <w:color w:val="auto"/>
          <w:sz w:val="32"/>
          <w:szCs w:val="32"/>
          <w:highlight w:val="none"/>
        </w:rPr>
        <w:t>万元，其中：财政拨款收入</w:t>
      </w:r>
      <w:r>
        <w:rPr>
          <w:rFonts w:hint="default" w:ascii="Times New Roman" w:hAnsi="Times New Roman" w:eastAsia="仿宋_GB2312" w:cs="Times New Roman"/>
          <w:color w:val="auto"/>
          <w:sz w:val="32"/>
          <w:szCs w:val="32"/>
          <w:highlight w:val="none"/>
          <w:lang w:val="zh-CN"/>
        </w:rPr>
        <w:t>956.59</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61.29</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0.00</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571.60</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36.62</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32.51</w:t>
      </w:r>
      <w:r>
        <w:rPr>
          <w:rFonts w:hint="eastAsia" w:ascii="仿宋_GB2312" w:eastAsia="仿宋_GB2312"/>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2.08</w:t>
      </w:r>
      <w:r>
        <w:rPr>
          <w:rFonts w:hint="default" w:ascii="Times New Roman" w:hAnsi="Times New Roman" w:eastAsia="仿宋_GB2312" w:cs="Times New Roman"/>
          <w:color w:val="auto"/>
          <w:sz w:val="32"/>
          <w:szCs w:val="32"/>
          <w:highlight w:val="none"/>
          <w:lang w:eastAsia="zh-CN"/>
        </w:rPr>
        <w:t>%</w:t>
      </w:r>
      <w:r>
        <w:rPr>
          <w:rFonts w:hint="eastAsia" w:ascii="仿宋_GB2312" w:eastAsia="仿宋_GB2312"/>
          <w:color w:val="auto"/>
          <w:sz w:val="32"/>
          <w:szCs w:val="32"/>
          <w:highlight w:val="none"/>
        </w:rPr>
        <w:t>。</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widowControl w:val="0"/>
        <w:wordWrap/>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仿宋_GB2312" w:eastAsia="仿宋_GB2312"/>
          <w:color w:val="auto"/>
          <w:sz w:val="32"/>
          <w:szCs w:val="32"/>
          <w:highlight w:val="none"/>
          <w:lang w:val="zh-CN" w:eastAsia="zh-CN"/>
        </w:rPr>
        <w:t>本年支出</w:t>
      </w:r>
      <w:r>
        <w:rPr>
          <w:rFonts w:hint="default" w:ascii="Times New Roman" w:hAnsi="Times New Roman" w:eastAsia="仿宋_GB2312" w:cs="Times New Roman"/>
          <w:color w:val="auto"/>
          <w:sz w:val="32"/>
          <w:szCs w:val="32"/>
          <w:highlight w:val="none"/>
          <w:lang w:val="zh-CN" w:eastAsia="zh-CN"/>
        </w:rPr>
        <w:t>1,554.81</w:t>
      </w:r>
      <w:r>
        <w:rPr>
          <w:rFonts w:hint="eastAsia" w:ascii="仿宋_GB2312" w:eastAsia="仿宋_GB2312"/>
          <w:color w:val="auto"/>
          <w:sz w:val="32"/>
          <w:szCs w:val="32"/>
          <w:highlight w:val="none"/>
          <w:lang w:val="zh-CN" w:eastAsia="zh-CN"/>
        </w:rPr>
        <w:t>万元，其中：基本支出</w:t>
      </w:r>
      <w:r>
        <w:rPr>
          <w:rFonts w:hint="default" w:ascii="Times New Roman" w:hAnsi="Times New Roman" w:eastAsia="仿宋_GB2312" w:cs="Times New Roman"/>
          <w:color w:val="auto"/>
          <w:sz w:val="32"/>
          <w:szCs w:val="32"/>
          <w:highlight w:val="none"/>
          <w:lang w:val="zh-CN" w:eastAsia="zh-CN"/>
        </w:rPr>
        <w:t>1,506.57</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96.90%</w:t>
      </w:r>
      <w:r>
        <w:rPr>
          <w:rFonts w:hint="eastAsia" w:ascii="仿宋_GB2312" w:eastAsia="仿宋_GB2312"/>
          <w:color w:val="auto"/>
          <w:sz w:val="32"/>
          <w:szCs w:val="32"/>
          <w:highlight w:val="none"/>
          <w:lang w:val="zh-CN" w:eastAsia="zh-CN"/>
        </w:rPr>
        <w:t>；项目支出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；上缴上级支出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；经营支出</w:t>
      </w:r>
      <w:r>
        <w:rPr>
          <w:rFonts w:hint="default" w:ascii="Times New Roman" w:hAnsi="Times New Roman" w:eastAsia="仿宋_GB2312" w:cs="Times New Roman"/>
          <w:color w:val="auto"/>
          <w:sz w:val="32"/>
          <w:szCs w:val="32"/>
          <w:highlight w:val="none"/>
          <w:lang w:val="zh-CN" w:eastAsia="zh-CN"/>
        </w:rPr>
        <w:t>48.24</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3.10%</w:t>
      </w:r>
      <w:r>
        <w:rPr>
          <w:rFonts w:hint="eastAsia" w:ascii="仿宋_GB2312" w:eastAsia="仿宋_GB2312"/>
          <w:color w:val="auto"/>
          <w:sz w:val="32"/>
          <w:szCs w:val="32"/>
          <w:highlight w:val="none"/>
          <w:lang w:val="zh-CN" w:eastAsia="zh-CN"/>
        </w:rPr>
        <w:t>；对附属单位补助支出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widowControl w:val="0"/>
        <w:wordWrap/>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w:t>
      </w:r>
      <w:r>
        <w:rPr>
          <w:rFonts w:hint="eastAsia" w:ascii="仿宋_GB2312" w:eastAsia="仿宋_GB2312"/>
          <w:color w:val="auto"/>
          <w:spacing w:val="0"/>
          <w:sz w:val="32"/>
          <w:szCs w:val="32"/>
          <w:highlight w:val="none"/>
          <w:lang w:eastAsia="zh-CN"/>
        </w:rPr>
        <w:t>年度财政拨款收入</w:t>
      </w:r>
      <w:r>
        <w:rPr>
          <w:rFonts w:hint="eastAsia" w:ascii="仿宋_GB2312" w:eastAsia="仿宋_GB2312"/>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956.59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956.59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956.59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956.59</w:t>
      </w:r>
      <w:r>
        <w:rPr>
          <w:rFonts w:hint="eastAsia" w:ascii="仿宋_GB2312" w:eastAsia="仿宋_GB2312"/>
          <w:color w:val="auto"/>
          <w:spacing w:val="0"/>
          <w:sz w:val="32"/>
          <w:szCs w:val="32"/>
          <w:highlight w:val="none"/>
          <w:lang w:eastAsia="zh-CN"/>
        </w:rPr>
        <w:t>万元。</w:t>
      </w:r>
    </w:p>
    <w:p>
      <w:pPr>
        <w:widowControl/>
        <w:ind w:firstLine="640" w:firstLineChars="200"/>
        <w:jc w:val="left"/>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w:t>
      </w:r>
      <w:r>
        <w:rPr>
          <w:rFonts w:hint="eastAsia" w:ascii="仿宋_GB2312" w:eastAsia="仿宋_GB2312"/>
          <w:color w:val="auto"/>
          <w:spacing w:val="0"/>
          <w:sz w:val="32"/>
          <w:szCs w:val="32"/>
          <w:highlight w:val="none"/>
          <w:lang w:val="zh-CN" w:eastAsia="zh-CN"/>
        </w:rPr>
        <w:t>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w:t>
      </w:r>
      <w:r>
        <w:rPr>
          <w:rFonts w:hint="default" w:ascii="Times New Roman" w:hAnsi="Times New Roman" w:eastAsia="仿宋_GB2312" w:cs="Times New Roman"/>
          <w:color w:val="auto"/>
          <w:spacing w:val="0"/>
          <w:sz w:val="32"/>
          <w:szCs w:val="32"/>
          <w:highlight w:val="none"/>
          <w:lang w:val="zh-CN" w:eastAsia="zh-CN"/>
        </w:rPr>
        <w:t>19.6</w:t>
      </w:r>
      <w:r>
        <w:rPr>
          <w:rFonts w:hint="eastAsia" w:eastAsia="仿宋_GB2312" w:cs="Times New Roman"/>
          <w:color w:val="auto"/>
          <w:spacing w:val="0"/>
          <w:sz w:val="32"/>
          <w:szCs w:val="32"/>
          <w:highlight w:val="none"/>
          <w:lang w:val="en-US" w:eastAsia="zh-CN"/>
        </w:rPr>
        <w:t>7</w:t>
      </w:r>
      <w:r>
        <w:rPr>
          <w:rFonts w:hint="eastAsia" w:ascii="仿宋_GB2312" w:eastAsia="仿宋_GB2312"/>
          <w:color w:val="auto"/>
          <w:spacing w:val="0"/>
          <w:sz w:val="32"/>
          <w:szCs w:val="32"/>
          <w:highlight w:val="none"/>
          <w:lang w:val="zh-CN" w:eastAsia="zh-CN"/>
        </w:rPr>
        <w:t>万元，增长</w:t>
      </w:r>
      <w:r>
        <w:rPr>
          <w:rFonts w:hint="default" w:ascii="Times New Roman" w:hAnsi="Times New Roman" w:eastAsia="仿宋_GB2312" w:cs="Times New Roman"/>
          <w:color w:val="auto"/>
          <w:spacing w:val="0"/>
          <w:sz w:val="32"/>
          <w:szCs w:val="32"/>
          <w:highlight w:val="none"/>
          <w:lang w:val="zh-CN" w:eastAsia="zh-CN"/>
        </w:rPr>
        <w:t>2.10%</w:t>
      </w:r>
      <w:r>
        <w:rPr>
          <w:rFonts w:hint="eastAsia" w:ascii="仿宋_GB2312" w:eastAsia="仿宋_GB2312"/>
          <w:color w:val="auto"/>
          <w:spacing w:val="0"/>
          <w:sz w:val="32"/>
          <w:szCs w:val="32"/>
          <w:highlight w:val="none"/>
          <w:lang w:val="zh-CN" w:eastAsia="zh-CN"/>
        </w:rPr>
        <w:t>，主要原因是：</w:t>
      </w:r>
      <w:r>
        <w:rPr>
          <w:rFonts w:hint="eastAsia" w:ascii="仿宋_GB2312" w:eastAsia="仿宋_GB2312"/>
          <w:color w:val="auto"/>
          <w:spacing w:val="0"/>
          <w:sz w:val="32"/>
          <w:szCs w:val="32"/>
          <w:highlight w:val="none"/>
          <w:lang w:val="en-US" w:eastAsia="zh-CN"/>
        </w:rPr>
        <w:t>在职、离退休人员工资标准及津贴补贴标准上调；提高</w:t>
      </w:r>
      <w:r>
        <w:rPr>
          <w:rFonts w:hint="default" w:ascii="Times New Roman" w:hAnsi="Times New Roman" w:eastAsia="仿宋_GB2312" w:cs="Times New Roman"/>
          <w:color w:val="auto"/>
          <w:spacing w:val="0"/>
          <w:sz w:val="32"/>
          <w:szCs w:val="32"/>
          <w:highlight w:val="none"/>
          <w:lang w:val="en-US" w:eastAsia="zh-CN"/>
        </w:rPr>
        <w:t>2022</w:t>
      </w:r>
      <w:r>
        <w:rPr>
          <w:rFonts w:hint="eastAsia" w:ascii="仿宋_GB2312" w:eastAsia="仿宋_GB2312"/>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2023</w:t>
      </w:r>
      <w:r>
        <w:rPr>
          <w:rFonts w:hint="eastAsia" w:ascii="仿宋_GB2312" w:eastAsia="仿宋_GB2312"/>
          <w:color w:val="auto"/>
          <w:spacing w:val="0"/>
          <w:sz w:val="32"/>
          <w:szCs w:val="32"/>
          <w:highlight w:val="none"/>
          <w:lang w:val="en-US" w:eastAsia="zh-CN"/>
        </w:rPr>
        <w:t>年在职、退休、离休基础绩效奖；调增</w:t>
      </w:r>
      <w:r>
        <w:rPr>
          <w:rFonts w:hint="default" w:ascii="Times New Roman" w:hAnsi="Times New Roman" w:eastAsia="仿宋_GB2312" w:cs="Times New Roman"/>
          <w:color w:val="auto"/>
          <w:spacing w:val="0"/>
          <w:sz w:val="32"/>
          <w:szCs w:val="32"/>
          <w:highlight w:val="none"/>
          <w:lang w:val="en-US" w:eastAsia="zh-CN"/>
        </w:rPr>
        <w:t>2022</w:t>
      </w:r>
      <w:r>
        <w:rPr>
          <w:rFonts w:hint="eastAsia" w:ascii="仿宋_GB2312" w:eastAsia="仿宋_GB2312"/>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2023</w:t>
      </w:r>
      <w:r>
        <w:rPr>
          <w:rFonts w:hint="eastAsia" w:ascii="仿宋_GB2312" w:eastAsia="仿宋_GB2312"/>
          <w:color w:val="auto"/>
          <w:spacing w:val="0"/>
          <w:sz w:val="32"/>
          <w:szCs w:val="32"/>
          <w:highlight w:val="none"/>
          <w:lang w:val="en-US" w:eastAsia="zh-CN"/>
        </w:rPr>
        <w:t>年艰边贴</w:t>
      </w:r>
      <w:r>
        <w:rPr>
          <w:rFonts w:hint="eastAsia" w:ascii="仿宋_GB2312" w:eastAsia="仿宋_GB2312"/>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900.79</w:t>
      </w:r>
      <w:r>
        <w:rPr>
          <w:rFonts w:hint="eastAsia" w:ascii="仿宋_GB2312" w:eastAsia="仿宋_GB2312"/>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956.59</w:t>
      </w:r>
      <w:r>
        <w:rPr>
          <w:rFonts w:hint="eastAsia" w:ascii="仿宋_GB2312" w:eastAsia="仿宋_GB2312"/>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eastAsia="zh-CN"/>
        </w:rPr>
        <w:t>6.19%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：提高</w:t>
      </w:r>
      <w:r>
        <w:rPr>
          <w:rFonts w:hint="default" w:ascii="Times New Roman" w:hAnsi="Times New Roman" w:eastAsia="仿宋_GB2312" w:cs="Times New Roman"/>
          <w:color w:val="auto"/>
          <w:spacing w:val="0"/>
          <w:sz w:val="32"/>
          <w:szCs w:val="32"/>
          <w:highlight w:val="none"/>
          <w:lang w:val="en-US" w:eastAsia="zh-CN"/>
        </w:rPr>
        <w:t>2022</w:t>
      </w:r>
      <w:r>
        <w:rPr>
          <w:rFonts w:hint="eastAsia" w:ascii="仿宋_GB2312" w:eastAsia="仿宋_GB2312"/>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2023</w:t>
      </w:r>
      <w:r>
        <w:rPr>
          <w:rFonts w:hint="eastAsia" w:ascii="仿宋_GB2312" w:eastAsia="仿宋_GB2312"/>
          <w:color w:val="auto"/>
          <w:spacing w:val="0"/>
          <w:sz w:val="32"/>
          <w:szCs w:val="32"/>
          <w:highlight w:val="none"/>
          <w:lang w:val="en-US" w:eastAsia="zh-CN"/>
        </w:rPr>
        <w:t>年在职、退休、离休基础绩效奖；调增</w:t>
      </w:r>
      <w:r>
        <w:rPr>
          <w:rFonts w:hint="default" w:ascii="Times New Roman" w:hAnsi="Times New Roman" w:eastAsia="仿宋_GB2312" w:cs="Times New Roman"/>
          <w:color w:val="auto"/>
          <w:spacing w:val="0"/>
          <w:sz w:val="32"/>
          <w:szCs w:val="32"/>
          <w:highlight w:val="none"/>
          <w:lang w:val="en-US" w:eastAsia="zh-CN"/>
        </w:rPr>
        <w:t>2022</w:t>
      </w:r>
      <w:r>
        <w:rPr>
          <w:rFonts w:hint="eastAsia" w:ascii="仿宋_GB2312" w:eastAsia="仿宋_GB2312"/>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2023</w:t>
      </w:r>
      <w:r>
        <w:rPr>
          <w:rFonts w:hint="eastAsia" w:ascii="仿宋_GB2312" w:eastAsia="仿宋_GB2312"/>
          <w:color w:val="auto"/>
          <w:spacing w:val="0"/>
          <w:sz w:val="32"/>
          <w:szCs w:val="32"/>
          <w:highlight w:val="none"/>
          <w:lang w:val="en-US" w:eastAsia="zh-CN"/>
        </w:rPr>
        <w:t>年艰边贴；追加</w:t>
      </w:r>
      <w:r>
        <w:rPr>
          <w:rFonts w:hint="default" w:ascii="Times New Roman" w:hAnsi="Times New Roman" w:eastAsia="仿宋_GB2312" w:cs="Times New Roman"/>
          <w:color w:val="auto"/>
          <w:spacing w:val="0"/>
          <w:sz w:val="32"/>
          <w:szCs w:val="32"/>
          <w:highlight w:val="none"/>
          <w:lang w:val="en-US" w:eastAsia="zh-CN"/>
        </w:rPr>
        <w:t>2023</w:t>
      </w:r>
      <w:r>
        <w:rPr>
          <w:rFonts w:hint="eastAsia" w:ascii="仿宋_GB2312" w:eastAsia="仿宋_GB2312"/>
          <w:color w:val="auto"/>
          <w:spacing w:val="0"/>
          <w:sz w:val="32"/>
          <w:szCs w:val="32"/>
          <w:highlight w:val="none"/>
          <w:lang w:val="en-US" w:eastAsia="zh-CN"/>
        </w:rPr>
        <w:t>年第</w:t>
      </w:r>
      <w:r>
        <w:rPr>
          <w:rFonts w:hint="default" w:ascii="Times New Roman" w:hAnsi="Times New Roman" w:eastAsia="仿宋_GB2312" w:cs="Times New Roman"/>
          <w:color w:val="auto"/>
          <w:spacing w:val="0"/>
          <w:sz w:val="32"/>
          <w:szCs w:val="32"/>
          <w:highlight w:val="none"/>
          <w:lang w:val="en-US" w:eastAsia="zh-CN"/>
        </w:rPr>
        <w:t>1</w:t>
      </w:r>
      <w:r>
        <w:rPr>
          <w:rFonts w:hint="eastAsia" w:ascii="仿宋_GB2312" w:eastAsia="仿宋_GB2312"/>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2</w:t>
      </w:r>
      <w:r>
        <w:rPr>
          <w:rFonts w:hint="eastAsia" w:ascii="仿宋_GB2312" w:eastAsia="仿宋_GB2312"/>
          <w:color w:val="auto"/>
          <w:spacing w:val="0"/>
          <w:sz w:val="32"/>
          <w:szCs w:val="32"/>
          <w:highlight w:val="none"/>
          <w:lang w:val="en-US" w:eastAsia="zh-CN"/>
        </w:rPr>
        <w:t>季度丧葬费、抚恤金。</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widowControl w:val="0"/>
        <w:wordWrap/>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widowControl w:val="0"/>
        <w:wordWrap/>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w:t>
      </w:r>
      <w:r>
        <w:rPr>
          <w:rFonts w:hint="eastAsia" w:ascii="仿宋_GB2312" w:eastAsia="仿宋_GB2312"/>
          <w:color w:val="auto"/>
          <w:spacing w:val="0"/>
          <w:sz w:val="32"/>
          <w:szCs w:val="32"/>
          <w:highlight w:val="none"/>
          <w:lang w:eastAsia="zh-CN"/>
        </w:rPr>
        <w:t>年度一般公共预算财政拨款支出</w:t>
      </w:r>
      <w:r>
        <w:rPr>
          <w:rFonts w:hint="default" w:ascii="Times New Roman" w:hAnsi="Times New Roman" w:eastAsia="仿宋_GB2312" w:cs="Times New Roman"/>
          <w:color w:val="auto"/>
          <w:spacing w:val="0"/>
          <w:sz w:val="32"/>
          <w:szCs w:val="32"/>
          <w:highlight w:val="none"/>
          <w:lang w:eastAsia="zh-CN"/>
        </w:rPr>
        <w:t>956.59</w:t>
      </w:r>
      <w:r>
        <w:rPr>
          <w:rFonts w:hint="eastAsia" w:ascii="仿宋_GB2312" w:eastAsia="仿宋_GB2312"/>
          <w:color w:val="auto"/>
          <w:spacing w:val="0"/>
          <w:sz w:val="32"/>
          <w:szCs w:val="32"/>
          <w:highlight w:val="none"/>
          <w:lang w:eastAsia="zh-CN"/>
        </w:rPr>
        <w:t>万元，占本年支出合计的</w:t>
      </w:r>
      <w:r>
        <w:rPr>
          <w:rFonts w:hint="default" w:ascii="Times New Roman" w:hAnsi="Times New Roman" w:eastAsia="仿宋_GB2312" w:cs="Times New Roman"/>
          <w:color w:val="auto"/>
          <w:spacing w:val="0"/>
          <w:sz w:val="32"/>
          <w:szCs w:val="32"/>
          <w:highlight w:val="none"/>
          <w:lang w:val="zh-CN" w:eastAsia="zh-CN"/>
        </w:rPr>
        <w:t>61.52%</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w:t>
      </w:r>
      <w:r>
        <w:rPr>
          <w:rFonts w:hint="default" w:ascii="Times New Roman" w:hAnsi="Times New Roman" w:eastAsia="仿宋_GB2312" w:cs="Times New Roman"/>
          <w:color w:val="auto"/>
          <w:spacing w:val="0"/>
          <w:sz w:val="32"/>
          <w:szCs w:val="32"/>
          <w:highlight w:val="none"/>
          <w:lang w:val="zh-CN" w:eastAsia="zh-CN"/>
        </w:rPr>
        <w:t>19.6</w:t>
      </w:r>
      <w:r>
        <w:rPr>
          <w:rFonts w:hint="eastAsia" w:eastAsia="仿宋_GB2312" w:cs="Times New Roman"/>
          <w:color w:val="auto"/>
          <w:spacing w:val="0"/>
          <w:sz w:val="32"/>
          <w:szCs w:val="32"/>
          <w:highlight w:val="none"/>
          <w:lang w:val="en-US" w:eastAsia="zh-CN"/>
        </w:rPr>
        <w:t>7</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default" w:ascii="Times New Roman" w:hAnsi="Times New Roman" w:eastAsia="仿宋_GB2312" w:cs="Times New Roman"/>
          <w:color w:val="auto"/>
          <w:spacing w:val="0"/>
          <w:sz w:val="32"/>
          <w:szCs w:val="32"/>
          <w:highlight w:val="none"/>
          <w:lang w:val="zh-CN" w:eastAsia="zh-CN"/>
        </w:rPr>
        <w:t>2.10%</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在职、离退休人员工资标准及津贴补贴标准上调；提高</w:t>
      </w:r>
      <w:r>
        <w:rPr>
          <w:rFonts w:hint="default" w:ascii="Times New Roman" w:hAnsi="Times New Roman" w:eastAsia="仿宋_GB2312" w:cs="Times New Roman"/>
          <w:color w:val="auto"/>
          <w:spacing w:val="0"/>
          <w:sz w:val="32"/>
          <w:szCs w:val="32"/>
          <w:highlight w:val="none"/>
          <w:lang w:val="en-US" w:eastAsia="zh-CN"/>
        </w:rPr>
        <w:t>2022</w:t>
      </w:r>
      <w:r>
        <w:rPr>
          <w:rFonts w:hint="eastAsia" w:ascii="仿宋_GB2312" w:eastAsia="仿宋_GB2312"/>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2023</w:t>
      </w:r>
      <w:r>
        <w:rPr>
          <w:rFonts w:hint="eastAsia" w:ascii="仿宋_GB2312" w:eastAsia="仿宋_GB2312"/>
          <w:color w:val="auto"/>
          <w:spacing w:val="0"/>
          <w:sz w:val="32"/>
          <w:szCs w:val="32"/>
          <w:highlight w:val="none"/>
          <w:lang w:val="en-US" w:eastAsia="zh-CN"/>
        </w:rPr>
        <w:t>年在职、退休、离休基础绩效奖；调增</w:t>
      </w:r>
      <w:r>
        <w:rPr>
          <w:rFonts w:hint="default" w:ascii="Times New Roman" w:hAnsi="Times New Roman" w:eastAsia="仿宋_GB2312" w:cs="Times New Roman"/>
          <w:color w:val="auto"/>
          <w:spacing w:val="0"/>
          <w:sz w:val="32"/>
          <w:szCs w:val="32"/>
          <w:highlight w:val="none"/>
          <w:lang w:val="en-US" w:eastAsia="zh-CN"/>
        </w:rPr>
        <w:t>2022</w:t>
      </w:r>
      <w:r>
        <w:rPr>
          <w:rFonts w:hint="eastAsia" w:ascii="仿宋_GB2312" w:eastAsia="仿宋_GB2312"/>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2023</w:t>
      </w:r>
      <w:r>
        <w:rPr>
          <w:rFonts w:hint="eastAsia" w:ascii="仿宋_GB2312" w:eastAsia="仿宋_GB2312"/>
          <w:color w:val="auto"/>
          <w:spacing w:val="0"/>
          <w:sz w:val="32"/>
          <w:szCs w:val="32"/>
          <w:highlight w:val="none"/>
          <w:lang w:val="en-US" w:eastAsia="zh-CN"/>
        </w:rPr>
        <w:t>年艰边贴</w:t>
      </w:r>
      <w:r>
        <w:rPr>
          <w:rFonts w:hint="eastAsia" w:ascii="仿宋_GB2312" w:eastAsia="仿宋_GB2312"/>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900.79</w:t>
      </w:r>
      <w:r>
        <w:rPr>
          <w:rFonts w:hint="eastAsia" w:ascii="仿宋_GB2312" w:eastAsia="仿宋_GB2312"/>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956.59</w:t>
      </w:r>
      <w:r>
        <w:rPr>
          <w:rFonts w:hint="eastAsia" w:ascii="仿宋_GB2312" w:eastAsia="仿宋_GB2312"/>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6.19%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提高</w:t>
      </w:r>
      <w:r>
        <w:rPr>
          <w:rFonts w:hint="default" w:ascii="Times New Roman" w:hAnsi="Times New Roman" w:eastAsia="仿宋_GB2312" w:cs="Times New Roman"/>
          <w:color w:val="auto"/>
          <w:spacing w:val="0"/>
          <w:sz w:val="32"/>
          <w:szCs w:val="32"/>
          <w:highlight w:val="none"/>
          <w:lang w:val="en-US" w:eastAsia="zh-CN"/>
        </w:rPr>
        <w:t>2022</w:t>
      </w:r>
      <w:r>
        <w:rPr>
          <w:rFonts w:hint="eastAsia" w:ascii="仿宋_GB2312" w:eastAsia="仿宋_GB2312"/>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2023</w:t>
      </w:r>
      <w:r>
        <w:rPr>
          <w:rFonts w:hint="eastAsia" w:ascii="仿宋_GB2312" w:eastAsia="仿宋_GB2312"/>
          <w:color w:val="auto"/>
          <w:spacing w:val="0"/>
          <w:sz w:val="32"/>
          <w:szCs w:val="32"/>
          <w:highlight w:val="none"/>
          <w:lang w:val="en-US" w:eastAsia="zh-CN"/>
        </w:rPr>
        <w:t>年在职、退休、离休基础绩效奖；调增</w:t>
      </w:r>
      <w:r>
        <w:rPr>
          <w:rFonts w:hint="default" w:ascii="Times New Roman" w:hAnsi="Times New Roman" w:eastAsia="仿宋_GB2312" w:cs="Times New Roman"/>
          <w:color w:val="auto"/>
          <w:spacing w:val="0"/>
          <w:sz w:val="32"/>
          <w:szCs w:val="32"/>
          <w:highlight w:val="none"/>
          <w:lang w:val="en-US" w:eastAsia="zh-CN"/>
        </w:rPr>
        <w:t>2022</w:t>
      </w:r>
      <w:r>
        <w:rPr>
          <w:rFonts w:hint="eastAsia" w:ascii="仿宋_GB2312" w:eastAsia="仿宋_GB2312"/>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2023</w:t>
      </w:r>
      <w:r>
        <w:rPr>
          <w:rFonts w:hint="eastAsia" w:ascii="仿宋_GB2312" w:eastAsia="仿宋_GB2312"/>
          <w:color w:val="auto"/>
          <w:spacing w:val="0"/>
          <w:sz w:val="32"/>
          <w:szCs w:val="32"/>
          <w:highlight w:val="none"/>
          <w:lang w:val="en-US" w:eastAsia="zh-CN"/>
        </w:rPr>
        <w:t>年艰边贴；追加</w:t>
      </w:r>
      <w:r>
        <w:rPr>
          <w:rFonts w:hint="default" w:ascii="Times New Roman" w:hAnsi="Times New Roman" w:eastAsia="仿宋_GB2312" w:cs="Times New Roman"/>
          <w:color w:val="auto"/>
          <w:spacing w:val="0"/>
          <w:sz w:val="32"/>
          <w:szCs w:val="32"/>
          <w:highlight w:val="none"/>
          <w:lang w:val="en-US" w:eastAsia="zh-CN"/>
        </w:rPr>
        <w:t>2023</w:t>
      </w:r>
      <w:r>
        <w:rPr>
          <w:rFonts w:hint="eastAsia" w:ascii="仿宋_GB2312" w:eastAsia="仿宋_GB2312"/>
          <w:color w:val="auto"/>
          <w:spacing w:val="0"/>
          <w:sz w:val="32"/>
          <w:szCs w:val="32"/>
          <w:highlight w:val="none"/>
          <w:lang w:val="en-US" w:eastAsia="zh-CN"/>
        </w:rPr>
        <w:t>年第</w:t>
      </w:r>
      <w:r>
        <w:rPr>
          <w:rFonts w:hint="default" w:ascii="Times New Roman" w:hAnsi="Times New Roman" w:eastAsia="仿宋_GB2312" w:cs="Times New Roman"/>
          <w:color w:val="auto"/>
          <w:spacing w:val="0"/>
          <w:sz w:val="32"/>
          <w:szCs w:val="32"/>
          <w:highlight w:val="none"/>
          <w:lang w:val="en-US" w:eastAsia="zh-CN"/>
        </w:rPr>
        <w:t>1</w:t>
      </w:r>
      <w:r>
        <w:rPr>
          <w:rFonts w:hint="eastAsia" w:ascii="仿宋_GB2312" w:eastAsia="仿宋_GB2312"/>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val="en-US" w:eastAsia="zh-CN"/>
        </w:rPr>
        <w:t>2</w:t>
      </w:r>
      <w:r>
        <w:rPr>
          <w:rFonts w:hint="eastAsia" w:ascii="仿宋_GB2312" w:eastAsia="仿宋_GB2312"/>
          <w:color w:val="auto"/>
          <w:spacing w:val="0"/>
          <w:sz w:val="32"/>
          <w:szCs w:val="32"/>
          <w:highlight w:val="none"/>
          <w:lang w:val="en-US" w:eastAsia="zh-CN"/>
        </w:rPr>
        <w:t>季度丧葬费、抚恤金</w:t>
      </w:r>
      <w:r>
        <w:rPr>
          <w:rFonts w:hint="eastAsia" w:ascii="仿宋_GB2312" w:eastAsia="仿宋_GB2312"/>
          <w:color w:val="auto"/>
          <w:spacing w:val="0"/>
          <w:sz w:val="32"/>
          <w:szCs w:val="32"/>
          <w:highlight w:val="none"/>
          <w:lang w:eastAsia="zh-CN"/>
        </w:rPr>
        <w:t>。</w:t>
      </w:r>
    </w:p>
    <w:p>
      <w:pPr>
        <w:widowControl w:val="0"/>
        <w:numPr>
          <w:ilvl w:val="0"/>
          <w:numId w:val="1"/>
        </w:numPr>
        <w:wordWrap/>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2"/>
        <w:widowControl/>
        <w:numPr>
          <w:ilvl w:val="0"/>
          <w:numId w:val="0"/>
        </w:numPr>
        <w:pBdr>
          <w:top w:val="none" w:color="auto" w:sz="0" w:space="0"/>
          <w:left w:val="none" w:color="auto" w:sz="0" w:space="0"/>
          <w:bottom w:val="none" w:color="auto" w:sz="0" w:space="0"/>
          <w:right w:val="none" w:color="auto" w:sz="0" w:space="0"/>
        </w:pBdr>
        <w:wordWrap/>
        <w:adjustRightInd/>
        <w:snapToGrid/>
        <w:spacing w:before="0" w:beforeAutospacing="0" w:after="0" w:afterAutospacing="0"/>
        <w:ind w:right="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default" w:ascii="Times New Roman" w:hAnsi="Times New Roman" w:eastAsia="仿宋_GB2312" w:cs="Times New Roman"/>
          <w:color w:val="auto"/>
          <w:spacing w:val="0"/>
          <w:kern w:val="2"/>
          <w:sz w:val="32"/>
          <w:szCs w:val="32"/>
          <w:highlight w:val="none"/>
          <w:lang w:val="zh-CN" w:eastAsia="zh-CN" w:bidi="ar-SA"/>
        </w:rPr>
        <w:t>339.23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35.46%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2"/>
        <w:widowControl/>
        <w:numPr>
          <w:ilvl w:val="0"/>
          <w:numId w:val="0"/>
        </w:numPr>
        <w:pBdr>
          <w:top w:val="none" w:color="auto" w:sz="0" w:space="0"/>
          <w:left w:val="none" w:color="auto" w:sz="0" w:space="0"/>
          <w:bottom w:val="none" w:color="auto" w:sz="0" w:space="0"/>
          <w:right w:val="none" w:color="auto" w:sz="0" w:space="0"/>
        </w:pBdr>
        <w:wordWrap/>
        <w:adjustRightInd/>
        <w:snapToGrid/>
        <w:spacing w:before="0" w:beforeAutospacing="0" w:after="0" w:afterAutospacing="0"/>
        <w:ind w:left="0" w:leftChars="0" w:right="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default" w:ascii="Times New Roman" w:hAnsi="Times New Roman" w:eastAsia="仿宋_GB2312" w:cs="Times New Roman"/>
          <w:color w:val="auto"/>
          <w:spacing w:val="0"/>
          <w:kern w:val="2"/>
          <w:sz w:val="32"/>
          <w:szCs w:val="32"/>
          <w:highlight w:val="none"/>
          <w:lang w:val="zh-CN" w:eastAsia="zh-CN" w:bidi="ar-SA"/>
        </w:rPr>
        <w:t>60.53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6.33%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2"/>
        <w:widowControl/>
        <w:numPr>
          <w:ilvl w:val="0"/>
          <w:numId w:val="0"/>
        </w:numPr>
        <w:pBdr>
          <w:top w:val="none" w:color="auto" w:sz="0" w:space="0"/>
          <w:left w:val="none" w:color="auto" w:sz="0" w:space="0"/>
          <w:bottom w:val="none" w:color="auto" w:sz="0" w:space="0"/>
          <w:right w:val="none" w:color="auto" w:sz="0" w:space="0"/>
        </w:pBdr>
        <w:wordWrap/>
        <w:adjustRightInd/>
        <w:snapToGrid/>
        <w:spacing w:before="0" w:beforeAutospacing="0" w:after="0" w:afterAutospacing="0"/>
        <w:ind w:left="0" w:leftChars="0" w:right="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default" w:ascii="Times New Roman" w:hAnsi="Times New Roman" w:eastAsia="仿宋_GB2312" w:cs="Times New Roman"/>
          <w:color w:val="auto"/>
          <w:spacing w:val="0"/>
          <w:kern w:val="2"/>
          <w:sz w:val="32"/>
          <w:szCs w:val="32"/>
          <w:highlight w:val="none"/>
          <w:lang w:val="zh-CN" w:eastAsia="zh-CN" w:bidi="ar-SA"/>
        </w:rPr>
        <w:t>465.79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48.69%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2"/>
        <w:widowControl/>
        <w:numPr>
          <w:ilvl w:val="0"/>
          <w:numId w:val="0"/>
        </w:numPr>
        <w:pBdr>
          <w:top w:val="none" w:color="auto" w:sz="0" w:space="0"/>
          <w:left w:val="none" w:color="auto" w:sz="0" w:space="0"/>
          <w:bottom w:val="none" w:color="auto" w:sz="0" w:space="0"/>
          <w:right w:val="none" w:color="auto" w:sz="0" w:space="0"/>
        </w:pBdr>
        <w:wordWrap/>
        <w:adjustRightInd/>
        <w:snapToGrid/>
        <w:spacing w:before="0" w:beforeAutospacing="0" w:after="0" w:afterAutospacing="0"/>
        <w:ind w:left="0" w:leftChars="0" w:right="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default" w:ascii="Times New Roman" w:hAnsi="Times New Roman" w:eastAsia="仿宋_GB2312" w:cs="Times New Roman"/>
          <w:color w:val="auto"/>
          <w:spacing w:val="0"/>
          <w:kern w:val="2"/>
          <w:sz w:val="32"/>
          <w:szCs w:val="32"/>
          <w:highlight w:val="none"/>
          <w:lang w:val="zh-CN" w:eastAsia="zh-CN" w:bidi="ar-SA"/>
        </w:rPr>
        <w:t>91.04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default" w:ascii="Times New Roman" w:hAnsi="Times New Roman" w:eastAsia="仿宋_GB2312" w:cs="Times New Roman"/>
          <w:color w:val="auto"/>
          <w:spacing w:val="0"/>
          <w:kern w:val="2"/>
          <w:sz w:val="32"/>
          <w:szCs w:val="32"/>
          <w:highlight w:val="none"/>
          <w:lang w:val="zh-CN" w:eastAsia="zh-CN" w:bidi="ar-SA"/>
        </w:rPr>
        <w:t>9.52%</w:t>
      </w:r>
      <w:r>
        <w:rPr>
          <w:rFonts w:hint="default" w:ascii="仿宋_GB2312" w:hAnsi="Times New Roman" w:eastAsia="仿宋_GB2312" w:cs="Times New Roman"/>
          <w:color w:val="auto"/>
          <w:spacing w:val="0"/>
          <w:kern w:val="2"/>
          <w:sz w:val="32"/>
          <w:szCs w:val="32"/>
          <w:highlight w:val="none"/>
          <w:lang w:val="zh-CN" w:eastAsia="zh-CN" w:bidi="ar-SA"/>
        </w:rPr>
        <w:t>；</w:t>
      </w:r>
    </w:p>
    <w:p>
      <w:pPr>
        <w:widowControl w:val="0"/>
        <w:wordWrap/>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widowControl/>
        <w:ind w:firstLine="640" w:firstLineChars="200"/>
        <w:jc w:val="left"/>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ascii="仿宋_GB2312" w:hAnsi="Times New Roman" w:eastAsia="仿宋_GB2312" w:cs="Times New Roman"/>
          <w:color w:val="auto"/>
          <w:spacing w:val="0"/>
          <w:kern w:val="2"/>
          <w:sz w:val="32"/>
          <w:szCs w:val="32"/>
          <w:highlight w:val="none"/>
          <w:lang w:val="en-US" w:eastAsia="zh-CN" w:bidi="ar-SA"/>
        </w:rPr>
        <w:t>卫生健康支出（类）行政事业单位医疗（款）事业单位医疗（项）:支出决算数为</w:t>
      </w:r>
      <w:r>
        <w:rPr>
          <w:rFonts w:hint="default" w:ascii="Times New Roman" w:hAnsi="Times New Roman" w:eastAsia="仿宋_GB2312" w:cs="Times New Roman"/>
          <w:color w:val="auto"/>
          <w:spacing w:val="0"/>
          <w:kern w:val="2"/>
          <w:sz w:val="32"/>
          <w:szCs w:val="32"/>
          <w:highlight w:val="none"/>
          <w:lang w:val="en-US" w:eastAsia="zh-CN" w:bidi="ar-SA"/>
        </w:rPr>
        <w:t>46.72</w:t>
      </w:r>
      <w:r>
        <w:rPr>
          <w:rFonts w:hint="eastAsia" w:ascii="仿宋_GB2312" w:hAnsi="Times New Roman" w:eastAsia="仿宋_GB2312" w:cs="Times New Roman"/>
          <w:color w:val="auto"/>
          <w:spacing w:val="0"/>
          <w:kern w:val="2"/>
          <w:sz w:val="32"/>
          <w:szCs w:val="32"/>
          <w:highlight w:val="none"/>
          <w:lang w:val="en-US" w:eastAsia="zh-CN" w:bidi="ar-SA"/>
        </w:rPr>
        <w:t>万元，比上年决算减少</w:t>
      </w:r>
      <w:r>
        <w:rPr>
          <w:rFonts w:hint="default" w:ascii="Times New Roman" w:hAnsi="Times New Roman" w:eastAsia="仿宋_GB2312" w:cs="Times New Roman"/>
          <w:color w:val="auto"/>
          <w:spacing w:val="0"/>
          <w:kern w:val="2"/>
          <w:sz w:val="32"/>
          <w:szCs w:val="32"/>
          <w:highlight w:val="none"/>
          <w:lang w:val="en-US" w:eastAsia="zh-CN" w:bidi="ar-SA"/>
        </w:rPr>
        <w:t>2.38</w:t>
      </w:r>
      <w:r>
        <w:rPr>
          <w:rFonts w:hint="eastAsia" w:ascii="仿宋_GB2312" w:hAnsi="Times New Roman" w:eastAsia="仿宋_GB2312" w:cs="Times New Roman"/>
          <w:color w:val="auto"/>
          <w:spacing w:val="0"/>
          <w:kern w:val="2"/>
          <w:sz w:val="32"/>
          <w:szCs w:val="32"/>
          <w:highlight w:val="none"/>
          <w:lang w:val="en-US" w:eastAsia="zh-CN" w:bidi="ar-SA"/>
        </w:rPr>
        <w:t>万元，下降</w:t>
      </w:r>
      <w:r>
        <w:rPr>
          <w:rFonts w:hint="default" w:ascii="Times New Roman" w:hAnsi="Times New Roman" w:eastAsia="仿宋_GB2312" w:cs="Times New Roman"/>
          <w:color w:val="auto"/>
          <w:spacing w:val="0"/>
          <w:kern w:val="2"/>
          <w:sz w:val="32"/>
          <w:szCs w:val="32"/>
          <w:highlight w:val="none"/>
          <w:lang w:val="en-US" w:eastAsia="zh-CN" w:bidi="ar-SA"/>
        </w:rPr>
        <w:t>4.85%</w:t>
      </w:r>
      <w:r>
        <w:rPr>
          <w:rFonts w:hint="eastAsia" w:ascii="仿宋_GB2312" w:hAnsi="Times New Roman" w:eastAsia="仿宋_GB2312" w:cs="Times New Roman"/>
          <w:color w:val="auto"/>
          <w:spacing w:val="0"/>
          <w:kern w:val="2"/>
          <w:sz w:val="32"/>
          <w:szCs w:val="32"/>
          <w:highlight w:val="none"/>
          <w:lang w:val="en-US" w:eastAsia="zh-CN" w:bidi="ar-SA"/>
        </w:rPr>
        <w:t>，主要原因是：在职人员较上年减少，相应社保缴费减少</w:t>
      </w:r>
      <w:r>
        <w:rPr>
          <w:rFonts w:hint="eastAsia" w:ascii="仿宋_GB2312" w:hAnsi="Times New Roman" w:eastAsia="仿宋_GB2312" w:cs="Times New Roman"/>
          <w:color w:val="auto"/>
          <w:spacing w:val="0"/>
          <w:kern w:val="2"/>
          <w:sz w:val="32"/>
          <w:szCs w:val="32"/>
          <w:highlight w:val="none"/>
          <w:lang w:val="zh-CN" w:eastAsia="zh-CN" w:bidi="ar-SA"/>
        </w:rPr>
        <w:t>。</w:t>
      </w:r>
    </w:p>
    <w:p>
      <w:pPr>
        <w:widowControl/>
        <w:ind w:firstLine="640" w:firstLineChars="200"/>
        <w:jc w:val="left"/>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w:t>
      </w:r>
      <w:r>
        <w:rPr>
          <w:rFonts w:hint="eastAsia" w:ascii="仿宋_GB2312" w:hAnsi="Times New Roman" w:eastAsia="仿宋_GB2312" w:cs="Times New Roman"/>
          <w:color w:val="auto"/>
          <w:spacing w:val="0"/>
          <w:kern w:val="2"/>
          <w:sz w:val="32"/>
          <w:szCs w:val="32"/>
          <w:highlight w:val="none"/>
          <w:lang w:val="en-US" w:eastAsia="zh-CN" w:bidi="ar-SA"/>
        </w:rPr>
        <w:t>卫生健康支出（类）行政事业单位医疗（款）公务员医疗补助（项）:支出决算数为</w:t>
      </w:r>
      <w:r>
        <w:rPr>
          <w:rFonts w:hint="default" w:ascii="Times New Roman" w:hAnsi="Times New Roman" w:eastAsia="仿宋_GB2312" w:cs="Times New Roman"/>
          <w:color w:val="auto"/>
          <w:spacing w:val="0"/>
          <w:kern w:val="2"/>
          <w:sz w:val="32"/>
          <w:szCs w:val="32"/>
          <w:highlight w:val="none"/>
          <w:lang w:val="en-US" w:eastAsia="zh-CN" w:bidi="ar-SA"/>
        </w:rPr>
        <w:t>13.81</w:t>
      </w:r>
      <w:r>
        <w:rPr>
          <w:rFonts w:hint="eastAsia" w:ascii="仿宋_GB2312" w:hAnsi="Times New Roman" w:eastAsia="仿宋_GB2312" w:cs="Times New Roman"/>
          <w:color w:val="auto"/>
          <w:spacing w:val="0"/>
          <w:kern w:val="2"/>
          <w:sz w:val="32"/>
          <w:szCs w:val="32"/>
          <w:highlight w:val="none"/>
          <w:lang w:val="en-US" w:eastAsia="zh-CN" w:bidi="ar-SA"/>
        </w:rPr>
        <w:t>万元，比上年决算减少</w:t>
      </w:r>
      <w:r>
        <w:rPr>
          <w:rFonts w:hint="default" w:ascii="Times New Roman" w:hAnsi="Times New Roman" w:eastAsia="仿宋_GB2312" w:cs="Times New Roman"/>
          <w:color w:val="auto"/>
          <w:spacing w:val="0"/>
          <w:kern w:val="2"/>
          <w:sz w:val="32"/>
          <w:szCs w:val="32"/>
          <w:highlight w:val="none"/>
          <w:lang w:val="en-US" w:eastAsia="zh-CN" w:bidi="ar-SA"/>
        </w:rPr>
        <w:t>0.41</w:t>
      </w:r>
      <w:r>
        <w:rPr>
          <w:rFonts w:hint="eastAsia" w:ascii="仿宋_GB2312" w:hAnsi="Times New Roman" w:eastAsia="仿宋_GB2312" w:cs="Times New Roman"/>
          <w:color w:val="auto"/>
          <w:spacing w:val="0"/>
          <w:kern w:val="2"/>
          <w:sz w:val="32"/>
          <w:szCs w:val="32"/>
          <w:highlight w:val="none"/>
          <w:lang w:val="en-US" w:eastAsia="zh-CN" w:bidi="ar-SA"/>
        </w:rPr>
        <w:t>万元，下降</w:t>
      </w:r>
      <w:r>
        <w:rPr>
          <w:rFonts w:hint="default" w:ascii="Times New Roman" w:hAnsi="Times New Roman" w:eastAsia="仿宋_GB2312" w:cs="Times New Roman"/>
          <w:color w:val="auto"/>
          <w:spacing w:val="0"/>
          <w:kern w:val="2"/>
          <w:sz w:val="32"/>
          <w:szCs w:val="32"/>
          <w:highlight w:val="none"/>
          <w:lang w:val="en-US" w:eastAsia="zh-CN" w:bidi="ar-SA"/>
        </w:rPr>
        <w:t>2.88%</w:t>
      </w:r>
      <w:r>
        <w:rPr>
          <w:rFonts w:hint="eastAsia" w:ascii="仿宋_GB2312" w:hAnsi="Times New Roman" w:eastAsia="仿宋_GB2312" w:cs="Times New Roman"/>
          <w:color w:val="auto"/>
          <w:spacing w:val="0"/>
          <w:kern w:val="2"/>
          <w:sz w:val="32"/>
          <w:szCs w:val="32"/>
          <w:highlight w:val="none"/>
          <w:lang w:val="en-US" w:eastAsia="zh-CN" w:bidi="ar-SA"/>
        </w:rPr>
        <w:t>，主要原因是：在职人员较上年减少，相应社保缴费减少</w:t>
      </w:r>
      <w:r>
        <w:rPr>
          <w:rFonts w:hint="eastAsia" w:ascii="仿宋_GB2312" w:hAnsi="Times New Roman" w:eastAsia="仿宋_GB2312" w:cs="Times New Roman"/>
          <w:color w:val="auto"/>
          <w:spacing w:val="0"/>
          <w:kern w:val="2"/>
          <w:sz w:val="32"/>
          <w:szCs w:val="32"/>
          <w:highlight w:val="none"/>
          <w:lang w:val="zh-CN" w:eastAsia="zh-CN" w:bidi="ar-SA"/>
        </w:rPr>
        <w:t>。</w:t>
      </w:r>
    </w:p>
    <w:p>
      <w:pPr>
        <w:widowControl/>
        <w:ind w:firstLine="640" w:firstLineChars="200"/>
        <w:jc w:val="left"/>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3.</w:t>
      </w:r>
      <w:r>
        <w:rPr>
          <w:rFonts w:hint="eastAsia" w:ascii="仿宋_GB2312" w:hAnsi="Times New Roman" w:eastAsia="仿宋_GB2312" w:cs="Times New Roman"/>
          <w:color w:val="auto"/>
          <w:spacing w:val="0"/>
          <w:kern w:val="2"/>
          <w:sz w:val="32"/>
          <w:szCs w:val="32"/>
          <w:highlight w:val="none"/>
          <w:lang w:val="en-US" w:eastAsia="zh-CN" w:bidi="ar-SA"/>
        </w:rPr>
        <w:t>住房保障支出（类）住房改革支出（款）住房公积金（项）:支出决算数为</w:t>
      </w:r>
      <w:r>
        <w:rPr>
          <w:rFonts w:hint="default" w:ascii="Times New Roman" w:hAnsi="Times New Roman" w:eastAsia="仿宋_GB2312" w:cs="Times New Roman"/>
          <w:color w:val="auto"/>
          <w:spacing w:val="0"/>
          <w:kern w:val="2"/>
          <w:sz w:val="32"/>
          <w:szCs w:val="32"/>
          <w:highlight w:val="none"/>
          <w:lang w:val="en-US" w:eastAsia="zh-CN" w:bidi="ar-SA"/>
        </w:rPr>
        <w:t>91.04</w:t>
      </w:r>
      <w:r>
        <w:rPr>
          <w:rFonts w:hint="eastAsia" w:ascii="仿宋_GB2312" w:hAnsi="Times New Roman" w:eastAsia="仿宋_GB2312" w:cs="Times New Roman"/>
          <w:color w:val="auto"/>
          <w:spacing w:val="0"/>
          <w:kern w:val="2"/>
          <w:sz w:val="32"/>
          <w:szCs w:val="32"/>
          <w:highlight w:val="none"/>
          <w:lang w:val="en-US" w:eastAsia="zh-CN" w:bidi="ar-SA"/>
        </w:rPr>
        <w:t>万元，比上年决算减少</w:t>
      </w:r>
      <w:r>
        <w:rPr>
          <w:rFonts w:hint="default" w:ascii="Times New Roman" w:hAnsi="Times New Roman" w:eastAsia="仿宋_GB2312" w:cs="Times New Roman"/>
          <w:color w:val="auto"/>
          <w:spacing w:val="0"/>
          <w:kern w:val="2"/>
          <w:sz w:val="32"/>
          <w:szCs w:val="32"/>
          <w:highlight w:val="none"/>
          <w:lang w:val="en-US" w:eastAsia="zh-CN" w:bidi="ar-SA"/>
        </w:rPr>
        <w:t>49.53</w:t>
      </w:r>
      <w:r>
        <w:rPr>
          <w:rFonts w:hint="eastAsia" w:ascii="仿宋_GB2312" w:hAnsi="Times New Roman" w:eastAsia="仿宋_GB2312" w:cs="Times New Roman"/>
          <w:color w:val="auto"/>
          <w:spacing w:val="0"/>
          <w:kern w:val="2"/>
          <w:sz w:val="32"/>
          <w:szCs w:val="32"/>
          <w:highlight w:val="none"/>
          <w:lang w:val="en-US" w:eastAsia="zh-CN" w:bidi="ar-SA"/>
        </w:rPr>
        <w:t>万元，下降</w:t>
      </w:r>
      <w:r>
        <w:rPr>
          <w:rFonts w:hint="default" w:ascii="Times New Roman" w:hAnsi="Times New Roman" w:eastAsia="仿宋_GB2312" w:cs="Times New Roman"/>
          <w:color w:val="auto"/>
          <w:spacing w:val="0"/>
          <w:kern w:val="2"/>
          <w:sz w:val="32"/>
          <w:szCs w:val="32"/>
          <w:highlight w:val="none"/>
          <w:lang w:val="en-US" w:eastAsia="zh-CN" w:bidi="ar-SA"/>
        </w:rPr>
        <w:t>35.2</w:t>
      </w:r>
      <w:r>
        <w:rPr>
          <w:rFonts w:hint="eastAsia" w:eastAsia="仿宋_GB2312" w:cs="Times New Roman"/>
          <w:color w:val="auto"/>
          <w:spacing w:val="0"/>
          <w:kern w:val="2"/>
          <w:sz w:val="32"/>
          <w:szCs w:val="32"/>
          <w:highlight w:val="none"/>
          <w:lang w:val="en-US" w:eastAsia="zh-CN" w:bidi="ar-SA"/>
        </w:rPr>
        <w:t>4</w:t>
      </w:r>
      <w:r>
        <w:rPr>
          <w:rFonts w:hint="default" w:ascii="Times New Roman" w:hAnsi="Times New Roman" w:eastAsia="仿宋_GB2312" w:cs="Times New Roman"/>
          <w:color w:val="auto"/>
          <w:spacing w:val="0"/>
          <w:kern w:val="2"/>
          <w:sz w:val="32"/>
          <w:szCs w:val="32"/>
          <w:highlight w:val="none"/>
          <w:lang w:val="en-US" w:eastAsia="zh-CN" w:bidi="ar-SA"/>
        </w:rPr>
        <w:t>%</w:t>
      </w:r>
      <w:r>
        <w:rPr>
          <w:rFonts w:hint="eastAsia" w:ascii="仿宋_GB2312" w:hAnsi="Times New Roman" w:eastAsia="仿宋_GB2312" w:cs="Times New Roman"/>
          <w:color w:val="auto"/>
          <w:spacing w:val="0"/>
          <w:kern w:val="2"/>
          <w:sz w:val="32"/>
          <w:szCs w:val="32"/>
          <w:highlight w:val="none"/>
          <w:lang w:val="en-US" w:eastAsia="zh-CN" w:bidi="ar-SA"/>
        </w:rPr>
        <w:t>，主要原因是：在职人员较上年减少，财政拨款安排的住房公积金比例降低。</w:t>
      </w:r>
    </w:p>
    <w:p>
      <w:pPr>
        <w:widowControl/>
        <w:ind w:firstLine="640" w:firstLineChars="200"/>
        <w:jc w:val="left"/>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4.</w:t>
      </w:r>
      <w:r>
        <w:rPr>
          <w:rFonts w:hint="eastAsia" w:ascii="仿宋_GB2312" w:hAnsi="Times New Roman" w:eastAsia="仿宋_GB2312" w:cs="Times New Roman"/>
          <w:color w:val="auto"/>
          <w:spacing w:val="0"/>
          <w:kern w:val="2"/>
          <w:sz w:val="32"/>
          <w:szCs w:val="32"/>
          <w:highlight w:val="none"/>
          <w:lang w:val="en-US" w:eastAsia="zh-CN" w:bidi="ar-SA"/>
        </w:rPr>
        <w:t>自然资源海洋气象等支出（类）自然资源事务（款）事业运行（项）:支出决算数为</w:t>
      </w:r>
      <w:r>
        <w:rPr>
          <w:rFonts w:hint="default" w:ascii="Times New Roman" w:hAnsi="Times New Roman" w:eastAsia="仿宋_GB2312" w:cs="Times New Roman"/>
          <w:color w:val="auto"/>
          <w:spacing w:val="0"/>
          <w:kern w:val="2"/>
          <w:sz w:val="32"/>
          <w:szCs w:val="32"/>
          <w:highlight w:val="none"/>
          <w:lang w:val="en-US" w:eastAsia="zh-CN" w:bidi="ar-SA"/>
        </w:rPr>
        <w:t>465.79</w:t>
      </w:r>
      <w:r>
        <w:rPr>
          <w:rFonts w:hint="eastAsia" w:ascii="仿宋_GB2312" w:hAnsi="Times New Roman" w:eastAsia="仿宋_GB2312" w:cs="Times New Roman"/>
          <w:color w:val="auto"/>
          <w:spacing w:val="0"/>
          <w:kern w:val="2"/>
          <w:sz w:val="32"/>
          <w:szCs w:val="32"/>
          <w:highlight w:val="none"/>
          <w:lang w:val="en-US" w:eastAsia="zh-CN" w:bidi="ar-SA"/>
        </w:rPr>
        <w:t>万元，比上年决算增加</w:t>
      </w:r>
      <w:r>
        <w:rPr>
          <w:rFonts w:hint="default" w:ascii="Times New Roman" w:hAnsi="Times New Roman" w:eastAsia="仿宋_GB2312" w:cs="Times New Roman"/>
          <w:color w:val="auto"/>
          <w:spacing w:val="0"/>
          <w:kern w:val="2"/>
          <w:sz w:val="32"/>
          <w:szCs w:val="32"/>
          <w:highlight w:val="none"/>
          <w:lang w:val="en-US" w:eastAsia="zh-CN" w:bidi="ar-SA"/>
        </w:rPr>
        <w:t>161.36</w:t>
      </w:r>
      <w:r>
        <w:rPr>
          <w:rFonts w:hint="eastAsia" w:ascii="仿宋_GB2312" w:hAnsi="Times New Roman" w:eastAsia="仿宋_GB2312" w:cs="Times New Roman"/>
          <w:color w:val="auto"/>
          <w:spacing w:val="0"/>
          <w:kern w:val="2"/>
          <w:sz w:val="32"/>
          <w:szCs w:val="32"/>
          <w:highlight w:val="none"/>
          <w:lang w:val="en-US" w:eastAsia="zh-CN" w:bidi="ar-SA"/>
        </w:rPr>
        <w:t>万元，增长</w:t>
      </w:r>
      <w:r>
        <w:rPr>
          <w:rFonts w:hint="default" w:ascii="Times New Roman" w:hAnsi="Times New Roman" w:eastAsia="仿宋_GB2312" w:cs="Times New Roman"/>
          <w:color w:val="auto"/>
          <w:spacing w:val="0"/>
          <w:kern w:val="2"/>
          <w:sz w:val="32"/>
          <w:szCs w:val="32"/>
          <w:highlight w:val="none"/>
          <w:lang w:val="en-US" w:eastAsia="zh-CN" w:bidi="ar-SA"/>
        </w:rPr>
        <w:t>53.0</w:t>
      </w:r>
      <w:r>
        <w:rPr>
          <w:rFonts w:hint="eastAsia" w:eastAsia="仿宋_GB2312" w:cs="Times New Roman"/>
          <w:color w:val="auto"/>
          <w:spacing w:val="0"/>
          <w:kern w:val="2"/>
          <w:sz w:val="32"/>
          <w:szCs w:val="32"/>
          <w:highlight w:val="none"/>
          <w:lang w:val="en-US" w:eastAsia="zh-CN" w:bidi="ar-SA"/>
        </w:rPr>
        <w:t>0</w:t>
      </w:r>
      <w:r>
        <w:rPr>
          <w:rFonts w:hint="default" w:ascii="Times New Roman" w:hAnsi="Times New Roman" w:eastAsia="仿宋_GB2312" w:cs="Times New Roman"/>
          <w:color w:val="auto"/>
          <w:spacing w:val="0"/>
          <w:kern w:val="2"/>
          <w:sz w:val="32"/>
          <w:szCs w:val="32"/>
          <w:highlight w:val="none"/>
          <w:lang w:val="en-US" w:eastAsia="zh-CN" w:bidi="ar-SA"/>
        </w:rPr>
        <w:t>%</w:t>
      </w:r>
      <w:r>
        <w:rPr>
          <w:rFonts w:hint="eastAsia" w:ascii="仿宋_GB2312" w:hAnsi="Times New Roman" w:eastAsia="仿宋_GB2312" w:cs="Times New Roman"/>
          <w:color w:val="auto"/>
          <w:spacing w:val="0"/>
          <w:kern w:val="2"/>
          <w:sz w:val="32"/>
          <w:szCs w:val="32"/>
          <w:highlight w:val="none"/>
          <w:lang w:val="en-US" w:eastAsia="zh-CN" w:bidi="ar-SA"/>
        </w:rPr>
        <w:t>，主要原因是：单位为公益二类事业单位，财政拨款总额控制，因工资基数调增，全口径事业运行支出比上年有所增加，本年根据总体决算及年初部门预算支出，从一般公共预算财政拨款中列支的</w:t>
      </w:r>
      <w:r>
        <w:rPr>
          <w:rFonts w:hint="default" w:ascii="Times New Roman" w:hAnsi="Times New Roman" w:eastAsia="仿宋_GB2312" w:cs="Times New Roman"/>
          <w:sz w:val="32"/>
          <w:szCs w:val="32"/>
        </w:rPr>
        <w:t>在职职工工资</w:t>
      </w:r>
      <w:bookmarkStart w:id="48" w:name="_GoBack"/>
      <w:bookmarkEnd w:id="48"/>
      <w:r>
        <w:rPr>
          <w:rFonts w:hint="eastAsia" w:ascii="仿宋_GB2312" w:hAnsi="Times New Roman" w:eastAsia="仿宋_GB2312" w:cs="Times New Roman"/>
          <w:color w:val="auto"/>
          <w:spacing w:val="0"/>
          <w:kern w:val="2"/>
          <w:sz w:val="32"/>
          <w:szCs w:val="32"/>
          <w:highlight w:val="none"/>
          <w:lang w:val="en-US" w:eastAsia="zh-CN" w:bidi="ar-SA"/>
        </w:rPr>
        <w:t>支出比上年有所增加，变动主要为列支口径变动造成。</w:t>
      </w:r>
    </w:p>
    <w:p>
      <w:pPr>
        <w:widowControl/>
        <w:ind w:firstLine="640" w:firstLineChars="200"/>
        <w:jc w:val="left"/>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w:t>
      </w:r>
      <w:r>
        <w:rPr>
          <w:rFonts w:hint="eastAsia" w:ascii="仿宋_GB2312" w:hAnsi="Times New Roman" w:eastAsia="仿宋_GB2312" w:cs="Times New Roman"/>
          <w:color w:val="auto"/>
          <w:spacing w:val="0"/>
          <w:kern w:val="2"/>
          <w:sz w:val="32"/>
          <w:szCs w:val="32"/>
          <w:highlight w:val="none"/>
          <w:lang w:val="en-US" w:eastAsia="zh-CN" w:bidi="ar-SA"/>
        </w:rPr>
        <w:t>社会保障和就业支出（类）行政事业单位养老支出（款）事业单位离退休（项）:支出决算数为</w:t>
      </w:r>
      <w:r>
        <w:rPr>
          <w:rFonts w:hint="default" w:ascii="Times New Roman" w:hAnsi="Times New Roman" w:eastAsia="仿宋_GB2312" w:cs="Times New Roman"/>
          <w:color w:val="auto"/>
          <w:spacing w:val="0"/>
          <w:kern w:val="2"/>
          <w:sz w:val="32"/>
          <w:szCs w:val="32"/>
          <w:highlight w:val="none"/>
          <w:lang w:val="en-US" w:eastAsia="zh-CN" w:bidi="ar-SA"/>
        </w:rPr>
        <w:t>176.80</w:t>
      </w:r>
      <w:r>
        <w:rPr>
          <w:rFonts w:hint="eastAsia" w:ascii="仿宋_GB2312" w:hAnsi="Times New Roman" w:eastAsia="仿宋_GB2312" w:cs="Times New Roman"/>
          <w:color w:val="auto"/>
          <w:spacing w:val="0"/>
          <w:kern w:val="2"/>
          <w:sz w:val="32"/>
          <w:szCs w:val="32"/>
          <w:highlight w:val="none"/>
          <w:lang w:val="en-US" w:eastAsia="zh-CN" w:bidi="ar-SA"/>
        </w:rPr>
        <w:t>万元，比上年决算减少</w:t>
      </w:r>
      <w:r>
        <w:rPr>
          <w:rFonts w:hint="default" w:ascii="Times New Roman" w:hAnsi="Times New Roman" w:eastAsia="仿宋_GB2312" w:cs="Times New Roman"/>
          <w:color w:val="auto"/>
          <w:spacing w:val="0"/>
          <w:kern w:val="2"/>
          <w:sz w:val="32"/>
          <w:szCs w:val="32"/>
          <w:highlight w:val="none"/>
          <w:lang w:val="en-US" w:eastAsia="zh-CN" w:bidi="ar-SA"/>
        </w:rPr>
        <w:t>81.18</w:t>
      </w:r>
      <w:r>
        <w:rPr>
          <w:rFonts w:hint="eastAsia" w:ascii="仿宋_GB2312" w:hAnsi="Times New Roman" w:eastAsia="仿宋_GB2312" w:cs="Times New Roman"/>
          <w:color w:val="auto"/>
          <w:spacing w:val="0"/>
          <w:kern w:val="2"/>
          <w:sz w:val="32"/>
          <w:szCs w:val="32"/>
          <w:highlight w:val="none"/>
          <w:lang w:val="en-US" w:eastAsia="zh-CN" w:bidi="ar-SA"/>
        </w:rPr>
        <w:t>万元，下降</w:t>
      </w:r>
      <w:r>
        <w:rPr>
          <w:rFonts w:hint="default" w:ascii="Times New Roman" w:hAnsi="Times New Roman" w:eastAsia="仿宋_GB2312" w:cs="Times New Roman"/>
          <w:color w:val="auto"/>
          <w:spacing w:val="0"/>
          <w:kern w:val="2"/>
          <w:sz w:val="32"/>
          <w:szCs w:val="32"/>
          <w:highlight w:val="none"/>
          <w:lang w:val="en-US" w:eastAsia="zh-CN" w:bidi="ar-SA"/>
        </w:rPr>
        <w:t>31.47%</w:t>
      </w:r>
      <w:r>
        <w:rPr>
          <w:rFonts w:hint="eastAsia" w:ascii="仿宋_GB2312" w:hAnsi="Times New Roman" w:eastAsia="仿宋_GB2312" w:cs="Times New Roman"/>
          <w:color w:val="auto"/>
          <w:spacing w:val="0"/>
          <w:kern w:val="2"/>
          <w:sz w:val="32"/>
          <w:szCs w:val="32"/>
          <w:highlight w:val="none"/>
          <w:lang w:val="en-US" w:eastAsia="zh-CN" w:bidi="ar-SA"/>
        </w:rPr>
        <w:t>，主要原因是：</w:t>
      </w:r>
      <w:r>
        <w:rPr>
          <w:rFonts w:hint="default" w:ascii="Times New Roman" w:hAnsi="Times New Roman" w:eastAsia="仿宋_GB2312" w:cs="Times New Roman"/>
          <w:color w:val="auto"/>
          <w:spacing w:val="0"/>
          <w:kern w:val="2"/>
          <w:sz w:val="32"/>
          <w:szCs w:val="32"/>
          <w:highlight w:val="none"/>
          <w:lang w:val="en-US" w:eastAsia="zh-CN" w:bidi="ar-SA"/>
        </w:rPr>
        <w:t>2023</w:t>
      </w:r>
      <w:r>
        <w:rPr>
          <w:rFonts w:hint="eastAsia" w:ascii="仿宋_GB2312" w:eastAsia="仿宋_GB2312" w:cs="Times New Roman"/>
          <w:color w:val="auto"/>
          <w:spacing w:val="0"/>
          <w:kern w:val="2"/>
          <w:sz w:val="32"/>
          <w:szCs w:val="32"/>
          <w:highlight w:val="none"/>
          <w:lang w:val="en-US" w:eastAsia="zh-CN" w:bidi="ar-SA"/>
        </w:rPr>
        <w:t>年不再向社</w:t>
      </w:r>
      <w:r>
        <w:rPr>
          <w:rFonts w:hint="eastAsia" w:ascii="仿宋_GB2312" w:hAnsi="Times New Roman" w:eastAsia="仿宋_GB2312" w:cs="Times New Roman"/>
          <w:color w:val="auto"/>
          <w:spacing w:val="0"/>
          <w:kern w:val="2"/>
          <w:sz w:val="32"/>
          <w:szCs w:val="32"/>
          <w:highlight w:val="none"/>
          <w:lang w:val="en-US" w:eastAsia="zh-CN" w:bidi="ar-SA"/>
        </w:rPr>
        <w:t>保局</w:t>
      </w:r>
      <w:r>
        <w:rPr>
          <w:rFonts w:hint="eastAsia" w:ascii="仿宋_GB2312" w:eastAsia="仿宋_GB2312" w:cs="Times New Roman"/>
          <w:color w:val="auto"/>
          <w:spacing w:val="0"/>
          <w:kern w:val="2"/>
          <w:sz w:val="32"/>
          <w:szCs w:val="32"/>
          <w:highlight w:val="none"/>
          <w:lang w:val="en-US" w:eastAsia="zh-CN" w:bidi="ar-SA"/>
        </w:rPr>
        <w:t>缴纳</w:t>
      </w:r>
      <w:r>
        <w:rPr>
          <w:rFonts w:hint="eastAsia" w:ascii="仿宋_GB2312" w:hAnsi="Times New Roman" w:eastAsia="仿宋_GB2312" w:cs="Times New Roman"/>
          <w:color w:val="auto"/>
          <w:spacing w:val="0"/>
          <w:kern w:val="2"/>
          <w:sz w:val="32"/>
          <w:szCs w:val="32"/>
          <w:highlight w:val="none"/>
          <w:lang w:val="en-US" w:eastAsia="zh-CN" w:bidi="ar-SA"/>
        </w:rPr>
        <w:t>离退休人员基本医疗、公</w:t>
      </w:r>
      <w:r>
        <w:rPr>
          <w:rFonts w:hint="eastAsia" w:ascii="仿宋_GB2312" w:hAnsi="仿宋" w:eastAsia="仿宋_GB2312" w:cs="仿宋"/>
          <w:sz w:val="32"/>
          <w:szCs w:val="32"/>
        </w:rPr>
        <w:t>务员医疗</w:t>
      </w:r>
      <w:r>
        <w:rPr>
          <w:rFonts w:hint="eastAsia" w:ascii="仿宋_GB2312" w:hAnsi="仿宋" w:eastAsia="仿宋_GB2312" w:cs="仿宋"/>
          <w:sz w:val="32"/>
          <w:szCs w:val="32"/>
          <w:lang w:eastAsia="zh-CN"/>
        </w:rPr>
        <w:t>，</w:t>
      </w:r>
      <w:r>
        <w:rPr>
          <w:rFonts w:hint="eastAsia" w:ascii="仿宋_GB2312" w:eastAsia="仿宋_GB2312" w:cs="Times New Roman"/>
          <w:color w:val="auto"/>
          <w:spacing w:val="0"/>
          <w:kern w:val="2"/>
          <w:sz w:val="32"/>
          <w:szCs w:val="32"/>
          <w:highlight w:val="none"/>
          <w:lang w:val="en-US" w:eastAsia="zh-CN" w:bidi="ar-SA"/>
        </w:rPr>
        <w:t>财政</w:t>
      </w:r>
      <w:r>
        <w:rPr>
          <w:rFonts w:hint="default" w:ascii="Times New Roman" w:hAnsi="Times New Roman" w:eastAsia="仿宋_GB2312" w:cs="Times New Roman"/>
          <w:sz w:val="32"/>
          <w:szCs w:val="32"/>
        </w:rPr>
        <w:t>12</w:t>
      </w:r>
      <w:r>
        <w:rPr>
          <w:rFonts w:hint="eastAsia" w:ascii="仿宋_GB2312" w:hAnsi="仿宋" w:eastAsia="仿宋_GB2312" w:cs="仿宋"/>
          <w:sz w:val="32"/>
          <w:szCs w:val="32"/>
        </w:rPr>
        <w:t>月调减收回</w:t>
      </w:r>
      <w:r>
        <w:rPr>
          <w:rFonts w:hint="eastAsia" w:ascii="仿宋_GB2312" w:hAnsi="仿宋" w:eastAsia="仿宋_GB2312" w:cs="仿宋"/>
          <w:sz w:val="32"/>
          <w:szCs w:val="32"/>
          <w:lang w:val="en-US" w:eastAsia="zh-CN"/>
        </w:rPr>
        <w:t>本</w:t>
      </w:r>
      <w:r>
        <w:rPr>
          <w:rFonts w:hint="eastAsia" w:ascii="仿宋_GB2312" w:hAnsi="仿宋" w:eastAsia="仿宋_GB2312" w:cs="仿宋"/>
          <w:sz w:val="32"/>
          <w:szCs w:val="32"/>
        </w:rPr>
        <w:t>年离退休人员基本医疗、公务员医疗单位部分资金</w:t>
      </w:r>
      <w:r>
        <w:rPr>
          <w:rFonts w:hint="default" w:ascii="Times New Roman" w:hAnsi="Times New Roman" w:eastAsia="仿宋_GB2312" w:cs="Times New Roman"/>
          <w:sz w:val="32"/>
          <w:szCs w:val="32"/>
        </w:rPr>
        <w:t>79.37</w:t>
      </w:r>
      <w:r>
        <w:rPr>
          <w:rFonts w:hint="eastAsia" w:ascii="仿宋_GB2312" w:hAnsi="仿宋" w:eastAsia="仿宋_GB2312" w:cs="仿宋"/>
          <w:sz w:val="32"/>
          <w:szCs w:val="32"/>
        </w:rPr>
        <w:t>万元</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lang w:val="en-US" w:eastAsia="zh-CN"/>
        </w:rPr>
        <w:t>造成相应</w:t>
      </w:r>
      <w:r>
        <w:rPr>
          <w:rFonts w:hint="eastAsia" w:ascii="仿宋_GB2312" w:hAnsi="Times New Roman" w:eastAsia="仿宋_GB2312" w:cs="Times New Roman"/>
          <w:color w:val="auto"/>
          <w:spacing w:val="0"/>
          <w:kern w:val="2"/>
          <w:sz w:val="32"/>
          <w:szCs w:val="32"/>
          <w:highlight w:val="none"/>
          <w:lang w:val="en-US" w:eastAsia="zh-CN" w:bidi="ar-SA"/>
        </w:rPr>
        <w:t>社保缴费减少</w:t>
      </w:r>
      <w:r>
        <w:rPr>
          <w:rFonts w:hint="eastAsia" w:ascii="仿宋_GB2312" w:hAnsi="Times New Roman" w:eastAsia="仿宋_GB2312" w:cs="Times New Roman"/>
          <w:color w:val="auto"/>
          <w:spacing w:val="0"/>
          <w:kern w:val="2"/>
          <w:sz w:val="32"/>
          <w:szCs w:val="32"/>
          <w:highlight w:val="none"/>
          <w:lang w:val="zh-CN" w:eastAsia="zh-CN" w:bidi="ar-SA"/>
        </w:rPr>
        <w:t>。</w:t>
      </w:r>
    </w:p>
    <w:p>
      <w:pPr>
        <w:widowControl/>
        <w:ind w:firstLine="640" w:firstLineChars="200"/>
        <w:jc w:val="left"/>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w:t>
      </w:r>
      <w:r>
        <w:rPr>
          <w:rFonts w:hint="eastAsia" w:ascii="仿宋_GB2312" w:hAnsi="Times New Roman" w:eastAsia="仿宋_GB2312" w:cs="Times New Roman"/>
          <w:color w:val="auto"/>
          <w:spacing w:val="0"/>
          <w:kern w:val="2"/>
          <w:sz w:val="32"/>
          <w:szCs w:val="32"/>
          <w:highlight w:val="none"/>
          <w:lang w:val="en-US" w:eastAsia="zh-CN" w:bidi="ar-SA"/>
        </w:rPr>
        <w:t>社会保障和就业支出（类）行政事业单位养老支出（款）机关事业单位职业年金缴费支出（项）:支出决算数为</w:t>
      </w:r>
      <w:r>
        <w:rPr>
          <w:rFonts w:hint="default" w:ascii="Times New Roman" w:hAnsi="Times New Roman" w:eastAsia="仿宋_GB2312" w:cs="Times New Roman"/>
          <w:color w:val="auto"/>
          <w:spacing w:val="0"/>
          <w:kern w:val="2"/>
          <w:sz w:val="32"/>
          <w:szCs w:val="32"/>
          <w:highlight w:val="none"/>
          <w:lang w:val="en-US" w:eastAsia="zh-CN" w:bidi="ar-SA"/>
        </w:rPr>
        <w:t>54.14</w:t>
      </w:r>
      <w:r>
        <w:rPr>
          <w:rFonts w:hint="eastAsia" w:ascii="仿宋_GB2312" w:hAnsi="Times New Roman" w:eastAsia="仿宋_GB2312" w:cs="Times New Roman"/>
          <w:color w:val="auto"/>
          <w:spacing w:val="0"/>
          <w:kern w:val="2"/>
          <w:sz w:val="32"/>
          <w:szCs w:val="32"/>
          <w:highlight w:val="none"/>
          <w:lang w:val="en-US" w:eastAsia="zh-CN" w:bidi="ar-SA"/>
        </w:rPr>
        <w:t>万元，比上年决算减少</w:t>
      </w:r>
      <w:r>
        <w:rPr>
          <w:rFonts w:hint="default" w:ascii="Times New Roman" w:hAnsi="Times New Roman" w:eastAsia="仿宋_GB2312" w:cs="Times New Roman"/>
          <w:color w:val="auto"/>
          <w:spacing w:val="0"/>
          <w:kern w:val="2"/>
          <w:sz w:val="32"/>
          <w:szCs w:val="32"/>
          <w:highlight w:val="none"/>
          <w:lang w:val="en-US" w:eastAsia="zh-CN" w:bidi="ar-SA"/>
        </w:rPr>
        <w:t>2.74</w:t>
      </w:r>
      <w:r>
        <w:rPr>
          <w:rFonts w:hint="eastAsia" w:ascii="仿宋_GB2312" w:hAnsi="Times New Roman" w:eastAsia="仿宋_GB2312" w:cs="Times New Roman"/>
          <w:color w:val="auto"/>
          <w:spacing w:val="0"/>
          <w:kern w:val="2"/>
          <w:sz w:val="32"/>
          <w:szCs w:val="32"/>
          <w:highlight w:val="none"/>
          <w:lang w:val="en-US" w:eastAsia="zh-CN" w:bidi="ar-SA"/>
        </w:rPr>
        <w:t>万元，下降</w:t>
      </w:r>
      <w:r>
        <w:rPr>
          <w:rFonts w:hint="default" w:ascii="Times New Roman" w:hAnsi="Times New Roman" w:eastAsia="仿宋_GB2312" w:cs="Times New Roman"/>
          <w:color w:val="auto"/>
          <w:spacing w:val="0"/>
          <w:kern w:val="2"/>
          <w:sz w:val="32"/>
          <w:szCs w:val="32"/>
          <w:highlight w:val="none"/>
          <w:lang w:val="en-US" w:eastAsia="zh-CN" w:bidi="ar-SA"/>
        </w:rPr>
        <w:t>4.8</w:t>
      </w:r>
      <w:r>
        <w:rPr>
          <w:rFonts w:hint="eastAsia" w:eastAsia="仿宋_GB2312" w:cs="Times New Roman"/>
          <w:color w:val="auto"/>
          <w:spacing w:val="0"/>
          <w:kern w:val="2"/>
          <w:sz w:val="32"/>
          <w:szCs w:val="32"/>
          <w:highlight w:val="none"/>
          <w:lang w:val="en-US" w:eastAsia="zh-CN" w:bidi="ar-SA"/>
        </w:rPr>
        <w:t>2</w:t>
      </w:r>
      <w:r>
        <w:rPr>
          <w:rFonts w:hint="default" w:ascii="Times New Roman" w:hAnsi="Times New Roman" w:eastAsia="仿宋_GB2312" w:cs="Times New Roman"/>
          <w:color w:val="auto"/>
          <w:spacing w:val="0"/>
          <w:kern w:val="2"/>
          <w:sz w:val="32"/>
          <w:szCs w:val="32"/>
          <w:highlight w:val="none"/>
          <w:lang w:val="en-US" w:eastAsia="zh-CN" w:bidi="ar-SA"/>
        </w:rPr>
        <w:t>%</w:t>
      </w:r>
      <w:r>
        <w:rPr>
          <w:rFonts w:hint="eastAsia" w:ascii="仿宋_GB2312" w:hAnsi="Times New Roman" w:eastAsia="仿宋_GB2312" w:cs="Times New Roman"/>
          <w:color w:val="auto"/>
          <w:spacing w:val="0"/>
          <w:kern w:val="2"/>
          <w:sz w:val="32"/>
          <w:szCs w:val="32"/>
          <w:highlight w:val="none"/>
          <w:lang w:val="en-US" w:eastAsia="zh-CN" w:bidi="ar-SA"/>
        </w:rPr>
        <w:t xml:space="preserve">，主要原因是：在职人员较上年减少，相应社保缴费减少。 </w:t>
      </w:r>
    </w:p>
    <w:p>
      <w:pPr>
        <w:widowControl/>
        <w:ind w:firstLine="640" w:firstLineChars="200"/>
        <w:jc w:val="left"/>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w:t>
      </w:r>
      <w:r>
        <w:rPr>
          <w:rFonts w:hint="eastAsia" w:ascii="仿宋_GB2312" w:hAnsi="Times New Roman" w:eastAsia="仿宋_GB2312" w:cs="Times New Roman"/>
          <w:color w:val="auto"/>
          <w:spacing w:val="0"/>
          <w:kern w:val="2"/>
          <w:sz w:val="32"/>
          <w:szCs w:val="32"/>
          <w:highlight w:val="none"/>
          <w:lang w:val="en-US" w:eastAsia="zh-CN" w:bidi="ar-SA"/>
        </w:rPr>
        <w:t>社会保障和就业支出（类）行政事业单位养老支出（款）机关事业单位基本养老保险缴费支出（项）:支出决算数为</w:t>
      </w:r>
      <w:r>
        <w:rPr>
          <w:rFonts w:hint="default" w:ascii="Times New Roman" w:hAnsi="Times New Roman" w:eastAsia="仿宋_GB2312" w:cs="Times New Roman"/>
          <w:color w:val="auto"/>
          <w:spacing w:val="0"/>
          <w:kern w:val="2"/>
          <w:sz w:val="32"/>
          <w:szCs w:val="32"/>
          <w:highlight w:val="none"/>
          <w:lang w:val="en-US" w:eastAsia="zh-CN" w:bidi="ar-SA"/>
        </w:rPr>
        <w:t>108.29</w:t>
      </w:r>
      <w:r>
        <w:rPr>
          <w:rFonts w:hint="eastAsia" w:ascii="仿宋_GB2312" w:hAnsi="Times New Roman" w:eastAsia="仿宋_GB2312" w:cs="Times New Roman"/>
          <w:color w:val="auto"/>
          <w:spacing w:val="0"/>
          <w:kern w:val="2"/>
          <w:sz w:val="32"/>
          <w:szCs w:val="32"/>
          <w:highlight w:val="none"/>
          <w:lang w:val="en-US" w:eastAsia="zh-CN" w:bidi="ar-SA"/>
        </w:rPr>
        <w:t>万元，比上年决算减少</w:t>
      </w:r>
      <w:r>
        <w:rPr>
          <w:rFonts w:hint="default" w:ascii="Times New Roman" w:hAnsi="Times New Roman" w:eastAsia="仿宋_GB2312" w:cs="Times New Roman"/>
          <w:color w:val="auto"/>
          <w:spacing w:val="0"/>
          <w:kern w:val="2"/>
          <w:sz w:val="32"/>
          <w:szCs w:val="32"/>
          <w:highlight w:val="none"/>
          <w:lang w:val="en-US" w:eastAsia="zh-CN" w:bidi="ar-SA"/>
        </w:rPr>
        <w:t>5.46</w:t>
      </w:r>
      <w:r>
        <w:rPr>
          <w:rFonts w:hint="eastAsia" w:ascii="仿宋_GB2312" w:hAnsi="Times New Roman" w:eastAsia="仿宋_GB2312" w:cs="Times New Roman"/>
          <w:color w:val="auto"/>
          <w:spacing w:val="0"/>
          <w:kern w:val="2"/>
          <w:sz w:val="32"/>
          <w:szCs w:val="32"/>
          <w:highlight w:val="none"/>
          <w:lang w:val="en-US" w:eastAsia="zh-CN" w:bidi="ar-SA"/>
        </w:rPr>
        <w:t>万元，下降</w:t>
      </w:r>
      <w:r>
        <w:rPr>
          <w:rFonts w:hint="default" w:ascii="Times New Roman" w:hAnsi="Times New Roman" w:eastAsia="仿宋_GB2312" w:cs="Times New Roman"/>
          <w:color w:val="auto"/>
          <w:spacing w:val="0"/>
          <w:kern w:val="2"/>
          <w:sz w:val="32"/>
          <w:szCs w:val="32"/>
          <w:highlight w:val="none"/>
          <w:lang w:val="en-US" w:eastAsia="zh-CN" w:bidi="ar-SA"/>
        </w:rPr>
        <w:t>4.80%</w:t>
      </w:r>
      <w:r>
        <w:rPr>
          <w:rFonts w:hint="eastAsia" w:ascii="仿宋_GB2312" w:hAnsi="Times New Roman" w:eastAsia="仿宋_GB2312" w:cs="Times New Roman"/>
          <w:color w:val="auto"/>
          <w:spacing w:val="0"/>
          <w:kern w:val="2"/>
          <w:sz w:val="32"/>
          <w:szCs w:val="32"/>
          <w:highlight w:val="none"/>
          <w:lang w:val="en-US" w:eastAsia="zh-CN" w:bidi="ar-SA"/>
        </w:rPr>
        <w:t>，主要原因是：在职人员较上年减少，相应社保缴费</w:t>
      </w:r>
      <w:r>
        <w:rPr>
          <w:rFonts w:hint="default" w:ascii="仿宋_GB2312" w:hAnsi="Times New Roman" w:eastAsia="仿宋_GB2312" w:cs="Times New Roman"/>
          <w:color w:val="auto"/>
          <w:spacing w:val="0"/>
          <w:kern w:val="2"/>
          <w:sz w:val="32"/>
          <w:szCs w:val="32"/>
          <w:highlight w:val="none"/>
          <w:lang w:val="en-US" w:eastAsia="zh-CN" w:bidi="ar-SA"/>
        </w:rPr>
        <w:t xml:space="preserve">减少。 </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956.59</w:t>
      </w:r>
      <w:r>
        <w:rPr>
          <w:rFonts w:hint="eastAsia" w:ascii="仿宋_GB2312" w:eastAsia="仿宋_GB2312"/>
          <w:color w:val="auto"/>
          <w:sz w:val="32"/>
          <w:szCs w:val="32"/>
          <w:highlight w:val="none"/>
        </w:rPr>
        <w:t>万元，其中：人员经费</w:t>
      </w:r>
      <w:r>
        <w:rPr>
          <w:rFonts w:hint="default" w:ascii="Times New Roman" w:hAnsi="Times New Roman" w:eastAsia="仿宋_GB2312" w:cs="Times New Roman"/>
          <w:color w:val="auto"/>
          <w:sz w:val="32"/>
          <w:szCs w:val="32"/>
          <w:highlight w:val="none"/>
          <w:lang w:eastAsia="zh-CN"/>
        </w:rPr>
        <w:t>956.59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抚恤金、生活补助、医疗费补助、其他对个人和家庭的补助。</w:t>
      </w:r>
    </w:p>
    <w:p>
      <w:pPr>
        <w:widowControl/>
        <w:ind w:firstLine="640" w:firstLineChars="200"/>
        <w:jc w:val="left"/>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default" w:ascii="Times New Roman" w:hAnsi="Times New Roman" w:eastAsia="仿宋_GB2312" w:cs="Times New Roman"/>
          <w:color w:val="auto"/>
          <w:sz w:val="32"/>
          <w:szCs w:val="32"/>
          <w:highlight w:val="none"/>
          <w:lang w:eastAsia="zh-CN"/>
        </w:rPr>
        <w:t>0.00</w:t>
      </w:r>
      <w:r>
        <w:rPr>
          <w:rFonts w:hint="eastAsia" w:ascii="仿宋_GB2312" w:eastAsia="仿宋_GB2312"/>
          <w:color w:val="auto"/>
          <w:sz w:val="32"/>
          <w:szCs w:val="32"/>
          <w:highlight w:val="none"/>
        </w:rPr>
        <w:t>万元，包括：</w:t>
      </w:r>
      <w:r>
        <w:rPr>
          <w:rFonts w:ascii="仿宋" w:hAnsi="仿宋" w:eastAsia="仿宋" w:cs="仿宋"/>
          <w:color w:val="000000"/>
          <w:kern w:val="0"/>
          <w:sz w:val="32"/>
          <w:szCs w:val="32"/>
          <w:lang w:val="en-US" w:eastAsia="zh-CN"/>
        </w:rPr>
        <w:t>无公用经费。</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2023</w:t>
      </w:r>
      <w:r>
        <w:rPr>
          <w:rFonts w:hint="eastAsia" w:ascii="仿宋_GB2312" w:eastAsia="仿宋_GB2312"/>
          <w:color w:val="auto"/>
          <w:sz w:val="32"/>
          <w:szCs w:val="32"/>
          <w:highlight w:val="none"/>
          <w:lang w:val="zh-CN" w:eastAsia="zh-CN"/>
        </w:rPr>
        <w:t>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w:t>
      </w:r>
      <w:r>
        <w:rPr>
          <w:rFonts w:hint="eastAsia" w:ascii="仿宋_GB2312" w:eastAsia="仿宋_GB2312"/>
          <w:color w:val="auto"/>
          <w:sz w:val="32"/>
          <w:szCs w:val="32"/>
          <w:highlight w:val="none"/>
          <w:lang w:val="en-US" w:eastAsia="zh-CN"/>
        </w:rPr>
        <w:t>决算</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个，因公出国（境）</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人次。</w:t>
      </w:r>
    </w:p>
    <w:p>
      <w:pPr>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万元，其中：公务用车购置费</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万元，公务用车运行维护费</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辆，公务用车保有量</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辆。国有资产占用情况</w:t>
      </w:r>
      <w:r>
        <w:rPr>
          <w:rFonts w:hint="eastAsia" w:ascii="仿宋_GB2312" w:eastAsia="仿宋_GB2312"/>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4</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rPr>
        <w:t>我单位</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sz w:val="32"/>
          <w:szCs w:val="32"/>
          <w:lang w:val="en-US" w:eastAsia="zh-CN"/>
        </w:rPr>
        <w:t>为</w:t>
      </w:r>
      <w:r>
        <w:rPr>
          <w:rFonts w:hint="eastAsia" w:ascii="仿宋_GB2312" w:eastAsia="仿宋_GB2312"/>
          <w:sz w:val="32"/>
          <w:szCs w:val="32"/>
          <w:lang w:val="zh-CN"/>
        </w:rPr>
        <w:t>地勘生产使用</w:t>
      </w:r>
      <w:r>
        <w:rPr>
          <w:rFonts w:hint="eastAsia" w:ascii="仿宋_GB2312" w:eastAsia="仿宋_GB2312"/>
          <w:sz w:val="32"/>
          <w:szCs w:val="32"/>
          <w:lang w:val="en-US" w:eastAsia="zh-CN"/>
        </w:rPr>
        <w:t>其他</w:t>
      </w:r>
      <w:r>
        <w:rPr>
          <w:rFonts w:hint="eastAsia" w:ascii="仿宋_GB2312" w:eastAsia="仿宋_GB2312"/>
          <w:sz w:val="32"/>
          <w:szCs w:val="32"/>
          <w:highlight w:val="none"/>
          <w:lang w:val="en-US" w:eastAsia="zh-CN"/>
        </w:rPr>
        <w:t>用车，</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zh-CN"/>
        </w:rPr>
        <w:t>辆</w:t>
      </w:r>
      <w:r>
        <w:rPr>
          <w:rFonts w:hint="default" w:ascii="Times New Roman" w:hAnsi="Times New Roman" w:eastAsia="仿宋_GB2312" w:cs="Times New Roman"/>
          <w:sz w:val="32"/>
          <w:szCs w:val="32"/>
        </w:rPr>
        <w:t>车已不能使用，并提交报废申请，等待报废</w:t>
      </w:r>
      <w:r>
        <w:rPr>
          <w:rFonts w:hint="eastAsia" w:ascii="仿宋_GB2312" w:eastAsia="仿宋_GB2312"/>
          <w:color w:val="000000"/>
          <w:sz w:val="32"/>
          <w:szCs w:val="32"/>
          <w:highlight w:val="none"/>
          <w:lang w:val="zh-CN" w:eastAsia="zh-CN"/>
        </w:rPr>
        <w:t>。</w:t>
      </w:r>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批次，</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人次。</w:t>
      </w:r>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万元，预决算差异率</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pPr>
        <w:widowControl w:val="0"/>
        <w:wordWrap/>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widowControl w:val="0"/>
        <w:numPr>
          <w:ilvl w:val="0"/>
          <w:numId w:val="0"/>
        </w:numPr>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widowControl w:val="0"/>
        <w:numPr>
          <w:ilvl w:val="0"/>
          <w:numId w:val="0"/>
        </w:numPr>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widowControl w:val="0"/>
        <w:wordWrap/>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bookmarkStart w:id="24" w:name="_Toc227"/>
      <w:bookmarkStart w:id="25" w:name="_Toc26704"/>
      <w:r>
        <w:rPr>
          <w:rFonts w:hint="default" w:ascii="Times New Roman" w:hAnsi="Times New Roman" w:eastAsia="仿宋_GB2312" w:cs="Times New Roman"/>
          <w:color w:val="auto"/>
          <w:sz w:val="32"/>
          <w:szCs w:val="32"/>
          <w:highlight w:val="none"/>
          <w:lang w:val="zh-CN" w:eastAsia="zh-CN"/>
        </w:rPr>
        <w:t>2023</w:t>
      </w:r>
      <w:r>
        <w:rPr>
          <w:rFonts w:hint="eastAsia" w:ascii="仿宋_GB2312" w:eastAsia="仿宋_GB2312"/>
          <w:color w:val="auto"/>
          <w:sz w:val="32"/>
          <w:szCs w:val="32"/>
          <w:highlight w:val="none"/>
          <w:lang w:val="zh-CN" w:eastAsia="zh-CN"/>
        </w:rPr>
        <w:t>年度</w:t>
      </w:r>
      <w:r>
        <w:rPr>
          <w:rFonts w:hint="eastAsia" w:ascii="仿宋_GB2312" w:eastAsia="仿宋_GB2312"/>
          <w:color w:val="auto"/>
          <w:sz w:val="32"/>
          <w:szCs w:val="32"/>
          <w:highlight w:val="none"/>
          <w:lang w:val="en-US" w:eastAsia="zh-CN"/>
        </w:rPr>
        <w:t>新疆维吾尔自治区地质矿产勘查开发局第三水文工程地质大队</w:t>
      </w:r>
      <w:r>
        <w:rPr>
          <w:rFonts w:hint="eastAsia" w:ascii="仿宋_GB2312" w:eastAsia="仿宋_GB2312"/>
          <w:color w:val="auto"/>
          <w:sz w:val="32"/>
          <w:szCs w:val="32"/>
          <w:highlight w:val="none"/>
          <w:lang w:val="zh-CN" w:eastAsia="zh-CN"/>
        </w:rPr>
        <w:t>（事业单位）公用经费支出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万元，比上年增加</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，主要原因是：我单位无公用经费支出。</w:t>
      </w:r>
    </w:p>
    <w:p>
      <w:pPr>
        <w:widowControl w:val="0"/>
        <w:wordWrap/>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2023</w:t>
      </w:r>
      <w:r>
        <w:rPr>
          <w:rFonts w:hint="eastAsia" w:ascii="仿宋_GB2312" w:eastAsia="仿宋_GB2312"/>
          <w:color w:val="auto"/>
          <w:sz w:val="32"/>
          <w:szCs w:val="32"/>
          <w:highlight w:val="none"/>
          <w:lang w:val="zh-CN" w:eastAsia="zh-CN"/>
        </w:rPr>
        <w:t>年度政府采购支出总额</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万元，其中：政府采购货物支出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万元、政府采购工程支出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万元、政府采购服务支出</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w:t>
      </w:r>
    </w:p>
    <w:p>
      <w:pPr>
        <w:widowControl w:val="0"/>
        <w:wordWrap/>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仿宋_GB2312" w:eastAsia="仿宋_GB2312"/>
          <w:color w:val="auto"/>
          <w:sz w:val="32"/>
          <w:szCs w:val="32"/>
          <w:highlight w:val="none"/>
          <w:lang w:val="zh-CN" w:eastAsia="zh-CN"/>
        </w:rPr>
        <w:t>授予中小企业合同金额</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万元，占政府采购支出总额的</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，其中：授予小微企业合同金额</w:t>
      </w:r>
      <w:r>
        <w:rPr>
          <w:rFonts w:hint="default" w:ascii="Times New Roman" w:hAnsi="Times New Roman"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万元，占政府采购支出总额的</w:t>
      </w:r>
      <w:r>
        <w:rPr>
          <w:rFonts w:hint="default" w:ascii="Times New Roman" w:hAnsi="Times New Roman" w:eastAsia="仿宋_GB2312" w:cs="Times New Roman"/>
          <w:color w:val="auto"/>
          <w:sz w:val="32"/>
          <w:szCs w:val="32"/>
          <w:highlight w:val="none"/>
          <w:lang w:val="zh-CN" w:eastAsia="zh-CN"/>
        </w:rPr>
        <w:t>0.00%</w:t>
      </w:r>
      <w:r>
        <w:rPr>
          <w:rFonts w:hint="eastAsia" w:ascii="Times New Roman" w:hAnsi="Times New Roman" w:eastAsia="仿宋_GB2312" w:cs="Times New Roman"/>
          <w:color w:val="auto"/>
          <w:sz w:val="32"/>
          <w:szCs w:val="32"/>
          <w:highlight w:val="none"/>
          <w:lang w:val="en-US" w:eastAsia="zh-CN"/>
        </w:rPr>
        <w:t>。</w:t>
      </w:r>
    </w:p>
    <w:p>
      <w:pPr>
        <w:widowControl w:val="0"/>
        <w:wordWrap/>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w:t>
      </w:r>
      <w:r>
        <w:rPr>
          <w:rFonts w:hint="default" w:ascii="Times New Roman" w:hAnsi="Times New Roman" w:eastAsia="仿宋_GB2312" w:cs="Times New Roman"/>
          <w:color w:val="auto"/>
          <w:sz w:val="32"/>
          <w:szCs w:val="32"/>
          <w:highlight w:val="none"/>
          <w:lang w:val="en-US" w:eastAsia="zh-CN"/>
        </w:rPr>
        <w:t>2023</w:t>
      </w:r>
      <w:r>
        <w:rPr>
          <w:rFonts w:hint="eastAsia" w:ascii="仿宋_GB2312" w:eastAsia="仿宋_GB2312"/>
          <w:color w:val="auto"/>
          <w:sz w:val="32"/>
          <w:szCs w:val="32"/>
          <w:highlight w:val="none"/>
          <w:lang w:val="zh-CN" w:eastAsia="zh-CN"/>
        </w:rPr>
        <w:t>年</w:t>
      </w:r>
      <w:r>
        <w:rPr>
          <w:rFonts w:hint="default" w:ascii="Times New Roman" w:hAnsi="Times New Roman" w:eastAsia="仿宋_GB2312" w:cs="Times New Roman"/>
          <w:color w:val="auto"/>
          <w:sz w:val="32"/>
          <w:szCs w:val="32"/>
          <w:highlight w:val="none"/>
          <w:lang w:val="en-US" w:eastAsia="zh-CN"/>
        </w:rPr>
        <w:t>12</w:t>
      </w:r>
      <w:r>
        <w:rPr>
          <w:rFonts w:hint="eastAsia" w:ascii="仿宋_GB2312" w:eastAsia="仿宋_GB2312"/>
          <w:color w:val="auto"/>
          <w:sz w:val="32"/>
          <w:szCs w:val="32"/>
          <w:highlight w:val="none"/>
          <w:lang w:val="en-US" w:eastAsia="zh-CN"/>
        </w:rPr>
        <w:t>月</w:t>
      </w:r>
      <w:r>
        <w:rPr>
          <w:rFonts w:hint="default" w:ascii="Times New Roman" w:hAnsi="Times New Roman" w:eastAsia="仿宋_GB2312" w:cs="Times New Roman"/>
          <w:color w:val="auto"/>
          <w:sz w:val="32"/>
          <w:szCs w:val="32"/>
          <w:highlight w:val="none"/>
          <w:lang w:val="en-US" w:eastAsia="zh-CN"/>
        </w:rPr>
        <w:t>31</w:t>
      </w:r>
      <w:r>
        <w:rPr>
          <w:rFonts w:hint="eastAsia" w:ascii="仿宋_GB2312" w:eastAsia="仿宋_GB2312"/>
          <w:color w:val="auto"/>
          <w:sz w:val="32"/>
          <w:szCs w:val="32"/>
          <w:highlight w:val="none"/>
          <w:lang w:val="en-US" w:eastAsia="zh-CN"/>
        </w:rPr>
        <w:t>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130.80</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w:t>
      </w:r>
      <w:r>
        <w:rPr>
          <w:rFonts w:hint="default" w:ascii="Times New Roman" w:hAnsi="Times New Roman" w:eastAsia="仿宋_GB2312" w:cs="Times New Roman"/>
          <w:color w:val="auto"/>
          <w:sz w:val="32"/>
          <w:szCs w:val="32"/>
          <w:highlight w:val="none"/>
          <w:lang w:val="zh-CN" w:eastAsia="zh-CN"/>
        </w:rPr>
        <w:t>191.72</w:t>
      </w:r>
      <w:r>
        <w:rPr>
          <w:rFonts w:hint="eastAsia" w:ascii="仿宋_GB2312" w:eastAsia="仿宋_GB2312"/>
          <w:color w:val="auto"/>
          <w:sz w:val="32"/>
          <w:szCs w:val="32"/>
          <w:highlight w:val="none"/>
          <w:lang w:val="zh-CN" w:eastAsia="zh-CN"/>
        </w:rPr>
        <w:t>平方米，价值</w:t>
      </w:r>
      <w:r>
        <w:rPr>
          <w:rFonts w:hint="default" w:ascii="Times New Roman" w:hAnsi="Times New Roman" w:eastAsia="仿宋_GB2312" w:cs="Times New Roman"/>
          <w:color w:val="auto"/>
          <w:sz w:val="32"/>
          <w:szCs w:val="32"/>
          <w:highlight w:val="none"/>
          <w:lang w:val="zh-CN" w:eastAsia="zh-CN"/>
        </w:rPr>
        <w:t>50.23</w:t>
      </w:r>
      <w:r>
        <w:rPr>
          <w:rFonts w:hint="eastAsia" w:ascii="仿宋_GB2312" w:eastAsia="仿宋_GB2312"/>
          <w:color w:val="auto"/>
          <w:sz w:val="32"/>
          <w:szCs w:val="32"/>
          <w:highlight w:val="none"/>
          <w:lang w:val="zh-CN" w:eastAsia="zh-CN"/>
        </w:rPr>
        <w:t>万元。车辆</w:t>
      </w:r>
      <w:r>
        <w:rPr>
          <w:rFonts w:hint="default" w:ascii="Times New Roman" w:hAnsi="Times New Roman" w:eastAsia="仿宋_GB2312" w:cs="Times New Roman"/>
          <w:color w:val="auto"/>
          <w:sz w:val="32"/>
          <w:szCs w:val="32"/>
          <w:highlight w:val="none"/>
          <w:lang w:val="zh-CN" w:eastAsia="zh-CN"/>
        </w:rPr>
        <w:t>4</w:t>
      </w:r>
      <w:r>
        <w:rPr>
          <w:rFonts w:hint="eastAsia" w:ascii="仿宋_GB2312" w:eastAsia="仿宋_GB2312"/>
          <w:color w:val="auto"/>
          <w:sz w:val="32"/>
          <w:szCs w:val="32"/>
          <w:highlight w:val="none"/>
          <w:lang w:val="zh-CN" w:eastAsia="zh-CN"/>
        </w:rPr>
        <w:t>辆，价值</w:t>
      </w:r>
      <w:r>
        <w:rPr>
          <w:rFonts w:hint="default" w:ascii="Times New Roman" w:hAnsi="Times New Roman" w:eastAsia="仿宋_GB2312" w:cs="Times New Roman"/>
          <w:color w:val="auto"/>
          <w:sz w:val="32"/>
          <w:szCs w:val="32"/>
          <w:highlight w:val="none"/>
          <w:lang w:val="zh-CN" w:eastAsia="zh-CN"/>
        </w:rPr>
        <w:t>74.94</w:t>
      </w:r>
      <w:r>
        <w:rPr>
          <w:rFonts w:hint="eastAsia" w:ascii="仿宋_GB2312" w:eastAsia="仿宋_GB2312"/>
          <w:color w:val="auto"/>
          <w:sz w:val="32"/>
          <w:szCs w:val="32"/>
          <w:highlight w:val="none"/>
          <w:lang w:val="zh-CN" w:eastAsia="zh-CN"/>
        </w:rPr>
        <w:t>万元，其中：副部（省）级及以上领导用车</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辆、机要通信用车</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辆、应急保障用车</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辆、执法执勤用车</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辆、特种专业技术用车</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辆、其他用车</w:t>
      </w:r>
      <w:r>
        <w:rPr>
          <w:rFonts w:hint="default" w:ascii="Times New Roman" w:hAnsi="Times New Roman" w:eastAsia="仿宋_GB2312" w:cs="Times New Roman"/>
          <w:color w:val="auto"/>
          <w:sz w:val="32"/>
          <w:szCs w:val="32"/>
          <w:highlight w:val="none"/>
          <w:lang w:val="zh-CN" w:eastAsia="zh-CN"/>
        </w:rPr>
        <w:t>4</w:t>
      </w:r>
      <w:r>
        <w:rPr>
          <w:rFonts w:hint="eastAsia" w:ascii="仿宋_GB2312" w:eastAsia="仿宋_GB2312"/>
          <w:color w:val="auto"/>
          <w:sz w:val="32"/>
          <w:szCs w:val="32"/>
          <w:highlight w:val="none"/>
          <w:lang w:val="zh-CN" w:eastAsia="zh-CN"/>
        </w:rPr>
        <w:t>辆，其他用车主要是：</w:t>
      </w:r>
      <w:r>
        <w:rPr>
          <w:rFonts w:hint="eastAsia" w:ascii="仿宋_GB2312" w:eastAsia="仿宋_GB2312"/>
          <w:sz w:val="32"/>
          <w:szCs w:val="32"/>
        </w:rPr>
        <w:t>项目野外施工</w:t>
      </w:r>
      <w:r>
        <w:rPr>
          <w:rFonts w:hint="eastAsia" w:ascii="仿宋_GB2312" w:eastAsia="仿宋_GB2312"/>
          <w:sz w:val="32"/>
          <w:szCs w:val="32"/>
          <w:lang w:val="en-US" w:eastAsia="zh-CN"/>
        </w:rPr>
        <w:t>工作</w:t>
      </w:r>
      <w:r>
        <w:rPr>
          <w:rFonts w:hint="eastAsia" w:ascii="仿宋_GB2312" w:eastAsia="仿宋_GB2312"/>
          <w:sz w:val="32"/>
          <w:szCs w:val="32"/>
        </w:rPr>
        <w:t>用车</w:t>
      </w:r>
      <w:r>
        <w:rPr>
          <w:rFonts w:hint="eastAsia" w:ascii="仿宋_GB2312" w:eastAsia="仿宋_GB2312"/>
          <w:color w:val="auto"/>
          <w:sz w:val="32"/>
          <w:szCs w:val="32"/>
          <w:highlight w:val="none"/>
          <w:lang w:val="zh-CN" w:eastAsia="zh-CN"/>
        </w:rPr>
        <w:t>；单价</w:t>
      </w:r>
      <w:r>
        <w:rPr>
          <w:rFonts w:hint="default" w:ascii="Times New Roman" w:hAnsi="Times New Roman" w:eastAsia="仿宋_GB2312" w:cs="Times New Roman"/>
          <w:color w:val="auto"/>
          <w:sz w:val="32"/>
          <w:szCs w:val="32"/>
          <w:highlight w:val="none"/>
          <w:lang w:val="zh-CN" w:eastAsia="zh-CN"/>
        </w:rPr>
        <w:t>100</w:t>
      </w:r>
      <w:r>
        <w:rPr>
          <w:rFonts w:hint="eastAsia" w:ascii="仿宋_GB2312" w:eastAsia="仿宋_GB2312"/>
          <w:color w:val="auto"/>
          <w:sz w:val="32"/>
          <w:szCs w:val="32"/>
          <w:highlight w:val="none"/>
          <w:lang w:val="zh-CN" w:eastAsia="zh-CN"/>
        </w:rPr>
        <w:t>万元（含）以上设备（不含车辆）</w:t>
      </w:r>
      <w:r>
        <w:rPr>
          <w:rFonts w:hint="default" w:ascii="Times New Roman" w:hAnsi="Times New Roman"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en-US" w:eastAsia="zh-CN"/>
        </w:rPr>
        <w:t>台（</w:t>
      </w:r>
      <w:r>
        <w:rPr>
          <w:rFonts w:hint="eastAsia" w:ascii="仿宋_GB2312" w:eastAsia="仿宋_GB2312"/>
          <w:color w:val="auto"/>
          <w:sz w:val="32"/>
          <w:szCs w:val="32"/>
          <w:highlight w:val="none"/>
          <w:lang w:val="zh-CN" w:eastAsia="zh-CN"/>
        </w:rPr>
        <w:t>套）。</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spacing w:line="60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w:t>
      </w:r>
      <w:r>
        <w:rPr>
          <w:rFonts w:hint="eastAsia" w:ascii="仿宋_GB2312" w:eastAsia="仿宋_GB2312"/>
          <w:color w:val="auto"/>
          <w:sz w:val="32"/>
          <w:szCs w:val="32"/>
          <w:highlight w:val="none"/>
          <w:lang w:val="en-US" w:eastAsia="zh-CN"/>
        </w:rPr>
        <w:t>我单位</w:t>
      </w:r>
      <w:r>
        <w:rPr>
          <w:rFonts w:hint="eastAsia" w:ascii="Times New Roman" w:hAnsi="Times New Roman" w:eastAsia="仿宋_GB2312" w:cs="Times New Roman"/>
          <w:color w:val="auto"/>
          <w:sz w:val="32"/>
          <w:szCs w:val="32"/>
          <w:highlight w:val="none"/>
          <w:lang w:val="en-US" w:eastAsia="zh-CN"/>
        </w:rPr>
        <w:t>2023</w:t>
      </w:r>
      <w:r>
        <w:rPr>
          <w:rFonts w:hint="eastAsia" w:ascii="仿宋_GB2312" w:eastAsia="仿宋_GB2312"/>
          <w:color w:val="auto"/>
          <w:sz w:val="32"/>
          <w:szCs w:val="32"/>
          <w:highlight w:val="none"/>
          <w:lang w:val="en-US" w:eastAsia="zh-CN"/>
        </w:rPr>
        <w:t>年整体绩效自评表</w:t>
      </w:r>
      <w:r>
        <w:rPr>
          <w:rFonts w:hint="eastAsia" w:ascii="Times New Roman" w:hAnsi="Times New Roman" w:eastAsia="仿宋_GB2312" w:cs="Times New Roman"/>
          <w:color w:val="auto"/>
          <w:sz w:val="32"/>
          <w:szCs w:val="32"/>
          <w:highlight w:val="none"/>
          <w:lang w:val="en-US" w:eastAsia="zh-CN"/>
        </w:rPr>
        <w:t>0</w:t>
      </w:r>
      <w:r>
        <w:rPr>
          <w:rFonts w:hint="eastAsia" w:ascii="仿宋_GB2312" w:eastAsia="仿宋_GB2312"/>
          <w:color w:val="auto"/>
          <w:sz w:val="32"/>
          <w:szCs w:val="32"/>
          <w:highlight w:val="none"/>
          <w:lang w:val="en-US" w:eastAsia="zh-CN"/>
        </w:rPr>
        <w:t>个，全年预算总额</w:t>
      </w:r>
      <w:r>
        <w:rPr>
          <w:rFonts w:hint="eastAsia" w:ascii="Times New Roman" w:hAnsi="Times New Roman" w:eastAsia="仿宋_GB2312" w:cs="Times New Roman"/>
          <w:color w:val="auto"/>
          <w:sz w:val="32"/>
          <w:szCs w:val="32"/>
          <w:highlight w:val="none"/>
          <w:lang w:val="en-US" w:eastAsia="zh-CN"/>
        </w:rPr>
        <w:t>0</w:t>
      </w:r>
      <w:r>
        <w:rPr>
          <w:rFonts w:hint="eastAsia" w:ascii="仿宋_GB2312" w:eastAsia="仿宋_GB2312"/>
          <w:color w:val="auto"/>
          <w:sz w:val="32"/>
          <w:szCs w:val="32"/>
          <w:highlight w:val="none"/>
          <w:lang w:val="en-US" w:eastAsia="zh-CN"/>
        </w:rPr>
        <w:t>万元，实际执行</w:t>
      </w:r>
      <w:r>
        <w:rPr>
          <w:rFonts w:hint="eastAsia" w:ascii="Times New Roman" w:hAnsi="Times New Roman" w:eastAsia="仿宋_GB2312" w:cs="Times New Roman"/>
          <w:color w:val="auto"/>
          <w:sz w:val="32"/>
          <w:szCs w:val="32"/>
          <w:highlight w:val="none"/>
          <w:lang w:val="en-US" w:eastAsia="zh-CN"/>
        </w:rPr>
        <w:t>0</w:t>
      </w:r>
      <w:r>
        <w:rPr>
          <w:rFonts w:hint="eastAsia" w:ascii="仿宋_GB2312" w:eastAsia="仿宋_GB2312"/>
          <w:color w:val="auto"/>
          <w:sz w:val="32"/>
          <w:szCs w:val="32"/>
          <w:highlight w:val="none"/>
          <w:lang w:val="en-US" w:eastAsia="zh-CN"/>
        </w:rPr>
        <w:t>万元。我单位整体</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lang w:val="en-US" w:eastAsia="zh-CN"/>
        </w:rPr>
        <w:t>绩效自评表由主管部门编报并公开。</w:t>
      </w:r>
      <w:r>
        <w:rPr>
          <w:rFonts w:hint="eastAsia" w:ascii="仿宋_GB2312" w:eastAsia="仿宋_GB2312"/>
          <w:color w:val="auto"/>
          <w:sz w:val="32"/>
          <w:szCs w:val="32"/>
          <w:highlight w:val="none"/>
          <w:lang w:eastAsia="zh-CN"/>
        </w:rPr>
        <w:t>预算绩效评价项目</w:t>
      </w:r>
      <w:r>
        <w:rPr>
          <w:rFonts w:hint="default" w:ascii="Times New Roman" w:hAnsi="Times New Roman" w:eastAsia="仿宋_GB2312" w:cs="Times New Roman"/>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en-US" w:eastAsia="zh-CN"/>
        </w:rPr>
        <w:t>48.24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default" w:ascii="Times New Roman" w:hAnsi="Times New Roman" w:eastAsia="仿宋_GB2312" w:cs="Times New Roman"/>
          <w:color w:val="auto"/>
          <w:sz w:val="32"/>
          <w:szCs w:val="32"/>
          <w:highlight w:val="none"/>
          <w:lang w:val="en-US" w:eastAsia="zh-CN"/>
        </w:rPr>
        <w:t>48.24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为国家建设提供水文地质调查服务，在重点矿种和重点成矿区带取得新成果；二是积极承揽国家基础性、公益性和战略性地质矿产勘查工作（包括基础地质调查、矿产资源评价、水文地质、工程地质、环境地质调查评价、城市地质调查、地质科学研究、信息建设等）；</w:t>
      </w:r>
      <w:r>
        <w:rPr>
          <w:rFonts w:hint="eastAsia" w:ascii="仿宋_GB2312" w:eastAsia="仿宋_GB2312"/>
          <w:color w:val="auto"/>
          <w:sz w:val="32"/>
          <w:szCs w:val="32"/>
          <w:highlight w:val="none"/>
          <w:lang w:val="en-US" w:eastAsia="zh-CN"/>
        </w:rPr>
        <w:t>三是</w:t>
      </w:r>
      <w:r>
        <w:rPr>
          <w:rFonts w:hint="eastAsia" w:ascii="仿宋_GB2312" w:hAnsi="仿宋" w:eastAsia="仿宋_GB2312" w:cs="仿宋"/>
          <w:color w:val="000000"/>
          <w:sz w:val="32"/>
          <w:szCs w:val="32"/>
        </w:rPr>
        <w:t>通过市场项目的承揽，充实单位经营收入，解决人员经费缺口，保持单位长期稳定发展，保障单位员工工资费用</w:t>
      </w:r>
      <w:r>
        <w:rPr>
          <w:rFonts w:hint="eastAsia" w:ascii="仿宋_GB2312" w:eastAsia="仿宋_GB2312"/>
          <w:color w:val="auto"/>
          <w:sz w:val="32"/>
          <w:szCs w:val="32"/>
          <w:highlight w:val="none"/>
          <w:lang w:eastAsia="zh-CN"/>
        </w:rPr>
        <w:t>。发现的问题及原因：一是</w:t>
      </w:r>
      <w:r>
        <w:rPr>
          <w:rFonts w:ascii="仿宋_GB2312" w:eastAsia="仿宋_GB2312"/>
          <w:sz w:val="32"/>
          <w:szCs w:val="32"/>
        </w:rPr>
        <w:t>科学合理编制预算，对全年各项工作综合分析考虑，充分</w:t>
      </w:r>
      <w:r>
        <w:rPr>
          <w:rFonts w:hint="eastAsia" w:ascii="仿宋_GB2312" w:eastAsia="仿宋_GB2312"/>
          <w:sz w:val="32"/>
          <w:szCs w:val="32"/>
          <w:lang w:val="en-US" w:eastAsia="zh-CN"/>
        </w:rPr>
        <w:t>结合</w:t>
      </w:r>
      <w:r>
        <w:rPr>
          <w:rFonts w:ascii="仿宋_GB2312" w:eastAsia="仿宋_GB2312"/>
          <w:sz w:val="32"/>
          <w:szCs w:val="32"/>
        </w:rPr>
        <w:t>市场</w:t>
      </w:r>
      <w:r>
        <w:rPr>
          <w:rFonts w:hint="eastAsia" w:ascii="仿宋_GB2312" w:eastAsia="仿宋_GB2312"/>
          <w:sz w:val="32"/>
          <w:szCs w:val="32"/>
          <w:lang w:val="en-US" w:eastAsia="zh-CN"/>
        </w:rPr>
        <w:t>经济情况预测</w:t>
      </w:r>
      <w:r>
        <w:rPr>
          <w:rFonts w:ascii="仿宋_GB2312" w:eastAsia="仿宋_GB2312"/>
          <w:sz w:val="32"/>
          <w:szCs w:val="32"/>
        </w:rPr>
        <w:t>，避免出现预算</w:t>
      </w:r>
      <w:r>
        <w:rPr>
          <w:rFonts w:hint="eastAsia" w:ascii="仿宋_GB2312" w:eastAsia="仿宋_GB2312"/>
          <w:sz w:val="32"/>
          <w:szCs w:val="32"/>
          <w:lang w:val="en-US" w:eastAsia="zh-CN"/>
        </w:rPr>
        <w:t>收入支出</w:t>
      </w:r>
      <w:r>
        <w:rPr>
          <w:rFonts w:ascii="仿宋_GB2312" w:eastAsia="仿宋_GB2312"/>
          <w:sz w:val="32"/>
          <w:szCs w:val="32"/>
        </w:rPr>
        <w:t>与实际金额差距过大的</w:t>
      </w:r>
      <w:r>
        <w:rPr>
          <w:rFonts w:hint="eastAsia" w:ascii="仿宋_GB2312" w:hAnsi="仿宋" w:eastAsia="仿宋_GB2312" w:cs="仿宋"/>
          <w:color w:val="000000"/>
          <w:sz w:val="32"/>
          <w:szCs w:val="32"/>
        </w:rPr>
        <w:t>现象发生</w:t>
      </w:r>
      <w:r>
        <w:rPr>
          <w:rFonts w:hint="eastAsia" w:ascii="仿宋_GB2312" w:hAnsi="仿宋" w:eastAsia="仿宋_GB2312" w:cs="仿宋"/>
          <w:color w:val="000000"/>
          <w:sz w:val="32"/>
          <w:szCs w:val="32"/>
          <w:lang w:eastAsia="zh-CN"/>
        </w:rPr>
        <w:t>；</w:t>
      </w:r>
      <w:r>
        <w:rPr>
          <w:rFonts w:hint="eastAsia" w:ascii="仿宋_GB2312" w:hAnsi="仿宋" w:eastAsia="仿宋_GB2312" w:cs="仿宋"/>
          <w:color w:val="000000"/>
          <w:sz w:val="32"/>
          <w:szCs w:val="32"/>
          <w:lang w:val="en-US" w:eastAsia="zh-CN"/>
        </w:rPr>
        <w:t>二是</w:t>
      </w:r>
      <w:r>
        <w:rPr>
          <w:rFonts w:hint="eastAsia" w:ascii="仿宋_GB2312" w:hAnsi="仿宋" w:eastAsia="仿宋_GB2312" w:cs="仿宋"/>
          <w:color w:val="000000"/>
          <w:sz w:val="32"/>
          <w:szCs w:val="32"/>
        </w:rPr>
        <w:t>我</w:t>
      </w:r>
      <w:r>
        <w:rPr>
          <w:rFonts w:hint="eastAsia" w:ascii="仿宋_GB2312" w:hAnsi="仿宋" w:eastAsia="仿宋_GB2312" w:cs="仿宋"/>
          <w:color w:val="000000"/>
          <w:sz w:val="32"/>
          <w:szCs w:val="32"/>
          <w:lang w:val="en-US" w:eastAsia="zh-CN"/>
        </w:rPr>
        <w:t>单位</w:t>
      </w:r>
      <w:r>
        <w:rPr>
          <w:rFonts w:hint="eastAsia" w:ascii="仿宋_GB2312" w:hAnsi="仿宋" w:eastAsia="仿宋_GB2312" w:cs="仿宋"/>
          <w:color w:val="000000"/>
          <w:sz w:val="32"/>
          <w:szCs w:val="32"/>
        </w:rPr>
        <w:t>需要对外承揽项目来解决人员经费不足问题，而项目承揽受市场环境、地质周期等不确定因素影响较多，项目存在很大的不确定性</w:t>
      </w:r>
      <w:r>
        <w:rPr>
          <w:rFonts w:hint="eastAsia" w:ascii="仿宋_GB2312" w:hAnsi="仿宋" w:eastAsia="仿宋_GB2312" w:cs="仿宋"/>
          <w:color w:val="000000"/>
          <w:sz w:val="32"/>
          <w:szCs w:val="32"/>
          <w:lang w:eastAsia="zh-CN"/>
        </w:rPr>
        <w:t>。下一步改进措施：一是</w:t>
      </w:r>
      <w:r>
        <w:rPr>
          <w:rFonts w:hint="eastAsia" w:ascii="仿宋_GB2312" w:hAnsi="仿宋" w:eastAsia="仿宋_GB2312" w:cs="仿宋"/>
          <w:color w:val="000000"/>
          <w:sz w:val="32"/>
          <w:szCs w:val="32"/>
        </w:rPr>
        <w:t>规范财政资金管理，量入为出，统筹兼顾，突出重点，讲究实效，防范风险，合理使用各项资金，确保项目资金专款专用，全年预算支出整体受控</w:t>
      </w:r>
      <w:r>
        <w:rPr>
          <w:rFonts w:hint="eastAsia" w:ascii="仿宋_GB2312" w:hAnsi="仿宋" w:eastAsia="仿宋_GB2312" w:cs="仿宋"/>
          <w:color w:val="000000"/>
          <w:sz w:val="32"/>
          <w:szCs w:val="32"/>
          <w:lang w:eastAsia="zh-CN"/>
        </w:rPr>
        <w:t>；二是</w:t>
      </w:r>
      <w:r>
        <w:rPr>
          <w:rFonts w:hint="eastAsia" w:ascii="仿宋_GB2312" w:hAnsi="仿宋" w:eastAsia="仿宋_GB2312" w:cs="仿宋"/>
          <w:color w:val="000000"/>
          <w:sz w:val="32"/>
          <w:szCs w:val="32"/>
        </w:rPr>
        <w:t>在编制</w:t>
      </w:r>
      <w:r>
        <w:rPr>
          <w:rFonts w:hint="eastAsia" w:ascii="仿宋_GB2312" w:hAnsi="仿宋" w:eastAsia="仿宋_GB2312" w:cs="仿宋"/>
          <w:color w:val="000000"/>
          <w:sz w:val="32"/>
          <w:szCs w:val="32"/>
          <w:lang w:val="en-US" w:eastAsia="zh-CN"/>
        </w:rPr>
        <w:t>项目</w:t>
      </w:r>
      <w:r>
        <w:rPr>
          <w:rFonts w:hint="eastAsia" w:ascii="仿宋_GB2312" w:hAnsi="仿宋" w:eastAsia="仿宋_GB2312" w:cs="仿宋"/>
          <w:color w:val="000000"/>
          <w:sz w:val="32"/>
          <w:szCs w:val="32"/>
        </w:rPr>
        <w:t>预算过程中，对全年各项工作综合分析考虑</w:t>
      </w:r>
      <w:r>
        <w:rPr>
          <w:rFonts w:ascii="仿宋_GB2312" w:eastAsia="仿宋_GB2312"/>
          <w:sz w:val="32"/>
          <w:szCs w:val="32"/>
        </w:rPr>
        <w:t>，充分</w:t>
      </w:r>
      <w:r>
        <w:rPr>
          <w:rFonts w:hint="eastAsia" w:ascii="仿宋_GB2312" w:eastAsia="仿宋_GB2312"/>
          <w:sz w:val="32"/>
          <w:szCs w:val="32"/>
          <w:lang w:val="en-US" w:eastAsia="zh-CN"/>
        </w:rPr>
        <w:t>结合</w:t>
      </w:r>
      <w:r>
        <w:rPr>
          <w:rFonts w:ascii="仿宋_GB2312" w:eastAsia="仿宋_GB2312"/>
          <w:sz w:val="32"/>
          <w:szCs w:val="32"/>
        </w:rPr>
        <w:t>市场</w:t>
      </w:r>
      <w:r>
        <w:rPr>
          <w:rFonts w:hint="eastAsia" w:ascii="仿宋_GB2312" w:eastAsia="仿宋_GB2312"/>
          <w:sz w:val="32"/>
          <w:szCs w:val="32"/>
          <w:lang w:val="en-US" w:eastAsia="zh-CN"/>
        </w:rPr>
        <w:t>经济情况预测</w:t>
      </w:r>
      <w:r>
        <w:rPr>
          <w:rFonts w:ascii="仿宋_GB2312" w:eastAsia="仿宋_GB2312"/>
          <w:sz w:val="32"/>
          <w:szCs w:val="32"/>
        </w:rPr>
        <w:t>，避免出现预算</w:t>
      </w:r>
      <w:r>
        <w:rPr>
          <w:rFonts w:hint="eastAsia" w:ascii="仿宋_GB2312" w:eastAsia="仿宋_GB2312"/>
          <w:sz w:val="32"/>
          <w:szCs w:val="32"/>
          <w:lang w:val="en-US" w:eastAsia="zh-CN"/>
        </w:rPr>
        <w:t>收入支出</w:t>
      </w:r>
      <w:r>
        <w:rPr>
          <w:rFonts w:ascii="仿宋_GB2312" w:eastAsia="仿宋_GB2312"/>
          <w:sz w:val="32"/>
          <w:szCs w:val="32"/>
        </w:rPr>
        <w:t>与实际金额差距过大的现象发生</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三是</w:t>
      </w:r>
      <w:r>
        <w:rPr>
          <w:rFonts w:hint="eastAsia" w:ascii="仿宋_GB2312" w:hAnsi="仿宋" w:eastAsia="仿宋_GB2312" w:cs="仿宋"/>
          <w:color w:val="000000"/>
          <w:sz w:val="32"/>
          <w:szCs w:val="32"/>
        </w:rPr>
        <w:t>对</w:t>
      </w:r>
      <w:r>
        <w:rPr>
          <w:rFonts w:hint="eastAsia" w:ascii="仿宋_GB2312" w:hAnsi="仿宋" w:eastAsia="仿宋_GB2312" w:cs="仿宋"/>
          <w:color w:val="000000"/>
          <w:sz w:val="32"/>
          <w:szCs w:val="32"/>
          <w:lang w:val="en-US" w:eastAsia="zh-CN"/>
        </w:rPr>
        <w:t>项目</w:t>
      </w:r>
      <w:r>
        <w:rPr>
          <w:rFonts w:hint="eastAsia" w:ascii="仿宋_GB2312" w:hAnsi="仿宋" w:eastAsia="仿宋_GB2312" w:cs="仿宋"/>
          <w:color w:val="000000"/>
          <w:sz w:val="32"/>
          <w:szCs w:val="32"/>
        </w:rPr>
        <w:t>支出实施过程中发现的问题，分析、查找出现问题的原因，制定整改方案，提出具体的纠正和预防措施，及时准确做好预算绩效监控信息填报工作</w:t>
      </w:r>
      <w:r>
        <w:rPr>
          <w:rFonts w:hint="eastAsia" w:ascii="仿宋_GB2312" w:hAnsi="仿宋" w:eastAsia="仿宋_GB2312" w:cs="仿宋"/>
          <w:color w:val="000000"/>
          <w:sz w:val="32"/>
          <w:szCs w:val="32"/>
          <w:lang w:eastAsia="zh-CN"/>
        </w:rPr>
        <w:t>。</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widowControl w:val="0"/>
        <w:wordWrap/>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widowControl w:val="0"/>
        <w:wordWrap/>
        <w:adjustRightInd/>
        <w:snapToGrid/>
        <w:spacing w:line="240" w:lineRule="auto"/>
        <w:ind w:firstLine="640" w:firstLineChars="200"/>
        <w:jc w:val="left"/>
        <w:textAlignment w:val="auto"/>
        <w:rPr>
          <w:rFonts w:hint="eastAsia" w:ascii="仿宋_GB2312" w:eastAsia="仿宋_GB2312"/>
          <w:sz w:val="32"/>
          <w:szCs w:val="32"/>
          <w:lang w:val="zh-CN" w:eastAsia="zh-CN"/>
        </w:rPr>
      </w:pPr>
      <w:r>
        <w:rPr>
          <w:rFonts w:hint="eastAsia" w:ascii="仿宋_GB2312" w:eastAsia="仿宋_GB2312"/>
          <w:sz w:val="32"/>
          <w:szCs w:val="32"/>
          <w:lang w:val="en-US" w:eastAsia="zh-CN"/>
        </w:rPr>
        <w:t>我单位本年度政府采购金</w:t>
      </w:r>
      <w:r>
        <w:rPr>
          <w:rFonts w:hint="eastAsia" w:ascii="仿宋_GB2312" w:hAnsi="仿宋" w:eastAsia="仿宋_GB2312" w:cs="仿宋"/>
          <w:color w:val="000000"/>
          <w:sz w:val="32"/>
          <w:szCs w:val="32"/>
          <w:lang w:val="en-US" w:eastAsia="zh-CN"/>
        </w:rPr>
        <w:t>额</w:t>
      </w:r>
      <w:r>
        <w:rPr>
          <w:rFonts w:hint="eastAsia" w:ascii="仿宋_GB2312" w:hAnsi="仿宋" w:eastAsia="仿宋_GB2312" w:cs="仿宋"/>
          <w:color w:val="000000"/>
          <w:sz w:val="32"/>
          <w:szCs w:val="32"/>
        </w:rPr>
        <w:t>为</w:t>
      </w:r>
      <w:r>
        <w:rPr>
          <w:rFonts w:hint="eastAsia" w:ascii="Times New Roman" w:hAnsi="Times New Roman" w:eastAsia="仿宋_GB2312" w:cs="Times New Roman"/>
          <w:color w:val="auto"/>
          <w:sz w:val="32"/>
          <w:szCs w:val="32"/>
          <w:highlight w:val="none"/>
          <w:lang w:val="en-US" w:eastAsia="zh-CN"/>
        </w:rPr>
        <w:t>0</w:t>
      </w:r>
      <w:r>
        <w:rPr>
          <w:rFonts w:hint="eastAsia" w:ascii="仿宋_GB2312" w:eastAsia="仿宋_GB2312"/>
          <w:color w:val="auto"/>
          <w:sz w:val="32"/>
          <w:szCs w:val="32"/>
          <w:highlight w:val="none"/>
          <w:lang w:val="en-US" w:eastAsia="zh-CN"/>
        </w:rPr>
        <w:t>万元</w:t>
      </w:r>
      <w:r>
        <w:rPr>
          <w:rFonts w:hint="eastAsia" w:ascii="仿宋_GB2312" w:hAnsi="仿宋" w:eastAsia="仿宋_GB2312" w:cs="仿宋"/>
          <w:color w:val="000000"/>
          <w:sz w:val="32"/>
          <w:szCs w:val="32"/>
          <w:lang w:eastAsia="zh-CN"/>
        </w:rPr>
        <w:t>，</w:t>
      </w:r>
      <w:r>
        <w:rPr>
          <w:rFonts w:hint="eastAsia" w:ascii="仿宋_GB2312" w:eastAsia="仿宋_GB2312"/>
          <w:sz w:val="32"/>
          <w:szCs w:val="32"/>
          <w:lang w:val="en-US" w:eastAsia="zh-CN"/>
        </w:rPr>
        <w:t>授予中小企业合同金额、授予小微企业合同金额为</w:t>
      </w:r>
      <w:r>
        <w:rPr>
          <w:rFonts w:hint="eastAsia" w:eastAsia="仿宋_GB2312" w:cs="Times New Roman"/>
          <w:color w:val="auto"/>
          <w:sz w:val="32"/>
          <w:szCs w:val="32"/>
          <w:highlight w:val="none"/>
          <w:lang w:val="en-US" w:eastAsia="zh-CN"/>
        </w:rPr>
        <w:t>0</w:t>
      </w:r>
      <w:r>
        <w:rPr>
          <w:rFonts w:hint="eastAsia" w:ascii="仿宋_GB2312" w:eastAsia="仿宋_GB2312"/>
          <w:sz w:val="32"/>
          <w:szCs w:val="32"/>
          <w:lang w:val="en-US" w:eastAsia="zh-CN"/>
        </w:rPr>
        <w:t>万元</w:t>
      </w:r>
      <w:r>
        <w:rPr>
          <w:rFonts w:hint="eastAsia" w:ascii="仿宋_GB2312" w:eastAsia="仿宋_GB2312"/>
          <w:sz w:val="32"/>
          <w:szCs w:val="32"/>
          <w:lang w:val="zh-CN" w:eastAsia="zh-CN"/>
        </w:rPr>
        <w:t>。主要原因是：我单位</w:t>
      </w:r>
      <w:r>
        <w:rPr>
          <w:rFonts w:hint="eastAsia" w:ascii="仿宋_GB2312" w:eastAsia="仿宋_GB2312"/>
          <w:sz w:val="32"/>
          <w:szCs w:val="32"/>
          <w:lang w:val="en-US" w:eastAsia="zh-CN"/>
        </w:rPr>
        <w:t>本年无政府采购预算，无政府采购支出</w:t>
      </w:r>
      <w:r>
        <w:rPr>
          <w:rFonts w:hint="eastAsia" w:ascii="仿宋_GB2312" w:eastAsia="仿宋_GB2312"/>
          <w:sz w:val="32"/>
          <w:szCs w:val="32"/>
          <w:lang w:val="zh-CN" w:eastAsia="zh-CN"/>
        </w:rPr>
        <w:t>。</w:t>
      </w:r>
    </w:p>
    <w:p>
      <w:pPr>
        <w:widowControl w:val="0"/>
        <w:wordWrap/>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widowControl w:val="0"/>
        <w:wordWrap/>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widowControl w:val="0"/>
        <w:wordWrap/>
        <w:autoSpaceDE w:val="0"/>
        <w:autoSpaceDN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widowControl w:val="0"/>
        <w:wordWrap/>
        <w:autoSpaceDE w:val="0"/>
        <w:autoSpaceDN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widowControl w:val="0"/>
        <w:wordWrap/>
        <w:autoSpaceDE w:val="0"/>
        <w:autoSpaceDN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widowControl w:val="0"/>
        <w:wordWrap/>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widowControl w:val="0"/>
        <w:wordWrap/>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widowControl w:val="0"/>
        <w:wordWrap/>
        <w:adjustRightInd/>
        <w:snapToGrid/>
        <w:spacing w:line="240" w:lineRule="auto"/>
        <w:ind w:firstLine="640" w:firstLineChars="200"/>
        <w:textAlignment w:val="auto"/>
        <w:rPr>
          <w:rFonts w:hint="eastAsia" w:ascii="仿宋_GB2312" w:eastAsia="仿宋_GB2312"/>
          <w:color w:val="auto"/>
          <w:sz w:val="32"/>
          <w:szCs w:val="32"/>
          <w:highlight w:val="none"/>
        </w:rPr>
      </w:pPr>
    </w:p>
    <w:p>
      <w:pPr>
        <w:widowControl w:val="0"/>
        <w:wordWrap/>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Times New Roman" w:hAnsi="Times New Roman" w:eastAsia="宋体" w:cs="Times New Roman"/>
        <w:kern w:val="2"/>
        <w:sz w:val="18"/>
        <w:szCs w:val="24"/>
        <w:lang w:val="en-US" w:eastAsia="zh-CN" w:bidi="ar-SA"/>
      </w:rPr>
      <w:pict>
        <v:rect id="文本框 1" o:spid="_x0000_s4097" o:spt="1" style="position:absolute;left:0pt;margin-top:0pt;height:144pt;width:144pt;mso-position-horizontal:center;mso-position-horizontal-relative:margin;mso-wrap-style:none;z-index:251658240;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A7113F"/>
    <w:rsid w:val="020F71B4"/>
    <w:rsid w:val="0894580B"/>
    <w:rsid w:val="09110904"/>
    <w:rsid w:val="0D4827D4"/>
    <w:rsid w:val="0FBE2597"/>
    <w:rsid w:val="10025EE8"/>
    <w:rsid w:val="139D02E9"/>
    <w:rsid w:val="17CC79CE"/>
    <w:rsid w:val="182953E0"/>
    <w:rsid w:val="18C61D42"/>
    <w:rsid w:val="19744E58"/>
    <w:rsid w:val="1B6D708E"/>
    <w:rsid w:val="1D96740D"/>
    <w:rsid w:val="1F274C21"/>
    <w:rsid w:val="31C8664E"/>
    <w:rsid w:val="39D236B2"/>
    <w:rsid w:val="3B6B48BE"/>
    <w:rsid w:val="3C125675"/>
    <w:rsid w:val="3F5353DB"/>
    <w:rsid w:val="45703E94"/>
    <w:rsid w:val="4A081DD6"/>
    <w:rsid w:val="4AF35737"/>
    <w:rsid w:val="4E1D1BA5"/>
    <w:rsid w:val="4E57523D"/>
    <w:rsid w:val="548C1628"/>
    <w:rsid w:val="5605570A"/>
    <w:rsid w:val="581722C5"/>
    <w:rsid w:val="581C5B16"/>
    <w:rsid w:val="5B830978"/>
    <w:rsid w:val="657A316B"/>
    <w:rsid w:val="6BEC730B"/>
    <w:rsid w:val="6C371806"/>
    <w:rsid w:val="708963B7"/>
    <w:rsid w:val="712D1B58"/>
    <w:rsid w:val="78396C37"/>
    <w:rsid w:val="78B2723B"/>
    <w:rsid w:val="7A0D3168"/>
    <w:rsid w:val="7D41728A"/>
    <w:rsid w:val="7EB266A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iPriority w:val="0"/>
  </w:style>
  <w:style w:type="table" w:default="1" w:styleId="11">
    <w:name w:val="Normal Table"/>
    <w:semiHidden/>
    <w:uiPriority w:val="0"/>
    <w:tblPr>
      <w:tblLayout w:type="fixed"/>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3">
    <w:name w:val="annotation text"/>
    <w:basedOn w:val="1"/>
    <w:qFormat/>
    <w:uiPriority w:val="0"/>
    <w:pPr>
      <w:jc w:val="left"/>
    </w:pPr>
  </w:style>
  <w:style w:type="paragraph" w:styleId="4">
    <w:name w:val="toc 3"/>
    <w:basedOn w:val="1"/>
    <w:next w:val="1"/>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character" w:styleId="10">
    <w:name w:val="Strong"/>
    <w:basedOn w:val="9"/>
    <w:qFormat/>
    <w:uiPriority w:val="0"/>
    <w:rPr>
      <w:b/>
    </w:rPr>
  </w:style>
  <w:style w:type="paragraph" w:customStyle="1" w:styleId="12">
    <w:name w:val="Normal (Web)"/>
    <w:basedOn w:val="1"/>
    <w:qFormat/>
    <w:uiPriority w:val="0"/>
    <w:pPr>
      <w:spacing w:before="100" w:beforeAutospacing="1" w:after="100" w:afterAutospacing="1"/>
      <w:ind w:left="0" w:right="0"/>
      <w:jc w:val="left"/>
    </w:pPr>
    <w:rPr>
      <w:kern w:val="0"/>
      <w:sz w:val="24"/>
      <w:lang w:val="en-US" w:eastAsia="zh-CN"/>
    </w:rPr>
  </w:style>
  <w:style w:type="paragraph" w:customStyle="1" w:styleId="13">
    <w:name w:val="WPSOffice手动目录 3"/>
    <w:qFormat/>
    <w:uiPriority w:val="0"/>
    <w:pPr>
      <w:ind w:leftChars="400"/>
    </w:pPr>
    <w:rPr>
      <w:rFonts w:ascii="Times New Roman" w:hAnsi="Times New Roman" w:eastAsia="宋体" w:cs="Times New Roman"/>
      <w:sz w:val="20"/>
      <w:szCs w:val="20"/>
      <w:lang w:val="en-US" w:eastAsia="zh-CN" w:bidi="ar-SA"/>
    </w:rPr>
  </w:style>
  <w:style w:type="paragraph" w:customStyle="1" w:styleId="14">
    <w:name w:val="WPSOffice手动目录 2"/>
    <w:qFormat/>
    <w:uiPriority w:val="0"/>
    <w:pPr>
      <w:ind w:leftChars="200"/>
    </w:pPr>
    <w:rPr>
      <w:rFonts w:ascii="Times New Roman" w:hAnsi="Times New Roman" w:eastAsia="宋体" w:cs="Times New Roman"/>
      <w:sz w:val="20"/>
      <w:szCs w:val="20"/>
      <w:lang w:val="en-US" w:eastAsia="zh-CN" w:bidi="ar-SA"/>
    </w:rPr>
  </w:style>
  <w:style w:type="paragraph" w:customStyle="1" w:styleId="15">
    <w:name w:val="WPSOffice手动目录 1"/>
    <w:qFormat/>
    <w:uiPriority w:val="0"/>
    <w:pPr>
      <w:ind w:leftChars="0"/>
    </w:pPr>
    <w:rPr>
      <w:rFonts w:ascii="Times New Roman" w:hAnsi="Times New Roman" w:eastAsia="宋体" w:cs="Times New Roman"/>
      <w:sz w:val="20"/>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5649</Words>
  <Characters>6366</Characters>
  <Lines>0</Lines>
  <Paragraphs>0</Paragraphs>
  <TotalTime>1</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dcterms:modified xsi:type="dcterms:W3CDTF">2024-08-30T05:34:07Z</dcterms:modified>
  <dc:title>新疆维吾尔自治区地质矿产勘查开发局第三水文工程地质大队</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D624B15633CD43C8BF9435464A96BF70</vt:lpwstr>
  </property>
</Properties>
</file>