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03B3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0DABC4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61973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新疆维吾尔自治区地质矿产勘查开发局第三地质大队</w:t>
      </w:r>
    </w:p>
    <w:p w14:paraId="16A2DD1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5C787A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43E298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F7C7C1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C61F8C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0DC37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C4155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8060E8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DAD91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CBB90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400CE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B7209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DD7D3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908BE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540AE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E71CA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62D273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9BB41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9AC676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F83A0C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5E0B91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34D14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C844A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63EEF3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18E1D3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77D0E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2A263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4A223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219BF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F7147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00D2E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7D29B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01EE4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7B2E4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71EE29E">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7FDEC7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71CDA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7384C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82E14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新疆维吾尔自治区地质矿产勘查开发局第三地质大队隶属新疆维吾尔自治区地质矿产勘查开发局，属县级差额拨款事业单位，是新疆维吾尔自治区地质矿产勘查开发局驻巴州唯一的国有地勘单位。单位以地质勘查为主业，同时兼顾发展工勘业和多种经营业。</w:t>
      </w:r>
      <w:r>
        <w:rPr>
          <w:rFonts w:ascii="仿宋_GB2312" w:eastAsia="仿宋_GB2312"/>
          <w:sz w:val="32"/>
          <w:szCs w:val="32"/>
        </w:rPr>
        <w:br w:type="textWrapping"/>
      </w:r>
      <w:r>
        <w:rPr>
          <w:rFonts w:ascii="仿宋_GB2312" w:eastAsia="仿宋_GB2312"/>
          <w:sz w:val="32"/>
          <w:szCs w:val="32"/>
        </w:rPr>
        <w:t>　　新疆维吾尔自治区地质矿产勘查开发局第三地质大队主要为国家建设提供地矿勘查服务,区域地质、矿产、水文、工程地质、环境地质调查与矿产资源勘探开发，地质学科综合研究、探矿工程施工，地质测验与工程测量，岩矿及水质分析，鉴定、检测，地球物理、地球化学勘查，高新技术开发等</w:t>
      </w:r>
      <w:r>
        <w:rPr>
          <w:rFonts w:hint="eastAsia" w:ascii="仿宋_GB2312" w:eastAsia="仿宋_GB2312"/>
          <w:sz w:val="32"/>
          <w:szCs w:val="32"/>
        </w:rPr>
        <w:t>。</w:t>
      </w:r>
    </w:p>
    <w:p w14:paraId="0427E8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A6D65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新疆维吾尔自治区地质矿产勘查开发局第三地质大队</w:t>
      </w:r>
      <w:r>
        <w:rPr>
          <w:rFonts w:hint="eastAsia" w:ascii="Times New Roman" w:hAnsi="Times New Roman" w:eastAsia="仿宋_GB2312" w:cs="Times New Roman"/>
          <w:sz w:val="32"/>
          <w:szCs w:val="32"/>
          <w:highlight w:val="none"/>
          <w:lang w:val="zh-CN" w:eastAsia="zh-CN"/>
        </w:rPr>
        <w:t>2023年度，实有人数637人，其中：在职人员203人，离休人员3人，退休人员431人。</w:t>
      </w:r>
    </w:p>
    <w:p w14:paraId="7BEE80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bookmarkStart w:id="6" w:name="_Toc3092"/>
      <w:bookmarkStart w:id="7" w:name="_Toc29374"/>
      <w:r>
        <w:rPr>
          <w:rFonts w:hint="eastAsia" w:ascii="Times New Roman" w:hAnsi="Times New Roman" w:eastAsia="仿宋_GB2312" w:cs="Times New Roman"/>
          <w:sz w:val="32"/>
          <w:szCs w:val="32"/>
          <w:highlight w:val="none"/>
          <w:lang w:val="zh-CN" w:eastAsia="zh-CN"/>
        </w:rPr>
        <w:t>单位无下属预算单位，下设14个处室，分别是：党政办公室、人事科、财务资产管理科、地质矿产科、综合计划管理科、安全生产管理科、纪检监察科、工会、地质调查所、地质工程勘察院、测绘院、实验室、离退休人员管理科、后勤服务中心。</w:t>
      </w:r>
    </w:p>
    <w:p w14:paraId="568F1D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A86B6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10931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2023年度</w:t>
      </w:r>
      <w:r>
        <w:rPr>
          <w:rFonts w:hint="eastAsia" w:ascii="Times New Roman" w:hAnsi="Times New Roman" w:eastAsia="仿宋_GB2312" w:cs="Times New Roman"/>
          <w:sz w:val="32"/>
          <w:szCs w:val="32"/>
          <w:highlight w:val="none"/>
          <w:lang w:val="en-US" w:eastAsia="zh-CN"/>
        </w:rPr>
        <w:t>收入总计</w:t>
      </w:r>
      <w:r>
        <w:rPr>
          <w:rFonts w:hint="eastAsia" w:ascii="Times New Roman" w:hAnsi="Times New Roman" w:eastAsia="仿宋_GB2312" w:cs="Times New Roman"/>
          <w:sz w:val="32"/>
          <w:szCs w:val="32"/>
          <w:highlight w:val="none"/>
          <w:lang w:eastAsia="zh-CN"/>
        </w:rPr>
        <w:t>16,382.75万元，</w:t>
      </w:r>
      <w:r>
        <w:rPr>
          <w:rFonts w:hint="eastAsia" w:ascii="Times New Roman" w:hAnsi="Times New Roman" w:eastAsia="仿宋_GB2312" w:cs="Times New Roman"/>
          <w:sz w:val="32"/>
          <w:szCs w:val="32"/>
          <w:highlight w:val="none"/>
          <w:lang w:val="en-US" w:eastAsia="zh-CN"/>
        </w:rPr>
        <w:t>其中：本年收入合计</w:t>
      </w:r>
      <w:r>
        <w:rPr>
          <w:rFonts w:hint="eastAsia" w:ascii="Times New Roman" w:hAnsi="Times New Roman" w:eastAsia="仿宋_GB2312" w:cs="Times New Roman"/>
          <w:sz w:val="32"/>
          <w:szCs w:val="32"/>
          <w:highlight w:val="none"/>
          <w:lang w:eastAsia="zh-CN"/>
        </w:rPr>
        <w:t>15,808.26万元，使用非财政拨款结余574.49万元，年初结转和结余0.00万元。</w:t>
      </w:r>
    </w:p>
    <w:p w14:paraId="4B9C3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2023</w:t>
      </w:r>
      <w:r>
        <w:rPr>
          <w:rFonts w:hint="eastAsia" w:ascii="Times New Roman" w:hAnsi="Times New Roman" w:eastAsia="仿宋_GB2312" w:cs="Times New Roman"/>
          <w:sz w:val="32"/>
          <w:szCs w:val="32"/>
          <w:highlight w:val="none"/>
          <w:lang w:eastAsia="zh-CN"/>
        </w:rPr>
        <w:t>年</w:t>
      </w:r>
      <w:r>
        <w:rPr>
          <w:rFonts w:hint="eastAsia" w:ascii="Times New Roman" w:hAnsi="Times New Roman" w:eastAsia="仿宋_GB2312" w:cs="Times New Roman"/>
          <w:sz w:val="32"/>
          <w:szCs w:val="32"/>
          <w:highlight w:val="none"/>
          <w:lang w:val="en-US" w:eastAsia="zh-CN"/>
        </w:rPr>
        <w:t>度</w:t>
      </w:r>
      <w:r>
        <w:rPr>
          <w:rFonts w:hint="eastAsia" w:ascii="Times New Roman" w:hAnsi="Times New Roman" w:eastAsia="仿宋_GB2312" w:cs="Times New Roman"/>
          <w:sz w:val="32"/>
          <w:szCs w:val="32"/>
          <w:highlight w:val="none"/>
          <w:lang w:eastAsia="zh-CN"/>
        </w:rPr>
        <w:t>支出</w:t>
      </w:r>
      <w:r>
        <w:rPr>
          <w:rFonts w:hint="eastAsia" w:ascii="Times New Roman" w:hAnsi="Times New Roman" w:eastAsia="仿宋_GB2312" w:cs="Times New Roman"/>
          <w:sz w:val="32"/>
          <w:szCs w:val="32"/>
          <w:highlight w:val="none"/>
          <w:lang w:val="en-US" w:eastAsia="zh-CN"/>
        </w:rPr>
        <w:t>总计</w:t>
      </w:r>
      <w:r>
        <w:rPr>
          <w:rFonts w:hint="eastAsia" w:ascii="Times New Roman" w:hAnsi="Times New Roman" w:eastAsia="仿宋_GB2312" w:cs="Times New Roman"/>
          <w:sz w:val="32"/>
          <w:szCs w:val="32"/>
          <w:highlight w:val="none"/>
          <w:lang w:eastAsia="zh-CN"/>
        </w:rPr>
        <w:t>16,382.75万元，</w:t>
      </w:r>
      <w:r>
        <w:rPr>
          <w:rFonts w:hint="eastAsia" w:ascii="Times New Roman" w:hAnsi="Times New Roman" w:eastAsia="仿宋_GB2312" w:cs="Times New Roman"/>
          <w:sz w:val="32"/>
          <w:szCs w:val="32"/>
          <w:highlight w:val="none"/>
          <w:lang w:val="en-US" w:eastAsia="zh-CN"/>
        </w:rPr>
        <w:t>其中：本年支出合计</w:t>
      </w:r>
      <w:r>
        <w:rPr>
          <w:rFonts w:hint="eastAsia" w:ascii="Times New Roman" w:hAnsi="Times New Roman" w:eastAsia="仿宋_GB2312" w:cs="Times New Roman"/>
          <w:sz w:val="32"/>
          <w:szCs w:val="32"/>
          <w:highlight w:val="none"/>
          <w:lang w:eastAsia="zh-CN"/>
        </w:rPr>
        <w:t>16,382.75万元，</w:t>
      </w:r>
      <w:r>
        <w:rPr>
          <w:rFonts w:hint="eastAsia" w:ascii="Times New Roman" w:hAnsi="Times New Roman" w:eastAsia="仿宋_GB2312" w:cs="Times New Roman"/>
          <w:sz w:val="32"/>
          <w:szCs w:val="32"/>
          <w:highlight w:val="none"/>
          <w:lang w:val="en-US" w:eastAsia="zh-CN"/>
        </w:rPr>
        <w:t>结余分配</w:t>
      </w:r>
      <w:r>
        <w:rPr>
          <w:rFonts w:hint="eastAsia" w:ascii="Times New Roman" w:hAnsi="Times New Roman" w:eastAsia="仿宋_GB2312" w:cs="Times New Roman"/>
          <w:sz w:val="32"/>
          <w:szCs w:val="32"/>
          <w:highlight w:val="none"/>
          <w:lang w:eastAsia="zh-CN"/>
        </w:rPr>
        <w:t>0.00万元，年末结转和结余0.00万元。</w:t>
      </w:r>
    </w:p>
    <w:p w14:paraId="34A312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收入支出总体与上年相比</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zh-CN" w:eastAsia="zh-CN"/>
        </w:rPr>
        <w:t>增加209.31万元</w:t>
      </w:r>
      <w:r>
        <w:rPr>
          <w:rFonts w:hint="eastAsia" w:ascii="Times New Roman" w:hAnsi="Times New Roman" w:eastAsia="仿宋_GB2312" w:cs="Times New Roman"/>
          <w:sz w:val="32"/>
          <w:szCs w:val="32"/>
          <w:highlight w:val="none"/>
          <w:lang w:eastAsia="zh-CN"/>
        </w:rPr>
        <w:t>，增长</w:t>
      </w:r>
      <w:r>
        <w:rPr>
          <w:rFonts w:hint="eastAsia" w:ascii="Times New Roman" w:hAnsi="Times New Roman" w:eastAsia="仿宋_GB2312" w:cs="Times New Roman"/>
          <w:sz w:val="32"/>
          <w:szCs w:val="32"/>
          <w:highlight w:val="none"/>
          <w:lang w:val="zh-CN" w:eastAsia="zh-CN"/>
        </w:rPr>
        <w:t>1.29%</w:t>
      </w:r>
      <w:r>
        <w:rPr>
          <w:rFonts w:hint="eastAsia" w:ascii="Times New Roman" w:hAnsi="Times New Roman" w:eastAsia="仿宋_GB2312" w:cs="Times New Roman"/>
          <w:sz w:val="32"/>
          <w:szCs w:val="32"/>
          <w:highlight w:val="none"/>
          <w:lang w:eastAsia="zh-CN"/>
        </w:rPr>
        <w:t>，主要原因是：</w:t>
      </w:r>
      <w:r>
        <w:rPr>
          <w:rFonts w:hint="eastAsia" w:ascii="Times New Roman" w:hAnsi="Times New Roman" w:eastAsia="仿宋_GB2312" w:cs="Times New Roman"/>
          <w:sz w:val="32"/>
          <w:szCs w:val="32"/>
          <w:highlight w:val="none"/>
          <w:lang w:val="en-US" w:eastAsia="zh-CN"/>
        </w:rPr>
        <w:t>市场项目增加，经营支出较上年有所增长</w:t>
      </w:r>
      <w:r>
        <w:rPr>
          <w:rFonts w:hint="eastAsia" w:ascii="Times New Roman" w:hAnsi="Times New Roman" w:eastAsia="仿宋_GB2312" w:cs="Times New Roman"/>
          <w:sz w:val="32"/>
          <w:szCs w:val="32"/>
          <w:highlight w:val="none"/>
          <w:lang w:eastAsia="zh-CN"/>
        </w:rPr>
        <w:t>。</w:t>
      </w:r>
    </w:p>
    <w:p w14:paraId="6722BE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B9605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本年收入</w:t>
      </w:r>
      <w:r>
        <w:rPr>
          <w:rFonts w:hint="eastAsia" w:ascii="Times New Roman" w:hAnsi="Times New Roman" w:eastAsia="仿宋_GB2312" w:cs="Times New Roman"/>
          <w:sz w:val="32"/>
          <w:szCs w:val="32"/>
          <w:highlight w:val="none"/>
          <w:lang w:val="zh-CN" w:eastAsia="zh-CN"/>
        </w:rPr>
        <w:t>15,808.26</w:t>
      </w:r>
      <w:r>
        <w:rPr>
          <w:rFonts w:hint="eastAsia" w:ascii="Times New Roman" w:hAnsi="Times New Roman" w:eastAsia="仿宋_GB2312" w:cs="Times New Roman"/>
          <w:sz w:val="32"/>
          <w:szCs w:val="32"/>
          <w:highlight w:val="none"/>
          <w:lang w:eastAsia="zh-CN"/>
        </w:rPr>
        <w:t>万元，其中：财政拨款收入</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21.66%</w:t>
      </w:r>
      <w:r>
        <w:rPr>
          <w:rFonts w:hint="eastAsia" w:ascii="Times New Roman" w:hAnsi="Times New Roman" w:eastAsia="仿宋_GB2312" w:cs="Times New Roman"/>
          <w:sz w:val="32"/>
          <w:szCs w:val="32"/>
          <w:highlight w:val="none"/>
          <w:lang w:eastAsia="zh-CN"/>
        </w:rPr>
        <w:t>；上级补助收入</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；事业收入</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；经营收入</w:t>
      </w:r>
      <w:r>
        <w:rPr>
          <w:rFonts w:hint="eastAsia" w:ascii="Times New Roman" w:hAnsi="Times New Roman" w:eastAsia="仿宋_GB2312" w:cs="Times New Roman"/>
          <w:sz w:val="32"/>
          <w:szCs w:val="32"/>
          <w:highlight w:val="none"/>
          <w:lang w:val="zh-CN" w:eastAsia="zh-CN"/>
        </w:rPr>
        <w:t>11,886.22</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75.19%</w:t>
      </w:r>
      <w:r>
        <w:rPr>
          <w:rFonts w:hint="eastAsia" w:ascii="Times New Roman" w:hAnsi="Times New Roman" w:eastAsia="仿宋_GB2312" w:cs="Times New Roman"/>
          <w:sz w:val="32"/>
          <w:szCs w:val="32"/>
          <w:highlight w:val="none"/>
          <w:lang w:eastAsia="zh-CN"/>
        </w:rPr>
        <w:t>；附属单位上缴收入</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；其他收入</w:t>
      </w:r>
      <w:r>
        <w:rPr>
          <w:rFonts w:hint="eastAsia" w:ascii="Times New Roman" w:hAnsi="Times New Roman" w:eastAsia="仿宋_GB2312" w:cs="Times New Roman"/>
          <w:sz w:val="32"/>
          <w:szCs w:val="32"/>
          <w:highlight w:val="none"/>
          <w:lang w:val="zh-CN" w:eastAsia="zh-CN"/>
        </w:rPr>
        <w:t>497.25</w:t>
      </w:r>
      <w:r>
        <w:rPr>
          <w:rFonts w:hint="eastAsia" w:ascii="Times New Roman" w:hAnsi="Times New Roman" w:eastAsia="仿宋_GB2312" w:cs="Times New Roman"/>
          <w:sz w:val="32"/>
          <w:szCs w:val="32"/>
          <w:highlight w:val="none"/>
          <w:lang w:eastAsia="zh-CN"/>
        </w:rPr>
        <w:t>万元，占</w:t>
      </w:r>
      <w:r>
        <w:rPr>
          <w:rFonts w:hint="eastAsia" w:ascii="Times New Roman" w:hAnsi="Times New Roman" w:eastAsia="仿宋_GB2312" w:cs="Times New Roman"/>
          <w:sz w:val="32"/>
          <w:szCs w:val="32"/>
          <w:highlight w:val="none"/>
          <w:lang w:val="zh-CN" w:eastAsia="zh-CN"/>
        </w:rPr>
        <w:t>3.15%</w:t>
      </w:r>
      <w:r>
        <w:rPr>
          <w:rFonts w:hint="eastAsia" w:ascii="Times New Roman" w:hAnsi="Times New Roman" w:eastAsia="仿宋_GB2312" w:cs="Times New Roman"/>
          <w:sz w:val="32"/>
          <w:szCs w:val="32"/>
          <w:highlight w:val="none"/>
          <w:lang w:eastAsia="zh-CN"/>
        </w:rPr>
        <w:t>。</w:t>
      </w:r>
    </w:p>
    <w:p w14:paraId="2B290B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177F77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本年支出16,382.75万元，其中：基本支出3,398.54万元，占20.74%；项目支出1,098.00万元，占6.70%；上缴上级支出0.00万元，占0.00%；经营支出11,886.22万元，占72.55%；对附属单位补助支出0.00万元，占0.00%。</w:t>
      </w:r>
    </w:p>
    <w:p w14:paraId="0097A7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181F3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zh-CN" w:eastAsia="zh-CN"/>
        </w:rPr>
        <w:t>2023</w:t>
      </w:r>
      <w:r>
        <w:rPr>
          <w:rFonts w:hint="eastAsia" w:ascii="Times New Roman" w:hAnsi="Times New Roman" w:eastAsia="仿宋_GB2312" w:cs="Times New Roman"/>
          <w:sz w:val="32"/>
          <w:szCs w:val="32"/>
          <w:highlight w:val="none"/>
          <w:lang w:eastAsia="zh-CN"/>
        </w:rPr>
        <w:t>年度财政拨款收入</w:t>
      </w:r>
      <w:r>
        <w:rPr>
          <w:rFonts w:hint="eastAsia" w:ascii="Times New Roman" w:hAnsi="Times New Roman" w:eastAsia="仿宋_GB2312" w:cs="Times New Roman"/>
          <w:sz w:val="32"/>
          <w:szCs w:val="32"/>
          <w:highlight w:val="none"/>
          <w:lang w:val="en-US" w:eastAsia="zh-CN"/>
        </w:rPr>
        <w:t>总计</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w:t>
      </w:r>
      <w:r>
        <w:rPr>
          <w:rFonts w:hint="eastAsia" w:ascii="Times New Roman" w:hAnsi="Times New Roman" w:eastAsia="仿宋_GB2312" w:cs="Times New Roman"/>
          <w:sz w:val="32"/>
          <w:szCs w:val="32"/>
          <w:highlight w:val="none"/>
          <w:lang w:val="en-US" w:eastAsia="zh-CN"/>
        </w:rPr>
        <w:t>其中：年初财政拨款结转和结余</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万元，</w:t>
      </w:r>
      <w:r>
        <w:rPr>
          <w:rFonts w:hint="eastAsia" w:ascii="Times New Roman" w:hAnsi="Times New Roman" w:eastAsia="仿宋_GB2312" w:cs="Times New Roman"/>
          <w:sz w:val="32"/>
          <w:szCs w:val="32"/>
          <w:highlight w:val="none"/>
          <w:lang w:val="en-US" w:eastAsia="zh-CN"/>
        </w:rPr>
        <w:t>本年财政拨款收入</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万元。财政拨款支出</w:t>
      </w:r>
      <w:r>
        <w:rPr>
          <w:rFonts w:hint="eastAsia" w:ascii="Times New Roman" w:hAnsi="Times New Roman" w:eastAsia="仿宋_GB2312" w:cs="Times New Roman"/>
          <w:sz w:val="32"/>
          <w:szCs w:val="32"/>
          <w:highlight w:val="none"/>
          <w:lang w:val="en-US" w:eastAsia="zh-CN"/>
        </w:rPr>
        <w:t>总计</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w:t>
      </w:r>
      <w:r>
        <w:rPr>
          <w:rFonts w:hint="eastAsia" w:ascii="Times New Roman" w:hAnsi="Times New Roman" w:eastAsia="仿宋_GB2312" w:cs="Times New Roman"/>
          <w:sz w:val="32"/>
          <w:szCs w:val="32"/>
          <w:highlight w:val="none"/>
          <w:lang w:val="en-US" w:eastAsia="zh-CN"/>
        </w:rPr>
        <w:t>其中：年末财政拨款结转和结余</w:t>
      </w:r>
      <w:r>
        <w:rPr>
          <w:rFonts w:hint="eastAsia" w:ascii="Times New Roman" w:hAnsi="Times New Roman" w:eastAsia="仿宋_GB2312" w:cs="Times New Roman"/>
          <w:sz w:val="32"/>
          <w:szCs w:val="32"/>
          <w:highlight w:val="none"/>
          <w:lang w:val="zh-CN" w:eastAsia="zh-CN"/>
        </w:rPr>
        <w:t>0.00</w:t>
      </w:r>
      <w:r>
        <w:rPr>
          <w:rFonts w:hint="eastAsia" w:ascii="Times New Roman" w:hAnsi="Times New Roman" w:eastAsia="仿宋_GB2312" w:cs="Times New Roman"/>
          <w:sz w:val="32"/>
          <w:szCs w:val="32"/>
          <w:highlight w:val="none"/>
          <w:lang w:eastAsia="zh-CN"/>
        </w:rPr>
        <w:t>万元，</w:t>
      </w:r>
      <w:r>
        <w:rPr>
          <w:rFonts w:hint="eastAsia" w:ascii="Times New Roman" w:hAnsi="Times New Roman" w:eastAsia="仿宋_GB2312" w:cs="Times New Roman"/>
          <w:sz w:val="32"/>
          <w:szCs w:val="32"/>
          <w:highlight w:val="none"/>
          <w:lang w:val="en-US" w:eastAsia="zh-CN"/>
        </w:rPr>
        <w:t>本年财政拨款支出</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w:t>
      </w:r>
    </w:p>
    <w:p w14:paraId="3484F4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财政拨款收入支出总体与上年相比</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zh-CN" w:eastAsia="zh-CN"/>
        </w:rPr>
        <w:t>减少1,361.73万元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下降28.45%,</w:t>
      </w:r>
      <w:r>
        <w:rPr>
          <w:rFonts w:hint="eastAsia" w:ascii="Times New Roman" w:hAnsi="Times New Roman" w:eastAsia="仿宋_GB2312" w:cs="Times New Roman"/>
          <w:sz w:val="32"/>
          <w:szCs w:val="32"/>
          <w:highlight w:val="none"/>
          <w:lang w:eastAsia="zh-CN"/>
        </w:rPr>
        <w:t>主要原因是：</w:t>
      </w:r>
      <w:r>
        <w:rPr>
          <w:rFonts w:hint="eastAsia" w:ascii="Times New Roman" w:hAnsi="Times New Roman" w:eastAsia="仿宋_GB2312" w:cs="Times New Roman"/>
          <w:sz w:val="32"/>
          <w:szCs w:val="32"/>
          <w:highlight w:val="none"/>
          <w:lang w:val="en-US" w:eastAsia="zh-CN"/>
        </w:rPr>
        <w:t>本年承揽的财政拨款地质项目较上年减少</w:t>
      </w:r>
      <w:r>
        <w:rPr>
          <w:rFonts w:hint="eastAsia" w:ascii="Times New Roman" w:hAnsi="Times New Roman" w:eastAsia="仿宋_GB2312" w:cs="Times New Roman"/>
          <w:sz w:val="32"/>
          <w:szCs w:val="32"/>
          <w:highlight w:val="none"/>
          <w:lang w:eastAsia="zh-CN"/>
        </w:rPr>
        <w:t>。与年初预算相比，年初预算数</w:t>
      </w:r>
      <w:r>
        <w:rPr>
          <w:rFonts w:hint="eastAsia" w:ascii="Times New Roman" w:hAnsi="Times New Roman" w:eastAsia="仿宋_GB2312" w:cs="Times New Roman"/>
          <w:sz w:val="32"/>
          <w:szCs w:val="32"/>
          <w:highlight w:val="none"/>
          <w:lang w:val="zh-CN" w:eastAsia="zh-CN"/>
        </w:rPr>
        <w:t>2,503.12</w:t>
      </w:r>
      <w:r>
        <w:rPr>
          <w:rFonts w:hint="eastAsia" w:ascii="Times New Roman" w:hAnsi="Times New Roman" w:eastAsia="仿宋_GB2312" w:cs="Times New Roman"/>
          <w:sz w:val="32"/>
          <w:szCs w:val="32"/>
          <w:highlight w:val="none"/>
          <w:lang w:eastAsia="zh-CN"/>
        </w:rPr>
        <w:t>万元，决算数</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万元，预决算差异率</w:t>
      </w:r>
      <w:r>
        <w:rPr>
          <w:rFonts w:hint="eastAsia" w:ascii="Times New Roman" w:hAnsi="Times New Roman" w:eastAsia="仿宋_GB2312" w:cs="Times New Roman"/>
          <w:sz w:val="32"/>
          <w:szCs w:val="32"/>
          <w:highlight w:val="none"/>
          <w:lang w:val="zh-CN" w:eastAsia="zh-CN"/>
        </w:rPr>
        <w:t>36.82%</w:t>
      </w:r>
      <w:r>
        <w:rPr>
          <w:rFonts w:hint="eastAsia" w:ascii="Times New Roman" w:hAnsi="Times New Roman" w:eastAsia="仿宋_GB2312" w:cs="Times New Roman"/>
          <w:sz w:val="32"/>
          <w:szCs w:val="32"/>
          <w:highlight w:val="none"/>
          <w:lang w:eastAsia="zh-CN"/>
        </w:rPr>
        <w:t>，主要原因是：</w:t>
      </w:r>
      <w:r>
        <w:rPr>
          <w:rFonts w:hint="eastAsia" w:ascii="Times New Roman" w:hAnsi="Times New Roman" w:eastAsia="仿宋_GB2312" w:cs="Times New Roman"/>
          <w:sz w:val="32"/>
          <w:szCs w:val="32"/>
          <w:highlight w:val="none"/>
          <w:lang w:val="en-US" w:eastAsia="zh-CN"/>
        </w:rPr>
        <w:t>主要为调增</w:t>
      </w:r>
      <w:r>
        <w:rPr>
          <w:rFonts w:hint="eastAsia" w:ascii="Times New Roman" w:hAnsi="Times New Roman" w:eastAsia="仿宋_GB2312" w:cs="Times New Roman"/>
          <w:sz w:val="32"/>
          <w:szCs w:val="32"/>
          <w:highlight w:val="none"/>
          <w:lang w:eastAsia="zh-CN"/>
        </w:rPr>
        <w:t>基础绩效奖、丧葬费、抚恤金、职业年金、基本工资等，追加地勘基金项目经费</w:t>
      </w:r>
      <w:r>
        <w:rPr>
          <w:rFonts w:hint="eastAsia" w:ascii="Times New Roman" w:hAnsi="Times New Roman" w:eastAsia="仿宋_GB2312" w:cs="Times New Roman"/>
          <w:sz w:val="32"/>
          <w:szCs w:val="32"/>
          <w:highlight w:val="none"/>
          <w:lang w:val="en-US" w:eastAsia="zh-CN"/>
        </w:rPr>
        <w:t>790.00</w:t>
      </w:r>
      <w:r>
        <w:rPr>
          <w:rFonts w:hint="eastAsia" w:ascii="Times New Roman" w:hAnsi="Times New Roman" w:eastAsia="仿宋_GB2312" w:cs="Times New Roman"/>
          <w:sz w:val="32"/>
          <w:szCs w:val="32"/>
          <w:highlight w:val="none"/>
          <w:lang w:eastAsia="zh-CN"/>
        </w:rPr>
        <w:t>万元。</w:t>
      </w:r>
    </w:p>
    <w:p w14:paraId="500263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2456D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74DD9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2023</w:t>
      </w:r>
      <w:r>
        <w:rPr>
          <w:rFonts w:hint="eastAsia" w:ascii="Times New Roman" w:hAnsi="Times New Roman" w:eastAsia="仿宋_GB2312" w:cs="Times New Roman"/>
          <w:sz w:val="32"/>
          <w:szCs w:val="32"/>
          <w:highlight w:val="none"/>
          <w:lang w:eastAsia="zh-CN"/>
        </w:rPr>
        <w:t>年度一般公共预算财政拨款支出</w:t>
      </w:r>
      <w:r>
        <w:rPr>
          <w:rFonts w:hint="eastAsia" w:ascii="Times New Roman" w:hAnsi="Times New Roman" w:eastAsia="仿宋_GB2312" w:cs="Times New Roman"/>
          <w:sz w:val="32"/>
          <w:szCs w:val="32"/>
          <w:highlight w:val="none"/>
          <w:lang w:val="en-US" w:eastAsia="zh-CN"/>
        </w:rPr>
        <w:t>3,424.80</w:t>
      </w:r>
      <w:r>
        <w:rPr>
          <w:rFonts w:hint="eastAsia" w:ascii="Times New Roman" w:hAnsi="Times New Roman" w:eastAsia="仿宋_GB2312" w:cs="Times New Roman"/>
          <w:sz w:val="32"/>
          <w:szCs w:val="32"/>
          <w:highlight w:val="none"/>
          <w:lang w:eastAsia="zh-CN"/>
        </w:rPr>
        <w:t>万元，占本年支出合计的</w:t>
      </w:r>
      <w:r>
        <w:rPr>
          <w:rFonts w:hint="eastAsia" w:ascii="Times New Roman" w:hAnsi="Times New Roman" w:eastAsia="仿宋_GB2312" w:cs="Times New Roman"/>
          <w:sz w:val="32"/>
          <w:szCs w:val="32"/>
          <w:highlight w:val="none"/>
          <w:lang w:val="zh-CN" w:eastAsia="zh-CN"/>
        </w:rPr>
        <w:t>20.90%</w:t>
      </w:r>
      <w:r>
        <w:rPr>
          <w:rFonts w:hint="eastAsia" w:ascii="Times New Roman" w:hAnsi="Times New Roman" w:eastAsia="仿宋_GB2312" w:cs="Times New Roman"/>
          <w:sz w:val="32"/>
          <w:szCs w:val="32"/>
          <w:highlight w:val="none"/>
          <w:lang w:eastAsia="zh-CN"/>
        </w:rPr>
        <w:t>。与上年相比，</w:t>
      </w:r>
      <w:r>
        <w:rPr>
          <w:rFonts w:hint="eastAsia" w:ascii="Times New Roman" w:hAnsi="Times New Roman" w:eastAsia="仿宋_GB2312" w:cs="Times New Roman"/>
          <w:sz w:val="32"/>
          <w:szCs w:val="32"/>
          <w:highlight w:val="none"/>
          <w:lang w:val="zh-CN" w:eastAsia="zh-CN"/>
        </w:rPr>
        <w:t>减少550.39万元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下降13.85%,</w:t>
      </w:r>
      <w:r>
        <w:rPr>
          <w:rFonts w:hint="eastAsia" w:ascii="Times New Roman" w:hAnsi="Times New Roman" w:eastAsia="仿宋_GB2312" w:cs="Times New Roman"/>
          <w:sz w:val="32"/>
          <w:szCs w:val="32"/>
          <w:highlight w:val="none"/>
          <w:lang w:eastAsia="zh-CN"/>
        </w:rPr>
        <w:t>主要原因是：地勘基金项目经费</w:t>
      </w:r>
      <w:r>
        <w:rPr>
          <w:rFonts w:hint="eastAsia" w:ascii="Times New Roman" w:hAnsi="Times New Roman" w:eastAsia="仿宋_GB2312" w:cs="Times New Roman"/>
          <w:sz w:val="32"/>
          <w:szCs w:val="32"/>
          <w:highlight w:val="none"/>
          <w:lang w:val="en-US" w:eastAsia="zh-CN"/>
        </w:rPr>
        <w:t>较上年减少</w:t>
      </w:r>
      <w:r>
        <w:rPr>
          <w:rFonts w:hint="eastAsia" w:ascii="Times New Roman" w:hAnsi="Times New Roman" w:eastAsia="仿宋_GB2312" w:cs="Times New Roman"/>
          <w:sz w:val="32"/>
          <w:szCs w:val="32"/>
          <w:highlight w:val="none"/>
          <w:lang w:eastAsia="zh-CN"/>
        </w:rPr>
        <w:t>。与年初预算相比，年初预算数</w:t>
      </w:r>
      <w:r>
        <w:rPr>
          <w:rFonts w:hint="eastAsia" w:ascii="Times New Roman" w:hAnsi="Times New Roman" w:eastAsia="仿宋_GB2312" w:cs="Times New Roman"/>
          <w:sz w:val="32"/>
          <w:szCs w:val="32"/>
          <w:highlight w:val="none"/>
          <w:lang w:val="zh-CN" w:eastAsia="zh-CN"/>
        </w:rPr>
        <w:t>2,503.12</w:t>
      </w:r>
      <w:r>
        <w:rPr>
          <w:rFonts w:hint="eastAsia" w:ascii="Times New Roman" w:hAnsi="Times New Roman" w:eastAsia="仿宋_GB2312" w:cs="Times New Roman"/>
          <w:sz w:val="32"/>
          <w:szCs w:val="32"/>
          <w:highlight w:val="none"/>
          <w:lang w:eastAsia="zh-CN"/>
        </w:rPr>
        <w:t>万元，决算数</w:t>
      </w:r>
      <w:r>
        <w:rPr>
          <w:rFonts w:hint="eastAsia" w:ascii="Times New Roman" w:hAnsi="Times New Roman" w:eastAsia="仿宋_GB2312" w:cs="Times New Roman"/>
          <w:sz w:val="32"/>
          <w:szCs w:val="32"/>
          <w:highlight w:val="none"/>
          <w:lang w:val="zh-CN" w:eastAsia="zh-CN"/>
        </w:rPr>
        <w:t>3,424.80</w:t>
      </w:r>
      <w:r>
        <w:rPr>
          <w:rFonts w:hint="eastAsia" w:ascii="Times New Roman" w:hAnsi="Times New Roman" w:eastAsia="仿宋_GB2312" w:cs="Times New Roman"/>
          <w:sz w:val="32"/>
          <w:szCs w:val="32"/>
          <w:highlight w:val="none"/>
          <w:lang w:eastAsia="zh-CN"/>
        </w:rPr>
        <w:t>万元，预决算差异率</w:t>
      </w:r>
      <w:r>
        <w:rPr>
          <w:rFonts w:hint="eastAsia" w:ascii="Times New Roman" w:hAnsi="Times New Roman" w:eastAsia="仿宋_GB2312" w:cs="Times New Roman"/>
          <w:sz w:val="32"/>
          <w:szCs w:val="32"/>
          <w:highlight w:val="none"/>
          <w:lang w:val="zh-CN" w:eastAsia="zh-CN"/>
        </w:rPr>
        <w:t>36.82%</w:t>
      </w:r>
      <w:r>
        <w:rPr>
          <w:rFonts w:hint="eastAsia" w:ascii="Times New Roman" w:hAnsi="Times New Roman" w:eastAsia="仿宋_GB2312" w:cs="Times New Roman"/>
          <w:sz w:val="32"/>
          <w:szCs w:val="32"/>
          <w:highlight w:val="none"/>
          <w:lang w:eastAsia="zh-CN"/>
        </w:rPr>
        <w:t>，主要原因是：</w:t>
      </w:r>
      <w:r>
        <w:rPr>
          <w:rFonts w:hint="eastAsia" w:ascii="Times New Roman" w:hAnsi="Times New Roman" w:eastAsia="仿宋_GB2312" w:cs="Times New Roman"/>
          <w:sz w:val="32"/>
          <w:szCs w:val="32"/>
          <w:highlight w:val="none"/>
          <w:lang w:val="en-US" w:eastAsia="zh-CN"/>
        </w:rPr>
        <w:t>主要为调增</w:t>
      </w:r>
      <w:r>
        <w:rPr>
          <w:rFonts w:hint="eastAsia" w:ascii="Times New Roman" w:hAnsi="Times New Roman" w:eastAsia="仿宋_GB2312" w:cs="Times New Roman"/>
          <w:sz w:val="32"/>
          <w:szCs w:val="32"/>
          <w:highlight w:val="none"/>
          <w:lang w:eastAsia="zh-CN"/>
        </w:rPr>
        <w:t>基础绩效奖、丧葬费、抚恤金、职业年金、基本工资等，追加地勘基金项目经费</w:t>
      </w:r>
      <w:r>
        <w:rPr>
          <w:rFonts w:hint="eastAsia" w:ascii="Times New Roman" w:hAnsi="Times New Roman" w:eastAsia="仿宋_GB2312" w:cs="Times New Roman"/>
          <w:sz w:val="32"/>
          <w:szCs w:val="32"/>
          <w:highlight w:val="none"/>
          <w:lang w:val="en-US" w:eastAsia="zh-CN"/>
        </w:rPr>
        <w:t>790.00</w:t>
      </w:r>
      <w:r>
        <w:rPr>
          <w:rFonts w:hint="eastAsia" w:ascii="Times New Roman" w:hAnsi="Times New Roman" w:eastAsia="仿宋_GB2312" w:cs="Times New Roman"/>
          <w:sz w:val="32"/>
          <w:szCs w:val="32"/>
          <w:highlight w:val="none"/>
          <w:lang w:val="zh-CN" w:eastAsia="zh-CN"/>
        </w:rPr>
        <w:t>万</w:t>
      </w:r>
      <w:r>
        <w:rPr>
          <w:rFonts w:hint="eastAsia" w:ascii="Times New Roman" w:hAnsi="Times New Roman" w:eastAsia="仿宋_GB2312" w:cs="Times New Roman"/>
          <w:sz w:val="32"/>
          <w:szCs w:val="32"/>
          <w:highlight w:val="none"/>
          <w:lang w:eastAsia="zh-CN"/>
        </w:rPr>
        <w:t>元。</w:t>
      </w:r>
    </w:p>
    <w:p w14:paraId="503449B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A3BE2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zh-CN" w:eastAsia="zh-CN"/>
        </w:rPr>
        <w:t>.社会保障和就业支出（类）</w:t>
      </w:r>
      <w:r>
        <w:rPr>
          <w:rFonts w:hint="eastAsia" w:ascii="Times New Roman" w:hAnsi="Times New Roman" w:eastAsia="仿宋_GB2312" w:cs="Times New Roman"/>
          <w:sz w:val="32"/>
          <w:szCs w:val="32"/>
          <w:highlight w:val="none"/>
          <w:lang w:val="zh-CN" w:eastAsia="zh-CN"/>
        </w:rPr>
        <w:t>844.54</w:t>
      </w:r>
      <w:r>
        <w:rPr>
          <w:rFonts w:hint="default" w:ascii="Times New Roman" w:hAnsi="Times New Roman" w:eastAsia="仿宋_GB2312" w:cs="Times New Roman"/>
          <w:sz w:val="32"/>
          <w:szCs w:val="32"/>
          <w:highlight w:val="none"/>
          <w:lang w:val="zh-CN" w:eastAsia="zh-CN"/>
        </w:rPr>
        <w:t>万元，占</w:t>
      </w:r>
      <w:r>
        <w:rPr>
          <w:rFonts w:hint="eastAsia" w:ascii="Times New Roman" w:hAnsi="Times New Roman" w:eastAsia="仿宋_GB2312" w:cs="Times New Roman"/>
          <w:sz w:val="32"/>
          <w:szCs w:val="32"/>
          <w:highlight w:val="none"/>
          <w:lang w:val="zh-CN" w:eastAsia="zh-CN"/>
        </w:rPr>
        <w:t>24.66</w:t>
      </w:r>
      <w:r>
        <w:rPr>
          <w:rFonts w:hint="default" w:ascii="Times New Roman" w:hAnsi="Times New Roman" w:eastAsia="仿宋_GB2312" w:cs="Times New Roman"/>
          <w:sz w:val="32"/>
          <w:szCs w:val="32"/>
          <w:highlight w:val="none"/>
          <w:lang w:val="zh-CN" w:eastAsia="zh-CN"/>
        </w:rPr>
        <w:t>%；</w:t>
      </w:r>
    </w:p>
    <w:p w14:paraId="2FCE49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zh-CN" w:eastAsia="zh-CN"/>
        </w:rPr>
        <w:t>.卫生健康支出（类）</w:t>
      </w:r>
      <w:r>
        <w:rPr>
          <w:rFonts w:hint="eastAsia" w:ascii="Times New Roman" w:hAnsi="Times New Roman" w:eastAsia="仿宋_GB2312" w:cs="Times New Roman"/>
          <w:sz w:val="32"/>
          <w:szCs w:val="32"/>
          <w:highlight w:val="none"/>
          <w:lang w:val="zh-CN" w:eastAsia="zh-CN"/>
        </w:rPr>
        <w:t>249.76</w:t>
      </w:r>
      <w:r>
        <w:rPr>
          <w:rFonts w:hint="default" w:ascii="Times New Roman" w:hAnsi="Times New Roman" w:eastAsia="仿宋_GB2312" w:cs="Times New Roman"/>
          <w:sz w:val="32"/>
          <w:szCs w:val="32"/>
          <w:highlight w:val="none"/>
          <w:lang w:val="zh-CN" w:eastAsia="zh-CN"/>
        </w:rPr>
        <w:t>万元，占</w:t>
      </w:r>
      <w:r>
        <w:rPr>
          <w:rFonts w:hint="eastAsia" w:ascii="Times New Roman" w:hAnsi="Times New Roman" w:eastAsia="仿宋_GB2312" w:cs="Times New Roman"/>
          <w:sz w:val="32"/>
          <w:szCs w:val="32"/>
          <w:highlight w:val="none"/>
          <w:lang w:val="zh-CN" w:eastAsia="zh-CN"/>
        </w:rPr>
        <w:t>7.29</w:t>
      </w:r>
      <w:r>
        <w:rPr>
          <w:rFonts w:hint="default" w:ascii="Times New Roman" w:hAnsi="Times New Roman" w:eastAsia="仿宋_GB2312" w:cs="Times New Roman"/>
          <w:sz w:val="32"/>
          <w:szCs w:val="32"/>
          <w:highlight w:val="none"/>
          <w:lang w:val="zh-CN" w:eastAsia="zh-CN"/>
        </w:rPr>
        <w:t>%；</w:t>
      </w:r>
    </w:p>
    <w:p w14:paraId="6C3A8A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zh-CN" w:eastAsia="zh-CN"/>
        </w:rPr>
        <w:t>.自然资源海洋气象等支出（类）</w:t>
      </w:r>
      <w:r>
        <w:rPr>
          <w:rFonts w:hint="eastAsia" w:ascii="Times New Roman" w:hAnsi="Times New Roman" w:eastAsia="仿宋_GB2312" w:cs="Times New Roman"/>
          <w:sz w:val="32"/>
          <w:szCs w:val="32"/>
          <w:highlight w:val="none"/>
          <w:lang w:val="zh-CN" w:eastAsia="zh-CN"/>
        </w:rPr>
        <w:t>1,928.80</w:t>
      </w:r>
      <w:r>
        <w:rPr>
          <w:rFonts w:hint="default" w:ascii="Times New Roman" w:hAnsi="Times New Roman" w:eastAsia="仿宋_GB2312" w:cs="Times New Roman"/>
          <w:sz w:val="32"/>
          <w:szCs w:val="32"/>
          <w:highlight w:val="none"/>
          <w:lang w:val="zh-CN" w:eastAsia="zh-CN"/>
        </w:rPr>
        <w:t>万元，占</w:t>
      </w:r>
      <w:r>
        <w:rPr>
          <w:rFonts w:hint="eastAsia" w:ascii="Times New Roman" w:hAnsi="Times New Roman" w:eastAsia="仿宋_GB2312" w:cs="Times New Roman"/>
          <w:sz w:val="32"/>
          <w:szCs w:val="32"/>
          <w:highlight w:val="none"/>
          <w:lang w:val="zh-CN" w:eastAsia="zh-CN"/>
        </w:rPr>
        <w:t>56.32</w:t>
      </w:r>
      <w:r>
        <w:rPr>
          <w:rFonts w:hint="default" w:ascii="Times New Roman" w:hAnsi="Times New Roman" w:eastAsia="仿宋_GB2312" w:cs="Times New Roman"/>
          <w:sz w:val="32"/>
          <w:szCs w:val="32"/>
          <w:highlight w:val="none"/>
          <w:lang w:val="zh-CN" w:eastAsia="zh-CN"/>
        </w:rPr>
        <w:t>%；</w:t>
      </w:r>
    </w:p>
    <w:p w14:paraId="462771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zh-CN" w:eastAsia="zh-CN"/>
        </w:rPr>
        <w:t>.住房保障支出（类）</w:t>
      </w:r>
      <w:r>
        <w:rPr>
          <w:rFonts w:hint="eastAsia" w:ascii="Times New Roman" w:hAnsi="Times New Roman" w:eastAsia="仿宋_GB2312" w:cs="Times New Roman"/>
          <w:sz w:val="32"/>
          <w:szCs w:val="32"/>
          <w:highlight w:val="none"/>
          <w:lang w:val="zh-CN" w:eastAsia="zh-CN"/>
        </w:rPr>
        <w:t>401.70</w:t>
      </w:r>
      <w:r>
        <w:rPr>
          <w:rFonts w:hint="default" w:ascii="Times New Roman" w:hAnsi="Times New Roman" w:eastAsia="仿宋_GB2312" w:cs="Times New Roman"/>
          <w:sz w:val="32"/>
          <w:szCs w:val="32"/>
          <w:highlight w:val="none"/>
          <w:lang w:val="zh-CN" w:eastAsia="zh-CN"/>
        </w:rPr>
        <w:t>万元，占</w:t>
      </w:r>
      <w:r>
        <w:rPr>
          <w:rFonts w:hint="eastAsia" w:ascii="Times New Roman" w:hAnsi="Times New Roman" w:eastAsia="仿宋_GB2312" w:cs="Times New Roman"/>
          <w:sz w:val="32"/>
          <w:szCs w:val="32"/>
          <w:highlight w:val="none"/>
          <w:lang w:val="zh-CN" w:eastAsia="zh-CN"/>
        </w:rPr>
        <w:t>11.73</w:t>
      </w:r>
      <w:r>
        <w:rPr>
          <w:rFonts w:hint="default" w:ascii="Times New Roman" w:hAnsi="Times New Roman" w:eastAsia="仿宋_GB2312" w:cs="Times New Roman"/>
          <w:sz w:val="32"/>
          <w:szCs w:val="32"/>
          <w:highlight w:val="none"/>
          <w:lang w:val="zh-CN" w:eastAsia="zh-CN"/>
        </w:rPr>
        <w:t>%；</w:t>
      </w:r>
    </w:p>
    <w:p w14:paraId="5B2AA2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320C4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1.自然资源海洋气象等支出（类）自然资源事务（款）地质勘查与矿产资源管理（项）:支出决算数为719.00万元，比上年决算减少623.32万元，下降46.44%，主要原因是：</w:t>
      </w:r>
      <w:r>
        <w:rPr>
          <w:rFonts w:hint="eastAsia" w:ascii="Times New Roman" w:hAnsi="Times New Roman" w:eastAsia="仿宋_GB2312" w:cs="Times New Roman"/>
          <w:sz w:val="32"/>
          <w:szCs w:val="32"/>
          <w:highlight w:val="none"/>
          <w:lang w:val="zh-CN" w:eastAsia="zh-CN"/>
        </w:rPr>
        <w:t>本年承揽的地勘基金项目</w:t>
      </w:r>
      <w:r>
        <w:rPr>
          <w:rFonts w:hint="eastAsia" w:ascii="Times New Roman" w:hAnsi="Times New Roman" w:eastAsia="仿宋_GB2312" w:cs="Times New Roman"/>
          <w:sz w:val="32"/>
          <w:szCs w:val="32"/>
          <w:highlight w:val="none"/>
          <w:lang w:val="en-US" w:eastAsia="zh-CN"/>
        </w:rPr>
        <w:t>拨款</w:t>
      </w:r>
      <w:r>
        <w:rPr>
          <w:rFonts w:hint="eastAsia" w:ascii="Times New Roman" w:hAnsi="Times New Roman" w:eastAsia="仿宋_GB2312" w:cs="Times New Roman"/>
          <w:sz w:val="32"/>
          <w:szCs w:val="32"/>
          <w:highlight w:val="none"/>
          <w:lang w:val="zh-CN" w:eastAsia="zh-CN"/>
        </w:rPr>
        <w:t>较去年减少，项目支出较去年有所减少。</w:t>
      </w:r>
    </w:p>
    <w:p w14:paraId="61A889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2.卫生健康支出（类）行政事业单位医疗（款）事业单位医疗（项）:支出决算数为179.23万元，比上年决算增加43.56万元，增长32.11%，主要原因是：</w:t>
      </w:r>
      <w:r>
        <w:rPr>
          <w:rFonts w:hint="eastAsia" w:ascii="Times New Roman" w:hAnsi="Times New Roman" w:eastAsia="仿宋_GB2312" w:cs="Times New Roman"/>
          <w:sz w:val="32"/>
          <w:szCs w:val="32"/>
          <w:highlight w:val="none"/>
          <w:lang w:val="zh-CN" w:eastAsia="zh-CN"/>
        </w:rPr>
        <w:t>在职人员工资增长导致事业单位医疗款</w:t>
      </w:r>
      <w:r>
        <w:rPr>
          <w:rFonts w:hint="eastAsia" w:ascii="Times New Roman" w:hAnsi="Times New Roman" w:eastAsia="仿宋_GB2312" w:cs="Times New Roman"/>
          <w:sz w:val="32"/>
          <w:szCs w:val="32"/>
          <w:highlight w:val="none"/>
          <w:lang w:val="en-US" w:eastAsia="zh-CN"/>
        </w:rPr>
        <w:t>增长</w:t>
      </w:r>
      <w:r>
        <w:rPr>
          <w:rFonts w:hint="eastAsia" w:ascii="Times New Roman" w:hAnsi="Times New Roman" w:eastAsia="仿宋_GB2312" w:cs="Times New Roman"/>
          <w:sz w:val="32"/>
          <w:szCs w:val="32"/>
          <w:highlight w:val="none"/>
          <w:lang w:val="zh-CN" w:eastAsia="zh-CN"/>
        </w:rPr>
        <w:t>。</w:t>
      </w:r>
    </w:p>
    <w:p w14:paraId="77AE57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3.卫生健康支出（类）行政事业单位医疗（款）公务员医疗补助（项）:支出决算数为70.53万元，比上年</w:t>
      </w:r>
      <w:bookmarkStart w:id="48" w:name="_GoBack"/>
      <w:bookmarkEnd w:id="48"/>
      <w:r>
        <w:rPr>
          <w:rFonts w:hint="eastAsia" w:ascii="Times New Roman" w:hAnsi="Times New Roman" w:eastAsia="仿宋_GB2312" w:cs="Times New Roman"/>
          <w:sz w:val="32"/>
          <w:szCs w:val="32"/>
          <w:highlight w:val="none"/>
          <w:lang w:val="en-US" w:eastAsia="zh-CN"/>
        </w:rPr>
        <w:t>决算增加2.70万元，增长3.9</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%，主要原因是：</w:t>
      </w:r>
      <w:r>
        <w:rPr>
          <w:rFonts w:hint="eastAsia" w:ascii="Times New Roman" w:hAnsi="Times New Roman" w:eastAsia="仿宋_GB2312" w:cs="Times New Roman"/>
          <w:sz w:val="32"/>
          <w:szCs w:val="32"/>
          <w:highlight w:val="none"/>
          <w:lang w:val="zh-CN" w:eastAsia="zh-CN"/>
        </w:rPr>
        <w:t>在职人员工资增长导致公务员医疗补助</w:t>
      </w:r>
      <w:r>
        <w:rPr>
          <w:rFonts w:hint="eastAsia" w:ascii="Times New Roman" w:hAnsi="Times New Roman" w:eastAsia="仿宋_GB2312" w:cs="Times New Roman"/>
          <w:sz w:val="32"/>
          <w:szCs w:val="32"/>
          <w:highlight w:val="none"/>
          <w:lang w:val="en-US" w:eastAsia="zh-CN"/>
        </w:rPr>
        <w:t>增加</w:t>
      </w:r>
      <w:r>
        <w:rPr>
          <w:rFonts w:hint="eastAsia" w:ascii="Times New Roman" w:hAnsi="Times New Roman" w:eastAsia="仿宋_GB2312" w:cs="Times New Roman"/>
          <w:sz w:val="32"/>
          <w:szCs w:val="32"/>
          <w:highlight w:val="none"/>
          <w:lang w:val="zh-CN" w:eastAsia="zh-CN"/>
        </w:rPr>
        <w:t>。</w:t>
      </w:r>
    </w:p>
    <w:p w14:paraId="1DA4B6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4.住房保障支出（类）住房改革支出（款）住房公积金（项）:支出决算数为401.70万元，比上年决算增加38.09万元，增长10.48%，主要原因是：</w:t>
      </w:r>
      <w:r>
        <w:rPr>
          <w:rFonts w:hint="eastAsia" w:ascii="Times New Roman" w:hAnsi="Times New Roman" w:eastAsia="仿宋_GB2312" w:cs="Times New Roman"/>
          <w:sz w:val="32"/>
          <w:szCs w:val="32"/>
          <w:highlight w:val="none"/>
          <w:lang w:val="zh-CN" w:eastAsia="zh-CN"/>
        </w:rPr>
        <w:t>在职人员工资增长导致住房公积金缴费基数增长。</w:t>
      </w:r>
    </w:p>
    <w:p w14:paraId="224AAA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5.自然资源海洋气象等支出（类）自然资源事务（款）事业运行（项）:支出决算数为1,209.80万元，比上年决算增加63.15万元，增长5.51%，主要原因是：</w:t>
      </w:r>
      <w:r>
        <w:rPr>
          <w:rFonts w:hint="eastAsia" w:ascii="Times New Roman" w:hAnsi="Times New Roman" w:eastAsia="仿宋_GB2312" w:cs="Times New Roman"/>
          <w:sz w:val="32"/>
          <w:szCs w:val="32"/>
          <w:highlight w:val="none"/>
          <w:lang w:val="zh-CN" w:eastAsia="zh-CN"/>
        </w:rPr>
        <w:t>事业运行费较上年增加，主要包含追加的工资增资、津贴补贴、丧葬费抚恤金等。</w:t>
      </w:r>
    </w:p>
    <w:p w14:paraId="598EF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6.社会保障和就业支出（类）行政事业单位养老支出（款）事业单位离退休（项）:支出决算数为286.68万元，比上年决算减少89.76万元，下降23.84%，主要原因是：</w:t>
      </w:r>
      <w:r>
        <w:rPr>
          <w:rFonts w:hint="eastAsia" w:ascii="Times New Roman" w:hAnsi="Times New Roman" w:eastAsia="仿宋_GB2312" w:cs="Times New Roman"/>
          <w:sz w:val="32"/>
          <w:szCs w:val="32"/>
          <w:highlight w:val="none"/>
          <w:lang w:val="zh-CN" w:eastAsia="zh-CN"/>
        </w:rPr>
        <w:t>退休人员减少导致工资补贴、医疗费减少。</w:t>
      </w:r>
    </w:p>
    <w:p w14:paraId="65D0F3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7.社会保障和就业支出（类）行政事业单位养老支出（款）机关事业单位职业年金缴费支出（项）:支出决算数为185.96万元，比上年决算增加5.07万元，增长2.80%，主要原因是：</w:t>
      </w:r>
      <w:r>
        <w:rPr>
          <w:rFonts w:hint="eastAsia" w:ascii="Times New Roman" w:hAnsi="Times New Roman" w:eastAsia="仿宋_GB2312" w:cs="Times New Roman"/>
          <w:sz w:val="32"/>
          <w:szCs w:val="32"/>
          <w:highlight w:val="none"/>
          <w:lang w:val="zh-CN" w:eastAsia="zh-CN"/>
        </w:rPr>
        <w:t>在职人员工资增长导致职业年金缴费基数增长。</w:t>
      </w:r>
    </w:p>
    <w:p w14:paraId="0B24EA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sz w:val="32"/>
          <w:szCs w:val="32"/>
          <w:highlight w:val="none"/>
          <w:lang w:val="en-US" w:eastAsia="zh-CN"/>
        </w:rPr>
        <w:t>8.社会保障和就业支出（类）行政事业单位养老支出（款）机关事业单位基本养老保险缴费支出（项）:支出决算数为371.90万元，比上年决算增加10.12万元，增长2.80%，主要原因是：</w:t>
      </w:r>
      <w:r>
        <w:rPr>
          <w:rFonts w:hint="eastAsia" w:ascii="Times New Roman" w:hAnsi="Times New Roman" w:eastAsia="仿宋_GB2312" w:cs="Times New Roman"/>
          <w:sz w:val="32"/>
          <w:szCs w:val="32"/>
          <w:highlight w:val="none"/>
          <w:lang w:val="zh-CN" w:eastAsia="zh-CN"/>
        </w:rPr>
        <w:t>在职人员工资增长导致养老保险缴费基数增长。</w:t>
      </w:r>
    </w:p>
    <w:p w14:paraId="34BEA9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77829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2023年度一般公共预算财政拨款基本支出2,705.80万元，其中：人员经费2,705.80万元，包括：基本工资、津贴补贴、奖金、机关事业单位基本养老保险缴费、职业年金缴费、职工基本医疗保险缴费、公务员医疗补助缴费、其他社会保障缴费、住房公积金、离休费、退休费、抚恤金、医疗费补助、其他对个人和家庭的补助。</w:t>
      </w:r>
    </w:p>
    <w:p w14:paraId="542BE4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公用经费0.00万元，包括：无公用经费。</w:t>
      </w:r>
    </w:p>
    <w:p w14:paraId="0E25EC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9F0C6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财政拨款</w:t>
      </w:r>
      <w:r>
        <w:rPr>
          <w:rFonts w:hint="eastAsia" w:ascii="Times New Roman" w:hAnsi="Times New Roman" w:eastAsia="仿宋_GB2312" w:cs="Times New Roman"/>
          <w:sz w:val="32"/>
          <w:szCs w:val="32"/>
          <w:highlight w:val="none"/>
          <w:lang w:val="zh-CN" w:eastAsia="zh-CN"/>
        </w:rPr>
        <w:t>“三公”经费支出0.00万元，</w:t>
      </w:r>
      <w:r>
        <w:rPr>
          <w:rFonts w:hint="eastAsia" w:ascii="Times New Roman" w:hAnsi="Times New Roman" w:eastAsia="仿宋_GB2312" w:cs="Times New Roman"/>
          <w:sz w:val="32"/>
          <w:szCs w:val="32"/>
          <w:highlight w:val="none"/>
          <w:lang w:val="en-US" w:eastAsia="zh-CN"/>
        </w:rPr>
        <w:t>比上年</w:t>
      </w:r>
      <w:r>
        <w:rPr>
          <w:rFonts w:hint="eastAsia" w:ascii="Times New Roman" w:hAnsi="Times New Roman" w:eastAsia="仿宋_GB2312" w:cs="Times New Roman"/>
          <w:sz w:val="32"/>
          <w:szCs w:val="32"/>
          <w:highlight w:val="none"/>
          <w:lang w:val="zh-CN" w:eastAsia="zh-CN"/>
        </w:rPr>
        <w:t>增加0.00万元，</w:t>
      </w:r>
      <w:r>
        <w:rPr>
          <w:rFonts w:hint="eastAsia" w:ascii="Times New Roman" w:hAnsi="Times New Roman" w:eastAsia="仿宋_GB2312" w:cs="Times New Roman"/>
          <w:sz w:val="32"/>
          <w:szCs w:val="32"/>
          <w:highlight w:val="none"/>
          <w:lang w:val="en-US" w:eastAsia="zh-CN"/>
        </w:rPr>
        <w:t>增长0.00%,</w:t>
      </w:r>
      <w:r>
        <w:rPr>
          <w:rFonts w:hint="eastAsia" w:ascii="Times New Roman" w:hAnsi="Times New Roman" w:eastAsia="仿宋_GB2312" w:cs="Times New Roman"/>
          <w:sz w:val="32"/>
          <w:szCs w:val="32"/>
          <w:highlight w:val="none"/>
          <w:lang w:val="zh-CN" w:eastAsia="zh-CN"/>
        </w:rPr>
        <w:t>主要原因是：我单位无财政拨款“三公”经费支出。其中：因公出国（境）费支出0.00万元，占0.00%，比上年增加0.00万元，</w:t>
      </w:r>
      <w:r>
        <w:rPr>
          <w:rFonts w:hint="eastAsia" w:ascii="Times New Roman" w:hAnsi="Times New Roman" w:eastAsia="仿宋_GB2312" w:cs="Times New Roman"/>
          <w:sz w:val="32"/>
          <w:szCs w:val="32"/>
          <w:highlight w:val="none"/>
          <w:lang w:val="en-US" w:eastAsia="zh-CN"/>
        </w:rPr>
        <w:t>增长0.00%,</w:t>
      </w:r>
      <w:r>
        <w:rPr>
          <w:rFonts w:hint="eastAsia" w:ascii="Times New Roman" w:hAnsi="Times New Roman" w:eastAsia="仿宋_GB2312" w:cs="Times New Roman"/>
          <w:sz w:val="32"/>
          <w:szCs w:val="32"/>
          <w:highlight w:val="none"/>
          <w:lang w:val="zh-CN" w:eastAsia="zh-CN"/>
        </w:rPr>
        <w:t>主要原因是：我单位无因公出国（境）费；公务用车购置及运行维护费支出0.00万元，占0.00%，比上年增加0.00万元，</w:t>
      </w:r>
      <w:r>
        <w:rPr>
          <w:rFonts w:hint="eastAsia" w:ascii="Times New Roman" w:hAnsi="Times New Roman" w:eastAsia="仿宋_GB2312" w:cs="Times New Roman"/>
          <w:sz w:val="32"/>
          <w:szCs w:val="32"/>
          <w:highlight w:val="none"/>
          <w:lang w:val="en-US" w:eastAsia="zh-CN"/>
        </w:rPr>
        <w:t>增长0.00%,</w:t>
      </w:r>
      <w:r>
        <w:rPr>
          <w:rFonts w:hint="eastAsia" w:ascii="Times New Roman" w:hAnsi="Times New Roman" w:eastAsia="仿宋_GB2312" w:cs="Times New Roman"/>
          <w:sz w:val="32"/>
          <w:szCs w:val="32"/>
          <w:highlight w:val="none"/>
          <w:lang w:val="zh-CN" w:eastAsia="zh-CN"/>
        </w:rPr>
        <w:t>主要原因是：我单位无公务用车购置及运行维护费；公务接待费支出0.00万元，占0.00%，比上年增加0.00万元，</w:t>
      </w:r>
      <w:r>
        <w:rPr>
          <w:rFonts w:hint="eastAsia" w:ascii="Times New Roman" w:hAnsi="Times New Roman" w:eastAsia="仿宋_GB2312" w:cs="Times New Roman"/>
          <w:sz w:val="32"/>
          <w:szCs w:val="32"/>
          <w:highlight w:val="none"/>
          <w:lang w:val="en-US" w:eastAsia="zh-CN"/>
        </w:rPr>
        <w:t>增长0.00%,</w:t>
      </w:r>
      <w:r>
        <w:rPr>
          <w:rFonts w:hint="eastAsia" w:ascii="Times New Roman" w:hAnsi="Times New Roman" w:eastAsia="仿宋_GB2312" w:cs="Times New Roman"/>
          <w:sz w:val="32"/>
          <w:szCs w:val="32"/>
          <w:highlight w:val="none"/>
          <w:lang w:val="zh-CN" w:eastAsia="zh-CN"/>
        </w:rPr>
        <w:t>主要原因是：我单位无公务接待费。</w:t>
      </w:r>
    </w:p>
    <w:p w14:paraId="5F7C09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具体情况如下：</w:t>
      </w:r>
    </w:p>
    <w:p w14:paraId="259D47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因公出国（境）费支出0.00万元，开支内容包括我单位无因公出国（境）费。单位全年安排的因公出国（境）团组0个，因公出国（境）0人次。</w:t>
      </w:r>
    </w:p>
    <w:p w14:paraId="61446A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Times New Roman" w:hAnsi="Times New Roman" w:eastAsia="仿宋_GB2312" w:cs="Times New Roman"/>
          <w:sz w:val="32"/>
          <w:szCs w:val="32"/>
          <w:highlight w:val="none"/>
          <w:lang w:val="en-US" w:eastAsia="zh-CN"/>
        </w:rPr>
        <w:t>中固定资产车辆</w:t>
      </w:r>
      <w:r>
        <w:rPr>
          <w:rFonts w:hint="eastAsia" w:ascii="Times New Roman" w:hAnsi="Times New Roman" w:eastAsia="仿宋_GB2312" w:cs="Times New Roman"/>
          <w:sz w:val="32"/>
          <w:szCs w:val="32"/>
          <w:highlight w:val="none"/>
          <w:lang w:val="zh-CN" w:eastAsia="zh-CN"/>
        </w:rPr>
        <w:t>16辆，</w:t>
      </w:r>
      <w:r>
        <w:rPr>
          <w:rFonts w:hint="eastAsia" w:ascii="Times New Roman" w:hAnsi="Times New Roman" w:eastAsia="仿宋_GB2312" w:cs="Times New Roman"/>
          <w:sz w:val="32"/>
          <w:szCs w:val="32"/>
          <w:highlight w:val="none"/>
          <w:lang w:val="en-US" w:eastAsia="zh-CN"/>
        </w:rPr>
        <w:t>与</w:t>
      </w:r>
      <w:r>
        <w:rPr>
          <w:rFonts w:hint="eastAsia" w:ascii="Times New Roman" w:hAnsi="Times New Roman" w:eastAsia="仿宋_GB2312" w:cs="Times New Roman"/>
          <w:sz w:val="32"/>
          <w:szCs w:val="32"/>
          <w:highlight w:val="none"/>
          <w:lang w:val="zh-CN" w:eastAsia="zh-CN"/>
        </w:rPr>
        <w:t>公务用车</w:t>
      </w:r>
      <w:r>
        <w:rPr>
          <w:rFonts w:hint="eastAsia" w:ascii="Times New Roman" w:hAnsi="Times New Roman" w:eastAsia="仿宋_GB2312" w:cs="Times New Roman"/>
          <w:sz w:val="32"/>
          <w:szCs w:val="32"/>
          <w:highlight w:val="none"/>
          <w:lang w:val="en-US" w:eastAsia="zh-CN"/>
        </w:rPr>
        <w:t>保有量差异</w:t>
      </w:r>
      <w:r>
        <w:rPr>
          <w:rFonts w:hint="eastAsia" w:ascii="Times New Roman" w:hAnsi="Times New Roman" w:eastAsia="仿宋_GB2312" w:cs="Times New Roman"/>
          <w:sz w:val="32"/>
          <w:szCs w:val="32"/>
          <w:highlight w:val="none"/>
          <w:lang w:val="zh-CN" w:eastAsia="zh-CN"/>
        </w:rPr>
        <w:t>原因是：</w:t>
      </w:r>
      <w:r>
        <w:rPr>
          <w:rFonts w:hint="eastAsia" w:ascii="Times New Roman" w:hAnsi="Times New Roman" w:eastAsia="仿宋_GB2312" w:cs="Times New Roman"/>
          <w:sz w:val="32"/>
          <w:szCs w:val="32"/>
          <w:highlight w:val="none"/>
          <w:lang w:val="en-US" w:eastAsia="zh-CN"/>
        </w:rPr>
        <w:t>固定资产中的14辆车均已无法使用并且已申请报废</w:t>
      </w:r>
      <w:r>
        <w:rPr>
          <w:rFonts w:hint="eastAsia" w:eastAsia="仿宋_GB2312" w:cs="Times New Roman"/>
          <w:sz w:val="32"/>
          <w:szCs w:val="32"/>
          <w:highlight w:val="none"/>
          <w:lang w:val="en-US" w:eastAsia="zh-CN"/>
        </w:rPr>
        <w:t>，其余2辆车为业务用车，经费支出由单位其他收入承担</w:t>
      </w:r>
      <w:r>
        <w:rPr>
          <w:rFonts w:hint="eastAsia" w:ascii="Times New Roman" w:hAnsi="Times New Roman" w:eastAsia="仿宋_GB2312" w:cs="Times New Roman"/>
          <w:sz w:val="32"/>
          <w:szCs w:val="32"/>
          <w:highlight w:val="none"/>
          <w:lang w:val="zh-CN" w:eastAsia="zh-CN"/>
        </w:rPr>
        <w:t>。</w:t>
      </w:r>
    </w:p>
    <w:p w14:paraId="262096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公务接待费0.00万元，开支内容包括我单位无公务接待费。单位全年安排的国内公务接待0批次，0人次。</w:t>
      </w:r>
    </w:p>
    <w:p w14:paraId="4A7A84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与</w:t>
      </w:r>
      <w:r>
        <w:rPr>
          <w:rFonts w:hint="eastAsia" w:ascii="Times New Roman" w:hAnsi="Times New Roman" w:eastAsia="仿宋_GB2312" w:cs="Times New Roman"/>
          <w:sz w:val="32"/>
          <w:szCs w:val="32"/>
          <w:highlight w:val="none"/>
          <w:lang w:val="en-US" w:eastAsia="zh-CN"/>
        </w:rPr>
        <w:t>全年</w:t>
      </w:r>
      <w:r>
        <w:rPr>
          <w:rFonts w:hint="eastAsia" w:ascii="Times New Roman" w:hAnsi="Times New Roman" w:eastAsia="仿宋_GB2312" w:cs="Times New Roman"/>
          <w:sz w:val="32"/>
          <w:szCs w:val="32"/>
          <w:highlight w:val="none"/>
          <w:lang w:val="zh-CN" w:eastAsia="zh-CN"/>
        </w:rPr>
        <w:t>预算相比</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zh-CN" w:eastAsia="zh-CN"/>
        </w:rPr>
        <w:t>财政拨款“三公”经费支出</w:t>
      </w:r>
      <w:r>
        <w:rPr>
          <w:rFonts w:hint="eastAsia" w:ascii="Times New Roman" w:hAnsi="Times New Roman" w:eastAsia="仿宋_GB2312" w:cs="Times New Roman"/>
          <w:sz w:val="32"/>
          <w:szCs w:val="32"/>
          <w:highlight w:val="none"/>
          <w:lang w:val="en-US" w:eastAsia="zh-CN"/>
        </w:rPr>
        <w:t>全年</w:t>
      </w:r>
      <w:r>
        <w:rPr>
          <w:rFonts w:hint="eastAsia" w:ascii="Times New Roman" w:hAnsi="Times New Roman" w:eastAsia="仿宋_GB2312" w:cs="Times New Roman"/>
          <w:sz w:val="32"/>
          <w:szCs w:val="32"/>
          <w:highlight w:val="none"/>
          <w:lang w:val="zh-CN" w:eastAsia="zh-CN"/>
        </w:rPr>
        <w:t>预算数0.00万元，决算数0.00万元，预决算差异率0.00%，主要原因是：我单位无财政拨款“三公”经费支出。其中：因公出国（境）费</w:t>
      </w:r>
      <w:r>
        <w:rPr>
          <w:rFonts w:hint="eastAsia" w:ascii="Times New Roman" w:hAnsi="Times New Roman" w:eastAsia="仿宋_GB2312" w:cs="Times New Roman"/>
          <w:sz w:val="32"/>
          <w:szCs w:val="32"/>
          <w:highlight w:val="none"/>
          <w:lang w:val="en-US" w:eastAsia="zh-CN"/>
        </w:rPr>
        <w:t>全年预算数</w:t>
      </w:r>
      <w:r>
        <w:rPr>
          <w:rFonts w:hint="eastAsia" w:ascii="Times New Roman" w:hAnsi="Times New Roman" w:eastAsia="仿宋_GB2312" w:cs="Times New Roman"/>
          <w:sz w:val="32"/>
          <w:szCs w:val="32"/>
          <w:highlight w:val="none"/>
          <w:lang w:val="zh-CN" w:eastAsia="zh-CN"/>
        </w:rPr>
        <w:t>0.00万元，决算数0.00万元，预决算差异率0.00%，主要原因是：我单位无因公出国（境）费；公务用车购置费</w:t>
      </w:r>
      <w:r>
        <w:rPr>
          <w:rFonts w:hint="eastAsia" w:ascii="Times New Roman" w:hAnsi="Times New Roman" w:eastAsia="仿宋_GB2312" w:cs="Times New Roman"/>
          <w:sz w:val="32"/>
          <w:szCs w:val="32"/>
          <w:highlight w:val="none"/>
          <w:lang w:val="en-US" w:eastAsia="zh-CN"/>
        </w:rPr>
        <w:t>全年</w:t>
      </w:r>
      <w:r>
        <w:rPr>
          <w:rFonts w:hint="eastAsia" w:ascii="Times New Roman" w:hAnsi="Times New Roman" w:eastAsia="仿宋_GB2312" w:cs="Times New Roman"/>
          <w:sz w:val="32"/>
          <w:szCs w:val="32"/>
          <w:highlight w:val="none"/>
          <w:lang w:val="zh-CN" w:eastAsia="zh-CN"/>
        </w:rPr>
        <w:t>预算数0.00万元，决算数0.00万元，预决算差异率0.00%，主要原因是：我单位无公务用车购置费；公务用车运行费</w:t>
      </w:r>
      <w:r>
        <w:rPr>
          <w:rFonts w:hint="eastAsia" w:ascii="Times New Roman" w:hAnsi="Times New Roman" w:eastAsia="仿宋_GB2312" w:cs="Times New Roman"/>
          <w:sz w:val="32"/>
          <w:szCs w:val="32"/>
          <w:highlight w:val="none"/>
          <w:lang w:val="en-US" w:eastAsia="zh-CN"/>
        </w:rPr>
        <w:t>全年</w:t>
      </w:r>
      <w:r>
        <w:rPr>
          <w:rFonts w:hint="eastAsia" w:ascii="Times New Roman" w:hAnsi="Times New Roman" w:eastAsia="仿宋_GB2312" w:cs="Times New Roman"/>
          <w:sz w:val="32"/>
          <w:szCs w:val="32"/>
          <w:highlight w:val="none"/>
          <w:lang w:val="zh-CN" w:eastAsia="zh-CN"/>
        </w:rPr>
        <w:t>预算数0.00万元，决算数0.00万元，预决算差异率0.00%，主要原因是：我单位无公务用车运行维护费；公务接待费</w:t>
      </w:r>
      <w:r>
        <w:rPr>
          <w:rFonts w:hint="eastAsia" w:ascii="Times New Roman" w:hAnsi="Times New Roman" w:eastAsia="仿宋_GB2312" w:cs="Times New Roman"/>
          <w:sz w:val="32"/>
          <w:szCs w:val="32"/>
          <w:highlight w:val="none"/>
          <w:lang w:val="en-US" w:eastAsia="zh-CN"/>
        </w:rPr>
        <w:t>全年</w:t>
      </w:r>
      <w:r>
        <w:rPr>
          <w:rFonts w:hint="eastAsia" w:ascii="Times New Roman" w:hAnsi="Times New Roman" w:eastAsia="仿宋_GB2312" w:cs="Times New Roman"/>
          <w:sz w:val="32"/>
          <w:szCs w:val="32"/>
          <w:highlight w:val="none"/>
          <w:lang w:val="zh-CN" w:eastAsia="zh-CN"/>
        </w:rPr>
        <w:t>预算数0.00万元，决算数0.00万元，预决算差异率0.00%，主要原因是：我单位无公务接待费。</w:t>
      </w:r>
    </w:p>
    <w:p w14:paraId="19B984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1BCBD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6058D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A9FA9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A4514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BF3E0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667F5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en-US" w:eastAsia="zh-CN" w:bidi="ar-SA"/>
        </w:rPr>
      </w:pPr>
      <w:bookmarkStart w:id="24" w:name="_Toc227"/>
      <w:bookmarkStart w:id="25" w:name="_Toc26704"/>
      <w:r>
        <w:rPr>
          <w:rFonts w:hint="eastAsia" w:ascii="Times New Roman" w:hAnsi="Times New Roman" w:eastAsia="仿宋_GB2312" w:cs="Times New Roman"/>
          <w:color w:val="auto"/>
          <w:kern w:val="2"/>
          <w:sz w:val="32"/>
          <w:szCs w:val="32"/>
          <w:highlight w:val="none"/>
          <w:lang w:val="zh-CN" w:eastAsia="zh-CN" w:bidi="ar-SA"/>
        </w:rPr>
        <w:t>2023年度</w:t>
      </w:r>
      <w:r>
        <w:rPr>
          <w:rFonts w:hint="eastAsia" w:ascii="Times New Roman" w:hAnsi="Times New Roman" w:eastAsia="仿宋_GB2312" w:cs="Times New Roman"/>
          <w:color w:val="auto"/>
          <w:kern w:val="2"/>
          <w:sz w:val="32"/>
          <w:szCs w:val="32"/>
          <w:highlight w:val="none"/>
          <w:lang w:val="en-US" w:eastAsia="zh-CN" w:bidi="ar-SA"/>
        </w:rPr>
        <w:t>新疆维吾尔自治区地质矿产勘查开发局第三地质大队（事业单位）公用经费支出0.00万元，</w:t>
      </w:r>
      <w:r>
        <w:rPr>
          <w:rFonts w:hint="eastAsia" w:ascii="Times New Roman" w:hAnsi="Times New Roman" w:eastAsia="仿宋_GB2312" w:cs="Times New Roman"/>
          <w:color w:val="auto"/>
          <w:kern w:val="2"/>
          <w:sz w:val="32"/>
          <w:szCs w:val="32"/>
          <w:highlight w:val="none"/>
          <w:lang w:val="zh-CN" w:eastAsia="zh-CN" w:bidi="ar-SA"/>
        </w:rPr>
        <w:t>比上年增加0.00万元，增长0.00%，主要原因是：我单位为差额拨款事业单位，“机关运行经费”由单位经营收入承担，年初未向财政申请预算。</w:t>
      </w:r>
    </w:p>
    <w:bookmarkEnd w:id="24"/>
    <w:bookmarkEnd w:id="25"/>
    <w:p w14:paraId="2811B3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p>
    <w:p w14:paraId="6141CF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2023年度政府采购支出总额855.22万元，其中：政府采购货物支出853.05万元、政府采购工程支出0.00万元、政府采购服务支出2.17万元。</w:t>
      </w:r>
    </w:p>
    <w:p w14:paraId="782F17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zh-CN" w:eastAsia="zh-CN" w:bidi="ar-SA"/>
        </w:rPr>
        <w:t>授予中小企业合同金额855.22万元，占政府采购支出总额的100.00</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，其中：授予小微企业合同金额853.05万元，占政府采购支出总额的99.75</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w:t>
      </w:r>
    </w:p>
    <w:p w14:paraId="2E6514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4141D6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截至2023</w:t>
      </w:r>
      <w:r>
        <w:rPr>
          <w:rFonts w:hint="eastAsia" w:ascii="Times New Roman" w:hAnsi="Times New Roman" w:eastAsia="仿宋_GB2312" w:cs="Times New Roman"/>
          <w:color w:val="auto"/>
          <w:kern w:val="2"/>
          <w:sz w:val="32"/>
          <w:szCs w:val="32"/>
          <w:highlight w:val="none"/>
          <w:lang w:val="zh-CN" w:eastAsia="zh-CN" w:bidi="ar-SA"/>
        </w:rPr>
        <w:t>年</w:t>
      </w:r>
      <w:r>
        <w:rPr>
          <w:rFonts w:hint="eastAsia" w:ascii="Times New Roman" w:hAnsi="Times New Roman" w:eastAsia="仿宋_GB2312" w:cs="Times New Roman"/>
          <w:color w:val="auto"/>
          <w:kern w:val="2"/>
          <w:sz w:val="32"/>
          <w:szCs w:val="32"/>
          <w:highlight w:val="none"/>
          <w:lang w:val="en-US" w:eastAsia="zh-CN" w:bidi="ar-SA"/>
        </w:rPr>
        <w:t>12月31日</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固定资产原值</w:t>
      </w:r>
      <w:r>
        <w:rPr>
          <w:rFonts w:hint="eastAsia" w:ascii="Times New Roman" w:hAnsi="Times New Roman" w:eastAsia="仿宋_GB2312" w:cs="Times New Roman"/>
          <w:color w:val="auto"/>
          <w:kern w:val="2"/>
          <w:sz w:val="32"/>
          <w:szCs w:val="32"/>
          <w:highlight w:val="none"/>
          <w:lang w:val="zh-CN" w:eastAsia="zh-CN" w:bidi="ar-SA"/>
        </w:rPr>
        <w:t>25,395.21</w:t>
      </w:r>
      <w:r>
        <w:rPr>
          <w:rFonts w:hint="eastAsia" w:ascii="Times New Roman" w:hAnsi="Times New Roman" w:eastAsia="仿宋_GB2312" w:cs="Times New Roman"/>
          <w:color w:val="auto"/>
          <w:kern w:val="2"/>
          <w:sz w:val="32"/>
          <w:szCs w:val="32"/>
          <w:highlight w:val="none"/>
          <w:lang w:val="en-US" w:eastAsia="zh-CN" w:bidi="ar-SA"/>
        </w:rPr>
        <w:t>万元，房</w:t>
      </w:r>
      <w:r>
        <w:rPr>
          <w:rFonts w:hint="eastAsia" w:ascii="Times New Roman" w:hAnsi="Times New Roman" w:eastAsia="仿宋_GB2312" w:cs="Times New Roman"/>
          <w:color w:val="auto"/>
          <w:kern w:val="2"/>
          <w:sz w:val="32"/>
          <w:szCs w:val="32"/>
          <w:highlight w:val="none"/>
          <w:lang w:val="zh-CN" w:eastAsia="zh-CN" w:bidi="ar-SA"/>
        </w:rPr>
        <w:t>屋121,013.62平方米，价值20,467.11万元。车辆16辆，价值478.00万元，其中：副部（省）级及以上领导用车0辆、主要</w:t>
      </w:r>
      <w:r>
        <w:rPr>
          <w:rFonts w:hint="eastAsia" w:ascii="Times New Roman" w:hAnsi="Times New Roman" w:eastAsia="仿宋_GB2312" w:cs="Times New Roman"/>
          <w:color w:val="auto"/>
          <w:kern w:val="2"/>
          <w:sz w:val="32"/>
          <w:szCs w:val="32"/>
          <w:highlight w:val="none"/>
          <w:lang w:val="en-US" w:eastAsia="zh-CN" w:bidi="ar-SA"/>
        </w:rPr>
        <w:t>负责人</w:t>
      </w:r>
      <w:r>
        <w:rPr>
          <w:rFonts w:hint="eastAsia" w:ascii="Times New Roman" w:hAnsi="Times New Roman" w:eastAsia="仿宋_GB2312" w:cs="Times New Roman"/>
          <w:color w:val="auto"/>
          <w:kern w:val="2"/>
          <w:sz w:val="32"/>
          <w:szCs w:val="32"/>
          <w:highlight w:val="none"/>
          <w:lang w:val="zh-CN" w:eastAsia="zh-CN" w:bidi="ar-SA"/>
        </w:rPr>
        <w:t>用车0辆、机要通信用车0辆、应急保障用车0辆、执法执勤用车0辆、特种专业技术用车3辆、离退休干部</w:t>
      </w:r>
      <w:r>
        <w:rPr>
          <w:rFonts w:hint="eastAsia" w:ascii="Times New Roman" w:hAnsi="Times New Roman" w:eastAsia="仿宋_GB2312" w:cs="Times New Roman"/>
          <w:color w:val="auto"/>
          <w:kern w:val="2"/>
          <w:sz w:val="32"/>
          <w:szCs w:val="32"/>
          <w:highlight w:val="none"/>
          <w:lang w:val="en-US" w:eastAsia="zh-CN" w:bidi="ar-SA"/>
        </w:rPr>
        <w:t>服务</w:t>
      </w:r>
      <w:r>
        <w:rPr>
          <w:rFonts w:hint="eastAsia" w:ascii="Times New Roman" w:hAnsi="Times New Roman" w:eastAsia="仿宋_GB2312" w:cs="Times New Roman"/>
          <w:color w:val="auto"/>
          <w:kern w:val="2"/>
          <w:sz w:val="32"/>
          <w:szCs w:val="32"/>
          <w:highlight w:val="none"/>
          <w:lang w:val="zh-CN" w:eastAsia="zh-CN" w:bidi="ar-SA"/>
        </w:rPr>
        <w:t>用车0辆、其他用车13辆，其他用车主要是：野外作业用车，多为皮卡车；单价100万元（含）以上设备（不含车辆）6</w:t>
      </w:r>
      <w:r>
        <w:rPr>
          <w:rFonts w:hint="eastAsia" w:ascii="Times New Roman" w:hAnsi="Times New Roman" w:eastAsia="仿宋_GB2312" w:cs="Times New Roman"/>
          <w:color w:val="auto"/>
          <w:kern w:val="2"/>
          <w:sz w:val="32"/>
          <w:szCs w:val="32"/>
          <w:highlight w:val="none"/>
          <w:lang w:val="en-US" w:eastAsia="zh-CN" w:bidi="ar-SA"/>
        </w:rPr>
        <w:t>台（</w:t>
      </w:r>
      <w:r>
        <w:rPr>
          <w:rFonts w:hint="eastAsia" w:ascii="Times New Roman" w:hAnsi="Times New Roman" w:eastAsia="仿宋_GB2312" w:cs="Times New Roman"/>
          <w:color w:val="auto"/>
          <w:kern w:val="2"/>
          <w:sz w:val="32"/>
          <w:szCs w:val="32"/>
          <w:highlight w:val="none"/>
          <w:lang w:val="zh-CN" w:eastAsia="zh-CN" w:bidi="ar-SA"/>
        </w:rPr>
        <w:t>套）。</w:t>
      </w:r>
    </w:p>
    <w:p w14:paraId="7206F1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31F9D4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根据预算绩效管理要求，我</w:t>
      </w:r>
      <w:r>
        <w:rPr>
          <w:rFonts w:hint="eastAsia" w:ascii="Times New Roman" w:hAnsi="Times New Roman" w:eastAsia="仿宋_GB2312" w:cs="Times New Roman"/>
          <w:color w:val="auto"/>
          <w:kern w:val="2"/>
          <w:sz w:val="32"/>
          <w:szCs w:val="32"/>
          <w:highlight w:val="none"/>
          <w:lang w:val="en-US" w:eastAsia="zh-CN" w:bidi="ar-SA"/>
        </w:rPr>
        <w:t>单位</w:t>
      </w:r>
      <w:r>
        <w:rPr>
          <w:rFonts w:hint="eastAsia" w:ascii="Times New Roman" w:hAnsi="Times New Roman" w:eastAsia="仿宋_GB2312" w:cs="Times New Roman"/>
          <w:color w:val="auto"/>
          <w:kern w:val="2"/>
          <w:sz w:val="32"/>
          <w:szCs w:val="32"/>
          <w:highlight w:val="none"/>
          <w:lang w:val="zh-CN" w:eastAsia="zh-CN" w:bidi="ar-SA"/>
        </w:rPr>
        <w:t>2023年度预算绩效管理整体</w:t>
      </w:r>
      <w:r>
        <w:rPr>
          <w:rFonts w:hint="eastAsia" w:ascii="Times New Roman" w:hAnsi="Times New Roman"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zh-CN" w:eastAsia="zh-CN" w:bidi="ar-SA"/>
        </w:rPr>
        <w:t>绩效自评表</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个，预算总额0</w:t>
      </w:r>
      <w:r>
        <w:rPr>
          <w:rFonts w:hint="eastAsia" w:ascii="Times New Roman" w:hAnsi="Times New Roman" w:eastAsia="仿宋_GB2312" w:cs="Times New Roman"/>
          <w:color w:val="auto"/>
          <w:kern w:val="2"/>
          <w:sz w:val="32"/>
          <w:szCs w:val="32"/>
          <w:highlight w:val="none"/>
          <w:lang w:val="zh-CN" w:eastAsia="zh-CN" w:bidi="ar-SA"/>
        </w:rPr>
        <w:t>万元，</w:t>
      </w:r>
      <w:r>
        <w:rPr>
          <w:rFonts w:hint="eastAsia" w:ascii="Times New Roman" w:hAnsi="Times New Roman" w:eastAsia="仿宋_GB2312" w:cs="Times New Roman"/>
          <w:color w:val="auto"/>
          <w:kern w:val="2"/>
          <w:sz w:val="32"/>
          <w:szCs w:val="32"/>
          <w:highlight w:val="none"/>
          <w:lang w:val="en-US" w:eastAsia="zh-CN" w:bidi="ar-SA"/>
        </w:rPr>
        <w:t>实际执行总额0</w:t>
      </w:r>
      <w:r>
        <w:rPr>
          <w:rFonts w:hint="eastAsia" w:ascii="Times New Roman" w:hAnsi="Times New Roman" w:eastAsia="仿宋_GB2312" w:cs="Times New Roman"/>
          <w:color w:val="auto"/>
          <w:kern w:val="2"/>
          <w:sz w:val="32"/>
          <w:szCs w:val="32"/>
          <w:highlight w:val="none"/>
          <w:lang w:val="zh-CN" w:eastAsia="zh-CN" w:bidi="ar-SA"/>
        </w:rPr>
        <w:t>万元</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我单位整体</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绩效</w:t>
      </w:r>
      <w:r>
        <w:rPr>
          <w:rFonts w:hint="eastAsia" w:eastAsia="仿宋_GB2312" w:cs="Times New Roman"/>
          <w:color w:val="auto"/>
          <w:kern w:val="2"/>
          <w:sz w:val="32"/>
          <w:szCs w:val="32"/>
          <w:highlight w:val="none"/>
          <w:lang w:val="en-US" w:eastAsia="zh-CN" w:bidi="ar-SA"/>
        </w:rPr>
        <w:t>自评表</w:t>
      </w:r>
      <w:r>
        <w:rPr>
          <w:rFonts w:hint="eastAsia" w:ascii="Times New Roman" w:hAnsi="Times New Roman" w:eastAsia="仿宋_GB2312" w:cs="Times New Roman"/>
          <w:color w:val="auto"/>
          <w:kern w:val="2"/>
          <w:sz w:val="32"/>
          <w:szCs w:val="32"/>
          <w:highlight w:val="none"/>
          <w:lang w:val="en-US" w:eastAsia="zh-CN" w:bidi="ar-SA"/>
        </w:rPr>
        <w:t>由主管部门</w:t>
      </w:r>
      <w:r>
        <w:rPr>
          <w:rFonts w:hint="eastAsia" w:eastAsia="仿宋_GB2312" w:cs="Times New Roman"/>
          <w:color w:val="auto"/>
          <w:kern w:val="2"/>
          <w:sz w:val="32"/>
          <w:szCs w:val="32"/>
          <w:highlight w:val="none"/>
          <w:lang w:val="en-US" w:eastAsia="zh-CN" w:bidi="ar-SA"/>
        </w:rPr>
        <w:t>编报及公开。</w:t>
      </w:r>
      <w:r>
        <w:rPr>
          <w:rFonts w:hint="eastAsia" w:ascii="Times New Roman" w:hAnsi="Times New Roman" w:eastAsia="仿宋_GB2312" w:cs="Times New Roman"/>
          <w:color w:val="auto"/>
          <w:kern w:val="2"/>
          <w:sz w:val="32"/>
          <w:szCs w:val="32"/>
          <w:highlight w:val="none"/>
          <w:lang w:val="zh-CN" w:eastAsia="zh-CN" w:bidi="ar-SA"/>
        </w:rPr>
        <w:t>预算绩效评价项目</w:t>
      </w:r>
      <w:r>
        <w:rPr>
          <w:rFonts w:hint="eastAsia" w:ascii="Times New Roman" w:hAnsi="Times New Roman"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zh-CN" w:eastAsia="zh-CN" w:bidi="ar-SA"/>
        </w:rPr>
        <w:t>个，</w:t>
      </w:r>
      <w:r>
        <w:rPr>
          <w:rFonts w:hint="eastAsia" w:ascii="Times New Roman" w:hAnsi="Times New Roman" w:eastAsia="仿宋_GB2312" w:cs="Times New Roman"/>
          <w:color w:val="auto"/>
          <w:kern w:val="2"/>
          <w:sz w:val="32"/>
          <w:szCs w:val="32"/>
          <w:highlight w:val="none"/>
          <w:lang w:val="en-US" w:eastAsia="zh-CN" w:bidi="ar-SA"/>
        </w:rPr>
        <w:t>其中SM项目1个，全年预算数66</w:t>
      </w: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.32</w:t>
      </w:r>
      <w:r>
        <w:rPr>
          <w:rFonts w:hint="eastAsia" w:ascii="Times New Roman" w:hAnsi="Times New Roman" w:eastAsia="仿宋_GB2312" w:cs="Times New Roman"/>
          <w:color w:val="auto"/>
          <w:kern w:val="2"/>
          <w:sz w:val="32"/>
          <w:szCs w:val="32"/>
          <w:highlight w:val="none"/>
          <w:lang w:val="zh-CN" w:eastAsia="zh-CN" w:bidi="ar-SA"/>
        </w:rPr>
        <w:t>万元，</w:t>
      </w:r>
      <w:r>
        <w:rPr>
          <w:rFonts w:hint="eastAsia" w:ascii="Times New Roman" w:hAnsi="Times New Roman" w:eastAsia="仿宋_GB2312" w:cs="Times New Roman"/>
          <w:color w:val="auto"/>
          <w:kern w:val="2"/>
          <w:sz w:val="32"/>
          <w:szCs w:val="32"/>
          <w:highlight w:val="none"/>
          <w:lang w:val="en-US" w:eastAsia="zh-CN" w:bidi="ar-SA"/>
        </w:rPr>
        <w:t>全年执行数66</w:t>
      </w: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.32</w:t>
      </w:r>
      <w:r>
        <w:rPr>
          <w:rFonts w:hint="eastAsia" w:ascii="Times New Roman" w:hAnsi="Times New Roman" w:eastAsia="仿宋_GB2312" w:cs="Times New Roman"/>
          <w:color w:val="auto"/>
          <w:kern w:val="2"/>
          <w:sz w:val="32"/>
          <w:szCs w:val="32"/>
          <w:highlight w:val="none"/>
          <w:lang w:val="zh-CN" w:eastAsia="zh-CN" w:bidi="ar-SA"/>
        </w:rPr>
        <w:t>万元，预算绩效管理取得的成效：202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以来，我队持续狠抓绩效管理成效，做好预算编制有目标、预算执行有监控、预算完成有评价、评价结果有反馈、反馈结果有应用各个环节，全程实施预算绩效管理，取得了用绩效冲风险的良好效能。一是做优事前绩效指标，将预算项目绩效目标事前评价与预算编制紧密结合。在202</w:t>
      </w:r>
      <w:r>
        <w:rPr>
          <w:rFonts w:hint="eastAsia" w:ascii="Times New Roman" w:hAnsi="Times New Roman"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预算编制过程中，我队所有预算部门都实现了绩效目标管理与部门预算编制一同申报、一同审核、一同批复，做到了一般公共预算全覆盖且常态化。在年度中追加资金时，按要求报送追加申请项目库的同时，将绩效目标一同申报，努力使预算绩效管理渗透到所有项目资金。通过设定便于衡量、分析、比较和评价的靶向目标，将绩效目标的个性指标细化量化，确保项目建设严格按既定绩效目标运行。另一方面，持续探索推进事前绩效评估工作，将绩效结果与绩效应用挂钩，从项目决策情况、项目过程情况、项目产出情况、项目效益情况四个方面开展绩效评价事前评估工作。二是做细事中跟踪评价，将年度预算绩效目标执行情况跟踪监控与预算项目调整紧密结合。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将部门预算项目绩效目标与资金指标同时下达执行，充分发挥基础建设设施改造及办公设备采购项目资金实时动态监控；加强绩效信息采集工作，定期跟踪和监控绩效信息，将绩效监控与财务工作监督检查相结合，使预算执行与绩效运行双监控已成为预算管理常态，每笔资金的拨付使用都能监测到绩效指标的动态变化。以预算批复时确定的绩效目标为基准，若出现预算支出绩效运行与绩效目标相违背的情况，及时采取措施调整。通过事中绩效监督对财政支出行为过程，尤其是预期结果进行客观、公正的制约和反馈，从而不断完善项目管理，进一步落实支出责任，加快预算执行进度，更好的实现绩效目标。三是做深事后综合评价，积极开展绩效自评，让各部门对自评的责任意识有所提升，反映资金绩效存在问题的相对真实。四是做实评价结果应用，将上年度的绩效事后评价结果与下年部门预算编制紧密结合，结果应用是发挥绩效管理效能的关键。按照谁主管、谁使用、谁负责的原则，深化我队绩效责任主体意识，及时反馈结果，并跟踪整改落实情况。</w:t>
      </w:r>
    </w:p>
    <w:p w14:paraId="002348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发现的问题及原因：一是因部门预算在制定时未能对第二年的经济形势有正确的预估预判，无法确定来年项目来源，导致制定的预算与本年实际存在差异。二是与当前自治区关于预算绩效管理高标准、严要求、精细化管理差距较大。</w:t>
      </w:r>
    </w:p>
    <w:p w14:paraId="2816CA1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下一步改进措施：一是今后上报部门预算时，进行更加充分的调查和研究，尽量做到全口径预算，对需采购设备单价、性能进行更精确的预计，并适应单位的发展方向；二是做到编制的精确科学，在以后预算编制中，采用科学的预算编制方法，提高预算编制和科学性、严肃性及绩效性。从实际需要出发，逐项审议预算费用的内容和开支标准，以如何发挥资金的最大效益为目标进行预算编制。三是加强项目的过程管理，过程中掌握预算的执行情况。对实施的项目开展绩效跟踪工作，加强项目实施的过程监管，及时掌握项目进度，并建立好相关台账。纠正项目实施中的偏差，有效促进项目的进展，实现项目目标。四是提高部门人员、项目负责人对绩效评价的认识，今后，持续组织各科室加强项目绩效管理学习，不断提高思想认识，进一步细化、量化指标督导考核，保证绩效指标的明确性、合理性和准确性，确保按时实现项目绩效目标。提高绩效评价工作重视程度，多科室联合行动，完善和丰富绩效评价资料，及时开展项目自评，并形成系统规范的报告。具体项目自评情况附绩效自评表</w:t>
      </w:r>
      <w:r>
        <w:rPr>
          <w:rFonts w:hint="eastAsia" w:ascii="Times New Roman" w:hAnsi="Times New Roman" w:eastAsia="仿宋_GB2312" w:cs="Times New Roman"/>
          <w:color w:val="auto"/>
          <w:kern w:val="2"/>
          <w:sz w:val="32"/>
          <w:szCs w:val="32"/>
          <w:highlight w:val="none"/>
          <w:lang w:val="en-US" w:eastAsia="zh-CN" w:bidi="ar-SA"/>
        </w:rPr>
        <w:t>及自评报告</w:t>
      </w:r>
      <w:r>
        <w:rPr>
          <w:rFonts w:hint="eastAsia" w:ascii="Times New Roman" w:hAnsi="Times New Roman" w:eastAsia="仿宋_GB2312" w:cs="Times New Roman"/>
          <w:color w:val="auto"/>
          <w:kern w:val="2"/>
          <w:sz w:val="32"/>
          <w:szCs w:val="32"/>
          <w:highlight w:val="none"/>
          <w:lang w:val="zh-CN" w:eastAsia="zh-CN" w:bidi="ar-SA"/>
        </w:rPr>
        <w:t>。</w:t>
      </w:r>
    </w:p>
    <w:p w14:paraId="5A72486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E65F00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Hans" w:bidi="ar-SA"/>
        </w:rPr>
        <w:t>我单位</w:t>
      </w:r>
      <w:r>
        <w:rPr>
          <w:rFonts w:hint="eastAsia" w:eastAsia="仿宋_GB2312" w:cs="Times New Roman"/>
          <w:color w:val="auto"/>
          <w:kern w:val="2"/>
          <w:sz w:val="32"/>
          <w:szCs w:val="32"/>
          <w:highlight w:val="none"/>
          <w:lang w:val="en-US" w:eastAsia="zh-CN" w:bidi="ar-SA"/>
        </w:rPr>
        <w:t>sm</w:t>
      </w:r>
      <w:r>
        <w:rPr>
          <w:rFonts w:hint="eastAsia" w:ascii="Times New Roman" w:hAnsi="Times New Roman" w:eastAsia="仿宋_GB2312" w:cs="Times New Roman"/>
          <w:color w:val="auto"/>
          <w:kern w:val="2"/>
          <w:sz w:val="32"/>
          <w:szCs w:val="32"/>
          <w:highlight w:val="none"/>
          <w:lang w:val="en-US" w:eastAsia="zh-Hans" w:bidi="ar-SA"/>
        </w:rPr>
        <w:t>项目</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Hans" w:bidi="ar-SA"/>
        </w:rPr>
        <w:t>个，全年预算数</w:t>
      </w:r>
      <w:r>
        <w:rPr>
          <w:rFonts w:hint="eastAsia" w:ascii="Times New Roman" w:hAnsi="Times New Roman" w:eastAsia="仿宋_GB2312" w:cs="Times New Roman"/>
          <w:color w:val="auto"/>
          <w:kern w:val="2"/>
          <w:sz w:val="32"/>
          <w:szCs w:val="32"/>
          <w:highlight w:val="none"/>
          <w:lang w:val="en-US" w:eastAsia="zh-CN" w:bidi="ar-SA"/>
        </w:rPr>
        <w:t>23.00</w:t>
      </w:r>
      <w:r>
        <w:rPr>
          <w:rFonts w:hint="eastAsia" w:ascii="Times New Roman" w:hAnsi="Times New Roman" w:eastAsia="仿宋_GB2312" w:cs="Times New Roman"/>
          <w:color w:val="auto"/>
          <w:kern w:val="2"/>
          <w:sz w:val="32"/>
          <w:szCs w:val="32"/>
          <w:highlight w:val="none"/>
          <w:lang w:val="en-US" w:eastAsia="zh-Hans" w:bidi="ar-SA"/>
        </w:rPr>
        <w:t>万元，全年执行数</w:t>
      </w:r>
      <w:r>
        <w:rPr>
          <w:rFonts w:hint="eastAsia" w:ascii="Times New Roman" w:hAnsi="Times New Roman" w:eastAsia="仿宋_GB2312" w:cs="Times New Roman"/>
          <w:color w:val="auto"/>
          <w:kern w:val="2"/>
          <w:sz w:val="32"/>
          <w:szCs w:val="32"/>
          <w:highlight w:val="none"/>
          <w:lang w:val="en-US" w:eastAsia="zh-CN" w:bidi="ar-SA"/>
        </w:rPr>
        <w:t>23.00</w:t>
      </w:r>
      <w:r>
        <w:rPr>
          <w:rFonts w:hint="eastAsia" w:ascii="Times New Roman" w:hAnsi="Times New Roman" w:eastAsia="仿宋_GB2312" w:cs="Times New Roman"/>
          <w:color w:val="auto"/>
          <w:kern w:val="2"/>
          <w:sz w:val="32"/>
          <w:szCs w:val="32"/>
          <w:highlight w:val="none"/>
          <w:lang w:val="en-US" w:eastAsia="zh-Hans" w:bidi="ar-SA"/>
        </w:rPr>
        <w:t>万元。</w:t>
      </w:r>
    </w:p>
    <w:p w14:paraId="41E0FA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A6A78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7B3E74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2C775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A272D6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510758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B7D7C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8CDC4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B64DD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061D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CFE10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762167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114E3D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DEE79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8B933F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47A77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3B167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6CF9B4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015297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CBFA4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20150E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A79B9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7AE28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1160C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AFD1E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06BA3E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D6A74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3248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681AB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A681AB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kNDIxMjJkZWUwMGIzYzc4MDYyMWU2ZjVlMzA0YmMifQ=="/>
    <w:docVar w:name="KSO_WPS_MARK_KEY" w:val="41ee2a61-2d54-4f93-83be-afdb9a40d732"/>
  </w:docVars>
  <w:rsids>
    <w:rsidRoot w:val="00000000"/>
    <w:rsid w:val="00213C59"/>
    <w:rsid w:val="003210CE"/>
    <w:rsid w:val="00B70D59"/>
    <w:rsid w:val="00F52A8D"/>
    <w:rsid w:val="019404F8"/>
    <w:rsid w:val="01D06506"/>
    <w:rsid w:val="01ED22F2"/>
    <w:rsid w:val="02BD3108"/>
    <w:rsid w:val="02F73D26"/>
    <w:rsid w:val="034D4FEF"/>
    <w:rsid w:val="035D1785"/>
    <w:rsid w:val="039F47CE"/>
    <w:rsid w:val="03E05CE8"/>
    <w:rsid w:val="03F973EE"/>
    <w:rsid w:val="043E5B56"/>
    <w:rsid w:val="04C04386"/>
    <w:rsid w:val="04D1736D"/>
    <w:rsid w:val="04D96608"/>
    <w:rsid w:val="04F3150D"/>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68474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E4486D"/>
    <w:rsid w:val="0F1113DA"/>
    <w:rsid w:val="0F77789A"/>
    <w:rsid w:val="0F78534A"/>
    <w:rsid w:val="0F89358A"/>
    <w:rsid w:val="0F8C6D51"/>
    <w:rsid w:val="105B0B5E"/>
    <w:rsid w:val="112E58D0"/>
    <w:rsid w:val="11731CAC"/>
    <w:rsid w:val="118708AC"/>
    <w:rsid w:val="118916FB"/>
    <w:rsid w:val="119500A0"/>
    <w:rsid w:val="11C0733B"/>
    <w:rsid w:val="11D50D17"/>
    <w:rsid w:val="12086AC4"/>
    <w:rsid w:val="120E0809"/>
    <w:rsid w:val="127F665A"/>
    <w:rsid w:val="12F35B0D"/>
    <w:rsid w:val="12F7068C"/>
    <w:rsid w:val="13C44C6D"/>
    <w:rsid w:val="14207DC0"/>
    <w:rsid w:val="14B22EFC"/>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1F05E8"/>
    <w:rsid w:val="1A3E3450"/>
    <w:rsid w:val="1AD807E5"/>
    <w:rsid w:val="1B39345B"/>
    <w:rsid w:val="1BFB2A1F"/>
    <w:rsid w:val="1C015D4A"/>
    <w:rsid w:val="1C290ED5"/>
    <w:rsid w:val="1C317E4F"/>
    <w:rsid w:val="1C472464"/>
    <w:rsid w:val="1CCF7E0F"/>
    <w:rsid w:val="1D22799A"/>
    <w:rsid w:val="1D5C1A72"/>
    <w:rsid w:val="1DAF458D"/>
    <w:rsid w:val="1E086ACE"/>
    <w:rsid w:val="1E225B42"/>
    <w:rsid w:val="1E393A9F"/>
    <w:rsid w:val="1E62130A"/>
    <w:rsid w:val="1E97358B"/>
    <w:rsid w:val="1EAA4A5F"/>
    <w:rsid w:val="1EE869A7"/>
    <w:rsid w:val="1F947BE9"/>
    <w:rsid w:val="1FA15E62"/>
    <w:rsid w:val="1FED69B6"/>
    <w:rsid w:val="2064678E"/>
    <w:rsid w:val="20D824C0"/>
    <w:rsid w:val="20DC1AB9"/>
    <w:rsid w:val="20DD6197"/>
    <w:rsid w:val="212631E0"/>
    <w:rsid w:val="21A53757"/>
    <w:rsid w:val="21C916A0"/>
    <w:rsid w:val="21F879E1"/>
    <w:rsid w:val="2208041A"/>
    <w:rsid w:val="221236C6"/>
    <w:rsid w:val="22D7662C"/>
    <w:rsid w:val="23326B7F"/>
    <w:rsid w:val="2380045B"/>
    <w:rsid w:val="23BC04D2"/>
    <w:rsid w:val="23EF1892"/>
    <w:rsid w:val="2483647E"/>
    <w:rsid w:val="24A32D55"/>
    <w:rsid w:val="24C04FDC"/>
    <w:rsid w:val="24CE6D9A"/>
    <w:rsid w:val="25292727"/>
    <w:rsid w:val="252E5CA9"/>
    <w:rsid w:val="256F7692"/>
    <w:rsid w:val="25BA2154"/>
    <w:rsid w:val="25C8773F"/>
    <w:rsid w:val="26235823"/>
    <w:rsid w:val="264A7253"/>
    <w:rsid w:val="26C967CE"/>
    <w:rsid w:val="26F0170C"/>
    <w:rsid w:val="26FE3B9A"/>
    <w:rsid w:val="27201D62"/>
    <w:rsid w:val="27286E73"/>
    <w:rsid w:val="27CF2642"/>
    <w:rsid w:val="27E777F5"/>
    <w:rsid w:val="27EA1D4C"/>
    <w:rsid w:val="27EA2E41"/>
    <w:rsid w:val="282459E2"/>
    <w:rsid w:val="283A7FE5"/>
    <w:rsid w:val="285F51FF"/>
    <w:rsid w:val="28DA4193"/>
    <w:rsid w:val="28DF2665"/>
    <w:rsid w:val="29072599"/>
    <w:rsid w:val="290B6C83"/>
    <w:rsid w:val="291029F3"/>
    <w:rsid w:val="29CB58F0"/>
    <w:rsid w:val="2A053397"/>
    <w:rsid w:val="2A0E3F45"/>
    <w:rsid w:val="2A145E96"/>
    <w:rsid w:val="2A2131BB"/>
    <w:rsid w:val="2A5C7555"/>
    <w:rsid w:val="2AF5378F"/>
    <w:rsid w:val="2B472CA1"/>
    <w:rsid w:val="2BB94DBF"/>
    <w:rsid w:val="2C6F314E"/>
    <w:rsid w:val="2CA174A1"/>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14029C9"/>
    <w:rsid w:val="3186310A"/>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060F75"/>
    <w:rsid w:val="37A755DD"/>
    <w:rsid w:val="37F94FA0"/>
    <w:rsid w:val="380D3381"/>
    <w:rsid w:val="38115B1F"/>
    <w:rsid w:val="385E3AC3"/>
    <w:rsid w:val="387D6B9E"/>
    <w:rsid w:val="38800011"/>
    <w:rsid w:val="38B75FF0"/>
    <w:rsid w:val="38D45016"/>
    <w:rsid w:val="38D90432"/>
    <w:rsid w:val="3914510A"/>
    <w:rsid w:val="3926770B"/>
    <w:rsid w:val="3982065B"/>
    <w:rsid w:val="398D3668"/>
    <w:rsid w:val="39DA0497"/>
    <w:rsid w:val="39DF4077"/>
    <w:rsid w:val="3A893816"/>
    <w:rsid w:val="3A893B6D"/>
    <w:rsid w:val="3AD1763A"/>
    <w:rsid w:val="3B196883"/>
    <w:rsid w:val="3B6716E3"/>
    <w:rsid w:val="3B6C6B2D"/>
    <w:rsid w:val="3C242659"/>
    <w:rsid w:val="3C96719C"/>
    <w:rsid w:val="3CA72BE8"/>
    <w:rsid w:val="3CAA23A2"/>
    <w:rsid w:val="3CF37F8C"/>
    <w:rsid w:val="3D137554"/>
    <w:rsid w:val="3D235CB1"/>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12B35"/>
    <w:rsid w:val="405470BD"/>
    <w:rsid w:val="40794A29"/>
    <w:rsid w:val="40834692"/>
    <w:rsid w:val="4090066D"/>
    <w:rsid w:val="41431AD5"/>
    <w:rsid w:val="414B3C0F"/>
    <w:rsid w:val="417C1CE7"/>
    <w:rsid w:val="41900018"/>
    <w:rsid w:val="41944406"/>
    <w:rsid w:val="41CE128F"/>
    <w:rsid w:val="41DA6F12"/>
    <w:rsid w:val="42171FB1"/>
    <w:rsid w:val="425863FC"/>
    <w:rsid w:val="42C10D7B"/>
    <w:rsid w:val="42CD6DEA"/>
    <w:rsid w:val="434E6957"/>
    <w:rsid w:val="43BA0E31"/>
    <w:rsid w:val="43C15147"/>
    <w:rsid w:val="43E14DD2"/>
    <w:rsid w:val="43F800E9"/>
    <w:rsid w:val="443A7E4B"/>
    <w:rsid w:val="452F5B3A"/>
    <w:rsid w:val="454D4212"/>
    <w:rsid w:val="454E7FD2"/>
    <w:rsid w:val="46061BDC"/>
    <w:rsid w:val="461404F8"/>
    <w:rsid w:val="46413018"/>
    <w:rsid w:val="464B7E04"/>
    <w:rsid w:val="468041AA"/>
    <w:rsid w:val="468123C6"/>
    <w:rsid w:val="46901EEE"/>
    <w:rsid w:val="469C74D2"/>
    <w:rsid w:val="47445515"/>
    <w:rsid w:val="474B4782"/>
    <w:rsid w:val="47947ED7"/>
    <w:rsid w:val="47D90D14"/>
    <w:rsid w:val="47DE1152"/>
    <w:rsid w:val="48387FB0"/>
    <w:rsid w:val="483A6114"/>
    <w:rsid w:val="4846643F"/>
    <w:rsid w:val="488727DB"/>
    <w:rsid w:val="48B82268"/>
    <w:rsid w:val="48C354B3"/>
    <w:rsid w:val="493D58B5"/>
    <w:rsid w:val="494A7A04"/>
    <w:rsid w:val="4A0A26D2"/>
    <w:rsid w:val="4A2019A5"/>
    <w:rsid w:val="4A241A0B"/>
    <w:rsid w:val="4A5C2BD7"/>
    <w:rsid w:val="4A7B2875"/>
    <w:rsid w:val="4A934476"/>
    <w:rsid w:val="4A946440"/>
    <w:rsid w:val="4AAA220A"/>
    <w:rsid w:val="4AE12E67"/>
    <w:rsid w:val="4AFD6968"/>
    <w:rsid w:val="4B4C0111"/>
    <w:rsid w:val="4B8553A9"/>
    <w:rsid w:val="4BDB3730"/>
    <w:rsid w:val="4C200F7A"/>
    <w:rsid w:val="4C446620"/>
    <w:rsid w:val="4CEE3180"/>
    <w:rsid w:val="4D0F4AF6"/>
    <w:rsid w:val="4DC50327"/>
    <w:rsid w:val="4DD426CA"/>
    <w:rsid w:val="4DF94F37"/>
    <w:rsid w:val="4E0A1DD5"/>
    <w:rsid w:val="4E3160E5"/>
    <w:rsid w:val="4E3B72FE"/>
    <w:rsid w:val="4E4D37AF"/>
    <w:rsid w:val="4E8C6496"/>
    <w:rsid w:val="4EFD18DE"/>
    <w:rsid w:val="4F144236"/>
    <w:rsid w:val="4F663C87"/>
    <w:rsid w:val="4F7E29A8"/>
    <w:rsid w:val="4F9E1FFC"/>
    <w:rsid w:val="4FF27E90"/>
    <w:rsid w:val="50447CC2"/>
    <w:rsid w:val="50874A7C"/>
    <w:rsid w:val="50895EE7"/>
    <w:rsid w:val="50921B9D"/>
    <w:rsid w:val="50D16158"/>
    <w:rsid w:val="50DB5F45"/>
    <w:rsid w:val="51025EB1"/>
    <w:rsid w:val="51141503"/>
    <w:rsid w:val="513C450E"/>
    <w:rsid w:val="518D0ED5"/>
    <w:rsid w:val="525C687F"/>
    <w:rsid w:val="52A3740A"/>
    <w:rsid w:val="52F647F7"/>
    <w:rsid w:val="52F92565"/>
    <w:rsid w:val="53D03877"/>
    <w:rsid w:val="542F73CA"/>
    <w:rsid w:val="5430786D"/>
    <w:rsid w:val="544762D1"/>
    <w:rsid w:val="545A1D2A"/>
    <w:rsid w:val="546A35D2"/>
    <w:rsid w:val="54C811C0"/>
    <w:rsid w:val="556A442D"/>
    <w:rsid w:val="55DA564E"/>
    <w:rsid w:val="55E816A3"/>
    <w:rsid w:val="5604127D"/>
    <w:rsid w:val="56044E6C"/>
    <w:rsid w:val="56166703"/>
    <w:rsid w:val="56510474"/>
    <w:rsid w:val="56861525"/>
    <w:rsid w:val="568C653D"/>
    <w:rsid w:val="56A93273"/>
    <w:rsid w:val="56BD550C"/>
    <w:rsid w:val="56E07045"/>
    <w:rsid w:val="56FF28AF"/>
    <w:rsid w:val="57540E7D"/>
    <w:rsid w:val="577B4878"/>
    <w:rsid w:val="57926973"/>
    <w:rsid w:val="57D1482F"/>
    <w:rsid w:val="58175352"/>
    <w:rsid w:val="581F2200"/>
    <w:rsid w:val="583059FA"/>
    <w:rsid w:val="584A0929"/>
    <w:rsid w:val="58810003"/>
    <w:rsid w:val="58CD2491"/>
    <w:rsid w:val="591B41B2"/>
    <w:rsid w:val="59254A26"/>
    <w:rsid w:val="59326325"/>
    <w:rsid w:val="595C505B"/>
    <w:rsid w:val="595E55C3"/>
    <w:rsid w:val="596E7E20"/>
    <w:rsid w:val="5A5D23AA"/>
    <w:rsid w:val="5A60780B"/>
    <w:rsid w:val="5AB34579"/>
    <w:rsid w:val="5AFC6609"/>
    <w:rsid w:val="5B113480"/>
    <w:rsid w:val="5BD456CE"/>
    <w:rsid w:val="5C050F4B"/>
    <w:rsid w:val="5C0D1F49"/>
    <w:rsid w:val="5C853E3A"/>
    <w:rsid w:val="5CBB0CE2"/>
    <w:rsid w:val="5CC17177"/>
    <w:rsid w:val="5CF306BC"/>
    <w:rsid w:val="5D3F3D64"/>
    <w:rsid w:val="5D833043"/>
    <w:rsid w:val="5DD92690"/>
    <w:rsid w:val="5DDB1CFD"/>
    <w:rsid w:val="5E7E6D93"/>
    <w:rsid w:val="5ED44800"/>
    <w:rsid w:val="5F350BDE"/>
    <w:rsid w:val="5F61632C"/>
    <w:rsid w:val="5FA17648"/>
    <w:rsid w:val="5FE705CB"/>
    <w:rsid w:val="603D5080"/>
    <w:rsid w:val="606842D0"/>
    <w:rsid w:val="60D0261B"/>
    <w:rsid w:val="618E3791"/>
    <w:rsid w:val="61947DCA"/>
    <w:rsid w:val="61A46A97"/>
    <w:rsid w:val="61D1382F"/>
    <w:rsid w:val="61F114A2"/>
    <w:rsid w:val="62285994"/>
    <w:rsid w:val="622B0ABA"/>
    <w:rsid w:val="62512BB4"/>
    <w:rsid w:val="625D7D1A"/>
    <w:rsid w:val="62660469"/>
    <w:rsid w:val="62787D21"/>
    <w:rsid w:val="62DD7D21"/>
    <w:rsid w:val="63352116"/>
    <w:rsid w:val="637D586B"/>
    <w:rsid w:val="63A5560B"/>
    <w:rsid w:val="63E9091F"/>
    <w:rsid w:val="64322AF9"/>
    <w:rsid w:val="64B32242"/>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1B5070"/>
    <w:rsid w:val="683F0658"/>
    <w:rsid w:val="689C6793"/>
    <w:rsid w:val="68DB0208"/>
    <w:rsid w:val="68FB170C"/>
    <w:rsid w:val="691B3D98"/>
    <w:rsid w:val="693748F0"/>
    <w:rsid w:val="69846A0E"/>
    <w:rsid w:val="69AA1366"/>
    <w:rsid w:val="69AD798C"/>
    <w:rsid w:val="69D005C0"/>
    <w:rsid w:val="69D80B96"/>
    <w:rsid w:val="6B68175F"/>
    <w:rsid w:val="6BFD799F"/>
    <w:rsid w:val="6C435214"/>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6FEB6F07"/>
    <w:rsid w:val="702B4D16"/>
    <w:rsid w:val="70AA6621"/>
    <w:rsid w:val="7111480F"/>
    <w:rsid w:val="71261F49"/>
    <w:rsid w:val="7129342C"/>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84E7CA6"/>
    <w:rsid w:val="78574801"/>
    <w:rsid w:val="7873527F"/>
    <w:rsid w:val="78E62162"/>
    <w:rsid w:val="78E977D3"/>
    <w:rsid w:val="790A6425"/>
    <w:rsid w:val="790E2D96"/>
    <w:rsid w:val="791B54B2"/>
    <w:rsid w:val="793C0F89"/>
    <w:rsid w:val="795A0A34"/>
    <w:rsid w:val="797339C3"/>
    <w:rsid w:val="79D57D57"/>
    <w:rsid w:val="79F00650"/>
    <w:rsid w:val="7A6242BF"/>
    <w:rsid w:val="7A794513"/>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B45F21"/>
    <w:rsid w:val="7FCC5758"/>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6681</Words>
  <Characters>7433</Characters>
  <Lines>0</Lines>
  <Paragraphs>0</Paragraphs>
  <TotalTime>27</TotalTime>
  <ScaleCrop>false</ScaleCrop>
  <LinksUpToDate>false</LinksUpToDate>
  <CharactersWithSpaces>7446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君君爱强仔</cp:lastModifiedBy>
  <dcterms:modified xsi:type="dcterms:W3CDTF">2024-08-30T03:37:17Z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D773884096A84166AD1A61C81CCA6D79_13</vt:lpwstr>
  </property>
</Properties>
</file>