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E68E0">
      <w:pPr>
        <w:keepNext w:val="0"/>
        <w:keepLines w:val="0"/>
        <w:pageBreakBefore w:val="0"/>
        <w:widowControl w:val="0"/>
        <w:kinsoku/>
        <w:wordWrap/>
        <w:overflowPunct/>
        <w:topLinePunct w:val="0"/>
        <w:bidi w:val="0"/>
        <w:adjustRightInd/>
        <w:snapToGrid/>
        <w:spacing w:line="240" w:lineRule="auto"/>
        <w:rPr>
          <w:rFonts w:ascii="Times New Roman" w:hAnsi="Times New Roman" w:eastAsia="黑体"/>
          <w:color w:val="auto"/>
          <w:sz w:val="32"/>
          <w:szCs w:val="32"/>
        </w:rPr>
      </w:pPr>
    </w:p>
    <w:p w14:paraId="769225A2">
      <w:pPr>
        <w:keepNext w:val="0"/>
        <w:keepLines w:val="0"/>
        <w:pageBreakBefore w:val="0"/>
        <w:widowControl w:val="0"/>
        <w:kinsoku/>
        <w:wordWrap/>
        <w:overflowPunct/>
        <w:topLinePunct w:val="0"/>
        <w:bidi w:val="0"/>
        <w:adjustRightInd/>
        <w:snapToGrid/>
        <w:spacing w:line="240" w:lineRule="auto"/>
        <w:jc w:val="center"/>
        <w:rPr>
          <w:rFonts w:hint="eastAsia" w:ascii="Times New Roman" w:hAnsi="Times New Roman" w:eastAsia="方正小标宋_GBK"/>
          <w:color w:val="auto"/>
          <w:sz w:val="44"/>
          <w:szCs w:val="44"/>
        </w:rPr>
      </w:pPr>
    </w:p>
    <w:p w14:paraId="392B681B">
      <w:pPr>
        <w:keepNext w:val="0"/>
        <w:keepLines w:val="0"/>
        <w:pageBreakBefore w:val="0"/>
        <w:widowControl w:val="0"/>
        <w:kinsoku/>
        <w:wordWrap/>
        <w:overflowPunct/>
        <w:topLinePunct w:val="0"/>
        <w:bidi w:val="0"/>
        <w:adjustRightInd/>
        <w:snapToGrid/>
        <w:spacing w:line="240" w:lineRule="auto"/>
        <w:jc w:val="center"/>
        <w:rPr>
          <w:rFonts w:hint="eastAsia" w:ascii="Times New Roman" w:hAnsi="Times New Roman" w:eastAsia="方正小标宋_GBK"/>
          <w:color w:val="auto"/>
          <w:sz w:val="44"/>
          <w:szCs w:val="44"/>
          <w:lang w:val="en-US" w:eastAsia="zh-CN"/>
        </w:rPr>
      </w:pPr>
      <w:r>
        <w:rPr>
          <w:rFonts w:hint="eastAsia" w:ascii="Times New Roman" w:hAnsi="Times New Roman" w:eastAsia="方正小标宋_GBK"/>
          <w:color w:val="auto"/>
          <w:sz w:val="44"/>
          <w:szCs w:val="44"/>
          <w:lang w:val="en-US" w:eastAsia="zh-CN"/>
        </w:rPr>
        <w:t>新疆维吾尔自治区地质矿产勘查开发局</w:t>
      </w:r>
    </w:p>
    <w:p w14:paraId="09CFEC1C">
      <w:pPr>
        <w:keepNext w:val="0"/>
        <w:keepLines w:val="0"/>
        <w:pageBreakBefore w:val="0"/>
        <w:widowControl w:val="0"/>
        <w:kinsoku/>
        <w:wordWrap/>
        <w:overflowPunct/>
        <w:topLinePunct w:val="0"/>
        <w:bidi w:val="0"/>
        <w:adjustRightInd/>
        <w:snapToGrid/>
        <w:spacing w:line="240" w:lineRule="auto"/>
        <w:jc w:val="center"/>
        <w:rPr>
          <w:rFonts w:hint="eastAsia" w:ascii="Times New Roman" w:hAnsi="Times New Roman" w:eastAsia="方正小标宋_GBK"/>
          <w:color w:val="auto"/>
          <w:sz w:val="44"/>
          <w:szCs w:val="44"/>
          <w:lang w:val="en-US" w:eastAsia="zh-CN"/>
        </w:rPr>
      </w:pPr>
      <w:r>
        <w:rPr>
          <w:rFonts w:hint="eastAsia" w:ascii="Times New Roman" w:hAnsi="Times New Roman" w:eastAsia="方正小标宋_GBK"/>
          <w:color w:val="auto"/>
          <w:sz w:val="44"/>
          <w:szCs w:val="44"/>
          <w:lang w:val="en-US" w:eastAsia="zh-CN"/>
        </w:rPr>
        <w:t>地球物理化学探矿大队</w:t>
      </w:r>
    </w:p>
    <w:p w14:paraId="1DC71F19">
      <w:pPr>
        <w:keepNext w:val="0"/>
        <w:keepLines w:val="0"/>
        <w:pageBreakBefore w:val="0"/>
        <w:widowControl w:val="0"/>
        <w:kinsoku/>
        <w:wordWrap/>
        <w:overflowPunct/>
        <w:topLinePunct w:val="0"/>
        <w:bidi w:val="0"/>
        <w:adjustRightInd/>
        <w:snapToGrid/>
        <w:spacing w:line="240" w:lineRule="auto"/>
        <w:jc w:val="center"/>
        <w:rPr>
          <w:rFonts w:hint="eastAsia" w:ascii="Times New Roman" w:hAnsi="Times New Roman" w:eastAsia="方正小标宋_GBK"/>
          <w:color w:val="auto"/>
          <w:sz w:val="44"/>
          <w:szCs w:val="44"/>
        </w:rPr>
      </w:pPr>
      <w:r>
        <w:rPr>
          <w:rFonts w:hint="eastAsia" w:ascii="Times New Roman" w:hAnsi="Times New Roman" w:eastAsia="方正小标宋_GBK"/>
          <w:color w:val="auto"/>
          <w:sz w:val="44"/>
          <w:szCs w:val="44"/>
          <w:lang w:eastAsia="zh-CN"/>
        </w:rPr>
        <w:t xml:space="preserve"> 2023年度</w:t>
      </w:r>
      <w:r>
        <w:rPr>
          <w:rFonts w:hint="eastAsia" w:ascii="Times New Roman" w:hAnsi="Times New Roman" w:eastAsia="方正小标宋_GBK"/>
          <w:color w:val="auto"/>
          <w:sz w:val="44"/>
          <w:szCs w:val="44"/>
        </w:rPr>
        <w:t>部门决算</w:t>
      </w:r>
    </w:p>
    <w:p w14:paraId="0DE58272">
      <w:pPr>
        <w:keepNext w:val="0"/>
        <w:keepLines w:val="0"/>
        <w:pageBreakBefore w:val="0"/>
        <w:widowControl w:val="0"/>
        <w:kinsoku/>
        <w:wordWrap/>
        <w:overflowPunct/>
        <w:topLinePunct w:val="0"/>
        <w:bidi w:val="0"/>
        <w:adjustRightInd/>
        <w:snapToGrid/>
        <w:spacing w:line="240" w:lineRule="auto"/>
        <w:jc w:val="center"/>
        <w:rPr>
          <w:rFonts w:hint="eastAsia" w:ascii="Times New Roman" w:hAnsi="Times New Roman" w:eastAsia="方正小标宋_GBK"/>
          <w:color w:val="auto"/>
          <w:sz w:val="44"/>
          <w:szCs w:val="44"/>
        </w:rPr>
      </w:pPr>
      <w:r>
        <w:rPr>
          <w:rFonts w:hint="eastAsia" w:ascii="Times New Roman" w:hAnsi="Times New Roman" w:eastAsia="方正小标宋_GBK"/>
          <w:color w:val="auto"/>
          <w:sz w:val="44"/>
          <w:szCs w:val="44"/>
        </w:rPr>
        <w:t>公开说明</w:t>
      </w:r>
    </w:p>
    <w:p w14:paraId="6EFFFAFC">
      <w:pPr>
        <w:rPr>
          <w:rFonts w:hint="eastAsia" w:ascii="Times New Roman" w:hAnsi="Times New Roman" w:eastAsia="方正小标宋_GBK"/>
          <w:color w:val="auto"/>
          <w:sz w:val="44"/>
          <w:szCs w:val="44"/>
        </w:rPr>
      </w:pPr>
      <w:r>
        <w:rPr>
          <w:rFonts w:hint="eastAsia" w:ascii="Times New Roman" w:hAnsi="Times New Roman" w:eastAsia="方正小标宋_GBK"/>
          <w:color w:val="auto"/>
          <w:sz w:val="44"/>
          <w:szCs w:val="44"/>
        </w:rPr>
        <w:br w:type="page"/>
      </w:r>
    </w:p>
    <w:p w14:paraId="55BDE349">
      <w:pPr>
        <w:keepNext w:val="0"/>
        <w:keepLines w:val="0"/>
        <w:pageBreakBefore w:val="0"/>
        <w:widowControl w:val="0"/>
        <w:kinsoku/>
        <w:wordWrap/>
        <w:overflowPunct/>
        <w:topLinePunct w:val="0"/>
        <w:autoSpaceDE/>
        <w:autoSpaceDN/>
        <w:bidi w:val="0"/>
        <w:adjustRightInd/>
        <w:snapToGrid/>
        <w:spacing w:line="240" w:lineRule="auto"/>
        <w:ind w:left="0" w:leftChars="0"/>
        <w:jc w:val="center"/>
        <w:rPr>
          <w:rFonts w:hint="eastAsia" w:ascii="Times New Roman" w:hAnsi="Times New Roman" w:eastAsia="仿宋_GB2312" w:cs="仿宋_GB2312"/>
          <w:b w:val="0"/>
          <w:bCs/>
          <w:color w:val="auto"/>
          <w:kern w:val="0"/>
          <w:sz w:val="32"/>
          <w:szCs w:val="32"/>
        </w:rPr>
      </w:pPr>
      <w:r>
        <w:rPr>
          <w:rFonts w:hint="eastAsia" w:ascii="Times New Roman" w:hAnsi="Times New Roman" w:eastAsia="仿宋_GB2312" w:cs="仿宋_GB2312"/>
          <w:b/>
          <w:bCs w:val="0"/>
          <w:color w:val="auto"/>
          <w:kern w:val="0"/>
          <w:sz w:val="36"/>
          <w:szCs w:val="36"/>
        </w:rPr>
        <w:t>目  录</w:t>
      </w:r>
    </w:p>
    <w:p w14:paraId="6386C92A">
      <w:pPr>
        <w:pStyle w:val="6"/>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
          <w:bCs/>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TOC \o "1-3" \n  \h \u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
          <w:bCs/>
          <w:color w:val="auto"/>
          <w:sz w:val="32"/>
          <w:szCs w:val="32"/>
        </w:rPr>
        <w:fldChar w:fldCharType="begin"/>
      </w:r>
      <w:r>
        <w:rPr>
          <w:rFonts w:hint="eastAsia" w:ascii="Times New Roman" w:hAnsi="Times New Roman" w:eastAsia="仿宋_GB2312" w:cs="仿宋_GB2312"/>
          <w:b/>
          <w:bCs/>
          <w:color w:val="auto"/>
          <w:sz w:val="32"/>
          <w:szCs w:val="32"/>
        </w:rPr>
        <w:instrText xml:space="preserve"> HYPERLINK \l _Toc32314 </w:instrText>
      </w:r>
      <w:r>
        <w:rPr>
          <w:rFonts w:hint="eastAsia" w:ascii="Times New Roman" w:hAnsi="Times New Roman" w:eastAsia="仿宋_GB2312" w:cs="仿宋_GB2312"/>
          <w:b/>
          <w:bCs/>
          <w:color w:val="auto"/>
          <w:sz w:val="32"/>
          <w:szCs w:val="32"/>
        </w:rPr>
        <w:fldChar w:fldCharType="separate"/>
      </w:r>
      <w:r>
        <w:rPr>
          <w:rFonts w:hint="eastAsia" w:ascii="Times New Roman" w:hAnsi="Times New Roman" w:eastAsia="仿宋_GB2312" w:cs="仿宋_GB2312"/>
          <w:b/>
          <w:bCs/>
          <w:color w:val="auto"/>
          <w:sz w:val="32"/>
          <w:szCs w:val="32"/>
        </w:rPr>
        <w:t xml:space="preserve">第一部分 </w:t>
      </w:r>
      <w:r>
        <w:rPr>
          <w:rFonts w:hint="eastAsia" w:ascii="Times New Roman" w:hAnsi="Times New Roman" w:eastAsia="仿宋_GB2312" w:cs="仿宋_GB2312"/>
          <w:b/>
          <w:bCs/>
          <w:color w:val="auto"/>
          <w:sz w:val="32"/>
          <w:szCs w:val="32"/>
          <w:lang w:eastAsia="zh-CN"/>
        </w:rPr>
        <w:t>单位</w:t>
      </w:r>
      <w:r>
        <w:rPr>
          <w:rFonts w:hint="eastAsia" w:ascii="Times New Roman" w:hAnsi="Times New Roman" w:eastAsia="仿宋_GB2312" w:cs="仿宋_GB2312"/>
          <w:b/>
          <w:bCs/>
          <w:color w:val="auto"/>
          <w:sz w:val="32"/>
          <w:szCs w:val="32"/>
        </w:rPr>
        <w:t>概况</w:t>
      </w:r>
      <w:r>
        <w:rPr>
          <w:rFonts w:hint="eastAsia" w:ascii="Times New Roman" w:hAnsi="Times New Roman" w:eastAsia="仿宋_GB2312" w:cs="仿宋_GB2312"/>
          <w:b/>
          <w:bCs/>
          <w:color w:val="auto"/>
          <w:sz w:val="32"/>
          <w:szCs w:val="32"/>
        </w:rPr>
        <w:fldChar w:fldCharType="end"/>
      </w:r>
    </w:p>
    <w:p w14:paraId="662F2C51">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_Toc30567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一、主要职能</w:t>
      </w:r>
      <w:r>
        <w:rPr>
          <w:rFonts w:hint="eastAsia" w:ascii="Times New Roman" w:hAnsi="Times New Roman" w:eastAsia="仿宋_GB2312" w:cs="仿宋_GB2312"/>
          <w:color w:val="auto"/>
          <w:sz w:val="32"/>
          <w:szCs w:val="32"/>
        </w:rPr>
        <w:fldChar w:fldCharType="end"/>
      </w:r>
    </w:p>
    <w:p w14:paraId="5965F1FE">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_Toc2151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二、机构设置</w:t>
      </w:r>
      <w:r>
        <w:rPr>
          <w:rFonts w:hint="eastAsia" w:ascii="Times New Roman" w:hAnsi="Times New Roman" w:eastAsia="仿宋_GB2312" w:cs="仿宋_GB2312"/>
          <w:bCs/>
          <w:color w:val="auto"/>
          <w:kern w:val="0"/>
          <w:sz w:val="32"/>
          <w:szCs w:val="32"/>
          <w:lang w:eastAsia="zh-CN"/>
        </w:rPr>
        <w:t>及人员</w:t>
      </w:r>
      <w:r>
        <w:rPr>
          <w:rFonts w:hint="eastAsia" w:ascii="Times New Roman" w:hAnsi="Times New Roman" w:eastAsia="仿宋_GB2312" w:cs="仿宋_GB2312"/>
          <w:bCs/>
          <w:color w:val="auto"/>
          <w:kern w:val="0"/>
          <w:sz w:val="32"/>
          <w:szCs w:val="32"/>
        </w:rPr>
        <w:t>情况</w:t>
      </w:r>
      <w:r>
        <w:rPr>
          <w:rFonts w:hint="eastAsia" w:ascii="Times New Roman" w:hAnsi="Times New Roman" w:eastAsia="仿宋_GB2312" w:cs="仿宋_GB2312"/>
          <w:color w:val="auto"/>
          <w:sz w:val="32"/>
          <w:szCs w:val="32"/>
        </w:rPr>
        <w:fldChar w:fldCharType="end"/>
      </w:r>
    </w:p>
    <w:p w14:paraId="6E5C2CD5">
      <w:pPr>
        <w:pStyle w:val="6"/>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
          <w:bCs/>
          <w:color w:val="auto"/>
          <w:sz w:val="32"/>
          <w:szCs w:val="32"/>
        </w:rPr>
      </w:pPr>
      <w:r>
        <w:rPr>
          <w:rFonts w:hint="eastAsia" w:ascii="Times New Roman" w:hAnsi="Times New Roman" w:eastAsia="仿宋_GB2312" w:cs="仿宋_GB2312"/>
          <w:b/>
          <w:bCs/>
          <w:color w:val="auto"/>
          <w:sz w:val="32"/>
          <w:szCs w:val="32"/>
        </w:rPr>
        <w:fldChar w:fldCharType="begin"/>
      </w:r>
      <w:r>
        <w:rPr>
          <w:rFonts w:hint="eastAsia" w:ascii="Times New Roman" w:hAnsi="Times New Roman" w:eastAsia="仿宋_GB2312" w:cs="仿宋_GB2312"/>
          <w:b/>
          <w:bCs/>
          <w:color w:val="auto"/>
          <w:sz w:val="32"/>
          <w:szCs w:val="32"/>
        </w:rPr>
        <w:instrText xml:space="preserve"> HYPERLINK \l _Toc29374 </w:instrText>
      </w:r>
      <w:r>
        <w:rPr>
          <w:rFonts w:hint="eastAsia" w:ascii="Times New Roman" w:hAnsi="Times New Roman" w:eastAsia="仿宋_GB2312" w:cs="仿宋_GB2312"/>
          <w:b/>
          <w:bCs/>
          <w:color w:val="auto"/>
          <w:sz w:val="32"/>
          <w:szCs w:val="32"/>
        </w:rPr>
        <w:fldChar w:fldCharType="separate"/>
      </w:r>
      <w:r>
        <w:rPr>
          <w:rFonts w:hint="eastAsia" w:ascii="Times New Roman" w:hAnsi="Times New Roman" w:eastAsia="仿宋_GB2312" w:cs="仿宋_GB2312"/>
          <w:b/>
          <w:bCs/>
          <w:color w:val="auto"/>
          <w:sz w:val="32"/>
          <w:szCs w:val="32"/>
        </w:rPr>
        <w:t>第二部分 部门决算情况说明</w:t>
      </w:r>
      <w:r>
        <w:rPr>
          <w:rFonts w:hint="eastAsia" w:ascii="Times New Roman" w:hAnsi="Times New Roman" w:eastAsia="仿宋_GB2312" w:cs="仿宋_GB2312"/>
          <w:b/>
          <w:bCs/>
          <w:color w:val="auto"/>
          <w:sz w:val="32"/>
          <w:szCs w:val="32"/>
        </w:rPr>
        <w:fldChar w:fldCharType="end"/>
      </w:r>
    </w:p>
    <w:p w14:paraId="740E75A5">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_Toc25314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一、收入支出决算总体情况说明</w:t>
      </w:r>
      <w:r>
        <w:rPr>
          <w:rFonts w:hint="eastAsia" w:ascii="Times New Roman" w:hAnsi="Times New Roman" w:eastAsia="仿宋_GB2312" w:cs="仿宋_GB2312"/>
          <w:color w:val="auto"/>
          <w:sz w:val="32"/>
          <w:szCs w:val="32"/>
        </w:rPr>
        <w:fldChar w:fldCharType="end"/>
      </w:r>
    </w:p>
    <w:p w14:paraId="7DAB0B8C">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_Toc12142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二、</w:t>
      </w:r>
      <w:r>
        <w:rPr>
          <w:rFonts w:hint="eastAsia" w:ascii="Times New Roman" w:hAnsi="Times New Roman" w:eastAsia="仿宋_GB2312" w:cs="仿宋_GB2312"/>
          <w:bCs/>
          <w:color w:val="auto"/>
          <w:kern w:val="0"/>
          <w:sz w:val="32"/>
          <w:szCs w:val="32"/>
        </w:rPr>
        <w:t>收入</w:t>
      </w:r>
      <w:r>
        <w:rPr>
          <w:rFonts w:hint="eastAsia" w:ascii="Times New Roman" w:hAnsi="Times New Roman" w:eastAsia="仿宋_GB2312" w:cs="仿宋_GB2312"/>
          <w:bCs/>
          <w:color w:val="auto"/>
          <w:kern w:val="0"/>
          <w:sz w:val="32"/>
          <w:szCs w:val="32"/>
          <w:lang w:eastAsia="zh-CN"/>
        </w:rPr>
        <w:t>决算</w:t>
      </w:r>
      <w:r>
        <w:rPr>
          <w:rFonts w:hint="eastAsia" w:ascii="Times New Roman" w:hAnsi="Times New Roman" w:eastAsia="仿宋_GB2312" w:cs="仿宋_GB2312"/>
          <w:bCs/>
          <w:color w:val="auto"/>
          <w:kern w:val="0"/>
          <w:sz w:val="32"/>
          <w:szCs w:val="32"/>
        </w:rPr>
        <w:t>情况说明</w:t>
      </w:r>
      <w:r>
        <w:rPr>
          <w:rFonts w:hint="eastAsia" w:ascii="Times New Roman" w:hAnsi="Times New Roman" w:eastAsia="仿宋_GB2312" w:cs="仿宋_GB2312"/>
          <w:color w:val="auto"/>
          <w:sz w:val="32"/>
          <w:szCs w:val="32"/>
        </w:rPr>
        <w:fldChar w:fldCharType="end"/>
      </w:r>
    </w:p>
    <w:p w14:paraId="5522A7D7">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_Toc13201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三、支出决算情况说明</w:t>
      </w:r>
      <w:r>
        <w:rPr>
          <w:rFonts w:hint="eastAsia" w:ascii="Times New Roman" w:hAnsi="Times New Roman" w:eastAsia="仿宋_GB2312" w:cs="仿宋_GB2312"/>
          <w:color w:val="auto"/>
          <w:sz w:val="32"/>
          <w:szCs w:val="32"/>
        </w:rPr>
        <w:fldChar w:fldCharType="end"/>
      </w:r>
    </w:p>
    <w:p w14:paraId="3CE961FA">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_Toc26564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四、财政拨款收入支出决算总体情况说明</w:t>
      </w:r>
      <w:r>
        <w:rPr>
          <w:rFonts w:hint="eastAsia" w:ascii="Times New Roman" w:hAnsi="Times New Roman" w:eastAsia="仿宋_GB2312" w:cs="仿宋_GB2312"/>
          <w:color w:val="auto"/>
          <w:sz w:val="32"/>
          <w:szCs w:val="32"/>
        </w:rPr>
        <w:fldChar w:fldCharType="end"/>
      </w:r>
    </w:p>
    <w:p w14:paraId="37C8B94E">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_Toc20360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五、一般公共预算财政拨款支出决算情况说明</w:t>
      </w:r>
      <w:r>
        <w:rPr>
          <w:rFonts w:hint="eastAsia" w:ascii="Times New Roman" w:hAnsi="Times New Roman" w:eastAsia="仿宋_GB2312" w:cs="仿宋_GB2312"/>
          <w:color w:val="auto"/>
          <w:sz w:val="32"/>
          <w:szCs w:val="32"/>
        </w:rPr>
        <w:fldChar w:fldCharType="end"/>
      </w:r>
    </w:p>
    <w:p w14:paraId="4740CD9D">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_Toc30870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六、一般公共预算财政拨款基本支出决算情况说明</w:t>
      </w:r>
      <w:r>
        <w:rPr>
          <w:rFonts w:hint="eastAsia" w:ascii="Times New Roman" w:hAnsi="Times New Roman" w:eastAsia="仿宋_GB2312" w:cs="仿宋_GB2312"/>
          <w:color w:val="auto"/>
          <w:sz w:val="32"/>
          <w:szCs w:val="32"/>
        </w:rPr>
        <w:fldChar w:fldCharType="end"/>
      </w:r>
    </w:p>
    <w:p w14:paraId="7DAA4D1C">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_Toc21518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七</w:t>
      </w:r>
      <w:r>
        <w:rPr>
          <w:rFonts w:hint="eastAsia" w:ascii="Times New Roman" w:hAnsi="Times New Roman" w:eastAsia="仿宋_GB2312" w:cs="仿宋_GB2312"/>
          <w:bCs/>
          <w:color w:val="auto"/>
          <w:kern w:val="0"/>
          <w:sz w:val="32"/>
          <w:szCs w:val="32"/>
        </w:rPr>
        <w:t>、</w:t>
      </w:r>
      <w:r>
        <w:rPr>
          <w:rFonts w:hint="eastAsia" w:ascii="Times New Roman" w:hAnsi="Times New Roman" w:eastAsia="仿宋_GB2312" w:cs="仿宋_GB2312"/>
          <w:bCs/>
          <w:color w:val="auto"/>
          <w:kern w:val="0"/>
          <w:sz w:val="32"/>
          <w:szCs w:val="32"/>
          <w:lang w:eastAsia="zh-CN"/>
        </w:rPr>
        <w:t>财政拨款</w:t>
      </w:r>
      <w:r>
        <w:rPr>
          <w:rFonts w:hint="eastAsia" w:ascii="Times New Roman" w:hAnsi="Times New Roman" w:eastAsia="仿宋_GB2312" w:cs="仿宋_GB2312"/>
          <w:bCs/>
          <w:color w:val="auto"/>
          <w:kern w:val="0"/>
          <w:sz w:val="32"/>
          <w:szCs w:val="32"/>
        </w:rPr>
        <w:t>“三公”经费支出</w:t>
      </w:r>
      <w:r>
        <w:rPr>
          <w:rFonts w:hint="eastAsia" w:ascii="Times New Roman" w:hAnsi="Times New Roman" w:eastAsia="仿宋_GB2312" w:cs="仿宋_GB2312"/>
          <w:bCs/>
          <w:color w:val="auto"/>
          <w:kern w:val="0"/>
          <w:sz w:val="32"/>
          <w:szCs w:val="32"/>
          <w:lang w:eastAsia="zh-CN"/>
        </w:rPr>
        <w:t>决算</w:t>
      </w:r>
      <w:r>
        <w:rPr>
          <w:rFonts w:hint="eastAsia" w:ascii="Times New Roman" w:hAnsi="Times New Roman" w:eastAsia="仿宋_GB2312" w:cs="仿宋_GB2312"/>
          <w:bCs/>
          <w:color w:val="auto"/>
          <w:kern w:val="0"/>
          <w:sz w:val="32"/>
          <w:szCs w:val="32"/>
        </w:rPr>
        <w:t>情况</w:t>
      </w:r>
      <w:r>
        <w:rPr>
          <w:rFonts w:hint="eastAsia" w:ascii="Times New Roman" w:hAnsi="Times New Roman" w:eastAsia="仿宋_GB2312" w:cs="仿宋_GB2312"/>
          <w:bCs/>
          <w:color w:val="auto"/>
          <w:kern w:val="0"/>
          <w:sz w:val="32"/>
          <w:szCs w:val="32"/>
          <w:lang w:eastAsia="zh-CN"/>
        </w:rPr>
        <w:t>说明</w:t>
      </w:r>
      <w:r>
        <w:rPr>
          <w:rFonts w:hint="eastAsia" w:ascii="Times New Roman" w:hAnsi="Times New Roman" w:eastAsia="仿宋_GB2312" w:cs="仿宋_GB2312"/>
          <w:color w:val="auto"/>
          <w:sz w:val="32"/>
          <w:szCs w:val="32"/>
        </w:rPr>
        <w:fldChar w:fldCharType="end"/>
      </w:r>
    </w:p>
    <w:p w14:paraId="20F728A3">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_Toc5810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val="en-US" w:eastAsia="zh-CN"/>
        </w:rPr>
        <w:t>八、</w:t>
      </w:r>
      <w:r>
        <w:rPr>
          <w:rFonts w:hint="eastAsia" w:ascii="Times New Roman" w:hAnsi="Times New Roman" w:eastAsia="仿宋_GB2312" w:cs="仿宋_GB2312"/>
          <w:bCs/>
          <w:color w:val="auto"/>
          <w:kern w:val="0"/>
          <w:sz w:val="32"/>
          <w:szCs w:val="32"/>
          <w:lang w:eastAsia="zh-CN"/>
        </w:rPr>
        <w:t>政府性基金预算财政拨款收入支出决算情况说明</w:t>
      </w:r>
      <w:r>
        <w:rPr>
          <w:rFonts w:hint="eastAsia" w:ascii="Times New Roman" w:hAnsi="Times New Roman" w:eastAsia="仿宋_GB2312" w:cs="仿宋_GB2312"/>
          <w:color w:val="auto"/>
          <w:sz w:val="32"/>
          <w:szCs w:val="32"/>
        </w:rPr>
        <w:fldChar w:fldCharType="end"/>
      </w:r>
    </w:p>
    <w:p w14:paraId="18194A7F">
      <w:pPr>
        <w:rPr>
          <w:rFonts w:hint="eastAsia" w:ascii="Times New Roman" w:hAnsi="Times New Roman"/>
          <w:color w:val="auto"/>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_Toc5810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val="en-US" w:eastAsia="zh-CN"/>
        </w:rPr>
        <w:t>九</w:t>
      </w:r>
      <w:r>
        <w:rPr>
          <w:rFonts w:hint="eastAsia" w:ascii="Times New Roman" w:hAnsi="Times New Roman" w:eastAsia="仿宋_GB2312" w:cs="仿宋_GB2312"/>
          <w:bCs/>
          <w:color w:val="auto"/>
          <w:kern w:val="0"/>
          <w:sz w:val="32"/>
          <w:szCs w:val="32"/>
          <w:lang w:eastAsia="zh-CN"/>
        </w:rPr>
        <w:t>、国有资本经营预算财政拨款收入支出决算情况说明</w:t>
      </w:r>
      <w:r>
        <w:rPr>
          <w:rFonts w:hint="eastAsia" w:ascii="Times New Roman" w:hAnsi="Times New Roman" w:eastAsia="仿宋_GB2312" w:cs="仿宋_GB2312"/>
          <w:color w:val="auto"/>
          <w:sz w:val="32"/>
          <w:szCs w:val="32"/>
        </w:rPr>
        <w:fldChar w:fldCharType="end"/>
      </w:r>
    </w:p>
    <w:p w14:paraId="21B52702">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_Toc1235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color w:val="auto"/>
          <w:sz w:val="32"/>
          <w:szCs w:val="32"/>
          <w:lang w:eastAsia="zh-CN"/>
        </w:rPr>
        <w:t>十</w:t>
      </w:r>
      <w:r>
        <w:rPr>
          <w:rFonts w:hint="eastAsia" w:ascii="Times New Roman" w:hAnsi="Times New Roman" w:eastAsia="仿宋_GB2312" w:cs="仿宋_GB2312"/>
          <w:bCs/>
          <w:color w:val="auto"/>
          <w:kern w:val="0"/>
          <w:sz w:val="32"/>
          <w:szCs w:val="32"/>
        </w:rPr>
        <w:t>、其他重要事项的情况</w:t>
      </w:r>
      <w:r>
        <w:rPr>
          <w:rFonts w:hint="eastAsia" w:ascii="Times New Roman" w:hAnsi="Times New Roman" w:eastAsia="仿宋_GB2312" w:cs="仿宋_GB2312"/>
          <w:bCs/>
          <w:color w:val="auto"/>
          <w:kern w:val="0"/>
          <w:sz w:val="32"/>
          <w:szCs w:val="32"/>
          <w:lang w:eastAsia="zh-CN"/>
        </w:rPr>
        <w:t>说明</w:t>
      </w:r>
      <w:r>
        <w:rPr>
          <w:rFonts w:hint="eastAsia" w:ascii="Times New Roman" w:hAnsi="Times New Roman" w:eastAsia="仿宋_GB2312" w:cs="仿宋_GB2312"/>
          <w:color w:val="auto"/>
          <w:sz w:val="32"/>
          <w:szCs w:val="32"/>
        </w:rPr>
        <w:fldChar w:fldCharType="end"/>
      </w:r>
    </w:p>
    <w:p w14:paraId="43D899AD">
      <w:pPr>
        <w:pStyle w:val="3"/>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_Toc14519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color w:val="auto"/>
          <w:sz w:val="32"/>
          <w:szCs w:val="32"/>
          <w:lang w:eastAsia="zh-CN"/>
        </w:rPr>
        <w:t>（一）</w:t>
      </w:r>
      <w:r>
        <w:rPr>
          <w:rFonts w:hint="eastAsia" w:ascii="Times New Roman" w:hAnsi="Times New Roman" w:eastAsia="仿宋_GB2312" w:cs="仿宋_GB2312"/>
          <w:color w:val="auto"/>
          <w:sz w:val="32"/>
          <w:szCs w:val="32"/>
        </w:rPr>
        <w:t>机关运行经费支出情况</w:t>
      </w:r>
      <w:r>
        <w:rPr>
          <w:rFonts w:hint="eastAsia" w:ascii="Times New Roman" w:hAnsi="Times New Roman" w:eastAsia="仿宋_GB2312" w:cs="仿宋_GB2312"/>
          <w:color w:val="auto"/>
          <w:sz w:val="32"/>
          <w:szCs w:val="32"/>
        </w:rPr>
        <w:fldChar w:fldCharType="end"/>
      </w:r>
    </w:p>
    <w:p w14:paraId="4E425088">
      <w:pPr>
        <w:pStyle w:val="3"/>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_Toc227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color w:val="auto"/>
          <w:sz w:val="32"/>
          <w:szCs w:val="32"/>
          <w:lang w:eastAsia="zh-CN"/>
        </w:rPr>
        <w:t>（二）政府采购情况</w:t>
      </w:r>
      <w:r>
        <w:rPr>
          <w:rFonts w:hint="eastAsia" w:ascii="Times New Roman" w:hAnsi="Times New Roman" w:eastAsia="仿宋_GB2312" w:cs="仿宋_GB2312"/>
          <w:color w:val="auto"/>
          <w:sz w:val="32"/>
          <w:szCs w:val="32"/>
        </w:rPr>
        <w:fldChar w:fldCharType="end"/>
      </w:r>
    </w:p>
    <w:p w14:paraId="5B3B6399">
      <w:pPr>
        <w:pStyle w:val="3"/>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_Toc8391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color w:val="auto"/>
          <w:sz w:val="32"/>
          <w:szCs w:val="32"/>
          <w:lang w:eastAsia="zh-CN"/>
        </w:rPr>
        <w:t>（三）国有资产占用情况说明</w:t>
      </w:r>
      <w:r>
        <w:rPr>
          <w:rFonts w:hint="eastAsia" w:ascii="Times New Roman" w:hAnsi="Times New Roman" w:eastAsia="仿宋_GB2312" w:cs="仿宋_GB2312"/>
          <w:color w:val="auto"/>
          <w:sz w:val="32"/>
          <w:szCs w:val="32"/>
        </w:rPr>
        <w:fldChar w:fldCharType="end"/>
      </w:r>
    </w:p>
    <w:p w14:paraId="08939B81">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_Toc11283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lang w:eastAsia="zh-CN"/>
        </w:rPr>
        <w:t>十</w:t>
      </w:r>
      <w:r>
        <w:rPr>
          <w:rFonts w:hint="eastAsia" w:ascii="Times New Roman" w:hAnsi="Times New Roman" w:eastAsia="仿宋_GB2312" w:cs="仿宋_GB2312"/>
          <w:bCs/>
          <w:color w:val="auto"/>
          <w:kern w:val="0"/>
          <w:sz w:val="32"/>
          <w:szCs w:val="32"/>
          <w:lang w:val="en-US" w:eastAsia="zh-CN"/>
        </w:rPr>
        <w:t>一</w:t>
      </w:r>
      <w:r>
        <w:rPr>
          <w:rFonts w:hint="eastAsia" w:ascii="Times New Roman" w:hAnsi="Times New Roman" w:eastAsia="仿宋_GB2312" w:cs="仿宋_GB2312"/>
          <w:bCs/>
          <w:color w:val="auto"/>
          <w:kern w:val="0"/>
          <w:sz w:val="32"/>
          <w:szCs w:val="32"/>
          <w:lang w:eastAsia="zh-CN"/>
        </w:rPr>
        <w:t>、预算绩效的情况说明</w:t>
      </w:r>
      <w:r>
        <w:rPr>
          <w:rFonts w:hint="eastAsia" w:ascii="Times New Roman" w:hAnsi="Times New Roman" w:eastAsia="仿宋_GB2312" w:cs="仿宋_GB2312"/>
          <w:color w:val="auto"/>
          <w:sz w:val="32"/>
          <w:szCs w:val="32"/>
        </w:rPr>
        <w:fldChar w:fldCharType="end"/>
      </w:r>
    </w:p>
    <w:p w14:paraId="168A3E7A">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十二、其他需说明的事项</w:t>
      </w:r>
    </w:p>
    <w:p w14:paraId="7FB85F1B">
      <w:pPr>
        <w:pStyle w:val="6"/>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
          <w:bCs/>
          <w:color w:val="auto"/>
          <w:sz w:val="32"/>
          <w:szCs w:val="32"/>
        </w:rPr>
      </w:pPr>
      <w:r>
        <w:rPr>
          <w:rFonts w:hint="eastAsia" w:ascii="Times New Roman" w:hAnsi="Times New Roman" w:eastAsia="仿宋_GB2312" w:cs="仿宋_GB2312"/>
          <w:b/>
          <w:bCs/>
          <w:color w:val="auto"/>
          <w:sz w:val="32"/>
          <w:szCs w:val="32"/>
        </w:rPr>
        <w:fldChar w:fldCharType="begin"/>
      </w:r>
      <w:r>
        <w:rPr>
          <w:rFonts w:hint="eastAsia" w:ascii="Times New Roman" w:hAnsi="Times New Roman" w:eastAsia="仿宋_GB2312" w:cs="仿宋_GB2312"/>
          <w:b/>
          <w:bCs/>
          <w:color w:val="auto"/>
          <w:sz w:val="32"/>
          <w:szCs w:val="32"/>
        </w:rPr>
        <w:instrText xml:space="preserve"> HYPERLINK \l _Toc3250 </w:instrText>
      </w:r>
      <w:r>
        <w:rPr>
          <w:rFonts w:hint="eastAsia" w:ascii="Times New Roman" w:hAnsi="Times New Roman" w:eastAsia="仿宋_GB2312" w:cs="仿宋_GB2312"/>
          <w:b/>
          <w:bCs/>
          <w:color w:val="auto"/>
          <w:sz w:val="32"/>
          <w:szCs w:val="32"/>
        </w:rPr>
        <w:fldChar w:fldCharType="separate"/>
      </w:r>
      <w:r>
        <w:rPr>
          <w:rFonts w:hint="eastAsia" w:ascii="Times New Roman" w:hAnsi="Times New Roman" w:eastAsia="仿宋_GB2312" w:cs="仿宋_GB2312"/>
          <w:b/>
          <w:bCs/>
          <w:color w:val="auto"/>
          <w:sz w:val="32"/>
          <w:szCs w:val="32"/>
        </w:rPr>
        <w:t>第三部分 专业名词解释</w:t>
      </w:r>
      <w:r>
        <w:rPr>
          <w:rFonts w:hint="eastAsia" w:ascii="Times New Roman" w:hAnsi="Times New Roman" w:eastAsia="仿宋_GB2312" w:cs="仿宋_GB2312"/>
          <w:b/>
          <w:bCs/>
          <w:color w:val="auto"/>
          <w:sz w:val="32"/>
          <w:szCs w:val="32"/>
        </w:rPr>
        <w:fldChar w:fldCharType="end"/>
      </w:r>
    </w:p>
    <w:p w14:paraId="21C1CFEF">
      <w:pPr>
        <w:pStyle w:val="6"/>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
          <w:bCs/>
          <w:color w:val="auto"/>
          <w:sz w:val="32"/>
          <w:szCs w:val="32"/>
        </w:rPr>
      </w:pPr>
      <w:r>
        <w:rPr>
          <w:rFonts w:hint="eastAsia" w:ascii="Times New Roman" w:hAnsi="Times New Roman" w:eastAsia="仿宋_GB2312" w:cs="仿宋_GB2312"/>
          <w:b/>
          <w:bCs/>
          <w:color w:val="auto"/>
          <w:sz w:val="32"/>
          <w:szCs w:val="32"/>
        </w:rPr>
        <w:fldChar w:fldCharType="begin"/>
      </w:r>
      <w:r>
        <w:rPr>
          <w:rFonts w:hint="eastAsia" w:ascii="Times New Roman" w:hAnsi="Times New Roman" w:eastAsia="仿宋_GB2312" w:cs="仿宋_GB2312"/>
          <w:b/>
          <w:bCs/>
          <w:color w:val="auto"/>
          <w:sz w:val="32"/>
          <w:szCs w:val="32"/>
        </w:rPr>
        <w:instrText xml:space="preserve"> HYPERLINK \l _Toc22784 </w:instrText>
      </w:r>
      <w:r>
        <w:rPr>
          <w:rFonts w:hint="eastAsia" w:ascii="Times New Roman" w:hAnsi="Times New Roman" w:eastAsia="仿宋_GB2312" w:cs="仿宋_GB2312"/>
          <w:b/>
          <w:bCs/>
          <w:color w:val="auto"/>
          <w:sz w:val="32"/>
          <w:szCs w:val="32"/>
        </w:rPr>
        <w:fldChar w:fldCharType="separate"/>
      </w:r>
      <w:r>
        <w:rPr>
          <w:rFonts w:hint="eastAsia" w:ascii="Times New Roman" w:hAnsi="Times New Roman" w:eastAsia="仿宋_GB2312" w:cs="仿宋_GB2312"/>
          <w:b/>
          <w:bCs/>
          <w:color w:val="auto"/>
          <w:sz w:val="32"/>
          <w:szCs w:val="32"/>
        </w:rPr>
        <w:t>第四部分 部门决算报表（见附表）</w:t>
      </w:r>
      <w:r>
        <w:rPr>
          <w:rFonts w:hint="eastAsia" w:ascii="Times New Roman" w:hAnsi="Times New Roman" w:eastAsia="仿宋_GB2312" w:cs="仿宋_GB2312"/>
          <w:b/>
          <w:bCs/>
          <w:color w:val="auto"/>
          <w:sz w:val="32"/>
          <w:szCs w:val="32"/>
        </w:rPr>
        <w:fldChar w:fldCharType="end"/>
      </w:r>
    </w:p>
    <w:p w14:paraId="367D6916">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_Toc2183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一、《收入支出决算总表》</w:t>
      </w:r>
      <w:r>
        <w:rPr>
          <w:rFonts w:hint="eastAsia" w:ascii="Times New Roman" w:hAnsi="Times New Roman" w:eastAsia="仿宋_GB2312" w:cs="仿宋_GB2312"/>
          <w:color w:val="auto"/>
          <w:sz w:val="32"/>
          <w:szCs w:val="32"/>
        </w:rPr>
        <w:fldChar w:fldCharType="end"/>
      </w:r>
    </w:p>
    <w:p w14:paraId="5C33D7E8">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_Toc24532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二、《收入决算表》</w:t>
      </w:r>
      <w:r>
        <w:rPr>
          <w:rFonts w:hint="eastAsia" w:ascii="Times New Roman" w:hAnsi="Times New Roman" w:eastAsia="仿宋_GB2312" w:cs="仿宋_GB2312"/>
          <w:color w:val="auto"/>
          <w:sz w:val="32"/>
          <w:szCs w:val="32"/>
        </w:rPr>
        <w:fldChar w:fldCharType="end"/>
      </w:r>
    </w:p>
    <w:p w14:paraId="05111E91">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_Toc32434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三、《支出决算表》</w:t>
      </w:r>
      <w:r>
        <w:rPr>
          <w:rFonts w:hint="eastAsia" w:ascii="Times New Roman" w:hAnsi="Times New Roman" w:eastAsia="仿宋_GB2312" w:cs="仿宋_GB2312"/>
          <w:color w:val="auto"/>
          <w:sz w:val="32"/>
          <w:szCs w:val="32"/>
        </w:rPr>
        <w:fldChar w:fldCharType="end"/>
      </w:r>
    </w:p>
    <w:p w14:paraId="301A3617">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_Toc28786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四、《财政拨款收入支出决算总表》</w:t>
      </w:r>
      <w:r>
        <w:rPr>
          <w:rFonts w:hint="eastAsia" w:ascii="Times New Roman" w:hAnsi="Times New Roman" w:eastAsia="仿宋_GB2312" w:cs="仿宋_GB2312"/>
          <w:color w:val="auto"/>
          <w:sz w:val="32"/>
          <w:szCs w:val="32"/>
        </w:rPr>
        <w:fldChar w:fldCharType="end"/>
      </w:r>
    </w:p>
    <w:p w14:paraId="15AC9674">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_Toc14869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五、《一般公共预算财政拨款支出决算表》</w:t>
      </w:r>
      <w:r>
        <w:rPr>
          <w:rFonts w:hint="eastAsia" w:ascii="Times New Roman" w:hAnsi="Times New Roman" w:eastAsia="仿宋_GB2312" w:cs="仿宋_GB2312"/>
          <w:color w:val="auto"/>
          <w:sz w:val="32"/>
          <w:szCs w:val="32"/>
        </w:rPr>
        <w:fldChar w:fldCharType="end"/>
      </w:r>
    </w:p>
    <w:p w14:paraId="44328BD9">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_Toc8884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六、《一般公共预算财政拨款基本支出决算表》</w:t>
      </w:r>
      <w:r>
        <w:rPr>
          <w:rFonts w:hint="eastAsia" w:ascii="Times New Roman" w:hAnsi="Times New Roman" w:eastAsia="仿宋_GB2312" w:cs="仿宋_GB2312"/>
          <w:color w:val="auto"/>
          <w:sz w:val="32"/>
          <w:szCs w:val="32"/>
        </w:rPr>
        <w:fldChar w:fldCharType="end"/>
      </w:r>
    </w:p>
    <w:p w14:paraId="4A8D2AEC">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fldChar w:fldCharType="begin"/>
      </w:r>
      <w:r>
        <w:rPr>
          <w:rFonts w:hint="eastAsia" w:ascii="Times New Roman" w:hAnsi="Times New Roman" w:eastAsia="仿宋_GB2312" w:cs="仿宋_GB2312"/>
          <w:color w:val="auto"/>
          <w:sz w:val="32"/>
          <w:szCs w:val="32"/>
        </w:rPr>
        <w:instrText xml:space="preserve"> HYPERLINK \l _Toc29106 </w:instrText>
      </w:r>
      <w:r>
        <w:rPr>
          <w:rFonts w:hint="eastAsia" w:ascii="Times New Roman" w:hAnsi="Times New Roman" w:eastAsia="仿宋_GB2312" w:cs="仿宋_GB2312"/>
          <w:color w:val="auto"/>
          <w:sz w:val="32"/>
          <w:szCs w:val="32"/>
        </w:rPr>
        <w:fldChar w:fldCharType="separate"/>
      </w:r>
      <w:r>
        <w:rPr>
          <w:rFonts w:hint="eastAsia" w:ascii="Times New Roman" w:hAnsi="Times New Roman" w:eastAsia="仿宋_GB2312" w:cs="仿宋_GB2312"/>
          <w:bCs/>
          <w:color w:val="auto"/>
          <w:kern w:val="0"/>
          <w:sz w:val="32"/>
          <w:szCs w:val="32"/>
        </w:rPr>
        <w:t>七、《财政拨款“三公”经费支出决算表》</w:t>
      </w:r>
      <w:r>
        <w:rPr>
          <w:rFonts w:hint="eastAsia" w:ascii="Times New Roman" w:hAnsi="Times New Roman" w:eastAsia="仿宋_GB2312" w:cs="仿宋_GB2312"/>
          <w:color w:val="auto"/>
          <w:sz w:val="32"/>
          <w:szCs w:val="32"/>
        </w:rPr>
        <w:fldChar w:fldCharType="end"/>
      </w:r>
    </w:p>
    <w:p w14:paraId="1A94D055">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Cs/>
          <w:color w:val="auto"/>
          <w:kern w:val="0"/>
          <w:sz w:val="32"/>
          <w:szCs w:val="32"/>
        </w:rPr>
      </w:pPr>
      <w:r>
        <w:rPr>
          <w:rFonts w:hint="eastAsia" w:ascii="Times New Roman" w:hAnsi="Times New Roman" w:eastAsia="仿宋_GB2312" w:cs="仿宋_GB2312"/>
          <w:bCs/>
          <w:color w:val="auto"/>
          <w:kern w:val="0"/>
          <w:sz w:val="32"/>
          <w:szCs w:val="32"/>
        </w:rPr>
        <w:fldChar w:fldCharType="begin"/>
      </w:r>
      <w:r>
        <w:rPr>
          <w:rFonts w:hint="eastAsia" w:ascii="Times New Roman" w:hAnsi="Times New Roman" w:eastAsia="仿宋_GB2312" w:cs="仿宋_GB2312"/>
          <w:bCs/>
          <w:color w:val="auto"/>
          <w:kern w:val="0"/>
          <w:sz w:val="32"/>
          <w:szCs w:val="32"/>
        </w:rPr>
        <w:instrText xml:space="preserve"> HYPERLINK \l _Toc7643 </w:instrText>
      </w:r>
      <w:r>
        <w:rPr>
          <w:rFonts w:hint="eastAsia" w:ascii="Times New Roman" w:hAnsi="Times New Roman" w:eastAsia="仿宋_GB2312" w:cs="仿宋_GB2312"/>
          <w:bCs/>
          <w:color w:val="auto"/>
          <w:kern w:val="0"/>
          <w:sz w:val="32"/>
          <w:szCs w:val="32"/>
        </w:rPr>
        <w:fldChar w:fldCharType="separate"/>
      </w:r>
      <w:r>
        <w:rPr>
          <w:rFonts w:hint="eastAsia" w:ascii="Times New Roman" w:hAnsi="Times New Roman" w:eastAsia="仿宋_GB2312" w:cs="仿宋_GB2312"/>
          <w:bCs/>
          <w:color w:val="auto"/>
          <w:kern w:val="0"/>
          <w:sz w:val="32"/>
          <w:szCs w:val="32"/>
          <w:lang w:val="en-US" w:eastAsia="zh-CN"/>
        </w:rPr>
        <w:t>八、</w:t>
      </w:r>
      <w:r>
        <w:rPr>
          <w:rFonts w:hint="eastAsia" w:ascii="Times New Roman" w:hAnsi="Times New Roman" w:eastAsia="仿宋_GB2312" w:cs="仿宋_GB2312"/>
          <w:bCs/>
          <w:color w:val="auto"/>
          <w:kern w:val="0"/>
          <w:sz w:val="32"/>
          <w:szCs w:val="32"/>
        </w:rPr>
        <w:t>《政府性基金预算财政拨款收入支出决算表》</w:t>
      </w:r>
      <w:r>
        <w:rPr>
          <w:rFonts w:hint="eastAsia" w:ascii="Times New Roman" w:hAnsi="Times New Roman" w:eastAsia="仿宋_GB2312" w:cs="仿宋_GB2312"/>
          <w:bCs/>
          <w:color w:val="auto"/>
          <w:kern w:val="0"/>
          <w:sz w:val="32"/>
          <w:szCs w:val="32"/>
        </w:rPr>
        <w:fldChar w:fldCharType="end"/>
      </w:r>
    </w:p>
    <w:p w14:paraId="18065E56">
      <w:pPr>
        <w:pStyle w:val="7"/>
        <w:keepNext w:val="0"/>
        <w:keepLines w:val="0"/>
        <w:pageBreakBefore w:val="0"/>
        <w:widowControl w:val="0"/>
        <w:tabs>
          <w:tab w:val="right" w:pos="8306"/>
        </w:tabs>
        <w:kinsoku/>
        <w:wordWrap/>
        <w:overflowPunct/>
        <w:topLinePunct w:val="0"/>
        <w:autoSpaceDE/>
        <w:autoSpaceDN/>
        <w:bidi w:val="0"/>
        <w:adjustRightInd/>
        <w:snapToGrid/>
        <w:ind w:left="0" w:leftChars="0"/>
        <w:rPr>
          <w:rFonts w:hint="eastAsia" w:ascii="Times New Roman" w:hAnsi="Times New Roman" w:eastAsia="仿宋_GB2312" w:cs="仿宋_GB2312"/>
          <w:bCs/>
          <w:color w:val="auto"/>
          <w:kern w:val="0"/>
          <w:sz w:val="32"/>
          <w:szCs w:val="32"/>
          <w:lang w:eastAsia="zh-CN"/>
        </w:rPr>
      </w:pPr>
      <w:r>
        <w:rPr>
          <w:rFonts w:hint="eastAsia" w:ascii="Times New Roman" w:hAnsi="Times New Roman" w:eastAsia="仿宋_GB2312" w:cs="仿宋_GB2312"/>
          <w:bCs/>
          <w:color w:val="auto"/>
          <w:kern w:val="0"/>
          <w:sz w:val="32"/>
          <w:szCs w:val="32"/>
          <w:lang w:val="en-US" w:eastAsia="zh-CN"/>
        </w:rPr>
        <w:t>九</w:t>
      </w:r>
      <w:r>
        <w:rPr>
          <w:rFonts w:hint="eastAsia" w:ascii="Times New Roman" w:hAnsi="Times New Roman" w:eastAsia="仿宋_GB2312" w:cs="仿宋_GB2312"/>
          <w:bCs/>
          <w:color w:val="auto"/>
          <w:kern w:val="0"/>
          <w:sz w:val="32"/>
          <w:szCs w:val="32"/>
          <w:lang w:eastAsia="zh-CN"/>
        </w:rPr>
        <w:t>、《国有资本经营</w:t>
      </w:r>
      <w:r>
        <w:rPr>
          <w:rFonts w:hint="eastAsia" w:ascii="Times New Roman" w:hAnsi="Times New Roman" w:eastAsia="仿宋_GB2312" w:cs="仿宋_GB2312"/>
          <w:bCs/>
          <w:color w:val="auto"/>
          <w:kern w:val="0"/>
          <w:sz w:val="32"/>
          <w:szCs w:val="32"/>
        </w:rPr>
        <w:t>预算财政拨款收入支出决算表</w:t>
      </w:r>
      <w:r>
        <w:rPr>
          <w:rFonts w:hint="eastAsia" w:ascii="Times New Roman" w:hAnsi="Times New Roman" w:eastAsia="仿宋_GB2312" w:cs="仿宋_GB2312"/>
          <w:bCs/>
          <w:color w:val="auto"/>
          <w:kern w:val="0"/>
          <w:sz w:val="32"/>
          <w:szCs w:val="32"/>
          <w:lang w:eastAsia="zh-CN"/>
        </w:rPr>
        <w:t>》</w:t>
      </w:r>
    </w:p>
    <w:p w14:paraId="159167BB">
      <w:pPr>
        <w:keepNext w:val="0"/>
        <w:keepLines w:val="0"/>
        <w:pageBreakBefore w:val="0"/>
        <w:widowControl w:val="0"/>
        <w:kinsoku/>
        <w:wordWrap/>
        <w:overflowPunct/>
        <w:topLinePunct w:val="0"/>
        <w:autoSpaceDE/>
        <w:autoSpaceDN/>
        <w:bidi w:val="0"/>
        <w:adjustRightInd/>
        <w:snapToGrid/>
        <w:ind w:left="0" w:leftChars="0"/>
        <w:jc w:val="both"/>
        <w:rPr>
          <w:rFonts w:ascii="Times New Roman" w:hAnsi="Times New Roman"/>
          <w:color w:val="auto"/>
        </w:rPr>
      </w:pPr>
      <w:r>
        <w:rPr>
          <w:rFonts w:hint="eastAsia" w:ascii="Times New Roman" w:hAnsi="Times New Roman" w:eastAsia="仿宋_GB2312" w:cs="仿宋_GB2312"/>
          <w:color w:val="auto"/>
          <w:sz w:val="32"/>
          <w:szCs w:val="32"/>
        </w:rPr>
        <w:fldChar w:fldCharType="end"/>
      </w:r>
    </w:p>
    <w:p w14:paraId="44BD16E3">
      <w:pPr>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br w:type="page"/>
      </w:r>
    </w:p>
    <w:p w14:paraId="32D3AB3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outlineLvl w:val="0"/>
        <w:rPr>
          <w:rFonts w:hint="eastAsia" w:ascii="Times New Roman" w:hAnsi="Times New Roman" w:eastAsia="黑体"/>
          <w:color w:val="auto"/>
          <w:sz w:val="32"/>
          <w:szCs w:val="32"/>
        </w:rPr>
      </w:pPr>
      <w:bookmarkStart w:id="0" w:name="_Toc24028"/>
      <w:bookmarkEnd w:id="0"/>
      <w:bookmarkStart w:id="1" w:name="_Toc32314"/>
      <w:bookmarkEnd w:id="1"/>
      <w:r>
        <w:rPr>
          <w:rFonts w:hint="eastAsia" w:ascii="Times New Roman" w:hAnsi="Times New Roman" w:eastAsia="黑体"/>
          <w:color w:val="auto"/>
          <w:sz w:val="32"/>
          <w:szCs w:val="32"/>
        </w:rPr>
        <w:t xml:space="preserve">第一部分 </w:t>
      </w:r>
      <w:r>
        <w:rPr>
          <w:rFonts w:hint="eastAsia" w:ascii="Times New Roman" w:hAnsi="Times New Roman" w:eastAsia="黑体"/>
          <w:color w:val="auto"/>
          <w:sz w:val="32"/>
          <w:szCs w:val="32"/>
          <w:lang w:eastAsia="zh-CN"/>
        </w:rPr>
        <w:t>单位</w:t>
      </w:r>
      <w:r>
        <w:rPr>
          <w:rFonts w:hint="eastAsia" w:ascii="Times New Roman" w:hAnsi="Times New Roman" w:eastAsia="黑体"/>
          <w:color w:val="auto"/>
          <w:sz w:val="32"/>
          <w:szCs w:val="32"/>
        </w:rPr>
        <w:t>概况</w:t>
      </w:r>
    </w:p>
    <w:p w14:paraId="304062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ascii="Times New Roman" w:hAnsi="Times New Roman" w:eastAsia="黑体" w:cs="宋体"/>
          <w:bCs/>
          <w:color w:val="auto"/>
          <w:kern w:val="0"/>
          <w:sz w:val="32"/>
          <w:szCs w:val="32"/>
        </w:rPr>
      </w:pPr>
      <w:bookmarkStart w:id="2" w:name="_Toc30567"/>
      <w:bookmarkEnd w:id="2"/>
      <w:bookmarkStart w:id="3" w:name="_Toc30738"/>
      <w:bookmarkEnd w:id="3"/>
      <w:r>
        <w:rPr>
          <w:rFonts w:hint="eastAsia" w:ascii="Times New Roman" w:hAnsi="Times New Roman" w:eastAsia="黑体" w:cs="宋体"/>
          <w:bCs/>
          <w:color w:val="auto"/>
          <w:kern w:val="0"/>
          <w:sz w:val="32"/>
          <w:szCs w:val="32"/>
        </w:rPr>
        <w:t>一、主要职能</w:t>
      </w:r>
    </w:p>
    <w:p w14:paraId="12CE8F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olor w:val="auto"/>
          <w:sz w:val="32"/>
          <w:szCs w:val="32"/>
        </w:rPr>
      </w:pPr>
      <w:bookmarkStart w:id="4" w:name="_Toc31238"/>
      <w:bookmarkStart w:id="5" w:name="_Toc2151"/>
      <w:r>
        <w:rPr>
          <w:rFonts w:hint="eastAsia" w:ascii="Times New Roman" w:hAnsi="Times New Roman" w:eastAsia="仿宋_GB2312"/>
          <w:color w:val="auto"/>
          <w:sz w:val="32"/>
          <w:szCs w:val="32"/>
        </w:rPr>
        <w:t>为国家建设提供地球物理地球化学探矿勘查服务。区域地球物理地球化学调查、区域地质调查，矿产地球物理、地球化学勘查，矿产地质普查与勘探，遥感地质勘查，水文地质、工程地质、环境地质与灾害地质勘查，地形及工程测绘，岩石矿物化验测试，地理信息工程技术及图文信息处理与研究。</w:t>
      </w:r>
    </w:p>
    <w:bookmarkEnd w:id="4"/>
    <w:bookmarkEnd w:id="5"/>
    <w:p w14:paraId="38629F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黑体" w:cs="宋体"/>
          <w:bCs/>
          <w:color w:val="auto"/>
          <w:kern w:val="0"/>
          <w:sz w:val="32"/>
          <w:szCs w:val="32"/>
        </w:rPr>
      </w:pPr>
      <w:r>
        <w:rPr>
          <w:rFonts w:hint="eastAsia" w:ascii="Times New Roman" w:hAnsi="Times New Roman" w:eastAsia="黑体" w:cs="宋体"/>
          <w:bCs/>
          <w:color w:val="auto"/>
          <w:kern w:val="0"/>
          <w:sz w:val="32"/>
          <w:szCs w:val="32"/>
        </w:rPr>
        <w:t>二、机构设置</w:t>
      </w:r>
      <w:r>
        <w:rPr>
          <w:rFonts w:hint="eastAsia" w:ascii="Times New Roman" w:hAnsi="Times New Roman" w:eastAsia="黑体" w:cs="宋体"/>
          <w:bCs/>
          <w:color w:val="auto"/>
          <w:kern w:val="0"/>
          <w:sz w:val="32"/>
          <w:szCs w:val="32"/>
          <w:lang w:eastAsia="zh-CN"/>
        </w:rPr>
        <w:t>及人员</w:t>
      </w:r>
      <w:r>
        <w:rPr>
          <w:rFonts w:hint="eastAsia" w:ascii="Times New Roman" w:hAnsi="Times New Roman" w:eastAsia="黑体" w:cs="宋体"/>
          <w:bCs/>
          <w:color w:val="auto"/>
          <w:kern w:val="0"/>
          <w:sz w:val="32"/>
          <w:szCs w:val="32"/>
        </w:rPr>
        <w:t>情况</w:t>
      </w:r>
    </w:p>
    <w:p w14:paraId="194F98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s="仿宋_GB2312"/>
          <w:b/>
          <w:color w:val="auto"/>
          <w:sz w:val="32"/>
          <w:szCs w:val="32"/>
        </w:rPr>
      </w:pPr>
      <w:r>
        <w:rPr>
          <w:rFonts w:hint="eastAsia" w:ascii="Times New Roman" w:hAnsi="Times New Roman" w:eastAsia="仿宋_GB2312"/>
          <w:color w:val="auto"/>
          <w:sz w:val="32"/>
          <w:szCs w:val="32"/>
          <w:lang w:val="en-US" w:eastAsia="zh-CN"/>
        </w:rPr>
        <w:t>新疆维吾尔自治区地质矿产勘查开发局地球物理化学探矿大队</w:t>
      </w:r>
      <w:r>
        <w:rPr>
          <w:rFonts w:hint="default" w:ascii="Times New Roman" w:hAnsi="Times New Roman" w:eastAsia="仿宋_GB2312" w:cs="Times New Roman"/>
          <w:color w:val="auto"/>
          <w:sz w:val="32"/>
          <w:szCs w:val="32"/>
          <w:lang w:eastAsia="zh-CN"/>
        </w:rPr>
        <w:t>2023</w:t>
      </w:r>
      <w:r>
        <w:rPr>
          <w:rFonts w:hint="eastAsia" w:ascii="Times New Roman" w:hAnsi="Times New Roman" w:eastAsia="仿宋_GB2312"/>
          <w:color w:val="auto"/>
          <w:sz w:val="32"/>
          <w:szCs w:val="32"/>
          <w:lang w:eastAsia="zh-CN"/>
        </w:rPr>
        <w:t>年度，</w:t>
      </w:r>
      <w:r>
        <w:rPr>
          <w:rFonts w:hint="eastAsia" w:ascii="Times New Roman" w:hAnsi="Times New Roman" w:eastAsia="仿宋_GB2312"/>
          <w:color w:val="auto"/>
          <w:sz w:val="32"/>
          <w:szCs w:val="32"/>
        </w:rPr>
        <w:t>实有人数</w:t>
      </w:r>
      <w:r>
        <w:rPr>
          <w:rFonts w:hint="eastAsia" w:ascii="Times New Roman" w:hAnsi="Times New Roman" w:eastAsia="仿宋_GB2312" w:cs="Times New Roman"/>
          <w:color w:val="auto"/>
          <w:sz w:val="32"/>
          <w:szCs w:val="32"/>
          <w:lang w:val="zh-CN" w:eastAsia="zh-CN"/>
        </w:rPr>
        <w:t>669</w:t>
      </w:r>
      <w:r>
        <w:rPr>
          <w:rFonts w:hint="eastAsia" w:ascii="Times New Roman" w:hAnsi="Times New Roman" w:eastAsia="仿宋_GB2312" w:cs="Times New Roman"/>
          <w:color w:val="auto"/>
          <w:sz w:val="32"/>
          <w:szCs w:val="32"/>
          <w:lang w:eastAsia="zh-CN"/>
        </w:rPr>
        <w:t>人</w:t>
      </w:r>
      <w:r>
        <w:rPr>
          <w:rFonts w:hint="eastAsia" w:ascii="Times New Roman" w:hAnsi="Times New Roman" w:eastAsia="仿宋_GB2312"/>
          <w:color w:val="auto"/>
          <w:sz w:val="32"/>
          <w:szCs w:val="32"/>
        </w:rPr>
        <w:t>，其中：在职人员</w:t>
      </w:r>
      <w:r>
        <w:rPr>
          <w:rFonts w:hint="eastAsia" w:ascii="Times New Roman" w:hAnsi="Times New Roman" w:eastAsia="仿宋_GB2312" w:cs="Times New Roman"/>
          <w:color w:val="auto"/>
          <w:sz w:val="32"/>
          <w:szCs w:val="32"/>
          <w:lang w:val="zh-CN" w:eastAsia="zh-CN"/>
        </w:rPr>
        <w:t>155</w:t>
      </w:r>
      <w:r>
        <w:rPr>
          <w:rFonts w:hint="eastAsia" w:ascii="Times New Roman" w:hAnsi="Times New Roman" w:eastAsia="仿宋_GB2312"/>
          <w:color w:val="auto"/>
          <w:sz w:val="32"/>
          <w:szCs w:val="32"/>
        </w:rPr>
        <w:t>人</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离休人员</w:t>
      </w:r>
      <w:r>
        <w:rPr>
          <w:rFonts w:hint="eastAsia" w:ascii="Times New Roman" w:hAnsi="Times New Roman" w:eastAsia="仿宋_GB2312" w:cs="Times New Roman"/>
          <w:color w:val="auto"/>
          <w:sz w:val="32"/>
          <w:szCs w:val="32"/>
          <w:lang w:val="zh-CN" w:eastAsia="zh-CN"/>
        </w:rPr>
        <w:t>0</w:t>
      </w:r>
      <w:r>
        <w:rPr>
          <w:rFonts w:hint="eastAsia" w:ascii="Times New Roman" w:hAnsi="Times New Roman" w:eastAsia="仿宋_GB2312"/>
          <w:color w:val="auto"/>
          <w:sz w:val="32"/>
          <w:szCs w:val="32"/>
        </w:rPr>
        <w:t>人，退休人员</w:t>
      </w:r>
      <w:r>
        <w:rPr>
          <w:rFonts w:hint="eastAsia" w:ascii="Times New Roman" w:hAnsi="Times New Roman" w:eastAsia="仿宋_GB2312" w:cs="Times New Roman"/>
          <w:color w:val="auto"/>
          <w:sz w:val="32"/>
          <w:szCs w:val="32"/>
          <w:lang w:val="zh-CN" w:eastAsia="zh-CN"/>
        </w:rPr>
        <w:t>514</w:t>
      </w:r>
      <w:r>
        <w:rPr>
          <w:rFonts w:hint="eastAsia" w:ascii="Times New Roman" w:hAnsi="Times New Roman" w:eastAsia="仿宋_GB2312"/>
          <w:color w:val="auto"/>
          <w:sz w:val="32"/>
          <w:szCs w:val="32"/>
        </w:rPr>
        <w:t>人。</w:t>
      </w:r>
    </w:p>
    <w:p w14:paraId="0840A4B0">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s="宋体"/>
          <w:color w:val="auto"/>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cs="宋体"/>
          <w:bCs/>
          <w:color w:val="auto"/>
          <w:kern w:val="0"/>
          <w:sz w:val="32"/>
          <w:szCs w:val="32"/>
        </w:rPr>
        <w:t>单位无下属预算单位，下设</w:t>
      </w:r>
      <w:r>
        <w:rPr>
          <w:rFonts w:hint="eastAsia" w:ascii="Times New Roman" w:hAnsi="Times New Roman" w:eastAsia="仿宋_GB2312" w:cs="Times New Roman"/>
          <w:color w:val="auto"/>
          <w:sz w:val="32"/>
          <w:szCs w:val="32"/>
          <w:lang w:val="zh-CN" w:eastAsia="zh-CN"/>
        </w:rPr>
        <w:t>13</w:t>
      </w:r>
      <w:r>
        <w:rPr>
          <w:rFonts w:hint="eastAsia" w:ascii="Times New Roman" w:hAnsi="Times New Roman" w:eastAsia="仿宋_GB2312" w:cs="宋体"/>
          <w:bCs/>
          <w:color w:val="auto"/>
          <w:kern w:val="0"/>
          <w:sz w:val="32"/>
          <w:szCs w:val="32"/>
        </w:rPr>
        <w:t>个处室，分别是：</w:t>
      </w:r>
      <w:r>
        <w:rPr>
          <w:rFonts w:hint="eastAsia" w:ascii="Times New Roman" w:hAnsi="Times New Roman" w:eastAsia="仿宋_GB2312" w:cs="宋体"/>
          <w:color w:val="auto"/>
          <w:kern w:val="0"/>
          <w:sz w:val="32"/>
          <w:szCs w:val="32"/>
        </w:rPr>
        <w:t>人事科、财务资产科、党政办、党群办、安全生产科、工会、地矿科、审计监察科、产业管理科、退休管理科、地质勘查院、物探勘查院、测绘环境勘查院。</w:t>
      </w:r>
    </w:p>
    <w:p w14:paraId="3069042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outlineLvl w:val="0"/>
        <w:rPr>
          <w:rFonts w:hint="eastAsia" w:ascii="Times New Roman" w:hAnsi="Times New Roman" w:eastAsia="黑体"/>
          <w:color w:val="auto"/>
          <w:sz w:val="32"/>
          <w:szCs w:val="32"/>
        </w:rPr>
      </w:pPr>
      <w:bookmarkStart w:id="6" w:name="_Toc29374"/>
      <w:bookmarkEnd w:id="6"/>
      <w:bookmarkStart w:id="7" w:name="_Toc3092"/>
      <w:bookmarkEnd w:id="7"/>
      <w:r>
        <w:rPr>
          <w:rFonts w:hint="eastAsia" w:ascii="Times New Roman" w:hAnsi="Times New Roman" w:eastAsia="黑体"/>
          <w:color w:val="auto"/>
          <w:sz w:val="32"/>
          <w:szCs w:val="32"/>
        </w:rPr>
        <w:t>第</w:t>
      </w:r>
      <w:r>
        <w:rPr>
          <w:rFonts w:hint="eastAsia" w:ascii="Times New Roman" w:hAnsi="Times New Roman" w:eastAsia="黑体"/>
          <w:color w:val="auto"/>
          <w:sz w:val="32"/>
          <w:szCs w:val="32"/>
          <w:lang w:val="en-US" w:eastAsia="zh-CN"/>
        </w:rPr>
        <w:t>二</w:t>
      </w:r>
      <w:r>
        <w:rPr>
          <w:rFonts w:hint="eastAsia" w:ascii="Times New Roman" w:hAnsi="Times New Roman" w:eastAsia="黑体"/>
          <w:color w:val="auto"/>
          <w:sz w:val="32"/>
          <w:szCs w:val="32"/>
        </w:rPr>
        <w:t>部分 部门决算情况说明</w:t>
      </w:r>
    </w:p>
    <w:p w14:paraId="10CE459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黑体" w:cs="宋体"/>
          <w:bCs/>
          <w:color w:val="auto"/>
          <w:kern w:val="0"/>
          <w:sz w:val="32"/>
          <w:szCs w:val="32"/>
        </w:rPr>
      </w:pPr>
      <w:bookmarkStart w:id="8" w:name="_Toc12566"/>
      <w:bookmarkEnd w:id="8"/>
      <w:bookmarkStart w:id="9" w:name="_Toc25314"/>
      <w:bookmarkEnd w:id="9"/>
      <w:r>
        <w:rPr>
          <w:rFonts w:hint="eastAsia" w:ascii="Times New Roman" w:hAnsi="Times New Roman" w:eastAsia="黑体" w:cs="宋体"/>
          <w:bCs/>
          <w:color w:val="auto"/>
          <w:kern w:val="0"/>
          <w:sz w:val="32"/>
          <w:szCs w:val="32"/>
        </w:rPr>
        <w:t>一、收入支出决算总体情况说明</w:t>
      </w:r>
    </w:p>
    <w:p w14:paraId="4B2541D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pacing w:val="0"/>
          <w:sz w:val="32"/>
          <w:szCs w:val="32"/>
          <w:lang w:eastAsia="zh-CN"/>
        </w:rPr>
      </w:pPr>
      <w:r>
        <w:rPr>
          <w:rFonts w:hint="eastAsia" w:ascii="Times New Roman" w:hAnsi="Times New Roman" w:eastAsia="仿宋_GB2312" w:cs="Times New Roman"/>
          <w:color w:val="auto"/>
          <w:sz w:val="32"/>
          <w:szCs w:val="32"/>
          <w:lang w:val="zh-CN" w:eastAsia="zh-CN"/>
        </w:rPr>
        <w:t>2023</w:t>
      </w:r>
      <w:r>
        <w:rPr>
          <w:rFonts w:hint="eastAsia" w:ascii="Times New Roman" w:hAnsi="Times New Roman" w:eastAsia="仿宋_GB2312"/>
          <w:color w:val="auto"/>
          <w:spacing w:val="0"/>
          <w:sz w:val="32"/>
          <w:szCs w:val="32"/>
          <w:lang w:eastAsia="zh-CN"/>
        </w:rPr>
        <w:t>年度</w:t>
      </w:r>
      <w:r>
        <w:rPr>
          <w:rFonts w:hint="eastAsia" w:ascii="Times New Roman" w:hAnsi="Times New Roman" w:eastAsia="仿宋_GB2312"/>
          <w:color w:val="auto"/>
          <w:spacing w:val="0"/>
          <w:sz w:val="32"/>
          <w:szCs w:val="32"/>
          <w:lang w:val="en-US" w:eastAsia="zh-CN"/>
        </w:rPr>
        <w:t>收入总计</w:t>
      </w:r>
      <w:r>
        <w:rPr>
          <w:rFonts w:hint="eastAsia" w:ascii="Times New Roman" w:hAnsi="Times New Roman" w:eastAsia="仿宋_GB2312" w:cs="Times New Roman"/>
          <w:color w:val="auto"/>
          <w:sz w:val="32"/>
          <w:szCs w:val="32"/>
          <w:lang w:val="zh-CN" w:eastAsia="zh-CN"/>
        </w:rPr>
        <w:t>6,855.07</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其中：本年收入合计</w:t>
      </w:r>
      <w:r>
        <w:rPr>
          <w:rFonts w:hint="eastAsia" w:ascii="Times New Roman" w:hAnsi="Times New Roman" w:eastAsia="仿宋_GB2312" w:cs="Times New Roman"/>
          <w:color w:val="auto"/>
          <w:sz w:val="32"/>
          <w:szCs w:val="32"/>
          <w:lang w:val="zh-CN" w:eastAsia="zh-CN"/>
        </w:rPr>
        <w:t>6,210.07</w:t>
      </w:r>
      <w:r>
        <w:rPr>
          <w:rFonts w:hint="eastAsia" w:ascii="Times New Roman" w:hAnsi="Times New Roman" w:eastAsia="仿宋_GB2312"/>
          <w:color w:val="auto"/>
          <w:spacing w:val="0"/>
          <w:sz w:val="32"/>
          <w:szCs w:val="32"/>
          <w:lang w:eastAsia="zh-CN"/>
        </w:rPr>
        <w:t>万元，使用非财政拨款结余</w:t>
      </w:r>
      <w:r>
        <w:rPr>
          <w:rFonts w:hint="eastAsia" w:ascii="Times New Roman" w:hAnsi="Times New Roman" w:eastAsia="仿宋_GB2312" w:cs="Times New Roman"/>
          <w:color w:val="auto"/>
          <w:sz w:val="32"/>
          <w:szCs w:val="32"/>
          <w:lang w:val="zh-CN" w:eastAsia="zh-CN"/>
        </w:rPr>
        <w:t>541.16万</w:t>
      </w:r>
      <w:r>
        <w:rPr>
          <w:rFonts w:hint="eastAsia" w:ascii="Times New Roman" w:hAnsi="Times New Roman" w:eastAsia="仿宋_GB2312"/>
          <w:color w:val="auto"/>
          <w:spacing w:val="0"/>
          <w:sz w:val="32"/>
          <w:szCs w:val="32"/>
          <w:lang w:eastAsia="zh-CN"/>
        </w:rPr>
        <w:t>元，年初结转和结余</w:t>
      </w:r>
      <w:r>
        <w:rPr>
          <w:rFonts w:hint="eastAsia" w:ascii="Times New Roman" w:hAnsi="Times New Roman" w:eastAsia="仿宋_GB2312" w:cs="Times New Roman"/>
          <w:color w:val="auto"/>
          <w:sz w:val="32"/>
          <w:szCs w:val="32"/>
          <w:lang w:val="zh-CN" w:eastAsia="zh-CN"/>
        </w:rPr>
        <w:t>103.85</w:t>
      </w:r>
      <w:r>
        <w:rPr>
          <w:rFonts w:hint="eastAsia" w:ascii="Times New Roman" w:hAnsi="Times New Roman" w:eastAsia="仿宋_GB2312"/>
          <w:color w:val="auto"/>
          <w:spacing w:val="0"/>
          <w:sz w:val="32"/>
          <w:szCs w:val="32"/>
          <w:lang w:eastAsia="zh-CN"/>
        </w:rPr>
        <w:t>万元。</w:t>
      </w:r>
    </w:p>
    <w:p w14:paraId="29A395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pacing w:val="0"/>
          <w:sz w:val="32"/>
          <w:szCs w:val="32"/>
          <w:lang w:eastAsia="zh-CN"/>
        </w:rPr>
      </w:pPr>
      <w:r>
        <w:rPr>
          <w:rFonts w:hint="eastAsia" w:ascii="Times New Roman" w:hAnsi="Times New Roman" w:eastAsia="仿宋_GB2312"/>
          <w:color w:val="auto"/>
          <w:spacing w:val="0"/>
          <w:sz w:val="32"/>
          <w:szCs w:val="32"/>
          <w:lang w:val="en-US" w:eastAsia="zh-CN"/>
        </w:rPr>
        <w:t>2023</w:t>
      </w:r>
      <w:r>
        <w:rPr>
          <w:rFonts w:hint="eastAsia" w:ascii="Times New Roman" w:hAnsi="Times New Roman" w:eastAsia="仿宋_GB2312"/>
          <w:color w:val="auto"/>
          <w:spacing w:val="0"/>
          <w:sz w:val="32"/>
          <w:szCs w:val="32"/>
          <w:lang w:eastAsia="zh-CN"/>
        </w:rPr>
        <w:t>年</w:t>
      </w:r>
      <w:r>
        <w:rPr>
          <w:rFonts w:hint="eastAsia" w:ascii="Times New Roman" w:hAnsi="Times New Roman" w:eastAsia="仿宋_GB2312"/>
          <w:color w:val="auto"/>
          <w:spacing w:val="0"/>
          <w:sz w:val="32"/>
          <w:szCs w:val="32"/>
          <w:lang w:val="en-US" w:eastAsia="zh-CN"/>
        </w:rPr>
        <w:t>度</w:t>
      </w:r>
      <w:r>
        <w:rPr>
          <w:rFonts w:hint="eastAsia" w:ascii="Times New Roman" w:hAnsi="Times New Roman" w:eastAsia="仿宋_GB2312"/>
          <w:color w:val="auto"/>
          <w:spacing w:val="0"/>
          <w:sz w:val="32"/>
          <w:szCs w:val="32"/>
          <w:lang w:eastAsia="zh-CN"/>
        </w:rPr>
        <w:t>支出</w:t>
      </w:r>
      <w:r>
        <w:rPr>
          <w:rFonts w:hint="eastAsia" w:ascii="Times New Roman" w:hAnsi="Times New Roman" w:eastAsia="仿宋_GB2312"/>
          <w:color w:val="auto"/>
          <w:spacing w:val="0"/>
          <w:sz w:val="32"/>
          <w:szCs w:val="32"/>
          <w:lang w:val="en-US" w:eastAsia="zh-CN"/>
        </w:rPr>
        <w:t>总计</w:t>
      </w:r>
      <w:r>
        <w:rPr>
          <w:rFonts w:hint="eastAsia" w:ascii="Times New Roman" w:hAnsi="Times New Roman" w:eastAsia="仿宋_GB2312" w:cs="Times New Roman"/>
          <w:color w:val="auto"/>
          <w:sz w:val="32"/>
          <w:szCs w:val="32"/>
          <w:lang w:val="zh-CN" w:eastAsia="zh-CN"/>
        </w:rPr>
        <w:t>6,855.07</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其中：本年支出合计</w:t>
      </w:r>
      <w:r>
        <w:rPr>
          <w:rFonts w:hint="eastAsia" w:ascii="Times New Roman" w:hAnsi="Times New Roman" w:eastAsia="仿宋_GB2312" w:cs="Times New Roman"/>
          <w:color w:val="auto"/>
          <w:sz w:val="32"/>
          <w:szCs w:val="32"/>
          <w:lang w:val="zh-CN" w:eastAsia="zh-CN"/>
        </w:rPr>
        <w:t>6,642.96</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结余分配</w:t>
      </w:r>
      <w:r>
        <w:rPr>
          <w:rFonts w:hint="eastAsia" w:ascii="Times New Roman" w:hAnsi="Times New Roman" w:eastAsia="仿宋_GB2312" w:cs="Times New Roman"/>
          <w:color w:val="auto"/>
          <w:sz w:val="32"/>
          <w:szCs w:val="32"/>
          <w:lang w:val="zh-CN" w:eastAsia="zh-CN"/>
        </w:rPr>
        <w:t>212.11</w:t>
      </w:r>
      <w:r>
        <w:rPr>
          <w:rFonts w:hint="eastAsia" w:ascii="Times New Roman" w:hAnsi="Times New Roman" w:eastAsia="仿宋_GB2312"/>
          <w:color w:val="auto"/>
          <w:spacing w:val="0"/>
          <w:sz w:val="32"/>
          <w:szCs w:val="32"/>
          <w:lang w:eastAsia="zh-CN"/>
        </w:rPr>
        <w:t>万元，年末结转和结余</w:t>
      </w:r>
      <w:r>
        <w:rPr>
          <w:rFonts w:hint="eastAsia" w:ascii="Times New Roman" w:hAnsi="Times New Roman" w:eastAsia="仿宋_GB2312" w:cs="Times New Roman"/>
          <w:color w:val="auto"/>
          <w:sz w:val="32"/>
          <w:szCs w:val="32"/>
          <w:lang w:val="zh-CN" w:eastAsia="zh-CN"/>
        </w:rPr>
        <w:t>0.00</w:t>
      </w:r>
      <w:r>
        <w:rPr>
          <w:rFonts w:hint="eastAsia" w:ascii="Times New Roman" w:hAnsi="Times New Roman" w:eastAsia="仿宋_GB2312"/>
          <w:color w:val="auto"/>
          <w:spacing w:val="0"/>
          <w:sz w:val="32"/>
          <w:szCs w:val="32"/>
          <w:lang w:eastAsia="zh-CN"/>
        </w:rPr>
        <w:t>万元。</w:t>
      </w:r>
    </w:p>
    <w:p w14:paraId="3E814F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pacing w:val="0"/>
          <w:sz w:val="32"/>
          <w:szCs w:val="32"/>
          <w:lang w:eastAsia="zh-CN"/>
        </w:rPr>
      </w:pPr>
      <w:r>
        <w:rPr>
          <w:rFonts w:hint="eastAsia" w:ascii="Times New Roman" w:hAnsi="Times New Roman" w:eastAsia="仿宋_GB2312"/>
          <w:color w:val="auto"/>
          <w:spacing w:val="0"/>
          <w:sz w:val="32"/>
          <w:szCs w:val="32"/>
          <w:lang w:val="en-US" w:eastAsia="zh-CN"/>
        </w:rPr>
        <w:t>收入支出总体与上年相比</w:t>
      </w:r>
      <w:r>
        <w:rPr>
          <w:rFonts w:hint="eastAsia" w:ascii="Times New Roman" w:hAnsi="Times New Roman" w:eastAsia="仿宋_GB2312"/>
          <w:color w:val="auto"/>
          <w:spacing w:val="0"/>
          <w:sz w:val="32"/>
          <w:szCs w:val="32"/>
          <w:lang w:eastAsia="zh-CN"/>
        </w:rPr>
        <w:t>，</w:t>
      </w:r>
      <w:r>
        <w:rPr>
          <w:rFonts w:hint="eastAsia" w:ascii="Times New Roman" w:hAnsi="Times New Roman" w:eastAsia="仿宋_GB2312"/>
          <w:color w:val="auto"/>
          <w:spacing w:val="0"/>
          <w:sz w:val="32"/>
          <w:szCs w:val="32"/>
          <w:lang w:val="zh-CN" w:eastAsia="zh-CN"/>
        </w:rPr>
        <w:t>减少</w:t>
      </w:r>
      <w:r>
        <w:rPr>
          <w:rFonts w:hint="eastAsia" w:ascii="Times New Roman" w:hAnsi="Times New Roman" w:eastAsia="仿宋_GB2312" w:cs="Times New Roman"/>
          <w:color w:val="auto"/>
          <w:sz w:val="32"/>
          <w:szCs w:val="32"/>
          <w:lang w:val="zh-CN" w:eastAsia="zh-CN"/>
        </w:rPr>
        <w:t>345.68</w:t>
      </w:r>
      <w:r>
        <w:rPr>
          <w:rFonts w:hint="eastAsia" w:ascii="Times New Roman" w:hAnsi="Times New Roman" w:eastAsia="仿宋_GB2312"/>
          <w:color w:val="auto"/>
          <w:spacing w:val="0"/>
          <w:sz w:val="32"/>
          <w:szCs w:val="32"/>
          <w:lang w:val="zh-CN" w:eastAsia="zh-CN"/>
        </w:rPr>
        <w:t>万元</w:t>
      </w:r>
      <w:r>
        <w:rPr>
          <w:rFonts w:hint="eastAsia" w:ascii="Times New Roman" w:hAnsi="Times New Roman" w:eastAsia="仿宋_GB2312"/>
          <w:color w:val="auto"/>
          <w:spacing w:val="0"/>
          <w:sz w:val="32"/>
          <w:szCs w:val="32"/>
          <w:lang w:eastAsia="zh-CN"/>
        </w:rPr>
        <w:t>，</w:t>
      </w:r>
      <w:r>
        <w:rPr>
          <w:rFonts w:hint="eastAsia" w:ascii="Times New Roman" w:hAnsi="Times New Roman" w:eastAsia="仿宋_GB2312"/>
          <w:color w:val="auto"/>
          <w:spacing w:val="0"/>
          <w:sz w:val="32"/>
          <w:szCs w:val="32"/>
          <w:lang w:val="en-US" w:eastAsia="zh-CN"/>
        </w:rPr>
        <w:t>下降</w:t>
      </w:r>
      <w:r>
        <w:rPr>
          <w:rFonts w:hint="eastAsia" w:ascii="Times New Roman" w:hAnsi="Times New Roman" w:eastAsia="仿宋_GB2312" w:cs="Times New Roman"/>
          <w:color w:val="auto"/>
          <w:sz w:val="32"/>
          <w:szCs w:val="32"/>
          <w:lang w:val="en-US" w:eastAsia="zh-CN"/>
        </w:rPr>
        <w:t>4.80%</w:t>
      </w:r>
      <w:r>
        <w:rPr>
          <w:rFonts w:hint="eastAsia" w:ascii="Times New Roman" w:hAnsi="Times New Roman" w:eastAsia="仿宋_GB2312"/>
          <w:color w:val="auto"/>
          <w:spacing w:val="0"/>
          <w:sz w:val="32"/>
          <w:szCs w:val="32"/>
          <w:lang w:eastAsia="zh-CN"/>
        </w:rPr>
        <w:t>，主要原因是：</w:t>
      </w:r>
      <w:r>
        <w:rPr>
          <w:rFonts w:hint="eastAsia" w:ascii="Times New Roman" w:hAnsi="Times New Roman" w:eastAsia="仿宋_GB2312" w:cs="Times New Roman"/>
          <w:color w:val="auto"/>
          <w:sz w:val="32"/>
          <w:szCs w:val="32"/>
          <w:lang w:val="en-US" w:eastAsia="zh-CN"/>
        </w:rPr>
        <w:t>2023</w:t>
      </w:r>
      <w:r>
        <w:rPr>
          <w:rFonts w:hint="eastAsia" w:ascii="Times New Roman" w:hAnsi="Times New Roman" w:eastAsia="仿宋_GB2312"/>
          <w:color w:val="auto"/>
          <w:spacing w:val="0"/>
          <w:sz w:val="32"/>
          <w:szCs w:val="32"/>
          <w:lang w:val="en-US" w:eastAsia="zh-CN"/>
        </w:rPr>
        <w:t>年市场项目较上年数量金额减少，当年地质项目降本增效效果显著。</w:t>
      </w:r>
    </w:p>
    <w:p w14:paraId="30C76FC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rPr>
      </w:pPr>
      <w:bookmarkStart w:id="10" w:name="_Toc12142"/>
      <w:bookmarkEnd w:id="10"/>
      <w:bookmarkStart w:id="11" w:name="_Toc1979"/>
      <w:bookmarkEnd w:id="11"/>
      <w:r>
        <w:rPr>
          <w:rFonts w:hint="eastAsia" w:ascii="Times New Roman" w:hAnsi="Times New Roman" w:eastAsia="黑体" w:cs="宋体"/>
          <w:bCs/>
          <w:color w:val="auto"/>
          <w:kern w:val="0"/>
          <w:sz w:val="32"/>
          <w:szCs w:val="32"/>
          <w:lang w:eastAsia="zh-CN"/>
        </w:rPr>
        <w:t>二、</w:t>
      </w:r>
      <w:r>
        <w:rPr>
          <w:rFonts w:hint="eastAsia" w:ascii="Times New Roman" w:hAnsi="Times New Roman" w:eastAsia="黑体" w:cs="宋体"/>
          <w:bCs/>
          <w:color w:val="auto"/>
          <w:kern w:val="0"/>
          <w:sz w:val="32"/>
          <w:szCs w:val="32"/>
        </w:rPr>
        <w:t>收入</w:t>
      </w:r>
      <w:r>
        <w:rPr>
          <w:rFonts w:hint="eastAsia" w:ascii="Times New Roman" w:hAnsi="Times New Roman" w:eastAsia="黑体" w:cs="宋体"/>
          <w:bCs/>
          <w:color w:val="auto"/>
          <w:kern w:val="0"/>
          <w:sz w:val="32"/>
          <w:szCs w:val="32"/>
          <w:lang w:eastAsia="zh-CN"/>
        </w:rPr>
        <w:t>决算</w:t>
      </w:r>
      <w:r>
        <w:rPr>
          <w:rFonts w:hint="eastAsia" w:ascii="Times New Roman" w:hAnsi="Times New Roman" w:eastAsia="黑体" w:cs="宋体"/>
          <w:bCs/>
          <w:color w:val="auto"/>
          <w:kern w:val="0"/>
          <w:sz w:val="32"/>
          <w:szCs w:val="32"/>
        </w:rPr>
        <w:t>情况说明</w:t>
      </w:r>
    </w:p>
    <w:p w14:paraId="12FFDBC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本年收入</w:t>
      </w:r>
      <w:r>
        <w:rPr>
          <w:rFonts w:hint="eastAsia" w:ascii="Times New Roman" w:hAnsi="Times New Roman" w:eastAsia="仿宋_GB2312" w:cs="Times New Roman"/>
          <w:color w:val="auto"/>
          <w:sz w:val="32"/>
          <w:szCs w:val="32"/>
          <w:lang w:val="en-US" w:eastAsia="zh-CN"/>
        </w:rPr>
        <w:t>6,210.07</w:t>
      </w:r>
      <w:r>
        <w:rPr>
          <w:rFonts w:hint="eastAsia" w:ascii="Times New Roman" w:hAnsi="Times New Roman" w:eastAsia="仿宋_GB2312"/>
          <w:color w:val="auto"/>
          <w:sz w:val="32"/>
          <w:szCs w:val="32"/>
        </w:rPr>
        <w:t>万元，其中：财政拨款收入</w:t>
      </w:r>
      <w:r>
        <w:rPr>
          <w:rFonts w:hint="eastAsia" w:ascii="Times New Roman" w:hAnsi="Times New Roman" w:eastAsia="仿宋_GB2312" w:cs="Times New Roman"/>
          <w:color w:val="auto"/>
          <w:sz w:val="32"/>
          <w:szCs w:val="32"/>
          <w:lang w:val="zh-CN" w:eastAsia="zh-CN"/>
        </w:rPr>
        <w:t>3,669.26</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59.09%</w:t>
      </w:r>
      <w:r>
        <w:rPr>
          <w:rFonts w:hint="eastAsia" w:ascii="Times New Roman" w:hAnsi="Times New Roman" w:eastAsia="仿宋_GB2312"/>
          <w:color w:val="auto"/>
          <w:sz w:val="32"/>
          <w:szCs w:val="32"/>
        </w:rPr>
        <w:t>；上级补助收入</w:t>
      </w:r>
      <w:r>
        <w:rPr>
          <w:rFonts w:hint="eastAsia" w:ascii="Times New Roman" w:hAnsi="Times New Roman" w:eastAsia="仿宋_GB2312" w:cs="Times New Roman"/>
          <w:color w:val="auto"/>
          <w:sz w:val="32"/>
          <w:szCs w:val="32"/>
          <w:lang w:val="zh-CN" w:eastAsia="zh-CN"/>
        </w:rPr>
        <w:t>0.00</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0.00%</w:t>
      </w:r>
      <w:r>
        <w:rPr>
          <w:rFonts w:hint="eastAsia" w:ascii="Times New Roman" w:hAnsi="Times New Roman" w:eastAsia="仿宋_GB2312"/>
          <w:color w:val="auto"/>
          <w:sz w:val="32"/>
          <w:szCs w:val="32"/>
        </w:rPr>
        <w:t>；事业收入</w:t>
      </w:r>
      <w:r>
        <w:rPr>
          <w:rFonts w:hint="eastAsia" w:ascii="Times New Roman" w:hAnsi="Times New Roman" w:eastAsia="仿宋_GB2312" w:cs="Times New Roman"/>
          <w:color w:val="auto"/>
          <w:sz w:val="32"/>
          <w:szCs w:val="32"/>
          <w:lang w:val="zh-CN" w:eastAsia="zh-CN"/>
        </w:rPr>
        <w:t>2,206.95</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35.54%</w:t>
      </w:r>
      <w:r>
        <w:rPr>
          <w:rFonts w:hint="eastAsia" w:ascii="Times New Roman" w:hAnsi="Times New Roman" w:eastAsia="仿宋_GB2312"/>
          <w:color w:val="auto"/>
          <w:sz w:val="32"/>
          <w:szCs w:val="32"/>
        </w:rPr>
        <w:t>；经营收入</w:t>
      </w:r>
      <w:r>
        <w:rPr>
          <w:rFonts w:hint="eastAsia" w:ascii="Times New Roman" w:hAnsi="Times New Roman" w:eastAsia="仿宋_GB2312" w:cs="Times New Roman"/>
          <w:color w:val="auto"/>
          <w:sz w:val="32"/>
          <w:szCs w:val="32"/>
          <w:lang w:val="zh-CN" w:eastAsia="zh-CN"/>
        </w:rPr>
        <w:t>53.38</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0.86%</w:t>
      </w:r>
      <w:r>
        <w:rPr>
          <w:rFonts w:hint="eastAsia" w:ascii="Times New Roman" w:hAnsi="Times New Roman" w:eastAsia="仿宋_GB2312"/>
          <w:color w:val="auto"/>
          <w:sz w:val="32"/>
          <w:szCs w:val="32"/>
        </w:rPr>
        <w:t>；</w:t>
      </w:r>
      <w:r>
        <w:rPr>
          <w:rFonts w:hint="eastAsia" w:ascii="Times New Roman" w:hAnsi="Times New Roman" w:eastAsia="仿宋_GB2312"/>
          <w:color w:val="auto"/>
          <w:sz w:val="32"/>
          <w:szCs w:val="32"/>
          <w:lang w:eastAsia="zh-CN"/>
        </w:rPr>
        <w:t>附属单位上缴收入</w:t>
      </w:r>
      <w:r>
        <w:rPr>
          <w:rFonts w:hint="eastAsia" w:ascii="Times New Roman" w:hAnsi="Times New Roman" w:eastAsia="仿宋_GB2312" w:cs="Times New Roman"/>
          <w:color w:val="auto"/>
          <w:sz w:val="32"/>
          <w:szCs w:val="32"/>
          <w:lang w:val="zh-CN" w:eastAsia="zh-CN"/>
        </w:rPr>
        <w:t>0.00</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0.00%</w:t>
      </w:r>
      <w:r>
        <w:rPr>
          <w:rFonts w:hint="eastAsia" w:ascii="Times New Roman" w:hAnsi="Times New Roman" w:eastAsia="仿宋_GB2312"/>
          <w:color w:val="auto"/>
          <w:sz w:val="32"/>
          <w:szCs w:val="32"/>
        </w:rPr>
        <w:t>；其他收入</w:t>
      </w:r>
      <w:r>
        <w:rPr>
          <w:rFonts w:hint="eastAsia" w:ascii="Times New Roman" w:hAnsi="Times New Roman" w:eastAsia="仿宋_GB2312" w:cs="Times New Roman"/>
          <w:color w:val="auto"/>
          <w:sz w:val="32"/>
          <w:szCs w:val="32"/>
          <w:lang w:val="zh-CN" w:eastAsia="zh-CN"/>
        </w:rPr>
        <w:t>280.47</w:t>
      </w:r>
      <w:r>
        <w:rPr>
          <w:rFonts w:hint="eastAsia" w:ascii="Times New Roman" w:hAnsi="Times New Roman" w:eastAsia="仿宋_GB2312"/>
          <w:color w:val="auto"/>
          <w:sz w:val="32"/>
          <w:szCs w:val="32"/>
        </w:rPr>
        <w:t>万元，占</w:t>
      </w:r>
      <w:r>
        <w:rPr>
          <w:rFonts w:hint="eastAsia" w:ascii="Times New Roman" w:hAnsi="Times New Roman" w:eastAsia="仿宋_GB2312" w:cs="Times New Roman"/>
          <w:color w:val="auto"/>
          <w:sz w:val="32"/>
          <w:szCs w:val="32"/>
          <w:lang w:val="zh-CN" w:eastAsia="zh-CN"/>
        </w:rPr>
        <w:t>4.52</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w:t>
      </w:r>
    </w:p>
    <w:p w14:paraId="482DAE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12" w:name="_Toc13201"/>
      <w:bookmarkEnd w:id="12"/>
      <w:bookmarkStart w:id="13" w:name="_Toc27961"/>
      <w:bookmarkEnd w:id="13"/>
      <w:r>
        <w:rPr>
          <w:rFonts w:hint="eastAsia" w:ascii="Times New Roman" w:hAnsi="Times New Roman" w:eastAsia="黑体" w:cs="宋体"/>
          <w:bCs/>
          <w:color w:val="auto"/>
          <w:kern w:val="0"/>
          <w:sz w:val="32"/>
          <w:szCs w:val="32"/>
          <w:lang w:eastAsia="zh-CN"/>
        </w:rPr>
        <w:t>三、支出决算情况说明</w:t>
      </w:r>
    </w:p>
    <w:p w14:paraId="082F30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s="仿宋_GB2312"/>
          <w:color w:val="auto"/>
          <w:sz w:val="30"/>
          <w:szCs w:val="30"/>
          <w:lang w:val="zh-CN" w:eastAsia="zh-CN"/>
        </w:rPr>
      </w:pPr>
      <w:r>
        <w:rPr>
          <w:rFonts w:hint="eastAsia" w:ascii="Times New Roman" w:hAnsi="Times New Roman" w:eastAsia="仿宋_GB2312" w:cs="仿宋_GB2312"/>
          <w:color w:val="auto"/>
          <w:sz w:val="32"/>
          <w:szCs w:val="32"/>
          <w:lang w:val="zh-CN" w:eastAsia="zh-CN"/>
        </w:rPr>
        <w:t>本年支出</w:t>
      </w:r>
      <w:r>
        <w:rPr>
          <w:rFonts w:hint="eastAsia" w:ascii="Times New Roman" w:hAnsi="Times New Roman" w:eastAsia="仿宋_GB2312" w:cs="Times New Roman"/>
          <w:color w:val="auto"/>
          <w:sz w:val="32"/>
          <w:szCs w:val="32"/>
          <w:lang w:val="zh-CN" w:eastAsia="zh-CN"/>
        </w:rPr>
        <w:t>6,642.96</w:t>
      </w:r>
      <w:r>
        <w:rPr>
          <w:rFonts w:hint="eastAsia" w:ascii="Times New Roman" w:hAnsi="Times New Roman" w:eastAsia="仿宋_GB2312" w:cs="仿宋_GB2312"/>
          <w:color w:val="auto"/>
          <w:sz w:val="32"/>
          <w:szCs w:val="32"/>
          <w:lang w:val="zh-CN" w:eastAsia="zh-CN"/>
        </w:rPr>
        <w:t>万元，其中：基本支出</w:t>
      </w:r>
      <w:r>
        <w:rPr>
          <w:rFonts w:hint="eastAsia" w:ascii="Times New Roman" w:hAnsi="Times New Roman" w:eastAsia="仿宋_GB2312" w:cs="Times New Roman"/>
          <w:color w:val="auto"/>
          <w:sz w:val="32"/>
          <w:szCs w:val="32"/>
          <w:lang w:val="zh-CN" w:eastAsia="zh-CN"/>
        </w:rPr>
        <w:t>2,925.50</w:t>
      </w:r>
      <w:r>
        <w:rPr>
          <w:rFonts w:hint="eastAsia" w:ascii="Times New Roman" w:hAnsi="Times New Roman" w:eastAsia="仿宋_GB2312" w:cs="仿宋_GB2312"/>
          <w:color w:val="auto"/>
          <w:sz w:val="32"/>
          <w:szCs w:val="32"/>
          <w:lang w:val="zh-CN" w:eastAsia="zh-CN"/>
        </w:rPr>
        <w:t>万元，占</w:t>
      </w:r>
      <w:r>
        <w:rPr>
          <w:rFonts w:hint="eastAsia" w:ascii="Times New Roman" w:hAnsi="Times New Roman" w:eastAsia="仿宋_GB2312" w:cs="Times New Roman"/>
          <w:color w:val="auto"/>
          <w:sz w:val="32"/>
          <w:szCs w:val="32"/>
          <w:lang w:val="zh-CN" w:eastAsia="zh-CN"/>
        </w:rPr>
        <w:t>44.04%</w:t>
      </w:r>
      <w:r>
        <w:rPr>
          <w:rFonts w:hint="eastAsia" w:ascii="Times New Roman" w:hAnsi="Times New Roman" w:eastAsia="仿宋_GB2312" w:cs="仿宋_GB2312"/>
          <w:color w:val="auto"/>
          <w:sz w:val="32"/>
          <w:szCs w:val="32"/>
          <w:lang w:val="zh-CN" w:eastAsia="zh-CN"/>
        </w:rPr>
        <w:t>；项目支出</w:t>
      </w:r>
      <w:r>
        <w:rPr>
          <w:rFonts w:hint="eastAsia" w:ascii="Times New Roman" w:hAnsi="Times New Roman" w:eastAsia="仿宋_GB2312" w:cs="Times New Roman"/>
          <w:color w:val="auto"/>
          <w:sz w:val="32"/>
          <w:szCs w:val="32"/>
          <w:lang w:val="zh-CN" w:eastAsia="zh-CN"/>
        </w:rPr>
        <w:t>3,664.07</w:t>
      </w:r>
      <w:r>
        <w:rPr>
          <w:rFonts w:hint="eastAsia" w:ascii="Times New Roman" w:hAnsi="Times New Roman" w:eastAsia="仿宋_GB2312" w:cs="仿宋_GB2312"/>
          <w:color w:val="auto"/>
          <w:sz w:val="32"/>
          <w:szCs w:val="32"/>
          <w:lang w:val="zh-CN" w:eastAsia="zh-CN"/>
        </w:rPr>
        <w:t>万元，占</w:t>
      </w:r>
      <w:r>
        <w:rPr>
          <w:rFonts w:hint="eastAsia" w:ascii="Times New Roman" w:hAnsi="Times New Roman" w:eastAsia="仿宋_GB2312" w:cs="Times New Roman"/>
          <w:color w:val="auto"/>
          <w:sz w:val="32"/>
          <w:szCs w:val="32"/>
          <w:lang w:val="zh-CN" w:eastAsia="zh-CN"/>
        </w:rPr>
        <w:t>55.16%</w:t>
      </w:r>
      <w:r>
        <w:rPr>
          <w:rFonts w:hint="eastAsia" w:ascii="Times New Roman" w:hAnsi="Times New Roman" w:eastAsia="仿宋_GB2312" w:cs="仿宋_GB2312"/>
          <w:color w:val="auto"/>
          <w:sz w:val="32"/>
          <w:szCs w:val="32"/>
          <w:lang w:val="zh-CN" w:eastAsia="zh-CN"/>
        </w:rPr>
        <w:t>；上缴上级支出0.00万元，占0.00%；经营支出53.38万元，占0.80%；对附属单位补助支出0.00万元，占0.00%。</w:t>
      </w:r>
    </w:p>
    <w:p w14:paraId="34940D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14" w:name="_Toc26564"/>
      <w:bookmarkEnd w:id="14"/>
      <w:bookmarkStart w:id="15" w:name="_Toc4393"/>
      <w:bookmarkEnd w:id="15"/>
      <w:r>
        <w:rPr>
          <w:rFonts w:hint="eastAsia" w:ascii="Times New Roman" w:hAnsi="Times New Roman" w:eastAsia="黑体" w:cs="宋体"/>
          <w:bCs/>
          <w:color w:val="auto"/>
          <w:kern w:val="0"/>
          <w:sz w:val="32"/>
          <w:szCs w:val="32"/>
          <w:lang w:eastAsia="zh-CN"/>
        </w:rPr>
        <w:t>四、财政拨款收入支出决算总体情况说明</w:t>
      </w:r>
    </w:p>
    <w:p w14:paraId="7DCED8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pacing w:val="0"/>
          <w:sz w:val="32"/>
          <w:szCs w:val="32"/>
          <w:lang w:eastAsia="zh-CN"/>
        </w:rPr>
      </w:pPr>
      <w:r>
        <w:rPr>
          <w:rFonts w:hint="eastAsia" w:ascii="Times New Roman" w:hAnsi="Times New Roman" w:eastAsia="仿宋_GB2312"/>
          <w:color w:val="auto"/>
          <w:spacing w:val="0"/>
          <w:sz w:val="32"/>
          <w:szCs w:val="32"/>
          <w:lang w:eastAsia="zh-CN"/>
        </w:rPr>
        <w:t>2023年度财政拨款收入</w:t>
      </w:r>
      <w:r>
        <w:rPr>
          <w:rFonts w:hint="eastAsia" w:ascii="Times New Roman" w:hAnsi="Times New Roman" w:eastAsia="仿宋_GB2312"/>
          <w:color w:val="auto"/>
          <w:spacing w:val="0"/>
          <w:sz w:val="32"/>
          <w:szCs w:val="32"/>
          <w:lang w:val="en-US" w:eastAsia="zh-CN"/>
        </w:rPr>
        <w:t>总计</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其中：年初财政拨款结转和结余</w:t>
      </w:r>
      <w:r>
        <w:rPr>
          <w:rFonts w:hint="eastAsia" w:ascii="Times New Roman" w:hAnsi="Times New Roman" w:eastAsia="仿宋_GB2312"/>
          <w:color w:val="auto"/>
          <w:spacing w:val="0"/>
          <w:sz w:val="32"/>
          <w:szCs w:val="32"/>
          <w:lang w:val="zh-CN" w:eastAsia="zh-CN"/>
        </w:rPr>
        <w:t>0.00</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本年财政拨款收入</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万元。财政拨款支出</w:t>
      </w:r>
      <w:r>
        <w:rPr>
          <w:rFonts w:hint="eastAsia" w:ascii="Times New Roman" w:hAnsi="Times New Roman" w:eastAsia="仿宋_GB2312"/>
          <w:color w:val="auto"/>
          <w:spacing w:val="0"/>
          <w:sz w:val="32"/>
          <w:szCs w:val="32"/>
          <w:lang w:val="en-US" w:eastAsia="zh-CN"/>
        </w:rPr>
        <w:t>总计</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其中：年末财政拨款结转和结余</w:t>
      </w:r>
      <w:r>
        <w:rPr>
          <w:rFonts w:hint="eastAsia" w:ascii="Times New Roman" w:hAnsi="Times New Roman" w:eastAsia="仿宋_GB2312"/>
          <w:color w:val="auto"/>
          <w:spacing w:val="0"/>
          <w:sz w:val="32"/>
          <w:szCs w:val="32"/>
          <w:lang w:val="zh-CN" w:eastAsia="zh-CN"/>
        </w:rPr>
        <w:t>0.00</w:t>
      </w:r>
      <w:r>
        <w:rPr>
          <w:rFonts w:hint="eastAsia" w:ascii="Times New Roman" w:hAnsi="Times New Roman" w:eastAsia="仿宋_GB2312"/>
          <w:color w:val="auto"/>
          <w:spacing w:val="0"/>
          <w:sz w:val="32"/>
          <w:szCs w:val="32"/>
          <w:lang w:eastAsia="zh-CN"/>
        </w:rPr>
        <w:t>万元，</w:t>
      </w:r>
      <w:r>
        <w:rPr>
          <w:rFonts w:hint="eastAsia" w:ascii="Times New Roman" w:hAnsi="Times New Roman" w:eastAsia="仿宋_GB2312"/>
          <w:color w:val="auto"/>
          <w:spacing w:val="0"/>
          <w:sz w:val="32"/>
          <w:szCs w:val="32"/>
          <w:lang w:val="en-US" w:eastAsia="zh-CN"/>
        </w:rPr>
        <w:t>本年财政拨款支出</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w:t>
      </w:r>
    </w:p>
    <w:p w14:paraId="0C11BC0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default" w:ascii="Times New Roman" w:hAnsi="Times New Roman" w:eastAsia="仿宋_GB2312"/>
          <w:color w:val="auto"/>
          <w:spacing w:val="0"/>
          <w:sz w:val="32"/>
          <w:szCs w:val="32"/>
          <w:lang w:val="en-US" w:eastAsia="zh-CN"/>
        </w:rPr>
      </w:pPr>
      <w:r>
        <w:rPr>
          <w:rFonts w:hint="eastAsia" w:ascii="Times New Roman" w:hAnsi="Times New Roman" w:eastAsia="仿宋_GB2312"/>
          <w:color w:val="auto"/>
          <w:spacing w:val="0"/>
          <w:sz w:val="32"/>
          <w:szCs w:val="32"/>
          <w:lang w:eastAsia="zh-CN"/>
        </w:rPr>
        <w:t>财政拨款收入支出总体与上年相比</w:t>
      </w:r>
      <w:r>
        <w:rPr>
          <w:rFonts w:hint="eastAsia" w:ascii="Times New Roman" w:hAnsi="Times New Roman"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zh-CN" w:eastAsia="zh-CN"/>
        </w:rPr>
        <w:t>增加859.71万元</w:t>
      </w:r>
      <w:r>
        <w:rPr>
          <w:rFonts w:hint="eastAsia" w:ascii="Times New Roman" w:hAnsi="Times New Roman" w:eastAsia="仿宋_GB2312"/>
          <w:color w:val="auto"/>
          <w:spacing w:val="0"/>
          <w:sz w:val="32"/>
          <w:szCs w:val="32"/>
          <w:lang w:eastAsia="zh-CN"/>
        </w:rPr>
        <w:t>，</w:t>
      </w:r>
      <w:r>
        <w:rPr>
          <w:rFonts w:hint="eastAsia" w:ascii="Times New Roman" w:hAnsi="Times New Roman" w:eastAsia="仿宋_GB2312"/>
          <w:color w:val="auto"/>
          <w:spacing w:val="0"/>
          <w:sz w:val="32"/>
          <w:szCs w:val="32"/>
          <w:lang w:val="zh-CN" w:eastAsia="zh-CN"/>
        </w:rPr>
        <w:t>增长30.60%，</w:t>
      </w:r>
      <w:r>
        <w:rPr>
          <w:rFonts w:hint="eastAsia" w:ascii="Times New Roman" w:hAnsi="Times New Roman" w:eastAsia="仿宋_GB2312"/>
          <w:color w:val="auto"/>
          <w:spacing w:val="0"/>
          <w:sz w:val="32"/>
          <w:szCs w:val="32"/>
          <w:lang w:eastAsia="zh-CN"/>
        </w:rPr>
        <w:t>主要原因是：当年追加的地勘项目费、调增基本工资、绩效奖、职业年金、丧葬费抚恤金。与年初预算相比，年初预算数</w:t>
      </w:r>
      <w:r>
        <w:rPr>
          <w:rFonts w:hint="eastAsia" w:ascii="Times New Roman" w:hAnsi="Times New Roman" w:eastAsia="仿宋_GB2312"/>
          <w:color w:val="auto"/>
          <w:spacing w:val="0"/>
          <w:sz w:val="32"/>
          <w:szCs w:val="32"/>
          <w:lang w:val="zh-CN" w:eastAsia="zh-CN"/>
        </w:rPr>
        <w:t>2,283.11</w:t>
      </w:r>
      <w:r>
        <w:rPr>
          <w:rFonts w:hint="eastAsia" w:ascii="Times New Roman" w:hAnsi="Times New Roman" w:eastAsia="仿宋_GB2312"/>
          <w:color w:val="auto"/>
          <w:spacing w:val="0"/>
          <w:sz w:val="32"/>
          <w:szCs w:val="32"/>
          <w:lang w:eastAsia="zh-CN"/>
        </w:rPr>
        <w:t>万元，决算数</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万元，预决算差异率60.71%，主要原因是：当年追加</w:t>
      </w:r>
      <w:r>
        <w:rPr>
          <w:rFonts w:hint="eastAsia" w:eastAsia="仿宋_GB2312"/>
          <w:color w:val="auto"/>
          <w:spacing w:val="0"/>
          <w:sz w:val="32"/>
          <w:szCs w:val="32"/>
          <w:lang w:val="en-US" w:eastAsia="zh-CN"/>
        </w:rPr>
        <w:t>了</w:t>
      </w:r>
      <w:r>
        <w:rPr>
          <w:rFonts w:hint="eastAsia" w:ascii="Times New Roman" w:hAnsi="Times New Roman" w:eastAsia="仿宋_GB2312"/>
          <w:color w:val="auto"/>
          <w:spacing w:val="0"/>
          <w:sz w:val="32"/>
          <w:szCs w:val="32"/>
          <w:lang w:eastAsia="zh-CN"/>
        </w:rPr>
        <w:t>地勘项目费</w:t>
      </w:r>
      <w:r>
        <w:rPr>
          <w:rFonts w:hint="eastAsia" w:ascii="Times New Roman" w:hAnsi="Times New Roman" w:eastAsia="仿宋_GB2312"/>
          <w:color w:val="auto"/>
          <w:spacing w:val="0"/>
          <w:sz w:val="32"/>
          <w:szCs w:val="32"/>
          <w:lang w:val="en-US" w:eastAsia="zh-CN"/>
        </w:rPr>
        <w:t>987.00万元（指标文号：新财资环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040号）</w:t>
      </w:r>
      <w:r>
        <w:rPr>
          <w:rFonts w:hint="eastAsia" w:ascii="Times New Roman" w:hAnsi="Times New Roman" w:eastAsia="仿宋_GB2312"/>
          <w:color w:val="auto"/>
          <w:spacing w:val="0"/>
          <w:sz w:val="32"/>
          <w:szCs w:val="32"/>
          <w:lang w:eastAsia="zh-CN"/>
        </w:rPr>
        <w:t>、绩效奖</w:t>
      </w:r>
      <w:r>
        <w:rPr>
          <w:rFonts w:hint="eastAsia" w:ascii="Times New Roman" w:hAnsi="Times New Roman" w:eastAsia="仿宋_GB2312"/>
          <w:color w:val="auto"/>
          <w:spacing w:val="0"/>
          <w:sz w:val="32"/>
          <w:szCs w:val="32"/>
          <w:lang w:val="en-US" w:eastAsia="zh-CN"/>
        </w:rPr>
        <w:t>279.13万元（指标文号：新财资环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010号）</w:t>
      </w:r>
      <w:r>
        <w:rPr>
          <w:rFonts w:hint="eastAsia" w:ascii="Times New Roman" w:hAnsi="Times New Roman" w:eastAsia="仿宋_GB2312"/>
          <w:color w:val="auto"/>
          <w:spacing w:val="0"/>
          <w:sz w:val="32"/>
          <w:szCs w:val="32"/>
          <w:lang w:eastAsia="zh-CN"/>
        </w:rPr>
        <w:t>、2022-2023年调增艰边贴</w:t>
      </w:r>
      <w:r>
        <w:rPr>
          <w:rFonts w:hint="eastAsia" w:ascii="Times New Roman" w:hAnsi="Times New Roman" w:eastAsia="仿宋_GB2312"/>
          <w:color w:val="auto"/>
          <w:spacing w:val="0"/>
          <w:sz w:val="32"/>
          <w:szCs w:val="32"/>
          <w:lang w:val="en-US" w:eastAsia="zh-CN"/>
        </w:rPr>
        <w:t>25.95万元（指标文号：新财资环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036号）</w:t>
      </w:r>
      <w:r>
        <w:rPr>
          <w:rFonts w:hint="eastAsia" w:ascii="Times New Roman" w:hAnsi="Times New Roman" w:eastAsia="仿宋_GB2312"/>
          <w:color w:val="auto"/>
          <w:spacing w:val="0"/>
          <w:sz w:val="32"/>
          <w:szCs w:val="32"/>
          <w:lang w:eastAsia="zh-CN"/>
        </w:rPr>
        <w:t>、职业年金</w:t>
      </w:r>
      <w:r>
        <w:rPr>
          <w:rFonts w:hint="eastAsia" w:ascii="Times New Roman" w:hAnsi="Times New Roman" w:eastAsia="仿宋_GB2312"/>
          <w:color w:val="auto"/>
          <w:spacing w:val="0"/>
          <w:sz w:val="32"/>
          <w:szCs w:val="32"/>
          <w:lang w:val="en-US" w:eastAsia="zh-CN"/>
        </w:rPr>
        <w:t>225.17万元（指标文号：新财资环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050号、新财资环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157号）</w:t>
      </w:r>
      <w:r>
        <w:rPr>
          <w:rFonts w:hint="eastAsia" w:ascii="Times New Roman" w:hAnsi="Times New Roman" w:eastAsia="仿宋_GB2312"/>
          <w:color w:val="auto"/>
          <w:spacing w:val="0"/>
          <w:sz w:val="32"/>
          <w:szCs w:val="32"/>
          <w:lang w:eastAsia="zh-CN"/>
        </w:rPr>
        <w:t>、丧葬费抚恤金</w:t>
      </w:r>
      <w:r>
        <w:rPr>
          <w:rFonts w:hint="eastAsia" w:ascii="Times New Roman" w:hAnsi="Times New Roman" w:eastAsia="仿宋_GB2312"/>
          <w:color w:val="auto"/>
          <w:spacing w:val="0"/>
          <w:sz w:val="32"/>
          <w:szCs w:val="32"/>
          <w:lang w:val="en-US" w:eastAsia="zh-CN"/>
        </w:rPr>
        <w:t>148.14万元（指标文号：新财资环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059号）</w:t>
      </w:r>
      <w:r>
        <w:rPr>
          <w:rFonts w:hint="eastAsia" w:ascii="Times New Roman" w:hAnsi="Times New Roman" w:eastAsia="仿宋_GB2312"/>
          <w:color w:val="auto"/>
          <w:spacing w:val="0"/>
          <w:sz w:val="32"/>
          <w:szCs w:val="32"/>
          <w:lang w:eastAsia="zh-CN"/>
        </w:rPr>
        <w:t>。</w:t>
      </w:r>
    </w:p>
    <w:p w14:paraId="25CF5F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16" w:name="_Toc20360"/>
      <w:bookmarkEnd w:id="16"/>
      <w:bookmarkStart w:id="17" w:name="_Toc13833"/>
      <w:bookmarkEnd w:id="17"/>
      <w:r>
        <w:rPr>
          <w:rFonts w:hint="eastAsia" w:ascii="Times New Roman" w:hAnsi="Times New Roman" w:eastAsia="黑体" w:cs="宋体"/>
          <w:bCs/>
          <w:color w:val="auto"/>
          <w:kern w:val="0"/>
          <w:sz w:val="32"/>
          <w:szCs w:val="32"/>
          <w:lang w:eastAsia="zh-CN"/>
        </w:rPr>
        <w:t>五、一般公共预算财政拨款支出决算情况说明</w:t>
      </w:r>
    </w:p>
    <w:p w14:paraId="1289BD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2"/>
        <w:rPr>
          <w:rFonts w:hint="eastAsia" w:ascii="Times New Roman" w:hAnsi="Times New Roman" w:eastAsia="黑体"/>
          <w:color w:val="auto"/>
          <w:sz w:val="32"/>
          <w:szCs w:val="32"/>
          <w:lang w:eastAsia="zh-CN"/>
        </w:rPr>
      </w:pPr>
      <w:r>
        <w:rPr>
          <w:rFonts w:hint="eastAsia" w:ascii="Times New Roman" w:hAnsi="Times New Roman" w:eastAsia="黑体"/>
          <w:color w:val="auto"/>
          <w:sz w:val="32"/>
          <w:szCs w:val="32"/>
          <w:lang w:eastAsia="zh-CN"/>
        </w:rPr>
        <w:t>（一）一般公共预算财政拨款支出决算总体情况</w:t>
      </w:r>
    </w:p>
    <w:p w14:paraId="76D646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default" w:ascii="Times New Roman" w:hAnsi="Times New Roman" w:eastAsia="仿宋_GB2312"/>
          <w:color w:val="auto"/>
          <w:spacing w:val="0"/>
          <w:sz w:val="32"/>
          <w:szCs w:val="32"/>
          <w:lang w:val="en-US" w:eastAsia="zh-CN"/>
        </w:rPr>
      </w:pPr>
      <w:r>
        <w:rPr>
          <w:rFonts w:hint="eastAsia" w:ascii="Times New Roman" w:hAnsi="Times New Roman" w:eastAsia="仿宋_GB2312"/>
          <w:color w:val="auto"/>
          <w:spacing w:val="0"/>
          <w:sz w:val="32"/>
          <w:szCs w:val="32"/>
          <w:lang w:eastAsia="zh-CN"/>
        </w:rPr>
        <w:t>2023年度一般公共预算财政拨款支出3,669.26万元，占本年支出合计的</w:t>
      </w:r>
      <w:r>
        <w:rPr>
          <w:rFonts w:hint="eastAsia" w:ascii="Times New Roman" w:hAnsi="Times New Roman" w:eastAsia="仿宋_GB2312"/>
          <w:color w:val="auto"/>
          <w:spacing w:val="0"/>
          <w:sz w:val="32"/>
          <w:szCs w:val="32"/>
          <w:lang w:val="zh-CN" w:eastAsia="zh-CN"/>
        </w:rPr>
        <w:t>55.24%</w:t>
      </w:r>
      <w:r>
        <w:rPr>
          <w:rFonts w:hint="eastAsia" w:ascii="Times New Roman" w:hAnsi="Times New Roman" w:eastAsia="仿宋_GB2312"/>
          <w:color w:val="auto"/>
          <w:spacing w:val="0"/>
          <w:sz w:val="32"/>
          <w:szCs w:val="32"/>
          <w:lang w:eastAsia="zh-CN"/>
        </w:rPr>
        <w:t>。与上年相比，</w:t>
      </w:r>
      <w:r>
        <w:rPr>
          <w:rFonts w:hint="eastAsia" w:ascii="Times New Roman" w:hAnsi="Times New Roman" w:eastAsia="仿宋_GB2312"/>
          <w:color w:val="auto"/>
          <w:spacing w:val="0"/>
          <w:sz w:val="32"/>
          <w:szCs w:val="32"/>
          <w:lang w:val="zh-CN" w:eastAsia="zh-CN"/>
        </w:rPr>
        <w:t>增加859.71万元</w:t>
      </w:r>
      <w:r>
        <w:rPr>
          <w:rFonts w:hint="eastAsia" w:ascii="Times New Roman" w:hAnsi="Times New Roman" w:eastAsia="仿宋_GB2312"/>
          <w:color w:val="auto"/>
          <w:spacing w:val="0"/>
          <w:sz w:val="32"/>
          <w:szCs w:val="32"/>
          <w:lang w:eastAsia="zh-CN"/>
        </w:rPr>
        <w:t>，</w:t>
      </w:r>
      <w:r>
        <w:rPr>
          <w:rFonts w:hint="eastAsia" w:ascii="Times New Roman" w:hAnsi="Times New Roman" w:eastAsia="仿宋_GB2312"/>
          <w:color w:val="auto"/>
          <w:spacing w:val="0"/>
          <w:sz w:val="32"/>
          <w:szCs w:val="32"/>
          <w:lang w:val="zh-CN" w:eastAsia="zh-CN"/>
        </w:rPr>
        <w:t>增长30.60%，</w:t>
      </w:r>
      <w:r>
        <w:rPr>
          <w:rFonts w:hint="eastAsia" w:ascii="Times New Roman" w:hAnsi="Times New Roman" w:eastAsia="仿宋_GB2312"/>
          <w:color w:val="auto"/>
          <w:spacing w:val="0"/>
          <w:sz w:val="32"/>
          <w:lang w:eastAsia="zh-CN"/>
        </w:rPr>
        <w:t>主要原因是：当年</w:t>
      </w:r>
      <w:r>
        <w:rPr>
          <w:rFonts w:hint="eastAsia" w:ascii="Times New Roman" w:hAnsi="Times New Roman" w:eastAsia="仿宋_GB2312"/>
          <w:color w:val="auto"/>
          <w:spacing w:val="0"/>
          <w:sz w:val="32"/>
          <w:szCs w:val="32"/>
          <w:lang w:eastAsia="zh-CN"/>
        </w:rPr>
        <w:t>追加</w:t>
      </w:r>
      <w:r>
        <w:rPr>
          <w:rFonts w:hint="eastAsia" w:eastAsia="仿宋_GB2312"/>
          <w:color w:val="auto"/>
          <w:spacing w:val="0"/>
          <w:sz w:val="32"/>
          <w:szCs w:val="32"/>
          <w:lang w:val="en-US" w:eastAsia="zh-CN"/>
        </w:rPr>
        <w:t>了</w:t>
      </w:r>
      <w:r>
        <w:rPr>
          <w:rFonts w:hint="eastAsia" w:ascii="Times New Roman" w:hAnsi="Times New Roman" w:eastAsia="仿宋_GB2312"/>
          <w:color w:val="auto"/>
          <w:spacing w:val="0"/>
          <w:sz w:val="32"/>
          <w:szCs w:val="32"/>
          <w:lang w:eastAsia="zh-CN"/>
        </w:rPr>
        <w:t>地勘项目费</w:t>
      </w:r>
      <w:r>
        <w:rPr>
          <w:rFonts w:hint="eastAsia" w:eastAsia="仿宋_GB2312"/>
          <w:color w:val="auto"/>
          <w:spacing w:val="0"/>
          <w:sz w:val="32"/>
          <w:szCs w:val="32"/>
          <w:lang w:eastAsia="zh-CN"/>
        </w:rPr>
        <w:t>，</w:t>
      </w:r>
      <w:r>
        <w:rPr>
          <w:rFonts w:hint="eastAsia" w:eastAsia="仿宋_GB2312"/>
          <w:color w:val="auto"/>
          <w:spacing w:val="0"/>
          <w:sz w:val="32"/>
          <w:szCs w:val="32"/>
          <w:lang w:val="en-US" w:eastAsia="zh-CN"/>
        </w:rPr>
        <w:t>减少了退休人员医疗费</w:t>
      </w:r>
      <w:r>
        <w:rPr>
          <w:rFonts w:hint="eastAsia" w:ascii="Times New Roman" w:hAnsi="Times New Roman" w:eastAsia="仿宋_GB2312"/>
          <w:color w:val="auto"/>
          <w:spacing w:val="0"/>
          <w:sz w:val="32"/>
          <w:szCs w:val="32"/>
          <w:lang w:eastAsia="zh-CN"/>
        </w:rPr>
        <w:t>。与年初预算相比，年初预算数</w:t>
      </w:r>
      <w:r>
        <w:rPr>
          <w:rFonts w:hint="eastAsia" w:ascii="Times New Roman" w:hAnsi="Times New Roman" w:eastAsia="仿宋_GB2312"/>
          <w:color w:val="auto"/>
          <w:spacing w:val="0"/>
          <w:sz w:val="32"/>
          <w:szCs w:val="32"/>
          <w:lang w:val="zh-CN" w:eastAsia="zh-CN"/>
        </w:rPr>
        <w:t>2,283.11</w:t>
      </w:r>
      <w:r>
        <w:rPr>
          <w:rFonts w:hint="eastAsia" w:ascii="Times New Roman" w:hAnsi="Times New Roman" w:eastAsia="仿宋_GB2312"/>
          <w:color w:val="auto"/>
          <w:spacing w:val="0"/>
          <w:sz w:val="32"/>
          <w:szCs w:val="32"/>
          <w:lang w:eastAsia="zh-CN"/>
        </w:rPr>
        <w:t>万元，决算数</w:t>
      </w:r>
      <w:r>
        <w:rPr>
          <w:rFonts w:hint="eastAsia" w:ascii="Times New Roman" w:hAnsi="Times New Roman" w:eastAsia="仿宋_GB2312"/>
          <w:color w:val="auto"/>
          <w:spacing w:val="0"/>
          <w:sz w:val="32"/>
          <w:szCs w:val="32"/>
          <w:lang w:val="zh-CN" w:eastAsia="zh-CN"/>
        </w:rPr>
        <w:t>3,669.26</w:t>
      </w:r>
      <w:r>
        <w:rPr>
          <w:rFonts w:hint="eastAsia" w:ascii="Times New Roman" w:hAnsi="Times New Roman" w:eastAsia="仿宋_GB2312"/>
          <w:color w:val="auto"/>
          <w:spacing w:val="0"/>
          <w:sz w:val="32"/>
          <w:szCs w:val="32"/>
          <w:lang w:eastAsia="zh-CN"/>
        </w:rPr>
        <w:t>万元，预决算差异率</w:t>
      </w:r>
      <w:r>
        <w:rPr>
          <w:rFonts w:hint="eastAsia" w:ascii="Times New Roman" w:hAnsi="Times New Roman" w:eastAsia="仿宋_GB2312"/>
          <w:color w:val="auto"/>
          <w:spacing w:val="0"/>
          <w:sz w:val="32"/>
          <w:szCs w:val="32"/>
          <w:lang w:val="zh-CN" w:eastAsia="zh-CN"/>
        </w:rPr>
        <w:t>60.71%</w:t>
      </w:r>
      <w:r>
        <w:rPr>
          <w:rFonts w:hint="eastAsia" w:ascii="Times New Roman" w:hAnsi="Times New Roman" w:eastAsia="仿宋_GB2312"/>
          <w:color w:val="auto"/>
          <w:spacing w:val="0"/>
          <w:sz w:val="32"/>
          <w:szCs w:val="32"/>
          <w:lang w:eastAsia="zh-CN"/>
        </w:rPr>
        <w:t>，主要原因是：当年追加</w:t>
      </w:r>
      <w:r>
        <w:rPr>
          <w:rFonts w:hint="eastAsia" w:eastAsia="仿宋_GB2312"/>
          <w:color w:val="auto"/>
          <w:spacing w:val="0"/>
          <w:sz w:val="32"/>
          <w:szCs w:val="32"/>
          <w:lang w:val="en-US" w:eastAsia="zh-CN"/>
        </w:rPr>
        <w:t>了</w:t>
      </w:r>
      <w:r>
        <w:rPr>
          <w:rFonts w:hint="eastAsia" w:ascii="Times New Roman" w:hAnsi="Times New Roman" w:eastAsia="仿宋_GB2312"/>
          <w:color w:val="auto"/>
          <w:spacing w:val="0"/>
          <w:sz w:val="32"/>
          <w:szCs w:val="32"/>
          <w:lang w:eastAsia="zh-CN"/>
        </w:rPr>
        <w:t>地勘项目费</w:t>
      </w:r>
      <w:r>
        <w:rPr>
          <w:rFonts w:hint="eastAsia" w:ascii="Times New Roman" w:hAnsi="Times New Roman" w:eastAsia="仿宋_GB2312"/>
          <w:color w:val="auto"/>
          <w:spacing w:val="0"/>
          <w:sz w:val="32"/>
          <w:szCs w:val="32"/>
          <w:lang w:val="en-US" w:eastAsia="zh-CN"/>
        </w:rPr>
        <w:t>987.00万元（指标文号：新财资环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040号）</w:t>
      </w:r>
      <w:r>
        <w:rPr>
          <w:rFonts w:hint="eastAsia" w:ascii="Times New Roman" w:hAnsi="Times New Roman" w:eastAsia="仿宋_GB2312"/>
          <w:color w:val="auto"/>
          <w:spacing w:val="0"/>
          <w:sz w:val="32"/>
          <w:szCs w:val="32"/>
          <w:lang w:eastAsia="zh-CN"/>
        </w:rPr>
        <w:t>、绩效奖</w:t>
      </w:r>
      <w:r>
        <w:rPr>
          <w:rFonts w:hint="eastAsia" w:ascii="Times New Roman" w:hAnsi="Times New Roman" w:eastAsia="仿宋_GB2312"/>
          <w:color w:val="auto"/>
          <w:spacing w:val="0"/>
          <w:sz w:val="32"/>
          <w:szCs w:val="32"/>
          <w:lang w:val="en-US" w:eastAsia="zh-CN"/>
        </w:rPr>
        <w:t>279.13万元（指标文号：新财资环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010号）</w:t>
      </w:r>
      <w:r>
        <w:rPr>
          <w:rFonts w:hint="eastAsia" w:ascii="Times New Roman" w:hAnsi="Times New Roman" w:eastAsia="仿宋_GB2312"/>
          <w:color w:val="auto"/>
          <w:spacing w:val="0"/>
          <w:sz w:val="32"/>
          <w:szCs w:val="32"/>
          <w:lang w:eastAsia="zh-CN"/>
        </w:rPr>
        <w:t>、2022-2023年调增艰边贴</w:t>
      </w:r>
      <w:r>
        <w:rPr>
          <w:rFonts w:hint="eastAsia" w:ascii="Times New Roman" w:hAnsi="Times New Roman" w:eastAsia="仿宋_GB2312"/>
          <w:color w:val="auto"/>
          <w:spacing w:val="0"/>
          <w:sz w:val="32"/>
          <w:szCs w:val="32"/>
          <w:lang w:val="en-US" w:eastAsia="zh-CN"/>
        </w:rPr>
        <w:t>25.95万元（指标文号：新财资环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036号）</w:t>
      </w:r>
      <w:r>
        <w:rPr>
          <w:rFonts w:hint="eastAsia" w:ascii="Times New Roman" w:hAnsi="Times New Roman" w:eastAsia="仿宋_GB2312"/>
          <w:color w:val="auto"/>
          <w:spacing w:val="0"/>
          <w:sz w:val="32"/>
          <w:szCs w:val="32"/>
          <w:lang w:eastAsia="zh-CN"/>
        </w:rPr>
        <w:t>、职业年金</w:t>
      </w:r>
      <w:r>
        <w:rPr>
          <w:rFonts w:hint="eastAsia" w:ascii="Times New Roman" w:hAnsi="Times New Roman" w:eastAsia="仿宋_GB2312"/>
          <w:color w:val="auto"/>
          <w:spacing w:val="0"/>
          <w:sz w:val="32"/>
          <w:szCs w:val="32"/>
          <w:lang w:val="en-US" w:eastAsia="zh-CN"/>
        </w:rPr>
        <w:t>225.17万元（指标文号：新财资环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050号、新财资环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157号）</w:t>
      </w:r>
      <w:r>
        <w:rPr>
          <w:rFonts w:hint="eastAsia" w:ascii="Times New Roman" w:hAnsi="Times New Roman" w:eastAsia="仿宋_GB2312"/>
          <w:color w:val="auto"/>
          <w:spacing w:val="0"/>
          <w:sz w:val="32"/>
          <w:szCs w:val="32"/>
          <w:lang w:eastAsia="zh-CN"/>
        </w:rPr>
        <w:t>、丧葬费抚恤金</w:t>
      </w:r>
      <w:r>
        <w:rPr>
          <w:rFonts w:hint="eastAsia" w:ascii="Times New Roman" w:hAnsi="Times New Roman" w:eastAsia="仿宋_GB2312"/>
          <w:color w:val="auto"/>
          <w:spacing w:val="0"/>
          <w:sz w:val="32"/>
          <w:szCs w:val="32"/>
          <w:lang w:val="en-US" w:eastAsia="zh-CN"/>
        </w:rPr>
        <w:t>148.14万元（指标文号：新财资环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059号）</w:t>
      </w:r>
      <w:r>
        <w:rPr>
          <w:rFonts w:hint="eastAsia" w:ascii="Times New Roman" w:hAnsi="Times New Roman" w:eastAsia="仿宋_GB2312"/>
          <w:color w:val="auto"/>
          <w:spacing w:val="0"/>
          <w:sz w:val="32"/>
          <w:szCs w:val="32"/>
          <w:lang w:eastAsia="zh-CN"/>
        </w:rPr>
        <w:t>。</w:t>
      </w:r>
    </w:p>
    <w:p w14:paraId="0C3DF37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outlineLvl w:val="2"/>
        <w:rPr>
          <w:rFonts w:hint="eastAsia" w:ascii="Times New Roman" w:hAnsi="Times New Roman" w:eastAsia="黑体"/>
          <w:color w:val="auto"/>
          <w:sz w:val="32"/>
          <w:szCs w:val="32"/>
          <w:lang w:eastAsia="zh-CN"/>
        </w:rPr>
      </w:pPr>
      <w:r>
        <w:rPr>
          <w:rFonts w:hint="eastAsia" w:ascii="Times New Roman" w:hAnsi="Times New Roman" w:eastAsia="黑体"/>
          <w:color w:val="auto"/>
          <w:sz w:val="32"/>
          <w:szCs w:val="32"/>
          <w:lang w:eastAsia="zh-CN"/>
        </w:rPr>
        <w:t>一般公共预算</w:t>
      </w:r>
      <w:r>
        <w:rPr>
          <w:rFonts w:hint="eastAsia" w:ascii="Times New Roman" w:hAnsi="Times New Roman" w:eastAsia="黑体"/>
          <w:color w:val="auto"/>
          <w:sz w:val="32"/>
          <w:szCs w:val="32"/>
          <w:lang w:val="en-US" w:eastAsia="zh-CN"/>
        </w:rPr>
        <w:t>财政拨款支出决算</w:t>
      </w:r>
      <w:r>
        <w:rPr>
          <w:rFonts w:hint="eastAsia" w:ascii="Times New Roman" w:hAnsi="Times New Roman" w:eastAsia="黑体"/>
          <w:color w:val="auto"/>
          <w:sz w:val="32"/>
          <w:szCs w:val="32"/>
          <w:lang w:eastAsia="zh-CN"/>
        </w:rPr>
        <w:t>结构情况</w:t>
      </w:r>
    </w:p>
    <w:p w14:paraId="711C04D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rPr>
          <w:rFonts w:hint="default" w:ascii="Times New Roman" w:hAnsi="Times New Roman" w:eastAsia="仿宋_GB2312" w:cs="Times New Roman"/>
          <w:color w:val="auto"/>
          <w:spacing w:val="0"/>
          <w:kern w:val="2"/>
          <w:sz w:val="32"/>
          <w:szCs w:val="32"/>
          <w:lang w:val="zh-CN" w:eastAsia="zh-CN" w:bidi="ar-SA"/>
        </w:rPr>
      </w:pPr>
      <w:r>
        <w:rPr>
          <w:rFonts w:hint="eastAsia" w:ascii="Times New Roman" w:hAnsi="Times New Roman" w:eastAsia="仿宋_GB2312" w:cs="Times New Roman"/>
          <w:color w:val="auto"/>
          <w:spacing w:val="0"/>
          <w:kern w:val="2"/>
          <w:sz w:val="32"/>
          <w:szCs w:val="32"/>
          <w:lang w:val="en-US" w:eastAsia="zh-CN" w:bidi="ar-SA"/>
        </w:rPr>
        <w:t>1</w:t>
      </w:r>
      <w:r>
        <w:rPr>
          <w:rFonts w:hint="default" w:ascii="Times New Roman" w:hAnsi="Times New Roman" w:eastAsia="仿宋_GB2312" w:cs="Times New Roman"/>
          <w:color w:val="auto"/>
          <w:spacing w:val="0"/>
          <w:kern w:val="2"/>
          <w:sz w:val="32"/>
          <w:szCs w:val="32"/>
          <w:lang w:val="zh-CN" w:eastAsia="zh-CN" w:bidi="ar-SA"/>
        </w:rPr>
        <w:t>.社会保障和就业支出（类）</w:t>
      </w:r>
      <w:r>
        <w:rPr>
          <w:rFonts w:hint="eastAsia" w:ascii="Times New Roman" w:hAnsi="Times New Roman" w:eastAsia="仿宋_GB2312" w:cs="Times New Roman"/>
          <w:color w:val="auto"/>
          <w:spacing w:val="0"/>
          <w:kern w:val="2"/>
          <w:sz w:val="32"/>
          <w:szCs w:val="32"/>
          <w:lang w:val="zh-CN" w:eastAsia="zh-CN" w:bidi="ar-SA"/>
        </w:rPr>
        <w:t>810.77</w:t>
      </w:r>
      <w:r>
        <w:rPr>
          <w:rFonts w:hint="default" w:ascii="Times New Roman" w:hAnsi="Times New Roman" w:eastAsia="仿宋_GB2312" w:cs="Times New Roman"/>
          <w:color w:val="auto"/>
          <w:spacing w:val="0"/>
          <w:kern w:val="2"/>
          <w:sz w:val="32"/>
          <w:szCs w:val="32"/>
          <w:lang w:val="zh-CN" w:eastAsia="zh-CN" w:bidi="ar-SA"/>
        </w:rPr>
        <w:t>万元，占</w:t>
      </w:r>
      <w:r>
        <w:rPr>
          <w:rFonts w:hint="eastAsia" w:ascii="Times New Roman" w:hAnsi="Times New Roman" w:eastAsia="仿宋_GB2312" w:cs="Times New Roman"/>
          <w:color w:val="auto"/>
          <w:spacing w:val="0"/>
          <w:kern w:val="2"/>
          <w:sz w:val="32"/>
          <w:szCs w:val="32"/>
          <w:lang w:val="zh-CN" w:eastAsia="zh-CN" w:bidi="ar-SA"/>
        </w:rPr>
        <w:t>22.10</w:t>
      </w:r>
      <w:r>
        <w:rPr>
          <w:rFonts w:hint="default" w:ascii="Times New Roman" w:hAnsi="Times New Roman" w:eastAsia="仿宋_GB2312" w:cs="Times New Roman"/>
          <w:color w:val="auto"/>
          <w:spacing w:val="0"/>
          <w:kern w:val="2"/>
          <w:sz w:val="32"/>
          <w:szCs w:val="32"/>
          <w:lang w:val="zh-CN" w:eastAsia="zh-CN" w:bidi="ar-SA"/>
        </w:rPr>
        <w:t>%；</w:t>
      </w:r>
    </w:p>
    <w:p w14:paraId="623A06F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rPr>
          <w:rFonts w:hint="default" w:ascii="Times New Roman" w:hAnsi="Times New Roman" w:eastAsia="仿宋_GB2312" w:cs="Times New Roman"/>
          <w:color w:val="auto"/>
          <w:spacing w:val="0"/>
          <w:kern w:val="2"/>
          <w:sz w:val="32"/>
          <w:szCs w:val="32"/>
          <w:lang w:val="zh-CN" w:eastAsia="zh-CN" w:bidi="ar-SA"/>
        </w:rPr>
      </w:pPr>
      <w:r>
        <w:rPr>
          <w:rFonts w:hint="eastAsia" w:ascii="Times New Roman" w:hAnsi="Times New Roman" w:eastAsia="仿宋_GB2312" w:cs="Times New Roman"/>
          <w:color w:val="auto"/>
          <w:spacing w:val="0"/>
          <w:kern w:val="2"/>
          <w:sz w:val="32"/>
          <w:szCs w:val="32"/>
          <w:lang w:val="en-US" w:eastAsia="zh-CN" w:bidi="ar-SA"/>
        </w:rPr>
        <w:t>2</w:t>
      </w:r>
      <w:r>
        <w:rPr>
          <w:rFonts w:hint="default" w:ascii="Times New Roman" w:hAnsi="Times New Roman" w:eastAsia="仿宋_GB2312" w:cs="Times New Roman"/>
          <w:color w:val="auto"/>
          <w:spacing w:val="0"/>
          <w:kern w:val="2"/>
          <w:sz w:val="32"/>
          <w:szCs w:val="32"/>
          <w:lang w:val="zh-CN" w:eastAsia="zh-CN" w:bidi="ar-SA"/>
        </w:rPr>
        <w:t>.卫生健康支出（类）</w:t>
      </w:r>
      <w:r>
        <w:rPr>
          <w:rFonts w:hint="eastAsia" w:ascii="Times New Roman" w:hAnsi="Times New Roman" w:eastAsia="仿宋_GB2312" w:cs="Times New Roman"/>
          <w:color w:val="auto"/>
          <w:spacing w:val="0"/>
          <w:kern w:val="2"/>
          <w:sz w:val="32"/>
          <w:szCs w:val="32"/>
          <w:lang w:val="zh-CN" w:eastAsia="zh-CN" w:bidi="ar-SA"/>
        </w:rPr>
        <w:t>165.51</w:t>
      </w:r>
      <w:r>
        <w:rPr>
          <w:rFonts w:hint="default" w:ascii="Times New Roman" w:hAnsi="Times New Roman" w:eastAsia="仿宋_GB2312" w:cs="Times New Roman"/>
          <w:color w:val="auto"/>
          <w:spacing w:val="0"/>
          <w:kern w:val="2"/>
          <w:sz w:val="32"/>
          <w:szCs w:val="32"/>
          <w:lang w:val="zh-CN" w:eastAsia="zh-CN" w:bidi="ar-SA"/>
        </w:rPr>
        <w:t>万元，占</w:t>
      </w:r>
      <w:r>
        <w:rPr>
          <w:rFonts w:hint="eastAsia" w:ascii="Times New Roman" w:hAnsi="Times New Roman" w:eastAsia="仿宋_GB2312" w:cs="Times New Roman"/>
          <w:color w:val="auto"/>
          <w:spacing w:val="0"/>
          <w:kern w:val="2"/>
          <w:sz w:val="32"/>
          <w:szCs w:val="32"/>
          <w:lang w:val="zh-CN" w:eastAsia="zh-CN" w:bidi="ar-SA"/>
        </w:rPr>
        <w:t>4.51</w:t>
      </w:r>
      <w:r>
        <w:rPr>
          <w:rFonts w:hint="default" w:ascii="Times New Roman" w:hAnsi="Times New Roman" w:eastAsia="仿宋_GB2312" w:cs="Times New Roman"/>
          <w:color w:val="auto"/>
          <w:spacing w:val="0"/>
          <w:kern w:val="2"/>
          <w:sz w:val="32"/>
          <w:szCs w:val="32"/>
          <w:lang w:val="zh-CN" w:eastAsia="zh-CN" w:bidi="ar-SA"/>
        </w:rPr>
        <w:t>%；</w:t>
      </w:r>
    </w:p>
    <w:p w14:paraId="659409D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rPr>
          <w:rFonts w:hint="default" w:ascii="Times New Roman" w:hAnsi="Times New Roman" w:eastAsia="仿宋_GB2312" w:cs="Times New Roman"/>
          <w:color w:val="auto"/>
          <w:spacing w:val="0"/>
          <w:kern w:val="2"/>
          <w:sz w:val="32"/>
          <w:szCs w:val="32"/>
          <w:lang w:val="zh-CN" w:eastAsia="zh-CN" w:bidi="ar-SA"/>
        </w:rPr>
      </w:pPr>
      <w:r>
        <w:rPr>
          <w:rFonts w:hint="eastAsia" w:ascii="Times New Roman" w:hAnsi="Times New Roman" w:eastAsia="仿宋_GB2312" w:cs="Times New Roman"/>
          <w:color w:val="auto"/>
          <w:spacing w:val="0"/>
          <w:kern w:val="2"/>
          <w:sz w:val="32"/>
          <w:szCs w:val="32"/>
          <w:lang w:val="en-US" w:eastAsia="zh-CN" w:bidi="ar-SA"/>
        </w:rPr>
        <w:t>3</w:t>
      </w:r>
      <w:r>
        <w:rPr>
          <w:rFonts w:hint="default" w:ascii="Times New Roman" w:hAnsi="Times New Roman" w:eastAsia="仿宋_GB2312" w:cs="Times New Roman"/>
          <w:color w:val="auto"/>
          <w:spacing w:val="0"/>
          <w:kern w:val="2"/>
          <w:sz w:val="32"/>
          <w:szCs w:val="32"/>
          <w:lang w:val="zh-CN" w:eastAsia="zh-CN" w:bidi="ar-SA"/>
        </w:rPr>
        <w:t>.自然资源海洋气象等支出（类）</w:t>
      </w:r>
      <w:r>
        <w:rPr>
          <w:rFonts w:hint="eastAsia" w:ascii="Times New Roman" w:hAnsi="Times New Roman" w:eastAsia="仿宋_GB2312" w:cs="Times New Roman"/>
          <w:color w:val="auto"/>
          <w:spacing w:val="0"/>
          <w:kern w:val="2"/>
          <w:sz w:val="32"/>
          <w:szCs w:val="32"/>
          <w:lang w:val="zh-CN" w:eastAsia="zh-CN" w:bidi="ar-SA"/>
        </w:rPr>
        <w:t>2,435.32</w:t>
      </w:r>
      <w:r>
        <w:rPr>
          <w:rFonts w:hint="default" w:ascii="Times New Roman" w:hAnsi="Times New Roman" w:eastAsia="仿宋_GB2312" w:cs="Times New Roman"/>
          <w:color w:val="auto"/>
          <w:spacing w:val="0"/>
          <w:kern w:val="2"/>
          <w:sz w:val="32"/>
          <w:szCs w:val="32"/>
          <w:lang w:val="zh-CN" w:eastAsia="zh-CN" w:bidi="ar-SA"/>
        </w:rPr>
        <w:t>万元，占</w:t>
      </w:r>
      <w:r>
        <w:rPr>
          <w:rFonts w:hint="eastAsia" w:ascii="Times New Roman" w:hAnsi="Times New Roman" w:eastAsia="仿宋_GB2312" w:cs="Times New Roman"/>
          <w:color w:val="auto"/>
          <w:spacing w:val="0"/>
          <w:kern w:val="2"/>
          <w:sz w:val="32"/>
          <w:szCs w:val="32"/>
          <w:lang w:val="zh-CN" w:eastAsia="zh-CN" w:bidi="ar-SA"/>
        </w:rPr>
        <w:t>66.37</w:t>
      </w:r>
      <w:r>
        <w:rPr>
          <w:rFonts w:hint="default" w:ascii="Times New Roman" w:hAnsi="Times New Roman" w:eastAsia="仿宋_GB2312" w:cs="Times New Roman"/>
          <w:color w:val="auto"/>
          <w:spacing w:val="0"/>
          <w:kern w:val="2"/>
          <w:sz w:val="32"/>
          <w:szCs w:val="32"/>
          <w:lang w:val="zh-CN" w:eastAsia="zh-CN" w:bidi="ar-SA"/>
        </w:rPr>
        <w:t>%；</w:t>
      </w:r>
    </w:p>
    <w:p w14:paraId="21D107B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rPr>
          <w:rFonts w:hint="default" w:ascii="Times New Roman" w:hAnsi="Times New Roman" w:eastAsia="仿宋_GB2312" w:cs="Times New Roman"/>
          <w:color w:val="auto"/>
          <w:spacing w:val="0"/>
          <w:kern w:val="2"/>
          <w:sz w:val="32"/>
          <w:szCs w:val="32"/>
          <w:lang w:val="zh-CN" w:eastAsia="zh-CN" w:bidi="ar-SA"/>
        </w:rPr>
      </w:pPr>
      <w:r>
        <w:rPr>
          <w:rFonts w:hint="eastAsia" w:ascii="Times New Roman" w:hAnsi="Times New Roman" w:eastAsia="仿宋_GB2312" w:cs="Times New Roman"/>
          <w:color w:val="auto"/>
          <w:spacing w:val="0"/>
          <w:kern w:val="2"/>
          <w:sz w:val="32"/>
          <w:szCs w:val="32"/>
          <w:lang w:val="en-US" w:eastAsia="zh-CN" w:bidi="ar-SA"/>
        </w:rPr>
        <w:t>4</w:t>
      </w:r>
      <w:r>
        <w:rPr>
          <w:rFonts w:hint="default" w:ascii="Times New Roman" w:hAnsi="Times New Roman" w:eastAsia="仿宋_GB2312" w:cs="Times New Roman"/>
          <w:color w:val="auto"/>
          <w:spacing w:val="0"/>
          <w:kern w:val="2"/>
          <w:sz w:val="32"/>
          <w:szCs w:val="32"/>
          <w:lang w:val="zh-CN" w:eastAsia="zh-CN" w:bidi="ar-SA"/>
        </w:rPr>
        <w:t>.住房保障支出（类）</w:t>
      </w:r>
      <w:r>
        <w:rPr>
          <w:rFonts w:hint="eastAsia" w:ascii="Times New Roman" w:hAnsi="Times New Roman" w:eastAsia="仿宋_GB2312" w:cs="Times New Roman"/>
          <w:color w:val="auto"/>
          <w:spacing w:val="0"/>
          <w:kern w:val="2"/>
          <w:sz w:val="32"/>
          <w:szCs w:val="32"/>
          <w:lang w:val="zh-CN" w:eastAsia="zh-CN" w:bidi="ar-SA"/>
        </w:rPr>
        <w:t>257.66</w:t>
      </w:r>
      <w:r>
        <w:rPr>
          <w:rFonts w:hint="default" w:ascii="Times New Roman" w:hAnsi="Times New Roman" w:eastAsia="仿宋_GB2312" w:cs="Times New Roman"/>
          <w:color w:val="auto"/>
          <w:spacing w:val="0"/>
          <w:kern w:val="2"/>
          <w:sz w:val="32"/>
          <w:szCs w:val="32"/>
          <w:lang w:val="zh-CN" w:eastAsia="zh-CN" w:bidi="ar-SA"/>
        </w:rPr>
        <w:t>万元，占</w:t>
      </w:r>
      <w:r>
        <w:rPr>
          <w:rFonts w:hint="eastAsia" w:ascii="Times New Roman" w:hAnsi="Times New Roman" w:eastAsia="仿宋_GB2312" w:cs="Times New Roman"/>
          <w:color w:val="auto"/>
          <w:spacing w:val="0"/>
          <w:kern w:val="2"/>
          <w:sz w:val="32"/>
          <w:szCs w:val="32"/>
          <w:lang w:val="zh-CN" w:eastAsia="zh-CN" w:bidi="ar-SA"/>
        </w:rPr>
        <w:t>7.02</w:t>
      </w:r>
      <w:r>
        <w:rPr>
          <w:rFonts w:hint="default" w:ascii="Times New Roman" w:hAnsi="Times New Roman" w:eastAsia="仿宋_GB2312" w:cs="Times New Roman"/>
          <w:color w:val="auto"/>
          <w:spacing w:val="0"/>
          <w:kern w:val="2"/>
          <w:sz w:val="32"/>
          <w:szCs w:val="32"/>
          <w:lang w:val="zh-CN" w:eastAsia="zh-CN" w:bidi="ar-SA"/>
        </w:rPr>
        <w:t>%；</w:t>
      </w:r>
    </w:p>
    <w:p w14:paraId="328673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2"/>
        <w:rPr>
          <w:rFonts w:hint="eastAsia" w:ascii="Times New Roman" w:hAnsi="Times New Roman" w:eastAsia="黑体"/>
          <w:color w:val="auto"/>
          <w:sz w:val="32"/>
          <w:szCs w:val="32"/>
          <w:lang w:eastAsia="zh-CN"/>
        </w:rPr>
      </w:pPr>
      <w:r>
        <w:rPr>
          <w:rFonts w:hint="eastAsia" w:ascii="Times New Roman" w:hAnsi="Times New Roman" w:eastAsia="黑体"/>
          <w:color w:val="auto"/>
          <w:sz w:val="32"/>
          <w:szCs w:val="32"/>
          <w:lang w:eastAsia="zh-CN"/>
        </w:rPr>
        <w:t>（三）一般公共预算财政拨款支出决算具体情况</w:t>
      </w:r>
    </w:p>
    <w:p w14:paraId="7D836CB9">
      <w:pPr>
        <w:keepNext w:val="0"/>
        <w:keepLines w:val="0"/>
        <w:pageBreakBefore w:val="0"/>
        <w:widowControl w:val="0"/>
        <w:kinsoku/>
        <w:wordWrap/>
        <w:overflowPunct/>
        <w:topLinePunct w:val="0"/>
        <w:autoSpaceDE/>
        <w:autoSpaceDN/>
        <w:bidi w:val="0"/>
        <w:adjustRightInd/>
        <w:snapToGrid/>
        <w:ind w:firstLine="640" w:firstLineChars="200"/>
        <w:rPr>
          <w:rFonts w:hint="default" w:ascii="Times New Roman" w:hAnsi="Times New Roman" w:eastAsia="仿宋_GB2312" w:cs="Times New Roman"/>
          <w:color w:val="auto"/>
          <w:kern w:val="2"/>
          <w:sz w:val="32"/>
          <w:szCs w:val="32"/>
          <w:highlight w:val="yellow"/>
          <w:lang w:val="en-US" w:eastAsia="zh-CN" w:bidi="ar-SA"/>
        </w:rPr>
      </w:pPr>
      <w:r>
        <w:rPr>
          <w:rFonts w:hint="eastAsia" w:ascii="Times New Roman" w:hAnsi="Times New Roman" w:eastAsia="仿宋_GB2312" w:cs="Times New Roman"/>
          <w:color w:val="auto"/>
          <w:kern w:val="2"/>
          <w:sz w:val="32"/>
          <w:szCs w:val="32"/>
          <w:lang w:val="en-US" w:eastAsia="zh-CN" w:bidi="ar-SA"/>
        </w:rPr>
        <w:t>1.自然资源海洋气象等支出（类）自然资源事务（款）地质勘查与矿产资源管理（项）:支出决算数为987.00万元，比上年决算增加637.00万元，增长182.00%，主要原因是：2023年财政项目及拨款较上年度明显增加。</w:t>
      </w:r>
    </w:p>
    <w:p w14:paraId="7D1EA87C">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lang w:val="en-US" w:eastAsia="zh-CN" w:bidi="ar-SA"/>
        </w:rPr>
        <w:t>2.卫生健康支出（类）行政事业单位医疗（款）事业单位医疗（项）:支出决算数为155.90万元，比上年决算减少22.15万元，下降</w:t>
      </w:r>
      <w:r>
        <w:rPr>
          <w:rFonts w:hint="eastAsia" w:ascii="Times New Roman" w:hAnsi="Times New Roman" w:eastAsia="仿宋_GB2312" w:cs="Times New Roman"/>
          <w:color w:val="auto"/>
          <w:sz w:val="32"/>
          <w:lang w:val="en-US" w:eastAsia="zh-CN" w:bidi="ar-SA"/>
        </w:rPr>
        <w:t>12.44%，主要原因是</w:t>
      </w:r>
      <w:r>
        <w:rPr>
          <w:rFonts w:hint="eastAsia" w:ascii="Times New Roman" w:hAnsi="Times New Roman" w:eastAsia="仿宋_GB2312" w:cs="Times New Roman"/>
          <w:color w:val="auto"/>
          <w:sz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在职人员较上年减少，相应医疗缴费减少</w:t>
      </w:r>
      <w:r>
        <w:rPr>
          <w:rFonts w:hint="eastAsia" w:ascii="Times New Roman" w:hAnsi="Times New Roman" w:eastAsia="仿宋_GB2312" w:cs="Times New Roman"/>
          <w:color w:val="auto"/>
          <w:kern w:val="2"/>
          <w:sz w:val="32"/>
          <w:szCs w:val="32"/>
          <w:highlight w:val="none"/>
          <w:lang w:val="zh-CN" w:eastAsia="zh-CN" w:bidi="ar-SA"/>
        </w:rPr>
        <w:t>。</w:t>
      </w:r>
    </w:p>
    <w:p w14:paraId="638450CB">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3.卫生健康支出（类）行政事业单位医疗（款）公务员医疗补助（项）:支出决算数为9.61万元，比上年决算减少46.62万元，下降82.91%，主要原因是：根据昌吉州社保局相关规定参加职工基本医疗保险的个人，达到法定退休年龄时累计缴费达到国家规定年限的，退休后不再缴纳基本医疗保险费</w:t>
      </w:r>
      <w:r>
        <w:rPr>
          <w:rFonts w:hint="eastAsia" w:ascii="Times New Roman" w:hAnsi="Times New Roman" w:eastAsia="仿宋_GB2312" w:cs="Times New Roman"/>
          <w:color w:val="auto"/>
          <w:kern w:val="2"/>
          <w:sz w:val="32"/>
          <w:szCs w:val="32"/>
          <w:lang w:val="zh-CN" w:eastAsia="zh-CN" w:bidi="ar-SA"/>
        </w:rPr>
        <w:t>。</w:t>
      </w:r>
    </w:p>
    <w:p w14:paraId="0ECCAC8A">
      <w:pPr>
        <w:keepNext w:val="0"/>
        <w:keepLines w:val="0"/>
        <w:pageBreakBefore w:val="0"/>
        <w:widowControl w:val="0"/>
        <w:kinsoku/>
        <w:wordWrap/>
        <w:overflowPunct/>
        <w:topLinePunct w:val="0"/>
        <w:autoSpaceDE/>
        <w:autoSpaceDN/>
        <w:bidi w:val="0"/>
        <w:adjustRightInd/>
        <w:snapToGrid/>
        <w:ind w:firstLine="640" w:firstLineChars="200"/>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4.住房保障支出（类）住房改革支出（款）住房公积金（项）:支出决算数为257.66万元，比上年决算增加32.76万元，增长14.5</w:t>
      </w:r>
      <w:r>
        <w:rPr>
          <w:rFonts w:hint="eastAsia" w:eastAsia="仿宋_GB2312" w:cs="Times New Roman"/>
          <w:color w:val="auto"/>
          <w:kern w:val="2"/>
          <w:sz w:val="32"/>
          <w:szCs w:val="32"/>
          <w:lang w:val="en-US" w:eastAsia="zh-CN" w:bidi="ar-SA"/>
        </w:rPr>
        <w:t>7</w:t>
      </w:r>
      <w:r>
        <w:rPr>
          <w:rFonts w:hint="eastAsia" w:ascii="Times New Roman" w:hAnsi="Times New Roman" w:eastAsia="仿宋_GB2312" w:cs="Times New Roman"/>
          <w:color w:val="auto"/>
          <w:kern w:val="2"/>
          <w:sz w:val="32"/>
          <w:szCs w:val="32"/>
          <w:lang w:val="en-US" w:eastAsia="zh-CN" w:bidi="ar-SA"/>
        </w:rPr>
        <w:t>%，主要原因是</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sz w:val="32"/>
          <w:szCs w:val="32"/>
          <w:highlight w:val="none"/>
          <w:lang w:eastAsia="zh-CN"/>
        </w:rPr>
        <w:t>调增绩效工资及津补贴，人员年收入正常增长</w:t>
      </w:r>
      <w:r>
        <w:rPr>
          <w:rFonts w:hint="eastAsia" w:ascii="Times New Roman" w:hAnsi="Times New Roman" w:eastAsia="仿宋_GB2312" w:cs="Times New Roman"/>
          <w:color w:val="auto"/>
          <w:kern w:val="2"/>
          <w:sz w:val="32"/>
          <w:szCs w:val="32"/>
          <w:highlight w:val="none"/>
          <w:lang w:val="zh-CN" w:eastAsia="zh-CN" w:bidi="ar-SA"/>
        </w:rPr>
        <w:t>导致住房公积金缴费基数增长。</w:t>
      </w:r>
    </w:p>
    <w:p w14:paraId="61244D15">
      <w:pPr>
        <w:keepNext w:val="0"/>
        <w:keepLines w:val="0"/>
        <w:pageBreakBefore w:val="0"/>
        <w:widowControl w:val="0"/>
        <w:kinsoku/>
        <w:wordWrap/>
        <w:overflowPunct/>
        <w:topLinePunct w:val="0"/>
        <w:autoSpaceDE/>
        <w:autoSpaceDN/>
        <w:bidi w:val="0"/>
        <w:adjustRightInd/>
        <w:snapToGrid/>
        <w:ind w:firstLine="640" w:firstLineChars="200"/>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5.自然资源海洋气象等支出（类）自然资源事务（款）事业运行（项）:支出决算数为1,448.32万元，比上年决算增加466.35万元，增长47.49%，主要原因是：</w:t>
      </w:r>
      <w:r>
        <w:rPr>
          <w:rFonts w:hint="eastAsia" w:ascii="Times New Roman" w:hAnsi="Times New Roman" w:eastAsia="仿宋_GB2312" w:cs="Times New Roman"/>
          <w:color w:val="auto"/>
          <w:kern w:val="2"/>
          <w:sz w:val="32"/>
          <w:szCs w:val="32"/>
          <w:lang w:val="zh-CN" w:eastAsia="zh-CN" w:bidi="ar-SA"/>
        </w:rPr>
        <w:t>202</w:t>
      </w:r>
      <w:r>
        <w:rPr>
          <w:rFonts w:hint="eastAsia" w:ascii="Times New Roman" w:hAnsi="Times New Roman" w:eastAsia="仿宋_GB2312" w:cs="Times New Roman"/>
          <w:color w:val="auto"/>
          <w:kern w:val="2"/>
          <w:sz w:val="32"/>
          <w:szCs w:val="32"/>
          <w:lang w:val="en-US" w:eastAsia="zh-CN" w:bidi="ar-SA"/>
        </w:rPr>
        <w:t>3</w:t>
      </w:r>
      <w:r>
        <w:rPr>
          <w:rFonts w:hint="eastAsia" w:ascii="Times New Roman" w:hAnsi="Times New Roman" w:eastAsia="仿宋_GB2312" w:cs="Times New Roman"/>
          <w:color w:val="auto"/>
          <w:kern w:val="2"/>
          <w:sz w:val="32"/>
          <w:szCs w:val="32"/>
          <w:lang w:val="zh-CN" w:eastAsia="zh-CN" w:bidi="ar-SA"/>
        </w:rPr>
        <w:t>年度发放202</w:t>
      </w:r>
      <w:r>
        <w:rPr>
          <w:rFonts w:hint="eastAsia" w:ascii="Times New Roman" w:hAnsi="Times New Roman" w:eastAsia="仿宋_GB2312" w:cs="Times New Roman"/>
          <w:color w:val="auto"/>
          <w:kern w:val="2"/>
          <w:sz w:val="32"/>
          <w:szCs w:val="32"/>
          <w:lang w:val="en-US" w:eastAsia="zh-CN" w:bidi="ar-SA"/>
        </w:rPr>
        <w:t>2</w:t>
      </w:r>
      <w:r>
        <w:rPr>
          <w:rFonts w:hint="eastAsia" w:ascii="Times New Roman" w:hAnsi="Times New Roman" w:eastAsia="仿宋_GB2312" w:cs="Times New Roman"/>
          <w:color w:val="auto"/>
          <w:kern w:val="2"/>
          <w:sz w:val="32"/>
          <w:szCs w:val="32"/>
          <w:lang w:val="zh-CN" w:eastAsia="zh-CN" w:bidi="ar-SA"/>
        </w:rPr>
        <w:t>年度调增基础绩效及奖励性绩效工资</w:t>
      </w:r>
      <w:r>
        <w:rPr>
          <w:rFonts w:hint="eastAsia" w:ascii="Times New Roman" w:hAnsi="Times New Roman" w:eastAsia="仿宋_GB2312"/>
          <w:color w:val="auto"/>
          <w:spacing w:val="0"/>
          <w:sz w:val="32"/>
          <w:szCs w:val="32"/>
          <w:lang w:val="en-US" w:eastAsia="zh-CN"/>
        </w:rPr>
        <w:t>（指标文号：新财资环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010号）、2022-2023年调增艰边贴（指标文号：新财资环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036号）、</w:t>
      </w:r>
      <w:r>
        <w:rPr>
          <w:rFonts w:hint="eastAsia" w:ascii="Times New Roman" w:hAnsi="Times New Roman" w:eastAsia="仿宋_GB2312"/>
          <w:color w:val="auto"/>
          <w:spacing w:val="0"/>
          <w:sz w:val="32"/>
          <w:szCs w:val="32"/>
          <w:lang w:eastAsia="zh-CN"/>
        </w:rPr>
        <w:t>丧葬费抚恤金</w:t>
      </w:r>
      <w:r>
        <w:rPr>
          <w:rFonts w:hint="eastAsia" w:ascii="Times New Roman" w:hAnsi="Times New Roman" w:eastAsia="仿宋_GB2312"/>
          <w:color w:val="auto"/>
          <w:spacing w:val="0"/>
          <w:sz w:val="32"/>
          <w:szCs w:val="32"/>
          <w:lang w:val="en-US" w:eastAsia="zh-CN"/>
        </w:rPr>
        <w:t>（指标文号：新财资环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059号）</w:t>
      </w:r>
      <w:r>
        <w:rPr>
          <w:rFonts w:hint="eastAsia" w:ascii="Times New Roman" w:hAnsi="Times New Roman" w:eastAsia="仿宋_GB2312" w:cs="Times New Roman"/>
          <w:color w:val="auto"/>
          <w:kern w:val="2"/>
          <w:sz w:val="32"/>
          <w:szCs w:val="32"/>
          <w:lang w:val="zh-CN" w:eastAsia="zh-CN" w:bidi="ar-SA"/>
        </w:rPr>
        <w:t>。</w:t>
      </w:r>
    </w:p>
    <w:p w14:paraId="52E65EA5">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6.社会保障和就业支出（类）行政事业单位养老支出（款）事业单位离退休（项）:支出决算数为332.36万元，比上年决算减少285.62万元，下降46.22%，主要原因是：</w:t>
      </w:r>
      <w:r>
        <w:rPr>
          <w:rFonts w:hint="eastAsia" w:ascii="Times New Roman" w:hAnsi="Times New Roman" w:eastAsia="仿宋_GB2312" w:cs="Times New Roman"/>
          <w:color w:val="auto"/>
          <w:kern w:val="2"/>
          <w:sz w:val="32"/>
          <w:szCs w:val="32"/>
          <w:lang w:val="zh-CN" w:eastAsia="zh-CN" w:bidi="ar-SA"/>
        </w:rPr>
        <w:t>退休人员调增绩效奖</w:t>
      </w:r>
      <w:r>
        <w:rPr>
          <w:rFonts w:hint="eastAsia" w:ascii="Times New Roman" w:hAnsi="Times New Roman" w:eastAsia="仿宋_GB2312"/>
          <w:color w:val="auto"/>
          <w:spacing w:val="0"/>
          <w:sz w:val="32"/>
          <w:szCs w:val="32"/>
          <w:lang w:val="en-US" w:eastAsia="zh-CN"/>
        </w:rPr>
        <w:t>（指标文号：新财资环</w:t>
      </w:r>
      <w:r>
        <w:rPr>
          <w:rFonts w:hint="eastAsia" w:eastAsia="仿宋_GB2312"/>
          <w:color w:val="auto"/>
          <w:spacing w:val="0"/>
          <w:sz w:val="32"/>
          <w:szCs w:val="32"/>
          <w:lang w:val="en-US" w:eastAsia="zh-CN"/>
        </w:rPr>
        <w:t>〔</w:t>
      </w:r>
      <w:r>
        <w:rPr>
          <w:rFonts w:hint="eastAsia" w:ascii="Times New Roman" w:hAnsi="Times New Roman" w:eastAsia="仿宋_GB2312"/>
          <w:color w:val="auto"/>
          <w:spacing w:val="0"/>
          <w:sz w:val="32"/>
          <w:szCs w:val="32"/>
          <w:lang w:val="en-US" w:eastAsia="zh-CN"/>
        </w:rPr>
        <w:t>2023〕010号）</w:t>
      </w:r>
      <w:r>
        <w:rPr>
          <w:rFonts w:hint="eastAsia" w:ascii="Times New Roman" w:hAnsi="Times New Roman" w:eastAsia="仿宋_GB2312" w:cs="Times New Roman"/>
          <w:color w:val="auto"/>
          <w:kern w:val="2"/>
          <w:sz w:val="32"/>
          <w:szCs w:val="32"/>
          <w:lang w:val="zh-CN" w:eastAsia="zh-CN" w:bidi="ar-SA"/>
        </w:rPr>
        <w:t>、同时</w:t>
      </w:r>
      <w:r>
        <w:rPr>
          <w:rFonts w:hint="eastAsia" w:ascii="Times New Roman" w:hAnsi="Times New Roman" w:eastAsia="仿宋_GB2312" w:cs="Times New Roman"/>
          <w:color w:val="auto"/>
          <w:kern w:val="2"/>
          <w:sz w:val="32"/>
          <w:szCs w:val="32"/>
          <w:lang w:val="en-US" w:eastAsia="zh-CN" w:bidi="ar-SA"/>
        </w:rPr>
        <w:t>根据昌吉州社保局相关规定参加职工基本医疗保险的个人，达到法定退休年龄时累计缴费达到国家规定年限的，退休后不再缴纳基本医疗保险费</w:t>
      </w:r>
      <w:r>
        <w:rPr>
          <w:rFonts w:hint="eastAsia" w:ascii="Times New Roman" w:hAnsi="Times New Roman" w:eastAsia="仿宋_GB2312" w:cs="Times New Roman"/>
          <w:color w:val="auto"/>
          <w:kern w:val="2"/>
          <w:sz w:val="32"/>
          <w:szCs w:val="32"/>
          <w:lang w:val="zh-CN" w:eastAsia="zh-CN" w:bidi="ar-SA"/>
        </w:rPr>
        <w:t>。</w:t>
      </w:r>
    </w:p>
    <w:p w14:paraId="32BA5D38">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7.社会保障和就业支出（类）行政事业单位养老支出（款）机关事业单位职业年金缴费支出（项）:支出决算数为170.75万元，比上年决算增加151.26万元，增长776.09%，主要原因是：</w:t>
      </w:r>
      <w:r>
        <w:rPr>
          <w:rFonts w:hint="eastAsia" w:ascii="Times New Roman" w:hAnsi="Times New Roman" w:eastAsia="仿宋_GB2312" w:cs="Times New Roman"/>
          <w:color w:val="auto"/>
          <w:sz w:val="32"/>
          <w:lang w:val="zh-CN" w:eastAsia="zh-CN" w:bidi="ar-SA"/>
        </w:rPr>
        <w:t>我单位为一类事业单位，职业年金在职工离职</w:t>
      </w:r>
      <w:r>
        <w:rPr>
          <w:rFonts w:hint="eastAsia" w:ascii="Times New Roman" w:hAnsi="Times New Roman" w:eastAsia="仿宋_GB2312" w:cs="Times New Roman"/>
          <w:color w:val="auto"/>
          <w:sz w:val="32"/>
          <w:lang w:val="en-US" w:eastAsia="zh-CN" w:bidi="ar-SA"/>
        </w:rPr>
        <w:t>或退休</w:t>
      </w:r>
      <w:r>
        <w:rPr>
          <w:rFonts w:hint="eastAsia" w:ascii="Times New Roman" w:hAnsi="Times New Roman" w:eastAsia="仿宋_GB2312" w:cs="Times New Roman"/>
          <w:color w:val="auto"/>
          <w:sz w:val="32"/>
          <w:lang w:val="zh-CN" w:eastAsia="zh-CN" w:bidi="ar-SA"/>
        </w:rPr>
        <w:t>时一次性支</w:t>
      </w:r>
      <w:r>
        <w:rPr>
          <w:rFonts w:hint="eastAsia" w:ascii="Times New Roman" w:hAnsi="Times New Roman" w:eastAsia="仿宋_GB2312" w:cs="Times New Roman"/>
          <w:color w:val="auto"/>
          <w:kern w:val="2"/>
          <w:sz w:val="32"/>
          <w:szCs w:val="32"/>
          <w:lang w:val="zh-CN" w:eastAsia="zh-CN" w:bidi="ar-SA"/>
        </w:rPr>
        <w:t>出，本年较202</w:t>
      </w:r>
      <w:r>
        <w:rPr>
          <w:rFonts w:hint="eastAsia" w:ascii="Times New Roman" w:hAnsi="Times New Roman" w:eastAsia="仿宋_GB2312" w:cs="Times New Roman"/>
          <w:color w:val="auto"/>
          <w:kern w:val="2"/>
          <w:sz w:val="32"/>
          <w:szCs w:val="32"/>
          <w:lang w:val="en-US" w:eastAsia="zh-CN" w:bidi="ar-SA"/>
        </w:rPr>
        <w:t>2</w:t>
      </w:r>
      <w:r>
        <w:rPr>
          <w:rFonts w:hint="eastAsia" w:ascii="Times New Roman" w:hAnsi="Times New Roman" w:eastAsia="仿宋_GB2312" w:cs="Times New Roman"/>
          <w:color w:val="auto"/>
          <w:kern w:val="2"/>
          <w:sz w:val="32"/>
          <w:szCs w:val="32"/>
          <w:lang w:val="zh-CN" w:eastAsia="zh-CN" w:bidi="ar-SA"/>
        </w:rPr>
        <w:t>年离职、退休人数大幅</w:t>
      </w:r>
      <w:r>
        <w:rPr>
          <w:rFonts w:hint="eastAsia" w:ascii="Times New Roman" w:hAnsi="Times New Roman" w:eastAsia="仿宋_GB2312" w:cs="Times New Roman"/>
          <w:color w:val="auto"/>
          <w:kern w:val="2"/>
          <w:sz w:val="32"/>
          <w:szCs w:val="32"/>
          <w:lang w:val="en-US" w:eastAsia="zh-CN" w:bidi="ar-SA"/>
        </w:rPr>
        <w:t>增加</w:t>
      </w:r>
      <w:r>
        <w:rPr>
          <w:rFonts w:hint="eastAsia" w:ascii="Times New Roman" w:hAnsi="Times New Roman" w:eastAsia="仿宋_GB2312" w:cs="Times New Roman"/>
          <w:color w:val="auto"/>
          <w:kern w:val="2"/>
          <w:sz w:val="32"/>
          <w:szCs w:val="32"/>
          <w:lang w:val="zh-CN" w:eastAsia="zh-CN" w:bidi="ar-SA"/>
        </w:rPr>
        <w:t>。</w:t>
      </w:r>
    </w:p>
    <w:p w14:paraId="0E98B4C3">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8.社会保障和就业支出（类）行政事业单位养老支出（款）机关事业单位基本养老保险缴费支出（项）:支出决算数为307.66万元，比上年决算增加7.79万元，增长2.60%，主要原因是：</w:t>
      </w:r>
      <w:r>
        <w:rPr>
          <w:rFonts w:hint="eastAsia" w:ascii="Times New Roman" w:hAnsi="Times New Roman" w:eastAsia="仿宋_GB2312" w:cs="Times New Roman"/>
          <w:color w:val="auto"/>
          <w:kern w:val="2"/>
          <w:sz w:val="32"/>
          <w:szCs w:val="32"/>
          <w:lang w:val="zh-CN" w:eastAsia="zh-CN" w:bidi="ar-SA"/>
        </w:rPr>
        <w:t>在职人员工资增长导致</w:t>
      </w:r>
      <w:r>
        <w:rPr>
          <w:rFonts w:hint="eastAsia" w:ascii="Times New Roman" w:hAnsi="Times New Roman" w:eastAsia="仿宋_GB2312" w:cs="Times New Roman"/>
          <w:color w:val="auto"/>
          <w:kern w:val="2"/>
          <w:sz w:val="32"/>
          <w:szCs w:val="32"/>
          <w:lang w:val="en-US" w:eastAsia="zh-CN" w:bidi="ar-SA"/>
        </w:rPr>
        <w:t>养老保险</w:t>
      </w:r>
      <w:r>
        <w:rPr>
          <w:rFonts w:hint="eastAsia" w:ascii="Times New Roman" w:hAnsi="Times New Roman" w:eastAsia="仿宋_GB2312" w:cs="Times New Roman"/>
          <w:color w:val="auto"/>
          <w:kern w:val="2"/>
          <w:sz w:val="32"/>
          <w:szCs w:val="32"/>
          <w:lang w:val="zh-CN" w:eastAsia="zh-CN" w:bidi="ar-SA"/>
        </w:rPr>
        <w:t>缴费基数增长。</w:t>
      </w:r>
    </w:p>
    <w:p w14:paraId="43EFE555">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9.自然资源海洋气象等支出（类）自然资源事务（款）自然资源调查与确权登记（项）:支出决算数为0.00万元，比上年决算减少2.95万元，下降100%，主要原因是：</w:t>
      </w:r>
      <w:r>
        <w:rPr>
          <w:rFonts w:hint="eastAsia" w:ascii="Times New Roman" w:hAnsi="Times New Roman" w:eastAsia="仿宋_GB2312" w:cs="Times New Roman"/>
          <w:color w:val="auto"/>
          <w:sz w:val="32"/>
          <w:lang w:val="en-US" w:eastAsia="zh-CN" w:bidi="ar-SA"/>
        </w:rPr>
        <w:t>本年没有自然资源调查与确权登记支出功能下</w:t>
      </w:r>
      <w:r>
        <w:rPr>
          <w:rFonts w:hint="eastAsia" w:ascii="Times New Roman" w:hAnsi="Times New Roman" w:eastAsia="仿宋_GB2312" w:cs="Times New Roman"/>
          <w:color w:val="auto"/>
          <w:sz w:val="32"/>
          <w:lang w:val="zh-CN" w:eastAsia="zh-CN" w:bidi="ar-SA"/>
        </w:rPr>
        <w:t>的</w:t>
      </w:r>
      <w:r>
        <w:rPr>
          <w:rFonts w:hint="eastAsia" w:ascii="Times New Roman" w:hAnsi="Times New Roman" w:eastAsia="仿宋_GB2312" w:cs="Times New Roman"/>
          <w:color w:val="auto"/>
          <w:sz w:val="32"/>
          <w:lang w:val="en-US" w:eastAsia="zh-CN" w:bidi="ar-SA"/>
        </w:rPr>
        <w:t>支出</w:t>
      </w:r>
      <w:r>
        <w:rPr>
          <w:rFonts w:hint="eastAsia" w:ascii="Times New Roman" w:hAnsi="Times New Roman" w:eastAsia="仿宋_GB2312" w:cs="Times New Roman"/>
          <w:color w:val="auto"/>
          <w:kern w:val="2"/>
          <w:sz w:val="32"/>
          <w:szCs w:val="32"/>
          <w:lang w:val="zh-CN" w:eastAsia="zh-CN" w:bidi="ar-SA"/>
        </w:rPr>
        <w:t>。</w:t>
      </w:r>
    </w:p>
    <w:p w14:paraId="0055A254">
      <w:pPr>
        <w:keepNext w:val="0"/>
        <w:keepLines w:val="0"/>
        <w:pageBreakBefore w:val="0"/>
        <w:widowControl w:val="0"/>
        <w:kinsoku/>
        <w:wordWrap/>
        <w:overflowPunct/>
        <w:topLinePunct w:val="0"/>
        <w:autoSpaceDE/>
        <w:autoSpaceDN/>
        <w:bidi w:val="0"/>
        <w:adjustRightInd/>
        <w:snapToGrid/>
        <w:ind w:firstLine="640" w:firstLineChars="200"/>
        <w:rPr>
          <w:rFonts w:hint="eastAsia" w:ascii="Times New Roman" w:hAnsi="Times New Roman" w:eastAsia="仿宋_GB2312" w:cs="Times New Roman"/>
          <w:color w:val="auto"/>
          <w:kern w:val="2"/>
          <w:sz w:val="32"/>
          <w:szCs w:val="32"/>
          <w:lang w:val="zh-CN" w:eastAsia="zh-CN" w:bidi="ar-SA"/>
        </w:rPr>
      </w:pPr>
      <w:r>
        <w:rPr>
          <w:rFonts w:hint="eastAsia" w:ascii="Times New Roman" w:hAnsi="Times New Roman" w:eastAsia="仿宋_GB2312" w:cs="Times New Roman"/>
          <w:color w:val="auto"/>
          <w:kern w:val="2"/>
          <w:sz w:val="32"/>
          <w:szCs w:val="32"/>
          <w:lang w:val="en-US" w:eastAsia="zh-CN" w:bidi="ar-SA"/>
        </w:rPr>
        <w:t>10.自然资源海洋气象等支出（类）自然资源事务（款）地质矿产资源与环境调查（项）:支出决算数为0.00万元，比上年决算减少78.10万元，下降</w:t>
      </w:r>
      <w:r>
        <w:rPr>
          <w:rFonts w:hint="eastAsia" w:ascii="Times New Roman" w:hAnsi="Times New Roman" w:eastAsia="仿宋_GB2312" w:cs="Times New Roman"/>
          <w:color w:val="auto"/>
          <w:sz w:val="32"/>
          <w:lang w:val="en-US" w:eastAsia="zh-CN" w:bidi="ar-SA"/>
        </w:rPr>
        <w:t>100%，主要原因是：本年没有地质矿产资源与环境调查支出功能</w:t>
      </w:r>
      <w:r>
        <w:rPr>
          <w:rFonts w:hint="eastAsia" w:ascii="Times New Roman" w:hAnsi="Times New Roman" w:eastAsia="仿宋_GB2312" w:cs="Times New Roman"/>
          <w:color w:val="auto"/>
          <w:kern w:val="2"/>
          <w:sz w:val="32"/>
          <w:szCs w:val="32"/>
          <w:lang w:val="zh-CN" w:eastAsia="zh-CN" w:bidi="ar-SA"/>
        </w:rPr>
        <w:t>下的</w:t>
      </w:r>
      <w:r>
        <w:rPr>
          <w:rFonts w:hint="eastAsia" w:ascii="Times New Roman" w:hAnsi="Times New Roman" w:eastAsia="仿宋_GB2312" w:cs="Times New Roman"/>
          <w:color w:val="auto"/>
          <w:kern w:val="2"/>
          <w:sz w:val="32"/>
          <w:szCs w:val="32"/>
          <w:lang w:val="en-US" w:eastAsia="zh-CN" w:bidi="ar-SA"/>
        </w:rPr>
        <w:t>支出</w:t>
      </w:r>
      <w:r>
        <w:rPr>
          <w:rFonts w:hint="eastAsia" w:ascii="Times New Roman" w:hAnsi="Times New Roman" w:eastAsia="仿宋_GB2312" w:cs="Times New Roman"/>
          <w:color w:val="auto"/>
          <w:kern w:val="2"/>
          <w:sz w:val="32"/>
          <w:szCs w:val="32"/>
          <w:lang w:val="zh-CN" w:eastAsia="zh-CN" w:bidi="ar-SA"/>
        </w:rPr>
        <w:t>。</w:t>
      </w:r>
    </w:p>
    <w:p w14:paraId="70D1D37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r>
        <w:rPr>
          <w:rFonts w:hint="eastAsia" w:ascii="Times New Roman" w:hAnsi="Times New Roman" w:eastAsia="黑体" w:cs="宋体"/>
          <w:bCs/>
          <w:color w:val="auto"/>
          <w:kern w:val="0"/>
          <w:sz w:val="32"/>
          <w:szCs w:val="32"/>
          <w:lang w:eastAsia="zh-CN"/>
        </w:rPr>
        <w:t>六、一般公共预算财政拨款基本支出决算情况说明</w:t>
      </w:r>
    </w:p>
    <w:p w14:paraId="22B1CF26">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auto"/>
          <w:sz w:val="32"/>
          <w:szCs w:val="32"/>
          <w:lang w:val="en-US" w:eastAsia="zh-CN"/>
        </w:rPr>
      </w:pPr>
      <w:r>
        <w:rPr>
          <w:rFonts w:hint="eastAsia" w:ascii="Times New Roman" w:hAnsi="Times New Roman" w:eastAsia="仿宋_GB2312"/>
          <w:color w:val="auto"/>
          <w:spacing w:val="0"/>
          <w:sz w:val="32"/>
          <w:szCs w:val="32"/>
          <w:lang w:eastAsia="zh-CN"/>
        </w:rPr>
        <w:t>2023年度</w:t>
      </w:r>
      <w:r>
        <w:rPr>
          <w:rFonts w:hint="eastAsia" w:ascii="Times New Roman" w:hAnsi="Times New Roman" w:eastAsia="仿宋_GB2312"/>
          <w:color w:val="auto"/>
          <w:sz w:val="32"/>
          <w:szCs w:val="32"/>
        </w:rPr>
        <w:t>一般公共预算财政拨款基本支出</w:t>
      </w:r>
      <w:r>
        <w:rPr>
          <w:rFonts w:hint="eastAsia" w:ascii="Times New Roman" w:hAnsi="Times New Roman" w:eastAsia="仿宋_GB2312"/>
          <w:color w:val="auto"/>
          <w:sz w:val="32"/>
          <w:szCs w:val="32"/>
          <w:lang w:eastAsia="zh-CN"/>
        </w:rPr>
        <w:t>2,682.26</w:t>
      </w:r>
      <w:r>
        <w:rPr>
          <w:rFonts w:hint="eastAsia" w:ascii="Times New Roman" w:hAnsi="Times New Roman" w:eastAsia="仿宋_GB2312"/>
          <w:color w:val="auto"/>
          <w:sz w:val="32"/>
          <w:szCs w:val="32"/>
        </w:rPr>
        <w:t>万元，其中：人员经费</w:t>
      </w:r>
      <w:r>
        <w:rPr>
          <w:rFonts w:hint="eastAsia" w:ascii="Times New Roman" w:hAnsi="Times New Roman" w:eastAsia="仿宋_GB2312"/>
          <w:color w:val="auto"/>
          <w:sz w:val="32"/>
          <w:szCs w:val="32"/>
          <w:lang w:eastAsia="zh-CN"/>
        </w:rPr>
        <w:t>2,650.95</w:t>
      </w:r>
      <w:r>
        <w:rPr>
          <w:rFonts w:hint="eastAsia" w:ascii="Times New Roman" w:hAnsi="Times New Roman" w:eastAsia="仿宋_GB2312"/>
          <w:color w:val="auto"/>
          <w:sz w:val="32"/>
          <w:szCs w:val="32"/>
        </w:rPr>
        <w:t>万元，包括：</w:t>
      </w:r>
      <w:r>
        <w:rPr>
          <w:rFonts w:hint="eastAsia" w:ascii="Times New Roman" w:hAnsi="Times New Roman" w:eastAsia="仿宋_GB2312"/>
          <w:color w:val="auto"/>
          <w:sz w:val="32"/>
          <w:szCs w:val="32"/>
          <w:lang w:val="en-US" w:eastAsia="zh-CN"/>
        </w:rPr>
        <w:t>基本工资、津贴补贴、绩效工资、机关事业单位基本养老保险缴费、职业年金缴费、职工基本医疗保险缴费、公务员医疗补助缴费、其他社会保障缴费、住房公积金、退休费、抚恤金、生活补助、医疗费补助、其他对个人和家庭的补助。</w:t>
      </w:r>
    </w:p>
    <w:p w14:paraId="3D5200E0">
      <w:pPr>
        <w:keepNext w:val="0"/>
        <w:keepLines w:val="0"/>
        <w:pageBreakBefore w:val="0"/>
        <w:widowControl w:val="0"/>
        <w:kinsoku/>
        <w:wordWrap/>
        <w:overflowPunct/>
        <w:topLinePunct w:val="0"/>
        <w:bidi w:val="0"/>
        <w:adjustRightInd/>
        <w:snapToGrid/>
        <w:spacing w:line="240" w:lineRule="auto"/>
        <w:ind w:firstLine="640" w:firstLineChars="200"/>
        <w:jc w:val="both"/>
        <w:rPr>
          <w:rFonts w:hint="default" w:ascii="Times New Roman" w:hAnsi="Times New Roman" w:eastAsia="仿宋_GB2312"/>
          <w:color w:val="auto"/>
          <w:sz w:val="32"/>
          <w:szCs w:val="32"/>
          <w:highlight w:val="red"/>
          <w:lang w:val="en-US" w:eastAsia="zh-CN"/>
        </w:rPr>
      </w:pPr>
      <w:r>
        <w:rPr>
          <w:rFonts w:hint="eastAsia" w:ascii="Times New Roman" w:hAnsi="Times New Roman" w:eastAsia="仿宋_GB2312"/>
          <w:color w:val="auto"/>
          <w:sz w:val="32"/>
          <w:szCs w:val="32"/>
        </w:rPr>
        <w:t>公用经费</w:t>
      </w:r>
      <w:r>
        <w:rPr>
          <w:rFonts w:hint="eastAsia" w:ascii="Times New Roman" w:hAnsi="Times New Roman" w:eastAsia="仿宋_GB2312"/>
          <w:color w:val="auto"/>
          <w:sz w:val="32"/>
          <w:szCs w:val="32"/>
          <w:lang w:eastAsia="zh-CN"/>
        </w:rPr>
        <w:t>31.31</w:t>
      </w:r>
      <w:r>
        <w:rPr>
          <w:rFonts w:hint="eastAsia" w:ascii="Times New Roman" w:hAnsi="Times New Roman" w:eastAsia="仿宋_GB2312"/>
          <w:color w:val="auto"/>
          <w:sz w:val="32"/>
        </w:rPr>
        <w:t>万元，包括</w:t>
      </w:r>
      <w:r>
        <w:rPr>
          <w:rFonts w:hint="eastAsia" w:ascii="Times New Roman" w:hAnsi="Times New Roman" w:eastAsia="仿宋_GB2312"/>
          <w:color w:val="auto"/>
          <w:sz w:val="32"/>
          <w:szCs w:val="32"/>
          <w:lang w:val="en-US" w:eastAsia="zh-CN"/>
        </w:rPr>
        <w:t>：工会经费、其他商品和服务支出。</w:t>
      </w:r>
    </w:p>
    <w:p w14:paraId="193737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r>
        <w:rPr>
          <w:rFonts w:hint="eastAsia" w:ascii="Times New Roman" w:hAnsi="Times New Roman" w:eastAsia="黑体" w:cs="宋体"/>
          <w:bCs/>
          <w:color w:val="auto"/>
          <w:kern w:val="0"/>
          <w:sz w:val="32"/>
          <w:szCs w:val="32"/>
          <w:lang w:val="en-US" w:eastAsia="zh-CN"/>
        </w:rPr>
        <w:t>七、</w:t>
      </w:r>
      <w:r>
        <w:rPr>
          <w:rFonts w:hint="eastAsia" w:ascii="Times New Roman" w:hAnsi="Times New Roman" w:eastAsia="黑体" w:cs="宋体"/>
          <w:bCs/>
          <w:color w:val="auto"/>
          <w:kern w:val="0"/>
          <w:sz w:val="32"/>
          <w:szCs w:val="32"/>
          <w:lang w:eastAsia="zh-CN"/>
        </w:rPr>
        <w:t>财政拨款</w:t>
      </w:r>
      <w:r>
        <w:rPr>
          <w:rFonts w:hint="eastAsia" w:ascii="Times New Roman" w:hAnsi="Times New Roman" w:eastAsia="黑体" w:cs="宋体"/>
          <w:bCs/>
          <w:color w:val="auto"/>
          <w:kern w:val="0"/>
          <w:sz w:val="32"/>
          <w:szCs w:val="32"/>
        </w:rPr>
        <w:t>“三公”经费支出</w:t>
      </w:r>
      <w:r>
        <w:rPr>
          <w:rFonts w:hint="eastAsia" w:ascii="Times New Roman" w:hAnsi="Times New Roman" w:eastAsia="黑体" w:cs="宋体"/>
          <w:bCs/>
          <w:color w:val="auto"/>
          <w:kern w:val="0"/>
          <w:sz w:val="32"/>
          <w:szCs w:val="32"/>
          <w:lang w:eastAsia="zh-CN"/>
        </w:rPr>
        <w:t>决算</w:t>
      </w:r>
      <w:r>
        <w:rPr>
          <w:rFonts w:hint="eastAsia" w:ascii="Times New Roman" w:hAnsi="Times New Roman" w:eastAsia="黑体" w:cs="宋体"/>
          <w:bCs/>
          <w:color w:val="auto"/>
          <w:kern w:val="0"/>
          <w:sz w:val="32"/>
          <w:szCs w:val="32"/>
        </w:rPr>
        <w:t>情况</w:t>
      </w:r>
      <w:r>
        <w:rPr>
          <w:rFonts w:hint="eastAsia" w:ascii="Times New Roman" w:hAnsi="Times New Roman" w:eastAsia="黑体" w:cs="宋体"/>
          <w:bCs/>
          <w:color w:val="auto"/>
          <w:kern w:val="0"/>
          <w:sz w:val="32"/>
          <w:szCs w:val="32"/>
          <w:lang w:eastAsia="zh-CN"/>
        </w:rPr>
        <w:t>说明</w:t>
      </w:r>
    </w:p>
    <w:p w14:paraId="4153DCC9">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0000FF"/>
          <w:sz w:val="32"/>
          <w:szCs w:val="32"/>
          <w:lang w:val="zh-CN" w:eastAsia="zh-CN"/>
        </w:rPr>
      </w:pPr>
      <w:r>
        <w:rPr>
          <w:rFonts w:hint="eastAsia" w:ascii="Times New Roman" w:hAnsi="Times New Roman" w:eastAsia="仿宋_GB2312"/>
          <w:color w:val="auto"/>
          <w:sz w:val="32"/>
          <w:szCs w:val="32"/>
          <w:lang w:val="zh-CN" w:eastAsia="zh-CN"/>
        </w:rPr>
        <w:t>2023年度</w:t>
      </w:r>
      <w:r>
        <w:rPr>
          <w:rFonts w:hint="eastAsia" w:ascii="Times New Roman" w:hAnsi="Times New Roman" w:eastAsia="仿宋_GB2312"/>
          <w:color w:val="auto"/>
          <w:sz w:val="32"/>
          <w:szCs w:val="32"/>
          <w:lang w:val="en-US" w:eastAsia="zh-CN"/>
        </w:rPr>
        <w:t>财政拨款</w:t>
      </w:r>
      <w:r>
        <w:rPr>
          <w:rFonts w:hint="eastAsia" w:ascii="Times New Roman" w:hAnsi="Times New Roman" w:eastAsia="仿宋_GB2312"/>
          <w:color w:val="auto"/>
          <w:sz w:val="32"/>
          <w:szCs w:val="32"/>
          <w:lang w:val="zh-CN" w:eastAsia="zh-CN"/>
        </w:rPr>
        <w:t>“三公”经费支出0.00万元，</w:t>
      </w:r>
      <w:r>
        <w:rPr>
          <w:rFonts w:hint="eastAsia" w:ascii="Times New Roman" w:hAnsi="Times New Roman" w:eastAsia="仿宋_GB2312"/>
          <w:color w:val="auto"/>
          <w:sz w:val="32"/>
          <w:szCs w:val="32"/>
          <w:lang w:val="en-US" w:eastAsia="zh-CN"/>
        </w:rPr>
        <w:t>比上年</w:t>
      </w:r>
      <w:r>
        <w:rPr>
          <w:rFonts w:hint="eastAsia" w:ascii="Times New Roman" w:hAnsi="Times New Roman" w:eastAsia="仿宋_GB2312"/>
          <w:color w:val="auto"/>
          <w:sz w:val="32"/>
          <w:lang w:val="zh-CN" w:eastAsia="zh-CN"/>
        </w:rPr>
        <w:t>增加0.00万元，增长0.00%，主要原因是：我单位无财政拨款“三公”经费支出。其中：因公出国（境）费支出0.00万元，占0.00%，比上年增加0.00万元，增长0.00%，主要原因是：我单位无因公出国（境）费；公务用车购置及运行维护费支出0.00万元，占0.00%，比上年增加0.00万元，增长0.00%，主要原因是：我单位无</w:t>
      </w:r>
      <w:r>
        <w:rPr>
          <w:rFonts w:hint="eastAsia" w:eastAsia="仿宋_GB2312"/>
          <w:color w:val="auto"/>
          <w:sz w:val="32"/>
          <w:lang w:val="en-US" w:eastAsia="zh-CN"/>
        </w:rPr>
        <w:t>财政拨款</w:t>
      </w:r>
      <w:r>
        <w:rPr>
          <w:rFonts w:hint="eastAsia" w:ascii="Times New Roman" w:hAnsi="Times New Roman" w:eastAsia="仿宋_GB2312"/>
          <w:color w:val="auto"/>
          <w:sz w:val="32"/>
          <w:lang w:val="zh-CN" w:eastAsia="zh-CN"/>
        </w:rPr>
        <w:t>公务用车购置及运行维护费；公务接待费支出0.00万元，占0.00%，比上年增加0.00万元，增长0.00%，主要原因是：</w:t>
      </w:r>
      <w:r>
        <w:rPr>
          <w:rFonts w:hint="eastAsia" w:ascii="Times New Roman" w:hAnsi="Times New Roman" w:eastAsia="仿宋_GB2312"/>
          <w:color w:val="auto"/>
          <w:sz w:val="32"/>
          <w:szCs w:val="32"/>
          <w:lang w:val="zh-CN" w:eastAsia="zh-CN"/>
        </w:rPr>
        <w:t>我单位</w:t>
      </w:r>
      <w:r>
        <w:rPr>
          <w:rFonts w:hint="eastAsia" w:ascii="Times New Roman" w:hAnsi="Times New Roman" w:eastAsia="仿宋_GB2312"/>
          <w:color w:val="auto"/>
          <w:sz w:val="32"/>
          <w:lang w:val="zh-CN" w:eastAsia="zh-CN"/>
        </w:rPr>
        <w:t>无</w:t>
      </w:r>
      <w:r>
        <w:rPr>
          <w:rFonts w:hint="eastAsia" w:eastAsia="仿宋_GB2312"/>
          <w:color w:val="auto"/>
          <w:sz w:val="32"/>
          <w:lang w:val="en-US" w:eastAsia="zh-CN"/>
        </w:rPr>
        <w:t>财政拨款</w:t>
      </w:r>
      <w:r>
        <w:rPr>
          <w:rFonts w:hint="eastAsia" w:ascii="Times New Roman" w:hAnsi="Times New Roman" w:eastAsia="仿宋_GB2312"/>
          <w:color w:val="auto"/>
          <w:sz w:val="32"/>
          <w:szCs w:val="32"/>
          <w:lang w:val="zh-CN" w:eastAsia="zh-CN"/>
        </w:rPr>
        <w:t>公务接待费。</w:t>
      </w:r>
    </w:p>
    <w:p w14:paraId="334A4753">
      <w:pPr>
        <w:keepNext w:val="0"/>
        <w:keepLines w:val="0"/>
        <w:pageBreakBefore w:val="0"/>
        <w:widowControl w:val="0"/>
        <w:kinsoku/>
        <w:wordWrap/>
        <w:overflowPunct/>
        <w:topLinePunct w:val="0"/>
        <w:bidi w:val="0"/>
        <w:adjustRightInd/>
        <w:snapToGrid/>
        <w:spacing w:line="240" w:lineRule="auto"/>
        <w:ind w:firstLine="640" w:firstLineChars="200"/>
        <w:jc w:val="left"/>
        <w:rPr>
          <w:rFonts w:hint="eastAsia" w:ascii="Times New Roman" w:hAnsi="Times New Roman" w:eastAsia="仿宋_GB2312"/>
          <w:color w:val="auto"/>
          <w:sz w:val="32"/>
          <w:szCs w:val="32"/>
          <w:lang w:val="zh-CN" w:eastAsia="zh-CN"/>
        </w:rPr>
      </w:pPr>
      <w:r>
        <w:rPr>
          <w:rFonts w:hint="eastAsia" w:ascii="Times New Roman" w:hAnsi="Times New Roman" w:eastAsia="仿宋_GB2312"/>
          <w:color w:val="auto"/>
          <w:sz w:val="32"/>
          <w:szCs w:val="32"/>
          <w:lang w:val="zh-CN" w:eastAsia="zh-CN"/>
        </w:rPr>
        <w:t>具体情况如下：</w:t>
      </w:r>
    </w:p>
    <w:p w14:paraId="62041B60">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auto"/>
          <w:sz w:val="32"/>
          <w:szCs w:val="32"/>
          <w:lang w:val="zh-CN" w:eastAsia="zh-CN"/>
        </w:rPr>
      </w:pPr>
      <w:r>
        <w:rPr>
          <w:rFonts w:hint="eastAsia" w:ascii="Times New Roman" w:hAnsi="Times New Roman" w:eastAsia="仿宋_GB2312"/>
          <w:color w:val="auto"/>
          <w:sz w:val="32"/>
          <w:szCs w:val="32"/>
          <w:lang w:val="zh-CN" w:eastAsia="zh-CN"/>
        </w:rPr>
        <w:t>因公出国（境）费支出0.00万元，开支内容包括我单位无因公出国（境）费。单位全年安排的因公出国（境）团组0个，因公出国（境）0人次。</w:t>
      </w:r>
    </w:p>
    <w:p w14:paraId="297A5B9B">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auto"/>
          <w:sz w:val="32"/>
          <w:szCs w:val="32"/>
          <w:highlight w:val="yellow"/>
          <w:lang w:val="en-US" w:eastAsia="zh-CN"/>
        </w:rPr>
      </w:pPr>
      <w:r>
        <w:rPr>
          <w:rFonts w:hint="eastAsia" w:ascii="Times New Roman" w:hAnsi="Times New Roman" w:eastAsia="仿宋_GB2312"/>
          <w:color w:val="auto"/>
          <w:sz w:val="32"/>
          <w:lang w:val="zh-CN" w:eastAsia="zh-CN"/>
        </w:rPr>
        <w:t>公务用车购置及运行维护费0.00万元，其中：公务用车购置费0.00万元，公务用车运行维护费0.00万元。公务用车运行维护费开支内容包括我单位无公务用车运行维护费。公务用车购置数0辆，公务用车保有量0辆</w:t>
      </w:r>
      <w:r>
        <w:rPr>
          <w:rFonts w:hint="eastAsia" w:ascii="Times New Roman" w:hAnsi="Times New Roman" w:eastAsia="仿宋_GB2312"/>
          <w:color w:val="auto"/>
          <w:sz w:val="32"/>
          <w:szCs w:val="32"/>
          <w:lang w:val="zh-CN" w:eastAsia="zh-CN"/>
        </w:rPr>
        <w:t>。国有资产占用情况</w:t>
      </w:r>
      <w:r>
        <w:rPr>
          <w:rFonts w:hint="eastAsia" w:ascii="Times New Roman" w:hAnsi="Times New Roman" w:eastAsia="仿宋_GB2312"/>
          <w:color w:val="auto"/>
          <w:sz w:val="32"/>
          <w:szCs w:val="32"/>
          <w:lang w:val="en-US" w:eastAsia="zh-CN"/>
        </w:rPr>
        <w:t>中固定资产车辆</w:t>
      </w:r>
      <w:r>
        <w:rPr>
          <w:rFonts w:hint="eastAsia" w:ascii="Times New Roman" w:hAnsi="Times New Roman" w:eastAsia="仿宋_GB2312"/>
          <w:color w:val="auto"/>
          <w:sz w:val="32"/>
          <w:szCs w:val="32"/>
          <w:lang w:val="zh-CN" w:eastAsia="zh-CN"/>
        </w:rPr>
        <w:t>24辆，</w:t>
      </w:r>
      <w:r>
        <w:rPr>
          <w:rFonts w:hint="eastAsia" w:ascii="Times New Roman" w:hAnsi="Times New Roman" w:eastAsia="仿宋_GB2312"/>
          <w:color w:val="auto"/>
          <w:sz w:val="32"/>
          <w:szCs w:val="32"/>
          <w:lang w:val="en-US" w:eastAsia="zh-CN"/>
        </w:rPr>
        <w:t>与</w:t>
      </w:r>
      <w:r>
        <w:rPr>
          <w:rFonts w:hint="eastAsia" w:ascii="Times New Roman" w:hAnsi="Times New Roman" w:eastAsia="仿宋_GB2312"/>
          <w:color w:val="auto"/>
          <w:sz w:val="32"/>
          <w:szCs w:val="32"/>
          <w:lang w:val="zh-CN" w:eastAsia="zh-CN"/>
        </w:rPr>
        <w:t>公务用车</w:t>
      </w:r>
      <w:r>
        <w:rPr>
          <w:rFonts w:hint="eastAsia" w:ascii="Times New Roman" w:hAnsi="Times New Roman" w:eastAsia="仿宋_GB2312"/>
          <w:color w:val="auto"/>
          <w:sz w:val="32"/>
          <w:szCs w:val="32"/>
          <w:lang w:val="en-US" w:eastAsia="zh-CN"/>
        </w:rPr>
        <w:t>保有量差异</w:t>
      </w:r>
      <w:r>
        <w:rPr>
          <w:rFonts w:hint="eastAsia" w:ascii="Times New Roman" w:hAnsi="Times New Roman" w:eastAsia="仿宋_GB2312"/>
          <w:color w:val="auto"/>
          <w:sz w:val="32"/>
          <w:szCs w:val="32"/>
          <w:lang w:val="zh-CN" w:eastAsia="zh-CN"/>
        </w:rPr>
        <w:t>原因是：</w:t>
      </w:r>
      <w:r>
        <w:rPr>
          <w:rFonts w:hint="eastAsia" w:ascii="Times New Roman" w:hAnsi="Times New Roman" w:eastAsia="仿宋_GB2312"/>
          <w:color w:val="auto"/>
          <w:sz w:val="32"/>
          <w:lang w:val="en-US" w:eastAsia="zh-CN"/>
        </w:rPr>
        <w:t>公务用车购置数和保有量的统计遵循特定的标准和程序，只统计专门用于公务用车的车辆</w:t>
      </w:r>
      <w:r>
        <w:rPr>
          <w:rFonts w:hint="eastAsia" w:ascii="Times New Roman" w:hAnsi="Times New Roman" w:eastAsia="仿宋_GB2312"/>
          <w:color w:val="auto"/>
          <w:sz w:val="32"/>
          <w:szCs w:val="32"/>
          <w:lang w:val="en-US" w:eastAsia="zh-CN"/>
        </w:rPr>
        <w:t>，而国有资产占用情况中的固定资产车辆统计更为全面，涵盖了单位占有的所有车辆，我单位特种专业技术用车14辆、用于野外工作用车10辆，</w:t>
      </w:r>
      <w:r>
        <w:rPr>
          <w:rFonts w:hint="eastAsia" w:eastAsia="仿宋_GB2312"/>
          <w:color w:val="auto"/>
          <w:sz w:val="32"/>
          <w:szCs w:val="32"/>
          <w:lang w:val="en-US" w:eastAsia="zh-CN"/>
        </w:rPr>
        <w:t>以上车辆运行维护</w:t>
      </w:r>
      <w:bookmarkStart w:id="48" w:name="_GoBack"/>
      <w:bookmarkEnd w:id="48"/>
      <w:r>
        <w:rPr>
          <w:rFonts w:hint="eastAsia" w:eastAsia="仿宋_GB2312"/>
          <w:color w:val="auto"/>
          <w:sz w:val="32"/>
          <w:szCs w:val="32"/>
          <w:lang w:val="en-US" w:eastAsia="zh-CN"/>
        </w:rPr>
        <w:t>费由单位自有资金承担</w:t>
      </w:r>
      <w:r>
        <w:rPr>
          <w:rFonts w:hint="eastAsia" w:ascii="Times New Roman" w:hAnsi="Times New Roman" w:eastAsia="仿宋_GB2312"/>
          <w:color w:val="auto"/>
          <w:sz w:val="32"/>
          <w:szCs w:val="32"/>
          <w:lang w:val="en-US" w:eastAsia="zh-CN"/>
        </w:rPr>
        <w:t>。</w:t>
      </w:r>
    </w:p>
    <w:p w14:paraId="63F5E6C7">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auto"/>
          <w:sz w:val="32"/>
          <w:szCs w:val="32"/>
          <w:lang w:val="zh-CN" w:eastAsia="zh-CN"/>
        </w:rPr>
      </w:pPr>
      <w:r>
        <w:rPr>
          <w:rFonts w:hint="eastAsia" w:ascii="Times New Roman" w:hAnsi="Times New Roman" w:eastAsia="仿宋_GB2312"/>
          <w:color w:val="auto"/>
          <w:sz w:val="32"/>
          <w:lang w:val="zh-CN" w:eastAsia="zh-CN"/>
        </w:rPr>
        <w:t>公务接待费0.00万元，开支内容包括我单位无公务接待费。</w:t>
      </w:r>
      <w:r>
        <w:rPr>
          <w:rFonts w:hint="eastAsia" w:ascii="Times New Roman" w:hAnsi="Times New Roman" w:eastAsia="仿宋_GB2312"/>
          <w:color w:val="auto"/>
          <w:sz w:val="32"/>
          <w:szCs w:val="32"/>
          <w:lang w:val="zh-CN" w:eastAsia="zh-CN"/>
        </w:rPr>
        <w:t>单位全年安排的国内公务接待0批次，0人次。</w:t>
      </w:r>
    </w:p>
    <w:p w14:paraId="408A2C08">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olor w:val="auto"/>
          <w:sz w:val="32"/>
          <w:szCs w:val="32"/>
          <w:lang w:val="zh-CN" w:eastAsia="zh-CN"/>
        </w:rPr>
      </w:pPr>
      <w:r>
        <w:rPr>
          <w:rFonts w:hint="eastAsia" w:ascii="Times New Roman" w:hAnsi="Times New Roman" w:eastAsia="仿宋_GB2312"/>
          <w:color w:val="auto"/>
          <w:sz w:val="32"/>
          <w:szCs w:val="32"/>
          <w:lang w:val="zh-CN" w:eastAsia="zh-CN"/>
        </w:rPr>
        <w:t>与</w:t>
      </w:r>
      <w:r>
        <w:rPr>
          <w:rFonts w:hint="eastAsia" w:ascii="Times New Roman" w:hAnsi="Times New Roman" w:eastAsia="仿宋_GB2312"/>
          <w:color w:val="auto"/>
          <w:sz w:val="32"/>
          <w:szCs w:val="32"/>
          <w:lang w:val="en-US" w:eastAsia="zh-CN"/>
        </w:rPr>
        <w:t>全年</w:t>
      </w:r>
      <w:r>
        <w:rPr>
          <w:rFonts w:hint="eastAsia" w:ascii="Times New Roman" w:hAnsi="Times New Roman" w:eastAsia="仿宋_GB2312"/>
          <w:color w:val="auto"/>
          <w:sz w:val="32"/>
          <w:szCs w:val="32"/>
          <w:lang w:val="zh-CN" w:eastAsia="zh-CN"/>
        </w:rPr>
        <w:t>预算相比</w:t>
      </w:r>
      <w:r>
        <w:rPr>
          <w:rFonts w:hint="eastAsia" w:ascii="Times New Roman" w:hAnsi="Times New Roman" w:eastAsia="仿宋_GB2312"/>
          <w:color w:val="auto"/>
          <w:sz w:val="32"/>
          <w:szCs w:val="32"/>
          <w:lang w:val="en-US" w:eastAsia="zh-CN"/>
        </w:rPr>
        <w:t>,</w:t>
      </w:r>
      <w:r>
        <w:rPr>
          <w:rFonts w:hint="eastAsia" w:ascii="Times New Roman" w:hAnsi="Times New Roman" w:eastAsia="仿宋_GB2312"/>
          <w:color w:val="auto"/>
          <w:sz w:val="32"/>
          <w:szCs w:val="32"/>
          <w:lang w:val="zh-CN" w:eastAsia="zh-CN"/>
        </w:rPr>
        <w:t>财政拨款“三公”经费支出</w:t>
      </w:r>
      <w:r>
        <w:rPr>
          <w:rFonts w:hint="eastAsia" w:ascii="Times New Roman" w:hAnsi="Times New Roman" w:eastAsia="仿宋_GB2312"/>
          <w:color w:val="auto"/>
          <w:sz w:val="32"/>
          <w:szCs w:val="32"/>
          <w:lang w:val="en-US" w:eastAsia="zh-CN"/>
        </w:rPr>
        <w:t>全年</w:t>
      </w:r>
      <w:r>
        <w:rPr>
          <w:rFonts w:hint="eastAsia" w:ascii="Times New Roman" w:hAnsi="Times New Roman" w:eastAsia="仿宋_GB2312"/>
          <w:color w:val="auto"/>
          <w:sz w:val="32"/>
          <w:szCs w:val="32"/>
          <w:lang w:val="zh-CN" w:eastAsia="zh-CN"/>
        </w:rPr>
        <w:t>预算数0.00万元，决算数0.00万元，预决算差异率0.00%，主要原因是：我单位无财政拨款“三公”经费支出。其中：因公出国（境）费</w:t>
      </w:r>
      <w:r>
        <w:rPr>
          <w:rFonts w:hint="eastAsia" w:ascii="Times New Roman" w:hAnsi="Times New Roman" w:eastAsia="仿宋_GB2312"/>
          <w:color w:val="auto"/>
          <w:sz w:val="32"/>
          <w:szCs w:val="32"/>
          <w:lang w:val="en-US" w:eastAsia="zh-CN"/>
        </w:rPr>
        <w:t>全年预算数</w:t>
      </w:r>
      <w:r>
        <w:rPr>
          <w:rFonts w:hint="eastAsia" w:ascii="Times New Roman" w:hAnsi="Times New Roman" w:eastAsia="仿宋_GB2312"/>
          <w:color w:val="auto"/>
          <w:sz w:val="32"/>
          <w:szCs w:val="32"/>
          <w:lang w:val="zh-CN" w:eastAsia="zh-CN"/>
        </w:rPr>
        <w:t>0.00万元，决算数0.00万元，预决算差异率0.00%，主要原因是：我单位无因公出国（境）费；公务用车购置费</w:t>
      </w:r>
      <w:r>
        <w:rPr>
          <w:rFonts w:hint="eastAsia" w:ascii="Times New Roman" w:hAnsi="Times New Roman" w:eastAsia="仿宋_GB2312"/>
          <w:color w:val="auto"/>
          <w:sz w:val="32"/>
          <w:szCs w:val="32"/>
          <w:lang w:val="en-US" w:eastAsia="zh-CN"/>
        </w:rPr>
        <w:t>全年</w:t>
      </w:r>
      <w:r>
        <w:rPr>
          <w:rFonts w:hint="eastAsia" w:ascii="Times New Roman" w:hAnsi="Times New Roman" w:eastAsia="仿宋_GB2312"/>
          <w:color w:val="auto"/>
          <w:sz w:val="32"/>
          <w:szCs w:val="32"/>
          <w:lang w:val="zh-CN" w:eastAsia="zh-CN"/>
        </w:rPr>
        <w:t>预算数0.00万元，决算数0.00万元，预决算差异率0.00%，主要原因是：我单位无公务用车购置费；公务用车运行费</w:t>
      </w:r>
      <w:r>
        <w:rPr>
          <w:rFonts w:hint="eastAsia" w:ascii="Times New Roman" w:hAnsi="Times New Roman" w:eastAsia="仿宋_GB2312"/>
          <w:color w:val="auto"/>
          <w:sz w:val="32"/>
          <w:szCs w:val="32"/>
          <w:lang w:val="en-US" w:eastAsia="zh-CN"/>
        </w:rPr>
        <w:t>全年</w:t>
      </w:r>
      <w:r>
        <w:rPr>
          <w:rFonts w:hint="eastAsia" w:ascii="Times New Roman" w:hAnsi="Times New Roman" w:eastAsia="仿宋_GB2312"/>
          <w:color w:val="auto"/>
          <w:sz w:val="32"/>
          <w:szCs w:val="32"/>
          <w:lang w:val="zh-CN" w:eastAsia="zh-CN"/>
        </w:rPr>
        <w:t>预算数0.00万元，决算数0.00万元，预决算差异率0.00%，主要原因是：我单位无公务用车运行维护费；公务接待费</w:t>
      </w:r>
      <w:r>
        <w:rPr>
          <w:rFonts w:hint="eastAsia" w:ascii="Times New Roman" w:hAnsi="Times New Roman" w:eastAsia="仿宋_GB2312"/>
          <w:color w:val="auto"/>
          <w:sz w:val="32"/>
          <w:szCs w:val="32"/>
          <w:lang w:val="en-US" w:eastAsia="zh-CN"/>
        </w:rPr>
        <w:t>全年</w:t>
      </w:r>
      <w:r>
        <w:rPr>
          <w:rFonts w:hint="eastAsia" w:ascii="Times New Roman" w:hAnsi="Times New Roman" w:eastAsia="仿宋_GB2312"/>
          <w:color w:val="auto"/>
          <w:sz w:val="32"/>
          <w:szCs w:val="32"/>
          <w:lang w:val="zh-CN" w:eastAsia="zh-CN"/>
        </w:rPr>
        <w:t>预算数0.00万元，决算数0.00万元，预决算差异率0.00%，主要原因是：我单位无公务接待费。</w:t>
      </w:r>
    </w:p>
    <w:p w14:paraId="5868F21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18" w:name="_Toc7927"/>
      <w:bookmarkEnd w:id="18"/>
      <w:bookmarkStart w:id="19" w:name="_Toc5810"/>
      <w:bookmarkEnd w:id="19"/>
      <w:r>
        <w:rPr>
          <w:rFonts w:hint="eastAsia" w:ascii="Times New Roman" w:hAnsi="Times New Roman" w:eastAsia="黑体" w:cs="宋体"/>
          <w:bCs/>
          <w:color w:val="auto"/>
          <w:kern w:val="0"/>
          <w:sz w:val="32"/>
          <w:szCs w:val="32"/>
          <w:lang w:val="en-US" w:eastAsia="zh-CN"/>
        </w:rPr>
        <w:t>八</w:t>
      </w:r>
      <w:r>
        <w:rPr>
          <w:rFonts w:hint="eastAsia" w:ascii="Times New Roman" w:hAnsi="Times New Roman" w:eastAsia="黑体" w:cs="宋体"/>
          <w:bCs/>
          <w:color w:val="auto"/>
          <w:kern w:val="0"/>
          <w:sz w:val="32"/>
          <w:szCs w:val="32"/>
          <w:lang w:eastAsia="zh-CN"/>
        </w:rPr>
        <w:t>、政府性基金预算财政拨款收入支出决算情况说明</w:t>
      </w:r>
    </w:p>
    <w:p w14:paraId="65B15D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pacing w:val="0"/>
          <w:sz w:val="32"/>
          <w:szCs w:val="32"/>
          <w:lang w:eastAsia="zh-CN"/>
        </w:rPr>
      </w:pPr>
      <w:r>
        <w:rPr>
          <w:rFonts w:hint="eastAsia" w:ascii="Times New Roman" w:hAnsi="Times New Roman" w:eastAsia="仿宋_GB2312"/>
          <w:color w:val="auto"/>
          <w:sz w:val="32"/>
          <w:szCs w:val="32"/>
          <w:lang w:eastAsia="zh-CN"/>
        </w:rPr>
        <w:t>我</w:t>
      </w:r>
      <w:r>
        <w:rPr>
          <w:rFonts w:hint="eastAsia" w:ascii="Times New Roman" w:hAnsi="Times New Roman" w:eastAsia="仿宋_GB2312"/>
          <w:color w:val="auto"/>
          <w:sz w:val="32"/>
          <w:szCs w:val="32"/>
          <w:lang w:val="en-US" w:eastAsia="zh-CN"/>
        </w:rPr>
        <w:t>单位</w:t>
      </w:r>
      <w:r>
        <w:rPr>
          <w:rFonts w:hint="eastAsia" w:ascii="Times New Roman" w:hAnsi="Times New Roman" w:eastAsia="仿宋_GB2312"/>
          <w:color w:val="auto"/>
          <w:sz w:val="32"/>
          <w:szCs w:val="32"/>
          <w:lang w:eastAsia="zh-CN"/>
        </w:rPr>
        <w:t>本年度无政府性基金预算财政拨款收入、支出</w:t>
      </w:r>
      <w:r>
        <w:rPr>
          <w:rFonts w:hint="eastAsia" w:ascii="Times New Roman" w:hAnsi="Times New Roman" w:eastAsia="仿宋_GB2312"/>
          <w:color w:val="auto"/>
          <w:sz w:val="32"/>
          <w:szCs w:val="32"/>
          <w:lang w:val="en-US" w:eastAsia="zh-CN"/>
        </w:rPr>
        <w:t>及结转和结余</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政府性基金预算财政拨款收入支出决算表为空表。</w:t>
      </w:r>
    </w:p>
    <w:p w14:paraId="3F7835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r>
        <w:rPr>
          <w:rFonts w:hint="eastAsia" w:ascii="Times New Roman" w:hAnsi="Times New Roman" w:eastAsia="黑体" w:cs="宋体"/>
          <w:bCs/>
          <w:color w:val="auto"/>
          <w:kern w:val="0"/>
          <w:sz w:val="32"/>
          <w:szCs w:val="32"/>
          <w:lang w:val="en-US" w:eastAsia="zh-CN"/>
        </w:rPr>
        <w:t>九</w:t>
      </w:r>
      <w:r>
        <w:rPr>
          <w:rFonts w:hint="eastAsia" w:ascii="Times New Roman" w:hAnsi="Times New Roman" w:eastAsia="黑体" w:cs="宋体"/>
          <w:bCs/>
          <w:color w:val="auto"/>
          <w:kern w:val="0"/>
          <w:sz w:val="32"/>
          <w:szCs w:val="32"/>
          <w:lang w:eastAsia="zh-CN"/>
        </w:rPr>
        <w:t>、国有资本经营预算财政拨款收入支出决算情况说明</w:t>
      </w:r>
    </w:p>
    <w:p w14:paraId="09276E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olor w:val="auto"/>
          <w:sz w:val="32"/>
          <w:szCs w:val="32"/>
          <w:lang w:eastAsia="zh-CN"/>
        </w:rPr>
      </w:pPr>
      <w:r>
        <w:rPr>
          <w:rFonts w:hint="eastAsia" w:ascii="Times New Roman" w:hAnsi="Times New Roman" w:eastAsia="仿宋_GB2312"/>
          <w:color w:val="auto"/>
          <w:sz w:val="32"/>
          <w:szCs w:val="32"/>
          <w:lang w:eastAsia="zh-CN"/>
        </w:rPr>
        <w:t>我</w:t>
      </w:r>
      <w:r>
        <w:rPr>
          <w:rFonts w:hint="eastAsia" w:ascii="Times New Roman" w:hAnsi="Times New Roman" w:eastAsia="仿宋_GB2312"/>
          <w:color w:val="auto"/>
          <w:sz w:val="32"/>
          <w:szCs w:val="32"/>
          <w:lang w:val="en-US" w:eastAsia="zh-CN"/>
        </w:rPr>
        <w:t>单位</w:t>
      </w:r>
      <w:r>
        <w:rPr>
          <w:rFonts w:hint="eastAsia" w:ascii="Times New Roman" w:hAnsi="Times New Roman" w:eastAsia="仿宋_GB2312"/>
          <w:color w:val="auto"/>
          <w:sz w:val="32"/>
          <w:szCs w:val="32"/>
          <w:lang w:eastAsia="zh-CN"/>
        </w:rPr>
        <w:t>本年度无国有资本经营预算财政拨款收入、支出</w:t>
      </w:r>
      <w:r>
        <w:rPr>
          <w:rFonts w:hint="eastAsia" w:ascii="Times New Roman" w:hAnsi="Times New Roman" w:eastAsia="仿宋_GB2312"/>
          <w:color w:val="auto"/>
          <w:sz w:val="32"/>
          <w:szCs w:val="32"/>
          <w:lang w:val="en-US" w:eastAsia="zh-CN"/>
        </w:rPr>
        <w:t>及结转和结余</w:t>
      </w:r>
      <w:r>
        <w:rPr>
          <w:rFonts w:hint="eastAsia" w:ascii="Times New Roman" w:hAnsi="Times New Roman" w:eastAsia="仿宋_GB2312"/>
          <w:color w:val="auto"/>
          <w:sz w:val="32"/>
          <w:szCs w:val="32"/>
          <w:lang w:eastAsia="zh-CN"/>
        </w:rPr>
        <w:t>，国有资本经营</w:t>
      </w:r>
      <w:r>
        <w:rPr>
          <w:rFonts w:hint="eastAsia" w:ascii="Times New Roman" w:hAnsi="Times New Roman" w:eastAsia="仿宋_GB2312"/>
          <w:color w:val="auto"/>
          <w:sz w:val="32"/>
          <w:szCs w:val="32"/>
        </w:rPr>
        <w:t>预算财政拨款收入支出决算表为空表。</w:t>
      </w:r>
    </w:p>
    <w:p w14:paraId="2C58752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20" w:name="_Toc1235"/>
      <w:bookmarkEnd w:id="20"/>
      <w:bookmarkStart w:id="21" w:name="_Toc7314"/>
      <w:bookmarkEnd w:id="21"/>
      <w:r>
        <w:rPr>
          <w:rFonts w:hint="eastAsia" w:ascii="Times New Roman" w:hAnsi="Times New Roman" w:eastAsia="黑体" w:cs="宋体"/>
          <w:bCs/>
          <w:color w:val="auto"/>
          <w:kern w:val="0"/>
          <w:sz w:val="32"/>
          <w:szCs w:val="32"/>
          <w:lang w:eastAsia="zh-CN"/>
        </w:rPr>
        <w:t>十</w:t>
      </w:r>
      <w:r>
        <w:rPr>
          <w:rFonts w:hint="eastAsia" w:ascii="Times New Roman" w:hAnsi="Times New Roman" w:eastAsia="黑体" w:cs="宋体"/>
          <w:bCs/>
          <w:color w:val="auto"/>
          <w:kern w:val="0"/>
          <w:sz w:val="32"/>
          <w:szCs w:val="32"/>
        </w:rPr>
        <w:t>、其他重要事项的情况</w:t>
      </w:r>
      <w:r>
        <w:rPr>
          <w:rFonts w:hint="eastAsia" w:ascii="Times New Roman" w:hAnsi="Times New Roman" w:eastAsia="黑体" w:cs="宋体"/>
          <w:bCs/>
          <w:color w:val="auto"/>
          <w:kern w:val="0"/>
          <w:sz w:val="32"/>
          <w:szCs w:val="32"/>
          <w:lang w:eastAsia="zh-CN"/>
        </w:rPr>
        <w:t>说明</w:t>
      </w:r>
    </w:p>
    <w:p w14:paraId="3E155B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2"/>
        <w:rPr>
          <w:rFonts w:hint="eastAsia" w:ascii="Times New Roman" w:hAnsi="Times New Roman" w:eastAsia="黑体"/>
          <w:color w:val="auto"/>
          <w:sz w:val="32"/>
          <w:szCs w:val="32"/>
        </w:rPr>
      </w:pPr>
      <w:bookmarkStart w:id="22" w:name="_Toc13105"/>
      <w:bookmarkEnd w:id="22"/>
      <w:bookmarkStart w:id="23" w:name="_Toc14519"/>
      <w:bookmarkEnd w:id="23"/>
      <w:r>
        <w:rPr>
          <w:rFonts w:hint="eastAsia" w:ascii="Times New Roman" w:hAnsi="Times New Roman" w:eastAsia="黑体"/>
          <w:color w:val="auto"/>
          <w:sz w:val="32"/>
          <w:szCs w:val="32"/>
          <w:lang w:eastAsia="zh-CN"/>
        </w:rPr>
        <w:t>（一）</w:t>
      </w:r>
      <w:r>
        <w:rPr>
          <w:rFonts w:hint="eastAsia" w:ascii="Times New Roman" w:hAnsi="Times New Roman" w:eastAsia="黑体"/>
          <w:color w:val="auto"/>
          <w:sz w:val="32"/>
          <w:szCs w:val="32"/>
        </w:rPr>
        <w:t>机关运行经费支出情况</w:t>
      </w:r>
    </w:p>
    <w:p w14:paraId="1B6F0D5E">
      <w:pPr>
        <w:keepNext w:val="0"/>
        <w:keepLines w:val="0"/>
        <w:widowControl/>
        <w:suppressLineNumbers w:val="0"/>
        <w:ind w:firstLine="640" w:firstLineChars="200"/>
        <w:jc w:val="both"/>
        <w:rPr>
          <w:rFonts w:hint="eastAsia" w:ascii="Times New Roman" w:hAnsi="Times New Roman" w:eastAsia="仿宋_GB2312" w:cs="Times New Roman"/>
          <w:color w:val="0000FF"/>
          <w:sz w:val="32"/>
          <w:szCs w:val="32"/>
          <w:lang w:val="zh-CN" w:eastAsia="zh-CN"/>
        </w:rPr>
      </w:pPr>
      <w:bookmarkStart w:id="24" w:name="_Toc227"/>
      <w:bookmarkStart w:id="25" w:name="_Toc26704"/>
      <w:r>
        <w:rPr>
          <w:rFonts w:hint="eastAsia" w:ascii="Times New Roman" w:hAnsi="Times New Roman" w:eastAsia="仿宋_GB2312" w:cs="Times New Roman"/>
          <w:color w:val="auto"/>
          <w:sz w:val="32"/>
          <w:lang w:val="en-US" w:eastAsia="zh-CN"/>
        </w:rPr>
        <w:t>2023年度新疆维吾尔</w:t>
      </w:r>
      <w:r>
        <w:rPr>
          <w:rFonts w:hint="eastAsia" w:ascii="Times New Roman" w:hAnsi="Times New Roman" w:eastAsia="仿宋_GB2312" w:cs="Times New Roman"/>
          <w:color w:val="auto"/>
          <w:sz w:val="32"/>
          <w:szCs w:val="32"/>
          <w:lang w:val="en-US" w:eastAsia="zh-CN"/>
        </w:rPr>
        <w:t>自治区地质矿产勘查开发局地球物理化学探矿大队</w:t>
      </w:r>
      <w:r>
        <w:rPr>
          <w:rFonts w:hint="eastAsia" w:ascii="Times New Roman" w:hAnsi="Times New Roman" w:eastAsia="仿宋_GB2312" w:cs="Times New Roman"/>
          <w:color w:val="auto"/>
          <w:sz w:val="32"/>
          <w:lang w:val="zh-CN" w:eastAsia="zh-CN"/>
        </w:rPr>
        <w:t>（事业单位）公用经费支出31.31万元，比上年减少81.29万元，下降72.19%，主要原因是</w:t>
      </w:r>
      <w:r>
        <w:rPr>
          <w:rFonts w:hint="eastAsia" w:ascii="Times New Roman" w:hAnsi="Times New Roman" w:eastAsia="仿宋_GB2312" w:cs="Times New Roman"/>
          <w:color w:val="0000FF"/>
          <w:sz w:val="32"/>
          <w:szCs w:val="32"/>
          <w:lang w:val="en-US" w:eastAsia="zh-CN"/>
        </w:rPr>
        <w:t>：</w:t>
      </w:r>
      <w:r>
        <w:rPr>
          <w:rFonts w:hint="eastAsia" w:ascii="Times New Roman" w:hAnsi="Times New Roman" w:eastAsia="仿宋_GB2312" w:cs="Times New Roman"/>
          <w:color w:val="auto"/>
          <w:sz w:val="32"/>
          <w:szCs w:val="32"/>
          <w:lang w:val="en-US" w:eastAsia="zh-CN"/>
        </w:rPr>
        <w:t>本年</w:t>
      </w:r>
      <w:r>
        <w:rPr>
          <w:rFonts w:hint="eastAsia" w:eastAsia="仿宋_GB2312" w:cs="Times New Roman"/>
          <w:color w:val="auto"/>
          <w:sz w:val="32"/>
          <w:szCs w:val="32"/>
          <w:lang w:val="en-US" w:eastAsia="zh-CN"/>
        </w:rPr>
        <w:t>未在基本支出中安排</w:t>
      </w:r>
      <w:r>
        <w:rPr>
          <w:rFonts w:hint="eastAsia" w:ascii="Times New Roman" w:hAnsi="Times New Roman" w:eastAsia="仿宋_GB2312" w:cs="Times New Roman"/>
          <w:color w:val="auto"/>
          <w:sz w:val="32"/>
          <w:szCs w:val="32"/>
          <w:lang w:val="en-US" w:eastAsia="zh-CN"/>
        </w:rPr>
        <w:t>取暖费及专用材料费。</w:t>
      </w:r>
    </w:p>
    <w:bookmarkEnd w:id="24"/>
    <w:bookmarkEnd w:id="25"/>
    <w:p w14:paraId="41E63A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rPr>
          <w:rFonts w:hint="eastAsia" w:ascii="Times New Roman" w:hAnsi="Times New Roman" w:eastAsia="黑体" w:cs="Times New Roman"/>
          <w:color w:val="auto"/>
          <w:sz w:val="32"/>
          <w:szCs w:val="30"/>
          <w:lang w:val="zh-CN" w:eastAsia="zh-CN"/>
        </w:rPr>
      </w:pPr>
      <w:r>
        <w:rPr>
          <w:rFonts w:hint="eastAsia" w:ascii="Times New Roman" w:hAnsi="Times New Roman" w:eastAsia="黑体" w:cs="Times New Roman"/>
          <w:color w:val="auto"/>
          <w:sz w:val="32"/>
          <w:szCs w:val="30"/>
          <w:lang w:val="zh-CN" w:eastAsia="zh-CN"/>
        </w:rPr>
        <w:t>（二）政府采购情况</w:t>
      </w:r>
    </w:p>
    <w:p w14:paraId="50BE44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s="Times New Roman"/>
          <w:color w:val="auto"/>
          <w:sz w:val="32"/>
          <w:szCs w:val="32"/>
          <w:lang w:val="zh-CN"/>
        </w:rPr>
      </w:pPr>
      <w:r>
        <w:rPr>
          <w:rFonts w:hint="eastAsia" w:ascii="Times New Roman" w:hAnsi="Times New Roman" w:eastAsia="仿宋_GB2312" w:cs="Times New Roman"/>
          <w:color w:val="auto"/>
          <w:sz w:val="32"/>
          <w:szCs w:val="32"/>
          <w:lang w:val="zh-CN" w:eastAsia="zh-CN"/>
        </w:rPr>
        <w:t>2023年度</w:t>
      </w:r>
      <w:r>
        <w:rPr>
          <w:rFonts w:hint="eastAsia" w:ascii="Times New Roman" w:hAnsi="Times New Roman" w:eastAsia="仿宋_GB2312" w:cs="Times New Roman"/>
          <w:color w:val="auto"/>
          <w:sz w:val="32"/>
          <w:szCs w:val="32"/>
          <w:lang w:val="zh-CN"/>
        </w:rPr>
        <w:t>政府采购支出总额</w:t>
      </w:r>
      <w:r>
        <w:rPr>
          <w:rFonts w:hint="eastAsia" w:ascii="Times New Roman" w:hAnsi="Times New Roman" w:eastAsia="仿宋_GB2312" w:cs="Times New Roman"/>
          <w:color w:val="auto"/>
          <w:sz w:val="32"/>
          <w:szCs w:val="32"/>
          <w:lang w:val="zh-CN" w:eastAsia="zh-CN"/>
        </w:rPr>
        <w:t>248.54万元</w:t>
      </w:r>
      <w:r>
        <w:rPr>
          <w:rFonts w:hint="eastAsia" w:ascii="Times New Roman" w:hAnsi="Times New Roman" w:eastAsia="仿宋_GB2312" w:cs="Times New Roman"/>
          <w:color w:val="auto"/>
          <w:sz w:val="32"/>
          <w:szCs w:val="32"/>
          <w:lang w:val="zh-CN"/>
        </w:rPr>
        <w:t>，</w:t>
      </w:r>
      <w:r>
        <w:rPr>
          <w:rFonts w:hint="eastAsia" w:ascii="Times New Roman" w:hAnsi="Times New Roman" w:eastAsia="仿宋_GB2312" w:cs="Times New Roman"/>
          <w:color w:val="auto"/>
          <w:sz w:val="32"/>
          <w:szCs w:val="32"/>
          <w:lang w:val="zh-CN" w:eastAsia="zh-CN"/>
        </w:rPr>
        <w:t>其中：政府采购货物支出245.35万元、政府采购工程支出0.00万元、政府采购服务支出3.19万元。</w:t>
      </w:r>
    </w:p>
    <w:p w14:paraId="4D83A8E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zh-CN" w:eastAsia="zh-CN"/>
        </w:rPr>
        <w:t>授予中小企业合同金额245.38万元，占政府采购支出总额的98.73</w:t>
      </w:r>
      <w:r>
        <w:rPr>
          <w:rFonts w:hint="default"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zh-CN" w:eastAsia="zh-CN"/>
        </w:rPr>
        <w:t>，其中：授予小微企业合同金额245.38万元，占政府采购支出总额的98.73</w:t>
      </w:r>
      <w:r>
        <w:rPr>
          <w:rFonts w:hint="default"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en-US" w:eastAsia="zh-CN"/>
        </w:rPr>
        <w:t>。</w:t>
      </w:r>
    </w:p>
    <w:p w14:paraId="3E9130E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rPr>
          <w:rFonts w:hint="eastAsia" w:ascii="Times New Roman" w:hAnsi="Times New Roman" w:eastAsia="黑体" w:cs="Times New Roman"/>
          <w:color w:val="auto"/>
          <w:sz w:val="32"/>
          <w:szCs w:val="30"/>
          <w:lang w:val="zh-CN" w:eastAsia="zh-CN"/>
        </w:rPr>
      </w:pPr>
      <w:bookmarkStart w:id="26" w:name="_Toc4591"/>
      <w:bookmarkEnd w:id="26"/>
      <w:bookmarkStart w:id="27" w:name="_Toc8391"/>
      <w:bookmarkEnd w:id="27"/>
      <w:r>
        <w:rPr>
          <w:rFonts w:hint="eastAsia" w:ascii="Times New Roman" w:hAnsi="Times New Roman" w:eastAsia="黑体" w:cs="Times New Roman"/>
          <w:color w:val="auto"/>
          <w:sz w:val="32"/>
          <w:szCs w:val="30"/>
          <w:lang w:val="zh-CN" w:eastAsia="zh-CN"/>
        </w:rPr>
        <w:t>（三）国有资产占用情况说明</w:t>
      </w:r>
    </w:p>
    <w:p w14:paraId="5EB08A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rPr>
          <w:rFonts w:hint="eastAsia" w:ascii="Times New Roman" w:hAnsi="Times New Roman" w:eastAsia="仿宋_GB2312" w:cs="Times New Roman"/>
          <w:color w:val="auto"/>
          <w:sz w:val="32"/>
          <w:szCs w:val="32"/>
          <w:lang w:val="zh-CN" w:eastAsia="zh-CN"/>
        </w:rPr>
      </w:pPr>
      <w:r>
        <w:rPr>
          <w:rFonts w:hint="eastAsia" w:ascii="Times New Roman" w:hAnsi="Times New Roman" w:eastAsia="仿宋_GB2312" w:cs="Times New Roman"/>
          <w:color w:val="auto"/>
          <w:sz w:val="32"/>
          <w:szCs w:val="32"/>
          <w:lang w:val="en-US" w:eastAsia="zh-CN"/>
        </w:rPr>
        <w:t>截至2023</w:t>
      </w:r>
      <w:r>
        <w:rPr>
          <w:rFonts w:hint="eastAsia" w:ascii="Times New Roman" w:hAnsi="Times New Roman" w:eastAsia="仿宋_GB2312" w:cs="Times New Roman"/>
          <w:color w:val="auto"/>
          <w:sz w:val="32"/>
          <w:szCs w:val="32"/>
          <w:lang w:val="zh-CN" w:eastAsia="zh-CN"/>
        </w:rPr>
        <w:t>年</w:t>
      </w:r>
      <w:r>
        <w:rPr>
          <w:rFonts w:hint="eastAsia" w:ascii="Times New Roman" w:hAnsi="Times New Roman" w:eastAsia="仿宋_GB2312" w:cs="Times New Roman"/>
          <w:color w:val="auto"/>
          <w:sz w:val="32"/>
          <w:szCs w:val="32"/>
          <w:lang w:val="en-US" w:eastAsia="zh-CN"/>
        </w:rPr>
        <w:t>12月31日</w:t>
      </w:r>
      <w:r>
        <w:rPr>
          <w:rFonts w:hint="eastAsia" w:ascii="Times New Roman" w:hAnsi="Times New Roman" w:eastAsia="仿宋_GB2312" w:cs="Times New Roman"/>
          <w:color w:val="auto"/>
          <w:sz w:val="32"/>
          <w:szCs w:val="32"/>
          <w:lang w:val="zh-CN" w:eastAsia="zh-CN"/>
        </w:rPr>
        <w:t>，</w:t>
      </w:r>
      <w:r>
        <w:rPr>
          <w:rFonts w:hint="eastAsia" w:ascii="Times New Roman" w:hAnsi="Times New Roman" w:eastAsia="仿宋_GB2312" w:cs="Times New Roman"/>
          <w:color w:val="auto"/>
          <w:sz w:val="32"/>
          <w:szCs w:val="32"/>
          <w:lang w:val="en-US" w:eastAsia="zh-CN"/>
        </w:rPr>
        <w:t>固定资产原值</w:t>
      </w:r>
      <w:r>
        <w:rPr>
          <w:rFonts w:hint="eastAsia" w:ascii="Times New Roman" w:hAnsi="Times New Roman" w:eastAsia="仿宋_GB2312" w:cs="Times New Roman"/>
          <w:color w:val="auto"/>
          <w:sz w:val="32"/>
          <w:szCs w:val="32"/>
          <w:lang w:val="zh-CN" w:eastAsia="zh-CN"/>
        </w:rPr>
        <w:t>8,401.94</w:t>
      </w:r>
      <w:r>
        <w:rPr>
          <w:rFonts w:hint="eastAsia" w:ascii="Times New Roman" w:hAnsi="Times New Roman" w:eastAsia="仿宋_GB2312" w:cs="Times New Roman"/>
          <w:color w:val="auto"/>
          <w:sz w:val="32"/>
          <w:szCs w:val="32"/>
          <w:lang w:val="en-US" w:eastAsia="zh-CN"/>
        </w:rPr>
        <w:t>万元，房</w:t>
      </w:r>
      <w:r>
        <w:rPr>
          <w:rFonts w:hint="eastAsia" w:ascii="Times New Roman" w:hAnsi="Times New Roman" w:eastAsia="仿宋_GB2312" w:cs="Times New Roman"/>
          <w:color w:val="auto"/>
          <w:sz w:val="32"/>
          <w:szCs w:val="32"/>
          <w:lang w:val="zh-CN" w:eastAsia="zh-CN"/>
        </w:rPr>
        <w:t>屋15,936.22平方米，价值2,903.74万元。车辆24辆，价值564.29万元，其中：副部（省）级及以上领导用车0辆、主要</w:t>
      </w:r>
      <w:r>
        <w:rPr>
          <w:rFonts w:hint="eastAsia" w:ascii="Times New Roman" w:hAnsi="Times New Roman" w:eastAsia="仿宋_GB2312" w:cs="Times New Roman"/>
          <w:color w:val="auto"/>
          <w:sz w:val="32"/>
          <w:szCs w:val="32"/>
          <w:lang w:val="en-US" w:eastAsia="zh-CN"/>
        </w:rPr>
        <w:t>负责人</w:t>
      </w:r>
      <w:r>
        <w:rPr>
          <w:rFonts w:hint="eastAsia" w:ascii="Times New Roman" w:hAnsi="Times New Roman" w:eastAsia="仿宋_GB2312" w:cs="Times New Roman"/>
          <w:color w:val="auto"/>
          <w:sz w:val="32"/>
          <w:szCs w:val="32"/>
          <w:lang w:val="zh-CN" w:eastAsia="zh-CN"/>
        </w:rPr>
        <w:t>用车0辆、机要通信用车0辆、应急保障用车0辆、执法执勤用车0辆、特种专业技术用车14辆、离退休干部</w:t>
      </w:r>
      <w:r>
        <w:rPr>
          <w:rFonts w:hint="eastAsia" w:ascii="Times New Roman" w:hAnsi="Times New Roman" w:eastAsia="仿宋_GB2312" w:cs="Times New Roman"/>
          <w:color w:val="auto"/>
          <w:sz w:val="32"/>
          <w:szCs w:val="32"/>
          <w:lang w:val="en-US" w:eastAsia="zh-CN"/>
        </w:rPr>
        <w:t>服务</w:t>
      </w:r>
      <w:r>
        <w:rPr>
          <w:rFonts w:hint="eastAsia" w:ascii="Times New Roman" w:hAnsi="Times New Roman" w:eastAsia="仿宋_GB2312" w:cs="Times New Roman"/>
          <w:color w:val="auto"/>
          <w:sz w:val="32"/>
          <w:szCs w:val="32"/>
          <w:lang w:val="zh-CN" w:eastAsia="zh-CN"/>
        </w:rPr>
        <w:t>用车0辆、其他用车10辆，其他用车主要是：用于</w:t>
      </w:r>
      <w:r>
        <w:rPr>
          <w:rFonts w:hint="eastAsia" w:ascii="Times New Roman" w:hAnsi="Times New Roman" w:eastAsia="仿宋_GB2312" w:cs="Times New Roman"/>
          <w:color w:val="auto"/>
          <w:sz w:val="32"/>
          <w:szCs w:val="32"/>
          <w:lang w:val="en-US" w:eastAsia="zh-CN"/>
        </w:rPr>
        <w:t>野外工作</w:t>
      </w:r>
      <w:r>
        <w:rPr>
          <w:rFonts w:hint="eastAsia" w:ascii="Times New Roman" w:hAnsi="Times New Roman" w:eastAsia="仿宋_GB2312" w:cs="Times New Roman"/>
          <w:color w:val="auto"/>
          <w:sz w:val="32"/>
          <w:szCs w:val="32"/>
          <w:lang w:val="zh-CN" w:eastAsia="zh-CN"/>
        </w:rPr>
        <w:t>使用；单价100万元（含）以上设备（不含车辆）13</w:t>
      </w:r>
      <w:r>
        <w:rPr>
          <w:rFonts w:hint="eastAsia" w:ascii="Times New Roman" w:hAnsi="Times New Roman" w:eastAsia="仿宋_GB2312" w:cs="Times New Roman"/>
          <w:color w:val="auto"/>
          <w:sz w:val="32"/>
          <w:szCs w:val="32"/>
          <w:lang w:val="en-US" w:eastAsia="zh-CN"/>
        </w:rPr>
        <w:t>台（</w:t>
      </w:r>
      <w:r>
        <w:rPr>
          <w:rFonts w:hint="eastAsia" w:ascii="Times New Roman" w:hAnsi="Times New Roman" w:eastAsia="仿宋_GB2312" w:cs="Times New Roman"/>
          <w:color w:val="auto"/>
          <w:sz w:val="32"/>
          <w:szCs w:val="32"/>
          <w:lang w:val="zh-CN" w:eastAsia="zh-CN"/>
        </w:rPr>
        <w:t>套）。</w:t>
      </w:r>
    </w:p>
    <w:p w14:paraId="53FE2A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outlineLvl w:val="1"/>
        <w:rPr>
          <w:rFonts w:hint="eastAsia" w:ascii="Times New Roman" w:hAnsi="Times New Roman" w:eastAsia="黑体" w:cs="宋体"/>
          <w:bCs/>
          <w:color w:val="auto"/>
          <w:kern w:val="0"/>
          <w:sz w:val="32"/>
          <w:szCs w:val="32"/>
          <w:lang w:eastAsia="zh-CN"/>
        </w:rPr>
      </w:pPr>
      <w:bookmarkStart w:id="28" w:name="_Toc11283"/>
      <w:bookmarkEnd w:id="28"/>
      <w:bookmarkStart w:id="29" w:name="_Toc435"/>
      <w:bookmarkEnd w:id="29"/>
      <w:r>
        <w:rPr>
          <w:rFonts w:hint="eastAsia" w:ascii="Times New Roman" w:hAnsi="Times New Roman" w:eastAsia="黑体" w:cs="宋体"/>
          <w:bCs/>
          <w:color w:val="auto"/>
          <w:kern w:val="0"/>
          <w:sz w:val="32"/>
          <w:szCs w:val="32"/>
          <w:lang w:eastAsia="zh-CN"/>
        </w:rPr>
        <w:t>十</w:t>
      </w:r>
      <w:r>
        <w:rPr>
          <w:rFonts w:hint="eastAsia" w:ascii="Times New Roman" w:hAnsi="Times New Roman" w:eastAsia="黑体" w:cs="宋体"/>
          <w:bCs/>
          <w:color w:val="auto"/>
          <w:kern w:val="0"/>
          <w:sz w:val="32"/>
          <w:szCs w:val="32"/>
          <w:lang w:val="en-US" w:eastAsia="zh-CN"/>
        </w:rPr>
        <w:t>一</w:t>
      </w:r>
      <w:r>
        <w:rPr>
          <w:rFonts w:hint="eastAsia" w:ascii="Times New Roman" w:hAnsi="Times New Roman" w:eastAsia="黑体" w:cs="宋体"/>
          <w:bCs/>
          <w:color w:val="auto"/>
          <w:kern w:val="0"/>
          <w:sz w:val="32"/>
          <w:szCs w:val="32"/>
          <w:lang w:eastAsia="zh-CN"/>
        </w:rPr>
        <w:t>、预算绩效的情况说明</w:t>
      </w:r>
    </w:p>
    <w:p w14:paraId="4C6E8165">
      <w:pPr>
        <w:keepNext w:val="0"/>
        <w:keepLines w:val="0"/>
        <w:pageBreakBefore w:val="0"/>
        <w:widowControl w:val="0"/>
        <w:kinsoku/>
        <w:wordWrap/>
        <w:overflowPunct/>
        <w:topLinePunct w:val="0"/>
        <w:bidi w:val="0"/>
        <w:adjustRightInd/>
        <w:snapToGrid/>
        <w:spacing w:line="240" w:lineRule="auto"/>
        <w:ind w:firstLine="640" w:firstLineChars="200"/>
        <w:jc w:val="both"/>
        <w:rPr>
          <w:rFonts w:hint="eastAsia" w:ascii="Times New Roman" w:hAnsi="Times New Roman" w:eastAsia="仿宋_GB2312" w:cs="仿宋_GB2312"/>
          <w:b/>
          <w:bCs/>
          <w:color w:val="auto"/>
          <w:kern w:val="0"/>
          <w:sz w:val="32"/>
          <w:szCs w:val="32"/>
          <w:lang w:val="en-US" w:eastAsia="zh-Hans"/>
        </w:rPr>
      </w:pPr>
      <w:r>
        <w:rPr>
          <w:rFonts w:hint="eastAsia" w:ascii="Times New Roman" w:hAnsi="Times New Roman" w:eastAsia="仿宋_GB2312"/>
          <w:color w:val="auto"/>
          <w:sz w:val="32"/>
          <w:szCs w:val="32"/>
          <w:lang w:eastAsia="zh-CN"/>
        </w:rPr>
        <w:t>根据预算绩效管理要求，我单位2023年整体绩效自评表0个，全年预算总额0万元，实际执行0万元。我单位整体支出绩效自评表由主管部门编报并公开。预算绩效评价项目</w:t>
      </w:r>
      <w:r>
        <w:rPr>
          <w:rFonts w:hint="eastAsia" w:ascii="Times New Roman" w:hAnsi="Times New Roman" w:eastAsia="仿宋_GB2312"/>
          <w:color w:val="auto"/>
          <w:sz w:val="32"/>
          <w:szCs w:val="32"/>
          <w:lang w:val="en-US" w:eastAsia="zh-CN"/>
        </w:rPr>
        <w:t>11</w:t>
      </w:r>
      <w:r>
        <w:rPr>
          <w:rFonts w:hint="eastAsia" w:ascii="Times New Roman" w:hAnsi="Times New Roman" w:eastAsia="仿宋_GB2312"/>
          <w:color w:val="auto"/>
          <w:sz w:val="32"/>
          <w:szCs w:val="32"/>
          <w:lang w:eastAsia="zh-CN"/>
        </w:rPr>
        <w:t>个，</w:t>
      </w:r>
      <w:r>
        <w:rPr>
          <w:rFonts w:hint="eastAsia" w:ascii="Times New Roman" w:hAnsi="Times New Roman" w:eastAsia="仿宋_GB2312"/>
          <w:color w:val="auto"/>
          <w:sz w:val="32"/>
          <w:szCs w:val="32"/>
          <w:lang w:val="en-US" w:eastAsia="zh-CN"/>
        </w:rPr>
        <w:t>全年预算数1647.96</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全年执行数1642.09</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其中</w:t>
      </w:r>
      <w:r>
        <w:rPr>
          <w:rFonts w:hint="eastAsia" w:eastAsia="仿宋_GB2312"/>
          <w:color w:val="auto"/>
          <w:sz w:val="32"/>
          <w:szCs w:val="32"/>
          <w:lang w:val="en-US" w:eastAsia="zh-CN"/>
        </w:rPr>
        <w:t>sm</w:t>
      </w:r>
      <w:r>
        <w:rPr>
          <w:rFonts w:hint="eastAsia" w:ascii="Times New Roman" w:hAnsi="Times New Roman" w:eastAsia="仿宋_GB2312"/>
          <w:color w:val="auto"/>
          <w:sz w:val="32"/>
          <w:szCs w:val="32"/>
          <w:lang w:val="en-US" w:eastAsia="zh-CN"/>
        </w:rPr>
        <w:t>项目1个，全年预算数18.00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全年执行数17.38</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预算绩效管理取得的成效：一是加强政府采购资金管理，建立、健全政府采购资金管理制度，严格资金核算管理，完善内部监督制约机制，确保采购资金专款专用；二是采购过程中严格执行资产配备标准，避免无预算采购、重复购置、盲目购置等浪费行为，在与相关技术人员进行充分调研后，在保证设备性能及质量的前提下，优选价格较低的供应商进行采购，在保证设备参数与质量的前提下，严格按照政府采购管理流程，通过“一站式政府采购云服务平台”进行采购。发现的问题及原因：一是由于采购的设备价格预算和实际支出存在差距，绩效指标设置欠合理；二是委托招标采购部门集中采购范围内的设备，整个采购时间较长，影响采购效率。下一步改进措施：一是加强项目预算执行的准确性，同时分析手段和技术水平也有待完善，应加强与财政部门的紧密配合，开展好预算的绩效管理工作，运用好绩效评价结果，不断提升预算管理水平；二是严格资产配置标准，我单位政府采购资金使用事业单位经营收入，合理编制年度预算，严格执行局政府采购申报规定要求，避免无预算采购、多次采购、盲目采购等行为；科学合理编制预算，对全年各项工作综合分析考虑，充分做好市场调研，避免出现预算与实际金额差距过大的现象发生，不断提高绩效管理效率。具体</w:t>
      </w:r>
      <w:r>
        <w:rPr>
          <w:rFonts w:hint="eastAsia" w:ascii="Times New Roman" w:hAnsi="Times New Roman" w:eastAsia="仿宋_GB2312"/>
          <w:color w:val="auto"/>
          <w:sz w:val="32"/>
          <w:szCs w:val="32"/>
        </w:rPr>
        <w:t>项目自评情况附绩效自评表</w:t>
      </w:r>
      <w:r>
        <w:rPr>
          <w:rFonts w:hint="eastAsia" w:ascii="Times New Roman" w:hAnsi="Times New Roman" w:eastAsia="仿宋_GB2312"/>
          <w:color w:val="auto"/>
          <w:sz w:val="32"/>
          <w:szCs w:val="32"/>
          <w:lang w:val="en-US" w:eastAsia="zh-CN"/>
        </w:rPr>
        <w:t>及自评报告</w:t>
      </w:r>
      <w:r>
        <w:rPr>
          <w:rFonts w:hint="eastAsia" w:ascii="Times New Roman" w:hAnsi="Times New Roman" w:eastAsia="仿宋_GB2312"/>
          <w:color w:val="auto"/>
          <w:sz w:val="32"/>
          <w:szCs w:val="32"/>
        </w:rPr>
        <w:t>。</w:t>
      </w:r>
    </w:p>
    <w:p w14:paraId="3A9BB21A">
      <w:pPr>
        <w:keepNext w:val="0"/>
        <w:keepLines w:val="0"/>
        <w:pageBreakBefore w:val="0"/>
        <w:widowControl w:val="0"/>
        <w:kinsoku/>
        <w:wordWrap/>
        <w:overflowPunct/>
        <w:topLinePunct w:val="0"/>
        <w:bidi w:val="0"/>
        <w:adjustRightInd/>
        <w:snapToGrid/>
        <w:spacing w:line="240" w:lineRule="auto"/>
        <w:ind w:firstLine="640" w:firstLineChars="200"/>
        <w:jc w:val="left"/>
        <w:rPr>
          <w:rFonts w:hint="eastAsia" w:ascii="Times New Roman" w:hAnsi="Times New Roman" w:eastAsia="黑体" w:cs="宋体"/>
          <w:bCs/>
          <w:color w:val="auto"/>
          <w:kern w:val="0"/>
          <w:sz w:val="32"/>
          <w:szCs w:val="32"/>
          <w:lang w:eastAsia="zh-CN"/>
        </w:rPr>
      </w:pPr>
      <w:r>
        <w:rPr>
          <w:rFonts w:hint="eastAsia" w:ascii="Times New Roman" w:hAnsi="Times New Roman" w:eastAsia="黑体" w:cs="宋体"/>
          <w:bCs/>
          <w:color w:val="auto"/>
          <w:kern w:val="0"/>
          <w:sz w:val="32"/>
          <w:szCs w:val="32"/>
          <w:lang w:eastAsia="zh-CN"/>
        </w:rPr>
        <w:t>十</w:t>
      </w:r>
      <w:r>
        <w:rPr>
          <w:rFonts w:hint="eastAsia" w:ascii="Times New Roman" w:hAnsi="Times New Roman" w:eastAsia="黑体" w:cs="宋体"/>
          <w:bCs/>
          <w:color w:val="auto"/>
          <w:kern w:val="0"/>
          <w:sz w:val="32"/>
          <w:szCs w:val="32"/>
          <w:lang w:val="en-US" w:eastAsia="zh-CN"/>
        </w:rPr>
        <w:t>二</w:t>
      </w:r>
      <w:r>
        <w:rPr>
          <w:rFonts w:hint="eastAsia" w:ascii="Times New Roman" w:hAnsi="Times New Roman" w:eastAsia="黑体" w:cs="宋体"/>
          <w:bCs/>
          <w:color w:val="auto"/>
          <w:kern w:val="0"/>
          <w:sz w:val="32"/>
          <w:szCs w:val="32"/>
          <w:lang w:eastAsia="zh-CN"/>
        </w:rPr>
        <w:t>、其他需说明的事项</w:t>
      </w:r>
    </w:p>
    <w:p w14:paraId="6C9B3E9B">
      <w:pPr>
        <w:keepNext w:val="0"/>
        <w:keepLines w:val="0"/>
        <w:pageBreakBefore w:val="0"/>
        <w:widowControl w:val="0"/>
        <w:kinsoku/>
        <w:wordWrap/>
        <w:overflowPunct/>
        <w:topLinePunct w:val="0"/>
        <w:bidi w:val="0"/>
        <w:adjustRightInd/>
        <w:snapToGrid/>
        <w:spacing w:line="240" w:lineRule="auto"/>
        <w:ind w:firstLine="640" w:firstLineChars="200"/>
        <w:jc w:val="both"/>
        <w:rPr>
          <w:rFonts w:hint="default" w:ascii="Times New Roman" w:hAnsi="Times New Roman" w:eastAsia="仿宋_GB2312" w:cs="仿宋_GB2312"/>
          <w:color w:val="auto"/>
          <w:kern w:val="0"/>
          <w:sz w:val="32"/>
          <w:szCs w:val="32"/>
          <w:lang w:val="en-US" w:eastAsia="zh-CN"/>
        </w:rPr>
      </w:pPr>
      <w:r>
        <w:rPr>
          <w:rFonts w:hint="eastAsia" w:ascii="Times New Roman" w:hAnsi="Times New Roman" w:eastAsia="仿宋_GB2312" w:cs="仿宋_GB2312"/>
          <w:color w:val="auto"/>
          <w:kern w:val="0"/>
          <w:sz w:val="32"/>
          <w:szCs w:val="32"/>
          <w:lang w:val="en-US" w:eastAsia="zh-CN"/>
        </w:rPr>
        <w:t>我单位</w:t>
      </w:r>
      <w:r>
        <w:rPr>
          <w:rFonts w:hint="eastAsia" w:eastAsia="仿宋_GB2312"/>
          <w:color w:val="auto"/>
          <w:sz w:val="32"/>
          <w:szCs w:val="32"/>
          <w:lang w:val="en-US" w:eastAsia="zh-CN"/>
        </w:rPr>
        <w:t>sm</w:t>
      </w:r>
      <w:r>
        <w:rPr>
          <w:rFonts w:hint="eastAsia" w:ascii="Times New Roman" w:hAnsi="Times New Roman" w:eastAsia="仿宋_GB2312" w:cs="仿宋_GB2312"/>
          <w:color w:val="auto"/>
          <w:kern w:val="0"/>
          <w:sz w:val="32"/>
          <w:szCs w:val="32"/>
          <w:lang w:val="en-US" w:eastAsia="zh-CN"/>
        </w:rPr>
        <w:t>项目1个，</w:t>
      </w:r>
      <w:r>
        <w:rPr>
          <w:rFonts w:hint="eastAsia" w:ascii="Times New Roman" w:hAnsi="Times New Roman" w:eastAsia="仿宋_GB2312"/>
          <w:color w:val="auto"/>
          <w:sz w:val="32"/>
          <w:szCs w:val="32"/>
          <w:lang w:val="en-US" w:eastAsia="zh-CN"/>
        </w:rPr>
        <w:t>全年预算数18.00</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lang w:val="en-US" w:eastAsia="zh-CN"/>
        </w:rPr>
        <w:t>全年执行数17.38</w:t>
      </w:r>
      <w:r>
        <w:rPr>
          <w:rFonts w:hint="eastAsia" w:ascii="Times New Roman" w:hAnsi="Times New Roman" w:eastAsia="仿宋_GB2312"/>
          <w:color w:val="auto"/>
          <w:sz w:val="32"/>
          <w:szCs w:val="32"/>
        </w:rPr>
        <w:t>万元</w:t>
      </w:r>
      <w:r>
        <w:rPr>
          <w:rFonts w:hint="eastAsia" w:ascii="Times New Roman" w:hAnsi="Times New Roman" w:eastAsia="仿宋_GB2312"/>
          <w:color w:val="auto"/>
          <w:sz w:val="32"/>
          <w:szCs w:val="32"/>
          <w:lang w:eastAsia="zh-CN"/>
        </w:rPr>
        <w:t>。</w:t>
      </w:r>
    </w:p>
    <w:p w14:paraId="14420F9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outlineLvl w:val="0"/>
        <w:rPr>
          <w:rFonts w:hint="eastAsia" w:ascii="Times New Roman" w:hAnsi="Times New Roman" w:eastAsia="黑体"/>
          <w:color w:val="auto"/>
          <w:sz w:val="32"/>
          <w:szCs w:val="32"/>
        </w:rPr>
      </w:pPr>
      <w:bookmarkStart w:id="30" w:name="_Toc3250"/>
      <w:bookmarkEnd w:id="30"/>
      <w:bookmarkStart w:id="31" w:name="_Toc24143"/>
      <w:bookmarkEnd w:id="31"/>
      <w:r>
        <w:rPr>
          <w:rFonts w:hint="eastAsia" w:ascii="Times New Roman" w:hAnsi="Times New Roman" w:eastAsia="黑体"/>
          <w:color w:val="auto"/>
          <w:sz w:val="32"/>
          <w:szCs w:val="32"/>
        </w:rPr>
        <w:br w:type="page"/>
      </w:r>
      <w:r>
        <w:rPr>
          <w:rFonts w:hint="eastAsia" w:ascii="Times New Roman" w:hAnsi="Times New Roman" w:eastAsia="黑体"/>
          <w:color w:val="auto"/>
          <w:sz w:val="32"/>
          <w:szCs w:val="32"/>
        </w:rPr>
        <w:t>第</w:t>
      </w:r>
      <w:r>
        <w:rPr>
          <w:rFonts w:hint="eastAsia" w:ascii="Times New Roman" w:hAnsi="Times New Roman" w:eastAsia="黑体"/>
          <w:color w:val="auto"/>
          <w:sz w:val="32"/>
          <w:szCs w:val="32"/>
          <w:lang w:val="en-US" w:eastAsia="zh-CN"/>
        </w:rPr>
        <w:t>三</w:t>
      </w:r>
      <w:r>
        <w:rPr>
          <w:rFonts w:hint="eastAsia" w:ascii="Times New Roman" w:hAnsi="Times New Roman" w:eastAsia="黑体"/>
          <w:color w:val="auto"/>
          <w:sz w:val="32"/>
          <w:szCs w:val="32"/>
        </w:rPr>
        <w:t>部分 专业名词解释</w:t>
      </w:r>
    </w:p>
    <w:p w14:paraId="2E1262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一、</w:t>
      </w:r>
      <w:r>
        <w:rPr>
          <w:rFonts w:hint="eastAsia" w:ascii="Times New Roman" w:hAnsi="Times New Roman" w:eastAsia="仿宋_GB2312"/>
          <w:b/>
          <w:bCs/>
          <w:color w:val="auto"/>
          <w:sz w:val="32"/>
          <w:szCs w:val="32"/>
        </w:rPr>
        <w:t>财政拨款收入：</w:t>
      </w:r>
      <w:r>
        <w:rPr>
          <w:rFonts w:hint="eastAsia" w:ascii="Times New Roman" w:hAnsi="Times New Roman" w:eastAsia="仿宋_GB2312"/>
          <w:color w:val="auto"/>
          <w:sz w:val="32"/>
          <w:szCs w:val="32"/>
        </w:rPr>
        <w:t>指同级财政当年拨付的资金。</w:t>
      </w:r>
    </w:p>
    <w:p w14:paraId="61A2772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二、</w:t>
      </w:r>
      <w:r>
        <w:rPr>
          <w:rFonts w:hint="eastAsia" w:ascii="Times New Roman" w:hAnsi="Times New Roman" w:eastAsia="仿宋_GB2312"/>
          <w:b/>
          <w:bCs/>
          <w:color w:val="auto"/>
          <w:sz w:val="32"/>
          <w:szCs w:val="32"/>
        </w:rPr>
        <w:t>上级补助收入：</w:t>
      </w:r>
      <w:r>
        <w:rPr>
          <w:rFonts w:hint="eastAsia" w:ascii="Times New Roman" w:hAnsi="Times New Roman" w:eastAsia="仿宋_GB2312"/>
          <w:color w:val="auto"/>
          <w:sz w:val="32"/>
          <w:szCs w:val="32"/>
        </w:rPr>
        <w:t>指事业单位从主管部门和上级单位取得的非财政补助收入。</w:t>
      </w:r>
    </w:p>
    <w:p w14:paraId="5925582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三、</w:t>
      </w:r>
      <w:r>
        <w:rPr>
          <w:rFonts w:hint="eastAsia" w:ascii="Times New Roman" w:hAnsi="Times New Roman" w:eastAsia="仿宋_GB2312"/>
          <w:b/>
          <w:bCs/>
          <w:color w:val="auto"/>
          <w:sz w:val="32"/>
          <w:szCs w:val="32"/>
        </w:rPr>
        <w:t>事业收入：</w:t>
      </w:r>
      <w:r>
        <w:rPr>
          <w:rFonts w:hint="eastAsia" w:ascii="Times New Roman" w:hAnsi="Times New Roman" w:eastAsia="仿宋_GB2312"/>
          <w:color w:val="auto"/>
          <w:sz w:val="32"/>
          <w:szCs w:val="32"/>
        </w:rPr>
        <w:t>指事业单位开展专业业务活动及其辅助活动所取得的收入。</w:t>
      </w:r>
    </w:p>
    <w:p w14:paraId="1704F59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四、</w:t>
      </w:r>
      <w:r>
        <w:rPr>
          <w:rFonts w:hint="eastAsia" w:ascii="Times New Roman" w:hAnsi="Times New Roman" w:eastAsia="仿宋_GB2312"/>
          <w:b/>
          <w:bCs/>
          <w:color w:val="auto"/>
          <w:sz w:val="32"/>
          <w:szCs w:val="32"/>
        </w:rPr>
        <w:t>经营收入：</w:t>
      </w:r>
      <w:r>
        <w:rPr>
          <w:rFonts w:hint="eastAsia" w:ascii="Times New Roman" w:hAnsi="Times New Roman" w:eastAsia="仿宋_GB2312"/>
          <w:color w:val="auto"/>
          <w:sz w:val="32"/>
          <w:szCs w:val="32"/>
        </w:rPr>
        <w:t>指事业单位在专业业务活动及其辅助活动之外开展非独立核算经营活动取得的收入。</w:t>
      </w:r>
    </w:p>
    <w:p w14:paraId="4F4D3E4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五、</w:t>
      </w:r>
      <w:r>
        <w:rPr>
          <w:rFonts w:hint="eastAsia" w:ascii="Times New Roman" w:hAnsi="Times New Roman" w:eastAsia="仿宋_GB2312"/>
          <w:b/>
          <w:bCs/>
          <w:color w:val="auto"/>
          <w:sz w:val="32"/>
          <w:szCs w:val="32"/>
        </w:rPr>
        <w:t>附属单位上缴收入：</w:t>
      </w:r>
      <w:r>
        <w:rPr>
          <w:rFonts w:hint="eastAsia" w:ascii="Times New Roman" w:hAnsi="Times New Roman" w:eastAsia="仿宋_GB2312"/>
          <w:color w:val="auto"/>
          <w:sz w:val="32"/>
          <w:szCs w:val="32"/>
        </w:rPr>
        <w:t>指事业单位附属的独立核算单位按有关规定上缴的收入。</w:t>
      </w:r>
    </w:p>
    <w:p w14:paraId="253A1E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六、</w:t>
      </w:r>
      <w:r>
        <w:rPr>
          <w:rFonts w:hint="eastAsia" w:ascii="Times New Roman" w:hAnsi="Times New Roman" w:eastAsia="仿宋_GB2312"/>
          <w:b/>
          <w:bCs/>
          <w:color w:val="auto"/>
          <w:sz w:val="32"/>
          <w:szCs w:val="32"/>
        </w:rPr>
        <w:t>其他收入：</w:t>
      </w:r>
      <w:r>
        <w:rPr>
          <w:rFonts w:hint="eastAsia" w:ascii="Times New Roman" w:hAnsi="Times New Roman" w:eastAsia="仿宋_GB2312"/>
          <w:color w:val="auto"/>
          <w:sz w:val="32"/>
          <w:szCs w:val="32"/>
        </w:rPr>
        <w:t>指除上述“财政拨款收入”、“事业收入”、“经营收入”、“附属单位上缴收入”等之外取得的收入。</w:t>
      </w:r>
    </w:p>
    <w:p w14:paraId="32FC3A2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七、</w:t>
      </w:r>
      <w:r>
        <w:rPr>
          <w:rFonts w:hint="eastAsia" w:ascii="Times New Roman" w:hAnsi="Times New Roman" w:eastAsia="仿宋_GB2312"/>
          <w:b/>
          <w:bCs/>
          <w:color w:val="auto"/>
          <w:sz w:val="32"/>
          <w:szCs w:val="32"/>
          <w:lang w:eastAsia="zh-CN"/>
        </w:rPr>
        <w:t>年初</w:t>
      </w:r>
      <w:r>
        <w:rPr>
          <w:rFonts w:hint="eastAsia" w:ascii="Times New Roman" w:hAnsi="Times New Roman" w:eastAsia="仿宋_GB2312"/>
          <w:b/>
          <w:bCs/>
          <w:color w:val="auto"/>
          <w:sz w:val="32"/>
          <w:szCs w:val="32"/>
        </w:rPr>
        <w:t>结转和结余：</w:t>
      </w:r>
      <w:r>
        <w:rPr>
          <w:rFonts w:hint="eastAsia" w:ascii="Times New Roman" w:hAnsi="Times New Roman" w:eastAsia="仿宋_GB2312"/>
          <w:color w:val="auto"/>
          <w:sz w:val="32"/>
          <w:szCs w:val="32"/>
        </w:rPr>
        <w:t>指以前年度支出预算因客观条件变化未执行完毕、结转到本年度按有关规定继续使用的资金，既包括财政拨款结转和结余，也包括事业收入、经营收入、其他收入的结转和结余。</w:t>
      </w:r>
    </w:p>
    <w:p w14:paraId="0FBA22C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八、</w:t>
      </w:r>
      <w:r>
        <w:rPr>
          <w:rFonts w:hint="eastAsia" w:ascii="Times New Roman" w:hAnsi="Times New Roman" w:eastAsia="仿宋_GB2312"/>
          <w:b/>
          <w:bCs/>
          <w:color w:val="auto"/>
          <w:sz w:val="32"/>
          <w:szCs w:val="32"/>
        </w:rPr>
        <w:t>年末结转和结余：</w:t>
      </w:r>
      <w:r>
        <w:rPr>
          <w:rFonts w:hint="eastAsia" w:ascii="Times New Roman" w:hAnsi="Times New Roman" w:eastAsia="仿宋_GB2312"/>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C2633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九、</w:t>
      </w:r>
      <w:r>
        <w:rPr>
          <w:rFonts w:hint="eastAsia" w:ascii="Times New Roman" w:hAnsi="Times New Roman" w:eastAsia="仿宋_GB2312"/>
          <w:b/>
          <w:bCs/>
          <w:color w:val="auto"/>
          <w:sz w:val="32"/>
          <w:szCs w:val="32"/>
        </w:rPr>
        <w:t>基本支出：</w:t>
      </w:r>
      <w:r>
        <w:rPr>
          <w:rFonts w:hint="eastAsia" w:ascii="Times New Roman" w:hAnsi="Times New Roman" w:eastAsia="仿宋_GB2312"/>
          <w:color w:val="auto"/>
          <w:sz w:val="32"/>
          <w:szCs w:val="32"/>
        </w:rPr>
        <w:t>指为保障机构正常运转、完成日常工作任务而发生的人员支出和公用支出。</w:t>
      </w:r>
    </w:p>
    <w:p w14:paraId="3E35EC2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十、</w:t>
      </w:r>
      <w:r>
        <w:rPr>
          <w:rFonts w:hint="eastAsia" w:ascii="Times New Roman" w:hAnsi="Times New Roman" w:eastAsia="仿宋_GB2312"/>
          <w:b/>
          <w:bCs/>
          <w:color w:val="auto"/>
          <w:sz w:val="32"/>
          <w:szCs w:val="32"/>
        </w:rPr>
        <w:t>项目支出：</w:t>
      </w:r>
      <w:r>
        <w:rPr>
          <w:rFonts w:hint="eastAsia" w:ascii="Times New Roman" w:hAnsi="Times New Roman" w:eastAsia="仿宋_GB2312"/>
          <w:color w:val="auto"/>
          <w:sz w:val="32"/>
          <w:szCs w:val="32"/>
        </w:rPr>
        <w:t>指在基本支出之外为完成特定行政任务和事业发展目标所发生的支出。</w:t>
      </w:r>
    </w:p>
    <w:p w14:paraId="11FC488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十一、</w:t>
      </w:r>
      <w:r>
        <w:rPr>
          <w:rFonts w:hint="eastAsia" w:ascii="Times New Roman" w:hAnsi="Times New Roman" w:eastAsia="仿宋_GB2312"/>
          <w:b/>
          <w:bCs/>
          <w:color w:val="auto"/>
          <w:sz w:val="32"/>
          <w:szCs w:val="32"/>
        </w:rPr>
        <w:t>经营支出：</w:t>
      </w:r>
      <w:r>
        <w:rPr>
          <w:rFonts w:hint="eastAsia" w:ascii="Times New Roman" w:hAnsi="Times New Roman" w:eastAsia="仿宋_GB2312"/>
          <w:color w:val="auto"/>
          <w:sz w:val="32"/>
          <w:szCs w:val="32"/>
        </w:rPr>
        <w:t>指事业单位在专业业务活动及其辅助活动之外开展非独立核算经营活动发生的支出。</w:t>
      </w:r>
    </w:p>
    <w:p w14:paraId="4F6CA9D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十二、</w:t>
      </w:r>
      <w:r>
        <w:rPr>
          <w:rFonts w:hint="eastAsia" w:ascii="Times New Roman" w:hAnsi="Times New Roman" w:eastAsia="仿宋_GB2312"/>
          <w:b/>
          <w:bCs/>
          <w:color w:val="auto"/>
          <w:sz w:val="32"/>
          <w:szCs w:val="32"/>
        </w:rPr>
        <w:t>对附属单位补助支出：</w:t>
      </w:r>
      <w:r>
        <w:rPr>
          <w:rFonts w:hint="eastAsia" w:ascii="Times New Roman" w:hAnsi="Times New Roman" w:eastAsia="仿宋_GB2312"/>
          <w:color w:val="auto"/>
          <w:sz w:val="32"/>
          <w:szCs w:val="32"/>
        </w:rPr>
        <w:t>指事业单位发生的用非财政预算资金对附属单位的补助支出。</w:t>
      </w:r>
    </w:p>
    <w:p w14:paraId="1628578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rPr>
          <w:rFonts w:hint="eastAsia" w:ascii="Times New Roman" w:hAnsi="Times New Roman" w:eastAsia="仿宋_GB2312"/>
          <w:color w:val="auto"/>
          <w:sz w:val="32"/>
          <w:szCs w:val="32"/>
          <w:lang w:eastAsia="zh-CN"/>
        </w:rPr>
      </w:pPr>
      <w:r>
        <w:rPr>
          <w:rFonts w:hint="eastAsia" w:ascii="Times New Roman" w:hAnsi="Times New Roman" w:eastAsia="仿宋_GB2312"/>
          <w:b/>
          <w:bCs/>
          <w:color w:val="auto"/>
          <w:sz w:val="32"/>
          <w:szCs w:val="32"/>
          <w:lang w:val="en-US" w:eastAsia="zh-CN"/>
        </w:rPr>
        <w:t>十三、</w:t>
      </w:r>
      <w:r>
        <w:rPr>
          <w:rFonts w:hint="eastAsia" w:ascii="Times New Roman" w:hAnsi="Times New Roman" w:eastAsia="仿宋_GB2312"/>
          <w:b/>
          <w:bCs/>
          <w:color w:val="auto"/>
          <w:sz w:val="32"/>
          <w:szCs w:val="32"/>
        </w:rPr>
        <w:t>“三公”经费：</w:t>
      </w:r>
      <w:r>
        <w:rPr>
          <w:rFonts w:hint="eastAsia" w:ascii="Times New Roman" w:hAnsi="Times New Roman" w:eastAsia="仿宋_GB2312"/>
          <w:color w:val="auto"/>
          <w:sz w:val="32"/>
          <w:szCs w:val="32"/>
        </w:rPr>
        <w:t>指用财政拨款安排的因公出国（境）费、公务用车购置及运行费和公务接待费。其中，因公出国（境）费反映单位公务出国（境）的</w:t>
      </w:r>
      <w:r>
        <w:rPr>
          <w:rFonts w:hint="eastAsia" w:ascii="Times New Roman" w:hAnsi="Times New Roman" w:eastAsia="仿宋_GB2312"/>
          <w:color w:val="auto"/>
          <w:sz w:val="32"/>
          <w:szCs w:val="32"/>
          <w:lang w:eastAsia="zh-CN"/>
        </w:rPr>
        <w:t>国际旅费、国外城市间交通费、</w:t>
      </w:r>
      <w:r>
        <w:rPr>
          <w:rFonts w:hint="eastAsia" w:ascii="Times New Roman" w:hAnsi="Times New Roman" w:eastAsia="仿宋_GB2312"/>
          <w:color w:val="auto"/>
          <w:sz w:val="32"/>
          <w:szCs w:val="32"/>
        </w:rPr>
        <w:t>住宿费、伙食费、培训费、</w:t>
      </w:r>
      <w:r>
        <w:rPr>
          <w:rFonts w:hint="eastAsia" w:ascii="Times New Roman" w:hAnsi="Times New Roman" w:eastAsia="仿宋_GB2312"/>
          <w:color w:val="auto"/>
          <w:sz w:val="32"/>
          <w:szCs w:val="32"/>
          <w:lang w:eastAsia="zh-CN"/>
        </w:rPr>
        <w:t>公</w:t>
      </w:r>
      <w:r>
        <w:rPr>
          <w:rFonts w:hint="eastAsia" w:ascii="Times New Roman" w:hAnsi="Times New Roman" w:eastAsia="仿宋_GB2312"/>
          <w:color w:val="auto"/>
          <w:sz w:val="32"/>
          <w:szCs w:val="32"/>
        </w:rPr>
        <w:t>杂费等支出；公务用车购置费</w:t>
      </w:r>
      <w:r>
        <w:rPr>
          <w:rFonts w:hint="eastAsia" w:ascii="Times New Roman" w:hAnsi="Times New Roman" w:eastAsia="仿宋_GB2312"/>
          <w:color w:val="auto"/>
          <w:sz w:val="32"/>
          <w:szCs w:val="32"/>
          <w:lang w:eastAsia="zh-CN"/>
        </w:rPr>
        <w:t>反映公务用车购置支出（含车辆购置税、牌照费）；</w:t>
      </w:r>
      <w:r>
        <w:rPr>
          <w:rFonts w:hint="eastAsia" w:ascii="Times New Roman" w:hAnsi="Times New Roman" w:eastAsia="仿宋_GB2312"/>
          <w:color w:val="auto"/>
          <w:sz w:val="32"/>
          <w:szCs w:val="32"/>
        </w:rPr>
        <w:t>公务用车运行</w:t>
      </w:r>
      <w:r>
        <w:rPr>
          <w:rFonts w:hint="eastAsia" w:ascii="Times New Roman" w:hAnsi="Times New Roman" w:eastAsia="仿宋_GB2312"/>
          <w:color w:val="auto"/>
          <w:sz w:val="32"/>
          <w:szCs w:val="32"/>
          <w:lang w:eastAsia="zh-CN"/>
        </w:rPr>
        <w:t>维护</w:t>
      </w:r>
      <w:r>
        <w:rPr>
          <w:rFonts w:hint="eastAsia" w:ascii="Times New Roman" w:hAnsi="Times New Roman" w:eastAsia="仿宋_GB2312"/>
          <w:color w:val="auto"/>
          <w:sz w:val="32"/>
          <w:szCs w:val="32"/>
        </w:rPr>
        <w:t>费反映</w:t>
      </w:r>
      <w:r>
        <w:rPr>
          <w:rFonts w:hint="eastAsia" w:ascii="Times New Roman" w:hAnsi="Times New Roman" w:eastAsia="仿宋_GB2312"/>
          <w:color w:val="auto"/>
          <w:sz w:val="32"/>
          <w:szCs w:val="32"/>
          <w:lang w:eastAsia="zh-CN"/>
        </w:rPr>
        <w:t>单位按规定保留的公务用车燃料费、维修费、</w:t>
      </w:r>
      <w:r>
        <w:rPr>
          <w:rFonts w:hint="eastAsia" w:ascii="Times New Roman" w:hAnsi="Times New Roman" w:eastAsia="仿宋_GB2312"/>
          <w:color w:val="auto"/>
          <w:sz w:val="32"/>
          <w:szCs w:val="32"/>
        </w:rPr>
        <w:t>过路过桥费、保险费、安全奖励费用等支出</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公务接待费反映单位按规定开支的各类公务接待（含外宾接待）</w:t>
      </w:r>
      <w:r>
        <w:rPr>
          <w:rFonts w:hint="eastAsia" w:ascii="Times New Roman" w:hAnsi="Times New Roman" w:eastAsia="仿宋_GB2312"/>
          <w:color w:val="auto"/>
          <w:sz w:val="32"/>
          <w:szCs w:val="32"/>
          <w:lang w:eastAsia="zh-CN"/>
        </w:rPr>
        <w:t>费用</w:t>
      </w:r>
      <w:r>
        <w:rPr>
          <w:rFonts w:hint="eastAsia" w:ascii="Times New Roman" w:hAnsi="Times New Roman" w:eastAsia="仿宋_GB2312"/>
          <w:color w:val="auto"/>
          <w:sz w:val="32"/>
          <w:szCs w:val="32"/>
        </w:rPr>
        <w:t>。</w:t>
      </w:r>
    </w:p>
    <w:p w14:paraId="6EFAC178">
      <w:pPr>
        <w:keepNext w:val="0"/>
        <w:keepLines w:val="0"/>
        <w:pageBreakBefore w:val="0"/>
        <w:widowControl w:val="0"/>
        <w:kinsoku/>
        <w:wordWrap/>
        <w:overflowPunct/>
        <w:topLinePunct w:val="0"/>
        <w:bidi w:val="0"/>
        <w:adjustRightInd/>
        <w:snapToGrid/>
        <w:spacing w:line="240" w:lineRule="auto"/>
        <w:ind w:firstLine="643" w:firstLineChars="200"/>
        <w:rPr>
          <w:rFonts w:hint="eastAsia" w:ascii="Times New Roman" w:hAnsi="Times New Roman" w:eastAsia="仿宋_GB2312"/>
          <w:color w:val="auto"/>
          <w:sz w:val="32"/>
          <w:szCs w:val="32"/>
        </w:rPr>
      </w:pPr>
      <w:r>
        <w:rPr>
          <w:rFonts w:hint="eastAsia" w:ascii="Times New Roman" w:hAnsi="Times New Roman" w:eastAsia="仿宋_GB2312"/>
          <w:b/>
          <w:bCs/>
          <w:color w:val="auto"/>
          <w:sz w:val="32"/>
          <w:szCs w:val="32"/>
          <w:lang w:val="en-US" w:eastAsia="zh-CN"/>
        </w:rPr>
        <w:t>十四、</w:t>
      </w:r>
      <w:r>
        <w:rPr>
          <w:rFonts w:hint="eastAsia" w:ascii="Times New Roman" w:hAnsi="Times New Roman" w:eastAsia="仿宋_GB2312"/>
          <w:b/>
          <w:bCs/>
          <w:color w:val="auto"/>
          <w:sz w:val="32"/>
          <w:szCs w:val="32"/>
        </w:rPr>
        <w:t>机关运行经费：</w:t>
      </w:r>
      <w:r>
        <w:rPr>
          <w:rFonts w:hint="eastAsia" w:ascii="Times New Roman" w:hAnsi="Times New Roman" w:eastAsia="仿宋_GB2312"/>
          <w:color w:val="auto"/>
          <w:sz w:val="32"/>
          <w:szCs w:val="32"/>
        </w:rPr>
        <w:t>行政单位和参照公务员法管理的事业单位财政拨款基本支出中的公用经费支出。</w:t>
      </w:r>
    </w:p>
    <w:p w14:paraId="73DF29B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outlineLvl w:val="0"/>
        <w:rPr>
          <w:rFonts w:hint="eastAsia" w:ascii="Times New Roman" w:hAnsi="Times New Roman" w:eastAsia="黑体"/>
          <w:color w:val="auto"/>
          <w:sz w:val="32"/>
          <w:szCs w:val="32"/>
        </w:rPr>
      </w:pPr>
      <w:r>
        <w:rPr>
          <w:rFonts w:hint="eastAsia" w:ascii="Times New Roman" w:hAnsi="Times New Roman" w:eastAsia="仿宋_GB2312"/>
          <w:color w:val="auto"/>
          <w:sz w:val="32"/>
          <w:szCs w:val="32"/>
        </w:rPr>
        <w:br w:type="page"/>
      </w:r>
      <w:r>
        <w:rPr>
          <w:rFonts w:hint="eastAsia" w:ascii="Times New Roman" w:hAnsi="Times New Roman" w:eastAsia="黑体"/>
          <w:color w:val="auto"/>
          <w:sz w:val="32"/>
          <w:szCs w:val="32"/>
        </w:rPr>
        <w:t>第四部分 部门决算报表（见附表）</w:t>
      </w:r>
    </w:p>
    <w:p w14:paraId="75673DA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32" w:name="_Toc6062"/>
      <w:bookmarkEnd w:id="32"/>
      <w:bookmarkStart w:id="33" w:name="_Toc2183"/>
      <w:bookmarkEnd w:id="33"/>
      <w:r>
        <w:rPr>
          <w:rFonts w:hint="eastAsia" w:ascii="Times New Roman" w:hAnsi="Times New Roman" w:eastAsia="仿宋_GB2312" w:cs="宋体"/>
          <w:bCs/>
          <w:color w:val="auto"/>
          <w:kern w:val="0"/>
          <w:sz w:val="32"/>
          <w:szCs w:val="32"/>
        </w:rPr>
        <w:t>一、《收入支出决算总表》</w:t>
      </w:r>
    </w:p>
    <w:p w14:paraId="03B1794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34" w:name="_Toc24532"/>
      <w:bookmarkEnd w:id="34"/>
      <w:bookmarkStart w:id="35" w:name="_Toc30364"/>
      <w:bookmarkEnd w:id="35"/>
      <w:r>
        <w:rPr>
          <w:rFonts w:hint="eastAsia" w:ascii="Times New Roman" w:hAnsi="Times New Roman" w:eastAsia="仿宋_GB2312" w:cs="宋体"/>
          <w:bCs/>
          <w:color w:val="auto"/>
          <w:kern w:val="0"/>
          <w:sz w:val="32"/>
          <w:szCs w:val="32"/>
        </w:rPr>
        <w:t>二、《收入决算表》</w:t>
      </w:r>
    </w:p>
    <w:p w14:paraId="7C03BFC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36" w:name="_Toc32434"/>
      <w:bookmarkEnd w:id="36"/>
      <w:bookmarkStart w:id="37" w:name="_Toc21304"/>
      <w:bookmarkEnd w:id="37"/>
      <w:r>
        <w:rPr>
          <w:rFonts w:hint="eastAsia" w:ascii="Times New Roman" w:hAnsi="Times New Roman" w:eastAsia="仿宋_GB2312" w:cs="宋体"/>
          <w:bCs/>
          <w:color w:val="auto"/>
          <w:kern w:val="0"/>
          <w:sz w:val="32"/>
          <w:szCs w:val="32"/>
        </w:rPr>
        <w:t>三、《支出决算表》</w:t>
      </w:r>
    </w:p>
    <w:p w14:paraId="1211AC2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38" w:name="_Toc28786"/>
      <w:bookmarkEnd w:id="38"/>
      <w:bookmarkStart w:id="39" w:name="_Toc14238"/>
      <w:bookmarkEnd w:id="39"/>
      <w:r>
        <w:rPr>
          <w:rFonts w:hint="eastAsia" w:ascii="Times New Roman" w:hAnsi="Times New Roman" w:eastAsia="仿宋_GB2312" w:cs="宋体"/>
          <w:bCs/>
          <w:color w:val="auto"/>
          <w:kern w:val="0"/>
          <w:sz w:val="32"/>
          <w:szCs w:val="32"/>
        </w:rPr>
        <w:t>四、《财政拨款收入支出决算总表》</w:t>
      </w:r>
    </w:p>
    <w:p w14:paraId="434B6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40" w:name="_Toc14869"/>
      <w:bookmarkEnd w:id="40"/>
      <w:bookmarkStart w:id="41" w:name="_Toc10347"/>
      <w:bookmarkEnd w:id="41"/>
      <w:r>
        <w:rPr>
          <w:rFonts w:hint="eastAsia" w:ascii="Times New Roman" w:hAnsi="Times New Roman" w:eastAsia="仿宋_GB2312" w:cs="宋体"/>
          <w:bCs/>
          <w:color w:val="auto"/>
          <w:kern w:val="0"/>
          <w:sz w:val="32"/>
          <w:szCs w:val="32"/>
        </w:rPr>
        <w:t>五、《一般公共预算财政拨款支出决算表》</w:t>
      </w:r>
    </w:p>
    <w:p w14:paraId="187AFA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42" w:name="_Toc5626"/>
      <w:bookmarkEnd w:id="42"/>
      <w:bookmarkStart w:id="43" w:name="_Toc8884"/>
      <w:bookmarkEnd w:id="43"/>
      <w:r>
        <w:rPr>
          <w:rFonts w:hint="eastAsia" w:ascii="Times New Roman" w:hAnsi="Times New Roman" w:eastAsia="仿宋_GB2312" w:cs="宋体"/>
          <w:bCs/>
          <w:color w:val="auto"/>
          <w:kern w:val="0"/>
          <w:sz w:val="32"/>
          <w:szCs w:val="32"/>
        </w:rPr>
        <w:t>六、《一般公共预算财政拨款基本支出决算表》</w:t>
      </w:r>
    </w:p>
    <w:p w14:paraId="61569FB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44" w:name="_Toc32663"/>
      <w:bookmarkEnd w:id="44"/>
      <w:bookmarkStart w:id="45" w:name="_Toc29106"/>
      <w:bookmarkEnd w:id="45"/>
      <w:r>
        <w:rPr>
          <w:rFonts w:hint="eastAsia" w:ascii="Times New Roman" w:hAnsi="Times New Roman" w:eastAsia="仿宋_GB2312" w:cs="宋体"/>
          <w:bCs/>
          <w:color w:val="auto"/>
          <w:kern w:val="0"/>
          <w:sz w:val="32"/>
          <w:szCs w:val="32"/>
        </w:rPr>
        <w:t>七、《财政拨款“三公”经费支出决算表》</w:t>
      </w:r>
    </w:p>
    <w:p w14:paraId="0AEFBA7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bookmarkStart w:id="46" w:name="_Toc5453"/>
      <w:bookmarkEnd w:id="46"/>
      <w:bookmarkStart w:id="47" w:name="_Toc7643"/>
      <w:bookmarkEnd w:id="47"/>
      <w:r>
        <w:rPr>
          <w:rFonts w:hint="eastAsia" w:ascii="Times New Roman" w:hAnsi="Times New Roman" w:eastAsia="仿宋_GB2312" w:cs="宋体"/>
          <w:bCs/>
          <w:color w:val="auto"/>
          <w:kern w:val="0"/>
          <w:sz w:val="32"/>
          <w:szCs w:val="32"/>
        </w:rPr>
        <w:t>八、《政府性基金预算财政拨款收入支出决算表》</w:t>
      </w:r>
    </w:p>
    <w:p w14:paraId="3F2CB2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仿宋_GB2312" w:cs="宋体"/>
          <w:bCs/>
          <w:color w:val="auto"/>
          <w:kern w:val="0"/>
          <w:sz w:val="32"/>
          <w:szCs w:val="32"/>
        </w:rPr>
      </w:pPr>
      <w:r>
        <w:rPr>
          <w:rFonts w:hint="eastAsia" w:ascii="Times New Roman" w:hAnsi="Times New Roman" w:eastAsia="仿宋_GB2312" w:cs="宋体"/>
          <w:bCs/>
          <w:color w:val="auto"/>
          <w:kern w:val="0"/>
          <w:sz w:val="32"/>
          <w:szCs w:val="32"/>
          <w:lang w:val="en-US" w:eastAsia="zh-CN"/>
        </w:rPr>
        <w:t>九</w:t>
      </w:r>
      <w:r>
        <w:rPr>
          <w:rFonts w:hint="eastAsia" w:ascii="Times New Roman" w:hAnsi="Times New Roman" w:eastAsia="仿宋_GB2312" w:cs="宋体"/>
          <w:bCs/>
          <w:color w:val="auto"/>
          <w:kern w:val="0"/>
          <w:sz w:val="32"/>
          <w:szCs w:val="32"/>
        </w:rPr>
        <w:t>、《</w:t>
      </w:r>
      <w:r>
        <w:rPr>
          <w:rFonts w:hint="eastAsia" w:ascii="Times New Roman" w:hAnsi="Times New Roman" w:eastAsia="仿宋_GB2312" w:cs="宋体"/>
          <w:bCs/>
          <w:color w:val="auto"/>
          <w:kern w:val="0"/>
          <w:sz w:val="32"/>
          <w:szCs w:val="32"/>
          <w:lang w:eastAsia="zh-CN"/>
        </w:rPr>
        <w:t>国有资本经营</w:t>
      </w:r>
      <w:r>
        <w:rPr>
          <w:rFonts w:hint="eastAsia" w:ascii="Times New Roman" w:hAnsi="Times New Roman" w:eastAsia="仿宋_GB2312" w:cs="宋体"/>
          <w:bCs/>
          <w:color w:val="auto"/>
          <w:kern w:val="0"/>
          <w:sz w:val="32"/>
          <w:szCs w:val="32"/>
        </w:rPr>
        <w:t>预算财政拨款收入支出决算表》</w:t>
      </w:r>
    </w:p>
    <w:p w14:paraId="7693BF10">
      <w:pPr>
        <w:keepNext w:val="0"/>
        <w:keepLines w:val="0"/>
        <w:pageBreakBefore w:val="0"/>
        <w:widowControl w:val="0"/>
        <w:kinsoku/>
        <w:wordWrap/>
        <w:overflowPunct/>
        <w:topLinePunct w:val="0"/>
        <w:bidi w:val="0"/>
        <w:adjustRightInd/>
        <w:snapToGrid/>
        <w:spacing w:line="240" w:lineRule="auto"/>
        <w:ind w:firstLine="640" w:firstLineChars="200"/>
        <w:rPr>
          <w:rFonts w:hint="eastAsia" w:ascii="Times New Roman" w:hAnsi="Times New Roman" w:eastAsia="仿宋_GB2312"/>
          <w:color w:val="auto"/>
          <w:sz w:val="32"/>
          <w:szCs w:val="32"/>
        </w:rPr>
      </w:pPr>
    </w:p>
    <w:p w14:paraId="10454B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outlineLvl w:val="1"/>
        <w:rPr>
          <w:rFonts w:hint="eastAsia" w:ascii="Times New Roman" w:hAnsi="Times New Roman" w:eastAsia="黑体" w:cs="宋体"/>
          <w:bCs/>
          <w:color w:val="auto"/>
          <w:kern w:val="0"/>
          <w:sz w:val="32"/>
          <w:szCs w:val="32"/>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083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2700">
                        <a:noFill/>
                      </a:ln>
                    </wps:spPr>
                    <wps:txbx>
                      <w:txbxContent>
                        <w:p w14:paraId="6B36F7D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In3a/TAAAABQEAAA8AAAAA&#10;AAAAAQAgAAAAIgAAAGRycy9kb3ducmV2LnhtbFBLAQIUABQAAAAIAIdO4kBGOrQc4AEAAMQDAAAO&#10;AAAAAAAAAAEAIAAAACIBAABkcnMvZTJvRG9jLnhtbFBLBQYAAAAABgAGAFkBAAB0BQAAAAA=&#10;">
              <v:fill on="f" focussize="0,0"/>
              <v:stroke on="f" weight="1pt"/>
              <v:imagedata o:title=""/>
              <o:lock v:ext="edit" aspectratio="f"/>
              <v:textbox inset="0mm,0mm,0mm,0mm" style="mso-fit-shape-to-text:t;">
                <w:txbxContent>
                  <w:p w14:paraId="6B36F7DF">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MGFiOTc1MzQ1MDk2MDU1NTRjYWU0NmRhN2YwMmYifQ=="/>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9B3AF9"/>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B453D"/>
    <w:rsid w:val="0CBD6988"/>
    <w:rsid w:val="0CD208AC"/>
    <w:rsid w:val="0D4903E8"/>
    <w:rsid w:val="0D7A4A46"/>
    <w:rsid w:val="0D9B43D1"/>
    <w:rsid w:val="0E640559"/>
    <w:rsid w:val="0F1113DA"/>
    <w:rsid w:val="0F78534A"/>
    <w:rsid w:val="0F89358A"/>
    <w:rsid w:val="0F8C6D51"/>
    <w:rsid w:val="0FC656C7"/>
    <w:rsid w:val="105B0B5E"/>
    <w:rsid w:val="112E58D0"/>
    <w:rsid w:val="11731CAC"/>
    <w:rsid w:val="119500A0"/>
    <w:rsid w:val="11C0733B"/>
    <w:rsid w:val="11D50D17"/>
    <w:rsid w:val="120E0809"/>
    <w:rsid w:val="127F665A"/>
    <w:rsid w:val="12F7068C"/>
    <w:rsid w:val="14207DC0"/>
    <w:rsid w:val="14B932DA"/>
    <w:rsid w:val="150A66AF"/>
    <w:rsid w:val="154C1139"/>
    <w:rsid w:val="158C5B77"/>
    <w:rsid w:val="15C842E2"/>
    <w:rsid w:val="160D1149"/>
    <w:rsid w:val="163563C0"/>
    <w:rsid w:val="164315EF"/>
    <w:rsid w:val="16557DFE"/>
    <w:rsid w:val="167268FB"/>
    <w:rsid w:val="16D50C50"/>
    <w:rsid w:val="16E120E1"/>
    <w:rsid w:val="16FF62FF"/>
    <w:rsid w:val="17385A05"/>
    <w:rsid w:val="173B3901"/>
    <w:rsid w:val="176747F9"/>
    <w:rsid w:val="17954A6E"/>
    <w:rsid w:val="17C063E1"/>
    <w:rsid w:val="17F07A62"/>
    <w:rsid w:val="180059E9"/>
    <w:rsid w:val="184510FD"/>
    <w:rsid w:val="190648B0"/>
    <w:rsid w:val="19071D6C"/>
    <w:rsid w:val="19D26CD4"/>
    <w:rsid w:val="19E60D19"/>
    <w:rsid w:val="1A3E3450"/>
    <w:rsid w:val="1AD807E5"/>
    <w:rsid w:val="1B39345B"/>
    <w:rsid w:val="1BAF14B2"/>
    <w:rsid w:val="1BFB2A1F"/>
    <w:rsid w:val="1C015D4A"/>
    <w:rsid w:val="1C290ED5"/>
    <w:rsid w:val="1C317E4F"/>
    <w:rsid w:val="1C472464"/>
    <w:rsid w:val="1D22799A"/>
    <w:rsid w:val="1D5C1A72"/>
    <w:rsid w:val="1DAF458D"/>
    <w:rsid w:val="1E086ACE"/>
    <w:rsid w:val="1E62130A"/>
    <w:rsid w:val="1E97358B"/>
    <w:rsid w:val="1EAA4A5F"/>
    <w:rsid w:val="1EE869A7"/>
    <w:rsid w:val="1F124369"/>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587DDE"/>
    <w:rsid w:val="26F0170C"/>
    <w:rsid w:val="27201D62"/>
    <w:rsid w:val="27286E73"/>
    <w:rsid w:val="27CF2642"/>
    <w:rsid w:val="27E777F5"/>
    <w:rsid w:val="27EA1D4C"/>
    <w:rsid w:val="27EA2E41"/>
    <w:rsid w:val="28036C97"/>
    <w:rsid w:val="282459E2"/>
    <w:rsid w:val="283A7FE5"/>
    <w:rsid w:val="285F51FF"/>
    <w:rsid w:val="28DF2665"/>
    <w:rsid w:val="29072599"/>
    <w:rsid w:val="291029F3"/>
    <w:rsid w:val="29CB58F0"/>
    <w:rsid w:val="2A053397"/>
    <w:rsid w:val="2A145E96"/>
    <w:rsid w:val="2AF50141"/>
    <w:rsid w:val="2AF5378F"/>
    <w:rsid w:val="2BB94DBF"/>
    <w:rsid w:val="2BBB02AC"/>
    <w:rsid w:val="2BDC512E"/>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0BD6F8B"/>
    <w:rsid w:val="314029C9"/>
    <w:rsid w:val="31C63837"/>
    <w:rsid w:val="31C82E39"/>
    <w:rsid w:val="32601BAD"/>
    <w:rsid w:val="329F6389"/>
    <w:rsid w:val="3389023A"/>
    <w:rsid w:val="33CB74FA"/>
    <w:rsid w:val="33F15F13"/>
    <w:rsid w:val="343642F2"/>
    <w:rsid w:val="343F3010"/>
    <w:rsid w:val="345D0A00"/>
    <w:rsid w:val="34713BFD"/>
    <w:rsid w:val="34C13589"/>
    <w:rsid w:val="35194A56"/>
    <w:rsid w:val="353369E3"/>
    <w:rsid w:val="35E00D72"/>
    <w:rsid w:val="36965B9D"/>
    <w:rsid w:val="36C549FD"/>
    <w:rsid w:val="373C72C4"/>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F31AA7"/>
    <w:rsid w:val="434E6957"/>
    <w:rsid w:val="43BA0E31"/>
    <w:rsid w:val="43C15147"/>
    <w:rsid w:val="43E14DD2"/>
    <w:rsid w:val="43F800E9"/>
    <w:rsid w:val="443A7E4B"/>
    <w:rsid w:val="452F5B3A"/>
    <w:rsid w:val="454E7FD2"/>
    <w:rsid w:val="458A20F1"/>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9786419"/>
    <w:rsid w:val="4A0A26D2"/>
    <w:rsid w:val="4A2019A5"/>
    <w:rsid w:val="4A241A0B"/>
    <w:rsid w:val="4A7B2875"/>
    <w:rsid w:val="4A934476"/>
    <w:rsid w:val="4AAA220A"/>
    <w:rsid w:val="4AE12E67"/>
    <w:rsid w:val="4B4C0111"/>
    <w:rsid w:val="4B8553A9"/>
    <w:rsid w:val="4BB82CF9"/>
    <w:rsid w:val="4BDB3730"/>
    <w:rsid w:val="4C200F7A"/>
    <w:rsid w:val="4CEE3180"/>
    <w:rsid w:val="4D0F4AF6"/>
    <w:rsid w:val="4DF94F37"/>
    <w:rsid w:val="4E0A1DD5"/>
    <w:rsid w:val="4E3160E5"/>
    <w:rsid w:val="4E4D37AF"/>
    <w:rsid w:val="4E8C6496"/>
    <w:rsid w:val="4EFD18DE"/>
    <w:rsid w:val="4F11005F"/>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BED57CE"/>
    <w:rsid w:val="5C0D1F49"/>
    <w:rsid w:val="5C9F05F8"/>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0D51908"/>
    <w:rsid w:val="60E47ED8"/>
    <w:rsid w:val="618E3791"/>
    <w:rsid w:val="61947DCA"/>
    <w:rsid w:val="61A46A97"/>
    <w:rsid w:val="61D1382F"/>
    <w:rsid w:val="61F114A2"/>
    <w:rsid w:val="62512BB4"/>
    <w:rsid w:val="625D7D1A"/>
    <w:rsid w:val="62DD7D21"/>
    <w:rsid w:val="637D586B"/>
    <w:rsid w:val="63A5560B"/>
    <w:rsid w:val="63E9091F"/>
    <w:rsid w:val="64322AF9"/>
    <w:rsid w:val="64B0546D"/>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10C9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E0E35C4"/>
    <w:rsid w:val="6E0F7A08"/>
    <w:rsid w:val="6E3947F5"/>
    <w:rsid w:val="6E95020F"/>
    <w:rsid w:val="6E9C74ED"/>
    <w:rsid w:val="6EAD0BA1"/>
    <w:rsid w:val="6EF72976"/>
    <w:rsid w:val="6F795A80"/>
    <w:rsid w:val="6F7C1D2E"/>
    <w:rsid w:val="6F8E0407"/>
    <w:rsid w:val="6FDD069F"/>
    <w:rsid w:val="702B4D16"/>
    <w:rsid w:val="70AA6621"/>
    <w:rsid w:val="7111480F"/>
    <w:rsid w:val="71261F49"/>
    <w:rsid w:val="712902B3"/>
    <w:rsid w:val="712E6956"/>
    <w:rsid w:val="71357785"/>
    <w:rsid w:val="71473612"/>
    <w:rsid w:val="71504F32"/>
    <w:rsid w:val="7152309F"/>
    <w:rsid w:val="718F7F65"/>
    <w:rsid w:val="727B234E"/>
    <w:rsid w:val="72D068C7"/>
    <w:rsid w:val="72E42ED8"/>
    <w:rsid w:val="73181A8C"/>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A874A6"/>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qFormat="1" w:unhideWhenUsed="0" w:uiPriority="0"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6338</Words>
  <Characters>7265</Characters>
  <Lines>0</Lines>
  <Paragraphs>0</Paragraphs>
  <TotalTime>18</TotalTime>
  <ScaleCrop>false</ScaleCrop>
  <LinksUpToDate>false</LinksUpToDate>
  <CharactersWithSpaces>7276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天空飞过海洋</cp:lastModifiedBy>
  <dcterms:modified xsi:type="dcterms:W3CDTF">2024-10-12T11:30:26Z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