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新疆维吾尓自治区地质矿产勘查开发局机关服务中心</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rPr>
        <w:t>新疆维吾尔自治区地质矿产勘查开发局机关服务中心 主要负责局机关的后勤服务、生活保障和改善机关工作环境 等工作，承担局机关委托管理的服务性、事务性工作。具体 内容如下：</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⑴水、电、暖供 (排) 给及与之配套设备、设施的维护、 保养。</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⑵办公用房、职工住宅、公用建筑等构筑物的管理和维 护。</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⑶职责范围内地产、房产、车辆设施等国有资产的安全 及监管。</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⑷局机关驻地范围内环境卫生、绿化、美化、综合治理 等与精神文明建设紧密相关事宜的协调、管理、实施。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新疆维吾尓自治区地质矿产勘查开发局机关服务中心</w:t>
      </w:r>
      <w:r>
        <w:rPr>
          <w:rFonts w:hint="default" w:ascii="Times New Roman" w:hAnsi="Times New Roman" w:eastAsia="仿宋_GB2312" w:cs="Times New Roman"/>
          <w:color w:val="auto"/>
          <w:sz w:val="32"/>
          <w:szCs w:val="32"/>
          <w:highlight w:val="none"/>
          <w:lang w:eastAsia="zh-CN"/>
        </w:rPr>
        <w:t>2023</w:t>
      </w:r>
      <w:r>
        <w:rPr>
          <w:rFonts w:hint="eastAsia" w:ascii="仿宋_GB2312" w:eastAsia="仿宋_GB2312"/>
          <w:color w:val="auto"/>
          <w:sz w:val="32"/>
          <w:szCs w:val="32"/>
          <w:highlight w:val="none"/>
          <w:lang w:eastAsia="zh-CN"/>
        </w:rPr>
        <w:t>年度，</w:t>
      </w:r>
      <w:r>
        <w:rPr>
          <w:rFonts w:hint="eastAsia" w:ascii="仿宋_GB2312" w:eastAsia="仿宋_GB2312"/>
          <w:color w:val="auto"/>
          <w:sz w:val="32"/>
          <w:szCs w:val="32"/>
          <w:highlight w:val="none"/>
        </w:rPr>
        <w:t>实有人数</w:t>
      </w:r>
      <w:r>
        <w:rPr>
          <w:rFonts w:hint="eastAsia" w:ascii="Times New Roman" w:hAnsi="Times New Roman" w:eastAsia="仿宋_GB2312" w:cs="Times New Roman"/>
          <w:color w:val="auto"/>
          <w:sz w:val="32"/>
          <w:szCs w:val="32"/>
          <w:highlight w:val="none"/>
          <w:lang w:val="zh-CN" w:eastAsia="zh-CN"/>
        </w:rPr>
        <w:t>138</w:t>
      </w:r>
      <w:r>
        <w:rPr>
          <w:rFonts w:hint="eastAsia" w:ascii="仿宋_GB2312" w:eastAsia="仿宋_GB2312"/>
          <w:color w:val="auto"/>
          <w:sz w:val="32"/>
          <w:szCs w:val="32"/>
          <w:highlight w:val="none"/>
        </w:rPr>
        <w:t>人，其中：在职人员</w:t>
      </w:r>
      <w:r>
        <w:rPr>
          <w:rFonts w:hint="eastAsia" w:ascii="Times New Roman" w:hAnsi="Times New Roman" w:eastAsia="仿宋_GB2312" w:cs="Times New Roman"/>
          <w:color w:val="auto"/>
          <w:sz w:val="32"/>
          <w:szCs w:val="32"/>
          <w:highlight w:val="none"/>
          <w:lang w:val="zh-CN" w:eastAsia="zh-CN"/>
        </w:rPr>
        <w:t>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Times New Roman" w:hAnsi="Times New Roman" w:eastAsia="仿宋_GB2312" w:cs="Times New Roman"/>
          <w:color w:val="auto"/>
          <w:sz w:val="32"/>
          <w:szCs w:val="32"/>
          <w:highlight w:val="none"/>
          <w:lang w:val="zh-CN" w:eastAsia="zh-CN"/>
        </w:rPr>
        <w:t>1</w:t>
      </w:r>
      <w:r>
        <w:rPr>
          <w:rFonts w:hint="eastAsia" w:ascii="仿宋_GB2312" w:eastAsia="仿宋_GB2312"/>
          <w:color w:val="auto"/>
          <w:sz w:val="32"/>
          <w:szCs w:val="32"/>
          <w:highlight w:val="none"/>
        </w:rPr>
        <w:t>人，退休人员</w:t>
      </w:r>
      <w:r>
        <w:rPr>
          <w:rFonts w:hint="eastAsia" w:ascii="Times New Roman" w:hAnsi="Times New Roman" w:eastAsia="仿宋_GB2312" w:cs="Times New Roman"/>
          <w:color w:val="auto"/>
          <w:sz w:val="32"/>
          <w:szCs w:val="32"/>
          <w:highlight w:val="none"/>
          <w:lang w:val="zh-CN" w:eastAsia="zh-CN"/>
        </w:rPr>
        <w:t>131</w:t>
      </w:r>
      <w:r>
        <w:rPr>
          <w:rFonts w:hint="eastAsia" w:ascii="仿宋_GB2312" w:eastAsia="仿宋_GB2312"/>
          <w:color w:val="auto"/>
          <w:sz w:val="32"/>
          <w:szCs w:val="32"/>
          <w:highlight w:val="none"/>
        </w:rPr>
        <w:t>人。</w:t>
      </w:r>
    </w:p>
    <w:p>
      <w:pPr>
        <w:ind w:firstLine="640" w:firstLineChars="200"/>
        <w:jc w:val="both"/>
        <w:rPr>
          <w:rFonts w:ascii="仿宋_GB2312" w:eastAsia="仿宋_GB2312"/>
          <w:sz w:val="32"/>
          <w:szCs w:val="32"/>
        </w:rPr>
      </w:pPr>
      <w:r>
        <w:rPr>
          <w:rFonts w:hint="eastAsia" w:ascii="仿宋_GB2312" w:hAnsi="黑体" w:eastAsia="仿宋_GB2312" w:cs="宋体"/>
          <w:bCs/>
          <w:color w:val="auto"/>
          <w:kern w:val="0"/>
          <w:sz w:val="32"/>
          <w:szCs w:val="32"/>
          <w:highlight w:val="none"/>
        </w:rPr>
        <w:t>单位无下属预算单位，</w:t>
      </w:r>
      <w:r>
        <w:rPr>
          <w:rFonts w:hint="eastAsia" w:ascii="仿宋_GB2312" w:hAnsi="黑体" w:eastAsia="仿宋_GB2312" w:cs="宋体"/>
          <w:bCs/>
          <w:kern w:val="0"/>
          <w:sz w:val="32"/>
          <w:szCs w:val="32"/>
        </w:rPr>
        <w:t>下设</w:t>
      </w:r>
      <w:r>
        <w:rPr>
          <w:rFonts w:hint="eastAsia" w:ascii="Times New Roman" w:hAnsi="Times New Roman" w:eastAsia="仿宋_GB2312" w:cs="Times New Roman"/>
          <w:color w:val="auto"/>
          <w:sz w:val="32"/>
          <w:szCs w:val="32"/>
          <w:highlight w:val="none"/>
          <w:lang w:eastAsia="zh-CN"/>
        </w:rPr>
        <w:t>3</w:t>
      </w:r>
      <w:r>
        <w:rPr>
          <w:rFonts w:hint="eastAsia" w:ascii="仿宋_GB2312" w:hAnsi="黑体" w:eastAsia="仿宋_GB2312" w:cs="宋体"/>
          <w:bCs/>
          <w:kern w:val="0"/>
          <w:sz w:val="32"/>
          <w:szCs w:val="32"/>
        </w:rPr>
        <w:t>个处室，分别是：综合办公室、房产管理科、财务科</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lang w:val="en-US" w:eastAsia="zh-CN"/>
        </w:rPr>
        <w:t xml:space="preserve"> </w:t>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Times New Roman" w:hAnsi="Times New Roman" w:eastAsia="仿宋_GB2312" w:cs="Times New Roman"/>
          <w:color w:val="auto"/>
          <w:sz w:val="32"/>
          <w:szCs w:val="32"/>
          <w:highlight w:val="none"/>
          <w:lang w:eastAsia="zh-CN"/>
        </w:rPr>
        <w:t>2023</w:t>
      </w:r>
      <w:r>
        <w:rPr>
          <w:rFonts w:hint="eastAsia" w:ascii="仿宋_GB2312" w:eastAsia="仿宋_GB2312"/>
          <w:color w:val="auto"/>
          <w:spacing w:val="0"/>
          <w:sz w:val="32"/>
          <w:szCs w:val="32"/>
          <w:highlight w:val="none"/>
          <w:lang w:eastAsia="zh-CN"/>
        </w:rPr>
        <w:t>年度</w:t>
      </w:r>
      <w:r>
        <w:rPr>
          <w:rFonts w:hint="eastAsia" w:ascii="仿宋_GB2312" w:eastAsia="仿宋_GB2312"/>
          <w:color w:val="auto"/>
          <w:spacing w:val="0"/>
          <w:sz w:val="32"/>
          <w:szCs w:val="32"/>
          <w:highlight w:val="none"/>
          <w:lang w:val="en-US" w:eastAsia="zh-CN"/>
        </w:rPr>
        <w:t>收入总计</w:t>
      </w:r>
      <w:r>
        <w:rPr>
          <w:rFonts w:hint="eastAsia" w:ascii="Times New Roman" w:hAnsi="Times New Roman" w:eastAsia="仿宋_GB2312" w:cs="Times New Roman"/>
          <w:color w:val="auto"/>
          <w:sz w:val="32"/>
          <w:szCs w:val="32"/>
          <w:highlight w:val="none"/>
          <w:lang w:eastAsia="zh-CN"/>
        </w:rPr>
        <w:t>4,577.17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其中：本年收入合计</w:t>
      </w:r>
      <w:r>
        <w:rPr>
          <w:rFonts w:hint="eastAsia" w:ascii="Times New Roman" w:hAnsi="Times New Roman" w:eastAsia="仿宋_GB2312" w:cs="Times New Roman"/>
          <w:color w:val="auto"/>
          <w:sz w:val="32"/>
          <w:szCs w:val="32"/>
          <w:highlight w:val="none"/>
          <w:lang w:eastAsia="zh-CN"/>
        </w:rPr>
        <w:t>537.53</w:t>
      </w:r>
      <w:r>
        <w:rPr>
          <w:rFonts w:hint="eastAsia" w:ascii="仿宋_GB2312" w:eastAsia="仿宋_GB2312"/>
          <w:color w:val="auto"/>
          <w:spacing w:val="0"/>
          <w:sz w:val="32"/>
          <w:szCs w:val="32"/>
          <w:highlight w:val="none"/>
          <w:lang w:eastAsia="zh-CN"/>
        </w:rPr>
        <w:t>万元，使用非财政拨款结余</w:t>
      </w:r>
      <w:r>
        <w:rPr>
          <w:rFonts w:hint="eastAsia" w:ascii="Times New Roman" w:hAnsi="Times New Roman" w:eastAsia="仿宋_GB2312" w:cs="Times New Roman"/>
          <w:color w:val="auto"/>
          <w:sz w:val="32"/>
          <w:szCs w:val="32"/>
          <w:highlight w:val="none"/>
          <w:lang w:eastAsia="zh-CN"/>
        </w:rPr>
        <w:t>3,929.50</w:t>
      </w:r>
      <w:r>
        <w:rPr>
          <w:rFonts w:hint="eastAsia" w:ascii="仿宋_GB2312" w:eastAsia="仿宋_GB2312"/>
          <w:color w:val="auto"/>
          <w:spacing w:val="0"/>
          <w:sz w:val="32"/>
          <w:szCs w:val="32"/>
          <w:highlight w:val="none"/>
          <w:lang w:eastAsia="zh-CN"/>
        </w:rPr>
        <w:t>万元，年初结转和结余</w:t>
      </w:r>
      <w:r>
        <w:rPr>
          <w:rFonts w:hint="eastAsia" w:ascii="Times New Roman" w:hAnsi="Times New Roman" w:eastAsia="仿宋_GB2312" w:cs="Times New Roman"/>
          <w:color w:val="auto"/>
          <w:sz w:val="32"/>
          <w:szCs w:val="32"/>
          <w:highlight w:val="none"/>
          <w:lang w:eastAsia="zh-CN"/>
        </w:rPr>
        <w:t>110.14</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Times New Roman" w:hAnsi="Times New Roman" w:eastAsia="仿宋_GB2312" w:cs="Times New Roman"/>
          <w:color w:val="auto"/>
          <w:sz w:val="32"/>
          <w:szCs w:val="32"/>
          <w:highlight w:val="none"/>
          <w:lang w:eastAsia="zh-CN"/>
        </w:rPr>
        <w:t>4,577.17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其中：本年支出合计</w:t>
      </w:r>
      <w:r>
        <w:rPr>
          <w:rFonts w:hint="eastAsia" w:ascii="Times New Roman" w:hAnsi="Times New Roman" w:eastAsia="仿宋_GB2312" w:cs="Times New Roman"/>
          <w:color w:val="auto"/>
          <w:sz w:val="32"/>
          <w:szCs w:val="32"/>
          <w:highlight w:val="none"/>
          <w:lang w:eastAsia="zh-CN"/>
        </w:rPr>
        <w:t>4,577.17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结余分配</w:t>
      </w:r>
      <w:r>
        <w:rPr>
          <w:rFonts w:hint="eastAsia" w:ascii="Times New Roman" w:hAnsi="Times New Roman" w:eastAsia="仿宋_GB2312" w:cs="Times New Roman"/>
          <w:color w:val="auto"/>
          <w:sz w:val="32"/>
          <w:szCs w:val="32"/>
          <w:highlight w:val="none"/>
          <w:lang w:eastAsia="zh-CN"/>
        </w:rPr>
        <w:t>0.00</w:t>
      </w:r>
      <w:r>
        <w:rPr>
          <w:rFonts w:hint="eastAsia" w:ascii="仿宋_GB2312" w:eastAsia="仿宋_GB2312"/>
          <w:color w:val="auto"/>
          <w:spacing w:val="0"/>
          <w:sz w:val="32"/>
          <w:szCs w:val="32"/>
          <w:highlight w:val="none"/>
          <w:lang w:eastAsia="zh-CN"/>
        </w:rPr>
        <w:t>万元，年末结转和结余</w:t>
      </w:r>
      <w:r>
        <w:rPr>
          <w:rFonts w:hint="eastAsia" w:ascii="Times New Roman" w:hAnsi="Times New Roman" w:eastAsia="仿宋_GB2312" w:cs="Times New Roman"/>
          <w:color w:val="auto"/>
          <w:sz w:val="32"/>
          <w:szCs w:val="32"/>
          <w:highlight w:val="none"/>
          <w:lang w:eastAsia="zh-CN"/>
        </w:rPr>
        <w:t>0.00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w:t>
      </w:r>
      <w:r>
        <w:rPr>
          <w:rFonts w:hint="eastAsia" w:ascii="Times New Roman" w:hAnsi="Times New Roman" w:eastAsia="仿宋_GB2312" w:cs="Times New Roman"/>
          <w:color w:val="auto"/>
          <w:sz w:val="32"/>
          <w:szCs w:val="32"/>
          <w:highlight w:val="none"/>
          <w:lang w:val="zh-CN" w:eastAsia="zh-CN"/>
        </w:rPr>
        <w:t>1,930.6</w:t>
      </w:r>
      <w:r>
        <w:rPr>
          <w:rFonts w:hint="eastAsia" w:eastAsia="仿宋_GB2312" w:cs="Times New Roman"/>
          <w:color w:val="auto"/>
          <w:sz w:val="32"/>
          <w:szCs w:val="32"/>
          <w:highlight w:val="none"/>
          <w:lang w:val="en-US" w:eastAsia="zh-CN"/>
        </w:rPr>
        <w:t>8</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eastAsia" w:ascii="Times New Roman" w:hAnsi="Times New Roman" w:eastAsia="仿宋_GB2312" w:cs="Times New Roman"/>
          <w:color w:val="auto"/>
          <w:sz w:val="32"/>
          <w:szCs w:val="32"/>
          <w:highlight w:val="none"/>
          <w:lang w:val="zh-CN" w:eastAsia="zh-CN"/>
        </w:rPr>
        <w:t>72.95</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，主要原因是：在职人员较上年减少</w:t>
      </w:r>
      <w:r>
        <w:rPr>
          <w:rFonts w:hint="eastAsia" w:ascii="Times New Roman" w:hAnsi="Times New Roman" w:eastAsia="仿宋_GB2312" w:cs="Times New Roman"/>
          <w:color w:val="auto"/>
          <w:sz w:val="32"/>
          <w:szCs w:val="32"/>
          <w:highlight w:val="none"/>
          <w:lang w:val="en-US" w:eastAsia="zh-CN"/>
        </w:rPr>
        <w:t>2</w:t>
      </w:r>
      <w:r>
        <w:rPr>
          <w:rFonts w:hint="eastAsia" w:ascii="仿宋_GB2312" w:eastAsia="仿宋_GB2312"/>
          <w:color w:val="auto"/>
          <w:spacing w:val="0"/>
          <w:sz w:val="32"/>
          <w:szCs w:val="32"/>
          <w:highlight w:val="none"/>
          <w:lang w:val="en-US" w:eastAsia="zh-CN"/>
        </w:rPr>
        <w:t>人，退休人员较上年减少</w:t>
      </w:r>
      <w:r>
        <w:rPr>
          <w:rFonts w:hint="eastAsia" w:ascii="Times New Roman" w:hAnsi="Times New Roman" w:eastAsia="仿宋_GB2312" w:cs="Times New Roman"/>
          <w:color w:val="auto"/>
          <w:sz w:val="32"/>
          <w:szCs w:val="32"/>
          <w:highlight w:val="none"/>
          <w:lang w:val="en-US" w:eastAsia="zh-CN"/>
        </w:rPr>
        <w:t>2</w:t>
      </w:r>
      <w:r>
        <w:rPr>
          <w:rFonts w:hint="eastAsia" w:ascii="仿宋_GB2312" w:eastAsia="仿宋_GB2312"/>
          <w:color w:val="auto"/>
          <w:spacing w:val="0"/>
          <w:sz w:val="32"/>
          <w:szCs w:val="32"/>
          <w:highlight w:val="none"/>
          <w:lang w:val="en-US" w:eastAsia="zh-CN"/>
        </w:rPr>
        <w:t>人，人员减少导致财政拨款收入较上年减少</w:t>
      </w:r>
      <w:r>
        <w:rPr>
          <w:rFonts w:hint="eastAsia" w:ascii="Times New Roman" w:hAnsi="Times New Roman" w:eastAsia="仿宋_GB2312" w:cs="Times New Roman"/>
          <w:color w:val="auto"/>
          <w:sz w:val="32"/>
          <w:szCs w:val="32"/>
          <w:highlight w:val="none"/>
          <w:lang w:val="en-US" w:eastAsia="zh-CN"/>
        </w:rPr>
        <w:t>30.68</w:t>
      </w:r>
      <w:r>
        <w:rPr>
          <w:rFonts w:hint="eastAsia" w:ascii="仿宋_GB2312" w:eastAsia="仿宋_GB2312"/>
          <w:color w:val="auto"/>
          <w:spacing w:val="0"/>
          <w:sz w:val="32"/>
          <w:szCs w:val="32"/>
          <w:highlight w:val="none"/>
          <w:lang w:val="en-US" w:eastAsia="zh-CN"/>
        </w:rPr>
        <w:t>万元</w:t>
      </w:r>
      <w:r>
        <w:rPr>
          <w:rFonts w:hint="eastAsia" w:ascii="仿宋_GB2312" w:eastAsia="仿宋_GB2312"/>
          <w:color w:val="auto"/>
          <w:spacing w:val="0"/>
          <w:sz w:val="32"/>
          <w:szCs w:val="32"/>
          <w:highlight w:val="none"/>
          <w:lang w:eastAsia="zh-CN"/>
        </w:rPr>
        <w:t>。利息收入较上年增加</w:t>
      </w:r>
      <w:r>
        <w:rPr>
          <w:rFonts w:hint="eastAsia" w:ascii="Times New Roman" w:hAnsi="Times New Roman" w:eastAsia="仿宋_GB2312" w:cs="Times New Roman"/>
          <w:color w:val="auto"/>
          <w:sz w:val="32"/>
          <w:szCs w:val="32"/>
          <w:highlight w:val="none"/>
          <w:lang w:val="en-US" w:eastAsia="zh-CN"/>
        </w:rPr>
        <w:t>2.8</w:t>
      </w:r>
      <w:r>
        <w:rPr>
          <w:rFonts w:hint="eastAsia" w:eastAsia="仿宋_GB2312" w:cs="Times New Roman"/>
          <w:color w:val="auto"/>
          <w:sz w:val="32"/>
          <w:szCs w:val="32"/>
          <w:highlight w:val="none"/>
          <w:lang w:val="en-US" w:eastAsia="zh-CN"/>
        </w:rPr>
        <w:t>0</w:t>
      </w:r>
      <w:r>
        <w:rPr>
          <w:rFonts w:hint="eastAsia" w:ascii="仿宋_GB2312" w:eastAsia="仿宋_GB2312"/>
          <w:color w:val="auto"/>
          <w:spacing w:val="0"/>
          <w:sz w:val="32"/>
          <w:szCs w:val="32"/>
          <w:highlight w:val="none"/>
          <w:lang w:val="en-US" w:eastAsia="zh-CN"/>
        </w:rPr>
        <w:t>万元。基础建设项目较上年增加</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958.55</w:t>
      </w:r>
      <w:r>
        <w:rPr>
          <w:rFonts w:hint="eastAsia" w:ascii="仿宋_GB2312" w:eastAsia="仿宋_GB2312"/>
          <w:color w:val="auto"/>
          <w:spacing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Times New Roman" w:hAnsi="Times New Roman" w:eastAsia="仿宋_GB2312" w:cs="Times New Roman"/>
          <w:color w:val="auto"/>
          <w:sz w:val="32"/>
          <w:szCs w:val="32"/>
          <w:highlight w:val="none"/>
          <w:lang w:val="en-US" w:eastAsia="zh-CN"/>
        </w:rPr>
        <w:t>537.53</w:t>
      </w:r>
      <w:r>
        <w:rPr>
          <w:rFonts w:hint="eastAsia" w:ascii="仿宋_GB2312" w:eastAsia="仿宋_GB2312"/>
          <w:color w:val="auto"/>
          <w:sz w:val="32"/>
          <w:szCs w:val="32"/>
          <w:highlight w:val="none"/>
        </w:rPr>
        <w:t>万元，其中：财政拨款收入</w:t>
      </w:r>
      <w:r>
        <w:rPr>
          <w:rFonts w:hint="eastAsia" w:ascii="Times New Roman" w:hAnsi="Times New Roman" w:eastAsia="仿宋_GB2312" w:cs="Times New Roman"/>
          <w:color w:val="auto"/>
          <w:sz w:val="32"/>
          <w:szCs w:val="32"/>
          <w:highlight w:val="none"/>
          <w:lang w:val="zh-CN" w:eastAsia="zh-CN"/>
        </w:rPr>
        <w:t>526.27</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97.9</w:t>
      </w:r>
      <w:r>
        <w:rPr>
          <w:rFonts w:hint="eastAsia" w:eastAsia="仿宋_GB2312" w:cs="Times New Roman"/>
          <w:color w:val="auto"/>
          <w:sz w:val="32"/>
          <w:szCs w:val="32"/>
          <w:highlight w:val="none"/>
          <w:lang w:val="en-US" w:eastAsia="zh-CN"/>
        </w:rPr>
        <w:t>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Times New Roman" w:hAnsi="Times New Roman" w:eastAsia="仿宋_GB2312" w:cs="Times New Roman"/>
          <w:color w:val="auto"/>
          <w:sz w:val="32"/>
          <w:szCs w:val="32"/>
          <w:highlight w:val="none"/>
          <w:lang w:val="zh-CN" w:eastAsia="zh-CN"/>
        </w:rPr>
        <w:t>11.25</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2.09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0"/>
          <w:szCs w:val="30"/>
          <w:highlight w:val="none"/>
          <w:lang w:val="zh-CN" w:eastAsia="zh-CN"/>
        </w:rPr>
      </w:pPr>
      <w:r>
        <w:rPr>
          <w:rFonts w:hint="eastAsia" w:ascii="仿宋_GB2312" w:hAnsi="仿宋_GB2312" w:eastAsia="仿宋_GB2312" w:cs="仿宋_GB2312"/>
          <w:color w:val="auto"/>
          <w:sz w:val="32"/>
          <w:szCs w:val="32"/>
          <w:highlight w:val="none"/>
          <w:lang w:val="zh-CN" w:eastAsia="zh-CN"/>
        </w:rPr>
        <w:t>本年支出</w:t>
      </w:r>
      <w:r>
        <w:rPr>
          <w:rFonts w:hint="eastAsia" w:ascii="Times New Roman" w:hAnsi="Times New Roman" w:eastAsia="仿宋_GB2312" w:cs="Times New Roman"/>
          <w:color w:val="auto"/>
          <w:sz w:val="32"/>
          <w:szCs w:val="32"/>
          <w:highlight w:val="none"/>
          <w:lang w:val="zh-CN" w:eastAsia="zh-CN"/>
        </w:rPr>
        <w:t>4,577.17</w:t>
      </w:r>
      <w:r>
        <w:rPr>
          <w:rFonts w:hint="eastAsia" w:ascii="仿宋_GB2312" w:hAnsi="仿宋_GB2312" w:eastAsia="仿宋_GB2312" w:cs="仿宋_GB2312"/>
          <w:color w:val="auto"/>
          <w:sz w:val="32"/>
          <w:szCs w:val="32"/>
          <w:highlight w:val="none"/>
          <w:lang w:val="zh-CN" w:eastAsia="zh-CN"/>
        </w:rPr>
        <w:t>万元，其中：基本支出</w:t>
      </w:r>
      <w:r>
        <w:rPr>
          <w:rFonts w:hint="eastAsia" w:ascii="Times New Roman" w:hAnsi="Times New Roman" w:eastAsia="仿宋_GB2312" w:cs="Times New Roman"/>
          <w:color w:val="auto"/>
          <w:sz w:val="32"/>
          <w:szCs w:val="32"/>
          <w:highlight w:val="none"/>
          <w:lang w:val="zh-CN" w:eastAsia="zh-CN"/>
        </w:rPr>
        <w:t>526.27</w:t>
      </w:r>
      <w:r>
        <w:rPr>
          <w:rFonts w:hint="eastAsia" w:ascii="仿宋_GB2312" w:hAnsi="仿宋_GB2312" w:eastAsia="仿宋_GB2312" w:cs="仿宋_GB2312"/>
          <w:color w:val="auto"/>
          <w:sz w:val="32"/>
          <w:szCs w:val="32"/>
          <w:highlight w:val="none"/>
          <w:lang w:val="zh-CN" w:eastAsia="zh-CN"/>
        </w:rPr>
        <w:t>万元，占</w:t>
      </w:r>
      <w:r>
        <w:rPr>
          <w:rFonts w:hint="eastAsia" w:ascii="Times New Roman" w:hAnsi="Times New Roman" w:eastAsia="仿宋_GB2312" w:cs="Times New Roman"/>
          <w:color w:val="auto"/>
          <w:sz w:val="32"/>
          <w:szCs w:val="32"/>
          <w:highlight w:val="none"/>
          <w:lang w:val="zh-CN" w:eastAsia="zh-CN"/>
        </w:rPr>
        <w:t>11.</w:t>
      </w:r>
      <w:r>
        <w:rPr>
          <w:rFonts w:hint="eastAsia" w:eastAsia="仿宋_GB2312" w:cs="Times New Roman"/>
          <w:color w:val="auto"/>
          <w:sz w:val="32"/>
          <w:szCs w:val="32"/>
          <w:highlight w:val="none"/>
          <w:lang w:val="en-US" w:eastAsia="zh-CN"/>
        </w:rPr>
        <w:t>50</w:t>
      </w:r>
      <w:r>
        <w:rPr>
          <w:rFonts w:hint="eastAsia" w:ascii="仿宋_GB2312" w:hAnsi="仿宋_GB2312" w:eastAsia="仿宋_GB2312" w:cs="仿宋_GB2312"/>
          <w:color w:val="auto"/>
          <w:sz w:val="32"/>
          <w:szCs w:val="32"/>
          <w:highlight w:val="none"/>
          <w:lang w:val="zh-CN" w:eastAsia="zh-CN"/>
        </w:rPr>
        <w:t>%；项目支出</w:t>
      </w:r>
      <w:r>
        <w:rPr>
          <w:rFonts w:hint="eastAsia" w:ascii="Times New Roman" w:hAnsi="Times New Roman" w:eastAsia="仿宋_GB2312" w:cs="Times New Roman"/>
          <w:color w:val="auto"/>
          <w:sz w:val="32"/>
          <w:szCs w:val="32"/>
          <w:highlight w:val="none"/>
          <w:lang w:val="zh-CN" w:eastAsia="zh-CN"/>
        </w:rPr>
        <w:t>4,050.90</w:t>
      </w:r>
      <w:r>
        <w:rPr>
          <w:rFonts w:hint="eastAsia" w:ascii="仿宋_GB2312" w:hAnsi="仿宋_GB2312" w:eastAsia="仿宋_GB2312" w:cs="仿宋_GB2312"/>
          <w:color w:val="auto"/>
          <w:sz w:val="32"/>
          <w:szCs w:val="32"/>
          <w:highlight w:val="none"/>
          <w:lang w:val="zh-CN" w:eastAsia="zh-CN"/>
        </w:rPr>
        <w:t>万元，占</w:t>
      </w:r>
      <w:r>
        <w:rPr>
          <w:rFonts w:hint="eastAsia" w:ascii="Times New Roman" w:hAnsi="Times New Roman" w:eastAsia="仿宋_GB2312" w:cs="Times New Roman"/>
          <w:color w:val="auto"/>
          <w:sz w:val="32"/>
          <w:szCs w:val="32"/>
          <w:highlight w:val="none"/>
          <w:lang w:val="zh-CN" w:eastAsia="zh-CN"/>
        </w:rPr>
        <w:t>88.50</w:t>
      </w:r>
      <w:r>
        <w:rPr>
          <w:rFonts w:hint="eastAsia" w:ascii="仿宋_GB2312" w:hAnsi="仿宋_GB2312" w:eastAsia="仿宋_GB2312" w:cs="仿宋_GB2312"/>
          <w:color w:val="auto"/>
          <w:sz w:val="32"/>
          <w:szCs w:val="32"/>
          <w:highlight w:val="none"/>
          <w:lang w:val="zh-CN" w:eastAsia="zh-CN"/>
        </w:rPr>
        <w:t>%；上缴上级支出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%；经营支出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%；对附属单位补助支出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rPr>
        <w:t>2023</w:t>
      </w:r>
      <w:r>
        <w:rPr>
          <w:rFonts w:hint="eastAsia" w:ascii="仿宋_GB2312" w:eastAsia="仿宋_GB2312"/>
          <w:color w:val="auto"/>
          <w:spacing w:val="0"/>
          <w:sz w:val="32"/>
          <w:szCs w:val="32"/>
          <w:highlight w:val="none"/>
          <w:lang w:eastAsia="zh-CN"/>
        </w:rPr>
        <w:t>年度财政拨款收入</w:t>
      </w:r>
      <w:r>
        <w:rPr>
          <w:rFonts w:hint="eastAsia" w:ascii="仿宋_GB2312" w:eastAsia="仿宋_GB2312"/>
          <w:color w:val="auto"/>
          <w:spacing w:val="0"/>
          <w:sz w:val="32"/>
          <w:szCs w:val="32"/>
          <w:highlight w:val="none"/>
          <w:lang w:val="en-US" w:eastAsia="zh-CN"/>
        </w:rPr>
        <w:t>总计</w:t>
      </w:r>
      <w:r>
        <w:rPr>
          <w:rFonts w:hint="eastAsia" w:ascii="Times New Roman" w:hAnsi="Times New Roman" w:eastAsia="仿宋_GB2312" w:cs="Times New Roman"/>
          <w:color w:val="auto"/>
          <w:sz w:val="32"/>
          <w:szCs w:val="32"/>
          <w:highlight w:val="none"/>
          <w:lang w:val="zh-CN" w:eastAsia="zh-CN"/>
        </w:rPr>
        <w:t>526.27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Times New Roman" w:hAnsi="Times New Roman" w:eastAsia="仿宋_GB2312" w:cs="Times New Roman"/>
          <w:color w:val="auto"/>
          <w:sz w:val="32"/>
          <w:szCs w:val="32"/>
          <w:highlight w:val="none"/>
          <w:lang w:val="zh-CN" w:eastAsia="zh-CN"/>
        </w:rPr>
        <w:t>526.27</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Times New Roman" w:hAnsi="Times New Roman" w:eastAsia="仿宋_GB2312" w:cs="Times New Roman"/>
          <w:color w:val="auto"/>
          <w:sz w:val="32"/>
          <w:szCs w:val="32"/>
          <w:highlight w:val="none"/>
          <w:lang w:val="zh-CN" w:eastAsia="zh-CN"/>
        </w:rPr>
        <w:t>526.27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Times New Roman" w:hAnsi="Times New Roman" w:eastAsia="仿宋_GB2312" w:cs="Times New Roman"/>
          <w:color w:val="auto"/>
          <w:sz w:val="32"/>
          <w:szCs w:val="32"/>
          <w:highlight w:val="none"/>
          <w:lang w:val="zh-CN" w:eastAsia="zh-CN"/>
        </w:rPr>
        <w:t>526.27</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w:t>
      </w:r>
      <w:r>
        <w:rPr>
          <w:rFonts w:hint="eastAsia" w:ascii="Times New Roman" w:hAnsi="Times New Roman" w:eastAsia="仿宋_GB2312" w:cs="Times New Roman"/>
          <w:color w:val="auto"/>
          <w:sz w:val="32"/>
          <w:szCs w:val="32"/>
          <w:highlight w:val="none"/>
          <w:lang w:val="zh-CN" w:eastAsia="zh-CN"/>
        </w:rPr>
        <w:t>30.6</w:t>
      </w:r>
      <w:r>
        <w:rPr>
          <w:rFonts w:hint="eastAsia" w:eastAsia="仿宋_GB2312" w:cs="Times New Roman"/>
          <w:color w:val="auto"/>
          <w:sz w:val="32"/>
          <w:szCs w:val="32"/>
          <w:highlight w:val="none"/>
          <w:lang w:val="en-US" w:eastAsia="zh-CN"/>
        </w:rPr>
        <w:t>8</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w:t>
      </w:r>
      <w:r>
        <w:rPr>
          <w:rFonts w:hint="eastAsia" w:ascii="Times New Roman" w:hAnsi="Times New Roman" w:eastAsia="仿宋_GB2312" w:cs="Times New Roman"/>
          <w:color w:val="auto"/>
          <w:sz w:val="32"/>
          <w:szCs w:val="32"/>
          <w:highlight w:val="none"/>
          <w:lang w:val="zh-CN" w:eastAsia="zh-CN"/>
        </w:rPr>
        <w:t>5.51</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主要原因是：在职人员较上年减少</w:t>
      </w:r>
      <w:r>
        <w:rPr>
          <w:rFonts w:hint="eastAsia" w:ascii="Times New Roman" w:hAnsi="Times New Roman" w:eastAsia="仿宋_GB2312" w:cs="Times New Roman"/>
          <w:color w:val="auto"/>
          <w:sz w:val="32"/>
          <w:szCs w:val="32"/>
          <w:highlight w:val="none"/>
          <w:lang w:val="en-US" w:eastAsia="zh-CN"/>
        </w:rPr>
        <w:t>2</w:t>
      </w:r>
      <w:r>
        <w:rPr>
          <w:rFonts w:hint="eastAsia" w:ascii="仿宋_GB2312" w:eastAsia="仿宋_GB2312"/>
          <w:color w:val="auto"/>
          <w:spacing w:val="0"/>
          <w:sz w:val="32"/>
          <w:szCs w:val="32"/>
          <w:highlight w:val="none"/>
          <w:lang w:val="en-US" w:eastAsia="zh-CN"/>
        </w:rPr>
        <w:t>人，退休人员较上年减少</w:t>
      </w:r>
      <w:r>
        <w:rPr>
          <w:rFonts w:hint="eastAsia" w:ascii="Times New Roman" w:hAnsi="Times New Roman" w:eastAsia="仿宋_GB2312" w:cs="Times New Roman"/>
          <w:color w:val="auto"/>
          <w:sz w:val="32"/>
          <w:szCs w:val="32"/>
          <w:highlight w:val="none"/>
          <w:lang w:val="en-US" w:eastAsia="zh-CN"/>
        </w:rPr>
        <w:t>2</w:t>
      </w:r>
      <w:r>
        <w:rPr>
          <w:rFonts w:hint="eastAsia" w:ascii="仿宋_GB2312" w:eastAsia="仿宋_GB2312"/>
          <w:color w:val="auto"/>
          <w:spacing w:val="0"/>
          <w:sz w:val="32"/>
          <w:szCs w:val="32"/>
          <w:highlight w:val="none"/>
          <w:lang w:val="en-US" w:eastAsia="zh-CN"/>
        </w:rPr>
        <w:t>人，人员减少导致财政拨款收入较上年减少</w:t>
      </w:r>
      <w:r>
        <w:rPr>
          <w:rFonts w:hint="eastAsia" w:ascii="仿宋_GB2312" w:eastAsia="仿宋_GB2312"/>
          <w:color w:val="auto"/>
          <w:spacing w:val="0"/>
          <w:sz w:val="32"/>
          <w:szCs w:val="32"/>
          <w:highlight w:val="none"/>
          <w:lang w:eastAsia="zh-CN"/>
        </w:rPr>
        <w:t>。与年初预算相比，年初预算数</w:t>
      </w:r>
      <w:r>
        <w:rPr>
          <w:rFonts w:hint="eastAsia" w:ascii="Times New Roman" w:hAnsi="Times New Roman" w:eastAsia="仿宋_GB2312" w:cs="Times New Roman"/>
          <w:color w:val="auto"/>
          <w:sz w:val="32"/>
          <w:szCs w:val="32"/>
          <w:highlight w:val="none"/>
          <w:lang w:val="zh-CN" w:eastAsia="zh-CN"/>
        </w:rPr>
        <w:t>593.70</w:t>
      </w:r>
      <w:r>
        <w:rPr>
          <w:rFonts w:hint="eastAsia" w:ascii="仿宋_GB2312" w:eastAsia="仿宋_GB2312"/>
          <w:color w:val="auto"/>
          <w:spacing w:val="0"/>
          <w:sz w:val="32"/>
          <w:szCs w:val="32"/>
          <w:highlight w:val="none"/>
          <w:lang w:eastAsia="zh-CN"/>
        </w:rPr>
        <w:t>万元，决算数</w:t>
      </w:r>
      <w:r>
        <w:rPr>
          <w:rFonts w:hint="eastAsia" w:ascii="Times New Roman" w:hAnsi="Times New Roman" w:eastAsia="仿宋_GB2312" w:cs="Times New Roman"/>
          <w:color w:val="auto"/>
          <w:sz w:val="32"/>
          <w:szCs w:val="32"/>
          <w:highlight w:val="none"/>
          <w:lang w:val="zh-CN" w:eastAsia="zh-CN"/>
        </w:rPr>
        <w:t>526.27</w:t>
      </w:r>
      <w:r>
        <w:rPr>
          <w:rFonts w:hint="eastAsia" w:ascii="仿宋_GB2312" w:eastAsia="仿宋_GB2312"/>
          <w:color w:val="auto"/>
          <w:spacing w:val="0"/>
          <w:sz w:val="32"/>
          <w:szCs w:val="32"/>
          <w:highlight w:val="none"/>
          <w:lang w:eastAsia="zh-CN"/>
        </w:rPr>
        <w:t>万元，预决算差异率</w:t>
      </w:r>
      <w:r>
        <w:rPr>
          <w:rFonts w:hint="eastAsia" w:ascii="Times New Roman" w:hAnsi="Times New Roman" w:eastAsia="仿宋_GB2312" w:cs="Times New Roman"/>
          <w:color w:val="auto"/>
          <w:sz w:val="32"/>
          <w:szCs w:val="32"/>
          <w:highlight w:val="none"/>
          <w:lang w:val="en-US" w:eastAsia="zh-CN"/>
        </w:rPr>
        <w:t>-11.36</w:t>
      </w:r>
      <w:r>
        <w:rPr>
          <w:rFonts w:hint="eastAsia" w:ascii="仿宋_GB2312" w:eastAsia="仿宋_GB2312"/>
          <w:color w:val="auto"/>
          <w:spacing w:val="0"/>
          <w:sz w:val="32"/>
          <w:szCs w:val="32"/>
          <w:highlight w:val="none"/>
          <w:lang w:eastAsia="zh-CN"/>
        </w:rPr>
        <w:t>%，主要原因是：财政收回退休人员医疗金拨款额度。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2023</w:t>
      </w:r>
      <w:r>
        <w:rPr>
          <w:rFonts w:hint="eastAsia" w:ascii="仿宋_GB2312" w:eastAsia="仿宋_GB2312"/>
          <w:color w:val="auto"/>
          <w:spacing w:val="0"/>
          <w:sz w:val="32"/>
          <w:szCs w:val="32"/>
          <w:highlight w:val="none"/>
          <w:lang w:eastAsia="zh-CN"/>
        </w:rPr>
        <w:t>年度一般公共预算财政拨款支出</w:t>
      </w:r>
      <w:r>
        <w:rPr>
          <w:rFonts w:hint="eastAsia" w:ascii="Times New Roman" w:hAnsi="Times New Roman" w:eastAsia="仿宋_GB2312" w:cs="Times New Roman"/>
          <w:color w:val="auto"/>
          <w:sz w:val="32"/>
          <w:szCs w:val="32"/>
          <w:highlight w:val="none"/>
          <w:lang w:val="en-US" w:eastAsia="zh-CN"/>
        </w:rPr>
        <w:t>526.27</w:t>
      </w:r>
      <w:r>
        <w:rPr>
          <w:rFonts w:hint="eastAsia" w:ascii="仿宋_GB2312" w:eastAsia="仿宋_GB2312"/>
          <w:color w:val="auto"/>
          <w:spacing w:val="0"/>
          <w:sz w:val="32"/>
          <w:szCs w:val="32"/>
          <w:highlight w:val="none"/>
          <w:lang w:eastAsia="zh-CN"/>
        </w:rPr>
        <w:t>万元，占本年支出合计的</w:t>
      </w:r>
      <w:r>
        <w:rPr>
          <w:rFonts w:hint="eastAsia" w:ascii="Times New Roman" w:hAnsi="Times New Roman" w:eastAsia="仿宋_GB2312" w:cs="Times New Roman"/>
          <w:color w:val="auto"/>
          <w:sz w:val="32"/>
          <w:szCs w:val="32"/>
          <w:highlight w:val="none"/>
          <w:lang w:val="zh-CN" w:eastAsia="zh-CN"/>
        </w:rPr>
        <w:t>11.50</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w:t>
      </w:r>
      <w:r>
        <w:rPr>
          <w:rFonts w:hint="eastAsia" w:ascii="Times New Roman" w:hAnsi="Times New Roman" w:eastAsia="仿宋_GB2312" w:cs="Times New Roman"/>
          <w:color w:val="auto"/>
          <w:sz w:val="32"/>
          <w:szCs w:val="32"/>
          <w:highlight w:val="none"/>
          <w:lang w:val="zh-CN" w:eastAsia="zh-CN"/>
        </w:rPr>
        <w:t>30.6</w:t>
      </w:r>
      <w:r>
        <w:rPr>
          <w:rFonts w:hint="eastAsia" w:eastAsia="仿宋_GB2312" w:cs="Times New Roman"/>
          <w:color w:val="auto"/>
          <w:sz w:val="32"/>
          <w:szCs w:val="32"/>
          <w:highlight w:val="none"/>
          <w:lang w:val="en-US" w:eastAsia="zh-CN"/>
        </w:rPr>
        <w:t>8</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w:t>
      </w:r>
      <w:r>
        <w:rPr>
          <w:rFonts w:hint="eastAsia" w:ascii="Times New Roman" w:hAnsi="Times New Roman" w:eastAsia="仿宋_GB2312" w:cs="Times New Roman"/>
          <w:color w:val="auto"/>
          <w:sz w:val="32"/>
          <w:szCs w:val="32"/>
          <w:highlight w:val="none"/>
          <w:lang w:val="zh-CN" w:eastAsia="zh-CN"/>
        </w:rPr>
        <w:t>5.51</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主要原因是：在职人员较上年减少</w:t>
      </w:r>
      <w:r>
        <w:rPr>
          <w:rFonts w:hint="eastAsia" w:ascii="Times New Roman" w:hAnsi="Times New Roman" w:eastAsia="仿宋_GB2312" w:cs="Times New Roman"/>
          <w:color w:val="auto"/>
          <w:sz w:val="32"/>
          <w:szCs w:val="32"/>
          <w:highlight w:val="none"/>
          <w:lang w:val="en-US" w:eastAsia="zh-CN"/>
        </w:rPr>
        <w:t>2</w:t>
      </w:r>
      <w:r>
        <w:rPr>
          <w:rFonts w:hint="eastAsia" w:ascii="仿宋_GB2312" w:eastAsia="仿宋_GB2312"/>
          <w:color w:val="auto"/>
          <w:spacing w:val="0"/>
          <w:sz w:val="32"/>
          <w:szCs w:val="32"/>
          <w:highlight w:val="none"/>
          <w:lang w:val="en-US" w:eastAsia="zh-CN"/>
        </w:rPr>
        <w:t>人，退休人员较上年减少</w:t>
      </w:r>
      <w:r>
        <w:rPr>
          <w:rFonts w:hint="eastAsia" w:ascii="Times New Roman" w:hAnsi="Times New Roman" w:eastAsia="仿宋_GB2312" w:cs="Times New Roman"/>
          <w:color w:val="auto"/>
          <w:sz w:val="32"/>
          <w:szCs w:val="32"/>
          <w:highlight w:val="none"/>
          <w:lang w:val="en-US" w:eastAsia="zh-CN"/>
        </w:rPr>
        <w:t>2</w:t>
      </w:r>
      <w:r>
        <w:rPr>
          <w:rFonts w:hint="eastAsia" w:ascii="仿宋_GB2312" w:eastAsia="仿宋_GB2312"/>
          <w:color w:val="auto"/>
          <w:spacing w:val="0"/>
          <w:sz w:val="32"/>
          <w:szCs w:val="32"/>
          <w:highlight w:val="none"/>
          <w:lang w:val="en-US" w:eastAsia="zh-CN"/>
        </w:rPr>
        <w:t>人，人员减少导致财政拨款收入较上年减少</w:t>
      </w:r>
      <w:r>
        <w:rPr>
          <w:rFonts w:hint="eastAsia" w:ascii="仿宋_GB2312" w:eastAsia="仿宋_GB2312"/>
          <w:color w:val="auto"/>
          <w:spacing w:val="0"/>
          <w:sz w:val="32"/>
          <w:szCs w:val="32"/>
          <w:highlight w:val="none"/>
          <w:lang w:eastAsia="zh-CN"/>
        </w:rPr>
        <w:t>。与年初预算相比，年初预算数</w:t>
      </w:r>
      <w:r>
        <w:rPr>
          <w:rFonts w:hint="eastAsia" w:ascii="Times New Roman" w:hAnsi="Times New Roman" w:eastAsia="仿宋_GB2312" w:cs="Times New Roman"/>
          <w:color w:val="auto"/>
          <w:sz w:val="32"/>
          <w:szCs w:val="32"/>
          <w:highlight w:val="none"/>
          <w:lang w:val="zh-CN" w:eastAsia="zh-CN"/>
        </w:rPr>
        <w:t>593.70</w:t>
      </w:r>
      <w:r>
        <w:rPr>
          <w:rFonts w:hint="eastAsia" w:ascii="仿宋_GB2312" w:eastAsia="仿宋_GB2312"/>
          <w:color w:val="auto"/>
          <w:spacing w:val="0"/>
          <w:sz w:val="32"/>
          <w:szCs w:val="32"/>
          <w:highlight w:val="none"/>
          <w:lang w:eastAsia="zh-CN"/>
        </w:rPr>
        <w:t>万元，决算数</w:t>
      </w:r>
      <w:r>
        <w:rPr>
          <w:rFonts w:hint="eastAsia" w:ascii="Times New Roman" w:hAnsi="Times New Roman" w:eastAsia="仿宋_GB2312" w:cs="Times New Roman"/>
          <w:color w:val="auto"/>
          <w:sz w:val="32"/>
          <w:szCs w:val="32"/>
          <w:highlight w:val="none"/>
          <w:lang w:val="zh-CN" w:eastAsia="zh-CN"/>
        </w:rPr>
        <w:t>526.27</w:t>
      </w:r>
      <w:r>
        <w:rPr>
          <w:rFonts w:hint="eastAsia" w:ascii="仿宋_GB2312" w:eastAsia="仿宋_GB2312"/>
          <w:color w:val="auto"/>
          <w:spacing w:val="0"/>
          <w:sz w:val="32"/>
          <w:szCs w:val="32"/>
          <w:highlight w:val="none"/>
          <w:lang w:eastAsia="zh-CN"/>
        </w:rPr>
        <w:t>万元，预决算差异率</w:t>
      </w:r>
      <w:r>
        <w:rPr>
          <w:rFonts w:hint="eastAsia" w:ascii="Times New Roman" w:hAnsi="Times New Roman" w:eastAsia="仿宋_GB2312" w:cs="Times New Roman"/>
          <w:color w:val="auto"/>
          <w:sz w:val="32"/>
          <w:szCs w:val="32"/>
          <w:highlight w:val="none"/>
          <w:lang w:val="zh-CN" w:eastAsia="zh-CN"/>
        </w:rPr>
        <w:t>-11.36</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，主要原因是：财政收回退休人员医疗金拨款额度。</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Times New Roman" w:hAnsi="Times New Roman" w:eastAsia="仿宋_GB2312" w:cs="Times New Roman"/>
          <w:color w:val="auto"/>
          <w:kern w:val="2"/>
          <w:sz w:val="32"/>
          <w:szCs w:val="32"/>
          <w:highlight w:val="none"/>
          <w:lang w:val="zh-CN" w:eastAsia="zh-CN" w:bidi="ar-SA"/>
        </w:rPr>
        <w:t>312.35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kern w:val="2"/>
          <w:sz w:val="32"/>
          <w:szCs w:val="32"/>
          <w:highlight w:val="none"/>
          <w:lang w:val="zh-CN" w:eastAsia="zh-CN" w:bidi="ar-SA"/>
        </w:rPr>
        <w:t>59.35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Times New Roman" w:hAnsi="Times New Roman" w:eastAsia="仿宋_GB2312" w:cs="Times New Roman"/>
          <w:color w:val="auto"/>
          <w:kern w:val="2"/>
          <w:sz w:val="32"/>
          <w:szCs w:val="32"/>
          <w:highlight w:val="none"/>
          <w:lang w:val="zh-CN" w:eastAsia="zh-CN" w:bidi="ar-SA"/>
        </w:rPr>
        <w:t>16.07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kern w:val="2"/>
          <w:sz w:val="32"/>
          <w:szCs w:val="32"/>
          <w:highlight w:val="none"/>
          <w:lang w:val="zh-CN" w:eastAsia="zh-CN" w:bidi="ar-SA"/>
        </w:rPr>
        <w:t>3.05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Times New Roman" w:hAnsi="Times New Roman" w:eastAsia="仿宋_GB2312" w:cs="Times New Roman"/>
          <w:color w:val="auto"/>
          <w:kern w:val="2"/>
          <w:sz w:val="32"/>
          <w:szCs w:val="32"/>
          <w:highlight w:val="none"/>
          <w:lang w:val="zh-CN" w:eastAsia="zh-CN" w:bidi="ar-SA"/>
        </w:rPr>
        <w:t>184.55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kern w:val="2"/>
          <w:sz w:val="32"/>
          <w:szCs w:val="32"/>
          <w:highlight w:val="none"/>
          <w:lang w:val="zh-CN" w:eastAsia="zh-CN" w:bidi="ar-SA"/>
        </w:rPr>
        <w:t>35.07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Times New Roman" w:hAnsi="Times New Roman" w:eastAsia="仿宋_GB2312" w:cs="Times New Roman"/>
          <w:color w:val="auto"/>
          <w:kern w:val="2"/>
          <w:sz w:val="32"/>
          <w:szCs w:val="32"/>
          <w:highlight w:val="none"/>
          <w:lang w:val="zh-CN" w:eastAsia="zh-CN" w:bidi="ar-SA"/>
        </w:rPr>
        <w:t>13.30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kern w:val="2"/>
          <w:sz w:val="32"/>
          <w:szCs w:val="32"/>
          <w:highlight w:val="none"/>
          <w:lang w:val="zh-CN" w:eastAsia="zh-CN" w:bidi="ar-SA"/>
        </w:rPr>
        <w:t>2.53</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eastAsia" w:ascii="仿宋_GB2312" w:hAnsi="仿宋_GB2312" w:eastAsia="仿宋_GB2312" w:cs="仿宋_GB2312"/>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1.自然资源海洋气象等支出（类）自然资源事务（款）机关服务（项）:支出决算数为</w:t>
      </w:r>
      <w:r>
        <w:rPr>
          <w:rFonts w:hint="eastAsia" w:ascii="Times New Roman" w:hAnsi="Times New Roman" w:eastAsia="仿宋_GB2312" w:cs="Times New Roman"/>
          <w:color w:val="auto"/>
          <w:kern w:val="2"/>
          <w:sz w:val="32"/>
          <w:szCs w:val="32"/>
          <w:highlight w:val="none"/>
          <w:lang w:val="en-US" w:eastAsia="zh-CN" w:bidi="ar-SA"/>
        </w:rPr>
        <w:t>184.55</w:t>
      </w:r>
      <w:r>
        <w:rPr>
          <w:rFonts w:hint="eastAsia" w:ascii="仿宋_GB2312" w:hAnsi="仿宋_GB2312" w:eastAsia="仿宋_GB2312" w:cs="仿宋_GB2312"/>
          <w:color w:val="auto"/>
          <w:spacing w:val="0"/>
          <w:kern w:val="2"/>
          <w:sz w:val="32"/>
          <w:szCs w:val="32"/>
          <w:highlight w:val="none"/>
          <w:lang w:val="en-US" w:eastAsia="zh-CN" w:bidi="ar-SA"/>
        </w:rPr>
        <w:t>万元，比上年决算减少</w:t>
      </w:r>
      <w:r>
        <w:rPr>
          <w:rFonts w:hint="eastAsia" w:ascii="Times New Roman" w:hAnsi="Times New Roman" w:eastAsia="仿宋_GB2312" w:cs="Times New Roman"/>
          <w:color w:val="auto"/>
          <w:kern w:val="2"/>
          <w:sz w:val="32"/>
          <w:szCs w:val="32"/>
          <w:highlight w:val="none"/>
          <w:lang w:val="en-US" w:eastAsia="zh-CN" w:bidi="ar-SA"/>
        </w:rPr>
        <w:t>148.50</w:t>
      </w:r>
      <w:r>
        <w:rPr>
          <w:rFonts w:hint="eastAsia" w:ascii="仿宋_GB2312" w:hAnsi="仿宋_GB2312" w:eastAsia="仿宋_GB2312" w:cs="仿宋_GB2312"/>
          <w:color w:val="auto"/>
          <w:spacing w:val="0"/>
          <w:kern w:val="2"/>
          <w:sz w:val="32"/>
          <w:szCs w:val="32"/>
          <w:highlight w:val="none"/>
          <w:lang w:val="en-US" w:eastAsia="zh-CN" w:bidi="ar-SA"/>
        </w:rPr>
        <w:t>万元，下降</w:t>
      </w:r>
      <w:r>
        <w:rPr>
          <w:rFonts w:hint="eastAsia" w:ascii="Times New Roman" w:hAnsi="Times New Roman" w:eastAsia="仿宋_GB2312" w:cs="Times New Roman"/>
          <w:color w:val="auto"/>
          <w:kern w:val="2"/>
          <w:sz w:val="32"/>
          <w:szCs w:val="32"/>
          <w:highlight w:val="none"/>
          <w:lang w:val="en-US" w:eastAsia="zh-CN" w:bidi="ar-SA"/>
        </w:rPr>
        <w:t>44.59</w:t>
      </w:r>
      <w:r>
        <w:rPr>
          <w:rFonts w:hint="eastAsia" w:ascii="仿宋_GB2312" w:hAnsi="仿宋_GB2312" w:eastAsia="仿宋_GB2312" w:cs="仿宋_GB2312"/>
          <w:color w:val="auto"/>
          <w:spacing w:val="0"/>
          <w:kern w:val="2"/>
          <w:sz w:val="32"/>
          <w:szCs w:val="32"/>
          <w:highlight w:val="none"/>
          <w:lang w:val="en-US" w:eastAsia="zh-CN" w:bidi="ar-SA"/>
        </w:rPr>
        <w:t>%，主要原因是：</w:t>
      </w:r>
      <w:r>
        <w:rPr>
          <w:rFonts w:hint="eastAsia" w:ascii="仿宋_GB2312" w:hAnsi="仿宋_GB2312" w:eastAsia="仿宋_GB2312" w:cs="仿宋_GB2312"/>
          <w:color w:val="auto"/>
          <w:spacing w:val="0"/>
          <w:kern w:val="2"/>
          <w:sz w:val="32"/>
          <w:szCs w:val="32"/>
          <w:highlight w:val="none"/>
          <w:lang w:val="zh-CN" w:eastAsia="zh-CN" w:bidi="ar-SA"/>
        </w:rPr>
        <w:t>在职人员减少导致人员经费和公用经费减少。</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eastAsia" w:ascii="仿宋_GB2312" w:hAnsi="仿宋_GB2312" w:eastAsia="仿宋_GB2312" w:cs="仿宋_GB2312"/>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2.卫生健康支出（类）行政事业单位医疗（款）事业单位医疗（项）:支出决算数为</w:t>
      </w:r>
      <w:r>
        <w:rPr>
          <w:rFonts w:hint="eastAsia" w:ascii="Times New Roman" w:hAnsi="Times New Roman" w:eastAsia="仿宋_GB2312" w:cs="Times New Roman"/>
          <w:color w:val="auto"/>
          <w:kern w:val="2"/>
          <w:sz w:val="32"/>
          <w:szCs w:val="32"/>
          <w:highlight w:val="none"/>
          <w:lang w:val="en-US" w:eastAsia="zh-CN" w:bidi="ar-SA"/>
        </w:rPr>
        <w:t>8.31</w:t>
      </w:r>
      <w:r>
        <w:rPr>
          <w:rFonts w:hint="eastAsia" w:ascii="仿宋_GB2312" w:hAnsi="仿宋_GB2312" w:eastAsia="仿宋_GB2312" w:cs="仿宋_GB2312"/>
          <w:color w:val="auto"/>
          <w:spacing w:val="0"/>
          <w:kern w:val="2"/>
          <w:sz w:val="32"/>
          <w:szCs w:val="32"/>
          <w:highlight w:val="none"/>
          <w:lang w:val="en-US" w:eastAsia="zh-CN" w:bidi="ar-SA"/>
        </w:rPr>
        <w:t>万元，比上年决算增加</w:t>
      </w:r>
      <w:r>
        <w:rPr>
          <w:rFonts w:hint="eastAsia" w:ascii="Times New Roman" w:hAnsi="Times New Roman" w:eastAsia="仿宋_GB2312" w:cs="Times New Roman"/>
          <w:color w:val="auto"/>
          <w:kern w:val="2"/>
          <w:sz w:val="32"/>
          <w:szCs w:val="32"/>
          <w:highlight w:val="none"/>
          <w:lang w:val="en-US" w:eastAsia="zh-CN" w:bidi="ar-SA"/>
        </w:rPr>
        <w:t>0.86</w:t>
      </w:r>
      <w:r>
        <w:rPr>
          <w:rFonts w:hint="eastAsia" w:ascii="仿宋_GB2312" w:hAnsi="仿宋_GB2312" w:eastAsia="仿宋_GB2312" w:cs="仿宋_GB2312"/>
          <w:color w:val="auto"/>
          <w:spacing w:val="0"/>
          <w:kern w:val="2"/>
          <w:sz w:val="32"/>
          <w:szCs w:val="32"/>
          <w:highlight w:val="none"/>
          <w:lang w:val="en-US" w:eastAsia="zh-CN" w:bidi="ar-SA"/>
        </w:rPr>
        <w:t>万元，增长</w:t>
      </w:r>
      <w:r>
        <w:rPr>
          <w:rFonts w:hint="eastAsia" w:ascii="Times New Roman" w:hAnsi="Times New Roman" w:eastAsia="仿宋_GB2312" w:cs="Times New Roman"/>
          <w:color w:val="auto"/>
          <w:kern w:val="2"/>
          <w:sz w:val="32"/>
          <w:szCs w:val="32"/>
          <w:highlight w:val="none"/>
          <w:lang w:val="en-US" w:eastAsia="zh-CN" w:bidi="ar-SA"/>
        </w:rPr>
        <w:t>11.54</w:t>
      </w:r>
      <w:r>
        <w:rPr>
          <w:rFonts w:hint="eastAsia" w:ascii="仿宋_GB2312" w:hAnsi="仿宋_GB2312" w:eastAsia="仿宋_GB2312" w:cs="仿宋_GB2312"/>
          <w:color w:val="auto"/>
          <w:spacing w:val="0"/>
          <w:kern w:val="2"/>
          <w:sz w:val="32"/>
          <w:szCs w:val="32"/>
          <w:highlight w:val="none"/>
          <w:lang w:val="en-US" w:eastAsia="zh-CN" w:bidi="ar-SA"/>
        </w:rPr>
        <w:t>%，主要原因是：工资调增缴存基数增加导致医疗保险支出增大</w:t>
      </w:r>
      <w:r>
        <w:rPr>
          <w:rFonts w:hint="eastAsia" w:ascii="仿宋_GB2312" w:hAnsi="仿宋_GB2312" w:eastAsia="仿宋_GB2312" w:cs="仿宋_GB2312"/>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eastAsia" w:ascii="仿宋_GB2312" w:hAnsi="仿宋_GB2312" w:eastAsia="仿宋_GB2312" w:cs="仿宋_GB2312"/>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3.卫生健康支出（类）行政事业单位医疗（款）公务员医疗补助（项）:支出决算数为</w:t>
      </w:r>
      <w:r>
        <w:rPr>
          <w:rFonts w:hint="eastAsia" w:ascii="Times New Roman" w:hAnsi="Times New Roman" w:eastAsia="仿宋_GB2312" w:cs="Times New Roman"/>
          <w:color w:val="auto"/>
          <w:kern w:val="2"/>
          <w:sz w:val="32"/>
          <w:szCs w:val="32"/>
          <w:highlight w:val="none"/>
          <w:lang w:val="en-US" w:eastAsia="zh-CN" w:bidi="ar-SA"/>
        </w:rPr>
        <w:t>7.76</w:t>
      </w:r>
      <w:r>
        <w:rPr>
          <w:rFonts w:hint="eastAsia" w:ascii="仿宋_GB2312" w:hAnsi="仿宋_GB2312" w:eastAsia="仿宋_GB2312" w:cs="仿宋_GB2312"/>
          <w:color w:val="auto"/>
          <w:spacing w:val="0"/>
          <w:kern w:val="2"/>
          <w:sz w:val="32"/>
          <w:szCs w:val="32"/>
          <w:highlight w:val="none"/>
          <w:lang w:val="en-US" w:eastAsia="zh-CN" w:bidi="ar-SA"/>
        </w:rPr>
        <w:t>万元，比上年决算增加</w:t>
      </w:r>
      <w:r>
        <w:rPr>
          <w:rFonts w:hint="eastAsia" w:ascii="Times New Roman" w:hAnsi="Times New Roman" w:eastAsia="仿宋_GB2312" w:cs="Times New Roman"/>
          <w:color w:val="auto"/>
          <w:kern w:val="2"/>
          <w:sz w:val="32"/>
          <w:szCs w:val="32"/>
          <w:highlight w:val="none"/>
          <w:lang w:val="en-US" w:eastAsia="zh-CN" w:bidi="ar-SA"/>
        </w:rPr>
        <w:t>1.97</w:t>
      </w:r>
      <w:r>
        <w:rPr>
          <w:rFonts w:hint="eastAsia" w:ascii="仿宋_GB2312" w:hAnsi="仿宋_GB2312" w:eastAsia="仿宋_GB2312" w:cs="仿宋_GB2312"/>
          <w:color w:val="auto"/>
          <w:spacing w:val="0"/>
          <w:kern w:val="2"/>
          <w:sz w:val="32"/>
          <w:szCs w:val="32"/>
          <w:highlight w:val="none"/>
          <w:lang w:val="en-US" w:eastAsia="zh-CN" w:bidi="ar-SA"/>
        </w:rPr>
        <w:t>万元，增长</w:t>
      </w:r>
      <w:r>
        <w:rPr>
          <w:rFonts w:hint="eastAsia" w:ascii="Times New Roman" w:hAnsi="Times New Roman" w:eastAsia="仿宋_GB2312" w:cs="Times New Roman"/>
          <w:color w:val="auto"/>
          <w:kern w:val="2"/>
          <w:sz w:val="32"/>
          <w:szCs w:val="32"/>
          <w:highlight w:val="none"/>
          <w:lang w:val="en-US" w:eastAsia="zh-CN" w:bidi="ar-SA"/>
        </w:rPr>
        <w:t>3</w:t>
      </w:r>
      <w:r>
        <w:rPr>
          <w:rFonts w:hint="eastAsia" w:eastAsia="仿宋_GB2312" w:cs="Times New Roman"/>
          <w:color w:val="auto"/>
          <w:kern w:val="2"/>
          <w:sz w:val="32"/>
          <w:szCs w:val="32"/>
          <w:highlight w:val="none"/>
          <w:lang w:val="en-US" w:eastAsia="zh-CN" w:bidi="ar-SA"/>
        </w:rPr>
        <w:t>4.02</w:t>
      </w:r>
      <w:r>
        <w:rPr>
          <w:rFonts w:hint="eastAsia" w:ascii="仿宋_GB2312" w:hAnsi="仿宋_GB2312" w:eastAsia="仿宋_GB2312" w:cs="仿宋_GB2312"/>
          <w:color w:val="auto"/>
          <w:spacing w:val="0"/>
          <w:kern w:val="2"/>
          <w:sz w:val="32"/>
          <w:szCs w:val="32"/>
          <w:highlight w:val="none"/>
          <w:lang w:val="en-US" w:eastAsia="zh-CN" w:bidi="ar-SA"/>
        </w:rPr>
        <w:t>%，主要原因是：工资调增缴存基数增加导致公务员医疗补助支出增大</w:t>
      </w:r>
      <w:r>
        <w:rPr>
          <w:rFonts w:hint="eastAsia" w:ascii="仿宋_GB2312" w:hAnsi="仿宋_GB2312" w:eastAsia="仿宋_GB2312" w:cs="仿宋_GB2312"/>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w:t>
      </w:r>
      <w:r>
        <w:rPr>
          <w:rFonts w:hint="eastAsia" w:ascii="仿宋_GB2312" w:hAnsi="仿宋_GB2312" w:eastAsia="仿宋_GB2312" w:cs="仿宋_GB2312"/>
          <w:color w:val="auto"/>
          <w:spacing w:val="0"/>
          <w:kern w:val="2"/>
          <w:sz w:val="32"/>
          <w:szCs w:val="32"/>
          <w:highlight w:val="none"/>
          <w:lang w:val="en-US" w:eastAsia="zh-CN" w:bidi="ar-SA"/>
        </w:rPr>
        <w:t>住房保障支出（类）住房改革支出（款）住房公积金（项）:支出决算数为</w:t>
      </w:r>
      <w:r>
        <w:rPr>
          <w:rFonts w:hint="eastAsia" w:ascii="Times New Roman" w:hAnsi="Times New Roman" w:eastAsia="仿宋_GB2312" w:cs="Times New Roman"/>
          <w:color w:val="auto"/>
          <w:sz w:val="32"/>
          <w:szCs w:val="32"/>
          <w:highlight w:val="none"/>
          <w:lang w:val="en-US" w:eastAsia="zh-CN"/>
        </w:rPr>
        <w:t>13.30</w:t>
      </w:r>
      <w:r>
        <w:rPr>
          <w:rFonts w:hint="eastAsia" w:ascii="仿宋_GB2312" w:hAnsi="仿宋_GB2312" w:eastAsia="仿宋_GB2312" w:cs="仿宋_GB2312"/>
          <w:color w:val="auto"/>
          <w:spacing w:val="0"/>
          <w:kern w:val="2"/>
          <w:sz w:val="32"/>
          <w:szCs w:val="32"/>
          <w:highlight w:val="none"/>
          <w:lang w:val="en-US" w:eastAsia="zh-CN" w:bidi="ar-SA"/>
        </w:rPr>
        <w:t>万元，比上年决算增加</w:t>
      </w:r>
      <w:r>
        <w:rPr>
          <w:rFonts w:hint="eastAsia" w:ascii="Times New Roman" w:hAnsi="Times New Roman" w:eastAsia="仿宋_GB2312" w:cs="Times New Roman"/>
          <w:color w:val="auto"/>
          <w:sz w:val="32"/>
          <w:szCs w:val="32"/>
          <w:highlight w:val="none"/>
          <w:lang w:val="en-US" w:eastAsia="zh-CN"/>
        </w:rPr>
        <w:t>2.91</w:t>
      </w:r>
      <w:r>
        <w:rPr>
          <w:rFonts w:hint="eastAsia" w:ascii="仿宋_GB2312" w:hAnsi="仿宋_GB2312" w:eastAsia="仿宋_GB2312" w:cs="仿宋_GB2312"/>
          <w:color w:val="auto"/>
          <w:spacing w:val="0"/>
          <w:kern w:val="2"/>
          <w:sz w:val="32"/>
          <w:szCs w:val="32"/>
          <w:highlight w:val="none"/>
          <w:lang w:val="en-US" w:eastAsia="zh-CN" w:bidi="ar-SA"/>
        </w:rPr>
        <w:t>万元，增长</w:t>
      </w:r>
      <w:r>
        <w:rPr>
          <w:rFonts w:hint="eastAsia" w:eastAsia="仿宋_GB2312" w:cs="Times New Roman"/>
          <w:color w:val="auto"/>
          <w:sz w:val="32"/>
          <w:szCs w:val="32"/>
          <w:highlight w:val="none"/>
          <w:lang w:val="en-US" w:eastAsia="zh-CN"/>
        </w:rPr>
        <w:t>28.01</w:t>
      </w:r>
      <w:r>
        <w:rPr>
          <w:rFonts w:hint="eastAsia" w:ascii="仿宋_GB2312" w:hAnsi="仿宋_GB2312" w:eastAsia="仿宋_GB2312" w:cs="仿宋_GB2312"/>
          <w:color w:val="auto"/>
          <w:spacing w:val="0"/>
          <w:kern w:val="2"/>
          <w:sz w:val="32"/>
          <w:szCs w:val="32"/>
          <w:highlight w:val="none"/>
          <w:lang w:val="en-US" w:eastAsia="zh-CN" w:bidi="ar-SA"/>
        </w:rPr>
        <w:t>%，主要原因是：工资调增缴存基数增加导致住房公积金支出增大</w:t>
      </w:r>
      <w:r>
        <w:rPr>
          <w:rFonts w:hint="eastAsia" w:ascii="仿宋_GB2312" w:hAnsi="仿宋_GB2312" w:eastAsia="仿宋_GB2312" w:cs="仿宋_GB2312"/>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5.社会保障和就业支出（类）行政事业单位养老支出（款）事业单位离退休（项）:支出决算数为</w:t>
      </w:r>
      <w:r>
        <w:rPr>
          <w:rFonts w:hint="eastAsia" w:ascii="Times New Roman" w:hAnsi="Times New Roman" w:eastAsia="仿宋_GB2312" w:cs="Times New Roman"/>
          <w:color w:val="auto"/>
          <w:sz w:val="32"/>
          <w:szCs w:val="32"/>
          <w:highlight w:val="none"/>
          <w:lang w:val="en-US" w:eastAsia="zh-CN"/>
        </w:rPr>
        <w:t>276.72</w:t>
      </w:r>
      <w:r>
        <w:rPr>
          <w:rFonts w:hint="eastAsia" w:ascii="仿宋_GB2312" w:hAnsi="仿宋_GB2312" w:eastAsia="仿宋_GB2312" w:cs="仿宋_GB2312"/>
          <w:color w:val="auto"/>
          <w:kern w:val="2"/>
          <w:sz w:val="32"/>
          <w:szCs w:val="32"/>
          <w:highlight w:val="none"/>
          <w:lang w:val="en-US" w:eastAsia="zh-CN" w:bidi="ar-SA"/>
        </w:rPr>
        <w:t>万元，比上年决算增加</w:t>
      </w:r>
      <w:r>
        <w:rPr>
          <w:rFonts w:hint="eastAsia" w:ascii="Times New Roman" w:hAnsi="Times New Roman" w:eastAsia="仿宋_GB2312" w:cs="Times New Roman"/>
          <w:color w:val="auto"/>
          <w:sz w:val="32"/>
          <w:szCs w:val="32"/>
          <w:highlight w:val="none"/>
          <w:lang w:val="en-US" w:eastAsia="zh-CN"/>
        </w:rPr>
        <w:t>90.32</w:t>
      </w:r>
      <w:r>
        <w:rPr>
          <w:rFonts w:hint="eastAsia" w:ascii="仿宋_GB2312" w:hAnsi="仿宋_GB2312" w:eastAsia="仿宋_GB2312" w:cs="仿宋_GB2312"/>
          <w:color w:val="auto"/>
          <w:kern w:val="2"/>
          <w:sz w:val="32"/>
          <w:szCs w:val="32"/>
          <w:highlight w:val="none"/>
          <w:lang w:val="en-US" w:eastAsia="zh-CN" w:bidi="ar-SA"/>
        </w:rPr>
        <w:t>万元，增长</w:t>
      </w:r>
      <w:r>
        <w:rPr>
          <w:rFonts w:hint="eastAsia" w:ascii="Times New Roman" w:hAnsi="Times New Roman" w:eastAsia="仿宋_GB2312" w:cs="Times New Roman"/>
          <w:color w:val="auto"/>
          <w:sz w:val="32"/>
          <w:szCs w:val="32"/>
          <w:highlight w:val="none"/>
          <w:lang w:val="en-US" w:eastAsia="zh-CN"/>
        </w:rPr>
        <w:t>48.45</w:t>
      </w:r>
      <w:r>
        <w:rPr>
          <w:rFonts w:hint="eastAsia" w:ascii="仿宋_GB2312" w:hAnsi="仿宋_GB2312" w:eastAsia="仿宋_GB2312" w:cs="仿宋_GB2312"/>
          <w:color w:val="auto"/>
          <w:kern w:val="2"/>
          <w:sz w:val="32"/>
          <w:szCs w:val="32"/>
          <w:highlight w:val="none"/>
          <w:lang w:val="en-US" w:eastAsia="zh-CN" w:bidi="ar-SA"/>
        </w:rPr>
        <w:t>%，主要原因是：</w:t>
      </w:r>
      <w:r>
        <w:rPr>
          <w:rFonts w:hint="eastAsia" w:ascii="仿宋_GB2312" w:hAnsi="仿宋_GB2312" w:eastAsia="仿宋_GB2312" w:cs="仿宋_GB2312"/>
          <w:color w:val="auto"/>
          <w:spacing w:val="0"/>
          <w:kern w:val="2"/>
          <w:sz w:val="32"/>
          <w:szCs w:val="32"/>
          <w:highlight w:val="none"/>
          <w:lang w:val="en-US" w:eastAsia="zh-CN" w:bidi="ar-SA"/>
        </w:rPr>
        <w:t>工资调增缴存基数增加导致事业单位养老支出增大</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6.社会保障和就业支出（类）行政事业单位养老支出（款）机关事业单位职业年金缴费支出（项）:支出决算数为</w:t>
      </w:r>
      <w:r>
        <w:rPr>
          <w:rFonts w:hint="eastAsia" w:ascii="Times New Roman" w:hAnsi="Times New Roman" w:eastAsia="仿宋_GB2312" w:cs="Times New Roman"/>
          <w:color w:val="auto"/>
          <w:sz w:val="32"/>
          <w:szCs w:val="32"/>
          <w:highlight w:val="none"/>
          <w:lang w:val="en-US" w:eastAsia="zh-CN"/>
        </w:rPr>
        <w:t>17.90</w:t>
      </w:r>
      <w:r>
        <w:rPr>
          <w:rFonts w:hint="eastAsia" w:ascii="仿宋_GB2312" w:hAnsi="仿宋_GB2312" w:eastAsia="仿宋_GB2312" w:cs="仿宋_GB2312"/>
          <w:color w:val="auto"/>
          <w:kern w:val="2"/>
          <w:sz w:val="32"/>
          <w:szCs w:val="32"/>
          <w:highlight w:val="none"/>
          <w:lang w:val="en-US" w:eastAsia="zh-CN" w:bidi="ar-SA"/>
        </w:rPr>
        <w:t>万元，比上年决算增加</w:t>
      </w:r>
      <w:r>
        <w:rPr>
          <w:rFonts w:hint="eastAsia" w:ascii="Times New Roman" w:hAnsi="Times New Roman" w:eastAsia="仿宋_GB2312" w:cs="Times New Roman"/>
          <w:color w:val="auto"/>
          <w:sz w:val="32"/>
          <w:szCs w:val="32"/>
          <w:highlight w:val="none"/>
          <w:lang w:val="en-US" w:eastAsia="zh-CN"/>
        </w:rPr>
        <w:t>17.90</w:t>
      </w:r>
      <w:r>
        <w:rPr>
          <w:rFonts w:hint="eastAsia" w:ascii="仿宋_GB2312" w:hAnsi="仿宋_GB2312" w:eastAsia="仿宋_GB2312" w:cs="仿宋_GB2312"/>
          <w:color w:val="auto"/>
          <w:kern w:val="2"/>
          <w:sz w:val="32"/>
          <w:szCs w:val="32"/>
          <w:highlight w:val="none"/>
          <w:lang w:val="en-US" w:eastAsia="zh-CN" w:bidi="ar-SA"/>
        </w:rPr>
        <w:t>万元，增长</w:t>
      </w:r>
      <w:r>
        <w:rPr>
          <w:rFonts w:hint="eastAsia" w:ascii="Times New Roman" w:hAnsi="Times New Roman" w:eastAsia="仿宋_GB2312" w:cs="Times New Roman"/>
          <w:color w:val="auto"/>
          <w:sz w:val="32"/>
          <w:szCs w:val="32"/>
          <w:highlight w:val="none"/>
          <w:lang w:val="en-US" w:eastAsia="zh-CN"/>
        </w:rPr>
        <w:t>100</w:t>
      </w:r>
      <w:r>
        <w:rPr>
          <w:rFonts w:hint="eastAsia" w:ascii="仿宋_GB2312" w:hAnsi="仿宋_GB2312" w:eastAsia="仿宋_GB2312" w:cs="仿宋_GB2312"/>
          <w:color w:val="auto"/>
          <w:kern w:val="2"/>
          <w:sz w:val="32"/>
          <w:szCs w:val="32"/>
          <w:highlight w:val="none"/>
          <w:lang w:val="en-US" w:eastAsia="zh-CN" w:bidi="ar-SA"/>
        </w:rPr>
        <w:t>%，主要原因是：2023年新增在职转退休人员2名</w:t>
      </w:r>
      <w:r>
        <w:rPr>
          <w:rFonts w:hint="eastAsia" w:ascii="仿宋_GB2312" w:hAnsi="仿宋_GB2312" w:eastAsia="仿宋_GB2312" w:cs="仿宋_GB2312"/>
          <w:color w:val="auto"/>
          <w:spacing w:val="0"/>
          <w:kern w:val="2"/>
          <w:sz w:val="32"/>
          <w:szCs w:val="32"/>
          <w:highlight w:val="none"/>
          <w:lang w:val="en-US" w:eastAsia="zh-CN" w:bidi="ar-SA"/>
        </w:rPr>
        <w:t>导致事业单位</w:t>
      </w:r>
      <w:r>
        <w:rPr>
          <w:rFonts w:hint="eastAsia" w:ascii="仿宋_GB2312" w:hAnsi="仿宋_GB2312" w:eastAsia="仿宋_GB2312" w:cs="仿宋_GB2312"/>
          <w:color w:val="auto"/>
          <w:kern w:val="2"/>
          <w:sz w:val="32"/>
          <w:szCs w:val="32"/>
          <w:highlight w:val="none"/>
          <w:lang w:val="en-US" w:eastAsia="zh-CN" w:bidi="ar-SA"/>
        </w:rPr>
        <w:t>职业年金缴费支出增大</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7.社会保障和就业支出（类）行政事业单位养老支出（款）机关事业单位基本养老保险缴费支出（项）:支出决算数为</w:t>
      </w:r>
      <w:r>
        <w:rPr>
          <w:rFonts w:hint="eastAsia" w:ascii="Times New Roman" w:hAnsi="Times New Roman" w:eastAsia="仿宋_GB2312" w:cs="Times New Roman"/>
          <w:color w:val="auto"/>
          <w:sz w:val="32"/>
          <w:szCs w:val="32"/>
          <w:highlight w:val="none"/>
          <w:lang w:val="en-US" w:eastAsia="zh-CN"/>
        </w:rPr>
        <w:t>17.73</w:t>
      </w:r>
      <w:r>
        <w:rPr>
          <w:rFonts w:hint="eastAsia" w:ascii="仿宋_GB2312" w:hAnsi="仿宋_GB2312" w:eastAsia="仿宋_GB2312" w:cs="仿宋_GB2312"/>
          <w:color w:val="auto"/>
          <w:kern w:val="2"/>
          <w:sz w:val="32"/>
          <w:szCs w:val="32"/>
          <w:highlight w:val="none"/>
          <w:lang w:val="en-US" w:eastAsia="zh-CN" w:bidi="ar-SA"/>
        </w:rPr>
        <w:t>万元，比上年决算增加</w:t>
      </w:r>
      <w:r>
        <w:rPr>
          <w:rFonts w:hint="eastAsia" w:ascii="Times New Roman" w:hAnsi="Times New Roman" w:eastAsia="仿宋_GB2312" w:cs="Times New Roman"/>
          <w:color w:val="auto"/>
          <w:sz w:val="32"/>
          <w:szCs w:val="32"/>
          <w:highlight w:val="none"/>
          <w:lang w:val="en-US" w:eastAsia="zh-CN"/>
        </w:rPr>
        <w:t>3.87</w:t>
      </w:r>
      <w:r>
        <w:rPr>
          <w:rFonts w:hint="eastAsia" w:ascii="仿宋_GB2312" w:hAnsi="仿宋_GB2312" w:eastAsia="仿宋_GB2312" w:cs="仿宋_GB2312"/>
          <w:color w:val="auto"/>
          <w:kern w:val="2"/>
          <w:sz w:val="32"/>
          <w:szCs w:val="32"/>
          <w:highlight w:val="none"/>
          <w:lang w:val="en-US" w:eastAsia="zh-CN" w:bidi="ar-SA"/>
        </w:rPr>
        <w:t>万元，增长</w:t>
      </w:r>
      <w:r>
        <w:rPr>
          <w:rFonts w:hint="eastAsia" w:ascii="Times New Roman" w:hAnsi="Times New Roman" w:eastAsia="仿宋_GB2312" w:cs="Times New Roman"/>
          <w:color w:val="auto"/>
          <w:sz w:val="32"/>
          <w:szCs w:val="32"/>
          <w:highlight w:val="none"/>
          <w:lang w:val="en-US" w:eastAsia="zh-CN"/>
        </w:rPr>
        <w:t>27.9</w:t>
      </w:r>
      <w:r>
        <w:rPr>
          <w:rFonts w:hint="eastAsia" w:eastAsia="仿宋_GB2312" w:cs="Times New Roman"/>
          <w:color w:val="auto"/>
          <w:sz w:val="32"/>
          <w:szCs w:val="32"/>
          <w:highlight w:val="none"/>
          <w:lang w:val="en-US" w:eastAsia="zh-CN"/>
        </w:rPr>
        <w:t>2</w:t>
      </w:r>
      <w:r>
        <w:rPr>
          <w:rFonts w:hint="eastAsia" w:ascii="仿宋_GB2312" w:hAnsi="仿宋_GB2312" w:eastAsia="仿宋_GB2312" w:cs="仿宋_GB2312"/>
          <w:color w:val="auto"/>
          <w:kern w:val="2"/>
          <w:sz w:val="32"/>
          <w:szCs w:val="32"/>
          <w:highlight w:val="none"/>
          <w:lang w:val="en-US" w:eastAsia="zh-CN" w:bidi="ar-SA"/>
        </w:rPr>
        <w:t>%，主要原因是：</w:t>
      </w:r>
      <w:r>
        <w:rPr>
          <w:rFonts w:hint="eastAsia" w:ascii="仿宋_GB2312" w:hAnsi="仿宋_GB2312" w:eastAsia="仿宋_GB2312" w:cs="仿宋_GB2312"/>
          <w:color w:val="auto"/>
          <w:spacing w:val="0"/>
          <w:kern w:val="2"/>
          <w:sz w:val="32"/>
          <w:szCs w:val="32"/>
          <w:highlight w:val="none"/>
          <w:lang w:val="en-US" w:eastAsia="zh-CN" w:bidi="ar-SA"/>
        </w:rPr>
        <w:t>工资调增缴存基数增加导致事业单位养老保险缴费支出增大</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Times New Roman" w:hAnsi="Times New Roman" w:eastAsia="仿宋_GB2312" w:cs="Times New Roman"/>
          <w:color w:val="auto"/>
          <w:sz w:val="32"/>
          <w:szCs w:val="32"/>
          <w:highlight w:val="none"/>
          <w:lang w:val="en-US" w:eastAsia="zh-CN"/>
        </w:rPr>
        <w:t>526.27</w:t>
      </w:r>
      <w:r>
        <w:rPr>
          <w:rFonts w:hint="eastAsia" w:ascii="仿宋_GB2312" w:eastAsia="仿宋_GB2312"/>
          <w:color w:val="auto"/>
          <w:sz w:val="32"/>
          <w:szCs w:val="32"/>
          <w:highlight w:val="none"/>
        </w:rPr>
        <w:t>万元，其中：人员经费</w:t>
      </w:r>
      <w:r>
        <w:rPr>
          <w:rFonts w:hint="eastAsia" w:ascii="Times New Roman" w:hAnsi="Times New Roman" w:eastAsia="仿宋_GB2312" w:cs="Times New Roman"/>
          <w:color w:val="auto"/>
          <w:sz w:val="32"/>
          <w:szCs w:val="32"/>
          <w:highlight w:val="none"/>
          <w:lang w:val="en-US" w:eastAsia="zh-CN"/>
        </w:rPr>
        <w:t>507.20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基本工资、津贴补贴、奖金、绩效工资、机关事业单位基本养老保险缴费、职业年金缴费、职工基本医疗保险缴费、公务员医疗补助缴费、其他社会保障缴费、住房公积金、离休费、退休费、抚恤金、生活补助。</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Times New Roman" w:hAnsi="Times New Roman" w:eastAsia="仿宋_GB2312" w:cs="Times New Roman"/>
          <w:color w:val="auto"/>
          <w:sz w:val="32"/>
          <w:szCs w:val="32"/>
          <w:highlight w:val="none"/>
          <w:lang w:val="en-US" w:eastAsia="zh-CN"/>
        </w:rPr>
        <w:t>19.07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办公费、邮电费、取暖费、差旅费、工会经费、福利费、其他商品和服务支出。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w:t>
      </w:r>
      <w:r>
        <w:rPr>
          <w:rFonts w:hint="eastAsia" w:ascii="仿宋_GB2312" w:eastAsia="仿宋_GB2312"/>
          <w:color w:val="auto"/>
          <w:sz w:val="32"/>
          <w:szCs w:val="32"/>
          <w:highlight w:val="none"/>
          <w:lang w:val="zh-CN" w:eastAsia="zh-CN"/>
        </w:rPr>
        <w:t>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%，主要原因是：无安排“三公”经费支出预算。其中：因公出国（境）费支出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%，比上年增加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%，主要原因是：无安排出国（境）费支出预算；公务用车购置及运行维护费支出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%，比上年增加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%，主要原因是：无车辆；公务接待费支出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%，比上年增加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%，主要原因是：无公务接待费支出安排。</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万元，开支内容包括我单位全年无出国（境）。单位全年安排的因公出国（境）团组</w:t>
      </w:r>
      <w:r>
        <w:rPr>
          <w:rFonts w:hint="eastAsia"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个，因公出国（境）</w:t>
      </w:r>
      <w:r>
        <w:rPr>
          <w:rFonts w:hint="eastAsia"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万元，其中：公务用车购置费</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万元，公务用车运行维护费</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万元。公务用车运行维护费开支内容包括我单位无公务用车运行维护费预算安排。公务用车购置数</w:t>
      </w:r>
      <w:r>
        <w:rPr>
          <w:rFonts w:hint="eastAsia"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辆，公务用车保有量</w:t>
      </w:r>
      <w:r>
        <w:rPr>
          <w:rFonts w:hint="eastAsia"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辆。国有资产占用情况</w:t>
      </w:r>
      <w:r>
        <w:rPr>
          <w:rFonts w:hint="eastAsia" w:ascii="仿宋_GB2312" w:eastAsia="仿宋_GB2312"/>
          <w:color w:val="auto"/>
          <w:sz w:val="32"/>
          <w:szCs w:val="32"/>
          <w:highlight w:val="none"/>
          <w:lang w:val="en-US" w:eastAsia="zh-CN"/>
        </w:rPr>
        <w:t>中固定资产车辆</w:t>
      </w:r>
      <w:r>
        <w:rPr>
          <w:rFonts w:hint="eastAsia"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原因是：我单位无公务用车。</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万元，开支内容包括我单位无公务接待费。单位全年安排的国内公务接待</w:t>
      </w:r>
      <w:r>
        <w:rPr>
          <w:rFonts w:hint="eastAsia"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批次，</w:t>
      </w:r>
      <w:r>
        <w:rPr>
          <w:rFonts w:hint="eastAsia"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%，主要原因是：我单位无“三公”经费支出。其中：因公出国（境）费</w:t>
      </w:r>
      <w:r>
        <w:rPr>
          <w:rFonts w:hint="eastAsia" w:ascii="仿宋_GB2312" w:eastAsia="仿宋_GB2312"/>
          <w:color w:val="auto"/>
          <w:sz w:val="32"/>
          <w:szCs w:val="32"/>
          <w:highlight w:val="none"/>
          <w:lang w:val="en-US" w:eastAsia="zh-CN"/>
        </w:rPr>
        <w:t>全年预算数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%，主要原因是：我单位无出国（境）费支出；公务用车购置费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%，主要原因是：我单位无公务用车购置费支出；公务用车运行费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%，主要原因是：我单位无公务用车运行费支出；公务接待费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%，主要原因是：我单位无公务接待费用支出。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jc w:val="both"/>
        <w:rPr>
          <w:rFonts w:hint="eastAsia" w:ascii="仿宋_GB2312" w:hAnsi="仿宋_GB2312" w:eastAsia="仿宋_GB2312" w:cs="仿宋_GB2312"/>
          <w:color w:val="auto"/>
          <w:sz w:val="32"/>
          <w:szCs w:val="32"/>
          <w:highlight w:val="none"/>
          <w:lang w:val="zh-CN"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新疆维吾尓自治区地质矿产勘查开发局机关服务中心</w:t>
      </w:r>
      <w:r>
        <w:rPr>
          <w:rFonts w:hint="eastAsia" w:ascii="仿宋_GB2312" w:hAnsi="仿宋_GB2312" w:eastAsia="仿宋_GB2312" w:cs="仿宋_GB2312"/>
          <w:color w:val="auto"/>
          <w:sz w:val="32"/>
          <w:szCs w:val="32"/>
          <w:highlight w:val="none"/>
          <w:lang w:val="zh-CN" w:eastAsia="zh-CN"/>
        </w:rPr>
        <w:t>（事业单位）公用经费支出</w:t>
      </w:r>
      <w:r>
        <w:rPr>
          <w:rFonts w:hint="eastAsia" w:ascii="Times New Roman" w:hAnsi="Times New Roman" w:eastAsia="仿宋_GB2312" w:cs="Times New Roman"/>
          <w:color w:val="auto"/>
          <w:sz w:val="32"/>
          <w:szCs w:val="32"/>
          <w:highlight w:val="none"/>
          <w:lang w:val="zh-CN" w:eastAsia="zh-CN"/>
        </w:rPr>
        <w:t>19.07</w:t>
      </w:r>
      <w:r>
        <w:rPr>
          <w:rFonts w:hint="eastAsia" w:ascii="仿宋_GB2312" w:hAnsi="仿宋_GB2312" w:eastAsia="仿宋_GB2312" w:cs="仿宋_GB2312"/>
          <w:color w:val="auto"/>
          <w:sz w:val="32"/>
          <w:szCs w:val="32"/>
          <w:highlight w:val="none"/>
          <w:lang w:val="zh-CN" w:eastAsia="zh-CN"/>
        </w:rPr>
        <w:t>万元，比上年减少</w:t>
      </w:r>
      <w:r>
        <w:rPr>
          <w:rFonts w:hint="eastAsia" w:ascii="Times New Roman" w:hAnsi="Times New Roman" w:eastAsia="仿宋_GB2312" w:cs="Times New Roman"/>
          <w:color w:val="auto"/>
          <w:sz w:val="32"/>
          <w:szCs w:val="32"/>
          <w:highlight w:val="none"/>
          <w:lang w:val="zh-CN" w:eastAsia="zh-CN"/>
        </w:rPr>
        <w:t>228.36</w:t>
      </w:r>
      <w:r>
        <w:rPr>
          <w:rFonts w:hint="eastAsia" w:ascii="仿宋_GB2312" w:hAnsi="仿宋_GB2312" w:eastAsia="仿宋_GB2312" w:cs="仿宋_GB2312"/>
          <w:color w:val="auto"/>
          <w:sz w:val="32"/>
          <w:szCs w:val="32"/>
          <w:highlight w:val="none"/>
          <w:lang w:val="zh-CN" w:eastAsia="zh-CN"/>
        </w:rPr>
        <w:t>万元，下降</w:t>
      </w:r>
      <w:r>
        <w:rPr>
          <w:rFonts w:hint="eastAsia" w:ascii="Times New Roman" w:hAnsi="Times New Roman" w:eastAsia="仿宋_GB2312" w:cs="Times New Roman"/>
          <w:color w:val="auto"/>
          <w:sz w:val="32"/>
          <w:szCs w:val="32"/>
          <w:highlight w:val="none"/>
          <w:lang w:val="zh-CN" w:eastAsia="zh-CN"/>
        </w:rPr>
        <w:t>92.29</w:t>
      </w:r>
      <w:r>
        <w:rPr>
          <w:rFonts w:hint="eastAsia" w:ascii="仿宋_GB2312" w:hAnsi="仿宋_GB2312" w:eastAsia="仿宋_GB2312" w:cs="仿宋_GB2312"/>
          <w:color w:val="auto"/>
          <w:sz w:val="32"/>
          <w:szCs w:val="32"/>
          <w:highlight w:val="none"/>
          <w:lang w:val="zh-CN" w:eastAsia="zh-CN"/>
        </w:rPr>
        <w:t>%，主要原因是：本年度一般公共预算中未安排房屋修缮及物业管理经费。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万元、政府采购工程支出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万元、政府采购服务支出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万元，占政府采购支出总额的</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%，其中：授予小微企业合同金额</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万元，占政府采购支出总额的</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w:t>
      </w:r>
      <w:r>
        <w:rPr>
          <w:rFonts w:hint="eastAsia" w:ascii="Times New Roman" w:hAnsi="Times New Roman" w:eastAsia="仿宋_GB2312" w:cs="Times New Roman"/>
          <w:color w:val="auto"/>
          <w:sz w:val="32"/>
          <w:szCs w:val="32"/>
          <w:highlight w:val="none"/>
          <w:lang w:val="en-US" w:eastAsia="zh-CN"/>
        </w:rPr>
        <w:t>2023</w:t>
      </w:r>
      <w:r>
        <w:rPr>
          <w:rFonts w:hint="eastAsia" w:ascii="仿宋_GB2312" w:hAnsi="仿宋_GB2312" w:eastAsia="仿宋_GB2312" w:cs="仿宋_GB2312"/>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w:t>
      </w:r>
      <w:r>
        <w:rPr>
          <w:rFonts w:hint="eastAsia" w:ascii="仿宋_GB2312" w:hAnsi="仿宋_GB2312" w:eastAsia="仿宋_GB2312" w:cs="仿宋_GB2312"/>
          <w:color w:val="auto"/>
          <w:sz w:val="32"/>
          <w:szCs w:val="32"/>
          <w:highlight w:val="none"/>
          <w:lang w:val="en-US" w:eastAsia="zh-CN"/>
        </w:rPr>
        <w:t>月</w:t>
      </w:r>
      <w:r>
        <w:rPr>
          <w:rFonts w:hint="eastAsia" w:ascii="Times New Roman" w:hAnsi="Times New Roman" w:eastAsia="仿宋_GB2312" w:cs="Times New Roman"/>
          <w:color w:val="auto"/>
          <w:sz w:val="32"/>
          <w:szCs w:val="32"/>
          <w:highlight w:val="none"/>
          <w:lang w:val="en-US" w:eastAsia="zh-CN"/>
        </w:rPr>
        <w:t>31</w:t>
      </w:r>
      <w:r>
        <w:rPr>
          <w:rFonts w:hint="eastAsia" w:ascii="仿宋_GB2312" w:hAnsi="仿宋_GB2312" w:eastAsia="仿宋_GB2312" w:cs="仿宋_GB2312"/>
          <w:color w:val="auto"/>
          <w:sz w:val="32"/>
          <w:szCs w:val="32"/>
          <w:highlight w:val="none"/>
          <w:lang w:val="en-US" w:eastAsia="zh-CN"/>
        </w:rPr>
        <w:t>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921.17</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w:t>
      </w:r>
      <w:r>
        <w:rPr>
          <w:rFonts w:hint="eastAsia" w:ascii="Times New Roman" w:hAnsi="Times New Roman" w:eastAsia="仿宋_GB2312" w:cs="Times New Roman"/>
          <w:color w:val="auto"/>
          <w:sz w:val="32"/>
          <w:szCs w:val="32"/>
          <w:highlight w:val="none"/>
          <w:lang w:val="zh-CN" w:eastAsia="zh-CN"/>
        </w:rPr>
        <w:t>14</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938.44</w:t>
      </w:r>
      <w:r>
        <w:rPr>
          <w:rFonts w:hint="eastAsia" w:ascii="仿宋_GB2312" w:hAnsi="仿宋_GB2312" w:eastAsia="仿宋_GB2312" w:cs="仿宋_GB2312"/>
          <w:color w:val="auto"/>
          <w:sz w:val="32"/>
          <w:szCs w:val="32"/>
          <w:highlight w:val="none"/>
          <w:lang w:val="zh-CN" w:eastAsia="zh-CN"/>
        </w:rPr>
        <w:t>平方米，价值</w:t>
      </w:r>
      <w:r>
        <w:rPr>
          <w:rFonts w:hint="eastAsia" w:ascii="Times New Roman" w:hAnsi="Times New Roman" w:eastAsia="仿宋_GB2312" w:cs="Times New Roman"/>
          <w:color w:val="auto"/>
          <w:sz w:val="32"/>
          <w:szCs w:val="32"/>
          <w:highlight w:val="none"/>
          <w:lang w:val="zh-CN" w:eastAsia="zh-CN"/>
        </w:rPr>
        <w:t>819.79</w:t>
      </w:r>
      <w:r>
        <w:rPr>
          <w:rFonts w:hint="eastAsia" w:ascii="仿宋_GB2312" w:hAnsi="仿宋_GB2312" w:eastAsia="仿宋_GB2312" w:cs="仿宋_GB2312"/>
          <w:color w:val="auto"/>
          <w:sz w:val="32"/>
          <w:szCs w:val="32"/>
          <w:highlight w:val="none"/>
          <w:lang w:val="zh-CN" w:eastAsia="zh-CN"/>
        </w:rPr>
        <w:t>万元。车辆</w:t>
      </w:r>
      <w:r>
        <w:rPr>
          <w:rFonts w:hint="eastAsia" w:ascii="Times New Roman" w:hAnsi="Times New Roman" w:eastAsia="仿宋_GB2312" w:cs="Times New Roman"/>
          <w:color w:val="auto"/>
          <w:sz w:val="32"/>
          <w:szCs w:val="32"/>
          <w:highlight w:val="none"/>
          <w:lang w:val="zh-CN" w:eastAsia="zh-CN"/>
        </w:rPr>
        <w:t>0</w:t>
      </w:r>
      <w:r>
        <w:rPr>
          <w:rFonts w:hint="eastAsia" w:ascii="仿宋_GB2312" w:hAnsi="仿宋_GB2312" w:eastAsia="仿宋_GB2312" w:cs="仿宋_GB2312"/>
          <w:color w:val="auto"/>
          <w:sz w:val="32"/>
          <w:szCs w:val="32"/>
          <w:highlight w:val="none"/>
          <w:lang w:val="zh-CN" w:eastAsia="zh-CN"/>
        </w:rPr>
        <w:t>辆，价值</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万元，其中：副部（省）级及以上领导用车</w:t>
      </w:r>
      <w:r>
        <w:rPr>
          <w:rFonts w:hint="eastAsia" w:ascii="Times New Roman" w:hAnsi="Times New Roman" w:eastAsia="仿宋_GB2312" w:cs="Times New Roman"/>
          <w:color w:val="auto"/>
          <w:sz w:val="32"/>
          <w:szCs w:val="32"/>
          <w:highlight w:val="none"/>
          <w:lang w:val="zh-CN" w:eastAsia="zh-CN"/>
        </w:rPr>
        <w:t>0</w:t>
      </w:r>
      <w:r>
        <w:rPr>
          <w:rFonts w:hint="eastAsia" w:ascii="仿宋_GB2312" w:hAnsi="仿宋_GB2312" w:eastAsia="仿宋_GB2312" w:cs="仿宋_GB2312"/>
          <w:color w:val="auto"/>
          <w:sz w:val="32"/>
          <w:szCs w:val="32"/>
          <w:highlight w:val="none"/>
          <w:lang w:val="zh-CN" w:eastAsia="zh-CN"/>
        </w:rPr>
        <w:t>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w:t>
      </w:r>
      <w:r>
        <w:rPr>
          <w:rFonts w:hint="eastAsia" w:ascii="Times New Roman" w:hAnsi="Times New Roman" w:eastAsia="仿宋_GB2312" w:cs="Times New Roman"/>
          <w:color w:val="auto"/>
          <w:sz w:val="32"/>
          <w:szCs w:val="32"/>
          <w:highlight w:val="none"/>
          <w:lang w:val="zh-CN" w:eastAsia="zh-CN"/>
        </w:rPr>
        <w:t>0</w:t>
      </w:r>
      <w:r>
        <w:rPr>
          <w:rFonts w:hint="eastAsia" w:ascii="仿宋_GB2312" w:hAnsi="仿宋_GB2312" w:eastAsia="仿宋_GB2312" w:cs="仿宋_GB2312"/>
          <w:color w:val="auto"/>
          <w:sz w:val="32"/>
          <w:szCs w:val="32"/>
          <w:highlight w:val="none"/>
          <w:lang w:val="zh-CN" w:eastAsia="zh-CN"/>
        </w:rPr>
        <w:t>辆、机要通信用车</w:t>
      </w:r>
      <w:r>
        <w:rPr>
          <w:rFonts w:hint="eastAsia" w:ascii="Times New Roman" w:hAnsi="Times New Roman" w:eastAsia="仿宋_GB2312" w:cs="Times New Roman"/>
          <w:color w:val="auto"/>
          <w:sz w:val="32"/>
          <w:szCs w:val="32"/>
          <w:highlight w:val="none"/>
          <w:lang w:val="zh-CN" w:eastAsia="zh-CN"/>
        </w:rPr>
        <w:t>0</w:t>
      </w:r>
      <w:r>
        <w:rPr>
          <w:rFonts w:hint="eastAsia" w:ascii="仿宋_GB2312" w:hAnsi="仿宋_GB2312" w:eastAsia="仿宋_GB2312" w:cs="仿宋_GB2312"/>
          <w:color w:val="auto"/>
          <w:sz w:val="32"/>
          <w:szCs w:val="32"/>
          <w:highlight w:val="none"/>
          <w:lang w:val="zh-CN" w:eastAsia="zh-CN"/>
        </w:rPr>
        <w:t>辆、应急保障用车</w:t>
      </w:r>
      <w:r>
        <w:rPr>
          <w:rFonts w:hint="eastAsia" w:ascii="Times New Roman" w:hAnsi="Times New Roman" w:eastAsia="仿宋_GB2312" w:cs="Times New Roman"/>
          <w:color w:val="auto"/>
          <w:sz w:val="32"/>
          <w:szCs w:val="32"/>
          <w:highlight w:val="none"/>
          <w:lang w:val="zh-CN" w:eastAsia="zh-CN"/>
        </w:rPr>
        <w:t>0</w:t>
      </w:r>
      <w:r>
        <w:rPr>
          <w:rFonts w:hint="eastAsia" w:ascii="仿宋_GB2312" w:hAnsi="仿宋_GB2312" w:eastAsia="仿宋_GB2312" w:cs="仿宋_GB2312"/>
          <w:color w:val="auto"/>
          <w:sz w:val="32"/>
          <w:szCs w:val="32"/>
          <w:highlight w:val="none"/>
          <w:lang w:val="zh-CN" w:eastAsia="zh-CN"/>
        </w:rPr>
        <w:t>辆、执法执勤用车</w:t>
      </w:r>
      <w:r>
        <w:rPr>
          <w:rFonts w:hint="eastAsia" w:ascii="Times New Roman" w:hAnsi="Times New Roman" w:eastAsia="仿宋_GB2312" w:cs="Times New Roman"/>
          <w:color w:val="auto"/>
          <w:sz w:val="32"/>
          <w:szCs w:val="32"/>
          <w:highlight w:val="none"/>
          <w:lang w:val="zh-CN" w:eastAsia="zh-CN"/>
        </w:rPr>
        <w:t>0</w:t>
      </w:r>
      <w:r>
        <w:rPr>
          <w:rFonts w:hint="eastAsia" w:ascii="仿宋_GB2312" w:hAnsi="仿宋_GB2312" w:eastAsia="仿宋_GB2312" w:cs="仿宋_GB2312"/>
          <w:color w:val="auto"/>
          <w:sz w:val="32"/>
          <w:szCs w:val="32"/>
          <w:highlight w:val="none"/>
          <w:lang w:val="zh-CN" w:eastAsia="zh-CN"/>
        </w:rPr>
        <w:t>辆、特种专业技术用车</w:t>
      </w:r>
      <w:r>
        <w:rPr>
          <w:rFonts w:hint="eastAsia" w:ascii="Times New Roman" w:hAnsi="Times New Roman" w:eastAsia="仿宋_GB2312" w:cs="Times New Roman"/>
          <w:color w:val="auto"/>
          <w:sz w:val="32"/>
          <w:szCs w:val="32"/>
          <w:highlight w:val="none"/>
          <w:lang w:val="zh-CN" w:eastAsia="zh-CN"/>
        </w:rPr>
        <w:t>0</w:t>
      </w:r>
      <w:r>
        <w:rPr>
          <w:rFonts w:hint="eastAsia" w:ascii="仿宋_GB2312" w:hAnsi="仿宋_GB2312" w:eastAsia="仿宋_GB2312" w:cs="仿宋_GB2312"/>
          <w:color w:val="auto"/>
          <w:sz w:val="32"/>
          <w:szCs w:val="32"/>
          <w:highlight w:val="none"/>
          <w:lang w:val="zh-CN" w:eastAsia="zh-CN"/>
        </w:rPr>
        <w:t>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w:t>
      </w:r>
      <w:r>
        <w:rPr>
          <w:rFonts w:hint="eastAsia" w:ascii="Times New Roman" w:hAnsi="Times New Roman" w:eastAsia="仿宋_GB2312" w:cs="Times New Roman"/>
          <w:color w:val="auto"/>
          <w:sz w:val="32"/>
          <w:szCs w:val="32"/>
          <w:highlight w:val="none"/>
          <w:lang w:val="zh-CN" w:eastAsia="zh-CN"/>
        </w:rPr>
        <w:t>0</w:t>
      </w:r>
      <w:r>
        <w:rPr>
          <w:rFonts w:hint="eastAsia" w:ascii="仿宋_GB2312" w:hAnsi="仿宋_GB2312" w:eastAsia="仿宋_GB2312" w:cs="仿宋_GB2312"/>
          <w:color w:val="auto"/>
          <w:sz w:val="32"/>
          <w:szCs w:val="32"/>
          <w:highlight w:val="none"/>
          <w:lang w:val="zh-CN" w:eastAsia="zh-CN"/>
        </w:rPr>
        <w:t>辆、其他用车</w:t>
      </w:r>
      <w:r>
        <w:rPr>
          <w:rFonts w:hint="eastAsia" w:ascii="Times New Roman" w:hAnsi="Times New Roman" w:eastAsia="仿宋_GB2312" w:cs="Times New Roman"/>
          <w:color w:val="auto"/>
          <w:sz w:val="32"/>
          <w:szCs w:val="32"/>
          <w:highlight w:val="none"/>
          <w:lang w:val="zh-CN" w:eastAsia="zh-CN"/>
        </w:rPr>
        <w:t>0</w:t>
      </w:r>
      <w:r>
        <w:rPr>
          <w:rFonts w:hint="eastAsia" w:ascii="仿宋_GB2312" w:hAnsi="仿宋_GB2312" w:eastAsia="仿宋_GB2312" w:cs="仿宋_GB2312"/>
          <w:color w:val="auto"/>
          <w:sz w:val="32"/>
          <w:szCs w:val="32"/>
          <w:highlight w:val="none"/>
          <w:lang w:val="zh-CN" w:eastAsia="zh-CN"/>
        </w:rPr>
        <w:t>辆，其他用车主要是：我单位无其他用车；单价</w:t>
      </w:r>
      <w:r>
        <w:rPr>
          <w:rFonts w:hint="eastAsia" w:ascii="Times New Roman" w:hAnsi="Times New Roman" w:eastAsia="仿宋_GB2312" w:cs="Times New Roman"/>
          <w:color w:val="auto"/>
          <w:sz w:val="32"/>
          <w:szCs w:val="32"/>
          <w:highlight w:val="none"/>
          <w:lang w:val="zh-CN" w:eastAsia="zh-CN"/>
        </w:rPr>
        <w:t>100</w:t>
      </w:r>
      <w:r>
        <w:rPr>
          <w:rFonts w:hint="eastAsia" w:ascii="仿宋_GB2312" w:hAnsi="仿宋_GB2312" w:eastAsia="仿宋_GB2312" w:cs="仿宋_GB2312"/>
          <w:color w:val="auto"/>
          <w:sz w:val="32"/>
          <w:szCs w:val="32"/>
          <w:highlight w:val="none"/>
          <w:lang w:val="zh-CN" w:eastAsia="zh-CN"/>
        </w:rPr>
        <w:t>万元（含）以上设备（不含车辆）</w:t>
      </w:r>
      <w:r>
        <w:rPr>
          <w:rFonts w:hint="eastAsia" w:ascii="Times New Roman" w:hAnsi="Times New Roman" w:eastAsia="仿宋_GB2312" w:cs="Times New Roman"/>
          <w:color w:val="auto"/>
          <w:sz w:val="32"/>
          <w:szCs w:val="32"/>
          <w:highlight w:val="none"/>
          <w:lang w:val="zh-CN" w:eastAsia="zh-CN"/>
        </w:rPr>
        <w:t>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Times New Roman" w:hAnsi="Times New Roman" w:eastAsia="仿宋_GB2312" w:cs="Times New Roman"/>
          <w:color w:val="auto"/>
          <w:sz w:val="32"/>
          <w:szCs w:val="32"/>
          <w:highlight w:val="none"/>
          <w:lang w:val="en-US" w:eastAsia="zh-CN"/>
        </w:rPr>
        <w:t>2023</w:t>
      </w:r>
      <w:r>
        <w:rPr>
          <w:rFonts w:hint="eastAsia" w:ascii="仿宋_GB2312" w:eastAsia="仿宋_GB2312"/>
          <w:color w:val="auto"/>
          <w:sz w:val="32"/>
          <w:szCs w:val="32"/>
          <w:highlight w:val="none"/>
          <w:lang w:eastAsia="zh-CN"/>
        </w:rPr>
        <w:t>年度</w:t>
      </w:r>
      <w:r>
        <w:rPr>
          <w:rFonts w:hint="eastAsia" w:ascii="仿宋_GB2312" w:hAnsi="仿宋_GB2312" w:eastAsia="仿宋_GB2312" w:cs="仿宋_GB2312"/>
          <w:color w:val="auto"/>
          <w:kern w:val="0"/>
          <w:sz w:val="32"/>
          <w:szCs w:val="32"/>
          <w:highlight w:val="none"/>
        </w:rPr>
        <w:t>预算绩效管理整体绩效自评表</w:t>
      </w:r>
      <w:r>
        <w:rPr>
          <w:rFonts w:hint="eastAsia" w:eastAsia="仿宋_GB2312" w:cs="Times New Roman"/>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eastAsia="仿宋_GB2312" w:cs="Times New Roman"/>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w:t>
      </w:r>
      <w:r>
        <w:rPr>
          <w:rFonts w:hint="eastAsia" w:eastAsia="仿宋_GB2312" w:cs="Times New Roman"/>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；我单位整体支出绩效自评表由主管部门编报并公开。</w:t>
      </w:r>
      <w:r>
        <w:rPr>
          <w:rFonts w:hint="eastAsia" w:ascii="仿宋_GB2312" w:eastAsia="仿宋_GB2312"/>
          <w:color w:val="auto"/>
          <w:sz w:val="32"/>
          <w:szCs w:val="32"/>
          <w:highlight w:val="none"/>
          <w:lang w:eastAsia="zh-CN"/>
        </w:rPr>
        <w:t>预算绩效评价项目</w:t>
      </w:r>
      <w:r>
        <w:rPr>
          <w:rFonts w:hint="eastAsia" w:ascii="Times New Roman" w:hAnsi="Times New Roman" w:eastAsia="仿宋_GB2312" w:cs="Times New Roman"/>
          <w:color w:val="auto"/>
          <w:sz w:val="32"/>
          <w:szCs w:val="32"/>
          <w:highlight w:val="none"/>
          <w:lang w:val="en-US" w:eastAsia="zh-CN"/>
        </w:rPr>
        <w:t>3</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w:t>
      </w:r>
      <w:r>
        <w:rPr>
          <w:rFonts w:hint="eastAsia" w:ascii="Times New Roman" w:hAnsi="Times New Roman" w:eastAsia="仿宋_GB2312" w:cs="Times New Roman"/>
          <w:color w:val="auto"/>
          <w:sz w:val="32"/>
          <w:szCs w:val="32"/>
          <w:highlight w:val="none"/>
          <w:lang w:val="en-US" w:eastAsia="zh-CN"/>
        </w:rPr>
        <w:t>4,110.02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w:t>
      </w:r>
      <w:r>
        <w:rPr>
          <w:rFonts w:hint="eastAsia" w:ascii="Times New Roman" w:hAnsi="Times New Roman" w:eastAsia="仿宋_GB2312" w:cs="Times New Roman"/>
          <w:color w:val="auto"/>
          <w:sz w:val="32"/>
          <w:szCs w:val="32"/>
          <w:highlight w:val="none"/>
          <w:lang w:val="en-US" w:eastAsia="zh-CN"/>
        </w:rPr>
        <w:t>4,039.65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ascii="仿宋_GB2312" w:eastAsia="仿宋_GB2312"/>
          <w:sz w:val="32"/>
          <w:szCs w:val="32"/>
        </w:rPr>
        <w:t>一是物业管理及单位基础设施维护成效显著；二是节约成本，通过三供一业改造，在节水、节电上效果明显，提高了职工的满意度</w:t>
      </w:r>
      <w:r>
        <w:rPr>
          <w:rFonts w:hint="eastAsia" w:ascii="仿宋_GB2312" w:eastAsia="仿宋_GB2312"/>
          <w:sz w:val="32"/>
          <w:szCs w:val="32"/>
        </w:rPr>
        <w:t>。</w:t>
      </w:r>
      <w:bookmarkStart w:id="48" w:name="_GoBack"/>
      <w:bookmarkEnd w:id="48"/>
      <w:r>
        <w:rPr>
          <w:rFonts w:hint="eastAsia" w:ascii="仿宋_GB2312" w:eastAsia="仿宋_GB2312"/>
          <w:sz w:val="32"/>
          <w:szCs w:val="32"/>
        </w:rPr>
        <w:t>发现的问题及原因：</w:t>
      </w:r>
      <w:r>
        <w:rPr>
          <w:rFonts w:ascii="仿宋_GB2312" w:eastAsia="仿宋_GB2312"/>
          <w:sz w:val="32"/>
          <w:szCs w:val="32"/>
        </w:rPr>
        <w:t>一是预算绩效管理不够精准；二是日常跟踪进度还不足</w:t>
      </w:r>
      <w:r>
        <w:rPr>
          <w:rFonts w:hint="eastAsia" w:ascii="仿宋_GB2312" w:eastAsia="仿宋_GB2312"/>
          <w:sz w:val="32"/>
          <w:szCs w:val="32"/>
        </w:rPr>
        <w:t>。下一步改进措施：</w:t>
      </w:r>
      <w:r>
        <w:rPr>
          <w:rFonts w:ascii="仿宋_GB2312" w:eastAsia="仿宋_GB2312"/>
          <w:sz w:val="32"/>
          <w:szCs w:val="32"/>
        </w:rPr>
        <w:t>一是加强预算的约束力；二是严格预算管理确保按预算计划完成</w:t>
      </w:r>
      <w:r>
        <w:rPr>
          <w:rFonts w:hint="eastAsia" w:ascii="仿宋_GB2312" w:eastAsia="仿宋_GB2312"/>
          <w:sz w:val="32"/>
          <w:szCs w:val="32"/>
        </w:rPr>
        <w:t>。</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仿宋_GB2312" w:eastAsia="仿宋_GB2312"/>
          <w:sz w:val="32"/>
          <w:szCs w:val="32"/>
        </w:rPr>
      </w:pPr>
      <w:bookmarkStart w:id="30" w:name="_Toc3250"/>
      <w:bookmarkStart w:id="31" w:name="_Toc24143"/>
      <w:r>
        <w:rPr>
          <w:rFonts w:hint="eastAsia" w:ascii="Times New Roman" w:hAnsi="Times New Roman" w:eastAsia="仿宋_GB2312" w:cs="Times New Roman"/>
          <w:color w:val="auto"/>
          <w:sz w:val="32"/>
          <w:szCs w:val="32"/>
          <w:highlight w:val="none"/>
          <w:lang w:val="zh-CN" w:eastAsia="zh-CN"/>
        </w:rPr>
        <w:t>2023</w:t>
      </w:r>
      <w:r>
        <w:rPr>
          <w:rFonts w:hint="eastAsia" w:ascii="仿宋_GB2312" w:eastAsia="仿宋_GB2312"/>
          <w:sz w:val="32"/>
          <w:szCs w:val="32"/>
          <w:lang w:val="zh-CN" w:eastAsia="zh-CN"/>
        </w:rPr>
        <w:t>年度</w:t>
      </w:r>
      <w:r>
        <w:rPr>
          <w:rFonts w:hint="eastAsia" w:ascii="仿宋_GB2312" w:eastAsia="仿宋_GB2312"/>
          <w:sz w:val="32"/>
          <w:szCs w:val="32"/>
          <w:lang w:val="zh-CN"/>
        </w:rPr>
        <w:t>政府采购支出总额</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sz w:val="32"/>
          <w:szCs w:val="32"/>
          <w:lang w:val="zh-CN" w:eastAsia="zh-CN"/>
        </w:rPr>
        <w:t>万元</w:t>
      </w:r>
      <w:r>
        <w:rPr>
          <w:rFonts w:hint="eastAsia" w:ascii="仿宋_GB2312" w:eastAsia="仿宋_GB2312"/>
          <w:sz w:val="32"/>
          <w:szCs w:val="32"/>
          <w:lang w:val="en-US" w:eastAsia="zh-CN"/>
        </w:rPr>
        <w:t>,</w:t>
      </w:r>
      <w:r>
        <w:rPr>
          <w:rFonts w:hint="eastAsia" w:ascii="仿宋_GB2312" w:eastAsia="仿宋_GB2312"/>
          <w:sz w:val="32"/>
          <w:szCs w:val="32"/>
          <w:lang w:val="zh-CN" w:eastAsia="zh-CN"/>
        </w:rPr>
        <w:t>授予中小企业</w:t>
      </w:r>
      <w:r>
        <w:rPr>
          <w:rFonts w:hint="eastAsia" w:ascii="仿宋_GB2312" w:eastAsia="仿宋_GB2312"/>
          <w:sz w:val="32"/>
          <w:szCs w:val="32"/>
          <w:lang w:val="en-US" w:eastAsia="zh-CN"/>
        </w:rPr>
        <w:t>合同金</w:t>
      </w:r>
      <w:r>
        <w:rPr>
          <w:rFonts w:hint="eastAsia" w:ascii="仿宋_GB2312" w:eastAsia="仿宋_GB2312"/>
          <w:sz w:val="32"/>
          <w:szCs w:val="32"/>
          <w:lang w:val="zh-CN" w:eastAsia="zh-CN"/>
        </w:rPr>
        <w:t>额</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sz w:val="32"/>
          <w:szCs w:val="32"/>
          <w:lang w:val="zh-CN" w:eastAsia="zh-CN"/>
        </w:rPr>
        <w:t>万元，授予小微企业合同金额</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sz w:val="32"/>
          <w:szCs w:val="32"/>
          <w:lang w:val="zh-CN" w:eastAsia="zh-CN"/>
        </w:rPr>
        <w:t>万元。</w:t>
      </w:r>
      <w:r>
        <w:rPr>
          <w:rFonts w:hint="eastAsia" w:ascii="仿宋_GB2312" w:eastAsia="仿宋_GB2312"/>
          <w:sz w:val="32"/>
          <w:szCs w:val="32"/>
        </w:rPr>
        <w:br w:type="page"/>
      </w:r>
    </w:p>
    <w:p>
      <w:pPr>
        <w:keepNext w:val="0"/>
        <w:keepLines w:val="0"/>
        <w:pageBreakBefore w:val="0"/>
        <w:widowControl w:val="0"/>
        <w:kinsoku/>
        <w:wordWrap/>
        <w:overflowPunct/>
        <w:topLinePunct w:val="0"/>
        <w:autoSpaceDE/>
        <w:autoSpaceDN/>
        <w:bidi w:val="0"/>
        <w:adjustRightInd/>
        <w:snapToGrid/>
        <w:spacing w:line="240" w:lineRule="auto"/>
        <w:ind w:firstLine="2560" w:firstLineChars="800"/>
        <w:jc w:val="left"/>
        <w:textAlignment w:val="auto"/>
        <w:outlineLvl w:val="0"/>
        <w:rPr>
          <w:rFonts w:hint="eastAsia" w:ascii="黑体" w:hAnsi="黑体" w:eastAsia="黑体"/>
          <w:color w:val="auto"/>
          <w:sz w:val="32"/>
          <w:szCs w:val="32"/>
          <w:highlight w:val="none"/>
        </w:rPr>
      </w:pPr>
      <w:r>
        <w:rPr>
          <w:rFonts w:hint="eastAsia" w:ascii="黑体" w:hAnsi="黑体" w:eastAsia="黑体" w:cs="黑体"/>
          <w:sz w:val="32"/>
          <w:szCs w:val="32"/>
        </w:rPr>
        <w:t>第</w:t>
      </w:r>
      <w:r>
        <w:rPr>
          <w:rFonts w:hint="eastAsia" w:ascii="黑体" w:hAnsi="黑体" w:eastAsia="黑体" w:cs="黑体"/>
          <w:sz w:val="32"/>
          <w:szCs w:val="32"/>
          <w:lang w:val="en-US" w:eastAsia="zh-CN"/>
        </w:rPr>
        <w:t>三</w:t>
      </w:r>
      <w:r>
        <w:rPr>
          <w:rFonts w:hint="eastAsia" w:ascii="黑体" w:hAnsi="黑体" w:eastAsia="黑体" w:cs="黑体"/>
          <w:sz w:val="32"/>
          <w:szCs w:val="32"/>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RhYTY1ZGQxYmExNDU3MDliMjE5MTI4NjEwM2M2NzA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846602"/>
    <w:rsid w:val="04C04386"/>
    <w:rsid w:val="04FA68C4"/>
    <w:rsid w:val="053F5AE6"/>
    <w:rsid w:val="057C0B0F"/>
    <w:rsid w:val="05EF4B48"/>
    <w:rsid w:val="05F76ECA"/>
    <w:rsid w:val="06792773"/>
    <w:rsid w:val="06DF5D71"/>
    <w:rsid w:val="07093795"/>
    <w:rsid w:val="07804730"/>
    <w:rsid w:val="079052BE"/>
    <w:rsid w:val="08145C21"/>
    <w:rsid w:val="08422688"/>
    <w:rsid w:val="085854ED"/>
    <w:rsid w:val="0879188F"/>
    <w:rsid w:val="08A0354D"/>
    <w:rsid w:val="08CD4C49"/>
    <w:rsid w:val="09114954"/>
    <w:rsid w:val="095A5B83"/>
    <w:rsid w:val="096466E3"/>
    <w:rsid w:val="0968304D"/>
    <w:rsid w:val="09AF3D17"/>
    <w:rsid w:val="09DC0C8E"/>
    <w:rsid w:val="09F4422A"/>
    <w:rsid w:val="0A7809B7"/>
    <w:rsid w:val="0A7B4867"/>
    <w:rsid w:val="0A83110A"/>
    <w:rsid w:val="0A840954"/>
    <w:rsid w:val="0A9928ED"/>
    <w:rsid w:val="0B61769D"/>
    <w:rsid w:val="0B8C3ECC"/>
    <w:rsid w:val="0B9C639D"/>
    <w:rsid w:val="0BB052B2"/>
    <w:rsid w:val="0BD33FFC"/>
    <w:rsid w:val="0BE8391A"/>
    <w:rsid w:val="0BE97AC1"/>
    <w:rsid w:val="0C1C4780"/>
    <w:rsid w:val="0C3613A3"/>
    <w:rsid w:val="0C5E519C"/>
    <w:rsid w:val="0C7227A7"/>
    <w:rsid w:val="0CA52EE8"/>
    <w:rsid w:val="0CBD6988"/>
    <w:rsid w:val="0CC5282D"/>
    <w:rsid w:val="0CC9294F"/>
    <w:rsid w:val="0CD208AC"/>
    <w:rsid w:val="0D4903E8"/>
    <w:rsid w:val="0D7A4A46"/>
    <w:rsid w:val="0E640559"/>
    <w:rsid w:val="0E6F0323"/>
    <w:rsid w:val="0F1113DA"/>
    <w:rsid w:val="0F78534A"/>
    <w:rsid w:val="0F89358A"/>
    <w:rsid w:val="0F8C6D51"/>
    <w:rsid w:val="102227F5"/>
    <w:rsid w:val="105B0B5E"/>
    <w:rsid w:val="112E58D0"/>
    <w:rsid w:val="11731CAC"/>
    <w:rsid w:val="119500A0"/>
    <w:rsid w:val="11C0733B"/>
    <w:rsid w:val="11D50D17"/>
    <w:rsid w:val="120E0809"/>
    <w:rsid w:val="127F665A"/>
    <w:rsid w:val="12F7068C"/>
    <w:rsid w:val="138E2FF9"/>
    <w:rsid w:val="13A445CA"/>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120228"/>
    <w:rsid w:val="19D26CD4"/>
    <w:rsid w:val="19E60D19"/>
    <w:rsid w:val="1A3E3450"/>
    <w:rsid w:val="1A85013E"/>
    <w:rsid w:val="1A975C7E"/>
    <w:rsid w:val="1AD807E5"/>
    <w:rsid w:val="1B121190"/>
    <w:rsid w:val="1B39345B"/>
    <w:rsid w:val="1BFB2A1F"/>
    <w:rsid w:val="1C015D4A"/>
    <w:rsid w:val="1C290ED5"/>
    <w:rsid w:val="1C317E4F"/>
    <w:rsid w:val="1C472464"/>
    <w:rsid w:val="1CE27F12"/>
    <w:rsid w:val="1D22799A"/>
    <w:rsid w:val="1D412E8A"/>
    <w:rsid w:val="1D540E0F"/>
    <w:rsid w:val="1D5C1A72"/>
    <w:rsid w:val="1DAF458D"/>
    <w:rsid w:val="1DCF0496"/>
    <w:rsid w:val="1E086ACE"/>
    <w:rsid w:val="1E62130A"/>
    <w:rsid w:val="1E7E3A8E"/>
    <w:rsid w:val="1E97358B"/>
    <w:rsid w:val="1EA25BAA"/>
    <w:rsid w:val="1EAA4A5F"/>
    <w:rsid w:val="1EE869A7"/>
    <w:rsid w:val="1F900AEA"/>
    <w:rsid w:val="1FA15E62"/>
    <w:rsid w:val="1FED69B6"/>
    <w:rsid w:val="2064678E"/>
    <w:rsid w:val="20DC1AB9"/>
    <w:rsid w:val="20DD6197"/>
    <w:rsid w:val="21132D8F"/>
    <w:rsid w:val="212631E0"/>
    <w:rsid w:val="214967B1"/>
    <w:rsid w:val="21A53757"/>
    <w:rsid w:val="221236C6"/>
    <w:rsid w:val="22D7662C"/>
    <w:rsid w:val="23326B7F"/>
    <w:rsid w:val="2380045B"/>
    <w:rsid w:val="23BC04D2"/>
    <w:rsid w:val="23DC56BB"/>
    <w:rsid w:val="23EF1892"/>
    <w:rsid w:val="2483647E"/>
    <w:rsid w:val="24A32D55"/>
    <w:rsid w:val="25164BFC"/>
    <w:rsid w:val="25292727"/>
    <w:rsid w:val="252E5CA9"/>
    <w:rsid w:val="256F7692"/>
    <w:rsid w:val="25BA2154"/>
    <w:rsid w:val="25C8773F"/>
    <w:rsid w:val="264A7253"/>
    <w:rsid w:val="269C55D5"/>
    <w:rsid w:val="26F0170C"/>
    <w:rsid w:val="27201D62"/>
    <w:rsid w:val="27271343"/>
    <w:rsid w:val="27286E73"/>
    <w:rsid w:val="27CF2642"/>
    <w:rsid w:val="27E777F5"/>
    <w:rsid w:val="27EA1D4C"/>
    <w:rsid w:val="27EA2E41"/>
    <w:rsid w:val="282459E2"/>
    <w:rsid w:val="283A7FE5"/>
    <w:rsid w:val="285F51FF"/>
    <w:rsid w:val="28DF2665"/>
    <w:rsid w:val="29072599"/>
    <w:rsid w:val="291029F3"/>
    <w:rsid w:val="29CB58F0"/>
    <w:rsid w:val="2A053397"/>
    <w:rsid w:val="2A145E96"/>
    <w:rsid w:val="2A306760"/>
    <w:rsid w:val="2A4144C9"/>
    <w:rsid w:val="2AF5378F"/>
    <w:rsid w:val="2BB94DBF"/>
    <w:rsid w:val="2BF612E4"/>
    <w:rsid w:val="2C2A71DF"/>
    <w:rsid w:val="2C6F314E"/>
    <w:rsid w:val="2CC206BE"/>
    <w:rsid w:val="2D1136DF"/>
    <w:rsid w:val="2D20606D"/>
    <w:rsid w:val="2DB87198"/>
    <w:rsid w:val="2DB93C54"/>
    <w:rsid w:val="2E3D144C"/>
    <w:rsid w:val="2E891204"/>
    <w:rsid w:val="2F1B050D"/>
    <w:rsid w:val="2F3F0A28"/>
    <w:rsid w:val="2FBF7029"/>
    <w:rsid w:val="2FD0187F"/>
    <w:rsid w:val="2FD27414"/>
    <w:rsid w:val="2FFE4BB0"/>
    <w:rsid w:val="300E7B60"/>
    <w:rsid w:val="300F6E18"/>
    <w:rsid w:val="301306B6"/>
    <w:rsid w:val="30470360"/>
    <w:rsid w:val="30862F5F"/>
    <w:rsid w:val="30A25EDE"/>
    <w:rsid w:val="314029C9"/>
    <w:rsid w:val="31C63837"/>
    <w:rsid w:val="31C82E39"/>
    <w:rsid w:val="32601BAD"/>
    <w:rsid w:val="329F6389"/>
    <w:rsid w:val="3389023A"/>
    <w:rsid w:val="33CB74FA"/>
    <w:rsid w:val="343642F2"/>
    <w:rsid w:val="343F3010"/>
    <w:rsid w:val="345D0A00"/>
    <w:rsid w:val="34713BFD"/>
    <w:rsid w:val="34C13589"/>
    <w:rsid w:val="353369E3"/>
    <w:rsid w:val="35D97CAC"/>
    <w:rsid w:val="35E00D72"/>
    <w:rsid w:val="36965B9D"/>
    <w:rsid w:val="36C549FD"/>
    <w:rsid w:val="37A755DD"/>
    <w:rsid w:val="37F94FA0"/>
    <w:rsid w:val="380D3381"/>
    <w:rsid w:val="38115B1F"/>
    <w:rsid w:val="385E3AC3"/>
    <w:rsid w:val="387D6B9E"/>
    <w:rsid w:val="38B75FF0"/>
    <w:rsid w:val="38D45016"/>
    <w:rsid w:val="38D90432"/>
    <w:rsid w:val="3914510A"/>
    <w:rsid w:val="3926770B"/>
    <w:rsid w:val="397D3044"/>
    <w:rsid w:val="398D3668"/>
    <w:rsid w:val="39DA0497"/>
    <w:rsid w:val="3A893816"/>
    <w:rsid w:val="3A893B6D"/>
    <w:rsid w:val="3AD1763A"/>
    <w:rsid w:val="3B6716E3"/>
    <w:rsid w:val="3B673FAC"/>
    <w:rsid w:val="3B6C6B2D"/>
    <w:rsid w:val="3C242659"/>
    <w:rsid w:val="3C785059"/>
    <w:rsid w:val="3C836BC3"/>
    <w:rsid w:val="3C8A189D"/>
    <w:rsid w:val="3C96719C"/>
    <w:rsid w:val="3CA72BE8"/>
    <w:rsid w:val="3CF37F8C"/>
    <w:rsid w:val="3D137554"/>
    <w:rsid w:val="3D5275AC"/>
    <w:rsid w:val="3D5B544A"/>
    <w:rsid w:val="3DCC2473"/>
    <w:rsid w:val="3DEB0883"/>
    <w:rsid w:val="3E2527BF"/>
    <w:rsid w:val="3E491747"/>
    <w:rsid w:val="3E731662"/>
    <w:rsid w:val="3E8168DD"/>
    <w:rsid w:val="3EA7725F"/>
    <w:rsid w:val="3EB03713"/>
    <w:rsid w:val="3EBF1A11"/>
    <w:rsid w:val="3EC52607"/>
    <w:rsid w:val="3EEC6CEF"/>
    <w:rsid w:val="3F183429"/>
    <w:rsid w:val="3F9133A5"/>
    <w:rsid w:val="3FB77A1D"/>
    <w:rsid w:val="3FDC3674"/>
    <w:rsid w:val="3FED7F8A"/>
    <w:rsid w:val="40094AEF"/>
    <w:rsid w:val="405470BD"/>
    <w:rsid w:val="40794A29"/>
    <w:rsid w:val="40834692"/>
    <w:rsid w:val="41431AD5"/>
    <w:rsid w:val="414B3C0F"/>
    <w:rsid w:val="416C5E78"/>
    <w:rsid w:val="417C1CE7"/>
    <w:rsid w:val="41900018"/>
    <w:rsid w:val="41944406"/>
    <w:rsid w:val="41CE128F"/>
    <w:rsid w:val="41DA6F12"/>
    <w:rsid w:val="41F055FF"/>
    <w:rsid w:val="42171FB1"/>
    <w:rsid w:val="42DE2DA6"/>
    <w:rsid w:val="434E6957"/>
    <w:rsid w:val="43650DD1"/>
    <w:rsid w:val="43BA0E31"/>
    <w:rsid w:val="43C15147"/>
    <w:rsid w:val="43E14DD2"/>
    <w:rsid w:val="43F800E9"/>
    <w:rsid w:val="443A7E4B"/>
    <w:rsid w:val="452F5B3A"/>
    <w:rsid w:val="454E7FD2"/>
    <w:rsid w:val="45C02C36"/>
    <w:rsid w:val="45ED50AE"/>
    <w:rsid w:val="46061BDC"/>
    <w:rsid w:val="461404F8"/>
    <w:rsid w:val="46413018"/>
    <w:rsid w:val="464B7E04"/>
    <w:rsid w:val="468041AA"/>
    <w:rsid w:val="468123C6"/>
    <w:rsid w:val="46901EEE"/>
    <w:rsid w:val="469C74D2"/>
    <w:rsid w:val="471A0124"/>
    <w:rsid w:val="47445515"/>
    <w:rsid w:val="474B4782"/>
    <w:rsid w:val="47D90D14"/>
    <w:rsid w:val="48387FB0"/>
    <w:rsid w:val="483A6114"/>
    <w:rsid w:val="488727DB"/>
    <w:rsid w:val="48A725C4"/>
    <w:rsid w:val="48B82268"/>
    <w:rsid w:val="48C354B3"/>
    <w:rsid w:val="48CC544E"/>
    <w:rsid w:val="493D58B5"/>
    <w:rsid w:val="494A7A04"/>
    <w:rsid w:val="4A0A26D2"/>
    <w:rsid w:val="4A2019A5"/>
    <w:rsid w:val="4A241A0B"/>
    <w:rsid w:val="4A4F6337"/>
    <w:rsid w:val="4A7B2875"/>
    <w:rsid w:val="4A934476"/>
    <w:rsid w:val="4AAA220A"/>
    <w:rsid w:val="4AE12E67"/>
    <w:rsid w:val="4B4C0111"/>
    <w:rsid w:val="4B8553A9"/>
    <w:rsid w:val="4BA206E8"/>
    <w:rsid w:val="4BDB3730"/>
    <w:rsid w:val="4C200F7A"/>
    <w:rsid w:val="4CEE3180"/>
    <w:rsid w:val="4D0F4AF6"/>
    <w:rsid w:val="4DF94F37"/>
    <w:rsid w:val="4E0A1DD5"/>
    <w:rsid w:val="4E3160E5"/>
    <w:rsid w:val="4E4D37AF"/>
    <w:rsid w:val="4E8C6496"/>
    <w:rsid w:val="4EF61477"/>
    <w:rsid w:val="4EFD18DE"/>
    <w:rsid w:val="4F144236"/>
    <w:rsid w:val="4F663C87"/>
    <w:rsid w:val="4F7E29A8"/>
    <w:rsid w:val="4F9E1FFC"/>
    <w:rsid w:val="4FEB4D54"/>
    <w:rsid w:val="50447CC2"/>
    <w:rsid w:val="50874A7C"/>
    <w:rsid w:val="50895EE7"/>
    <w:rsid w:val="50921B9D"/>
    <w:rsid w:val="50D16158"/>
    <w:rsid w:val="50DB5F45"/>
    <w:rsid w:val="51025EB1"/>
    <w:rsid w:val="51141503"/>
    <w:rsid w:val="5119769F"/>
    <w:rsid w:val="518D0ED5"/>
    <w:rsid w:val="525C687F"/>
    <w:rsid w:val="52F647F7"/>
    <w:rsid w:val="52F92565"/>
    <w:rsid w:val="53D03877"/>
    <w:rsid w:val="542F73CA"/>
    <w:rsid w:val="5430786D"/>
    <w:rsid w:val="544D1B39"/>
    <w:rsid w:val="54C811C0"/>
    <w:rsid w:val="556A442D"/>
    <w:rsid w:val="55DA564E"/>
    <w:rsid w:val="5604127D"/>
    <w:rsid w:val="56166703"/>
    <w:rsid w:val="56222B52"/>
    <w:rsid w:val="56510474"/>
    <w:rsid w:val="56861525"/>
    <w:rsid w:val="56982E14"/>
    <w:rsid w:val="56A93273"/>
    <w:rsid w:val="56BD550C"/>
    <w:rsid w:val="56E07045"/>
    <w:rsid w:val="56FF28AF"/>
    <w:rsid w:val="57540E7D"/>
    <w:rsid w:val="577B4878"/>
    <w:rsid w:val="57926973"/>
    <w:rsid w:val="58175352"/>
    <w:rsid w:val="581F2200"/>
    <w:rsid w:val="583059FA"/>
    <w:rsid w:val="584A0929"/>
    <w:rsid w:val="58CD2491"/>
    <w:rsid w:val="59044790"/>
    <w:rsid w:val="591B41B2"/>
    <w:rsid w:val="59254A26"/>
    <w:rsid w:val="59326325"/>
    <w:rsid w:val="595C505B"/>
    <w:rsid w:val="595E55C3"/>
    <w:rsid w:val="596E7E20"/>
    <w:rsid w:val="5A60780B"/>
    <w:rsid w:val="5AB34579"/>
    <w:rsid w:val="5AFC6609"/>
    <w:rsid w:val="5B113480"/>
    <w:rsid w:val="5BD456CE"/>
    <w:rsid w:val="5C0D1F49"/>
    <w:rsid w:val="5C3B671B"/>
    <w:rsid w:val="5CBB0CE2"/>
    <w:rsid w:val="5CC17177"/>
    <w:rsid w:val="5CF306BC"/>
    <w:rsid w:val="5D3F3D64"/>
    <w:rsid w:val="5D833043"/>
    <w:rsid w:val="5DD92690"/>
    <w:rsid w:val="5DDB1CFD"/>
    <w:rsid w:val="5E0A2849"/>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729D1"/>
    <w:rsid w:val="658A4877"/>
    <w:rsid w:val="65A00902"/>
    <w:rsid w:val="65AC6EDD"/>
    <w:rsid w:val="65D97752"/>
    <w:rsid w:val="65DA0D53"/>
    <w:rsid w:val="66085536"/>
    <w:rsid w:val="66105BF7"/>
    <w:rsid w:val="66150023"/>
    <w:rsid w:val="6628010D"/>
    <w:rsid w:val="66636F9A"/>
    <w:rsid w:val="669B4528"/>
    <w:rsid w:val="66B45A4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A0E36C1"/>
    <w:rsid w:val="6A8D0A8A"/>
    <w:rsid w:val="6B68175F"/>
    <w:rsid w:val="6BFD799F"/>
    <w:rsid w:val="6C4A2E5A"/>
    <w:rsid w:val="6C8138D0"/>
    <w:rsid w:val="6CEF0725"/>
    <w:rsid w:val="6D4B2604"/>
    <w:rsid w:val="6D8030E4"/>
    <w:rsid w:val="6E0E35C4"/>
    <w:rsid w:val="6E0F7A08"/>
    <w:rsid w:val="6E3947F5"/>
    <w:rsid w:val="6E9C74ED"/>
    <w:rsid w:val="6EF72976"/>
    <w:rsid w:val="6F451933"/>
    <w:rsid w:val="6F60051B"/>
    <w:rsid w:val="6F795A80"/>
    <w:rsid w:val="6F7C1D2E"/>
    <w:rsid w:val="6F8E0407"/>
    <w:rsid w:val="6FA67EF8"/>
    <w:rsid w:val="6FDD069F"/>
    <w:rsid w:val="702B4D16"/>
    <w:rsid w:val="70AA6621"/>
    <w:rsid w:val="7111480F"/>
    <w:rsid w:val="71261F49"/>
    <w:rsid w:val="712E6956"/>
    <w:rsid w:val="71473612"/>
    <w:rsid w:val="71504F32"/>
    <w:rsid w:val="7152309F"/>
    <w:rsid w:val="717E112C"/>
    <w:rsid w:val="718F7F65"/>
    <w:rsid w:val="71995F66"/>
    <w:rsid w:val="727B234E"/>
    <w:rsid w:val="72D068C7"/>
    <w:rsid w:val="72E42ED8"/>
    <w:rsid w:val="735F4CB9"/>
    <w:rsid w:val="73674C62"/>
    <w:rsid w:val="73845865"/>
    <w:rsid w:val="739B6D9E"/>
    <w:rsid w:val="73BC1D76"/>
    <w:rsid w:val="73FB6630"/>
    <w:rsid w:val="74116287"/>
    <w:rsid w:val="748D790E"/>
    <w:rsid w:val="749820CC"/>
    <w:rsid w:val="74CE04EC"/>
    <w:rsid w:val="74E76DCD"/>
    <w:rsid w:val="751D7C0A"/>
    <w:rsid w:val="756248C1"/>
    <w:rsid w:val="75722D56"/>
    <w:rsid w:val="75834F10"/>
    <w:rsid w:val="75D21A46"/>
    <w:rsid w:val="75DB5477"/>
    <w:rsid w:val="75FC6AC3"/>
    <w:rsid w:val="7616619B"/>
    <w:rsid w:val="76660D7C"/>
    <w:rsid w:val="766C5968"/>
    <w:rsid w:val="76BE0C8F"/>
    <w:rsid w:val="76CD53B2"/>
    <w:rsid w:val="770719AC"/>
    <w:rsid w:val="77100A78"/>
    <w:rsid w:val="776526CC"/>
    <w:rsid w:val="77A262E1"/>
    <w:rsid w:val="77B13C33"/>
    <w:rsid w:val="77ED6F44"/>
    <w:rsid w:val="77F45548"/>
    <w:rsid w:val="784E7CA6"/>
    <w:rsid w:val="78574801"/>
    <w:rsid w:val="7873527F"/>
    <w:rsid w:val="790A6425"/>
    <w:rsid w:val="790E2D96"/>
    <w:rsid w:val="791B54B2"/>
    <w:rsid w:val="795A0A34"/>
    <w:rsid w:val="797339C3"/>
    <w:rsid w:val="79D12015"/>
    <w:rsid w:val="79D57D57"/>
    <w:rsid w:val="79F00650"/>
    <w:rsid w:val="7A6242BF"/>
    <w:rsid w:val="7A6B246A"/>
    <w:rsid w:val="7A794513"/>
    <w:rsid w:val="7AE952D2"/>
    <w:rsid w:val="7C3C2310"/>
    <w:rsid w:val="7C976D69"/>
    <w:rsid w:val="7CD752DA"/>
    <w:rsid w:val="7CDE40AB"/>
    <w:rsid w:val="7CF057E2"/>
    <w:rsid w:val="7D1548B5"/>
    <w:rsid w:val="7DF84014"/>
    <w:rsid w:val="7E1F3C97"/>
    <w:rsid w:val="7E207949"/>
    <w:rsid w:val="7E5C0A47"/>
    <w:rsid w:val="7E670C75"/>
    <w:rsid w:val="7E991353"/>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5205</Words>
  <Characters>5858</Characters>
  <Lines>0</Lines>
  <Paragraphs>0</Paragraphs>
  <TotalTime>153</TotalTime>
  <ScaleCrop>false</ScaleCrop>
  <LinksUpToDate>false</LinksUpToDate>
  <CharactersWithSpaces>5886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蓝色的雨</cp:lastModifiedBy>
  <dcterms:modified xsi:type="dcterms:W3CDTF">2024-08-30T04:17:58Z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