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ascii="黑体" w:hAnsi="黑体" w:eastAsia="黑体"/>
          <w:color w:val="auto"/>
          <w:sz w:val="32"/>
          <w:szCs w:val="32"/>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新疆维吾尔自治区民族事务委员会（宗教事务局）民族宗教丛书编辑室</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eastAsia="zh-CN"/>
        </w:rPr>
        <w:t xml:space="preserve"> </w:t>
      </w:r>
      <w:r>
        <w:rPr>
          <w:rFonts w:hint="eastAsia" w:ascii="方正小标宋_GBK" w:hAnsi="宋体" w:eastAsia="方正小标宋_GBK"/>
          <w:color w:val="auto"/>
          <w:sz w:val="44"/>
          <w:szCs w:val="44"/>
          <w:highlight w:val="none"/>
          <w:lang w:val="en-US" w:eastAsia="zh-CN"/>
        </w:rPr>
        <w:t>2023年度部门决算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公开说明</w:t>
      </w:r>
    </w:p>
    <w:p>
      <w:pPr>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单位</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pPr>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0" w:name="_Toc24028"/>
      <w:bookmarkStart w:id="1" w:name="_Toc32314"/>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单位</w:t>
      </w:r>
      <w:r>
        <w:rPr>
          <w:rFonts w:hint="eastAsia" w:ascii="黑体" w:hAnsi="黑体" w:eastAsia="黑体"/>
          <w:color w:val="auto"/>
          <w:sz w:val="32"/>
          <w:szCs w:val="32"/>
          <w:highlight w:val="none"/>
        </w:rPr>
        <w:t>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2" w:name="_Toc30567"/>
      <w:bookmarkStart w:id="3" w:name="_Toc30738"/>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hAnsi="Times New Roman" w:eastAsia="仿宋_GB2312" w:cs="Times New Roman"/>
          <w:color w:val="auto"/>
          <w:kern w:val="2"/>
          <w:sz w:val="32"/>
          <w:szCs w:val="32"/>
          <w:highlight w:val="none"/>
          <w:lang w:val="en-US" w:eastAsia="zh-CN" w:bidi="ar-SA"/>
        </w:rPr>
      </w:pPr>
      <w:r>
        <w:rPr>
          <w:rFonts w:hint="eastAsia" w:ascii="仿宋_GB2312" w:hAnsi="Times New Roman" w:eastAsia="仿宋_GB2312" w:cs="Times New Roman"/>
          <w:color w:val="auto"/>
          <w:kern w:val="2"/>
          <w:sz w:val="32"/>
          <w:szCs w:val="32"/>
          <w:highlight w:val="none"/>
          <w:lang w:val="en-US" w:eastAsia="zh-CN" w:bidi="ar-SA"/>
        </w:rPr>
        <w:t>根据《关于印发〈新疆维吾尔自治区民族事务委员会（宗教事务局）所属事业单位分类改革方案〉的通知》（新事改办〔2014〕37 号</w:t>
      </w:r>
      <w:r>
        <w:rPr>
          <w:rFonts w:hint="eastAsia" w:ascii="仿宋_GB2312" w:eastAsia="仿宋_GB2312" w:cs="Times New Roman"/>
          <w:color w:val="auto"/>
          <w:kern w:val="2"/>
          <w:sz w:val="32"/>
          <w:szCs w:val="32"/>
          <w:highlight w:val="none"/>
          <w:lang w:val="en-US" w:eastAsia="zh-CN" w:bidi="ar-SA"/>
        </w:rPr>
        <w:t>），</w:t>
      </w:r>
      <w:r>
        <w:rPr>
          <w:rFonts w:hint="eastAsia" w:ascii="仿宋_GB2312" w:hAnsi="Times New Roman" w:eastAsia="仿宋_GB2312" w:cs="Times New Roman"/>
          <w:color w:val="auto"/>
          <w:kern w:val="2"/>
          <w:sz w:val="32"/>
          <w:szCs w:val="32"/>
          <w:highlight w:val="none"/>
          <w:lang w:val="en-US" w:eastAsia="zh-CN" w:bidi="ar-SA"/>
        </w:rPr>
        <w:t>属于自治区民委（宗教事务局）公益一类事业单位，主要职责任务：根据国家、自治区有关规定，参与和组织编写、翻译、修订民族宗教类丛书、年鉴等；按照有关规定</w:t>
      </w:r>
      <w:r>
        <w:rPr>
          <w:rFonts w:hint="eastAsia" w:ascii="仿宋_GB2312" w:eastAsia="仿宋_GB2312" w:cs="Times New Roman"/>
          <w:color w:val="auto"/>
          <w:kern w:val="2"/>
          <w:sz w:val="32"/>
          <w:szCs w:val="32"/>
          <w:highlight w:val="none"/>
          <w:lang w:val="en-US" w:eastAsia="zh-CN" w:bidi="ar-SA"/>
        </w:rPr>
        <w:t>，</w:t>
      </w:r>
      <w:r>
        <w:rPr>
          <w:rFonts w:hint="eastAsia" w:ascii="仿宋_GB2312" w:hAnsi="Times New Roman" w:eastAsia="仿宋_GB2312" w:cs="Times New Roman"/>
          <w:color w:val="auto"/>
          <w:kern w:val="2"/>
          <w:sz w:val="32"/>
          <w:szCs w:val="32"/>
          <w:highlight w:val="none"/>
          <w:lang w:val="en-US" w:eastAsia="zh-CN" w:bidi="ar-SA"/>
        </w:rPr>
        <w:t>参与自治区民族宗教类图书的审读工作。</w:t>
      </w:r>
      <w:bookmarkStart w:id="4" w:name="_Toc31238"/>
      <w:bookmarkStart w:id="5" w:name="_Toc215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b/>
          <w:color w:val="auto"/>
          <w:sz w:val="32"/>
          <w:szCs w:val="32"/>
          <w:highlight w:val="none"/>
        </w:rPr>
      </w:pPr>
      <w:r>
        <w:rPr>
          <w:rFonts w:hint="eastAsia" w:ascii="仿宋_GB2312" w:eastAsia="仿宋_GB2312"/>
          <w:color w:val="auto"/>
          <w:sz w:val="32"/>
          <w:szCs w:val="32"/>
          <w:highlight w:val="none"/>
          <w:lang w:val="en-US" w:eastAsia="zh-CN"/>
        </w:rPr>
        <w:t>新疆维吾尔自治区民族事务委员会（宗教事务局）民族宗教丛书编辑室</w:t>
      </w:r>
      <w:r>
        <w:rPr>
          <w:rFonts w:hint="eastAsia" w:ascii="仿宋_GB2312" w:eastAsia="仿宋_GB2312"/>
          <w:color w:val="auto"/>
          <w:sz w:val="32"/>
          <w:szCs w:val="32"/>
          <w:highlight w:val="none"/>
          <w:lang w:eastAsia="zh-CN"/>
        </w:rPr>
        <w:t>2023年度，</w:t>
      </w:r>
      <w:r>
        <w:rPr>
          <w:rFonts w:hint="eastAsia" w:ascii="仿宋_GB2312" w:eastAsia="仿宋_GB2312"/>
          <w:color w:val="auto"/>
          <w:sz w:val="32"/>
          <w:szCs w:val="32"/>
          <w:highlight w:val="none"/>
        </w:rPr>
        <w:t>实有人数</w:t>
      </w:r>
      <w:r>
        <w:rPr>
          <w:rFonts w:hint="eastAsia" w:ascii="仿宋_GB2312" w:eastAsia="仿宋_GB2312"/>
          <w:color w:val="auto"/>
          <w:sz w:val="32"/>
          <w:szCs w:val="32"/>
          <w:highlight w:val="none"/>
          <w:lang w:val="zh-CN" w:eastAsia="zh-CN"/>
        </w:rPr>
        <w:t>12</w:t>
      </w:r>
      <w:r>
        <w:rPr>
          <w:rFonts w:hint="eastAsia" w:ascii="仿宋_GB2312" w:eastAsia="仿宋_GB2312"/>
          <w:color w:val="auto"/>
          <w:sz w:val="32"/>
          <w:szCs w:val="32"/>
          <w:highlight w:val="none"/>
        </w:rPr>
        <w:t>人，其中：在职人员</w:t>
      </w:r>
      <w:r>
        <w:rPr>
          <w:rFonts w:hint="eastAsia" w:ascii="仿宋_GB2312" w:eastAsia="仿宋_GB2312"/>
          <w:color w:val="auto"/>
          <w:sz w:val="32"/>
          <w:szCs w:val="32"/>
          <w:highlight w:val="none"/>
          <w:lang w:val="zh-CN" w:eastAsia="zh-CN"/>
        </w:rPr>
        <w:t>5</w:t>
      </w:r>
      <w:r>
        <w:rPr>
          <w:rFonts w:hint="eastAsia" w:ascii="仿宋_GB2312" w:eastAsia="仿宋_GB2312"/>
          <w:color w:val="auto"/>
          <w:sz w:val="32"/>
          <w:szCs w:val="32"/>
          <w:highlight w:val="none"/>
        </w:rPr>
        <w:t>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离休人员</w:t>
      </w:r>
      <w:r>
        <w:rPr>
          <w:rFonts w:hint="eastAsia" w:ascii="仿宋_GB2312" w:eastAsia="仿宋_GB2312"/>
          <w:color w:val="auto"/>
          <w:sz w:val="32"/>
          <w:szCs w:val="32"/>
          <w:highlight w:val="none"/>
          <w:lang w:val="zh-CN" w:eastAsia="zh-CN"/>
        </w:rPr>
        <w:t>0</w:t>
      </w:r>
      <w:r>
        <w:rPr>
          <w:rFonts w:hint="eastAsia" w:ascii="仿宋_GB2312" w:eastAsia="仿宋_GB2312"/>
          <w:color w:val="auto"/>
          <w:sz w:val="32"/>
          <w:szCs w:val="32"/>
          <w:highlight w:val="none"/>
        </w:rPr>
        <w:t>人，退休人员</w:t>
      </w:r>
      <w:r>
        <w:rPr>
          <w:rFonts w:hint="eastAsia" w:ascii="仿宋_GB2312" w:eastAsia="仿宋_GB2312"/>
          <w:color w:val="auto"/>
          <w:sz w:val="32"/>
          <w:szCs w:val="32"/>
          <w:highlight w:val="none"/>
          <w:lang w:val="zh-CN" w:eastAsia="zh-CN"/>
        </w:rPr>
        <w:t>7</w:t>
      </w:r>
      <w:r>
        <w:rPr>
          <w:rFonts w:hint="eastAsia" w:ascii="仿宋_GB2312" w:eastAsia="仿宋_GB2312"/>
          <w:color w:val="auto"/>
          <w:sz w:val="32"/>
          <w:szCs w:val="32"/>
          <w:highlight w:val="none"/>
        </w:rPr>
        <w:t>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hAnsi="黑体" w:eastAsia="仿宋_GB2312" w:cs="宋体"/>
          <w:bCs/>
          <w:color w:val="auto"/>
          <w:kern w:val="0"/>
          <w:sz w:val="32"/>
          <w:szCs w:val="32"/>
          <w:highlight w:val="none"/>
          <w:lang w:val="en-US" w:eastAsia="zh-CN"/>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eastAsia="仿宋_GB2312"/>
          <w:color w:val="auto"/>
          <w:sz w:val="32"/>
          <w:szCs w:val="32"/>
          <w:highlight w:val="none"/>
          <w:lang w:val="en-US" w:eastAsia="zh-CN"/>
        </w:rPr>
        <w:t>新疆维吾尔自治区民族事务委员会（宗教事务局）民族宗教丛书编辑室</w:t>
      </w:r>
      <w:r>
        <w:rPr>
          <w:rFonts w:hint="eastAsia" w:ascii="仿宋_GB2312" w:hAnsi="黑体" w:eastAsia="仿宋_GB2312" w:cs="宋体"/>
          <w:bCs/>
          <w:color w:val="auto"/>
          <w:kern w:val="0"/>
          <w:sz w:val="32"/>
          <w:szCs w:val="32"/>
          <w:highlight w:val="none"/>
        </w:rPr>
        <w:t>无下属预算单位，</w:t>
      </w:r>
      <w:r>
        <w:rPr>
          <w:rFonts w:hint="eastAsia" w:ascii="仿宋_GB2312" w:hAnsi="黑体" w:eastAsia="仿宋_GB2312" w:cs="宋体"/>
          <w:bCs/>
          <w:color w:val="auto"/>
          <w:kern w:val="0"/>
          <w:sz w:val="32"/>
          <w:szCs w:val="32"/>
          <w:highlight w:val="none"/>
          <w:lang w:val="en-US" w:eastAsia="zh-CN"/>
        </w:rPr>
        <w:t>下设 1 个科室，分别是：民族宗教丛书编辑室。</w:t>
      </w:r>
      <w:bookmarkStart w:id="48" w:name="_GoBack"/>
      <w:bookmarkEnd w:id="48"/>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6" w:name="_Toc3092"/>
      <w:bookmarkStart w:id="7" w:name="_Toc29374"/>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25314"/>
      <w:bookmarkStart w:id="9" w:name="_Toc12566"/>
      <w:r>
        <w:rPr>
          <w:rFonts w:hint="eastAsia" w:ascii="黑体" w:hAnsi="黑体" w:eastAsia="黑体" w:cs="宋体"/>
          <w:bCs/>
          <w:color w:val="auto"/>
          <w:kern w:val="0"/>
          <w:sz w:val="32"/>
          <w:szCs w:val="32"/>
          <w:highlight w:val="none"/>
        </w:rPr>
        <w:t>一、收入支出决算总体情况说明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pacing w:val="0"/>
          <w:sz w:val="32"/>
          <w:szCs w:val="32"/>
          <w:highlight w:val="none"/>
          <w:lang w:val="en-US" w:eastAsia="zh-CN"/>
        </w:rPr>
        <w:t>收入总计</w:t>
      </w:r>
      <w:r>
        <w:rPr>
          <w:rFonts w:hint="eastAsia" w:ascii="仿宋_GB2312" w:eastAsia="仿宋_GB2312"/>
          <w:color w:val="auto"/>
          <w:spacing w:val="0"/>
          <w:sz w:val="32"/>
          <w:szCs w:val="32"/>
          <w:highlight w:val="none"/>
          <w:lang w:eastAsia="zh-CN"/>
        </w:rPr>
        <w:t>124.93万元，</w:t>
      </w:r>
      <w:r>
        <w:rPr>
          <w:rFonts w:hint="eastAsia" w:ascii="仿宋_GB2312" w:eastAsia="仿宋_GB2312"/>
          <w:color w:val="auto"/>
          <w:spacing w:val="0"/>
          <w:sz w:val="32"/>
          <w:szCs w:val="32"/>
          <w:highlight w:val="none"/>
          <w:lang w:val="en-US" w:eastAsia="zh-CN"/>
        </w:rPr>
        <w:t>其中：本年收入合计</w:t>
      </w:r>
      <w:r>
        <w:rPr>
          <w:rFonts w:hint="eastAsia" w:ascii="仿宋_GB2312" w:eastAsia="仿宋_GB2312"/>
          <w:color w:val="auto"/>
          <w:spacing w:val="0"/>
          <w:sz w:val="32"/>
          <w:szCs w:val="32"/>
          <w:highlight w:val="none"/>
          <w:lang w:eastAsia="zh-CN"/>
        </w:rPr>
        <w:t>124.93万元，使用非财政拨款结余0.00万元，年初结转和结余0.00万元。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val="en-US" w:eastAsia="zh-CN"/>
        </w:rPr>
        <w:t>2023</w:t>
      </w:r>
      <w:r>
        <w:rPr>
          <w:rFonts w:hint="eastAsia" w:ascii="仿宋_GB2312" w:eastAsia="仿宋_GB2312"/>
          <w:color w:val="auto"/>
          <w:spacing w:val="0"/>
          <w:sz w:val="32"/>
          <w:szCs w:val="32"/>
          <w:highlight w:val="none"/>
          <w:lang w:eastAsia="zh-CN"/>
        </w:rPr>
        <w:t>年</w:t>
      </w:r>
      <w:r>
        <w:rPr>
          <w:rFonts w:hint="eastAsia" w:ascii="仿宋_GB2312" w:eastAsia="仿宋_GB2312"/>
          <w:color w:val="auto"/>
          <w:spacing w:val="0"/>
          <w:sz w:val="32"/>
          <w:szCs w:val="32"/>
          <w:highlight w:val="none"/>
          <w:lang w:val="en-US" w:eastAsia="zh-CN"/>
        </w:rPr>
        <w:t>度</w:t>
      </w:r>
      <w:r>
        <w:rPr>
          <w:rFonts w:hint="eastAsia" w:ascii="仿宋_GB2312" w:eastAsia="仿宋_GB2312"/>
          <w:color w:val="auto"/>
          <w:spacing w:val="0"/>
          <w:sz w:val="32"/>
          <w:szCs w:val="32"/>
          <w:highlight w:val="none"/>
          <w:lang w:eastAsia="zh-CN"/>
        </w:rPr>
        <w:t>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eastAsia="zh-CN"/>
        </w:rPr>
        <w:t>124.93万元，</w:t>
      </w:r>
      <w:r>
        <w:rPr>
          <w:rFonts w:hint="eastAsia" w:ascii="仿宋_GB2312" w:eastAsia="仿宋_GB2312"/>
          <w:color w:val="auto"/>
          <w:spacing w:val="0"/>
          <w:sz w:val="32"/>
          <w:szCs w:val="32"/>
          <w:highlight w:val="none"/>
          <w:lang w:val="en-US" w:eastAsia="zh-CN"/>
        </w:rPr>
        <w:t>其中：本年支出合计</w:t>
      </w:r>
      <w:r>
        <w:rPr>
          <w:rFonts w:hint="eastAsia" w:ascii="仿宋_GB2312" w:eastAsia="仿宋_GB2312"/>
          <w:color w:val="auto"/>
          <w:spacing w:val="0"/>
          <w:sz w:val="32"/>
          <w:szCs w:val="32"/>
          <w:highlight w:val="none"/>
          <w:lang w:eastAsia="zh-CN"/>
        </w:rPr>
        <w:t>124.93万元，</w:t>
      </w:r>
      <w:r>
        <w:rPr>
          <w:rFonts w:hint="eastAsia" w:ascii="仿宋_GB2312" w:eastAsia="仿宋_GB2312"/>
          <w:color w:val="auto"/>
          <w:spacing w:val="0"/>
          <w:sz w:val="32"/>
          <w:szCs w:val="32"/>
          <w:highlight w:val="none"/>
          <w:lang w:val="en-US" w:eastAsia="zh-CN"/>
        </w:rPr>
        <w:t>结余分配</w:t>
      </w:r>
      <w:r>
        <w:rPr>
          <w:rFonts w:hint="eastAsia" w:ascii="仿宋_GB2312" w:eastAsia="仿宋_GB2312"/>
          <w:color w:val="auto"/>
          <w:spacing w:val="0"/>
          <w:sz w:val="32"/>
          <w:szCs w:val="32"/>
          <w:highlight w:val="none"/>
          <w:lang w:eastAsia="zh-CN"/>
        </w:rPr>
        <w:t>0.00万元，年末结转和结余0.00万元。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val="en-US" w:eastAsia="zh-CN"/>
        </w:rPr>
        <w:t>收入支出总体与上年相比</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增加124.93万元</w:t>
      </w:r>
      <w:r>
        <w:rPr>
          <w:rFonts w:hint="eastAsia" w:ascii="仿宋_GB2312" w:eastAsia="仿宋_GB2312"/>
          <w:color w:val="auto"/>
          <w:spacing w:val="0"/>
          <w:sz w:val="32"/>
          <w:szCs w:val="32"/>
          <w:highlight w:val="none"/>
          <w:lang w:eastAsia="zh-CN"/>
        </w:rPr>
        <w:t>，增长100.00%，主要原因是：</w:t>
      </w:r>
      <w:r>
        <w:rPr>
          <w:rFonts w:hint="eastAsia" w:ascii="仿宋_GB2312" w:eastAsia="仿宋_GB2312"/>
          <w:color w:val="auto"/>
          <w:spacing w:val="0"/>
          <w:sz w:val="32"/>
          <w:szCs w:val="32"/>
          <w:highlight w:val="none"/>
          <w:lang w:val="en-US" w:eastAsia="zh-CN"/>
        </w:rPr>
        <w:t>2023年，</w:t>
      </w:r>
      <w:r>
        <w:rPr>
          <w:rFonts w:hint="eastAsia" w:ascii="仿宋_GB2312" w:eastAsia="仿宋_GB2312"/>
          <w:color w:val="auto"/>
          <w:sz w:val="32"/>
          <w:szCs w:val="32"/>
          <w:highlight w:val="none"/>
          <w:lang w:val="en-US" w:eastAsia="zh-CN"/>
        </w:rPr>
        <w:t>新疆维吾尔自治区民族事务委员会（宗教事务局）民族宗教丛书编辑室</w:t>
      </w:r>
      <w:r>
        <w:rPr>
          <w:rFonts w:hint="eastAsia" w:ascii="仿宋_GB2312" w:eastAsia="仿宋_GB2312"/>
          <w:color w:val="auto"/>
          <w:spacing w:val="0"/>
          <w:sz w:val="32"/>
          <w:szCs w:val="32"/>
          <w:highlight w:val="none"/>
          <w:lang w:val="en-US" w:eastAsia="zh-CN"/>
        </w:rPr>
        <w:t>首次编报部门决算，2022年度收入支出总体情况汇总在自治区民委（宗教事务局）部门决算中</w:t>
      </w:r>
      <w:r>
        <w:rPr>
          <w:rFonts w:hint="eastAsia" w:ascii="仿宋_GB2312" w:eastAsia="仿宋_GB2312"/>
          <w:color w:val="auto"/>
          <w:spacing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rPr>
      </w:pPr>
      <w:bookmarkStart w:id="10" w:name="_Toc12142"/>
      <w:bookmarkStart w:id="11" w:name="_Toc1979"/>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本年收入</w:t>
      </w:r>
      <w:r>
        <w:rPr>
          <w:rFonts w:hint="eastAsia" w:ascii="仿宋_GB2312" w:eastAsia="仿宋_GB2312"/>
          <w:color w:val="auto"/>
          <w:sz w:val="32"/>
          <w:szCs w:val="32"/>
          <w:highlight w:val="none"/>
          <w:lang w:eastAsia="zh-CN"/>
        </w:rPr>
        <w:t>124.93</w:t>
      </w:r>
      <w:r>
        <w:rPr>
          <w:rFonts w:hint="eastAsia" w:ascii="仿宋_GB2312" w:eastAsia="仿宋_GB2312"/>
          <w:color w:val="auto"/>
          <w:sz w:val="32"/>
          <w:szCs w:val="32"/>
          <w:highlight w:val="none"/>
        </w:rPr>
        <w:t>万元，其中：财政拨款收入</w:t>
      </w:r>
      <w:r>
        <w:rPr>
          <w:rFonts w:hint="eastAsia" w:ascii="仿宋_GB2312" w:eastAsia="仿宋_GB2312"/>
          <w:color w:val="auto"/>
          <w:sz w:val="32"/>
          <w:szCs w:val="32"/>
          <w:highlight w:val="none"/>
          <w:lang w:val="zh-CN"/>
        </w:rPr>
        <w:t>124.93</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100.00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；上级补助收入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；事业收入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；经营收入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附属单位上缴收入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；其他收入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2" w:name="_Toc13201"/>
      <w:bookmarkStart w:id="13" w:name="_Toc27961"/>
      <w:r>
        <w:rPr>
          <w:rFonts w:hint="eastAsia" w:ascii="黑体" w:hAnsi="黑体" w:eastAsia="黑体" w:cs="宋体"/>
          <w:bCs/>
          <w:color w:val="auto"/>
          <w:kern w:val="0"/>
          <w:sz w:val="32"/>
          <w:szCs w:val="32"/>
          <w:highlight w:val="none"/>
          <w:lang w:eastAsia="zh-CN"/>
        </w:rPr>
        <w:t>三、支出决算情况说明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仿宋_GB2312"/>
          <w:color w:val="auto"/>
          <w:sz w:val="30"/>
          <w:szCs w:val="30"/>
          <w:highlight w:val="none"/>
          <w:lang w:val="zh-CN" w:eastAsia="zh-CN"/>
        </w:rPr>
      </w:pPr>
      <w:r>
        <w:rPr>
          <w:rFonts w:hint="eastAsia" w:ascii="Times New Roman" w:hAnsi="Times New Roman" w:eastAsia="仿宋_GB2312" w:cs="仿宋_GB2312"/>
          <w:color w:val="auto"/>
          <w:sz w:val="32"/>
          <w:szCs w:val="32"/>
          <w:highlight w:val="none"/>
          <w:lang w:val="zh-CN" w:eastAsia="zh-CN"/>
        </w:rPr>
        <w:t>本年支出124.93万元，其中：基本支出124.93万元，占100.00%；项目支出0.00万元，占0.00%；上缴上级支出0.00万元，占0.00%；经营支出0.00万元，占0.00%；对附属单位补助支出0.00万元，占0.00%。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4" w:name="_Toc4393"/>
      <w:bookmarkStart w:id="15" w:name="_Toc26564"/>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2023年度财政拨款收入</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124.93</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其中：年初财政拨款结转和结余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本年财政拨款收入</w:t>
      </w:r>
      <w:r>
        <w:rPr>
          <w:rFonts w:hint="eastAsia" w:ascii="仿宋_GB2312" w:eastAsia="仿宋_GB2312"/>
          <w:color w:val="auto"/>
          <w:spacing w:val="0"/>
          <w:sz w:val="32"/>
          <w:szCs w:val="32"/>
          <w:highlight w:val="none"/>
          <w:lang w:val="zh-CN" w:eastAsia="zh-CN"/>
        </w:rPr>
        <w:t>124.93</w:t>
      </w:r>
      <w:r>
        <w:rPr>
          <w:rFonts w:hint="eastAsia" w:ascii="仿宋_GB2312" w:eastAsia="仿宋_GB2312"/>
          <w:color w:val="auto"/>
          <w:spacing w:val="0"/>
          <w:sz w:val="32"/>
          <w:szCs w:val="32"/>
          <w:highlight w:val="none"/>
          <w:lang w:eastAsia="zh-CN"/>
        </w:rPr>
        <w:t>万元。财政拨款支出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124.93</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其中：年末财政拨款结转和结余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本年财政拨款支出</w:t>
      </w:r>
      <w:r>
        <w:rPr>
          <w:rFonts w:hint="eastAsia" w:ascii="仿宋_GB2312" w:eastAsia="仿宋_GB2312"/>
          <w:color w:val="auto"/>
          <w:spacing w:val="0"/>
          <w:sz w:val="32"/>
          <w:szCs w:val="32"/>
          <w:highlight w:val="none"/>
          <w:lang w:val="zh-CN" w:eastAsia="zh-CN"/>
        </w:rPr>
        <w:t>124.93</w:t>
      </w:r>
      <w:r>
        <w:rPr>
          <w:rFonts w:hint="eastAsia" w:ascii="仿宋_GB2312" w:eastAsia="仿宋_GB2312"/>
          <w:color w:val="auto"/>
          <w:spacing w:val="0"/>
          <w:sz w:val="32"/>
          <w:szCs w:val="32"/>
          <w:highlight w:val="none"/>
          <w:lang w:eastAsia="zh-CN"/>
        </w:rPr>
        <w:t>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财政拨款收入支出总体与上年相比</w:t>
      </w:r>
      <w:r>
        <w:rPr>
          <w:rFonts w:hint="eastAsia" w:ascii="仿宋_GB2312" w:eastAsia="仿宋_GB2312"/>
          <w:color w:val="auto"/>
          <w:spacing w:val="0"/>
          <w:sz w:val="32"/>
          <w:szCs w:val="32"/>
          <w:highlight w:val="none"/>
          <w:lang w:val="en-US" w:eastAsia="zh-CN"/>
        </w:rPr>
        <w:t>,</w:t>
      </w:r>
      <w:r>
        <w:rPr>
          <w:rFonts w:hint="eastAsia" w:ascii="仿宋_GB2312" w:eastAsia="仿宋_GB2312"/>
          <w:color w:val="auto"/>
          <w:spacing w:val="0"/>
          <w:sz w:val="32"/>
          <w:szCs w:val="32"/>
          <w:highlight w:val="none"/>
          <w:lang w:val="zh-CN" w:eastAsia="zh-CN"/>
        </w:rPr>
        <w:t>增加124.93万元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增长100.00%,</w:t>
      </w:r>
      <w:r>
        <w:rPr>
          <w:rFonts w:hint="eastAsia" w:ascii="仿宋_GB2312" w:eastAsia="仿宋_GB2312"/>
          <w:color w:val="auto"/>
          <w:spacing w:val="0"/>
          <w:sz w:val="32"/>
          <w:szCs w:val="32"/>
          <w:highlight w:val="none"/>
          <w:lang w:eastAsia="zh-CN"/>
        </w:rPr>
        <w:t>主要原因是：</w:t>
      </w:r>
      <w:r>
        <w:rPr>
          <w:rFonts w:hint="eastAsia" w:ascii="仿宋_GB2312" w:eastAsia="仿宋_GB2312"/>
          <w:color w:val="auto"/>
          <w:spacing w:val="0"/>
          <w:sz w:val="32"/>
          <w:szCs w:val="32"/>
          <w:highlight w:val="none"/>
          <w:lang w:val="en-US" w:eastAsia="zh-CN"/>
        </w:rPr>
        <w:t>2023年，</w:t>
      </w:r>
      <w:r>
        <w:rPr>
          <w:rFonts w:hint="eastAsia" w:ascii="仿宋_GB2312" w:eastAsia="仿宋_GB2312"/>
          <w:color w:val="auto"/>
          <w:sz w:val="32"/>
          <w:szCs w:val="32"/>
          <w:highlight w:val="none"/>
          <w:lang w:val="en-US" w:eastAsia="zh-CN"/>
        </w:rPr>
        <w:t>新疆维吾尔自治区民族事务委员会（宗教事务局）民族宗教丛书编辑室</w:t>
      </w:r>
      <w:r>
        <w:rPr>
          <w:rFonts w:hint="eastAsia" w:ascii="仿宋_GB2312" w:eastAsia="仿宋_GB2312"/>
          <w:color w:val="auto"/>
          <w:spacing w:val="0"/>
          <w:sz w:val="32"/>
          <w:szCs w:val="32"/>
          <w:highlight w:val="none"/>
          <w:lang w:val="en-US" w:eastAsia="zh-CN"/>
        </w:rPr>
        <w:t>首次编报部门决算，2022年度收入支出总体情况汇总在自治区民委（宗教事务局）部门决算中</w:t>
      </w:r>
      <w:r>
        <w:rPr>
          <w:rFonts w:hint="eastAsia" w:ascii="仿宋_GB2312" w:eastAsia="仿宋_GB2312"/>
          <w:color w:val="auto"/>
          <w:spacing w:val="0"/>
          <w:sz w:val="32"/>
          <w:szCs w:val="32"/>
          <w:highlight w:val="none"/>
          <w:lang w:eastAsia="zh-CN"/>
        </w:rPr>
        <w:t>。与年初预算相比，年初预算数</w:t>
      </w:r>
      <w:r>
        <w:rPr>
          <w:rFonts w:hint="eastAsia" w:ascii="仿宋_GB2312" w:eastAsia="仿宋_GB2312"/>
          <w:color w:val="auto"/>
          <w:spacing w:val="0"/>
          <w:sz w:val="32"/>
          <w:szCs w:val="32"/>
          <w:highlight w:val="none"/>
          <w:lang w:val="zh-CN" w:eastAsia="zh-CN"/>
        </w:rPr>
        <w:t>121.01</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124.93</w:t>
      </w:r>
      <w:r>
        <w:rPr>
          <w:rFonts w:hint="eastAsia" w:ascii="仿宋_GB2312" w:eastAsia="仿宋_GB2312"/>
          <w:color w:val="auto"/>
          <w:spacing w:val="0"/>
          <w:sz w:val="32"/>
          <w:szCs w:val="32"/>
          <w:highlight w:val="none"/>
          <w:lang w:eastAsia="zh-CN"/>
        </w:rPr>
        <w:t>万元，预决算差异率3.24%，主要原因是：</w:t>
      </w:r>
      <w:r>
        <w:rPr>
          <w:rFonts w:hint="eastAsia" w:ascii="仿宋_GB2312" w:eastAsia="仿宋_GB2312"/>
          <w:color w:val="auto"/>
          <w:spacing w:val="0"/>
          <w:sz w:val="32"/>
          <w:szCs w:val="32"/>
          <w:highlight w:val="none"/>
          <w:lang w:val="en-US" w:eastAsia="zh-CN"/>
        </w:rPr>
        <w:t>2023年人员工资调整，</w:t>
      </w:r>
      <w:r>
        <w:rPr>
          <w:rFonts w:hint="eastAsia" w:ascii="仿宋_GB2312" w:eastAsia="仿宋_GB2312"/>
          <w:color w:val="auto"/>
          <w:spacing w:val="0"/>
          <w:sz w:val="32"/>
          <w:szCs w:val="32"/>
          <w:highlight w:val="none"/>
          <w:lang w:eastAsia="zh-CN"/>
        </w:rPr>
        <w:t>工资福利支出和对个人家庭补助</w:t>
      </w:r>
      <w:r>
        <w:rPr>
          <w:rFonts w:hint="eastAsia" w:ascii="仿宋_GB2312" w:eastAsia="仿宋_GB2312"/>
          <w:color w:val="auto"/>
          <w:spacing w:val="0"/>
          <w:sz w:val="32"/>
          <w:szCs w:val="32"/>
          <w:highlight w:val="none"/>
          <w:lang w:val="en-US" w:eastAsia="zh-CN"/>
        </w:rPr>
        <w:t>收入</w:t>
      </w:r>
      <w:r>
        <w:rPr>
          <w:rFonts w:hint="eastAsia" w:ascii="仿宋_GB2312" w:eastAsia="仿宋_GB2312"/>
          <w:color w:val="auto"/>
          <w:spacing w:val="0"/>
          <w:sz w:val="32"/>
          <w:szCs w:val="32"/>
          <w:highlight w:val="none"/>
          <w:lang w:eastAsia="zh-CN"/>
        </w:rPr>
        <w:t>支出增加。</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6" w:name="_Toc13833"/>
      <w:bookmarkStart w:id="17" w:name="_Toc20360"/>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2023年度一般公共预算财政拨款支出124.93万元，占本年支出合计的</w:t>
      </w:r>
      <w:r>
        <w:rPr>
          <w:rFonts w:hint="eastAsia" w:ascii="仿宋_GB2312" w:eastAsia="仿宋_GB2312"/>
          <w:color w:val="auto"/>
          <w:spacing w:val="0"/>
          <w:sz w:val="32"/>
          <w:szCs w:val="32"/>
          <w:highlight w:val="none"/>
          <w:lang w:val="zh-CN" w:eastAsia="zh-CN"/>
        </w:rPr>
        <w:t>100.00%</w:t>
      </w:r>
      <w:r>
        <w:rPr>
          <w:rFonts w:hint="eastAsia" w:ascii="仿宋_GB2312" w:eastAsia="仿宋_GB2312"/>
          <w:color w:val="auto"/>
          <w:spacing w:val="0"/>
          <w:sz w:val="32"/>
          <w:szCs w:val="32"/>
          <w:highlight w:val="none"/>
          <w:lang w:eastAsia="zh-CN"/>
        </w:rPr>
        <w:t>。与上年相比，</w:t>
      </w:r>
      <w:r>
        <w:rPr>
          <w:rFonts w:hint="eastAsia" w:ascii="仿宋_GB2312" w:eastAsia="仿宋_GB2312"/>
          <w:color w:val="auto"/>
          <w:spacing w:val="0"/>
          <w:sz w:val="32"/>
          <w:szCs w:val="32"/>
          <w:highlight w:val="none"/>
          <w:lang w:val="zh-CN" w:eastAsia="zh-CN"/>
        </w:rPr>
        <w:t>增加124.93万元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增长100.00%,</w:t>
      </w:r>
      <w:r>
        <w:rPr>
          <w:rFonts w:hint="eastAsia" w:ascii="仿宋_GB2312" w:eastAsia="仿宋_GB2312"/>
          <w:color w:val="auto"/>
          <w:spacing w:val="0"/>
          <w:sz w:val="32"/>
          <w:szCs w:val="32"/>
          <w:highlight w:val="none"/>
          <w:lang w:eastAsia="zh-CN"/>
        </w:rPr>
        <w:t>主要原因是：</w:t>
      </w:r>
      <w:r>
        <w:rPr>
          <w:rFonts w:hint="eastAsia" w:ascii="仿宋_GB2312" w:eastAsia="仿宋_GB2312"/>
          <w:color w:val="auto"/>
          <w:spacing w:val="0"/>
          <w:sz w:val="32"/>
          <w:szCs w:val="32"/>
          <w:highlight w:val="none"/>
          <w:lang w:val="en-US" w:eastAsia="zh-CN"/>
        </w:rPr>
        <w:t>2023年，</w:t>
      </w:r>
      <w:r>
        <w:rPr>
          <w:rFonts w:hint="eastAsia" w:ascii="仿宋_GB2312" w:eastAsia="仿宋_GB2312"/>
          <w:color w:val="auto"/>
          <w:sz w:val="32"/>
          <w:szCs w:val="32"/>
          <w:highlight w:val="none"/>
          <w:lang w:val="en-US" w:eastAsia="zh-CN"/>
        </w:rPr>
        <w:t>新疆维吾尔自治区民族事务委员会（宗教事务局）民族宗教丛书编辑室</w:t>
      </w:r>
      <w:r>
        <w:rPr>
          <w:rFonts w:hint="eastAsia" w:ascii="仿宋_GB2312" w:eastAsia="仿宋_GB2312"/>
          <w:color w:val="auto"/>
          <w:spacing w:val="0"/>
          <w:sz w:val="32"/>
          <w:szCs w:val="32"/>
          <w:highlight w:val="none"/>
          <w:lang w:val="en-US" w:eastAsia="zh-CN"/>
        </w:rPr>
        <w:t>首次编报部门决算，2022年度支出决算总体情况汇总在自治区民委（宗教事务局）部门决算中</w:t>
      </w:r>
      <w:r>
        <w:rPr>
          <w:rFonts w:hint="eastAsia" w:ascii="仿宋_GB2312" w:eastAsia="仿宋_GB2312"/>
          <w:color w:val="auto"/>
          <w:spacing w:val="0"/>
          <w:sz w:val="32"/>
          <w:szCs w:val="32"/>
          <w:highlight w:val="none"/>
          <w:lang w:eastAsia="zh-CN"/>
        </w:rPr>
        <w:t>。与年初预算相比，年初预算数</w:t>
      </w:r>
      <w:r>
        <w:rPr>
          <w:rFonts w:hint="eastAsia" w:ascii="仿宋_GB2312" w:eastAsia="仿宋_GB2312"/>
          <w:color w:val="auto"/>
          <w:spacing w:val="0"/>
          <w:sz w:val="32"/>
          <w:szCs w:val="32"/>
          <w:highlight w:val="none"/>
          <w:lang w:val="zh-CN" w:eastAsia="zh-CN"/>
        </w:rPr>
        <w:t>121.01</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124.93</w:t>
      </w:r>
      <w:r>
        <w:rPr>
          <w:rFonts w:hint="eastAsia" w:ascii="仿宋_GB2312" w:eastAsia="仿宋_GB2312"/>
          <w:color w:val="auto"/>
          <w:spacing w:val="0"/>
          <w:sz w:val="32"/>
          <w:szCs w:val="32"/>
          <w:highlight w:val="none"/>
          <w:lang w:eastAsia="zh-CN"/>
        </w:rPr>
        <w:t>万元，预决算差异率</w:t>
      </w:r>
      <w:r>
        <w:rPr>
          <w:rFonts w:hint="eastAsia" w:ascii="仿宋_GB2312" w:eastAsia="仿宋_GB2312"/>
          <w:color w:val="auto"/>
          <w:spacing w:val="0"/>
          <w:sz w:val="32"/>
          <w:szCs w:val="32"/>
          <w:highlight w:val="none"/>
          <w:lang w:val="zh-CN" w:eastAsia="zh-CN"/>
        </w:rPr>
        <w:t>3.24%</w:t>
      </w:r>
      <w:r>
        <w:rPr>
          <w:rFonts w:hint="eastAsia" w:ascii="仿宋_GB2312" w:eastAsia="仿宋_GB2312"/>
          <w:color w:val="auto"/>
          <w:spacing w:val="0"/>
          <w:sz w:val="32"/>
          <w:szCs w:val="32"/>
          <w:highlight w:val="none"/>
          <w:lang w:eastAsia="zh-CN"/>
        </w:rPr>
        <w:t>，主要原因是：</w:t>
      </w:r>
      <w:r>
        <w:rPr>
          <w:rFonts w:hint="eastAsia" w:ascii="仿宋_GB2312" w:eastAsia="仿宋_GB2312"/>
          <w:color w:val="auto"/>
          <w:spacing w:val="0"/>
          <w:sz w:val="32"/>
          <w:szCs w:val="32"/>
          <w:highlight w:val="none"/>
          <w:lang w:val="en-US" w:eastAsia="zh-CN"/>
        </w:rPr>
        <w:t>2023年人员工资调整，</w:t>
      </w:r>
      <w:r>
        <w:rPr>
          <w:rFonts w:hint="eastAsia" w:ascii="仿宋_GB2312" w:eastAsia="仿宋_GB2312"/>
          <w:color w:val="auto"/>
          <w:spacing w:val="0"/>
          <w:sz w:val="32"/>
          <w:szCs w:val="32"/>
          <w:highlight w:val="none"/>
          <w:lang w:eastAsia="zh-CN"/>
        </w:rPr>
        <w:t>工资福利支出和对个人家庭补助</w:t>
      </w:r>
      <w:r>
        <w:rPr>
          <w:rFonts w:hint="eastAsia" w:ascii="仿宋_GB2312" w:eastAsia="仿宋_GB2312"/>
          <w:color w:val="auto"/>
          <w:spacing w:val="0"/>
          <w:sz w:val="32"/>
          <w:szCs w:val="32"/>
          <w:highlight w:val="none"/>
          <w:lang w:val="en-US" w:eastAsia="zh-CN"/>
        </w:rPr>
        <w:t>收入</w:t>
      </w:r>
      <w:r>
        <w:rPr>
          <w:rFonts w:hint="eastAsia" w:ascii="仿宋_GB2312" w:eastAsia="仿宋_GB2312"/>
          <w:color w:val="auto"/>
          <w:spacing w:val="0"/>
          <w:sz w:val="32"/>
          <w:szCs w:val="32"/>
          <w:highlight w:val="none"/>
          <w:lang w:eastAsia="zh-CN"/>
        </w:rPr>
        <w:t>支出增加。</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default" w:ascii="仿宋_GB2312" w:hAnsi="Times New Roman" w:eastAsia="仿宋_GB2312" w:cs="Times New Roman"/>
          <w:color w:val="auto"/>
          <w:spacing w:val="0"/>
          <w:kern w:val="2"/>
          <w:sz w:val="32"/>
          <w:szCs w:val="32"/>
          <w:lang w:val="zh-CN" w:eastAsia="zh-CN" w:bidi="ar-SA"/>
        </w:rPr>
        <w:t>1.</w:t>
      </w:r>
      <w:r>
        <w:rPr>
          <w:rFonts w:hint="default" w:ascii="仿宋_GB2312" w:hAnsi="Times New Roman" w:eastAsia="仿宋_GB2312" w:cs="Times New Roman"/>
          <w:color w:val="auto"/>
          <w:spacing w:val="0"/>
          <w:kern w:val="2"/>
          <w:sz w:val="32"/>
          <w:szCs w:val="32"/>
          <w:highlight w:val="none"/>
          <w:lang w:val="zh-CN" w:eastAsia="zh-CN" w:bidi="ar-SA"/>
        </w:rPr>
        <w:t>一般公共服务支出（类）</w:t>
      </w:r>
      <w:r>
        <w:rPr>
          <w:rFonts w:hint="eastAsia" w:ascii="仿宋_GB2312" w:hAnsi="Times New Roman" w:eastAsia="仿宋_GB2312" w:cs="Times New Roman"/>
          <w:color w:val="auto"/>
          <w:spacing w:val="0"/>
          <w:kern w:val="2"/>
          <w:sz w:val="32"/>
          <w:szCs w:val="32"/>
          <w:highlight w:val="none"/>
          <w:lang w:val="zh-CN" w:eastAsia="zh-CN" w:bidi="ar-SA"/>
        </w:rPr>
        <w:t>84.47</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67.61</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2</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社会保障和就业支出（类）</w:t>
      </w:r>
      <w:r>
        <w:rPr>
          <w:rFonts w:hint="eastAsia" w:ascii="仿宋_GB2312" w:hAnsi="Times New Roman" w:eastAsia="仿宋_GB2312" w:cs="Times New Roman"/>
          <w:color w:val="auto"/>
          <w:spacing w:val="0"/>
          <w:kern w:val="2"/>
          <w:sz w:val="32"/>
          <w:szCs w:val="32"/>
          <w:highlight w:val="none"/>
          <w:lang w:val="zh-CN" w:eastAsia="zh-CN" w:bidi="ar-SA"/>
        </w:rPr>
        <w:t>23.72</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18.99</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3</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卫生健康支出（类）</w:t>
      </w:r>
      <w:r>
        <w:rPr>
          <w:rFonts w:hint="eastAsia" w:ascii="仿宋_GB2312" w:hAnsi="Times New Roman" w:eastAsia="仿宋_GB2312" w:cs="Times New Roman"/>
          <w:color w:val="auto"/>
          <w:spacing w:val="0"/>
          <w:kern w:val="2"/>
          <w:sz w:val="32"/>
          <w:szCs w:val="32"/>
          <w:highlight w:val="none"/>
          <w:lang w:val="zh-CN" w:eastAsia="zh-CN" w:bidi="ar-SA"/>
        </w:rPr>
        <w:t>9.16</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7.33</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4</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住房保障支出（类）</w:t>
      </w:r>
      <w:r>
        <w:rPr>
          <w:rFonts w:hint="eastAsia" w:ascii="仿宋_GB2312" w:hAnsi="Times New Roman" w:eastAsia="仿宋_GB2312" w:cs="Times New Roman"/>
          <w:color w:val="auto"/>
          <w:spacing w:val="0"/>
          <w:kern w:val="2"/>
          <w:sz w:val="32"/>
          <w:szCs w:val="32"/>
          <w:highlight w:val="none"/>
          <w:lang w:val="zh-CN" w:eastAsia="zh-CN" w:bidi="ar-SA"/>
        </w:rPr>
        <w:t>7.58</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6.07</w:t>
      </w:r>
      <w:r>
        <w:rPr>
          <w:rFonts w:hint="default"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1.卫生健康支出（类）行政事业单位医疗（款）事业单位医疗（项）:支出决算数为4.74</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4.74</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100%，</w:t>
      </w:r>
      <w:r>
        <w:rPr>
          <w:rFonts w:hint="eastAsia" w:eastAsia="仿宋_GB2312" w:cs="Times New Roman"/>
          <w:color w:val="auto"/>
          <w:kern w:val="2"/>
          <w:sz w:val="32"/>
          <w:szCs w:val="32"/>
          <w:highlight w:val="none"/>
          <w:lang w:val="en-US" w:eastAsia="zh-CN" w:bidi="ar-SA"/>
        </w:rPr>
        <w:t>主要原因是：2023年，新疆维吾尔自治区民族事务委员会（宗教事务局）民族宗教丛书编辑室首次编报部门决算，2022年度</w:t>
      </w:r>
      <w:r>
        <w:rPr>
          <w:rFonts w:hint="eastAsia" w:ascii="仿宋_GB2312" w:eastAsia="仿宋_GB2312"/>
          <w:color w:val="auto"/>
          <w:spacing w:val="0"/>
          <w:sz w:val="32"/>
          <w:szCs w:val="32"/>
          <w:highlight w:val="none"/>
          <w:lang w:val="en-US" w:eastAsia="zh-CN"/>
        </w:rPr>
        <w:t>该支出决算情况</w:t>
      </w:r>
      <w:r>
        <w:rPr>
          <w:rFonts w:hint="eastAsia" w:eastAsia="仿宋_GB2312" w:cs="Times New Roman"/>
          <w:color w:val="auto"/>
          <w:kern w:val="2"/>
          <w:sz w:val="32"/>
          <w:szCs w:val="32"/>
          <w:highlight w:val="none"/>
          <w:lang w:val="en-US" w:eastAsia="zh-CN" w:bidi="ar-SA"/>
        </w:rPr>
        <w:t>汇总在自治区民委（宗教事务局）部门决算中。</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2.卫生健康支出（类）行政事业单位医疗（款）公务员医疗补助（项）:支出决算数为4.42</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4.42</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100%，</w:t>
      </w:r>
      <w:r>
        <w:rPr>
          <w:rFonts w:hint="eastAsia" w:eastAsia="仿宋_GB2312" w:cs="Times New Roman"/>
          <w:color w:val="auto"/>
          <w:kern w:val="2"/>
          <w:sz w:val="32"/>
          <w:szCs w:val="32"/>
          <w:highlight w:val="none"/>
          <w:lang w:val="en-US" w:eastAsia="zh-CN" w:bidi="ar-SA"/>
        </w:rPr>
        <w:t>主要原因是：2023年，新疆维吾尔自治区民族事务委员会（宗教事务局）民族宗教丛书编辑室首次编报部门决算，2022年度</w:t>
      </w:r>
      <w:r>
        <w:rPr>
          <w:rFonts w:hint="eastAsia" w:ascii="仿宋_GB2312" w:eastAsia="仿宋_GB2312"/>
          <w:color w:val="auto"/>
          <w:spacing w:val="0"/>
          <w:sz w:val="32"/>
          <w:szCs w:val="32"/>
          <w:highlight w:val="none"/>
          <w:lang w:val="en-US" w:eastAsia="zh-CN"/>
        </w:rPr>
        <w:t>该支出决算情况</w:t>
      </w:r>
      <w:r>
        <w:rPr>
          <w:rFonts w:hint="eastAsia" w:eastAsia="仿宋_GB2312" w:cs="Times New Roman"/>
          <w:color w:val="auto"/>
          <w:kern w:val="2"/>
          <w:sz w:val="32"/>
          <w:szCs w:val="32"/>
          <w:highlight w:val="none"/>
          <w:lang w:val="en-US" w:eastAsia="zh-CN" w:bidi="ar-SA"/>
        </w:rPr>
        <w:t>汇总在自治区民委（宗教事务局）部门决算中。</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3.一般公共服务支出（类）民族事务（款）事业运行（项）:支出决算数为84.47</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84.47</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100%，</w:t>
      </w:r>
      <w:r>
        <w:rPr>
          <w:rFonts w:hint="eastAsia" w:eastAsia="仿宋_GB2312" w:cs="Times New Roman"/>
          <w:color w:val="auto"/>
          <w:kern w:val="2"/>
          <w:sz w:val="32"/>
          <w:szCs w:val="32"/>
          <w:highlight w:val="none"/>
          <w:lang w:val="en-US" w:eastAsia="zh-CN" w:bidi="ar-SA"/>
        </w:rPr>
        <w:t>主要原因是：2023年，新疆维吾尔自治区民族事务委员会（宗教事务局）民族宗教丛书编辑室首次编报部门决算，2022年度</w:t>
      </w:r>
      <w:r>
        <w:rPr>
          <w:rFonts w:hint="eastAsia" w:ascii="仿宋_GB2312" w:eastAsia="仿宋_GB2312"/>
          <w:color w:val="auto"/>
          <w:spacing w:val="0"/>
          <w:sz w:val="32"/>
          <w:szCs w:val="32"/>
          <w:highlight w:val="none"/>
          <w:lang w:val="en-US" w:eastAsia="zh-CN"/>
        </w:rPr>
        <w:t>该支出决算情况</w:t>
      </w:r>
      <w:r>
        <w:rPr>
          <w:rFonts w:hint="eastAsia" w:eastAsia="仿宋_GB2312" w:cs="Times New Roman"/>
          <w:color w:val="auto"/>
          <w:kern w:val="2"/>
          <w:sz w:val="32"/>
          <w:szCs w:val="32"/>
          <w:highlight w:val="none"/>
          <w:lang w:val="en-US" w:eastAsia="zh-CN" w:bidi="ar-SA"/>
        </w:rPr>
        <w:t>汇总在自治区民委（宗教事务局）部门决算中。</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4.住房保障支出（类）住房改革支出（款）住房公积金（项）:支出决算数为7.58</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7.58</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100%，</w:t>
      </w:r>
      <w:r>
        <w:rPr>
          <w:rFonts w:hint="eastAsia" w:eastAsia="仿宋_GB2312" w:cs="Times New Roman"/>
          <w:color w:val="auto"/>
          <w:kern w:val="2"/>
          <w:sz w:val="32"/>
          <w:szCs w:val="32"/>
          <w:highlight w:val="none"/>
          <w:lang w:val="en-US" w:eastAsia="zh-CN" w:bidi="ar-SA"/>
        </w:rPr>
        <w:t>主要原因是：2023年，新疆维吾尔自治区民族事务委员会（宗教事务局）民族宗教丛书编辑室首次编报部门决算，2022年度</w:t>
      </w:r>
      <w:r>
        <w:rPr>
          <w:rFonts w:hint="eastAsia" w:ascii="仿宋_GB2312" w:eastAsia="仿宋_GB2312"/>
          <w:color w:val="auto"/>
          <w:spacing w:val="0"/>
          <w:sz w:val="32"/>
          <w:szCs w:val="32"/>
          <w:highlight w:val="none"/>
          <w:lang w:val="en-US" w:eastAsia="zh-CN"/>
        </w:rPr>
        <w:t>该支出决算情况</w:t>
      </w:r>
      <w:r>
        <w:rPr>
          <w:rFonts w:hint="eastAsia" w:eastAsia="仿宋_GB2312" w:cs="Times New Roman"/>
          <w:color w:val="auto"/>
          <w:kern w:val="2"/>
          <w:sz w:val="32"/>
          <w:szCs w:val="32"/>
          <w:highlight w:val="none"/>
          <w:lang w:val="en-US" w:eastAsia="zh-CN" w:bidi="ar-SA"/>
        </w:rPr>
        <w:t>汇总在自治区民委（宗教事务局）部门决算中。</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5.社会保障和就业支出（类）行政事业单位养老支出（款）事业单位离退休（项）:支出决算数为13.62</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13.62</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100%，</w:t>
      </w:r>
      <w:r>
        <w:rPr>
          <w:rFonts w:hint="eastAsia" w:eastAsia="仿宋_GB2312" w:cs="Times New Roman"/>
          <w:color w:val="auto"/>
          <w:kern w:val="2"/>
          <w:sz w:val="32"/>
          <w:szCs w:val="32"/>
          <w:highlight w:val="none"/>
          <w:lang w:val="en-US" w:eastAsia="zh-CN" w:bidi="ar-SA"/>
        </w:rPr>
        <w:t>主要原因是：2023年，新疆维吾尔自治区民族事务委员会（宗教事务局）民族宗教丛书编辑室首次编报部门决算，2022年度</w:t>
      </w:r>
      <w:r>
        <w:rPr>
          <w:rFonts w:hint="eastAsia" w:ascii="仿宋_GB2312" w:eastAsia="仿宋_GB2312"/>
          <w:color w:val="auto"/>
          <w:spacing w:val="0"/>
          <w:sz w:val="32"/>
          <w:szCs w:val="32"/>
          <w:highlight w:val="none"/>
          <w:lang w:val="en-US" w:eastAsia="zh-CN"/>
        </w:rPr>
        <w:t>该支出决算情况</w:t>
      </w:r>
      <w:r>
        <w:rPr>
          <w:rFonts w:hint="eastAsia" w:eastAsia="仿宋_GB2312" w:cs="Times New Roman"/>
          <w:color w:val="auto"/>
          <w:kern w:val="2"/>
          <w:sz w:val="32"/>
          <w:szCs w:val="32"/>
          <w:highlight w:val="none"/>
          <w:lang w:val="en-US" w:eastAsia="zh-CN" w:bidi="ar-SA"/>
        </w:rPr>
        <w:t>汇总在自治区民委（宗教事务局）部门决算中。</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6.社会保障和就业支出（类）行政事业单位养老支出（款）机关事业单位基本养老保险缴费支出（项）:支出决算数为10.10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10.10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100%，</w:t>
      </w:r>
      <w:r>
        <w:rPr>
          <w:rFonts w:hint="eastAsia" w:eastAsia="仿宋_GB2312" w:cs="Times New Roman"/>
          <w:color w:val="auto"/>
          <w:kern w:val="2"/>
          <w:sz w:val="32"/>
          <w:szCs w:val="32"/>
          <w:highlight w:val="none"/>
          <w:lang w:val="en-US" w:eastAsia="zh-CN" w:bidi="ar-SA"/>
        </w:rPr>
        <w:t>主要原因是：2023年，新疆维吾尔自治区民族事务委员会（宗教事务局）民族宗教丛书编辑室首次编报部门决算，2022年度</w:t>
      </w:r>
      <w:r>
        <w:rPr>
          <w:rFonts w:hint="eastAsia" w:ascii="仿宋_GB2312" w:eastAsia="仿宋_GB2312"/>
          <w:color w:val="auto"/>
          <w:spacing w:val="0"/>
          <w:sz w:val="32"/>
          <w:szCs w:val="32"/>
          <w:highlight w:val="none"/>
          <w:lang w:val="en-US" w:eastAsia="zh-CN"/>
        </w:rPr>
        <w:t>该支出决算情况</w:t>
      </w:r>
      <w:r>
        <w:rPr>
          <w:rFonts w:hint="eastAsia" w:eastAsia="仿宋_GB2312" w:cs="Times New Roman"/>
          <w:color w:val="auto"/>
          <w:kern w:val="2"/>
          <w:sz w:val="32"/>
          <w:szCs w:val="32"/>
          <w:highlight w:val="none"/>
          <w:lang w:val="en-US" w:eastAsia="zh-CN" w:bidi="ar-SA"/>
        </w:rPr>
        <w:t>汇总在自治区民委（宗教事务局）部门决算中。</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z w:val="32"/>
          <w:szCs w:val="32"/>
          <w:highlight w:val="none"/>
        </w:rPr>
        <w:t>一般公共预算财政拨款基本支出</w:t>
      </w:r>
      <w:r>
        <w:rPr>
          <w:rFonts w:hint="eastAsia" w:ascii="仿宋_GB2312" w:eastAsia="仿宋_GB2312"/>
          <w:color w:val="auto"/>
          <w:sz w:val="32"/>
          <w:szCs w:val="32"/>
          <w:highlight w:val="none"/>
          <w:lang w:eastAsia="zh-CN"/>
        </w:rPr>
        <w:t>124.93</w:t>
      </w:r>
      <w:r>
        <w:rPr>
          <w:rFonts w:hint="eastAsia" w:ascii="仿宋_GB2312" w:eastAsia="仿宋_GB2312"/>
          <w:color w:val="auto"/>
          <w:sz w:val="32"/>
          <w:szCs w:val="32"/>
          <w:highlight w:val="none"/>
        </w:rPr>
        <w:t>万元，其中：人员经费</w:t>
      </w:r>
      <w:r>
        <w:rPr>
          <w:rFonts w:hint="eastAsia" w:ascii="仿宋_GB2312" w:eastAsia="仿宋_GB2312"/>
          <w:color w:val="auto"/>
          <w:sz w:val="32"/>
          <w:szCs w:val="32"/>
          <w:highlight w:val="none"/>
          <w:lang w:eastAsia="zh-CN"/>
        </w:rPr>
        <w:t>118.95</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基本工资、津贴补贴、奖金、绩效工资、机关事业单位基本养老保险缴费、职工基本医疗保险缴费、公务员医疗补助缴费、其他社会保障缴费、住房公积金、退休费、其他对个人和家庭的补助。</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仿宋_GB2312" w:eastAsia="仿宋_GB2312"/>
          <w:color w:val="auto"/>
          <w:sz w:val="32"/>
          <w:szCs w:val="32"/>
          <w:highlight w:val="red"/>
          <w:lang w:val="en-US" w:eastAsia="zh-CN"/>
        </w:rPr>
      </w:pPr>
      <w:r>
        <w:rPr>
          <w:rFonts w:hint="eastAsia" w:ascii="仿宋_GB2312" w:eastAsia="仿宋_GB2312"/>
          <w:color w:val="auto"/>
          <w:sz w:val="32"/>
          <w:szCs w:val="32"/>
          <w:highlight w:val="none"/>
        </w:rPr>
        <w:t>公用经费</w:t>
      </w:r>
      <w:r>
        <w:rPr>
          <w:rFonts w:hint="eastAsia" w:ascii="仿宋_GB2312" w:eastAsia="仿宋_GB2312"/>
          <w:color w:val="auto"/>
          <w:sz w:val="32"/>
          <w:szCs w:val="32"/>
          <w:highlight w:val="none"/>
          <w:lang w:eastAsia="zh-CN"/>
        </w:rPr>
        <w:t>5.98</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办公费、水费、电费、邮电费、差旅费、工会经费、福利费、其他商品和服务支出。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2023年度</w:t>
      </w:r>
      <w:r>
        <w:rPr>
          <w:rFonts w:hint="eastAsia" w:ascii="仿宋_GB2312" w:eastAsia="仿宋_GB2312"/>
          <w:color w:val="auto"/>
          <w:sz w:val="32"/>
          <w:szCs w:val="32"/>
          <w:highlight w:val="none"/>
          <w:lang w:val="en-US" w:eastAsia="zh-CN"/>
        </w:rPr>
        <w:t>财政拨款</w:t>
      </w:r>
      <w:r>
        <w:rPr>
          <w:rFonts w:hint="eastAsia" w:ascii="仿宋_GB2312" w:eastAsia="仿宋_GB2312"/>
          <w:color w:val="auto"/>
          <w:sz w:val="32"/>
          <w:szCs w:val="32"/>
          <w:highlight w:val="none"/>
          <w:lang w:val="zh-CN" w:eastAsia="zh-CN"/>
        </w:rPr>
        <w:t>“三公”经费支出0.00万元，</w:t>
      </w:r>
      <w:r>
        <w:rPr>
          <w:rFonts w:hint="eastAsia" w:ascii="仿宋_GB2312" w:eastAsia="仿宋_GB2312"/>
          <w:color w:val="auto"/>
          <w:sz w:val="32"/>
          <w:szCs w:val="32"/>
          <w:highlight w:val="none"/>
          <w:lang w:val="en-US" w:eastAsia="zh-CN"/>
        </w:rPr>
        <w:t>比上年</w:t>
      </w:r>
      <w:r>
        <w:rPr>
          <w:rFonts w:hint="eastAsia" w:ascii="仿宋_GB2312" w:eastAsia="仿宋_GB2312"/>
          <w:color w:val="auto"/>
          <w:sz w:val="32"/>
          <w:szCs w:val="32"/>
          <w:highlight w:val="none"/>
          <w:lang w:val="zh-CN" w:eastAsia="zh-CN"/>
        </w:rPr>
        <w:t>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hint="eastAsia" w:ascii="仿宋_GB2312" w:eastAsia="仿宋_GB2312"/>
          <w:color w:val="auto"/>
          <w:sz w:val="32"/>
          <w:szCs w:val="32"/>
          <w:highlight w:val="none"/>
          <w:lang w:val="en-US" w:eastAsia="zh-CN"/>
        </w:rPr>
        <w:t>我单位本年无</w:t>
      </w:r>
      <w:r>
        <w:rPr>
          <w:rFonts w:hint="eastAsia" w:ascii="仿宋_GB2312" w:eastAsia="仿宋_GB2312"/>
          <w:color w:val="auto"/>
          <w:sz w:val="32"/>
          <w:szCs w:val="32"/>
          <w:highlight w:val="none"/>
          <w:lang w:val="zh-CN" w:eastAsia="zh-CN"/>
        </w:rPr>
        <w:t>“三公”经费支出。其中：因公出国（境）费支出0.00万元，占0.00%，比上年增加0.00万元，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hint="default" w:ascii="Times New Roman" w:hAnsi="Times New Roman" w:eastAsia="仿宋_GB2312" w:cs="Times New Roman"/>
          <w:color w:val="auto"/>
          <w:sz w:val="32"/>
          <w:szCs w:val="32"/>
          <w:highlight w:val="none"/>
          <w:lang w:val="en-US" w:eastAsia="zh-CN"/>
        </w:rPr>
        <w:t>无</w:t>
      </w:r>
      <w:r>
        <w:rPr>
          <w:rFonts w:hint="default" w:ascii="Times New Roman" w:hAnsi="Times New Roman" w:eastAsia="仿宋_GB2312" w:cs="Times New Roman"/>
          <w:color w:val="auto"/>
          <w:sz w:val="32"/>
          <w:szCs w:val="32"/>
          <w:highlight w:val="none"/>
          <w:lang w:val="zh-CN" w:eastAsia="zh-CN"/>
        </w:rPr>
        <w:t>因公出国（境）费支出</w:t>
      </w:r>
      <w:r>
        <w:rPr>
          <w:rFonts w:hint="eastAsia" w:ascii="仿宋_GB2312" w:eastAsia="仿宋_GB2312"/>
          <w:color w:val="auto"/>
          <w:sz w:val="32"/>
          <w:szCs w:val="32"/>
          <w:highlight w:val="none"/>
          <w:lang w:val="zh-CN" w:eastAsia="zh-CN"/>
        </w:rPr>
        <w:t>；公务用车购置及运行维护费支出0.00万元，占0.00%，比上年增加0.00万元，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hint="default" w:ascii="Times New Roman" w:hAnsi="Times New Roman" w:eastAsia="仿宋_GB2312" w:cs="Times New Roman"/>
          <w:color w:val="auto"/>
          <w:sz w:val="32"/>
          <w:szCs w:val="32"/>
          <w:highlight w:val="none"/>
          <w:lang w:val="en-US" w:eastAsia="zh-CN"/>
        </w:rPr>
        <w:t>无公务用车，无</w:t>
      </w:r>
      <w:r>
        <w:rPr>
          <w:rFonts w:hint="default" w:ascii="Times New Roman" w:hAnsi="Times New Roman" w:eastAsia="仿宋_GB2312" w:cs="Times New Roman"/>
          <w:color w:val="auto"/>
          <w:sz w:val="32"/>
          <w:szCs w:val="32"/>
          <w:highlight w:val="none"/>
          <w:lang w:val="zh-CN" w:eastAsia="zh-CN"/>
        </w:rPr>
        <w:t>公务用车购置及运行维护费支出</w:t>
      </w:r>
      <w:r>
        <w:rPr>
          <w:rFonts w:hint="eastAsia" w:ascii="仿宋_GB2312" w:eastAsia="仿宋_GB2312"/>
          <w:color w:val="auto"/>
          <w:sz w:val="32"/>
          <w:szCs w:val="32"/>
          <w:highlight w:val="none"/>
          <w:lang w:val="zh-CN" w:eastAsia="zh-CN"/>
        </w:rPr>
        <w:t>；公务接待费支出0.00万元，占0.00%，比上年增加0.00万元，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hint="default" w:ascii="Times New Roman" w:hAnsi="Times New Roman" w:eastAsia="仿宋_GB2312" w:cs="Times New Roman"/>
          <w:color w:val="auto"/>
          <w:sz w:val="32"/>
          <w:szCs w:val="32"/>
          <w:highlight w:val="none"/>
          <w:lang w:val="en-US" w:eastAsia="zh-CN"/>
        </w:rPr>
        <w:t>无</w:t>
      </w:r>
      <w:r>
        <w:rPr>
          <w:rFonts w:hint="eastAsia" w:eastAsia="仿宋_GB2312" w:cs="Times New Roman"/>
          <w:color w:val="auto"/>
          <w:sz w:val="32"/>
          <w:szCs w:val="32"/>
          <w:highlight w:val="none"/>
          <w:lang w:val="en-US" w:eastAsia="zh-CN"/>
        </w:rPr>
        <w:t>公务接待费支出。</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因公出国（境）费支出0.00万元，</w:t>
      </w:r>
      <w:r>
        <w:rPr>
          <w:rFonts w:hint="eastAsia" w:ascii="仿宋_GB2312" w:eastAsia="仿宋_GB2312"/>
          <w:color w:val="auto"/>
          <w:sz w:val="32"/>
          <w:szCs w:val="32"/>
          <w:highlight w:val="none"/>
          <w:lang w:val="en-US" w:eastAsia="zh-CN"/>
        </w:rPr>
        <w:t>开支内容包括</w:t>
      </w:r>
      <w:r>
        <w:rPr>
          <w:rFonts w:hint="default" w:ascii="Times New Roman" w:hAnsi="Times New Roman" w:eastAsia="仿宋_GB2312" w:cs="Times New Roman"/>
          <w:color w:val="auto"/>
          <w:sz w:val="32"/>
          <w:szCs w:val="32"/>
          <w:highlight w:val="none"/>
          <w:lang w:val="en-US" w:eastAsia="zh-CN"/>
        </w:rPr>
        <w:t>无</w:t>
      </w:r>
      <w:r>
        <w:rPr>
          <w:rFonts w:hint="default" w:ascii="Times New Roman" w:hAnsi="Times New Roman" w:eastAsia="仿宋_GB2312" w:cs="Times New Roman"/>
          <w:color w:val="auto"/>
          <w:sz w:val="32"/>
          <w:szCs w:val="32"/>
          <w:highlight w:val="none"/>
          <w:lang w:val="zh-CN" w:eastAsia="zh-CN"/>
        </w:rPr>
        <w:t>因公出国（境）费支出</w:t>
      </w:r>
      <w:r>
        <w:rPr>
          <w:rFonts w:hint="eastAsia" w:ascii="仿宋_GB2312" w:eastAsia="仿宋_GB2312"/>
          <w:color w:val="auto"/>
          <w:sz w:val="32"/>
          <w:szCs w:val="32"/>
          <w:highlight w:val="none"/>
          <w:lang w:val="zh-CN" w:eastAsia="zh-CN"/>
        </w:rPr>
        <w:t>。单位全年安排的因公出国（境）团组0个，因公出国（境）0人次。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公务用车购置及运行维护费0.00万元，其中：公务用车购置费0.00万元，公务用车运行维护费0.00万元。公务用车运行维护费开支内容包括</w:t>
      </w:r>
      <w:r>
        <w:rPr>
          <w:rFonts w:hint="eastAsia" w:ascii="仿宋_GB2312" w:eastAsia="仿宋_GB2312"/>
          <w:color w:val="auto"/>
          <w:sz w:val="32"/>
          <w:szCs w:val="32"/>
          <w:highlight w:val="none"/>
          <w:lang w:val="en-US" w:eastAsia="zh-CN"/>
        </w:rPr>
        <w:t>无</w:t>
      </w:r>
      <w:r>
        <w:rPr>
          <w:rFonts w:hint="eastAsia" w:ascii="仿宋_GB2312" w:eastAsia="仿宋_GB2312"/>
          <w:color w:val="auto"/>
          <w:sz w:val="32"/>
          <w:szCs w:val="32"/>
          <w:highlight w:val="none"/>
          <w:lang w:val="zh-CN" w:eastAsia="zh-CN"/>
        </w:rPr>
        <w:t>公务用车运行维护费开支。公务用车购置数0辆，公务用车保有量0辆。国有资产占用情况</w:t>
      </w:r>
      <w:r>
        <w:rPr>
          <w:rFonts w:hint="eastAsia" w:ascii="仿宋_GB2312" w:eastAsia="仿宋_GB2312"/>
          <w:color w:val="auto"/>
          <w:sz w:val="32"/>
          <w:szCs w:val="32"/>
          <w:highlight w:val="none"/>
          <w:lang w:val="en-US" w:eastAsia="zh-CN"/>
        </w:rPr>
        <w:t>中固定资产车辆</w:t>
      </w:r>
      <w:r>
        <w:rPr>
          <w:rFonts w:hint="eastAsia" w:ascii="仿宋_GB2312" w:eastAsia="仿宋_GB2312"/>
          <w:color w:val="auto"/>
          <w:sz w:val="32"/>
          <w:szCs w:val="32"/>
          <w:highlight w:val="none"/>
          <w:lang w:val="zh-CN" w:eastAsia="zh-CN"/>
        </w:rPr>
        <w:t>0辆，</w:t>
      </w:r>
      <w:r>
        <w:rPr>
          <w:rFonts w:hint="eastAsia" w:ascii="仿宋_GB2312" w:eastAsia="仿宋_GB2312"/>
          <w:color w:val="auto"/>
          <w:sz w:val="32"/>
          <w:szCs w:val="32"/>
          <w:highlight w:val="none"/>
          <w:lang w:val="en-US" w:eastAsia="zh-CN"/>
        </w:rPr>
        <w:t>与</w:t>
      </w:r>
      <w:r>
        <w:rPr>
          <w:rFonts w:hint="eastAsia" w:ascii="仿宋_GB2312" w:eastAsia="仿宋_GB2312"/>
          <w:color w:val="auto"/>
          <w:sz w:val="32"/>
          <w:szCs w:val="32"/>
          <w:highlight w:val="none"/>
          <w:lang w:val="zh-CN" w:eastAsia="zh-CN"/>
        </w:rPr>
        <w:t>公务用车</w:t>
      </w:r>
      <w:r>
        <w:rPr>
          <w:rFonts w:hint="eastAsia" w:ascii="仿宋_GB2312" w:eastAsia="仿宋_GB2312"/>
          <w:color w:val="auto"/>
          <w:sz w:val="32"/>
          <w:szCs w:val="32"/>
          <w:highlight w:val="none"/>
          <w:lang w:val="en-US" w:eastAsia="zh-CN"/>
        </w:rPr>
        <w:t>保有量无差异</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公务接待费0.00万元，开支内容包括</w:t>
      </w:r>
      <w:r>
        <w:rPr>
          <w:rFonts w:hint="eastAsia" w:ascii="仿宋_GB2312" w:eastAsia="仿宋_GB2312"/>
          <w:color w:val="auto"/>
          <w:sz w:val="32"/>
          <w:szCs w:val="32"/>
          <w:highlight w:val="none"/>
          <w:lang w:val="en-US" w:eastAsia="zh-CN"/>
        </w:rPr>
        <w:t>无公务接待费</w:t>
      </w:r>
      <w:r>
        <w:rPr>
          <w:rFonts w:hint="eastAsia" w:ascii="仿宋_GB2312" w:eastAsia="仿宋_GB2312"/>
          <w:color w:val="auto"/>
          <w:sz w:val="32"/>
          <w:szCs w:val="32"/>
          <w:highlight w:val="none"/>
          <w:lang w:val="zh-CN" w:eastAsia="zh-CN"/>
        </w:rPr>
        <w:t>。单位全年安排的国内公务接待0批次，0人次。</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与</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预算相比</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lang w:val="zh-CN" w:eastAsia="zh-CN"/>
        </w:rPr>
        <w:t>财政拨款“三公”经费支出</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color w:val="auto"/>
          <w:sz w:val="32"/>
          <w:szCs w:val="32"/>
          <w:highlight w:val="none"/>
          <w:lang w:val="en-US" w:eastAsia="zh-CN"/>
        </w:rPr>
        <w:t>未安排</w:t>
      </w:r>
      <w:r>
        <w:rPr>
          <w:rFonts w:hint="eastAsia" w:ascii="仿宋_GB2312" w:eastAsia="仿宋_GB2312"/>
          <w:color w:val="auto"/>
          <w:sz w:val="32"/>
          <w:szCs w:val="32"/>
          <w:highlight w:val="none"/>
          <w:lang w:val="zh-CN" w:eastAsia="zh-CN"/>
        </w:rPr>
        <w:t>“三公”经费。其中：因公出国（境）费</w:t>
      </w:r>
      <w:r>
        <w:rPr>
          <w:rFonts w:hint="eastAsia" w:ascii="仿宋_GB2312" w:eastAsia="仿宋_GB2312"/>
          <w:color w:val="auto"/>
          <w:sz w:val="32"/>
          <w:szCs w:val="32"/>
          <w:highlight w:val="none"/>
          <w:lang w:val="en-US" w:eastAsia="zh-CN"/>
        </w:rPr>
        <w:t>全年预算数</w:t>
      </w:r>
      <w:r>
        <w:rPr>
          <w:rFonts w:hint="eastAsia" w:ascii="仿宋_GB2312" w:eastAsia="仿宋_GB2312"/>
          <w:color w:val="auto"/>
          <w:sz w:val="32"/>
          <w:szCs w:val="32"/>
          <w:highlight w:val="none"/>
          <w:lang w:val="zh-CN" w:eastAsia="zh-CN"/>
        </w:rPr>
        <w:t>0.00万元，决算数0.00万元，预决算差异率0.00%，主要原因是：</w:t>
      </w:r>
      <w:r>
        <w:rPr>
          <w:rFonts w:hint="eastAsia" w:ascii="仿宋_GB2312" w:eastAsia="仿宋_GB2312"/>
          <w:color w:val="auto"/>
          <w:sz w:val="32"/>
          <w:szCs w:val="32"/>
          <w:highlight w:val="none"/>
          <w:lang w:val="en-US" w:eastAsia="zh-CN"/>
        </w:rPr>
        <w:t>未安排</w:t>
      </w:r>
      <w:r>
        <w:rPr>
          <w:rFonts w:hint="eastAsia" w:ascii="仿宋_GB2312" w:eastAsia="仿宋_GB2312"/>
          <w:color w:val="auto"/>
          <w:sz w:val="32"/>
          <w:szCs w:val="32"/>
          <w:highlight w:val="none"/>
          <w:lang w:val="zh-CN" w:eastAsia="zh-CN"/>
        </w:rPr>
        <w:t>因公出国（境）费；公务用车购置费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color w:val="auto"/>
          <w:sz w:val="32"/>
          <w:szCs w:val="32"/>
          <w:highlight w:val="none"/>
          <w:lang w:val="en-US" w:eastAsia="zh-CN"/>
        </w:rPr>
        <w:t>未安排</w:t>
      </w:r>
      <w:r>
        <w:rPr>
          <w:rFonts w:hint="eastAsia" w:ascii="仿宋_GB2312" w:eastAsia="仿宋_GB2312"/>
          <w:color w:val="auto"/>
          <w:sz w:val="32"/>
          <w:szCs w:val="32"/>
          <w:highlight w:val="none"/>
          <w:lang w:val="zh-CN" w:eastAsia="zh-CN"/>
        </w:rPr>
        <w:t>公务用车购置费；公务用车运行费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color w:val="auto"/>
          <w:sz w:val="32"/>
          <w:szCs w:val="32"/>
          <w:highlight w:val="none"/>
          <w:lang w:val="en-US" w:eastAsia="zh-CN"/>
        </w:rPr>
        <w:t>没有公务用车，未安排</w:t>
      </w:r>
      <w:r>
        <w:rPr>
          <w:rFonts w:hint="eastAsia" w:ascii="仿宋_GB2312" w:eastAsia="仿宋_GB2312"/>
          <w:color w:val="auto"/>
          <w:sz w:val="32"/>
          <w:szCs w:val="32"/>
          <w:highlight w:val="none"/>
          <w:lang w:val="zh-CN" w:eastAsia="zh-CN"/>
        </w:rPr>
        <w:t>公务用车运行费；公务接待费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color w:val="auto"/>
          <w:sz w:val="32"/>
          <w:szCs w:val="32"/>
          <w:highlight w:val="none"/>
          <w:lang w:val="en-US" w:eastAsia="zh-CN"/>
        </w:rPr>
        <w:t>未安排公务接待费。</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8" w:name="_Toc7927"/>
      <w:bookmarkStart w:id="19" w:name="_Toc5810"/>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8"/>
      <w:bookmarkEnd w:id="19"/>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本年度无政府性基金预算财政拨款收入、支出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本年度无国有资本经营预算财政拨款收入、支出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，国有资本经营</w:t>
      </w:r>
      <w:r>
        <w:rPr>
          <w:rFonts w:hint="eastAsia" w:ascii="仿宋_GB2312" w:eastAsia="仿宋_GB2312"/>
          <w:color w:val="auto"/>
          <w:sz w:val="32"/>
          <w:szCs w:val="32"/>
          <w:highlight w:val="none"/>
        </w:rPr>
        <w:t>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0" w:name="_Toc7314"/>
      <w:bookmarkStart w:id="21" w:name="_Toc12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0"/>
      <w:bookmarkEnd w:id="2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rPr>
      </w:pPr>
      <w:bookmarkStart w:id="22" w:name="_Toc14519"/>
      <w:bookmarkStart w:id="23" w:name="_Toc13105"/>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en-US" w:eastAsia="zh-CN"/>
        </w:rPr>
      </w:pPr>
      <w:bookmarkStart w:id="24" w:name="_Toc227"/>
      <w:bookmarkStart w:id="25" w:name="_Toc26704"/>
      <w:r>
        <w:rPr>
          <w:rFonts w:hint="eastAsia" w:ascii="Times New Roman" w:hAnsi="Times New Roman" w:eastAsia="仿宋_GB2312" w:cs="Times New Roman"/>
          <w:color w:val="auto"/>
          <w:sz w:val="32"/>
          <w:szCs w:val="32"/>
          <w:highlight w:val="none"/>
          <w:lang w:val="zh-CN" w:eastAsia="zh-CN"/>
        </w:rPr>
        <w:t>2023年度</w:t>
      </w:r>
      <w:r>
        <w:rPr>
          <w:rFonts w:hint="eastAsia" w:ascii="Times New Roman" w:hAnsi="Times New Roman" w:eastAsia="仿宋_GB2312" w:cs="Times New Roman"/>
          <w:color w:val="auto"/>
          <w:sz w:val="32"/>
          <w:szCs w:val="32"/>
          <w:highlight w:val="none"/>
          <w:lang w:val="en-US" w:eastAsia="zh-CN"/>
        </w:rPr>
        <w:t>新疆维吾尔自治区民族事务委员会（宗教事务局）民族宗教丛书编辑室（事业单位）公用经费支出5.98万元，</w:t>
      </w:r>
      <w:r>
        <w:rPr>
          <w:rFonts w:hint="eastAsia" w:ascii="Times New Roman" w:hAnsi="Times New Roman" w:eastAsia="仿宋_GB2312" w:cs="Times New Roman"/>
          <w:color w:val="auto"/>
          <w:sz w:val="32"/>
          <w:szCs w:val="32"/>
          <w:highlight w:val="none"/>
          <w:lang w:val="zh-CN" w:eastAsia="zh-CN"/>
        </w:rPr>
        <w:t>比上年增加5.98万元，增长100.00%，</w:t>
      </w:r>
      <w:r>
        <w:rPr>
          <w:rFonts w:hint="eastAsia" w:eastAsia="仿宋_GB2312" w:cs="Times New Roman"/>
          <w:color w:val="auto"/>
          <w:sz w:val="32"/>
          <w:szCs w:val="32"/>
          <w:highlight w:val="none"/>
          <w:lang w:val="zh-CN" w:eastAsia="zh-CN"/>
        </w:rPr>
        <w:t>主要原因是：2023年，新疆维吾尔自治区民族事务委员会（宗教事务局）民族宗教丛书编辑室首次编报部门决算，2022年度</w:t>
      </w:r>
      <w:r>
        <w:rPr>
          <w:rFonts w:hint="eastAsia" w:eastAsia="仿宋_GB2312" w:cs="Times New Roman"/>
          <w:color w:val="auto"/>
          <w:sz w:val="32"/>
          <w:szCs w:val="32"/>
          <w:highlight w:val="none"/>
          <w:lang w:val="en-US" w:eastAsia="zh-CN"/>
        </w:rPr>
        <w:t>机关运行经费支出</w:t>
      </w:r>
      <w:r>
        <w:rPr>
          <w:rFonts w:hint="eastAsia" w:eastAsia="仿宋_GB2312" w:cs="Times New Roman"/>
          <w:color w:val="auto"/>
          <w:sz w:val="32"/>
          <w:szCs w:val="32"/>
          <w:highlight w:val="none"/>
          <w:lang w:val="zh-CN" w:eastAsia="zh-CN"/>
        </w:rPr>
        <w:t>情况汇总在自治区民委（宗教事务局）部门决算中。</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4"/>
      <w:bookmarkEnd w:id="2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rPr>
      </w:pPr>
      <w:r>
        <w:rPr>
          <w:rFonts w:hint="eastAsia" w:ascii="Times New Roman" w:hAnsi="Times New Roman" w:eastAsia="仿宋_GB2312" w:cs="Times New Roman"/>
          <w:color w:val="auto"/>
          <w:sz w:val="32"/>
          <w:szCs w:val="32"/>
          <w:highlight w:val="none"/>
          <w:lang w:val="zh-CN" w:eastAsia="zh-CN"/>
        </w:rPr>
        <w:t>2023年度</w:t>
      </w:r>
      <w:r>
        <w:rPr>
          <w:rFonts w:hint="eastAsia" w:ascii="Times New Roman" w:hAnsi="Times New Roman" w:eastAsia="仿宋_GB2312" w:cs="Times New Roman"/>
          <w:color w:val="auto"/>
          <w:sz w:val="32"/>
          <w:szCs w:val="32"/>
          <w:highlight w:val="none"/>
          <w:lang w:val="zh-CN"/>
        </w:rPr>
        <w:t>政府采购支出总额</w:t>
      </w:r>
      <w:r>
        <w:rPr>
          <w:rFonts w:hint="eastAsia" w:ascii="Times New Roman" w:hAnsi="Times New Roman" w:eastAsia="仿宋_GB2312" w:cs="Times New Roman"/>
          <w:color w:val="auto"/>
          <w:sz w:val="32"/>
          <w:szCs w:val="32"/>
          <w:highlight w:val="none"/>
          <w:lang w:val="zh-CN" w:eastAsia="zh-CN"/>
        </w:rPr>
        <w:t>0.00万元</w:t>
      </w:r>
      <w:r>
        <w:rPr>
          <w:rFonts w:hint="eastAsia" w:ascii="Times New Roman" w:hAnsi="Times New Roman" w:eastAsia="仿宋_GB2312" w:cs="Times New Roman"/>
          <w:color w:val="auto"/>
          <w:sz w:val="32"/>
          <w:szCs w:val="32"/>
          <w:highlight w:val="none"/>
          <w:lang w:val="zh-CN"/>
        </w:rPr>
        <w:t>，</w:t>
      </w:r>
      <w:r>
        <w:rPr>
          <w:rFonts w:hint="eastAsia" w:ascii="Times New Roman" w:hAnsi="Times New Roman" w:eastAsia="仿宋_GB2312" w:cs="Times New Roman"/>
          <w:color w:val="auto"/>
          <w:sz w:val="32"/>
          <w:szCs w:val="32"/>
          <w:highlight w:val="none"/>
          <w:lang w:val="zh-CN" w:eastAsia="zh-CN"/>
        </w:rPr>
        <w:t>其中：政府采购货物支出0.00万元、政府采购工程支出0.00万元、政府采购服务支出0.00万元。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zh-CN" w:eastAsia="zh-CN"/>
        </w:rPr>
        <w:t>授予中小企业合同金额0.00万元，占政府采购支出总额的0.00</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zh-CN" w:eastAsia="zh-CN"/>
        </w:rPr>
        <w:t>，其中：授予小微企业合同金额0.00万元，占政府采购支出总额的0.00</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bookmarkStart w:id="26" w:name="_Toc8391"/>
      <w:bookmarkStart w:id="27" w:name="_Toc4591"/>
      <w:r>
        <w:rPr>
          <w:rFonts w:hint="eastAsia" w:ascii="Times New Roman" w:hAnsi="Times New Roman" w:eastAsia="黑体" w:cs="Times New Roman"/>
          <w:color w:val="auto"/>
          <w:sz w:val="32"/>
          <w:szCs w:val="30"/>
          <w:highlight w:val="none"/>
          <w:lang w:val="zh-CN" w:eastAsia="zh-CN"/>
        </w:rPr>
        <w:t>（三）国有资产占用情况说明</w:t>
      </w:r>
      <w:bookmarkEnd w:id="26"/>
      <w:bookmarkEnd w:id="2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eastAsia="zh-CN"/>
        </w:rPr>
      </w:pPr>
      <w:r>
        <w:rPr>
          <w:rFonts w:hint="eastAsia" w:ascii="Times New Roman" w:hAnsi="Times New Roman" w:eastAsia="仿宋_GB2312" w:cs="Times New Roman"/>
          <w:color w:val="auto"/>
          <w:sz w:val="32"/>
          <w:szCs w:val="32"/>
          <w:highlight w:val="none"/>
          <w:lang w:val="en-US" w:eastAsia="zh-CN"/>
        </w:rPr>
        <w:t>截至2023</w:t>
      </w:r>
      <w:r>
        <w:rPr>
          <w:rFonts w:hint="eastAsia" w:ascii="Times New Roman" w:hAnsi="Times New Roman" w:eastAsia="仿宋_GB2312" w:cs="Times New Roman"/>
          <w:color w:val="auto"/>
          <w:sz w:val="32"/>
          <w:szCs w:val="32"/>
          <w:highlight w:val="none"/>
          <w:lang w:val="zh-CN" w:eastAsia="zh-CN"/>
        </w:rPr>
        <w:t>年</w:t>
      </w:r>
      <w:r>
        <w:rPr>
          <w:rFonts w:hint="eastAsia" w:ascii="Times New Roman" w:hAnsi="Times New Roman" w:eastAsia="仿宋_GB2312" w:cs="Times New Roman"/>
          <w:color w:val="auto"/>
          <w:sz w:val="32"/>
          <w:szCs w:val="32"/>
          <w:highlight w:val="none"/>
          <w:lang w:val="en-US" w:eastAsia="zh-CN"/>
        </w:rPr>
        <w:t>12月31日</w:t>
      </w:r>
      <w:r>
        <w:rPr>
          <w:rFonts w:hint="eastAsia"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固定资产原值</w:t>
      </w:r>
      <w:r>
        <w:rPr>
          <w:rFonts w:hint="eastAsia" w:ascii="Times New Roman" w:hAnsi="Times New Roman" w:eastAsia="仿宋_GB2312" w:cs="Times New Roman"/>
          <w:color w:val="auto"/>
          <w:sz w:val="32"/>
          <w:szCs w:val="32"/>
          <w:highlight w:val="none"/>
          <w:lang w:val="zh-CN" w:eastAsia="zh-CN"/>
        </w:rPr>
        <w:t>0.00</w:t>
      </w:r>
      <w:r>
        <w:rPr>
          <w:rFonts w:hint="eastAsia" w:ascii="Times New Roman" w:hAnsi="Times New Roman" w:eastAsia="仿宋_GB2312" w:cs="Times New Roman"/>
          <w:color w:val="auto"/>
          <w:sz w:val="32"/>
          <w:szCs w:val="32"/>
          <w:highlight w:val="none"/>
          <w:lang w:val="en-US" w:eastAsia="zh-CN"/>
        </w:rPr>
        <w:t>万元，房</w:t>
      </w:r>
      <w:r>
        <w:rPr>
          <w:rFonts w:hint="eastAsia" w:ascii="Times New Roman" w:hAnsi="Times New Roman" w:eastAsia="仿宋_GB2312" w:cs="Times New Roman"/>
          <w:color w:val="auto"/>
          <w:sz w:val="32"/>
          <w:szCs w:val="32"/>
          <w:highlight w:val="none"/>
          <w:lang w:val="zh-CN" w:eastAsia="zh-CN"/>
        </w:rPr>
        <w:t>屋0.00平方米，价值0.00万元。车辆0辆，价值0.00万元，其中：副部（省）级及以上领导用车0辆、主要</w:t>
      </w:r>
      <w:r>
        <w:rPr>
          <w:rFonts w:hint="eastAsia" w:ascii="Times New Roman" w:hAnsi="Times New Roman" w:eastAsia="仿宋_GB2312" w:cs="Times New Roman"/>
          <w:color w:val="auto"/>
          <w:sz w:val="32"/>
          <w:szCs w:val="32"/>
          <w:highlight w:val="none"/>
          <w:lang w:val="en-US" w:eastAsia="zh-CN"/>
        </w:rPr>
        <w:t>负责人</w:t>
      </w:r>
      <w:r>
        <w:rPr>
          <w:rFonts w:hint="eastAsia" w:ascii="Times New Roman" w:hAnsi="Times New Roman" w:eastAsia="仿宋_GB2312" w:cs="Times New Roman"/>
          <w:color w:val="auto"/>
          <w:sz w:val="32"/>
          <w:szCs w:val="32"/>
          <w:highlight w:val="none"/>
          <w:lang w:val="zh-CN" w:eastAsia="zh-CN"/>
        </w:rPr>
        <w:t>用车0辆、机要通信用车0辆、应急保障用车0辆、执法执勤用车0辆、特种专业技术用车0辆、离退休干部</w:t>
      </w:r>
      <w:r>
        <w:rPr>
          <w:rFonts w:hint="eastAsia" w:ascii="Times New Roman" w:hAnsi="Times New Roman" w:eastAsia="仿宋_GB2312" w:cs="Times New Roman"/>
          <w:color w:val="auto"/>
          <w:sz w:val="32"/>
          <w:szCs w:val="32"/>
          <w:highlight w:val="none"/>
          <w:lang w:val="en-US" w:eastAsia="zh-CN"/>
        </w:rPr>
        <w:t>服务</w:t>
      </w:r>
      <w:r>
        <w:rPr>
          <w:rFonts w:hint="eastAsia" w:ascii="Times New Roman" w:hAnsi="Times New Roman" w:eastAsia="仿宋_GB2312" w:cs="Times New Roman"/>
          <w:color w:val="auto"/>
          <w:sz w:val="32"/>
          <w:szCs w:val="32"/>
          <w:highlight w:val="none"/>
          <w:lang w:val="zh-CN" w:eastAsia="zh-CN"/>
        </w:rPr>
        <w:t>用车0辆、其他用车0辆；单价100万元（含）以上设备（不含车辆）0</w:t>
      </w:r>
      <w:r>
        <w:rPr>
          <w:rFonts w:hint="eastAsia" w:ascii="Times New Roman" w:hAnsi="Times New Roman" w:eastAsia="仿宋_GB2312" w:cs="Times New Roman"/>
          <w:color w:val="auto"/>
          <w:sz w:val="32"/>
          <w:szCs w:val="32"/>
          <w:highlight w:val="none"/>
          <w:lang w:val="en-US" w:eastAsia="zh-CN"/>
        </w:rPr>
        <w:t>台（</w:t>
      </w:r>
      <w:r>
        <w:rPr>
          <w:rFonts w:hint="eastAsia" w:ascii="Times New Roman" w:hAnsi="Times New Roman" w:eastAsia="仿宋_GB2312" w:cs="Times New Roman"/>
          <w:color w:val="auto"/>
          <w:sz w:val="32"/>
          <w:szCs w:val="32"/>
          <w:highlight w:val="none"/>
          <w:lang w:val="zh-CN" w:eastAsia="zh-CN"/>
        </w:rPr>
        <w:t>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8" w:name="_Toc435"/>
      <w:bookmarkStart w:id="29" w:name="_Toc11283"/>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28"/>
      <w:bookmarkEnd w:id="29"/>
    </w:p>
    <w:p>
      <w:pPr>
        <w:ind w:firstLine="640" w:firstLineChars="200"/>
        <w:rPr>
          <w:rFonts w:hint="default" w:ascii="仿宋_GB2312" w:eastAsia="仿宋_GB2312"/>
          <w:sz w:val="32"/>
          <w:szCs w:val="32"/>
          <w:lang w:val="en-US" w:eastAsia="zh-CN"/>
        </w:rPr>
      </w:pPr>
      <w:r>
        <w:rPr>
          <w:rFonts w:hint="eastAsia" w:ascii="仿宋_GB2312" w:eastAsia="仿宋_GB2312"/>
          <w:color w:val="auto"/>
          <w:sz w:val="32"/>
          <w:szCs w:val="32"/>
          <w:highlight w:val="none"/>
          <w:lang w:eastAsia="zh-CN"/>
        </w:rPr>
        <w:t>根据预算绩效管理要求，我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2023年度</w:t>
      </w:r>
      <w:r>
        <w:rPr>
          <w:rFonts w:hint="eastAsia" w:ascii="仿宋_GB2312" w:hAnsi="仿宋_GB2312" w:eastAsia="仿宋_GB2312" w:cs="仿宋_GB2312"/>
          <w:color w:val="auto"/>
          <w:kern w:val="0"/>
          <w:sz w:val="32"/>
          <w:szCs w:val="32"/>
          <w:highlight w:val="none"/>
        </w:rPr>
        <w:t>预算绩效管理整体</w:t>
      </w:r>
      <w:r>
        <w:rPr>
          <w:rFonts w:hint="eastAsia" w:ascii="仿宋_GB2312" w:hAnsi="仿宋_GB2312" w:eastAsia="仿宋_GB2312" w:cs="仿宋_GB2312"/>
          <w:color w:val="auto"/>
          <w:kern w:val="0"/>
          <w:sz w:val="32"/>
          <w:szCs w:val="32"/>
          <w:highlight w:val="none"/>
          <w:lang w:val="en-US" w:eastAsia="zh-CN"/>
        </w:rPr>
        <w:t>支出</w:t>
      </w:r>
      <w:r>
        <w:rPr>
          <w:rFonts w:hint="eastAsia" w:ascii="仿宋_GB2312" w:hAnsi="仿宋_GB2312" w:eastAsia="仿宋_GB2312" w:cs="仿宋_GB2312"/>
          <w:color w:val="auto"/>
          <w:kern w:val="0"/>
          <w:sz w:val="32"/>
          <w:szCs w:val="32"/>
          <w:highlight w:val="none"/>
        </w:rPr>
        <w:t>绩效自评表</w:t>
      </w:r>
      <w:r>
        <w:rPr>
          <w:rFonts w:hint="eastAsia" w:ascii="仿宋_GB2312" w:eastAsia="仿宋_GB2312"/>
          <w:color w:val="auto"/>
          <w:sz w:val="32"/>
          <w:szCs w:val="32"/>
          <w:highlight w:val="none"/>
          <w:lang w:val="en-US" w:eastAsia="zh-CN"/>
        </w:rPr>
        <w:t>0</w:t>
      </w:r>
      <w:r>
        <w:rPr>
          <w:rFonts w:hint="eastAsia" w:ascii="仿宋_GB2312" w:hAnsi="仿宋_GB2312" w:eastAsia="仿宋_GB2312" w:cs="仿宋_GB2312"/>
          <w:color w:val="auto"/>
          <w:kern w:val="0"/>
          <w:sz w:val="32"/>
          <w:szCs w:val="32"/>
          <w:highlight w:val="none"/>
          <w:lang w:val="en-US" w:eastAsia="zh-CN"/>
        </w:rPr>
        <w:t>个，全年</w:t>
      </w:r>
      <w:r>
        <w:rPr>
          <w:rFonts w:hint="eastAsia" w:ascii="仿宋_GB2312" w:eastAsia="仿宋_GB2312"/>
          <w:color w:val="auto"/>
          <w:sz w:val="32"/>
          <w:szCs w:val="32"/>
          <w:highlight w:val="none"/>
          <w:lang w:val="en-US" w:eastAsia="zh-CN"/>
        </w:rPr>
        <w:t>预算总额</w:t>
      </w:r>
      <w:r>
        <w:rPr>
          <w:rFonts w:hint="eastAsia" w:ascii="仿宋_GB2312" w:eastAsia="仿宋_GB2312"/>
          <w:color w:val="auto"/>
          <w:spacing w:val="0"/>
          <w:sz w:val="32"/>
          <w:szCs w:val="32"/>
          <w:highlight w:val="none"/>
          <w:lang w:val="en-US" w:eastAsia="zh-CN"/>
        </w:rPr>
        <w:t>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实际执行总额</w:t>
      </w:r>
      <w:r>
        <w:rPr>
          <w:rFonts w:hint="eastAsia" w:ascii="仿宋_GB2312" w:eastAsia="仿宋_GB2312"/>
          <w:color w:val="auto"/>
          <w:spacing w:val="0"/>
          <w:sz w:val="32"/>
          <w:szCs w:val="32"/>
          <w:highlight w:val="none"/>
          <w:lang w:val="en-US" w:eastAsia="zh-CN"/>
        </w:rPr>
        <w:t>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我单位整体支出绩效自评表由主管部门编报并公开</w:t>
      </w:r>
      <w:r>
        <w:rPr>
          <w:rFonts w:hint="default" w:ascii="Times New Roman" w:hAnsi="Times New Roman" w:eastAsia="仿宋_GB2312" w:cs="Times New Roman"/>
          <w:color w:val="auto"/>
          <w:kern w:val="0"/>
          <w:sz w:val="32"/>
          <w:szCs w:val="32"/>
          <w:highlight w:val="none"/>
          <w:lang w:val="en-US" w:eastAsia="zh-CN"/>
        </w:rPr>
        <w:t>；</w:t>
      </w:r>
      <w:r>
        <w:rPr>
          <w:rFonts w:hint="default" w:ascii="Times New Roman" w:hAnsi="Times New Roman" w:eastAsia="仿宋_GB2312" w:cs="Times New Roman"/>
          <w:color w:val="auto"/>
          <w:sz w:val="32"/>
          <w:szCs w:val="32"/>
          <w:highlight w:val="none"/>
          <w:lang w:eastAsia="zh-CN"/>
        </w:rPr>
        <w:t>预算绩效评价项目</w:t>
      </w:r>
      <w:r>
        <w:rPr>
          <w:rFonts w:hint="default"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lang w:eastAsia="zh-CN"/>
        </w:rPr>
        <w:t>个，</w:t>
      </w:r>
      <w:r>
        <w:rPr>
          <w:rFonts w:hint="default" w:ascii="Times New Roman" w:hAnsi="Times New Roman" w:eastAsia="仿宋_GB2312" w:cs="Times New Roman"/>
          <w:color w:val="auto"/>
          <w:sz w:val="32"/>
          <w:szCs w:val="32"/>
          <w:highlight w:val="none"/>
          <w:lang w:val="en-US" w:eastAsia="zh-CN"/>
        </w:rPr>
        <w:t>全年预算数0</w:t>
      </w:r>
      <w:r>
        <w:rPr>
          <w:rFonts w:hint="default" w:ascii="Times New Roman" w:hAnsi="Times New Roman" w:eastAsia="仿宋_GB2312" w:cs="Times New Roman"/>
          <w:color w:val="auto"/>
          <w:sz w:val="32"/>
          <w:szCs w:val="32"/>
          <w:highlight w:val="none"/>
        </w:rPr>
        <w:t>万元</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全年执行数0</w:t>
      </w:r>
      <w:r>
        <w:rPr>
          <w:rFonts w:hint="default" w:ascii="Times New Roman" w:hAnsi="Times New Roman" w:eastAsia="仿宋_GB2312" w:cs="Times New Roman"/>
          <w:color w:val="auto"/>
          <w:sz w:val="32"/>
          <w:szCs w:val="32"/>
          <w:highlight w:val="none"/>
        </w:rPr>
        <w:t>万元</w:t>
      </w:r>
      <w:r>
        <w:rPr>
          <w:rFonts w:hint="default" w:ascii="Times New Roman" w:hAnsi="Times New Roman" w:eastAsia="仿宋_GB2312" w:cs="Times New Roman"/>
          <w:color w:val="auto"/>
          <w:sz w:val="32"/>
          <w:szCs w:val="32"/>
          <w:highlight w:val="none"/>
          <w:lang w:eastAsia="zh-CN"/>
        </w:rPr>
        <w:t>。预算绩效管理取得的成效：</w:t>
      </w:r>
      <w:r>
        <w:rPr>
          <w:rFonts w:hint="eastAsia" w:ascii="仿宋_GB2312" w:hAnsi="Times New Roman" w:eastAsia="仿宋_GB2312" w:cs="Times New Roman"/>
          <w:color w:val="auto"/>
          <w:kern w:val="2"/>
          <w:sz w:val="32"/>
          <w:szCs w:val="32"/>
          <w:highlight w:val="none"/>
          <w:lang w:val="en-US" w:eastAsia="zh-CN" w:bidi="ar-SA"/>
        </w:rPr>
        <w:t>参与和组织编写、翻译、修订民族宗教类丛书、年鉴等；按照有关规定</w:t>
      </w:r>
      <w:r>
        <w:rPr>
          <w:rFonts w:hint="eastAsia" w:ascii="仿宋_GB2312" w:eastAsia="仿宋_GB2312" w:cs="Times New Roman"/>
          <w:color w:val="auto"/>
          <w:kern w:val="2"/>
          <w:sz w:val="32"/>
          <w:szCs w:val="32"/>
          <w:highlight w:val="none"/>
          <w:lang w:val="en-US" w:eastAsia="zh-CN" w:bidi="ar-SA"/>
        </w:rPr>
        <w:t>，</w:t>
      </w:r>
      <w:r>
        <w:rPr>
          <w:rFonts w:hint="eastAsia" w:ascii="仿宋_GB2312" w:hAnsi="Times New Roman" w:eastAsia="仿宋_GB2312" w:cs="Times New Roman"/>
          <w:color w:val="auto"/>
          <w:kern w:val="2"/>
          <w:sz w:val="32"/>
          <w:szCs w:val="32"/>
          <w:highlight w:val="none"/>
          <w:lang w:val="en-US" w:eastAsia="zh-CN" w:bidi="ar-SA"/>
        </w:rPr>
        <w:t>参与自治区民族宗教类图书的审读工作</w:t>
      </w:r>
      <w:r>
        <w:rPr>
          <w:rFonts w:hint="eastAsia" w:ascii="仿宋_GB2312" w:eastAsia="仿宋_GB2312" w:cs="Times New Roman"/>
          <w:color w:val="auto"/>
          <w:kern w:val="2"/>
          <w:sz w:val="32"/>
          <w:szCs w:val="32"/>
          <w:highlight w:val="none"/>
          <w:lang w:val="en-US" w:eastAsia="zh-CN" w:bidi="ar-SA"/>
        </w:rPr>
        <w:t>；</w:t>
      </w:r>
      <w:r>
        <w:rPr>
          <w:rFonts w:hint="eastAsia" w:eastAsia="仿宋_GB2312" w:cs="Times New Roman"/>
          <w:color w:val="auto"/>
          <w:sz w:val="32"/>
          <w:szCs w:val="32"/>
          <w:highlight w:val="none"/>
          <w:lang w:val="en-US" w:eastAsia="zh-CN"/>
        </w:rPr>
        <w:t>保障单位的日常运转。</w:t>
      </w:r>
      <w:r>
        <w:rPr>
          <w:rFonts w:hint="default" w:ascii="Times New Roman" w:hAnsi="Times New Roman" w:eastAsia="仿宋_GB2312" w:cs="Times New Roman"/>
          <w:color w:val="auto"/>
          <w:sz w:val="32"/>
          <w:szCs w:val="32"/>
          <w:highlight w:val="none"/>
          <w:lang w:eastAsia="zh-CN"/>
        </w:rPr>
        <w:t>发现的问题及原因：</w:t>
      </w:r>
      <w:r>
        <w:rPr>
          <w:rFonts w:hint="eastAsia" w:ascii="仿宋_GB2312" w:eastAsia="仿宋_GB2312"/>
          <w:sz w:val="32"/>
          <w:szCs w:val="32"/>
          <w:lang w:val="en-US" w:eastAsia="zh-CN"/>
        </w:rPr>
        <w:t>无。</w:t>
      </w:r>
      <w:r>
        <w:rPr>
          <w:rFonts w:hint="default" w:ascii="Times New Roman" w:hAnsi="Times New Roman" w:eastAsia="仿宋_GB2312" w:cs="Times New Roman"/>
          <w:color w:val="auto"/>
          <w:sz w:val="32"/>
          <w:szCs w:val="32"/>
          <w:highlight w:val="none"/>
          <w:lang w:eastAsia="zh-CN"/>
        </w:rPr>
        <w:t>下一步改进措施：</w:t>
      </w:r>
      <w:r>
        <w:rPr>
          <w:rFonts w:hint="eastAsia" w:eastAsia="仿宋_GB2312" w:cs="Times New Roman"/>
          <w:color w:val="auto"/>
          <w:sz w:val="32"/>
          <w:szCs w:val="32"/>
          <w:highlight w:val="none"/>
          <w:lang w:val="en-US" w:eastAsia="zh-CN"/>
        </w:rPr>
        <w:t>无</w:t>
      </w:r>
      <w:r>
        <w:rPr>
          <w:rFonts w:hint="eastAsia" w:ascii="仿宋_GB2312" w:eastAsia="仿宋_GB2312"/>
          <w:sz w:val="32"/>
          <w:szCs w:val="32"/>
          <w:lang w:val="en-US"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0"/>
        <w:rPr>
          <w:rFonts w:hint="eastAsia" w:ascii="黑体" w:hAnsi="黑体" w:eastAsia="黑体"/>
          <w:color w:val="auto"/>
          <w:sz w:val="32"/>
          <w:szCs w:val="32"/>
          <w:highlight w:val="none"/>
        </w:rPr>
      </w:pPr>
      <w:bookmarkStart w:id="30" w:name="_Toc24143"/>
      <w:bookmarkStart w:id="31" w:name="_Toc3250"/>
      <w:r>
        <w:rPr>
          <w:rFonts w:hint="eastAsia" w:ascii="仿宋_GB2312" w:hAnsi="仿宋_GB2312" w:eastAsia="仿宋_GB2312" w:cs="仿宋_GB2312"/>
          <w:color w:val="auto"/>
          <w:kern w:val="0"/>
          <w:sz w:val="32"/>
          <w:szCs w:val="32"/>
          <w:highlight w:val="none"/>
          <w:lang w:val="en-US" w:eastAsia="zh-CN"/>
        </w:rPr>
        <w:t>我单位无单独政府采购账户，</w:t>
      </w:r>
      <w:r>
        <w:rPr>
          <w:rFonts w:hint="eastAsia" w:ascii="Times New Roman" w:hAnsi="Times New Roman" w:eastAsia="仿宋_GB2312" w:cs="Times New Roman"/>
          <w:color w:val="auto"/>
          <w:sz w:val="32"/>
          <w:szCs w:val="32"/>
          <w:highlight w:val="none"/>
          <w:lang w:val="zh-CN" w:eastAsia="zh-CN"/>
        </w:rPr>
        <w:t>2023年度</w:t>
      </w:r>
      <w:r>
        <w:rPr>
          <w:rFonts w:hint="eastAsia" w:ascii="Times New Roman" w:hAnsi="Times New Roman" w:eastAsia="仿宋_GB2312" w:cs="Times New Roman"/>
          <w:color w:val="auto"/>
          <w:sz w:val="32"/>
          <w:szCs w:val="32"/>
          <w:highlight w:val="none"/>
          <w:lang w:val="zh-CN"/>
        </w:rPr>
        <w:t>政府采购</w:t>
      </w:r>
      <w:r>
        <w:rPr>
          <w:rFonts w:hint="eastAsia" w:eastAsia="仿宋_GB2312" w:cs="Times New Roman"/>
          <w:color w:val="auto"/>
          <w:sz w:val="32"/>
          <w:szCs w:val="32"/>
          <w:highlight w:val="none"/>
          <w:lang w:val="en-US" w:eastAsia="zh-CN"/>
        </w:rPr>
        <w:t>支出情况在</w:t>
      </w:r>
      <w:r>
        <w:rPr>
          <w:rFonts w:hint="eastAsia" w:ascii="仿宋_GB2312" w:eastAsia="仿宋_GB2312"/>
          <w:color w:val="auto"/>
          <w:sz w:val="32"/>
          <w:szCs w:val="32"/>
          <w:highlight w:val="none"/>
          <w:lang w:val="en-US" w:eastAsia="zh-CN"/>
        </w:rPr>
        <w:t>主管部门报表中反映，因此</w:t>
      </w:r>
      <w:r>
        <w:rPr>
          <w:rFonts w:hint="eastAsia" w:ascii="Times New Roman" w:hAnsi="Times New Roman" w:eastAsia="仿宋_GB2312" w:cs="Times New Roman"/>
          <w:color w:val="auto"/>
          <w:sz w:val="32"/>
          <w:szCs w:val="32"/>
          <w:highlight w:val="none"/>
          <w:lang w:val="zh-CN" w:eastAsia="zh-CN"/>
        </w:rPr>
        <w:t>授予中小企业合同金额</w:t>
      </w:r>
      <w:r>
        <w:rPr>
          <w:rFonts w:hint="eastAsia"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zh-CN" w:eastAsia="zh-CN"/>
        </w:rPr>
        <w:t>授予小微企业合同金额0.00万元</w:t>
      </w:r>
      <w:r>
        <w:rPr>
          <w:rFonts w:hint="eastAsia" w:ascii="仿宋_GB2312" w:eastAsia="仿宋_GB2312"/>
          <w:color w:val="auto"/>
          <w:sz w:val="32"/>
          <w:szCs w:val="32"/>
          <w:highlight w:val="none"/>
          <w:lang w:val="en-US" w:eastAsia="zh-CN"/>
        </w:rPr>
        <w:t>。</w:t>
      </w:r>
      <w:r>
        <w:rPr>
          <w:rFonts w:hint="eastAsia" w:ascii="黑体" w:hAnsi="黑体" w:eastAsia="黑体"/>
          <w:color w:val="auto"/>
          <w:sz w:val="32"/>
          <w:szCs w:val="32"/>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0"/>
      <w:bookmarkEnd w:id="31"/>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2" w:name="_Toc6062"/>
      <w:bookmarkStart w:id="33" w:name="_Toc2183"/>
      <w:r>
        <w:rPr>
          <w:rFonts w:hint="eastAsia" w:ascii="黑体" w:hAnsi="黑体" w:eastAsia="仿宋_GB2312" w:cs="宋体"/>
          <w:bCs/>
          <w:color w:val="auto"/>
          <w:kern w:val="0"/>
          <w:sz w:val="32"/>
          <w:szCs w:val="32"/>
          <w:highlight w:val="none"/>
        </w:rPr>
        <w:t>一、《收入支出决算总表》</w:t>
      </w:r>
      <w:bookmarkEnd w:id="32"/>
      <w:bookmarkEnd w:id="3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4" w:name="_Toc24532"/>
      <w:bookmarkStart w:id="35" w:name="_Toc30364"/>
      <w:r>
        <w:rPr>
          <w:rFonts w:hint="eastAsia" w:ascii="黑体" w:hAnsi="黑体" w:eastAsia="仿宋_GB2312" w:cs="宋体"/>
          <w:bCs/>
          <w:color w:val="auto"/>
          <w:kern w:val="0"/>
          <w:sz w:val="32"/>
          <w:szCs w:val="32"/>
          <w:highlight w:val="none"/>
        </w:rPr>
        <w:t>二、《收入决算表》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32434"/>
      <w:bookmarkStart w:id="37" w:name="_Toc21304"/>
      <w:r>
        <w:rPr>
          <w:rFonts w:hint="eastAsia" w:ascii="黑体" w:hAnsi="黑体" w:eastAsia="仿宋_GB2312" w:cs="宋体"/>
          <w:bCs/>
          <w:color w:val="auto"/>
          <w:kern w:val="0"/>
          <w:sz w:val="32"/>
          <w:szCs w:val="32"/>
          <w:highlight w:val="none"/>
        </w:rPr>
        <w:t>三、《支出决算表》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28786"/>
      <w:bookmarkStart w:id="39" w:name="_Toc14238"/>
      <w:r>
        <w:rPr>
          <w:rFonts w:hint="eastAsia" w:ascii="黑体" w:hAnsi="黑体" w:eastAsia="仿宋_GB2312" w:cs="宋体"/>
          <w:bCs/>
          <w:color w:val="auto"/>
          <w:kern w:val="0"/>
          <w:sz w:val="32"/>
          <w:szCs w:val="32"/>
          <w:highlight w:val="none"/>
        </w:rPr>
        <w:t>四、《财政拨款收入支出决算总表》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14869"/>
      <w:bookmarkStart w:id="41" w:name="_Toc10347"/>
      <w:r>
        <w:rPr>
          <w:rFonts w:hint="eastAsia" w:ascii="黑体" w:hAnsi="黑体" w:eastAsia="仿宋_GB2312" w:cs="宋体"/>
          <w:bCs/>
          <w:color w:val="auto"/>
          <w:kern w:val="0"/>
          <w:sz w:val="32"/>
          <w:szCs w:val="32"/>
          <w:highlight w:val="none"/>
        </w:rPr>
        <w:t>五、《一般公共预算财政拨款支出决算表》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8884"/>
      <w:bookmarkStart w:id="43" w:name="_Toc5626"/>
      <w:r>
        <w:rPr>
          <w:rFonts w:hint="eastAsia" w:ascii="黑体" w:hAnsi="黑体" w:eastAsia="仿宋_GB2312" w:cs="宋体"/>
          <w:bCs/>
          <w:color w:val="auto"/>
          <w:kern w:val="0"/>
          <w:sz w:val="32"/>
          <w:szCs w:val="32"/>
          <w:highlight w:val="none"/>
        </w:rPr>
        <w:t>六、《一般公共预算财政拨款基本支出决算表》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4" w:name="_Toc29106"/>
      <w:bookmarkStart w:id="45" w:name="_Toc32663"/>
      <w:r>
        <w:rPr>
          <w:rFonts w:hint="eastAsia" w:ascii="黑体" w:hAnsi="黑体" w:eastAsia="仿宋_GB2312" w:cs="宋体"/>
          <w:bCs/>
          <w:color w:val="auto"/>
          <w:kern w:val="0"/>
          <w:sz w:val="32"/>
          <w:szCs w:val="32"/>
          <w:highlight w:val="none"/>
        </w:rPr>
        <w:t>《财政拨款“三公”经费支出决算表》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6" w:name="_Toc5453"/>
      <w:bookmarkStart w:id="47" w:name="_Toc7643"/>
      <w:r>
        <w:rPr>
          <w:rFonts w:hint="eastAsia" w:ascii="黑体" w:hAnsi="黑体" w:eastAsia="仿宋_GB2312" w:cs="宋体"/>
          <w:bCs/>
          <w:color w:val="auto"/>
          <w:kern w:val="0"/>
          <w:sz w:val="32"/>
          <w:szCs w:val="32"/>
          <w:highlight w:val="none"/>
        </w:rPr>
        <w:t>八、《政府性基金预算财政拨款收入支出决算表》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00007A87" w:usb1="80000000" w:usb2="00000008" w:usb3="00000000" w:csb0="400001FF" w:csb1="FFFF0000"/>
  </w:font>
  <w:font w:name="宋体">
    <w:panose1 w:val="02010600030101010101"/>
    <w:charset w:val="50"/>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embedRegular r:id="rId1" w:fontKey="{43B118D2-125F-49D4-99D1-70E90662649B}"/>
  </w:font>
  <w:font w:name="Arial">
    <w:panose1 w:val="020B0604020202020204"/>
    <w:charset w:val="01"/>
    <w:family w:val="swiss"/>
    <w:pitch w:val="default"/>
    <w:sig w:usb0="00007A87" w:usb1="80000000" w:usb2="00000008" w:usb3="00000000" w:csb0="400001FF" w:csb1="FFFF0000"/>
    <w:embedRegular r:id="rId2" w:fontKey="{74A9DFCB-D821-49A3-A8E9-BF9317016A89}"/>
  </w:font>
  <w:font w:name="黑体">
    <w:panose1 w:val="02010600030101010101"/>
    <w:charset w:val="86"/>
    <w:family w:val="auto"/>
    <w:pitch w:val="default"/>
    <w:sig w:usb0="00000001" w:usb1="080E0000" w:usb2="00000000" w:usb3="00000000" w:csb0="00040000" w:csb1="00000000"/>
    <w:embedRegular r:id="rId3" w:fontKey="{B661BD74-0A43-4901-A6E6-EB388486A6AD}"/>
  </w:font>
  <w:font w:name="Courier New">
    <w:panose1 w:val="02070309020205020404"/>
    <w:charset w:val="01"/>
    <w:family w:val="modern"/>
    <w:pitch w:val="default"/>
    <w:sig w:usb0="00007A87" w:usb1="80000000" w:usb2="00000008" w:usb3="00000000" w:csb0="400001FF" w:csb1="FFFF0000"/>
    <w:embedRegular r:id="rId4" w:fontKey="{49F26058-A3E4-47C4-91A2-46A3F7631ABC}"/>
  </w:font>
  <w:font w:name="Symbol">
    <w:panose1 w:val="05050102010706020507"/>
    <w:charset w:val="02"/>
    <w:family w:val="roman"/>
    <w:pitch w:val="default"/>
    <w:sig w:usb0="00000000" w:usb1="00000000" w:usb2="00000000" w:usb3="00000000" w:csb0="80000000" w:csb1="00000000"/>
    <w:embedRegular r:id="rId5" w:fontKey="{52CD7076-3EF2-49D2-9AD9-E10E4F29FE2B}"/>
  </w:font>
  <w:font w:name="Calibri">
    <w:panose1 w:val="020F0502020204030204"/>
    <w:charset w:val="00"/>
    <w:family w:val="swiss"/>
    <w:pitch w:val="default"/>
    <w:sig w:usb0="A00002EF" w:usb1="4000207B" w:usb2="00000000" w:usb3="00000000" w:csb0="2000009F" w:csb1="00000000"/>
    <w:embedRegular r:id="rId6" w:fontKey="{AA790DD1-DD08-400D-BBC8-BECDBE464132}"/>
  </w:font>
  <w:font w:name="仿宋_GB2312">
    <w:panose1 w:val="02010609030101010101"/>
    <w:charset w:val="86"/>
    <w:family w:val="modern"/>
    <w:pitch w:val="default"/>
    <w:sig w:usb0="00000001" w:usb1="080E0000" w:usb2="00000000" w:usb3="00000000" w:csb0="00040000" w:csb1="00000000"/>
    <w:embedRegular r:id="rId7" w:fontKey="{2F3875CB-EF70-4D4B-AD97-DCB2AFAB91F0}"/>
  </w:font>
  <w:font w:name="方正小标宋_GBK">
    <w:panose1 w:val="03000509000000000000"/>
    <w:charset w:val="86"/>
    <w:family w:val="script"/>
    <w:pitch w:val="default"/>
    <w:sig w:usb0="00000001" w:usb1="080E0000" w:usb2="00000000" w:usb3="00000000" w:csb0="00040000" w:csb1="00000000"/>
    <w:embedRegular r:id="rId8" w:fontKey="{7346C545-CBD6-499F-8A1C-0BFC596E37A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TrueType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yOGZmZWJiZjkzMTc5MjUxM2FlYjUzNmFjOTJhZmYifQ=="/>
    <w:docVar w:name="KSO_WPS_MARK_KEY" w:val="41ee2a61-2d54-4f93-83be-afdb9a40d732"/>
  </w:docVars>
  <w:rsids>
    <w:rsidRoot w:val="00000000"/>
    <w:rsid w:val="00213C59"/>
    <w:rsid w:val="003210CE"/>
    <w:rsid w:val="00B70D59"/>
    <w:rsid w:val="00F52A8D"/>
    <w:rsid w:val="019404F8"/>
    <w:rsid w:val="01ED22F2"/>
    <w:rsid w:val="02381F17"/>
    <w:rsid w:val="02BD3108"/>
    <w:rsid w:val="02F73D26"/>
    <w:rsid w:val="034D4FEF"/>
    <w:rsid w:val="035D1785"/>
    <w:rsid w:val="039F47CE"/>
    <w:rsid w:val="03E05CE8"/>
    <w:rsid w:val="03F973EE"/>
    <w:rsid w:val="043E5B56"/>
    <w:rsid w:val="04C04386"/>
    <w:rsid w:val="04D96608"/>
    <w:rsid w:val="04FA68C4"/>
    <w:rsid w:val="05305490"/>
    <w:rsid w:val="053F5AE6"/>
    <w:rsid w:val="057C0B0F"/>
    <w:rsid w:val="05EF4B48"/>
    <w:rsid w:val="05F76ECA"/>
    <w:rsid w:val="06792773"/>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D50C50"/>
    <w:rsid w:val="16E120E1"/>
    <w:rsid w:val="17385A05"/>
    <w:rsid w:val="173B3901"/>
    <w:rsid w:val="176747F9"/>
    <w:rsid w:val="17954A6E"/>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A15E62"/>
    <w:rsid w:val="1FED69B6"/>
    <w:rsid w:val="2064678E"/>
    <w:rsid w:val="20DC1AB9"/>
    <w:rsid w:val="20DD6197"/>
    <w:rsid w:val="212631E0"/>
    <w:rsid w:val="21A53757"/>
    <w:rsid w:val="221236C6"/>
    <w:rsid w:val="22D7662C"/>
    <w:rsid w:val="23326B7F"/>
    <w:rsid w:val="2380045B"/>
    <w:rsid w:val="23BC04D2"/>
    <w:rsid w:val="23DA0AD2"/>
    <w:rsid w:val="23EF1892"/>
    <w:rsid w:val="2483647E"/>
    <w:rsid w:val="24A32D55"/>
    <w:rsid w:val="25292727"/>
    <w:rsid w:val="252E5CA9"/>
    <w:rsid w:val="256F7692"/>
    <w:rsid w:val="25BA2154"/>
    <w:rsid w:val="25C8773F"/>
    <w:rsid w:val="264A7253"/>
    <w:rsid w:val="26F0170C"/>
    <w:rsid w:val="27201D62"/>
    <w:rsid w:val="27286E73"/>
    <w:rsid w:val="27CF2642"/>
    <w:rsid w:val="27E777F5"/>
    <w:rsid w:val="27EA1D4C"/>
    <w:rsid w:val="27EA2E41"/>
    <w:rsid w:val="282459E2"/>
    <w:rsid w:val="283A7FE5"/>
    <w:rsid w:val="285F51FF"/>
    <w:rsid w:val="28DF2665"/>
    <w:rsid w:val="29072599"/>
    <w:rsid w:val="291029F3"/>
    <w:rsid w:val="29CB58F0"/>
    <w:rsid w:val="2A053397"/>
    <w:rsid w:val="2A145E96"/>
    <w:rsid w:val="2A2131BB"/>
    <w:rsid w:val="2AF5378F"/>
    <w:rsid w:val="2BB94DBF"/>
    <w:rsid w:val="2C6F314E"/>
    <w:rsid w:val="2CC206BE"/>
    <w:rsid w:val="2D1136DF"/>
    <w:rsid w:val="2D20606D"/>
    <w:rsid w:val="2DB87198"/>
    <w:rsid w:val="2DB93C54"/>
    <w:rsid w:val="2E3D144C"/>
    <w:rsid w:val="2E891204"/>
    <w:rsid w:val="2F3F0A28"/>
    <w:rsid w:val="2FBF7029"/>
    <w:rsid w:val="2FD0187F"/>
    <w:rsid w:val="2FD27414"/>
    <w:rsid w:val="2FFE4BB0"/>
    <w:rsid w:val="300E7B60"/>
    <w:rsid w:val="300F6E18"/>
    <w:rsid w:val="30862F5F"/>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94FA0"/>
    <w:rsid w:val="380D3381"/>
    <w:rsid w:val="38115B1F"/>
    <w:rsid w:val="385E3AC3"/>
    <w:rsid w:val="387D6B9E"/>
    <w:rsid w:val="38B75FF0"/>
    <w:rsid w:val="38D45016"/>
    <w:rsid w:val="38D90432"/>
    <w:rsid w:val="3914510A"/>
    <w:rsid w:val="3926770B"/>
    <w:rsid w:val="398D3668"/>
    <w:rsid w:val="39DA0497"/>
    <w:rsid w:val="3A893816"/>
    <w:rsid w:val="3A893B6D"/>
    <w:rsid w:val="3AD1763A"/>
    <w:rsid w:val="3B6716E3"/>
    <w:rsid w:val="3B6C6B2D"/>
    <w:rsid w:val="3C242659"/>
    <w:rsid w:val="3C96719C"/>
    <w:rsid w:val="3CA72BE8"/>
    <w:rsid w:val="3CF37F8C"/>
    <w:rsid w:val="3D137554"/>
    <w:rsid w:val="3D5275AC"/>
    <w:rsid w:val="3DCC2473"/>
    <w:rsid w:val="3DEB0883"/>
    <w:rsid w:val="3E2527BF"/>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34E6957"/>
    <w:rsid w:val="43BA0E31"/>
    <w:rsid w:val="43C15147"/>
    <w:rsid w:val="43D411A1"/>
    <w:rsid w:val="43E14DD2"/>
    <w:rsid w:val="43F800E9"/>
    <w:rsid w:val="443A7E4B"/>
    <w:rsid w:val="452F5B3A"/>
    <w:rsid w:val="454E7FD2"/>
    <w:rsid w:val="46061BDC"/>
    <w:rsid w:val="461404F8"/>
    <w:rsid w:val="46413018"/>
    <w:rsid w:val="464B7E04"/>
    <w:rsid w:val="468041AA"/>
    <w:rsid w:val="468123C6"/>
    <w:rsid w:val="46901EEE"/>
    <w:rsid w:val="469C74D2"/>
    <w:rsid w:val="47445515"/>
    <w:rsid w:val="474B4782"/>
    <w:rsid w:val="47D90D14"/>
    <w:rsid w:val="48387FB0"/>
    <w:rsid w:val="483A6114"/>
    <w:rsid w:val="488727DB"/>
    <w:rsid w:val="48B82268"/>
    <w:rsid w:val="48C354B3"/>
    <w:rsid w:val="48D54C41"/>
    <w:rsid w:val="493D58B5"/>
    <w:rsid w:val="494A7A04"/>
    <w:rsid w:val="4A0A26D2"/>
    <w:rsid w:val="4A2019A5"/>
    <w:rsid w:val="4A241A0B"/>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8D0ED5"/>
    <w:rsid w:val="525C687F"/>
    <w:rsid w:val="52F647F7"/>
    <w:rsid w:val="52F92565"/>
    <w:rsid w:val="53D03877"/>
    <w:rsid w:val="53ED03DE"/>
    <w:rsid w:val="542F73CA"/>
    <w:rsid w:val="5430786D"/>
    <w:rsid w:val="545A1D2A"/>
    <w:rsid w:val="54C811C0"/>
    <w:rsid w:val="556A442D"/>
    <w:rsid w:val="55DA564E"/>
    <w:rsid w:val="55E816A3"/>
    <w:rsid w:val="5604127D"/>
    <w:rsid w:val="56166703"/>
    <w:rsid w:val="56510474"/>
    <w:rsid w:val="56861525"/>
    <w:rsid w:val="56A93273"/>
    <w:rsid w:val="56BD550C"/>
    <w:rsid w:val="56E07045"/>
    <w:rsid w:val="56FF28AF"/>
    <w:rsid w:val="57540E7D"/>
    <w:rsid w:val="577B4878"/>
    <w:rsid w:val="57926973"/>
    <w:rsid w:val="58175352"/>
    <w:rsid w:val="581F2200"/>
    <w:rsid w:val="583059FA"/>
    <w:rsid w:val="584A0929"/>
    <w:rsid w:val="58CD2491"/>
    <w:rsid w:val="591B41B2"/>
    <w:rsid w:val="59254A26"/>
    <w:rsid w:val="59326325"/>
    <w:rsid w:val="595C505B"/>
    <w:rsid w:val="595E55C3"/>
    <w:rsid w:val="596E7E20"/>
    <w:rsid w:val="5A60780B"/>
    <w:rsid w:val="5AB34579"/>
    <w:rsid w:val="5AFC6609"/>
    <w:rsid w:val="5B113480"/>
    <w:rsid w:val="5BD456CE"/>
    <w:rsid w:val="5C0D1F49"/>
    <w:rsid w:val="5C0F6136"/>
    <w:rsid w:val="5CBB0CE2"/>
    <w:rsid w:val="5CC17177"/>
    <w:rsid w:val="5CF306BC"/>
    <w:rsid w:val="5D3F3D64"/>
    <w:rsid w:val="5D833043"/>
    <w:rsid w:val="5DD92690"/>
    <w:rsid w:val="5DDB1CFD"/>
    <w:rsid w:val="5E7E6D93"/>
    <w:rsid w:val="5ED44800"/>
    <w:rsid w:val="5F350BDE"/>
    <w:rsid w:val="5F4A6CF9"/>
    <w:rsid w:val="5F61632C"/>
    <w:rsid w:val="5FA17648"/>
    <w:rsid w:val="5FE705CB"/>
    <w:rsid w:val="603D5080"/>
    <w:rsid w:val="60D0261B"/>
    <w:rsid w:val="618E3791"/>
    <w:rsid w:val="61947DCA"/>
    <w:rsid w:val="61A46A97"/>
    <w:rsid w:val="61D1382F"/>
    <w:rsid w:val="61F114A2"/>
    <w:rsid w:val="622B0ABA"/>
    <w:rsid w:val="62512BB4"/>
    <w:rsid w:val="625D7D1A"/>
    <w:rsid w:val="62DD7D21"/>
    <w:rsid w:val="637D586B"/>
    <w:rsid w:val="63A5560B"/>
    <w:rsid w:val="63E9091F"/>
    <w:rsid w:val="64150107"/>
    <w:rsid w:val="64322AF9"/>
    <w:rsid w:val="64D6010D"/>
    <w:rsid w:val="64D82665"/>
    <w:rsid w:val="64E47C96"/>
    <w:rsid w:val="651E5741"/>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B68175F"/>
    <w:rsid w:val="6BFD799F"/>
    <w:rsid w:val="6C4A2E5A"/>
    <w:rsid w:val="6C8138D0"/>
    <w:rsid w:val="6CEF0725"/>
    <w:rsid w:val="6D4B2604"/>
    <w:rsid w:val="6D8030E4"/>
    <w:rsid w:val="6E0E35C4"/>
    <w:rsid w:val="6E0F7A08"/>
    <w:rsid w:val="6E3947F5"/>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27B234E"/>
    <w:rsid w:val="72D068C7"/>
    <w:rsid w:val="72E42ED8"/>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70719AC"/>
    <w:rsid w:val="776526CC"/>
    <w:rsid w:val="77A262E1"/>
    <w:rsid w:val="77B13C33"/>
    <w:rsid w:val="77ED6F44"/>
    <w:rsid w:val="77F45548"/>
    <w:rsid w:val="784E7CA6"/>
    <w:rsid w:val="78574801"/>
    <w:rsid w:val="7873527F"/>
    <w:rsid w:val="790A6425"/>
    <w:rsid w:val="790E2D96"/>
    <w:rsid w:val="791B54B2"/>
    <w:rsid w:val="795A0A34"/>
    <w:rsid w:val="797339C3"/>
    <w:rsid w:val="79D57D57"/>
    <w:rsid w:val="79F00650"/>
    <w:rsid w:val="7A6242BF"/>
    <w:rsid w:val="7A794513"/>
    <w:rsid w:val="7AE952D2"/>
    <w:rsid w:val="7C7248A0"/>
    <w:rsid w:val="7C976D69"/>
    <w:rsid w:val="7CD752DA"/>
    <w:rsid w:val="7CDE40AB"/>
    <w:rsid w:val="7CF057E2"/>
    <w:rsid w:val="7D1548B5"/>
    <w:rsid w:val="7DF84014"/>
    <w:rsid w:val="7E207949"/>
    <w:rsid w:val="7E5C0A47"/>
    <w:rsid w:val="7E670C75"/>
    <w:rsid w:val="7EE24272"/>
    <w:rsid w:val="7EEA6053"/>
    <w:rsid w:val="7F487C04"/>
    <w:rsid w:val="7FB45F21"/>
    <w:rsid w:val="7FE57088"/>
    <w:rsid w:val="7FF37F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qFormat/>
    <w:uiPriority w:val="1"/>
    <w:rPr>
      <w:rFonts w:ascii="仿宋_GB2312" w:hAnsi="仿宋_GB2312" w:eastAsia="仿宋_GB2312" w:cs="仿宋_GB2312"/>
      <w:sz w:val="28"/>
      <w:szCs w:val="28"/>
      <w:lang w:val="zh-CN" w:eastAsia="zh-CN" w:bidi="zh-CN"/>
    </w:rPr>
  </w:style>
  <w:style w:type="paragraph" w:styleId="4">
    <w:name w:val="toc 3"/>
    <w:basedOn w:val="1"/>
    <w:next w:val="1"/>
    <w:qFormat/>
    <w:uiPriority w:val="0"/>
    <w:pPr>
      <w:ind w:left="840" w:leftChars="40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2">
    <w:name w:val="Strong"/>
    <w:basedOn w:val="11"/>
    <w:qFormat/>
    <w:uiPriority w:val="0"/>
    <w:rPr>
      <w:b/>
    </w:rPr>
  </w:style>
  <w:style w:type="paragraph" w:customStyle="1" w:styleId="13">
    <w:name w:val="WPSOffice手动目录 3"/>
    <w:qFormat/>
    <w:uiPriority w:val="0"/>
    <w:pPr>
      <w:ind w:leftChars="400"/>
    </w:pPr>
    <w:rPr>
      <w:rFonts w:ascii="Times New Roman" w:hAnsi="Times New Roman" w:eastAsia="宋体" w:cs="Times New Roman"/>
      <w:sz w:val="20"/>
      <w:szCs w:val="20"/>
    </w:rPr>
  </w:style>
  <w:style w:type="paragraph" w:customStyle="1" w:styleId="14">
    <w:name w:val="WPSOffice手动目录 2"/>
    <w:qFormat/>
    <w:uiPriority w:val="0"/>
    <w:pPr>
      <w:ind w:leftChars="200"/>
    </w:pPr>
    <w:rPr>
      <w:rFonts w:ascii="Times New Roman" w:hAnsi="Times New Roman" w:eastAsia="宋体" w:cs="Times New Roman"/>
      <w:sz w:val="20"/>
      <w:szCs w:val="20"/>
    </w:rPr>
  </w:style>
  <w:style w:type="paragraph" w:customStyle="1" w:styleId="15">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5439</Words>
  <Characters>6069</Characters>
  <Lines>0</Lines>
  <Paragraphs>0</Paragraphs>
  <TotalTime>1</TotalTime>
  <ScaleCrop>false</ScaleCrop>
  <LinksUpToDate>false</LinksUpToDate>
  <CharactersWithSpaces>6081</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dcterms:modified xsi:type="dcterms:W3CDTF">2024-08-28T10:51:49Z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D624B15633CD43C8BF9435464A96BF70</vt:lpwstr>
  </property>
  <property fmtid="{D5CDD505-2E9C-101B-9397-08002B2CF9AE}" pid="4" name="KSOSaveFontToCloudKey">
    <vt:lpwstr>378728392_embed</vt:lpwstr>
  </property>
</Properties>
</file>