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rPr>
          <w:rFonts w:hint="default" w:ascii="Times New Roman" w:hAnsi="Times New Roman" w:eastAsia="黑体" w:cs="Times New Roman"/>
          <w:sz w:val="32"/>
          <w:szCs w:val="32"/>
        </w:rPr>
      </w:pPr>
    </w:p>
    <w:p>
      <w:pPr>
        <w:jc w:val="center"/>
        <w:rPr>
          <w:rFonts w:hint="default" w:ascii="Times New Roman" w:hAnsi="Times New Roman" w:eastAsia="方正小标宋_GBK" w:cs="Times New Roman"/>
          <w:sz w:val="44"/>
          <w:szCs w:val="44"/>
        </w:rPr>
      </w:pPr>
    </w:p>
    <w:p>
      <w:pPr>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新疆维吾尔自治区老年大学2023年度</w:t>
      </w:r>
    </w:p>
    <w:p>
      <w:pPr>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部门决算公开说明</w:t>
      </w:r>
    </w:p>
    <w:p>
      <w:pP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br w:type="page"/>
      </w:r>
    </w:p>
    <w:p>
      <w:pPr>
        <w:jc w:val="center"/>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
          <w:kern w:val="0"/>
          <w:sz w:val="36"/>
          <w:szCs w:val="36"/>
        </w:rPr>
        <w:t>目  录</w:t>
      </w:r>
    </w:p>
    <w:p>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TOC \o "1-3" \n  \h \u </w:instrText>
      </w:r>
      <w:r>
        <w:rPr>
          <w:rFonts w:hint="default" w:ascii="Times New Roman" w:hAnsi="Times New Roman" w:eastAsia="仿宋_GB2312" w:cs="Times New Roman"/>
          <w:sz w:val="32"/>
          <w:szCs w:val="32"/>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"_Toc32314"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第一部分 单位概况</w:t>
      </w:r>
      <w:r>
        <w:rPr>
          <w:rFonts w:hint="default" w:ascii="Times New Roman" w:hAnsi="Times New Roman" w:eastAsia="仿宋_GB2312" w:cs="Times New Roman"/>
          <w:b/>
          <w:bCs/>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"_Toc30567"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一、主要职能</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"_Toc2151"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二、机构设置及人员情况</w:t>
      </w:r>
      <w:r>
        <w:rPr>
          <w:rFonts w:hint="default" w:ascii="Times New Roman" w:hAnsi="Times New Roman" w:eastAsia="仿宋_GB2312" w:cs="Times New Roman"/>
          <w:bCs/>
          <w:kern w:val="0"/>
          <w:sz w:val="32"/>
          <w:szCs w:val="32"/>
        </w:rPr>
        <w:fldChar w:fldCharType="end"/>
      </w:r>
    </w:p>
    <w:p>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"_Toc29374"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第二部分 部门决算情况说明</w:t>
      </w:r>
      <w:r>
        <w:rPr>
          <w:rFonts w:hint="default" w:ascii="Times New Roman" w:hAnsi="Times New Roman" w:eastAsia="仿宋_GB2312" w:cs="Times New Roman"/>
          <w:b/>
          <w:bCs/>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"_Toc25314"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一、收入支出决算总体情况说明</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"_Toc12142"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二、收入决算情况说明</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"_Toc13201"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三、支出决算情况说明</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"_Toc26564"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四、财政拨款收入支出决算总体情况说明</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"_Toc20360"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五、一般公共预算财政拨款支出决算情况说明</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"_Toc30870"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六、一般公共预算财政拨款基本支出决算情况说明</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"_Toc21518"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七、财政拨款“三公”经费支出决算情况说明</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"_Toc5810"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八、政府性基金预算财政拨款收入支出决算情况说明</w:t>
      </w:r>
      <w:r>
        <w:rPr>
          <w:rFonts w:hint="default" w:ascii="Times New Roman" w:hAnsi="Times New Roman" w:eastAsia="仿宋_GB2312" w:cs="Times New Roman"/>
          <w:bCs/>
          <w:kern w:val="0"/>
          <w:sz w:val="32"/>
          <w:szCs w:val="32"/>
        </w:rPr>
        <w:fldChar w:fldCharType="end"/>
      </w:r>
    </w:p>
    <w:p>
      <w:pPr>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"_Toc5810"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九、国有资本经营预算财政拨款收入支出决算情况说明</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"_Toc1235"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十</w:t>
      </w:r>
      <w:r>
        <w:rPr>
          <w:rFonts w:hint="default" w:ascii="Times New Roman" w:hAnsi="Times New Roman" w:eastAsia="仿宋_GB2312" w:cs="Times New Roman"/>
          <w:bCs/>
          <w:kern w:val="0"/>
          <w:sz w:val="32"/>
          <w:szCs w:val="32"/>
        </w:rPr>
        <w:t>、其他重要事项的情况说明</w:t>
      </w:r>
      <w:r>
        <w:rPr>
          <w:rFonts w:hint="default" w:ascii="Times New Roman" w:hAnsi="Times New Roman" w:eastAsia="仿宋_GB2312" w:cs="Times New Roman"/>
          <w:bCs/>
          <w:kern w:val="0"/>
          <w:sz w:val="32"/>
          <w:szCs w:val="32"/>
        </w:rPr>
        <w:fldChar w:fldCharType="end"/>
      </w:r>
    </w:p>
    <w:p>
      <w:pPr>
        <w:pStyle w:val="3"/>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"_Toc14519"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（一）机关运行经费支出情况</w:t>
      </w:r>
      <w:r>
        <w:rPr>
          <w:rFonts w:hint="default" w:ascii="Times New Roman" w:hAnsi="Times New Roman" w:eastAsia="仿宋_GB2312" w:cs="Times New Roman"/>
          <w:sz w:val="32"/>
          <w:szCs w:val="32"/>
        </w:rPr>
        <w:fldChar w:fldCharType="end"/>
      </w:r>
    </w:p>
    <w:p>
      <w:pPr>
        <w:pStyle w:val="3"/>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"_Toc227"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（二）政府采购情况</w:t>
      </w:r>
      <w:r>
        <w:rPr>
          <w:rFonts w:hint="default" w:ascii="Times New Roman" w:hAnsi="Times New Roman" w:eastAsia="仿宋_GB2312" w:cs="Times New Roman"/>
          <w:sz w:val="32"/>
          <w:szCs w:val="32"/>
        </w:rPr>
        <w:fldChar w:fldCharType="end"/>
      </w:r>
    </w:p>
    <w:p>
      <w:pPr>
        <w:pStyle w:val="3"/>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"_Toc8391"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（三）国有资产占用情况说明</w:t>
      </w:r>
      <w:r>
        <w:rPr>
          <w:rFonts w:hint="default" w:ascii="Times New Roman" w:hAnsi="Times New Roman" w:eastAsia="仿宋_GB2312" w:cs="Times New Roman"/>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"_Toc11283"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十一、预算绩效的情况说明</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十二、其他需说明的事项</w:t>
      </w:r>
    </w:p>
    <w:p>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"_Toc3250"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第三部分 专业名词解释</w:t>
      </w:r>
      <w:r>
        <w:rPr>
          <w:rFonts w:hint="default" w:ascii="Times New Roman" w:hAnsi="Times New Roman" w:eastAsia="仿宋_GB2312" w:cs="Times New Roman"/>
          <w:b/>
          <w:bCs/>
          <w:sz w:val="32"/>
          <w:szCs w:val="32"/>
        </w:rPr>
        <w:fldChar w:fldCharType="end"/>
      </w:r>
    </w:p>
    <w:p>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"_Toc22784"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第四部分 部门决算报表（见附表）</w:t>
      </w:r>
      <w:r>
        <w:rPr>
          <w:rFonts w:hint="default" w:ascii="Times New Roman" w:hAnsi="Times New Roman" w:eastAsia="仿宋_GB2312" w:cs="Times New Roman"/>
          <w:b/>
          <w:bCs/>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"_Toc2183"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一、《收入支出决算总表》</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"_Toc24532"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二、《收入决算表》</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"_Toc32434"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三、《支出决算表》</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"_Toc28786"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四、《财政拨款收入支出决算总表》</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"_Toc14869"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五、《一般公共预算财政拨款支出决算表》</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"_Toc8884"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六、《一般公共预算财政拨款基本支出决算表》</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"_Toc29106"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七、《财政拨款“三公”经费支出决算表》</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bCs/>
          <w:kern w:val="0"/>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"_Toc7643"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八、《政府性基金预算财政拨款收入支出决算表》</w:t>
      </w:r>
      <w:r>
        <w:rPr>
          <w:rFonts w:hint="default" w:ascii="Times New Roman" w:hAnsi="Times New Roman" w:eastAsia="仿宋_GB2312" w:cs="Times New Roman"/>
          <w:bCs/>
          <w:kern w:val="0"/>
          <w:sz w:val="32"/>
          <w:szCs w:val="32"/>
        </w:rPr>
        <w:fldChar w:fldCharType="end"/>
      </w:r>
    </w:p>
    <w:p>
      <w:pPr>
        <w:pStyle w:val="7"/>
        <w:tabs>
          <w:tab w:val="right" w:pos="8306"/>
        </w:tabs>
        <w:ind w:left="0" w:leftChars="0"/>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九、《国有资本经营预算财政拨款收入支出决算表》</w:t>
      </w:r>
    </w:p>
    <w:p>
      <w:pPr>
        <w:rPr>
          <w:rFonts w:hint="default" w:ascii="Times New Roman" w:hAnsi="Times New Roman" w:cs="Times New Roman"/>
        </w:rPr>
      </w:pPr>
      <w:r>
        <w:rPr>
          <w:rFonts w:hint="default" w:ascii="Times New Roman" w:hAnsi="Times New Roman" w:eastAsia="仿宋_GB2312" w:cs="Times New Roman"/>
          <w:sz w:val="32"/>
          <w:szCs w:val="32"/>
        </w:rPr>
        <w:fldChar w:fldCharType="end"/>
      </w: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br w:type="page"/>
      </w:r>
    </w:p>
    <w:p>
      <w:pPr>
        <w:jc w:val="center"/>
        <w:outlineLvl w:val="0"/>
        <w:rPr>
          <w:rFonts w:hint="default" w:ascii="Times New Roman" w:hAnsi="Times New Roman" w:eastAsia="黑体" w:cs="Times New Roman"/>
          <w:sz w:val="32"/>
          <w:szCs w:val="32"/>
        </w:rPr>
      </w:pPr>
      <w:bookmarkStart w:id="0" w:name="_Toc32314"/>
      <w:bookmarkStart w:id="1" w:name="_Toc24028"/>
      <w:r>
        <w:rPr>
          <w:rFonts w:hint="default" w:ascii="Times New Roman" w:hAnsi="Times New Roman" w:eastAsia="黑体" w:cs="Times New Roman"/>
          <w:sz w:val="32"/>
          <w:szCs w:val="32"/>
        </w:rPr>
        <w:t>第一部分 单位概况</w:t>
      </w:r>
      <w:bookmarkEnd w:id="0"/>
      <w:bookmarkEnd w:id="1"/>
    </w:p>
    <w:p>
      <w:pPr>
        <w:ind w:firstLine="640" w:firstLineChars="200"/>
        <w:outlineLvl w:val="1"/>
        <w:rPr>
          <w:rFonts w:hint="default" w:ascii="Times New Roman" w:hAnsi="Times New Roman" w:eastAsia="黑体" w:cs="Times New Roman"/>
          <w:bCs/>
          <w:kern w:val="0"/>
          <w:sz w:val="32"/>
          <w:szCs w:val="32"/>
        </w:rPr>
      </w:pPr>
      <w:bookmarkStart w:id="2" w:name="_Toc30567"/>
      <w:bookmarkStart w:id="3" w:name="_Toc30738"/>
      <w:r>
        <w:rPr>
          <w:rFonts w:hint="default" w:ascii="Times New Roman" w:hAnsi="Times New Roman" w:eastAsia="黑体" w:cs="Times New Roman"/>
          <w:bCs/>
          <w:kern w:val="0"/>
          <w:sz w:val="32"/>
          <w:szCs w:val="32"/>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kern w:val="0"/>
          <w:sz w:val="32"/>
          <w:szCs w:val="32"/>
          <w:highlight w:val="none"/>
        </w:rPr>
      </w:pPr>
      <w:bookmarkStart w:id="4" w:name="_Toc31238"/>
      <w:bookmarkStart w:id="5" w:name="_Toc2151"/>
      <w:r>
        <w:rPr>
          <w:rFonts w:hint="default" w:ascii="Times New Roman" w:hAnsi="Times New Roman" w:eastAsia="仿宋_GB2312" w:cs="Times New Roman"/>
          <w:sz w:val="32"/>
          <w:szCs w:val="32"/>
          <w:lang w:eastAsia="zh-CN"/>
        </w:rPr>
        <w:t>新</w:t>
      </w:r>
      <w:r>
        <w:rPr>
          <w:rFonts w:hint="default" w:ascii="Times New Roman" w:hAnsi="Times New Roman" w:eastAsia="仿宋_GB2312" w:cs="Times New Roman"/>
          <w:sz w:val="32"/>
          <w:szCs w:val="32"/>
        </w:rPr>
        <w:t>疆维吾尔自治区老年大学为老年人提供教育服务，提供老年教育相关社会服务。贯彻《老年教育发展规划》精神，坚持政治立校原则，牢固树立以老年学员为中心的思想，以规范化办学为目标，创新方法手段，提高教学管理水平，搭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老有所为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平台，努力建设成为示范引领作用强，办学</w:t>
      </w:r>
      <w:r>
        <w:rPr>
          <w:rFonts w:hint="default" w:ascii="Times New Roman" w:hAnsi="Times New Roman" w:eastAsia="仿宋_GB2312" w:cs="Times New Roman"/>
          <w:sz w:val="32"/>
          <w:szCs w:val="32"/>
          <w:highlight w:val="none"/>
        </w:rPr>
        <w:t>特色鲜明的新疆老年大学。</w:t>
      </w:r>
    </w:p>
    <w:p>
      <w:pPr>
        <w:ind w:firstLine="640" w:firstLineChars="200"/>
        <w:outlineLvl w:val="1"/>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二、机构设置及</w:t>
      </w:r>
      <w:bookmarkEnd w:id="4"/>
      <w:r>
        <w:rPr>
          <w:rFonts w:hint="default" w:ascii="Times New Roman" w:hAnsi="Times New Roman" w:eastAsia="黑体" w:cs="Times New Roman"/>
          <w:bCs/>
          <w:kern w:val="0"/>
          <w:sz w:val="32"/>
          <w:szCs w:val="32"/>
        </w:rPr>
        <w:t>人员情况</w:t>
      </w:r>
      <w:bookmarkEnd w:id="5"/>
    </w:p>
    <w:p>
      <w:pPr>
        <w:ind w:firstLine="640" w:firstLineChars="200"/>
        <w:jc w:val="left"/>
        <w:rPr>
          <w:rFonts w:hint="default" w:ascii="Times New Roman" w:hAnsi="Times New Roman" w:eastAsia="仿宋_GB2312" w:cs="Times New Roman"/>
          <w:b/>
          <w:sz w:val="32"/>
          <w:szCs w:val="32"/>
          <w:highlight w:val="none"/>
        </w:rPr>
      </w:pPr>
      <w:r>
        <w:rPr>
          <w:rFonts w:hint="default" w:ascii="Times New Roman" w:hAnsi="Times New Roman" w:eastAsia="仿宋_GB2312" w:cs="Times New Roman"/>
          <w:sz w:val="32"/>
          <w:szCs w:val="32"/>
          <w:highlight w:val="none"/>
        </w:rPr>
        <w:t>新疆维吾尔自治区老年大学2023年度，实有人数</w:t>
      </w:r>
      <w:r>
        <w:rPr>
          <w:rFonts w:hint="default" w:ascii="Times New Roman" w:hAnsi="Times New Roman" w:eastAsia="仿宋_GB2312" w:cs="Times New Roman"/>
          <w:sz w:val="32"/>
          <w:szCs w:val="32"/>
          <w:highlight w:val="none"/>
          <w:lang w:val="zh-CN"/>
        </w:rPr>
        <w:t>35</w:t>
      </w:r>
      <w:r>
        <w:rPr>
          <w:rFonts w:hint="default" w:ascii="Times New Roman" w:hAnsi="Times New Roman" w:eastAsia="仿宋_GB2312" w:cs="Times New Roman"/>
          <w:sz w:val="32"/>
          <w:szCs w:val="32"/>
          <w:highlight w:val="none"/>
        </w:rPr>
        <w:t>人，其中：在职人员</w:t>
      </w:r>
      <w:r>
        <w:rPr>
          <w:rFonts w:hint="default" w:ascii="Times New Roman" w:hAnsi="Times New Roman" w:eastAsia="仿宋_GB2312" w:cs="Times New Roman"/>
          <w:sz w:val="32"/>
          <w:szCs w:val="32"/>
          <w:highlight w:val="none"/>
          <w:lang w:val="zh-CN"/>
        </w:rPr>
        <w:t>28</w:t>
      </w:r>
      <w:r>
        <w:rPr>
          <w:rFonts w:hint="default" w:ascii="Times New Roman" w:hAnsi="Times New Roman" w:eastAsia="仿宋_GB2312" w:cs="Times New Roman"/>
          <w:sz w:val="32"/>
          <w:szCs w:val="32"/>
          <w:highlight w:val="none"/>
        </w:rPr>
        <w:t>人，离休人员</w:t>
      </w:r>
      <w:r>
        <w:rPr>
          <w:rFonts w:hint="default" w:ascii="Times New Roman" w:hAnsi="Times New Roman" w:eastAsia="仿宋_GB2312" w:cs="Times New Roman"/>
          <w:sz w:val="32"/>
          <w:szCs w:val="32"/>
          <w:highlight w:val="none"/>
          <w:lang w:val="zh-CN"/>
        </w:rPr>
        <w:t>0</w:t>
      </w:r>
      <w:r>
        <w:rPr>
          <w:rFonts w:hint="default" w:ascii="Times New Roman" w:hAnsi="Times New Roman" w:eastAsia="仿宋_GB2312" w:cs="Times New Roman"/>
          <w:sz w:val="32"/>
          <w:szCs w:val="32"/>
          <w:highlight w:val="none"/>
        </w:rPr>
        <w:t>人，退休人员</w:t>
      </w:r>
      <w:r>
        <w:rPr>
          <w:rFonts w:hint="default" w:ascii="Times New Roman" w:hAnsi="Times New Roman" w:eastAsia="仿宋_GB2312" w:cs="Times New Roman"/>
          <w:sz w:val="32"/>
          <w:szCs w:val="32"/>
          <w:highlight w:val="none"/>
          <w:lang w:val="zh-CN"/>
        </w:rPr>
        <w:t>7</w:t>
      </w:r>
      <w:r>
        <w:rPr>
          <w:rFonts w:hint="default" w:ascii="Times New Roman" w:hAnsi="Times New Roman" w:eastAsia="仿宋_GB2312" w:cs="Times New Roman"/>
          <w:sz w:val="32"/>
          <w:szCs w:val="32"/>
          <w:highlight w:val="none"/>
        </w:rPr>
        <w:t>人。</w:t>
      </w:r>
    </w:p>
    <w:p>
      <w:pPr>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Cs/>
          <w:kern w:val="0"/>
          <w:sz w:val="32"/>
          <w:szCs w:val="32"/>
          <w:highlight w:val="none"/>
        </w:rPr>
        <w:t>单位无下属预算单位，下设</w:t>
      </w:r>
      <w:r>
        <w:rPr>
          <w:rFonts w:hint="default" w:ascii="Times New Roman" w:hAnsi="Times New Roman" w:eastAsia="仿宋_GB2312" w:cs="Times New Roman"/>
          <w:sz w:val="32"/>
          <w:szCs w:val="32"/>
          <w:highlight w:val="none"/>
        </w:rPr>
        <w:t>5</w:t>
      </w:r>
      <w:r>
        <w:rPr>
          <w:rFonts w:hint="default" w:ascii="Times New Roman" w:hAnsi="Times New Roman" w:eastAsia="仿宋_GB2312" w:cs="Times New Roman"/>
          <w:bCs/>
          <w:kern w:val="0"/>
          <w:sz w:val="32"/>
          <w:szCs w:val="32"/>
          <w:highlight w:val="none"/>
        </w:rPr>
        <w:t>个处室，分别是：办公室、教务处、教研室、老年健康促进处、总务处</w:t>
      </w:r>
      <w:r>
        <w:rPr>
          <w:rFonts w:hint="default" w:ascii="Times New Roman" w:hAnsi="Times New Roman" w:eastAsia="仿宋_GB2312" w:cs="Times New Roman"/>
          <w:kern w:val="0"/>
          <w:sz w:val="32"/>
          <w:szCs w:val="32"/>
          <w:highlight w:val="none"/>
        </w:rPr>
        <w:t>。</w:t>
      </w:r>
    </w:p>
    <w:p>
      <w:pPr>
        <w:ind w:firstLine="640" w:firstLineChars="200"/>
        <w:rPr>
          <w:rFonts w:hint="default" w:ascii="Times New Roman" w:hAnsi="Times New Roman" w:eastAsia="仿宋_GB2312" w:cs="Times New Roman"/>
          <w:kern w:val="0"/>
          <w:sz w:val="32"/>
          <w:szCs w:val="32"/>
        </w:rPr>
        <w:sectPr>
          <w:footerReference r:id="rId3" w:type="default"/>
          <w:pgSz w:w="11906" w:h="16838"/>
          <w:pgMar w:top="1440" w:right="1800" w:bottom="1440" w:left="1800" w:header="851" w:footer="992" w:gutter="0"/>
          <w:cols w:space="720" w:num="1"/>
          <w:docGrid w:type="lines" w:linePitch="312" w:charSpace="0"/>
        </w:sectPr>
      </w:pPr>
    </w:p>
    <w:p>
      <w:pPr>
        <w:jc w:val="center"/>
        <w:outlineLvl w:val="0"/>
        <w:rPr>
          <w:rFonts w:hint="default" w:ascii="Times New Roman" w:hAnsi="Times New Roman" w:eastAsia="黑体" w:cs="Times New Roman"/>
          <w:sz w:val="32"/>
          <w:szCs w:val="32"/>
        </w:rPr>
      </w:pPr>
      <w:bookmarkStart w:id="6" w:name="_Toc3092"/>
      <w:bookmarkStart w:id="7" w:name="_Toc29374"/>
      <w:r>
        <w:rPr>
          <w:rFonts w:hint="default" w:ascii="Times New Roman" w:hAnsi="Times New Roman" w:eastAsia="黑体" w:cs="Times New Roman"/>
          <w:sz w:val="32"/>
          <w:szCs w:val="32"/>
        </w:rPr>
        <w:t>第二部分 部门决算情况说明</w:t>
      </w:r>
      <w:bookmarkEnd w:id="6"/>
      <w:bookmarkEnd w:id="7"/>
    </w:p>
    <w:p>
      <w:pPr>
        <w:ind w:firstLine="640" w:firstLineChars="200"/>
        <w:outlineLvl w:val="1"/>
        <w:rPr>
          <w:rFonts w:hint="default" w:ascii="Times New Roman" w:hAnsi="Times New Roman" w:eastAsia="黑体" w:cs="Times New Roman"/>
          <w:bCs/>
          <w:kern w:val="0"/>
          <w:sz w:val="32"/>
          <w:szCs w:val="32"/>
        </w:rPr>
      </w:pPr>
      <w:bookmarkStart w:id="8" w:name="_Toc25314"/>
      <w:bookmarkStart w:id="9" w:name="_Toc12566"/>
      <w:r>
        <w:rPr>
          <w:rFonts w:hint="default" w:ascii="Times New Roman" w:hAnsi="Times New Roman" w:eastAsia="黑体" w:cs="Times New Roman"/>
          <w:bCs/>
          <w:kern w:val="0"/>
          <w:sz w:val="32"/>
          <w:szCs w:val="32"/>
        </w:rPr>
        <w:t>一、收入支出决算总体情况说明</w:t>
      </w:r>
      <w:bookmarkEnd w:id="8"/>
      <w:bookmarkEnd w:id="9"/>
    </w:p>
    <w:p>
      <w:pPr>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2023年度收入总计982.21万元，</w:t>
      </w:r>
      <w:r>
        <w:rPr>
          <w:rFonts w:hint="default" w:ascii="Times New Roman" w:hAnsi="Times New Roman" w:eastAsia="仿宋_GB2312" w:cs="Times New Roman"/>
          <w:sz w:val="32"/>
          <w:szCs w:val="32"/>
        </w:rPr>
        <w:t>其中：本年收入合计967.72万元，使用非财政拨款结余0.00万元，年初结转和结余14.49万元。</w:t>
      </w:r>
    </w:p>
    <w:p>
      <w:pPr>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2023年度支出总计982.21万元，</w:t>
      </w:r>
      <w:r>
        <w:rPr>
          <w:rFonts w:hint="default" w:ascii="Times New Roman" w:hAnsi="Times New Roman" w:eastAsia="仿宋_GB2312" w:cs="Times New Roman"/>
          <w:sz w:val="32"/>
          <w:szCs w:val="32"/>
        </w:rPr>
        <w:t>其中：本年支出合计973.1</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万元，结余分配0.00万元，年末结转和结余9.11万元。</w:t>
      </w:r>
    </w:p>
    <w:p>
      <w:pPr>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收入支出总体与上年相比，</w:t>
      </w:r>
      <w:r>
        <w:rPr>
          <w:rFonts w:hint="default" w:ascii="Times New Roman" w:hAnsi="Times New Roman" w:eastAsia="仿宋_GB2312" w:cs="Times New Roman"/>
          <w:sz w:val="32"/>
          <w:szCs w:val="32"/>
        </w:rPr>
        <w:t>增加41.66万元，增长4.43%，主要原因是：本年度因社保公积金基数调整导致当年收入增加。</w:t>
      </w:r>
    </w:p>
    <w:p>
      <w:pPr>
        <w:ind w:firstLine="640" w:firstLineChars="200"/>
        <w:jc w:val="left"/>
        <w:outlineLvl w:val="1"/>
        <w:rPr>
          <w:rFonts w:hint="default" w:ascii="Times New Roman" w:hAnsi="Times New Roman" w:eastAsia="黑体" w:cs="Times New Roman"/>
          <w:bCs/>
          <w:kern w:val="0"/>
          <w:sz w:val="32"/>
          <w:szCs w:val="32"/>
        </w:rPr>
      </w:pPr>
      <w:bookmarkStart w:id="10" w:name="_Toc1979"/>
      <w:bookmarkStart w:id="11" w:name="_Toc12142"/>
      <w:r>
        <w:rPr>
          <w:rFonts w:hint="default" w:ascii="Times New Roman" w:hAnsi="Times New Roman" w:eastAsia="黑体" w:cs="Times New Roman"/>
          <w:bCs/>
          <w:kern w:val="0"/>
          <w:sz w:val="32"/>
          <w:szCs w:val="32"/>
        </w:rPr>
        <w:t>二、收入决算情况说明</w:t>
      </w:r>
      <w:bookmarkEnd w:id="10"/>
      <w:bookmarkEnd w:id="11"/>
    </w:p>
    <w:p>
      <w:pPr>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本年收入967.72万元，</w:t>
      </w:r>
      <w:r>
        <w:rPr>
          <w:rFonts w:hint="default" w:ascii="Times New Roman" w:hAnsi="Times New Roman" w:eastAsia="仿宋_GB2312" w:cs="Times New Roman"/>
          <w:sz w:val="32"/>
          <w:szCs w:val="32"/>
        </w:rPr>
        <w:t>其中：财政拨款收入</w:t>
      </w:r>
      <w:r>
        <w:rPr>
          <w:rFonts w:hint="default" w:ascii="Times New Roman" w:hAnsi="Times New Roman" w:eastAsia="仿宋_GB2312" w:cs="Times New Roman"/>
          <w:sz w:val="32"/>
          <w:szCs w:val="32"/>
          <w:lang w:val="zh-CN"/>
        </w:rPr>
        <w:t>960.</w:t>
      </w:r>
      <w:r>
        <w:rPr>
          <w:rFonts w:hint="default" w:ascii="Times New Roman" w:hAnsi="Times New Roman" w:eastAsia="仿宋_GB2312" w:cs="Times New Roman"/>
          <w:sz w:val="32"/>
          <w:szCs w:val="32"/>
          <w:lang w:val="en-US" w:eastAsia="zh-CN"/>
        </w:rPr>
        <w:t>15</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99.22</w:t>
      </w:r>
      <w:r>
        <w:rPr>
          <w:rFonts w:hint="default" w:ascii="Times New Roman" w:hAnsi="Times New Roman" w:eastAsia="仿宋_GB2312" w:cs="Times New Roman"/>
          <w:sz w:val="32"/>
          <w:szCs w:val="32"/>
        </w:rPr>
        <w:t>%；上级补助收入</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%；事业收入</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%；经营收入</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%；附属单位上缴收入</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0.00</w:t>
      </w:r>
      <w:r>
        <w:rPr>
          <w:rFonts w:hint="default" w:ascii="Times New Roman" w:hAnsi="Times New Roman" w:eastAsia="仿宋_GB2312" w:cs="Times New Roman"/>
          <w:sz w:val="32"/>
          <w:szCs w:val="32"/>
        </w:rPr>
        <w:t>%；其他收入</w:t>
      </w:r>
      <w:r>
        <w:rPr>
          <w:rFonts w:hint="default" w:ascii="Times New Roman" w:hAnsi="Times New Roman" w:eastAsia="仿宋_GB2312" w:cs="Times New Roman"/>
          <w:sz w:val="32"/>
          <w:szCs w:val="32"/>
          <w:lang w:val="zh-CN"/>
        </w:rPr>
        <w:t>7.56</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rPr>
        <w:t>0.78</w:t>
      </w:r>
      <w:r>
        <w:rPr>
          <w:rFonts w:hint="default" w:ascii="Times New Roman" w:hAnsi="Times New Roman" w:eastAsia="仿宋_GB2312" w:cs="Times New Roman"/>
          <w:sz w:val="32"/>
          <w:szCs w:val="32"/>
        </w:rPr>
        <w:t>%。</w:t>
      </w:r>
    </w:p>
    <w:p>
      <w:pPr>
        <w:ind w:firstLine="640" w:firstLineChars="200"/>
        <w:jc w:val="left"/>
        <w:outlineLvl w:val="1"/>
        <w:rPr>
          <w:rFonts w:hint="default" w:ascii="Times New Roman" w:hAnsi="Times New Roman" w:eastAsia="黑体" w:cs="Times New Roman"/>
          <w:bCs/>
          <w:kern w:val="0"/>
          <w:sz w:val="32"/>
          <w:szCs w:val="32"/>
        </w:rPr>
      </w:pPr>
      <w:bookmarkStart w:id="12" w:name="_Toc13201"/>
      <w:bookmarkStart w:id="13" w:name="_Toc27961"/>
      <w:r>
        <w:rPr>
          <w:rFonts w:hint="default" w:ascii="Times New Roman" w:hAnsi="Times New Roman" w:eastAsia="黑体" w:cs="Times New Roman"/>
          <w:bCs/>
          <w:kern w:val="0"/>
          <w:sz w:val="32"/>
          <w:szCs w:val="32"/>
        </w:rPr>
        <w:t>三、支出决算情况说明</w:t>
      </w:r>
      <w:bookmarkEnd w:id="12"/>
      <w:bookmarkEnd w:id="13"/>
    </w:p>
    <w:p>
      <w:pPr>
        <w:ind w:firstLine="643" w:firstLineChars="200"/>
        <w:jc w:val="left"/>
        <w:rPr>
          <w:rFonts w:hint="default" w:ascii="Times New Roman" w:hAnsi="Times New Roman" w:eastAsia="仿宋_GB2312" w:cs="Times New Roman"/>
          <w:sz w:val="30"/>
          <w:szCs w:val="30"/>
          <w:lang w:val="zh-CN"/>
        </w:rPr>
      </w:pPr>
      <w:r>
        <w:rPr>
          <w:rFonts w:hint="default" w:ascii="Times New Roman" w:hAnsi="Times New Roman" w:eastAsia="仿宋_GB2312" w:cs="Times New Roman"/>
          <w:b/>
          <w:bCs/>
          <w:sz w:val="32"/>
          <w:szCs w:val="32"/>
          <w:lang w:val="zh-CN"/>
        </w:rPr>
        <w:t>本年支出973.</w:t>
      </w:r>
      <w:r>
        <w:rPr>
          <w:rFonts w:hint="default" w:ascii="Times New Roman" w:hAnsi="Times New Roman" w:eastAsia="仿宋_GB2312" w:cs="Times New Roman"/>
          <w:b/>
          <w:bCs/>
          <w:sz w:val="32"/>
          <w:szCs w:val="32"/>
          <w:lang w:val="en-US" w:eastAsia="zh-CN"/>
        </w:rPr>
        <w:t>11</w:t>
      </w:r>
      <w:r>
        <w:rPr>
          <w:rFonts w:hint="default" w:ascii="Times New Roman" w:hAnsi="Times New Roman" w:eastAsia="仿宋_GB2312" w:cs="Times New Roman"/>
          <w:b/>
          <w:bCs/>
          <w:sz w:val="32"/>
          <w:szCs w:val="32"/>
          <w:lang w:val="zh-CN"/>
        </w:rPr>
        <w:t>万元，</w:t>
      </w:r>
      <w:r>
        <w:rPr>
          <w:rFonts w:hint="default" w:ascii="Times New Roman" w:hAnsi="Times New Roman" w:eastAsia="仿宋_GB2312" w:cs="Times New Roman"/>
          <w:sz w:val="32"/>
          <w:szCs w:val="32"/>
          <w:lang w:val="zh-CN"/>
        </w:rPr>
        <w:t>其中：基本支出539.15万元，占55.41%；项目支出433.95万元，占44.59%；上缴上级支出0.00万元，占0.00%；经营支出0.00万元，占0.00%；对附属单位补助支出0.00万元，占0.00%。</w:t>
      </w:r>
    </w:p>
    <w:p>
      <w:pPr>
        <w:ind w:firstLine="640" w:firstLineChars="200"/>
        <w:jc w:val="left"/>
        <w:outlineLvl w:val="1"/>
        <w:rPr>
          <w:rFonts w:hint="default" w:ascii="Times New Roman" w:hAnsi="Times New Roman" w:eastAsia="黑体" w:cs="Times New Roman"/>
          <w:bCs/>
          <w:kern w:val="0"/>
          <w:sz w:val="32"/>
          <w:szCs w:val="32"/>
        </w:rPr>
      </w:pPr>
      <w:bookmarkStart w:id="14" w:name="_Toc26564"/>
      <w:bookmarkStart w:id="15" w:name="_Toc4393"/>
      <w:r>
        <w:rPr>
          <w:rFonts w:hint="default" w:ascii="Times New Roman" w:hAnsi="Times New Roman" w:eastAsia="黑体" w:cs="Times New Roman"/>
          <w:bCs/>
          <w:kern w:val="0"/>
          <w:sz w:val="32"/>
          <w:szCs w:val="32"/>
        </w:rPr>
        <w:t>四、财政拨款收入支出决算总体情况说明</w:t>
      </w:r>
      <w:bookmarkEnd w:id="14"/>
      <w:bookmarkEnd w:id="15"/>
    </w:p>
    <w:p>
      <w:pPr>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2023年度财政拨款收入总计</w:t>
      </w:r>
      <w:r>
        <w:rPr>
          <w:rFonts w:hint="default" w:ascii="Times New Roman" w:hAnsi="Times New Roman" w:eastAsia="仿宋_GB2312" w:cs="Times New Roman"/>
          <w:b/>
          <w:bCs/>
          <w:sz w:val="32"/>
          <w:szCs w:val="32"/>
          <w:lang w:val="zh-CN"/>
        </w:rPr>
        <w:t>965.07</w:t>
      </w:r>
      <w:r>
        <w:rPr>
          <w:rFonts w:hint="default" w:ascii="Times New Roman" w:hAnsi="Times New Roman" w:eastAsia="仿宋_GB2312" w:cs="Times New Roman"/>
          <w:b/>
          <w:bCs/>
          <w:sz w:val="32"/>
          <w:szCs w:val="32"/>
        </w:rPr>
        <w:t>万元，</w:t>
      </w:r>
      <w:r>
        <w:rPr>
          <w:rFonts w:hint="default" w:ascii="Times New Roman" w:hAnsi="Times New Roman" w:eastAsia="仿宋_GB2312" w:cs="Times New Roman"/>
          <w:sz w:val="32"/>
          <w:szCs w:val="32"/>
        </w:rPr>
        <w:t>其中：年初财政拨款结转和结余</w:t>
      </w:r>
      <w:r>
        <w:rPr>
          <w:rFonts w:hint="default" w:ascii="Times New Roman" w:hAnsi="Times New Roman" w:eastAsia="仿宋_GB2312" w:cs="Times New Roman"/>
          <w:sz w:val="32"/>
          <w:szCs w:val="32"/>
          <w:lang w:val="zh-CN"/>
        </w:rPr>
        <w:t>4.92</w:t>
      </w:r>
      <w:r>
        <w:rPr>
          <w:rFonts w:hint="default" w:ascii="Times New Roman" w:hAnsi="Times New Roman" w:eastAsia="仿宋_GB2312" w:cs="Times New Roman"/>
          <w:sz w:val="32"/>
          <w:szCs w:val="32"/>
        </w:rPr>
        <w:t>万元，本年财政拨款收入</w:t>
      </w:r>
      <w:r>
        <w:rPr>
          <w:rFonts w:hint="default" w:ascii="Times New Roman" w:hAnsi="Times New Roman" w:eastAsia="仿宋_GB2312" w:cs="Times New Roman"/>
          <w:sz w:val="32"/>
          <w:szCs w:val="32"/>
          <w:lang w:val="zh-CN"/>
        </w:rPr>
        <w:t>960.15</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b/>
          <w:bCs/>
          <w:sz w:val="32"/>
          <w:szCs w:val="32"/>
        </w:rPr>
        <w:t>财政拨款支出总计</w:t>
      </w:r>
      <w:r>
        <w:rPr>
          <w:rFonts w:hint="default" w:ascii="Times New Roman" w:hAnsi="Times New Roman" w:eastAsia="仿宋_GB2312" w:cs="Times New Roman"/>
          <w:b/>
          <w:bCs/>
          <w:sz w:val="32"/>
          <w:szCs w:val="32"/>
          <w:lang w:val="zh-CN"/>
        </w:rPr>
        <w:t>965.07</w:t>
      </w:r>
      <w:r>
        <w:rPr>
          <w:rFonts w:hint="default" w:ascii="Times New Roman" w:hAnsi="Times New Roman" w:eastAsia="仿宋_GB2312" w:cs="Times New Roman"/>
          <w:b/>
          <w:bCs/>
          <w:sz w:val="32"/>
          <w:szCs w:val="32"/>
        </w:rPr>
        <w:t>万元，</w:t>
      </w:r>
      <w:r>
        <w:rPr>
          <w:rFonts w:hint="default" w:ascii="Times New Roman" w:hAnsi="Times New Roman" w:eastAsia="仿宋_GB2312" w:cs="Times New Roman"/>
          <w:sz w:val="32"/>
          <w:szCs w:val="32"/>
        </w:rPr>
        <w:t>其中：年末财政拨款结转和结余</w:t>
      </w:r>
      <w:r>
        <w:rPr>
          <w:rFonts w:hint="default" w:ascii="Times New Roman" w:hAnsi="Times New Roman" w:eastAsia="仿宋_GB2312" w:cs="Times New Roman"/>
          <w:sz w:val="32"/>
          <w:szCs w:val="32"/>
          <w:lang w:val="zh-CN"/>
        </w:rPr>
        <w:t>4.92</w:t>
      </w:r>
      <w:r>
        <w:rPr>
          <w:rFonts w:hint="default" w:ascii="Times New Roman" w:hAnsi="Times New Roman" w:eastAsia="仿宋_GB2312" w:cs="Times New Roman"/>
          <w:sz w:val="32"/>
          <w:szCs w:val="32"/>
        </w:rPr>
        <w:t>万元，本年财政拨款支出</w:t>
      </w:r>
      <w:r>
        <w:rPr>
          <w:rFonts w:hint="default" w:ascii="Times New Roman" w:hAnsi="Times New Roman" w:eastAsia="仿宋_GB2312" w:cs="Times New Roman"/>
          <w:sz w:val="32"/>
          <w:szCs w:val="32"/>
          <w:lang w:val="zh-CN"/>
        </w:rPr>
        <w:t>960.15</w:t>
      </w:r>
      <w:r>
        <w:rPr>
          <w:rFonts w:hint="default" w:ascii="Times New Roman" w:hAnsi="Times New Roman" w:eastAsia="仿宋_GB2312" w:cs="Times New Roman"/>
          <w:sz w:val="32"/>
          <w:szCs w:val="32"/>
        </w:rPr>
        <w:t>万元。</w:t>
      </w:r>
    </w:p>
    <w:p>
      <w:pPr>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财政拨款收入支出总体与上年相比,</w:t>
      </w:r>
      <w:r>
        <w:rPr>
          <w:rFonts w:hint="default" w:ascii="Times New Roman" w:hAnsi="Times New Roman" w:eastAsia="仿宋_GB2312" w:cs="Times New Roman"/>
          <w:sz w:val="32"/>
          <w:szCs w:val="32"/>
          <w:lang w:val="zh-CN"/>
        </w:rPr>
        <w:t>增加34.09万元</w:t>
      </w:r>
      <w:r>
        <w:rPr>
          <w:rFonts w:hint="default" w:ascii="Times New Roman" w:hAnsi="Times New Roman" w:eastAsia="仿宋_GB2312" w:cs="Times New Roman"/>
          <w:sz w:val="32"/>
          <w:szCs w:val="32"/>
        </w:rPr>
        <w:t>，增长3.66%,主要原因是：本年度因社保公积金基数调整导致当年收入增加。</w:t>
      </w:r>
      <w:r>
        <w:rPr>
          <w:rFonts w:hint="default" w:ascii="Times New Roman" w:hAnsi="Times New Roman" w:eastAsia="仿宋_GB2312" w:cs="Times New Roman"/>
          <w:b/>
          <w:bCs/>
          <w:sz w:val="32"/>
          <w:szCs w:val="32"/>
        </w:rPr>
        <w:t>与年初预算相比，</w:t>
      </w:r>
      <w:r>
        <w:rPr>
          <w:rFonts w:hint="default" w:ascii="Times New Roman" w:hAnsi="Times New Roman" w:eastAsia="仿宋_GB2312" w:cs="Times New Roman"/>
          <w:sz w:val="32"/>
          <w:szCs w:val="32"/>
        </w:rPr>
        <w:t>年初预算数</w:t>
      </w:r>
      <w:r>
        <w:rPr>
          <w:rFonts w:hint="default" w:ascii="Times New Roman" w:hAnsi="Times New Roman" w:eastAsia="仿宋_GB2312" w:cs="Times New Roman"/>
          <w:sz w:val="32"/>
          <w:szCs w:val="32"/>
          <w:lang w:val="zh-CN"/>
        </w:rPr>
        <w:t>919.02</w:t>
      </w:r>
      <w:r>
        <w:rPr>
          <w:rFonts w:hint="default" w:ascii="Times New Roman" w:hAnsi="Times New Roman" w:eastAsia="仿宋_GB2312" w:cs="Times New Roman"/>
          <w:sz w:val="32"/>
          <w:szCs w:val="32"/>
        </w:rPr>
        <w:t>万元，决算数</w:t>
      </w:r>
      <w:r>
        <w:rPr>
          <w:rFonts w:hint="default" w:ascii="Times New Roman" w:hAnsi="Times New Roman" w:eastAsia="仿宋_GB2312" w:cs="Times New Roman"/>
          <w:sz w:val="32"/>
          <w:szCs w:val="32"/>
          <w:lang w:val="zh-CN"/>
        </w:rPr>
        <w:t>965.07</w:t>
      </w:r>
      <w:r>
        <w:rPr>
          <w:rFonts w:hint="default" w:ascii="Times New Roman" w:hAnsi="Times New Roman" w:eastAsia="仿宋_GB2312" w:cs="Times New Roman"/>
          <w:sz w:val="32"/>
          <w:szCs w:val="32"/>
        </w:rPr>
        <w:t>万元，预决算差异率5.01%，主要原因是：我单位本年度使用部分上年度结转结余资金，导致预决算存在差异。</w:t>
      </w:r>
    </w:p>
    <w:p>
      <w:pPr>
        <w:ind w:firstLine="640" w:firstLineChars="200"/>
        <w:jc w:val="left"/>
        <w:outlineLvl w:val="1"/>
        <w:rPr>
          <w:rFonts w:hint="default" w:ascii="Times New Roman" w:hAnsi="Times New Roman" w:eastAsia="黑体" w:cs="Times New Roman"/>
          <w:bCs/>
          <w:kern w:val="0"/>
          <w:sz w:val="32"/>
          <w:szCs w:val="32"/>
        </w:rPr>
      </w:pPr>
      <w:bookmarkStart w:id="16" w:name="_Toc13833"/>
      <w:bookmarkStart w:id="17" w:name="_Toc20360"/>
      <w:r>
        <w:rPr>
          <w:rFonts w:hint="default" w:ascii="Times New Roman" w:hAnsi="Times New Roman" w:eastAsia="黑体" w:cs="Times New Roman"/>
          <w:bCs/>
          <w:kern w:val="0"/>
          <w:sz w:val="32"/>
          <w:szCs w:val="32"/>
        </w:rPr>
        <w:t>五、一般公共预算财政拨款支出决算情况说明</w:t>
      </w:r>
      <w:bookmarkEnd w:id="16"/>
      <w:bookmarkEnd w:id="17"/>
    </w:p>
    <w:p>
      <w:p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（一）一般公共预算财政拨款支出决算总体情况</w:t>
      </w:r>
    </w:p>
    <w:p>
      <w:pPr>
        <w:spacing w:line="600" w:lineRule="exact"/>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2023年度一般公共预算财政拨款支出960.15万元，</w:t>
      </w:r>
      <w:r>
        <w:rPr>
          <w:rFonts w:hint="default" w:ascii="Times New Roman" w:hAnsi="Times New Roman" w:eastAsia="仿宋_GB2312" w:cs="Times New Roman"/>
          <w:sz w:val="32"/>
          <w:szCs w:val="32"/>
        </w:rPr>
        <w:t>占本年支出合计的</w:t>
      </w:r>
      <w:r>
        <w:rPr>
          <w:rFonts w:hint="default" w:ascii="Times New Roman" w:hAnsi="Times New Roman" w:eastAsia="仿宋_GB2312" w:cs="Times New Roman"/>
          <w:sz w:val="32"/>
          <w:szCs w:val="32"/>
          <w:lang w:val="zh-CN"/>
        </w:rPr>
        <w:t>98.67%</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rPr>
        <w:t>与上年相比，</w:t>
      </w:r>
      <w:r>
        <w:rPr>
          <w:rFonts w:hint="default" w:ascii="Times New Roman" w:hAnsi="Times New Roman" w:eastAsia="仿宋_GB2312" w:cs="Times New Roman"/>
          <w:sz w:val="32"/>
          <w:szCs w:val="32"/>
          <w:lang w:val="zh-CN"/>
        </w:rPr>
        <w:t>增加34.09万元</w:t>
      </w:r>
      <w:r>
        <w:rPr>
          <w:rFonts w:hint="default" w:ascii="Times New Roman" w:hAnsi="Times New Roman" w:eastAsia="仿宋_GB2312" w:cs="Times New Roman"/>
          <w:sz w:val="32"/>
          <w:szCs w:val="32"/>
        </w:rPr>
        <w:t>，增长3.68%,主要原因是：本年度因社保公积金基数调整导致当年支出增加。</w:t>
      </w:r>
      <w:bookmarkStart w:id="48" w:name="_GoBack"/>
      <w:r>
        <w:rPr>
          <w:rFonts w:hint="default" w:ascii="Times New Roman" w:hAnsi="Times New Roman" w:eastAsia="仿宋_GB2312" w:cs="Times New Roman"/>
          <w:b/>
          <w:bCs/>
          <w:sz w:val="32"/>
          <w:szCs w:val="32"/>
        </w:rPr>
        <w:t>与年初预算相比，</w:t>
      </w:r>
      <w:bookmarkEnd w:id="48"/>
      <w:r>
        <w:rPr>
          <w:rFonts w:hint="default" w:ascii="Times New Roman" w:hAnsi="Times New Roman" w:eastAsia="仿宋_GB2312" w:cs="Times New Roman"/>
          <w:sz w:val="32"/>
          <w:szCs w:val="32"/>
        </w:rPr>
        <w:t>年初预算数</w:t>
      </w:r>
      <w:r>
        <w:rPr>
          <w:rFonts w:hint="default" w:ascii="Times New Roman" w:hAnsi="Times New Roman" w:eastAsia="仿宋_GB2312" w:cs="Times New Roman"/>
          <w:sz w:val="32"/>
          <w:szCs w:val="32"/>
          <w:lang w:val="zh-CN"/>
        </w:rPr>
        <w:t>919.02</w:t>
      </w:r>
      <w:r>
        <w:rPr>
          <w:rFonts w:hint="default" w:ascii="Times New Roman" w:hAnsi="Times New Roman" w:eastAsia="仿宋_GB2312" w:cs="Times New Roman"/>
          <w:sz w:val="32"/>
          <w:szCs w:val="32"/>
        </w:rPr>
        <w:t>万元，决算数</w:t>
      </w:r>
      <w:r>
        <w:rPr>
          <w:rFonts w:hint="default" w:ascii="Times New Roman" w:hAnsi="Times New Roman" w:eastAsia="仿宋_GB2312" w:cs="Times New Roman"/>
          <w:sz w:val="32"/>
          <w:szCs w:val="32"/>
          <w:lang w:val="zh-CN"/>
        </w:rPr>
        <w:t>960.15</w:t>
      </w:r>
      <w:r>
        <w:rPr>
          <w:rFonts w:hint="default" w:ascii="Times New Roman" w:hAnsi="Times New Roman" w:eastAsia="仿宋_GB2312" w:cs="Times New Roman"/>
          <w:sz w:val="32"/>
          <w:szCs w:val="32"/>
        </w:rPr>
        <w:t>万元，预决算差异率</w:t>
      </w:r>
      <w:r>
        <w:rPr>
          <w:rFonts w:hint="default" w:ascii="Times New Roman" w:hAnsi="Times New Roman" w:eastAsia="仿宋_GB2312" w:cs="Times New Roman"/>
          <w:sz w:val="32"/>
          <w:szCs w:val="32"/>
          <w:lang w:val="zh-CN"/>
        </w:rPr>
        <w:t>4.48%</w:t>
      </w:r>
      <w:r>
        <w:rPr>
          <w:rFonts w:hint="default" w:ascii="Times New Roman" w:hAnsi="Times New Roman" w:eastAsia="仿宋_GB2312" w:cs="Times New Roman"/>
          <w:sz w:val="32"/>
          <w:szCs w:val="32"/>
        </w:rPr>
        <w:t>，主要原因是：我单位本年度使用部分上年度结转结余资金，导致预决算存在差异。</w:t>
      </w:r>
    </w:p>
    <w:p>
      <w:pPr>
        <w:numPr>
          <w:ilvl w:val="0"/>
          <w:numId w:val="1"/>
        </w:num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一般公共预算财政拨款支出决算结构情况</w:t>
      </w:r>
    </w:p>
    <w:p>
      <w:pPr>
        <w:pStyle w:val="8"/>
        <w:widowControl/>
        <w:spacing w:before="0" w:beforeAutospacing="0" w:after="0" w:afterAutospacing="0"/>
        <w:ind w:firstLine="640" w:firstLineChars="200"/>
        <w:rPr>
          <w:rFonts w:hint="default" w:ascii="Times New Roman" w:hAnsi="Times New Roman" w:eastAsia="仿宋_GB2312" w:cs="Times New Roman"/>
          <w:kern w:val="2"/>
          <w:sz w:val="32"/>
          <w:szCs w:val="32"/>
          <w:lang w:val="zh-CN"/>
        </w:rPr>
      </w:pPr>
      <w:r>
        <w:rPr>
          <w:rFonts w:hint="default" w:ascii="Times New Roman" w:hAnsi="Times New Roman" w:eastAsia="仿宋_GB2312" w:cs="Times New Roman"/>
          <w:kern w:val="2"/>
          <w:sz w:val="32"/>
          <w:szCs w:val="32"/>
          <w:lang w:val="zh-CN"/>
        </w:rPr>
        <w:t>1.社会保障和就业支出（类）56.86万元，占5.92%；</w:t>
      </w:r>
    </w:p>
    <w:p>
      <w:pPr>
        <w:pStyle w:val="8"/>
        <w:widowControl/>
        <w:spacing w:before="0" w:beforeAutospacing="0" w:after="0" w:afterAutospacing="0"/>
        <w:ind w:firstLine="640" w:firstLineChars="200"/>
        <w:rPr>
          <w:rFonts w:hint="default" w:ascii="Times New Roman" w:hAnsi="Times New Roman" w:eastAsia="仿宋_GB2312" w:cs="Times New Roman"/>
          <w:kern w:val="2"/>
          <w:sz w:val="32"/>
          <w:szCs w:val="32"/>
          <w:lang w:val="zh-CN"/>
        </w:rPr>
      </w:pPr>
      <w:r>
        <w:rPr>
          <w:rFonts w:hint="default" w:ascii="Times New Roman" w:hAnsi="Times New Roman" w:eastAsia="仿宋_GB2312" w:cs="Times New Roman"/>
          <w:kern w:val="2"/>
          <w:sz w:val="32"/>
          <w:szCs w:val="32"/>
          <w:lang w:val="zh-CN"/>
        </w:rPr>
        <w:t>2.卫生健康支出（类）871.13万元，占90.73%；</w:t>
      </w:r>
    </w:p>
    <w:p>
      <w:pPr>
        <w:pStyle w:val="8"/>
        <w:widowControl/>
        <w:spacing w:before="0" w:beforeAutospacing="0" w:after="0" w:afterAutospacing="0"/>
        <w:ind w:firstLine="640" w:firstLineChars="200"/>
        <w:rPr>
          <w:rFonts w:hint="default" w:ascii="Times New Roman" w:hAnsi="Times New Roman" w:eastAsia="仿宋_GB2312" w:cs="Times New Roman"/>
          <w:kern w:val="2"/>
          <w:sz w:val="32"/>
          <w:szCs w:val="32"/>
          <w:lang w:val="zh-CN"/>
        </w:rPr>
      </w:pPr>
      <w:r>
        <w:rPr>
          <w:rFonts w:hint="default" w:ascii="Times New Roman" w:hAnsi="Times New Roman" w:eastAsia="仿宋_GB2312" w:cs="Times New Roman"/>
          <w:kern w:val="2"/>
          <w:sz w:val="32"/>
          <w:szCs w:val="32"/>
          <w:lang w:val="zh-CN"/>
        </w:rPr>
        <w:t>3.住房保障支出（类）32.16万元，占3.35%；</w:t>
      </w:r>
    </w:p>
    <w:p>
      <w:p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（三）一般公共预算财政拨款支出决算具体情况</w:t>
      </w:r>
    </w:p>
    <w:p>
      <w:pPr>
        <w:ind w:firstLine="640" w:firstLineChars="200"/>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1.卫生健康支出（类）行政事业单位医疗（款）事业单位医疗（项）:支出决算数为20.10万元，比上年决算增加2.23万元，增长</w:t>
      </w:r>
      <w:r>
        <w:rPr>
          <w:rFonts w:hint="default" w:ascii="Times New Roman" w:hAnsi="Times New Roman" w:eastAsia="仿宋_GB2312" w:cs="Times New Roman"/>
          <w:sz w:val="32"/>
          <w:szCs w:val="32"/>
          <w:lang w:val="en-US" w:eastAsia="zh-CN"/>
        </w:rPr>
        <w:t>12.48</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val="zh-CN"/>
        </w:rPr>
        <w:t>本年度因基数调整，导致相关支出增加。</w:t>
      </w:r>
    </w:p>
    <w:p>
      <w:pPr>
        <w:ind w:firstLine="640" w:firstLineChars="200"/>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2.卫生健康支出（类）行政事业单位医疗（款）公务员医疗补助（项）:支出决算数为18.76万元，比上年决算增加4.86万元，增长</w:t>
      </w:r>
      <w:r>
        <w:rPr>
          <w:rFonts w:hint="default" w:ascii="Times New Roman" w:hAnsi="Times New Roman" w:eastAsia="仿宋_GB2312" w:cs="Times New Roman"/>
          <w:sz w:val="32"/>
          <w:szCs w:val="32"/>
          <w:lang w:val="en-US" w:eastAsia="zh-CN"/>
        </w:rPr>
        <w:t>34.96</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val="zh-CN"/>
        </w:rPr>
        <w:t>本年度因基数调整，导致相关支出增加。</w:t>
      </w:r>
    </w:p>
    <w:p>
      <w:pPr>
        <w:ind w:firstLine="640" w:firstLineChars="200"/>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3.住房保障支出（类）住房改革支出（款）住房公积金（项）:支出决算数为32.16万元，比上年决算增加7.43万元，增长30.0</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val="zh-CN"/>
        </w:rPr>
        <w:t>本年度因基数调整，导致相关支出增加。</w:t>
      </w:r>
    </w:p>
    <w:p>
      <w:pPr>
        <w:ind w:firstLine="640" w:firstLineChars="200"/>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4.卫生健康支出（类）老龄卫生健康事务（款）老龄卫生健康事务（项）:支出决算数为832.27万元，比上年决算增加16.42万元，增长2.01%，主要原因是：</w:t>
      </w:r>
      <w:r>
        <w:rPr>
          <w:rFonts w:hint="default" w:ascii="Times New Roman" w:hAnsi="Times New Roman" w:eastAsia="仿宋_GB2312" w:cs="Times New Roman"/>
          <w:sz w:val="32"/>
          <w:szCs w:val="32"/>
          <w:lang w:val="zh-CN"/>
        </w:rPr>
        <w:t>本年度部分项目支出预算增加，相关支出增加。</w:t>
      </w:r>
    </w:p>
    <w:p>
      <w:pPr>
        <w:ind w:firstLine="640" w:firstLineChars="200"/>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5.社会保障和就业支出（类）行政事业单位养老支出（款）事业单位离退休（项）:支出决算数为13.97万元，比上年决算减少6.78万元，下降32.6</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val="zh-CN"/>
        </w:rPr>
        <w:t>本年度因退休人员缴纳</w:t>
      </w:r>
      <w:r>
        <w:rPr>
          <w:rFonts w:hint="default" w:ascii="Times New Roman" w:hAnsi="Times New Roman" w:eastAsia="仿宋_GB2312" w:cs="Times New Roman"/>
          <w:sz w:val="32"/>
          <w:szCs w:val="32"/>
          <w:lang w:val="zh-CN" w:eastAsia="zh-CN"/>
        </w:rPr>
        <w:t>社保资金</w:t>
      </w:r>
      <w:r>
        <w:rPr>
          <w:rFonts w:hint="default" w:ascii="Times New Roman" w:hAnsi="Times New Roman" w:eastAsia="仿宋_GB2312" w:cs="Times New Roman"/>
          <w:sz w:val="32"/>
          <w:szCs w:val="32"/>
          <w:lang w:val="zh-CN"/>
        </w:rPr>
        <w:t>减少。</w:t>
      </w:r>
    </w:p>
    <w:p>
      <w:pPr>
        <w:ind w:firstLine="640" w:firstLineChars="200"/>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6.社会保障和就业支出（类）行政事业单位养老支出（款）机关事业单位基本养老保险缴费支出（项）:支出决算数为42.88万元，比上年决算增加9.91万元，增长30.06%，主要原因是：</w:t>
      </w:r>
      <w:r>
        <w:rPr>
          <w:rFonts w:hint="default" w:ascii="Times New Roman" w:hAnsi="Times New Roman" w:eastAsia="仿宋_GB2312" w:cs="Times New Roman"/>
          <w:sz w:val="32"/>
          <w:szCs w:val="32"/>
          <w:lang w:val="zh-CN"/>
        </w:rPr>
        <w:t>本年度因基数调整，导致相关支出增加。</w:t>
      </w:r>
    </w:p>
    <w:p>
      <w:pPr>
        <w:ind w:firstLine="640" w:firstLineChars="200"/>
        <w:jc w:val="left"/>
        <w:outlineLvl w:val="1"/>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六、一般公共预算财政拨款基本支出决算情况说明</w:t>
      </w:r>
    </w:p>
    <w:p>
      <w:pPr>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2023年度一般公共预算财政拨款基本支出539.15万元，其中：</w:t>
      </w:r>
      <w:r>
        <w:rPr>
          <w:rFonts w:hint="default" w:ascii="Times New Roman" w:hAnsi="Times New Roman" w:eastAsia="仿宋_GB2312" w:cs="Times New Roman"/>
          <w:b/>
          <w:bCs/>
          <w:sz w:val="32"/>
          <w:szCs w:val="32"/>
        </w:rPr>
        <w:t>人员经费464.37万元，</w:t>
      </w:r>
      <w:r>
        <w:rPr>
          <w:rFonts w:hint="default" w:ascii="Times New Roman" w:hAnsi="Times New Roman" w:eastAsia="仿宋_GB2312" w:cs="Times New Roman"/>
          <w:sz w:val="32"/>
          <w:szCs w:val="32"/>
        </w:rPr>
        <w:t>包括：基本工资、津贴补贴、奖金、绩效工资、机关事业单位基本养老保险缴费、职工基本医疗保险缴费、公务员医疗补助缴费、其他社会保障缴费、住房公积金、其他工资福利支出、退休费、奖励金。</w:t>
      </w:r>
    </w:p>
    <w:p>
      <w:pPr>
        <w:ind w:firstLine="643" w:firstLineChars="200"/>
        <w:jc w:val="left"/>
        <w:rPr>
          <w:rFonts w:hint="default" w:ascii="Times New Roman" w:hAnsi="Times New Roman" w:eastAsia="仿宋_GB2312" w:cs="Times New Roman"/>
          <w:sz w:val="32"/>
          <w:szCs w:val="32"/>
          <w:lang w:val="zh-CN"/>
        </w:rPr>
      </w:pPr>
      <w:r>
        <w:rPr>
          <w:rFonts w:hint="default" w:ascii="Times New Roman" w:hAnsi="Times New Roman" w:eastAsia="仿宋_GB2312" w:cs="Times New Roman"/>
          <w:b/>
          <w:bCs/>
          <w:sz w:val="32"/>
          <w:szCs w:val="32"/>
        </w:rPr>
        <w:t>公用经费74.79万元，</w:t>
      </w:r>
      <w:r>
        <w:rPr>
          <w:rFonts w:hint="default" w:ascii="Times New Roman" w:hAnsi="Times New Roman" w:eastAsia="仿宋_GB2312" w:cs="Times New Roman"/>
          <w:sz w:val="32"/>
          <w:szCs w:val="32"/>
        </w:rPr>
        <w:t>包括：办公费、手续费、电费、取暖费、物业管理费、差旅费、培训费、委托业务费、工会经费、福利费、公务用车运行维护费、其他交通费用、其他</w:t>
      </w:r>
      <w:r>
        <w:rPr>
          <w:rFonts w:hint="default" w:ascii="Times New Roman" w:hAnsi="Times New Roman" w:eastAsia="仿宋_GB2312" w:cs="Times New Roman"/>
          <w:sz w:val="32"/>
          <w:szCs w:val="32"/>
          <w:lang w:val="zh-CN"/>
        </w:rPr>
        <w:t>商品和服务支出。</w:t>
      </w:r>
    </w:p>
    <w:p>
      <w:pPr>
        <w:ind w:firstLine="640" w:firstLineChars="200"/>
        <w:jc w:val="left"/>
        <w:outlineLvl w:val="1"/>
        <w:rPr>
          <w:rFonts w:hint="default" w:ascii="Times New Roman" w:hAnsi="Times New Roman" w:eastAsia="黑体" w:cs="Times New Roman"/>
          <w:bCs/>
          <w:kern w:val="0"/>
          <w:sz w:val="32"/>
          <w:szCs w:val="32"/>
          <w:lang w:val="zh-CN"/>
        </w:rPr>
      </w:pPr>
      <w:r>
        <w:rPr>
          <w:rFonts w:hint="default" w:ascii="Times New Roman" w:hAnsi="Times New Roman" w:eastAsia="黑体" w:cs="Times New Roman"/>
          <w:bCs/>
          <w:kern w:val="0"/>
          <w:sz w:val="32"/>
          <w:szCs w:val="32"/>
          <w:lang w:val="zh-CN"/>
        </w:rPr>
        <w:t>七、财政拨款“三公”经费支出决算情况说明</w:t>
      </w:r>
    </w:p>
    <w:p>
      <w:pPr>
        <w:ind w:firstLine="643" w:firstLineChars="200"/>
        <w:jc w:val="left"/>
        <w:rPr>
          <w:rFonts w:hint="default" w:ascii="Times New Roman" w:hAnsi="Times New Roman" w:eastAsia="仿宋_GB2312" w:cs="Times New Roman"/>
          <w:sz w:val="32"/>
          <w:szCs w:val="32"/>
          <w:lang w:val="zh-CN"/>
        </w:rPr>
      </w:pPr>
      <w:r>
        <w:rPr>
          <w:rFonts w:hint="default" w:ascii="Times New Roman" w:hAnsi="Times New Roman" w:eastAsia="仿宋_GB2312" w:cs="Times New Roman"/>
          <w:b/>
          <w:bCs/>
          <w:sz w:val="32"/>
          <w:szCs w:val="32"/>
          <w:lang w:val="zh-CN"/>
        </w:rPr>
        <w:t>2023年度财政拨款“三公”经费支出2.23万元，</w:t>
      </w:r>
      <w:r>
        <w:rPr>
          <w:rFonts w:hint="default" w:ascii="Times New Roman" w:hAnsi="Times New Roman" w:eastAsia="仿宋_GB2312" w:cs="Times New Roman"/>
          <w:sz w:val="32"/>
          <w:szCs w:val="32"/>
          <w:lang w:val="zh-CN"/>
        </w:rPr>
        <w:t>比上年增加0.00万元，增长0.00%,主要原因是：本年度我单位严格按照年初预算执行，三公车辆运行维护费与上年相比无变化。其中：因公出国（境）费支出0.00万元，占0.00%，比上年增加0.00万元，增长0.00%,主要原因是：无预算安排；公务用车购置及运行维护费支出2.23万元，占100.00%，比上年增加0.00万元，增长0.00%,主要原因是：本年度我单位三公车辆运行维护费与上年相比无变化；公务接待费支出0.00万元，占0.00%，比上年增加0.00万元，增长0.00%,主要原因是：无相关资金使用安排。</w:t>
      </w:r>
    </w:p>
    <w:p>
      <w:pPr>
        <w:ind w:firstLine="643" w:firstLineChars="200"/>
        <w:jc w:val="left"/>
        <w:rPr>
          <w:rFonts w:hint="default" w:ascii="Times New Roman" w:hAnsi="Times New Roman" w:eastAsia="仿宋_GB2312" w:cs="Times New Roman"/>
          <w:sz w:val="32"/>
          <w:szCs w:val="32"/>
          <w:lang w:val="zh-CN"/>
        </w:rPr>
      </w:pPr>
      <w:r>
        <w:rPr>
          <w:rFonts w:hint="default" w:ascii="Times New Roman" w:hAnsi="Times New Roman" w:eastAsia="仿宋_GB2312" w:cs="Times New Roman"/>
          <w:b/>
          <w:bCs/>
          <w:sz w:val="32"/>
          <w:szCs w:val="32"/>
          <w:lang w:val="zh-CN"/>
        </w:rPr>
        <w:t>具体情况如下：</w:t>
      </w:r>
    </w:p>
    <w:p>
      <w:pPr>
        <w:ind w:firstLine="640" w:firstLineChars="200"/>
        <w:jc w:val="left"/>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因公出国（境）费支出0.00万元，开支内容包括</w:t>
      </w:r>
      <w:r>
        <w:rPr>
          <w:rFonts w:hint="eastAsia" w:eastAsia="仿宋_GB2312" w:cs="Times New Roman"/>
          <w:sz w:val="32"/>
          <w:szCs w:val="32"/>
          <w:lang w:val="en-US" w:eastAsia="zh-CN"/>
        </w:rPr>
        <w:t>我单位无</w:t>
      </w:r>
      <w:r>
        <w:rPr>
          <w:rFonts w:hint="default" w:ascii="Times New Roman" w:hAnsi="Times New Roman" w:eastAsia="仿宋_GB2312" w:cs="Times New Roman"/>
          <w:sz w:val="32"/>
          <w:szCs w:val="32"/>
          <w:lang w:val="zh-CN"/>
        </w:rPr>
        <w:t>因公出国（境）费。单位全年安排的因公出国（境）团组0个，因公出国（境）0人次。</w:t>
      </w:r>
    </w:p>
    <w:p>
      <w:pPr>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zh-CN"/>
        </w:rPr>
        <w:t>公务用车购置及运行维护费2.23万元，其中：公务用车购置费0.00万元，公务用车运行维护费2.23万元。公务用车运行维护费开支内容包括车辆燃油费、车辆保险费、车辆维修费。公务用车购置数0辆，公务用车保有量1辆。国有资产占用情况</w:t>
      </w:r>
      <w:r>
        <w:rPr>
          <w:rFonts w:hint="default" w:ascii="Times New Roman" w:hAnsi="Times New Roman" w:eastAsia="仿宋_GB2312" w:cs="Times New Roman"/>
          <w:sz w:val="32"/>
          <w:szCs w:val="32"/>
        </w:rPr>
        <w:t>中固定资产车辆</w:t>
      </w:r>
      <w:r>
        <w:rPr>
          <w:rFonts w:hint="default" w:ascii="Times New Roman" w:hAnsi="Times New Roman" w:eastAsia="仿宋_GB2312" w:cs="Times New Roman"/>
          <w:sz w:val="32"/>
          <w:szCs w:val="32"/>
          <w:lang w:val="zh-CN"/>
        </w:rPr>
        <w:t>1辆，</w:t>
      </w:r>
      <w:r>
        <w:rPr>
          <w:rFonts w:hint="default" w:ascii="Times New Roman" w:hAnsi="Times New Roman" w:eastAsia="仿宋_GB2312" w:cs="Times New Roman"/>
          <w:sz w:val="32"/>
          <w:szCs w:val="32"/>
        </w:rPr>
        <w:t>与</w:t>
      </w:r>
      <w:r>
        <w:rPr>
          <w:rFonts w:hint="default" w:ascii="Times New Roman" w:hAnsi="Times New Roman" w:eastAsia="仿宋_GB2312" w:cs="Times New Roman"/>
          <w:sz w:val="32"/>
          <w:szCs w:val="32"/>
          <w:lang w:val="zh-CN"/>
        </w:rPr>
        <w:t>公务用车</w:t>
      </w:r>
      <w:r>
        <w:rPr>
          <w:rFonts w:hint="default" w:ascii="Times New Roman" w:hAnsi="Times New Roman" w:eastAsia="仿宋_GB2312" w:cs="Times New Roman"/>
          <w:sz w:val="32"/>
          <w:szCs w:val="32"/>
        </w:rPr>
        <w:t>保有量差异</w:t>
      </w:r>
      <w:r>
        <w:rPr>
          <w:rFonts w:hint="default" w:ascii="Times New Roman" w:hAnsi="Times New Roman" w:eastAsia="仿宋_GB2312" w:cs="Times New Roman"/>
          <w:sz w:val="32"/>
          <w:szCs w:val="32"/>
          <w:lang w:val="zh-CN"/>
        </w:rPr>
        <w:t>原因是：无差异。</w:t>
      </w:r>
    </w:p>
    <w:p>
      <w:pPr>
        <w:ind w:firstLine="640" w:firstLineChars="200"/>
        <w:jc w:val="left"/>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公务接待费0.00万元，开支内容包括</w:t>
      </w:r>
      <w:r>
        <w:rPr>
          <w:rFonts w:hint="eastAsia" w:eastAsia="仿宋_GB2312" w:cs="Times New Roman"/>
          <w:sz w:val="32"/>
          <w:szCs w:val="32"/>
          <w:lang w:val="en-US" w:eastAsia="zh-CN"/>
        </w:rPr>
        <w:t>我单位无</w:t>
      </w:r>
      <w:r>
        <w:rPr>
          <w:rFonts w:hint="default" w:ascii="Times New Roman" w:hAnsi="Times New Roman" w:eastAsia="仿宋_GB2312" w:cs="Times New Roman"/>
          <w:sz w:val="32"/>
          <w:szCs w:val="32"/>
          <w:lang w:val="zh-CN"/>
        </w:rPr>
        <w:t>公务接待费。单位全年安排的国内公务接待0批次，0人次。</w:t>
      </w:r>
    </w:p>
    <w:p>
      <w:pPr>
        <w:ind w:firstLine="643" w:firstLineChars="200"/>
        <w:jc w:val="left"/>
        <w:rPr>
          <w:rFonts w:hint="default" w:ascii="Times New Roman" w:hAnsi="Times New Roman" w:eastAsia="仿宋_GB2312" w:cs="Times New Roman"/>
          <w:sz w:val="32"/>
          <w:szCs w:val="32"/>
          <w:lang w:val="zh-CN"/>
        </w:rPr>
      </w:pPr>
      <w:r>
        <w:rPr>
          <w:rFonts w:hint="default" w:ascii="Times New Roman" w:hAnsi="Times New Roman" w:eastAsia="仿宋_GB2312" w:cs="Times New Roman"/>
          <w:b/>
          <w:bCs/>
          <w:sz w:val="32"/>
          <w:szCs w:val="32"/>
          <w:lang w:val="zh-CN"/>
        </w:rPr>
        <w:t>与</w:t>
      </w:r>
      <w:r>
        <w:rPr>
          <w:rFonts w:hint="default" w:ascii="Times New Roman" w:hAnsi="Times New Roman" w:eastAsia="仿宋_GB2312" w:cs="Times New Roman"/>
          <w:b/>
          <w:bCs/>
          <w:sz w:val="32"/>
          <w:szCs w:val="32"/>
        </w:rPr>
        <w:t>全年</w:t>
      </w:r>
      <w:r>
        <w:rPr>
          <w:rFonts w:hint="default" w:ascii="Times New Roman" w:hAnsi="Times New Roman" w:eastAsia="仿宋_GB2312" w:cs="Times New Roman"/>
          <w:b/>
          <w:bCs/>
          <w:sz w:val="32"/>
          <w:szCs w:val="32"/>
          <w:lang w:val="zh-CN"/>
        </w:rPr>
        <w:t>预算相比</w:t>
      </w:r>
      <w:r>
        <w:rPr>
          <w:rFonts w:hint="default" w:ascii="Times New Roman" w:hAnsi="Times New Roman" w:eastAsia="仿宋_GB2312" w:cs="Times New Roman"/>
          <w:b/>
          <w:bCs/>
          <w:sz w:val="32"/>
          <w:szCs w:val="32"/>
        </w:rPr>
        <w:t>,</w:t>
      </w:r>
      <w:r>
        <w:rPr>
          <w:rFonts w:hint="default" w:ascii="Times New Roman" w:hAnsi="Times New Roman" w:eastAsia="仿宋_GB2312" w:cs="Times New Roman"/>
          <w:sz w:val="32"/>
          <w:szCs w:val="32"/>
          <w:lang w:val="zh-CN"/>
        </w:rPr>
        <w:t>财政拨款“三公”经费支出</w:t>
      </w:r>
      <w:r>
        <w:rPr>
          <w:rFonts w:hint="default" w:ascii="Times New Roman" w:hAnsi="Times New Roman" w:eastAsia="仿宋_GB2312" w:cs="Times New Roman"/>
          <w:sz w:val="32"/>
          <w:szCs w:val="32"/>
        </w:rPr>
        <w:t>全年</w:t>
      </w:r>
      <w:r>
        <w:rPr>
          <w:rFonts w:hint="default" w:ascii="Times New Roman" w:hAnsi="Times New Roman" w:eastAsia="仿宋_GB2312" w:cs="Times New Roman"/>
          <w:sz w:val="32"/>
          <w:szCs w:val="32"/>
          <w:lang w:val="zh-CN"/>
        </w:rPr>
        <w:t>预算数2.23万元，决算数2.23万元，预决算差异率0.00%，主要原因是：本年度我单位严格按照年初预算执行。其中：因公出国（境）费</w:t>
      </w:r>
      <w:r>
        <w:rPr>
          <w:rFonts w:hint="default" w:ascii="Times New Roman" w:hAnsi="Times New Roman" w:eastAsia="仿宋_GB2312" w:cs="Times New Roman"/>
          <w:sz w:val="32"/>
          <w:szCs w:val="32"/>
        </w:rPr>
        <w:t>全年预算数</w:t>
      </w:r>
      <w:r>
        <w:rPr>
          <w:rFonts w:hint="default" w:ascii="Times New Roman" w:hAnsi="Times New Roman" w:eastAsia="仿宋_GB2312" w:cs="Times New Roman"/>
          <w:sz w:val="32"/>
          <w:szCs w:val="32"/>
          <w:lang w:val="zh-CN"/>
        </w:rPr>
        <w:t>0.00万元，决算数0.00万元，预决算差异率0.00%，主要原因是：无预算安排；公务用车购置费</w:t>
      </w:r>
      <w:r>
        <w:rPr>
          <w:rFonts w:hint="default" w:ascii="Times New Roman" w:hAnsi="Times New Roman" w:eastAsia="仿宋_GB2312" w:cs="Times New Roman"/>
          <w:sz w:val="32"/>
          <w:szCs w:val="32"/>
        </w:rPr>
        <w:t>全年</w:t>
      </w:r>
      <w:r>
        <w:rPr>
          <w:rFonts w:hint="default" w:ascii="Times New Roman" w:hAnsi="Times New Roman" w:eastAsia="仿宋_GB2312" w:cs="Times New Roman"/>
          <w:sz w:val="32"/>
          <w:szCs w:val="32"/>
          <w:lang w:val="zh-CN"/>
        </w:rPr>
        <w:t>预算数0.00万元，决算数0.00万元，预决算差异率0.00%，主要原因是：无预算安排；公务用车运行费</w:t>
      </w:r>
      <w:r>
        <w:rPr>
          <w:rFonts w:hint="default" w:ascii="Times New Roman" w:hAnsi="Times New Roman" w:eastAsia="仿宋_GB2312" w:cs="Times New Roman"/>
          <w:sz w:val="32"/>
          <w:szCs w:val="32"/>
        </w:rPr>
        <w:t>全年</w:t>
      </w:r>
      <w:r>
        <w:rPr>
          <w:rFonts w:hint="default" w:ascii="Times New Roman" w:hAnsi="Times New Roman" w:eastAsia="仿宋_GB2312" w:cs="Times New Roman"/>
          <w:sz w:val="32"/>
          <w:szCs w:val="32"/>
          <w:lang w:val="zh-CN"/>
        </w:rPr>
        <w:t>预算数2.23万元，决算数2.23万元，预决算差异率0.00%，主要原因是：本年度我单位严格按照年初预算执行；公务接待费</w:t>
      </w:r>
      <w:r>
        <w:rPr>
          <w:rFonts w:hint="default" w:ascii="Times New Roman" w:hAnsi="Times New Roman" w:eastAsia="仿宋_GB2312" w:cs="Times New Roman"/>
          <w:sz w:val="32"/>
          <w:szCs w:val="32"/>
        </w:rPr>
        <w:t>全年</w:t>
      </w:r>
      <w:r>
        <w:rPr>
          <w:rFonts w:hint="default" w:ascii="Times New Roman" w:hAnsi="Times New Roman" w:eastAsia="仿宋_GB2312" w:cs="Times New Roman"/>
          <w:sz w:val="32"/>
          <w:szCs w:val="32"/>
          <w:lang w:val="zh-CN"/>
        </w:rPr>
        <w:t>预算数0.00万元，决算数0.00万元，预决算差异率0.00%，主要原因是：无预算安排。</w:t>
      </w:r>
    </w:p>
    <w:p>
      <w:pPr>
        <w:ind w:firstLine="640" w:firstLineChars="200"/>
        <w:jc w:val="left"/>
        <w:outlineLvl w:val="1"/>
        <w:rPr>
          <w:rFonts w:hint="default" w:ascii="Times New Roman" w:hAnsi="Times New Roman" w:eastAsia="黑体" w:cs="Times New Roman"/>
          <w:bCs/>
          <w:kern w:val="0"/>
          <w:sz w:val="32"/>
          <w:szCs w:val="32"/>
        </w:rPr>
      </w:pPr>
      <w:bookmarkStart w:id="18" w:name="_Toc7927"/>
      <w:bookmarkStart w:id="19" w:name="_Toc5810"/>
      <w:r>
        <w:rPr>
          <w:rFonts w:hint="default" w:ascii="Times New Roman" w:hAnsi="Times New Roman" w:eastAsia="黑体" w:cs="Times New Roman"/>
          <w:bCs/>
          <w:kern w:val="0"/>
          <w:sz w:val="32"/>
          <w:szCs w:val="32"/>
        </w:rPr>
        <w:t>八、政府性基金预算财政拨款收入支出决算情况说明</w:t>
      </w:r>
      <w:bookmarkEnd w:id="18"/>
      <w:bookmarkEnd w:id="19"/>
    </w:p>
    <w:p>
      <w:pPr>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九、国有资本经营预算财政拨款收入支出决算情况说明</w:t>
      </w:r>
    </w:p>
    <w:p>
      <w:pPr>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default" w:ascii="Times New Roman" w:hAnsi="Times New Roman" w:eastAsia="黑体" w:cs="Times New Roman"/>
          <w:bCs/>
          <w:kern w:val="0"/>
          <w:sz w:val="32"/>
          <w:szCs w:val="32"/>
        </w:rPr>
      </w:pPr>
      <w:bookmarkStart w:id="20" w:name="_Toc1235"/>
      <w:bookmarkStart w:id="21" w:name="_Toc7314"/>
      <w:r>
        <w:rPr>
          <w:rFonts w:hint="default" w:ascii="Times New Roman" w:hAnsi="Times New Roman" w:eastAsia="黑体" w:cs="Times New Roman"/>
          <w:bCs/>
          <w:kern w:val="0"/>
          <w:sz w:val="32"/>
          <w:szCs w:val="32"/>
        </w:rPr>
        <w:t>十、其他重要事项的情况说明</w:t>
      </w:r>
      <w:bookmarkEnd w:id="20"/>
      <w:bookmarkEnd w:id="21"/>
    </w:p>
    <w:p>
      <w:pPr>
        <w:ind w:firstLine="640" w:firstLineChars="200"/>
        <w:jc w:val="left"/>
        <w:outlineLvl w:val="2"/>
        <w:rPr>
          <w:rFonts w:hint="default" w:ascii="Times New Roman" w:hAnsi="Times New Roman" w:eastAsia="黑体" w:cs="Times New Roman"/>
          <w:sz w:val="32"/>
          <w:szCs w:val="32"/>
        </w:rPr>
      </w:pPr>
      <w:bookmarkStart w:id="22" w:name="_Toc14519"/>
      <w:bookmarkStart w:id="23" w:name="_Toc13105"/>
      <w:r>
        <w:rPr>
          <w:rFonts w:hint="default" w:ascii="Times New Roman" w:hAnsi="Times New Roman" w:eastAsia="黑体" w:cs="Times New Roman"/>
          <w:sz w:val="32"/>
          <w:szCs w:val="32"/>
        </w:rPr>
        <w:t>（一）机关运行经费支出情况</w:t>
      </w:r>
      <w:bookmarkEnd w:id="22"/>
      <w:bookmarkEnd w:id="23"/>
    </w:p>
    <w:p>
      <w:pPr>
        <w:ind w:firstLine="640" w:firstLineChars="200"/>
        <w:rPr>
          <w:rFonts w:hint="default" w:ascii="Times New Roman" w:hAnsi="Times New Roman" w:eastAsia="仿宋_GB2312" w:cs="Times New Roman"/>
          <w:sz w:val="32"/>
          <w:szCs w:val="32"/>
          <w:lang w:val="zh-CN"/>
        </w:rPr>
      </w:pPr>
      <w:bookmarkStart w:id="24" w:name="_Toc26704"/>
      <w:bookmarkStart w:id="25" w:name="_Toc227"/>
      <w:r>
        <w:rPr>
          <w:rFonts w:hint="default" w:ascii="Times New Roman" w:hAnsi="Times New Roman" w:eastAsia="仿宋_GB2312" w:cs="Times New Roman"/>
          <w:sz w:val="32"/>
          <w:szCs w:val="32"/>
        </w:rPr>
        <w:t>新疆维吾尔自治区老年大学</w:t>
      </w:r>
      <w:r>
        <w:rPr>
          <w:rFonts w:hint="default" w:ascii="Times New Roman" w:hAnsi="Times New Roman" w:eastAsia="仿宋_GB2312" w:cs="Times New Roman"/>
          <w:sz w:val="32"/>
          <w:szCs w:val="32"/>
          <w:lang w:val="zh-CN"/>
        </w:rPr>
        <w:t>（事业单位）公用经费支出74.79万元，比上年增加25.68万元，增长52.29%，主要原因是：我单位本年度相关办公经费增加。</w:t>
      </w:r>
    </w:p>
    <w:p>
      <w:pPr>
        <w:ind w:firstLine="640" w:firstLineChars="200"/>
        <w:jc w:val="left"/>
        <w:rPr>
          <w:rFonts w:hint="default" w:ascii="Times New Roman" w:hAnsi="Times New Roman" w:eastAsia="黑体" w:cs="Times New Roman"/>
          <w:sz w:val="32"/>
          <w:szCs w:val="30"/>
          <w:lang w:val="zh-CN"/>
        </w:rPr>
      </w:pPr>
      <w:r>
        <w:rPr>
          <w:rFonts w:hint="default" w:ascii="Times New Roman" w:hAnsi="Times New Roman" w:eastAsia="黑体" w:cs="Times New Roman"/>
          <w:sz w:val="32"/>
          <w:szCs w:val="30"/>
          <w:lang w:val="zh-CN"/>
        </w:rPr>
        <w:t>（二）政府采购情况</w:t>
      </w:r>
      <w:bookmarkEnd w:id="24"/>
      <w:bookmarkEnd w:id="25"/>
    </w:p>
    <w:p>
      <w:pPr>
        <w:ind w:firstLine="640" w:firstLineChars="200"/>
        <w:jc w:val="left"/>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2023年度政府采购支出总额54.56万元，其中：政府采购货物支出26.20万元、政府采购工程支出0.00万元、政府采购服务支出28.36万元。</w:t>
      </w:r>
    </w:p>
    <w:p>
      <w:pPr>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zh-CN"/>
        </w:rPr>
        <w:t>授予中小企业合同金额46.81万元，占政府采购支出总额的85.80%，其中：授予小微企业合同金额46.81万元，占政府采购支出总额的85.80%</w:t>
      </w:r>
      <w:r>
        <w:rPr>
          <w:rFonts w:hint="default" w:ascii="Times New Roman" w:hAnsi="Times New Roman" w:eastAsia="仿宋_GB2312" w:cs="Times New Roman"/>
          <w:sz w:val="32"/>
          <w:szCs w:val="32"/>
        </w:rPr>
        <w:t>。</w:t>
      </w:r>
    </w:p>
    <w:p>
      <w:pPr>
        <w:ind w:firstLine="640" w:firstLineChars="200"/>
        <w:jc w:val="left"/>
        <w:rPr>
          <w:rFonts w:hint="default" w:ascii="Times New Roman" w:hAnsi="Times New Roman" w:eastAsia="黑体" w:cs="Times New Roman"/>
          <w:sz w:val="32"/>
          <w:szCs w:val="30"/>
          <w:lang w:val="zh-CN"/>
        </w:rPr>
      </w:pPr>
      <w:bookmarkStart w:id="26" w:name="_Toc8391"/>
      <w:bookmarkStart w:id="27" w:name="_Toc4591"/>
      <w:r>
        <w:rPr>
          <w:rFonts w:hint="default" w:ascii="Times New Roman" w:hAnsi="Times New Roman" w:eastAsia="黑体" w:cs="Times New Roman"/>
          <w:sz w:val="32"/>
          <w:szCs w:val="30"/>
          <w:lang w:val="zh-CN"/>
        </w:rPr>
        <w:t>（三）国有资产占用情况说明</w:t>
      </w:r>
      <w:bookmarkEnd w:id="26"/>
      <w:bookmarkEnd w:id="27"/>
    </w:p>
    <w:p>
      <w:pPr>
        <w:ind w:firstLine="640" w:firstLineChars="200"/>
        <w:jc w:val="left"/>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截至2023</w:t>
      </w:r>
      <w:r>
        <w:rPr>
          <w:rFonts w:hint="default" w:ascii="Times New Roman" w:hAnsi="Times New Roman" w:eastAsia="仿宋_GB2312" w:cs="Times New Roman"/>
          <w:sz w:val="32"/>
          <w:szCs w:val="32"/>
          <w:lang w:val="zh-CN"/>
        </w:rPr>
        <w:t>年</w:t>
      </w:r>
      <w:r>
        <w:rPr>
          <w:rFonts w:hint="default" w:ascii="Times New Roman" w:hAnsi="Times New Roman" w:eastAsia="仿宋_GB2312" w:cs="Times New Roman"/>
          <w:sz w:val="32"/>
          <w:szCs w:val="32"/>
        </w:rPr>
        <w:t>12月31日</w:t>
      </w:r>
      <w:r>
        <w:rPr>
          <w:rFonts w:hint="default" w:ascii="Times New Roman" w:hAnsi="Times New Roman" w:eastAsia="仿宋_GB2312" w:cs="Times New Roman"/>
          <w:sz w:val="32"/>
          <w:szCs w:val="32"/>
          <w:lang w:val="zh-CN"/>
        </w:rPr>
        <w:t>，</w:t>
      </w:r>
      <w:r>
        <w:rPr>
          <w:rFonts w:hint="default" w:ascii="Times New Roman" w:hAnsi="Times New Roman" w:eastAsia="仿宋_GB2312" w:cs="Times New Roman"/>
          <w:sz w:val="32"/>
          <w:szCs w:val="32"/>
        </w:rPr>
        <w:t>固定资产原值</w:t>
      </w:r>
      <w:r>
        <w:rPr>
          <w:rFonts w:hint="default" w:ascii="Times New Roman" w:hAnsi="Times New Roman" w:eastAsia="仿宋_GB2312" w:cs="Times New Roman"/>
          <w:sz w:val="32"/>
          <w:szCs w:val="32"/>
          <w:lang w:val="zh-CN"/>
        </w:rPr>
        <w:t>135.11</w:t>
      </w:r>
      <w:r>
        <w:rPr>
          <w:rFonts w:hint="default" w:ascii="Times New Roman" w:hAnsi="Times New Roman" w:eastAsia="仿宋_GB2312" w:cs="Times New Roman"/>
          <w:sz w:val="32"/>
          <w:szCs w:val="32"/>
        </w:rPr>
        <w:t>万元，房</w:t>
      </w:r>
      <w:r>
        <w:rPr>
          <w:rFonts w:hint="default" w:ascii="Times New Roman" w:hAnsi="Times New Roman" w:eastAsia="仿宋_GB2312" w:cs="Times New Roman"/>
          <w:sz w:val="32"/>
          <w:szCs w:val="32"/>
          <w:lang w:val="zh-CN"/>
        </w:rPr>
        <w:t>屋0.0平方米，价值0.00万元。车辆1辆，价值37.60万元，其中：副部（省）级及以上领导用车0辆、主要</w:t>
      </w:r>
      <w:r>
        <w:rPr>
          <w:rFonts w:hint="default" w:ascii="Times New Roman" w:hAnsi="Times New Roman" w:eastAsia="仿宋_GB2312" w:cs="Times New Roman"/>
          <w:sz w:val="32"/>
          <w:szCs w:val="32"/>
        </w:rPr>
        <w:t>负责人</w:t>
      </w:r>
      <w:r>
        <w:rPr>
          <w:rFonts w:hint="default" w:ascii="Times New Roman" w:hAnsi="Times New Roman" w:eastAsia="仿宋_GB2312" w:cs="Times New Roman"/>
          <w:sz w:val="32"/>
          <w:szCs w:val="32"/>
          <w:lang w:val="zh-CN"/>
        </w:rPr>
        <w:t>用车0辆、机要通信用车0辆、应急保障用车0辆、执法执勤用车0辆、特种专业技术用车0辆、离退休干部</w:t>
      </w:r>
      <w:r>
        <w:rPr>
          <w:rFonts w:hint="default" w:ascii="Times New Roman" w:hAnsi="Times New Roman" w:eastAsia="仿宋_GB2312" w:cs="Times New Roman"/>
          <w:sz w:val="32"/>
          <w:szCs w:val="32"/>
        </w:rPr>
        <w:t>服务</w:t>
      </w:r>
      <w:r>
        <w:rPr>
          <w:rFonts w:hint="default" w:ascii="Times New Roman" w:hAnsi="Times New Roman" w:eastAsia="仿宋_GB2312" w:cs="Times New Roman"/>
          <w:sz w:val="32"/>
          <w:szCs w:val="32"/>
          <w:lang w:val="zh-CN"/>
        </w:rPr>
        <w:t>用车0辆、其他用车1辆，其他用车主要是：一般公务用车；单价100万元（含）以上设备（不含车辆）0</w:t>
      </w:r>
      <w:r>
        <w:rPr>
          <w:rFonts w:hint="default" w:ascii="Times New Roman" w:hAnsi="Times New Roman" w:eastAsia="仿宋_GB2312" w:cs="Times New Roman"/>
          <w:sz w:val="32"/>
          <w:szCs w:val="32"/>
        </w:rPr>
        <w:t>台（</w:t>
      </w:r>
      <w:r>
        <w:rPr>
          <w:rFonts w:hint="default" w:ascii="Times New Roman" w:hAnsi="Times New Roman" w:eastAsia="仿宋_GB2312" w:cs="Times New Roman"/>
          <w:sz w:val="32"/>
          <w:szCs w:val="32"/>
          <w:lang w:val="zh-CN"/>
        </w:rPr>
        <w:t>套）。</w:t>
      </w:r>
    </w:p>
    <w:p>
      <w:pPr>
        <w:ind w:firstLine="640" w:firstLineChars="200"/>
        <w:jc w:val="left"/>
        <w:outlineLvl w:val="1"/>
        <w:rPr>
          <w:rFonts w:hint="default" w:ascii="Times New Roman" w:hAnsi="Times New Roman" w:eastAsia="黑体" w:cs="Times New Roman"/>
          <w:bCs/>
          <w:kern w:val="0"/>
          <w:sz w:val="32"/>
          <w:szCs w:val="32"/>
        </w:rPr>
      </w:pPr>
      <w:bookmarkStart w:id="28" w:name="_Toc11283"/>
      <w:bookmarkStart w:id="29" w:name="_Toc435"/>
      <w:r>
        <w:rPr>
          <w:rFonts w:hint="default" w:ascii="Times New Roman" w:hAnsi="Times New Roman" w:eastAsia="黑体" w:cs="Times New Roman"/>
          <w:bCs/>
          <w:kern w:val="0"/>
          <w:sz w:val="32"/>
          <w:szCs w:val="32"/>
        </w:rPr>
        <w:t>十一、预算绩效的情况说明</w:t>
      </w:r>
      <w:bookmarkEnd w:id="28"/>
      <w:bookmarkEnd w:id="29"/>
    </w:p>
    <w:p>
      <w:pPr>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根据预算绩效管理要求，我单位2023年整体绩效自评表0个，全年预算总额0万元，实际执行0万元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我单位整体支出绩效自评表由主管部门编报并公开</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预算绩效评价项目2个，全年预算数426.58万元，全年执行数426.58万元。</w:t>
      </w:r>
      <w:r>
        <w:rPr>
          <w:rFonts w:hint="default" w:ascii="Times New Roman" w:hAnsi="Times New Roman" w:eastAsia="仿宋_GB2312" w:cs="Times New Roman"/>
          <w:sz w:val="32"/>
          <w:szCs w:val="32"/>
          <w:lang w:val="zh-CN"/>
        </w:rPr>
        <w:t>预算绩效管理取得的成效：一是提高资源配置效率‌, 通过实施预算绩效管理，可以优化财政资源配置，确保资金用于最需要的地方，避免资金的浪费和低效使用。</w:t>
      </w:r>
      <w:r>
        <w:rPr>
          <w:rFonts w:hint="default" w:ascii="Times New Roman" w:hAnsi="Times New Roman" w:eastAsia="仿宋_GB2312" w:cs="Times New Roman"/>
          <w:sz w:val="32"/>
          <w:szCs w:val="32"/>
          <w:lang w:val="zh-CN" w:eastAsia="zh-CN"/>
        </w:rPr>
        <w:t>二是</w:t>
      </w:r>
      <w:r>
        <w:rPr>
          <w:rFonts w:hint="default" w:ascii="Times New Roman" w:hAnsi="Times New Roman" w:eastAsia="仿宋_GB2312" w:cs="Times New Roman"/>
          <w:sz w:val="32"/>
          <w:szCs w:val="32"/>
          <w:lang w:val="zh-CN"/>
        </w:rPr>
        <w:t>‌促进决策科学化</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zh-CN"/>
        </w:rPr>
        <w:t>事前绩效评估和绩效目标的设定，使得项目立项和预算编制更加科学合理，减少了因决策失误导致的资源浪费。发现的问题及原因：一是单位绩效管理体系不完善；二是部分项目执行情况不理想。下一步改进措施：一是完善绩效评价体系，加强监督检查和考核工作。进一步探索完善项目绩效评价指标体系，加强对绩效管理工作的跟踪督查，做到绩效管理有依据、按程序、有奖惩，实现绩效管理的规范化、常态化；二是推动相关制度建设，逐步建立以绩效为导向的预算编制模式。从项目绩效评价制度入手，借鉴其他部门在绩效管理方面的经验和做法，制定单位统一的绩效考评制度，并将其贯彻到预算申请、预算分配、项目实施和绩效考评的全过程。把绩效考评的结果作为编制部门预算的重要依据，建立绩效预算激励机制。具体项目自评情况附绩效自评表及自评报告</w:t>
      </w:r>
      <w:r>
        <w:rPr>
          <w:rFonts w:hint="default" w:ascii="Times New Roman" w:hAnsi="Times New Roman" w:eastAsia="仿宋_GB2312" w:cs="Times New Roman"/>
          <w:sz w:val="32"/>
          <w:szCs w:val="32"/>
        </w:rPr>
        <w:t>。</w:t>
      </w:r>
    </w:p>
    <w:p>
      <w:pPr>
        <w:ind w:firstLine="640" w:firstLineChars="200"/>
        <w:jc w:val="left"/>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十二、其他需说明的事项</w:t>
      </w:r>
    </w:p>
    <w:p>
      <w:pPr>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本单位无其他需说明事项</w:t>
      </w:r>
    </w:p>
    <w:p>
      <w:pPr>
        <w:jc w:val="center"/>
        <w:outlineLvl w:val="0"/>
        <w:rPr>
          <w:rFonts w:hint="default" w:ascii="Times New Roman" w:hAnsi="Times New Roman" w:eastAsia="黑体" w:cs="Times New Roman"/>
          <w:sz w:val="32"/>
          <w:szCs w:val="32"/>
        </w:rPr>
      </w:pPr>
      <w:bookmarkStart w:id="30" w:name="_Toc3250"/>
      <w:bookmarkStart w:id="31" w:name="_Toc24143"/>
      <w:r>
        <w:rPr>
          <w:rFonts w:hint="default" w:ascii="Times New Roman" w:hAnsi="Times New Roman" w:eastAsia="黑体" w:cs="Times New Roman"/>
          <w:sz w:val="32"/>
          <w:szCs w:val="32"/>
        </w:rPr>
        <w:br w:type="page"/>
      </w:r>
      <w:r>
        <w:rPr>
          <w:rFonts w:hint="default" w:ascii="Times New Roman" w:hAnsi="Times New Roman" w:eastAsia="黑体" w:cs="Times New Roman"/>
          <w:sz w:val="32"/>
          <w:szCs w:val="32"/>
        </w:rPr>
        <w:t>第三部分 专业名词解释</w:t>
      </w:r>
      <w:bookmarkEnd w:id="30"/>
      <w:bookmarkEnd w:id="31"/>
    </w:p>
    <w:p>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一、财政拨款收入：</w:t>
      </w:r>
      <w:r>
        <w:rPr>
          <w:rFonts w:hint="default" w:ascii="Times New Roman" w:hAnsi="Times New Roman" w:eastAsia="仿宋_GB2312" w:cs="Times New Roman"/>
          <w:sz w:val="32"/>
          <w:szCs w:val="32"/>
        </w:rPr>
        <w:t>指同级财政当年拨付的资金。</w:t>
      </w:r>
    </w:p>
    <w:p>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二、上级补助收入：</w:t>
      </w:r>
      <w:r>
        <w:rPr>
          <w:rFonts w:hint="default" w:ascii="Times New Roman" w:hAnsi="Times New Roman" w:eastAsia="仿宋_GB2312" w:cs="Times New Roman"/>
          <w:sz w:val="32"/>
          <w:szCs w:val="32"/>
        </w:rPr>
        <w:t>指事业单位从主管部门和上级单位取得的非财政补助收入。</w:t>
      </w:r>
    </w:p>
    <w:p>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三、事业收入：</w:t>
      </w:r>
      <w:r>
        <w:rPr>
          <w:rFonts w:hint="default" w:ascii="Times New Roman" w:hAnsi="Times New Roman" w:eastAsia="仿宋_GB2312" w:cs="Times New Roman"/>
          <w:sz w:val="32"/>
          <w:szCs w:val="32"/>
        </w:rPr>
        <w:t>指事业单位开展专业业务活动及其辅助活动所取得的收入。</w:t>
      </w:r>
    </w:p>
    <w:p>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四、经营收入：</w:t>
      </w:r>
      <w:r>
        <w:rPr>
          <w:rFonts w:hint="default" w:ascii="Times New Roman" w:hAnsi="Times New Roman" w:eastAsia="仿宋_GB2312" w:cs="Times New Roman"/>
          <w:sz w:val="32"/>
          <w:szCs w:val="32"/>
        </w:rPr>
        <w:t>指事业单位在专业业务活动及其辅助活动之外开展非独立核算经营活动取得的收入。</w:t>
      </w:r>
    </w:p>
    <w:p>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五、附属单位上缴收入：</w:t>
      </w:r>
      <w:r>
        <w:rPr>
          <w:rFonts w:hint="default" w:ascii="Times New Roman" w:hAnsi="Times New Roman" w:eastAsia="仿宋_GB2312" w:cs="Times New Roman"/>
          <w:sz w:val="32"/>
          <w:szCs w:val="32"/>
        </w:rPr>
        <w:t>指事业单位附属的独立核算单位按有关规定上缴的收入。</w:t>
      </w:r>
    </w:p>
    <w:p>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六、其他收入：</w:t>
      </w:r>
      <w:r>
        <w:rPr>
          <w:rFonts w:hint="default" w:ascii="Times New Roman" w:hAnsi="Times New Roman" w:eastAsia="仿宋_GB2312" w:cs="Times New Roman"/>
          <w:sz w:val="32"/>
          <w:szCs w:val="32"/>
        </w:rPr>
        <w:t>指除上述“财政拨款收入”、“事业收入”、“经营收入”、“附属单位上缴收入”等之外取得的收入。</w:t>
      </w:r>
    </w:p>
    <w:p>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七、年初结转和结余：</w:t>
      </w:r>
      <w:r>
        <w:rPr>
          <w:rFonts w:hint="default" w:ascii="Times New Roman" w:hAnsi="Times New Roman" w:eastAsia="仿宋_GB2312" w:cs="Times New Roman"/>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八、年末结转和结余：</w:t>
      </w:r>
      <w:r>
        <w:rPr>
          <w:rFonts w:hint="default" w:ascii="Times New Roman" w:hAnsi="Times New Roman" w:eastAsia="仿宋_GB2312" w:cs="Times New Roman"/>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九、基本支出：</w:t>
      </w:r>
      <w:r>
        <w:rPr>
          <w:rFonts w:hint="default" w:ascii="Times New Roman" w:hAnsi="Times New Roman" w:eastAsia="仿宋_GB2312" w:cs="Times New Roman"/>
          <w:sz w:val="32"/>
          <w:szCs w:val="32"/>
        </w:rPr>
        <w:t>指为保障机构正常运转、完成日常工作任务而发生的人员支出和公用支出。</w:t>
      </w:r>
    </w:p>
    <w:p>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十、项目支出：</w:t>
      </w:r>
      <w:r>
        <w:rPr>
          <w:rFonts w:hint="default" w:ascii="Times New Roman" w:hAnsi="Times New Roman" w:eastAsia="仿宋_GB2312" w:cs="Times New Roman"/>
          <w:sz w:val="32"/>
          <w:szCs w:val="32"/>
        </w:rPr>
        <w:t>指在基本支出之外为完成特定行政任务和事业发展目标所发生的支出。</w:t>
      </w:r>
    </w:p>
    <w:p>
      <w:pPr>
        <w:autoSpaceDE w:val="0"/>
        <w:autoSpaceDN w:val="0"/>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十一、经营支出：</w:t>
      </w:r>
      <w:r>
        <w:rPr>
          <w:rFonts w:hint="default" w:ascii="Times New Roman" w:hAnsi="Times New Roman" w:eastAsia="仿宋_GB2312" w:cs="Times New Roman"/>
          <w:sz w:val="32"/>
          <w:szCs w:val="32"/>
        </w:rPr>
        <w:t>指事业单位在专业业务活动及其辅助活动之外开展非独立核算经营活动发生的支出。</w:t>
      </w:r>
    </w:p>
    <w:p>
      <w:pPr>
        <w:autoSpaceDE w:val="0"/>
        <w:autoSpaceDN w:val="0"/>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十二、对附属单位补助支出：</w:t>
      </w:r>
      <w:r>
        <w:rPr>
          <w:rFonts w:hint="default" w:ascii="Times New Roman" w:hAnsi="Times New Roman" w:eastAsia="仿宋_GB2312" w:cs="Times New Roman"/>
          <w:sz w:val="32"/>
          <w:szCs w:val="32"/>
        </w:rPr>
        <w:t>指事业单位发生的用非财政预算资金对附属单位的补助支出。</w:t>
      </w:r>
    </w:p>
    <w:p>
      <w:pPr>
        <w:autoSpaceDE w:val="0"/>
        <w:autoSpaceDN w:val="0"/>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十三、“三公”经费：</w:t>
      </w:r>
      <w:r>
        <w:rPr>
          <w:rFonts w:hint="default" w:ascii="Times New Roman" w:hAnsi="Times New Roman" w:eastAsia="仿宋_GB2312" w:cs="Times New Roman"/>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十四、机关运行经费：</w:t>
      </w:r>
      <w:r>
        <w:rPr>
          <w:rFonts w:hint="default" w:ascii="Times New Roman" w:hAnsi="Times New Roman" w:eastAsia="仿宋_GB2312" w:cs="Times New Roman"/>
          <w:sz w:val="32"/>
          <w:szCs w:val="32"/>
        </w:rPr>
        <w:t>行政单位和参照公务员法管理的事业单位财政拨款基本支出中的公用经费支出。</w:t>
      </w:r>
    </w:p>
    <w:p>
      <w:pPr>
        <w:ind w:firstLine="640" w:firstLineChars="200"/>
        <w:jc w:val="center"/>
        <w:outlineLvl w:val="0"/>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br w:type="page"/>
      </w:r>
      <w:r>
        <w:rPr>
          <w:rFonts w:hint="default" w:ascii="Times New Roman" w:hAnsi="Times New Roman" w:eastAsia="黑体" w:cs="Times New Roman"/>
          <w:sz w:val="32"/>
          <w:szCs w:val="32"/>
        </w:rPr>
        <w:t>第四部分 部门决算报表（见附表）</w:t>
      </w:r>
    </w:p>
    <w:p>
      <w:pPr>
        <w:ind w:firstLine="640" w:firstLineChars="200"/>
        <w:outlineLvl w:val="1"/>
        <w:rPr>
          <w:rFonts w:hint="default" w:ascii="Times New Roman" w:hAnsi="Times New Roman" w:eastAsia="仿宋_GB2312" w:cs="Times New Roman"/>
          <w:bCs/>
          <w:kern w:val="0"/>
          <w:sz w:val="32"/>
          <w:szCs w:val="32"/>
        </w:rPr>
      </w:pPr>
      <w:bookmarkStart w:id="32" w:name="_Toc2183"/>
      <w:bookmarkStart w:id="33" w:name="_Toc6062"/>
      <w:r>
        <w:rPr>
          <w:rFonts w:hint="default" w:ascii="Times New Roman" w:hAnsi="Times New Roman" w:eastAsia="仿宋_GB2312" w:cs="Times New Roman"/>
          <w:bCs/>
          <w:kern w:val="0"/>
          <w:sz w:val="32"/>
          <w:szCs w:val="32"/>
        </w:rPr>
        <w:t>一、《收入支出决算总表》</w:t>
      </w:r>
      <w:bookmarkEnd w:id="32"/>
      <w:bookmarkEnd w:id="33"/>
    </w:p>
    <w:p>
      <w:pPr>
        <w:ind w:firstLine="640" w:firstLineChars="200"/>
        <w:outlineLvl w:val="1"/>
        <w:rPr>
          <w:rFonts w:hint="default" w:ascii="Times New Roman" w:hAnsi="Times New Roman" w:eastAsia="仿宋_GB2312" w:cs="Times New Roman"/>
          <w:bCs/>
          <w:kern w:val="0"/>
          <w:sz w:val="32"/>
          <w:szCs w:val="32"/>
        </w:rPr>
      </w:pPr>
      <w:bookmarkStart w:id="34" w:name="_Toc30364"/>
      <w:bookmarkStart w:id="35" w:name="_Toc24532"/>
      <w:r>
        <w:rPr>
          <w:rFonts w:hint="default" w:ascii="Times New Roman" w:hAnsi="Times New Roman" w:eastAsia="仿宋_GB2312" w:cs="Times New Roman"/>
          <w:bCs/>
          <w:kern w:val="0"/>
          <w:sz w:val="32"/>
          <w:szCs w:val="32"/>
        </w:rPr>
        <w:t>二、《收入决算表》</w:t>
      </w:r>
      <w:bookmarkEnd w:id="34"/>
      <w:bookmarkEnd w:id="35"/>
    </w:p>
    <w:p>
      <w:pPr>
        <w:ind w:firstLine="640" w:firstLineChars="200"/>
        <w:outlineLvl w:val="1"/>
        <w:rPr>
          <w:rFonts w:hint="default" w:ascii="Times New Roman" w:hAnsi="Times New Roman" w:eastAsia="仿宋_GB2312" w:cs="Times New Roman"/>
          <w:bCs/>
          <w:kern w:val="0"/>
          <w:sz w:val="32"/>
          <w:szCs w:val="32"/>
        </w:rPr>
      </w:pPr>
      <w:bookmarkStart w:id="36" w:name="_Toc21304"/>
      <w:bookmarkStart w:id="37" w:name="_Toc32434"/>
      <w:r>
        <w:rPr>
          <w:rFonts w:hint="default" w:ascii="Times New Roman" w:hAnsi="Times New Roman" w:eastAsia="仿宋_GB2312" w:cs="Times New Roman"/>
          <w:bCs/>
          <w:kern w:val="0"/>
          <w:sz w:val="32"/>
          <w:szCs w:val="32"/>
        </w:rPr>
        <w:t>三、《支出决算表》</w:t>
      </w:r>
      <w:bookmarkEnd w:id="36"/>
      <w:bookmarkEnd w:id="37"/>
    </w:p>
    <w:p>
      <w:pPr>
        <w:ind w:firstLine="640" w:firstLineChars="200"/>
        <w:outlineLvl w:val="1"/>
        <w:rPr>
          <w:rFonts w:hint="default" w:ascii="Times New Roman" w:hAnsi="Times New Roman" w:eastAsia="仿宋_GB2312" w:cs="Times New Roman"/>
          <w:bCs/>
          <w:kern w:val="0"/>
          <w:sz w:val="32"/>
          <w:szCs w:val="32"/>
        </w:rPr>
      </w:pPr>
      <w:bookmarkStart w:id="38" w:name="_Toc28786"/>
      <w:bookmarkStart w:id="39" w:name="_Toc14238"/>
      <w:r>
        <w:rPr>
          <w:rFonts w:hint="default" w:ascii="Times New Roman" w:hAnsi="Times New Roman" w:eastAsia="仿宋_GB2312" w:cs="Times New Roman"/>
          <w:bCs/>
          <w:kern w:val="0"/>
          <w:sz w:val="32"/>
          <w:szCs w:val="32"/>
        </w:rPr>
        <w:t>四、《财政拨款收入支出决算总表》</w:t>
      </w:r>
      <w:bookmarkEnd w:id="38"/>
      <w:bookmarkEnd w:id="39"/>
    </w:p>
    <w:p>
      <w:pPr>
        <w:ind w:firstLine="640" w:firstLineChars="200"/>
        <w:outlineLvl w:val="1"/>
        <w:rPr>
          <w:rFonts w:hint="default" w:ascii="Times New Roman" w:hAnsi="Times New Roman" w:eastAsia="仿宋_GB2312" w:cs="Times New Roman"/>
          <w:bCs/>
          <w:kern w:val="0"/>
          <w:sz w:val="32"/>
          <w:szCs w:val="32"/>
        </w:rPr>
      </w:pPr>
      <w:bookmarkStart w:id="40" w:name="_Toc14869"/>
      <w:bookmarkStart w:id="41" w:name="_Toc10347"/>
      <w:r>
        <w:rPr>
          <w:rFonts w:hint="default" w:ascii="Times New Roman" w:hAnsi="Times New Roman" w:eastAsia="仿宋_GB2312" w:cs="Times New Roman"/>
          <w:bCs/>
          <w:kern w:val="0"/>
          <w:sz w:val="32"/>
          <w:szCs w:val="32"/>
        </w:rPr>
        <w:t>五、《一般公共预算财政拨款支出决算表》</w:t>
      </w:r>
      <w:bookmarkEnd w:id="40"/>
      <w:bookmarkEnd w:id="41"/>
    </w:p>
    <w:p>
      <w:pPr>
        <w:ind w:firstLine="640" w:firstLineChars="200"/>
        <w:outlineLvl w:val="1"/>
        <w:rPr>
          <w:rFonts w:hint="default" w:ascii="Times New Roman" w:hAnsi="Times New Roman" w:eastAsia="仿宋_GB2312" w:cs="Times New Roman"/>
          <w:bCs/>
          <w:kern w:val="0"/>
          <w:sz w:val="32"/>
          <w:szCs w:val="32"/>
        </w:rPr>
      </w:pPr>
      <w:bookmarkStart w:id="42" w:name="_Toc5626"/>
      <w:bookmarkStart w:id="43" w:name="_Toc8884"/>
      <w:r>
        <w:rPr>
          <w:rFonts w:hint="default" w:ascii="Times New Roman" w:hAnsi="Times New Roman" w:eastAsia="仿宋_GB2312" w:cs="Times New Roman"/>
          <w:bCs/>
          <w:kern w:val="0"/>
          <w:sz w:val="32"/>
          <w:szCs w:val="32"/>
        </w:rPr>
        <w:t>六、《一般公共预算财政拨款基本支出决算表》</w:t>
      </w:r>
      <w:bookmarkEnd w:id="42"/>
      <w:bookmarkEnd w:id="43"/>
    </w:p>
    <w:p>
      <w:pPr>
        <w:ind w:firstLine="640" w:firstLineChars="200"/>
        <w:outlineLvl w:val="1"/>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七、</w:t>
      </w:r>
      <w:bookmarkStart w:id="44" w:name="_Toc29106"/>
      <w:bookmarkStart w:id="45" w:name="_Toc32663"/>
      <w:r>
        <w:rPr>
          <w:rFonts w:hint="default" w:ascii="Times New Roman" w:hAnsi="Times New Roman" w:eastAsia="仿宋_GB2312" w:cs="Times New Roman"/>
          <w:bCs/>
          <w:kern w:val="0"/>
          <w:sz w:val="32"/>
          <w:szCs w:val="32"/>
        </w:rPr>
        <w:t>《财政拨款“三公”经费支出决算表》</w:t>
      </w:r>
      <w:bookmarkEnd w:id="44"/>
      <w:bookmarkEnd w:id="45"/>
    </w:p>
    <w:p>
      <w:pPr>
        <w:ind w:firstLine="640" w:firstLineChars="200"/>
        <w:outlineLvl w:val="1"/>
        <w:rPr>
          <w:rFonts w:hint="default" w:ascii="Times New Roman" w:hAnsi="Times New Roman" w:eastAsia="仿宋_GB2312" w:cs="Times New Roman"/>
          <w:bCs/>
          <w:kern w:val="0"/>
          <w:sz w:val="32"/>
          <w:szCs w:val="32"/>
        </w:rPr>
      </w:pPr>
      <w:bookmarkStart w:id="46" w:name="_Toc5453"/>
      <w:bookmarkStart w:id="47" w:name="_Toc7643"/>
      <w:r>
        <w:rPr>
          <w:rFonts w:hint="default" w:ascii="Times New Roman" w:hAnsi="Times New Roman" w:eastAsia="仿宋_GB2312" w:cs="Times New Roman"/>
          <w:bCs/>
          <w:kern w:val="0"/>
          <w:sz w:val="32"/>
          <w:szCs w:val="32"/>
        </w:rPr>
        <w:t>八、《政府性基金预算财政拨款收入支出决算表》</w:t>
      </w:r>
      <w:bookmarkEnd w:id="46"/>
      <w:bookmarkEnd w:id="47"/>
    </w:p>
    <w:p>
      <w:pPr>
        <w:ind w:firstLine="640" w:firstLineChars="200"/>
        <w:outlineLvl w:val="1"/>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九、《国有资本经营预算财政拨款收入支出决算表》</w:t>
      </w:r>
    </w:p>
    <w:p>
      <w:pPr>
        <w:ind w:firstLine="640" w:firstLineChars="200"/>
        <w:rPr>
          <w:rFonts w:hint="default" w:ascii="Times New Roman" w:hAnsi="Times New Roman" w:eastAsia="仿宋_GB2312" w:cs="Times New Roman"/>
          <w:sz w:val="32"/>
          <w:szCs w:val="32"/>
        </w:rPr>
      </w:pPr>
    </w:p>
    <w:p>
      <w:pPr>
        <w:ind w:firstLine="640" w:firstLineChars="200"/>
        <w:outlineLvl w:val="1"/>
        <w:rPr>
          <w:rFonts w:hint="default" w:ascii="Times New Roman" w:hAnsi="Times New Roman" w:eastAsia="黑体" w:cs="Times New Roman"/>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5OWM4ODk4ZGIzZWYwZTNmNjcxZmI1YTljZjEyMDkifQ=="/>
    <w:docVar w:name="KSO_WPS_MARK_KEY" w:val="41ee2a61-2d54-4f93-83be-afdb9a40d732"/>
  </w:docVars>
  <w:rsids>
    <w:rsidRoot w:val="00D10BF8"/>
    <w:rsid w:val="000049EB"/>
    <w:rsid w:val="00213C59"/>
    <w:rsid w:val="003210CE"/>
    <w:rsid w:val="00341B93"/>
    <w:rsid w:val="00437D70"/>
    <w:rsid w:val="005F48FF"/>
    <w:rsid w:val="00735D55"/>
    <w:rsid w:val="00747F5D"/>
    <w:rsid w:val="00750C22"/>
    <w:rsid w:val="0077059A"/>
    <w:rsid w:val="00776F97"/>
    <w:rsid w:val="00777B11"/>
    <w:rsid w:val="00811273"/>
    <w:rsid w:val="008D5BD6"/>
    <w:rsid w:val="009E0DE5"/>
    <w:rsid w:val="00B70D59"/>
    <w:rsid w:val="00C60B60"/>
    <w:rsid w:val="00C96E03"/>
    <w:rsid w:val="00CB6B95"/>
    <w:rsid w:val="00D10BF8"/>
    <w:rsid w:val="00D34C2A"/>
    <w:rsid w:val="00DB30CA"/>
    <w:rsid w:val="00E830B3"/>
    <w:rsid w:val="00E9092F"/>
    <w:rsid w:val="00EC3A1E"/>
    <w:rsid w:val="00EF528B"/>
    <w:rsid w:val="00F52A8D"/>
    <w:rsid w:val="00FD7961"/>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4F1149"/>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3EA30E4"/>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C6A0B2D"/>
    <w:rsid w:val="1D10456E"/>
    <w:rsid w:val="1D22799A"/>
    <w:rsid w:val="1D5C1A72"/>
    <w:rsid w:val="1DAF458D"/>
    <w:rsid w:val="1E086ACE"/>
    <w:rsid w:val="1E62130A"/>
    <w:rsid w:val="1E97358B"/>
    <w:rsid w:val="1EAA4A5F"/>
    <w:rsid w:val="1EE869A7"/>
    <w:rsid w:val="1FA15E62"/>
    <w:rsid w:val="1FED69B6"/>
    <w:rsid w:val="2064678E"/>
    <w:rsid w:val="20DC1AB9"/>
    <w:rsid w:val="20DD6197"/>
    <w:rsid w:val="212631E0"/>
    <w:rsid w:val="21723F5A"/>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07117"/>
    <w:rsid w:val="283A7FE5"/>
    <w:rsid w:val="285F51FF"/>
    <w:rsid w:val="28D22CC3"/>
    <w:rsid w:val="28DF2665"/>
    <w:rsid w:val="28EA7675"/>
    <w:rsid w:val="29072599"/>
    <w:rsid w:val="291029F3"/>
    <w:rsid w:val="29CB58F0"/>
    <w:rsid w:val="2A053397"/>
    <w:rsid w:val="2A145E96"/>
    <w:rsid w:val="2A2131BB"/>
    <w:rsid w:val="2AF5378F"/>
    <w:rsid w:val="2BB94DBF"/>
    <w:rsid w:val="2C223EC6"/>
    <w:rsid w:val="2C6F314E"/>
    <w:rsid w:val="2CC206BE"/>
    <w:rsid w:val="2D1136DF"/>
    <w:rsid w:val="2D20606D"/>
    <w:rsid w:val="2D8A0455"/>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A43A49"/>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8A4FC6"/>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C44182"/>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383999"/>
    <w:rsid w:val="658A4877"/>
    <w:rsid w:val="659557D1"/>
    <w:rsid w:val="65A00902"/>
    <w:rsid w:val="65AC6EDD"/>
    <w:rsid w:val="65BB191B"/>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1864C8"/>
    <w:rsid w:val="784E7CA6"/>
    <w:rsid w:val="78574801"/>
    <w:rsid w:val="7873527F"/>
    <w:rsid w:val="790A6425"/>
    <w:rsid w:val="790E2D96"/>
    <w:rsid w:val="791B54B2"/>
    <w:rsid w:val="795A0A34"/>
    <w:rsid w:val="797339C3"/>
    <w:rsid w:val="79D57D57"/>
    <w:rsid w:val="79F00650"/>
    <w:rsid w:val="7A6242BF"/>
    <w:rsid w:val="7A794513"/>
    <w:rsid w:val="7AB04722"/>
    <w:rsid w:val="7AE952D2"/>
    <w:rsid w:val="7BEC1860"/>
    <w:rsid w:val="7C7248A0"/>
    <w:rsid w:val="7C976D69"/>
    <w:rsid w:val="7CD752DA"/>
    <w:rsid w:val="7CDE40AB"/>
    <w:rsid w:val="7CF057E2"/>
    <w:rsid w:val="7D1548B5"/>
    <w:rsid w:val="7DF84014"/>
    <w:rsid w:val="7E124EAD"/>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5126</Words>
  <Characters>5699</Characters>
  <Lines>45</Lines>
  <Paragraphs>12</Paragraphs>
  <TotalTime>2</TotalTime>
  <ScaleCrop>false</ScaleCrop>
  <LinksUpToDate>false</LinksUpToDate>
  <CharactersWithSpaces>5710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2024-08-20T11:23:00Z</cp:lastPrinted>
  <dcterms:modified xsi:type="dcterms:W3CDTF">2024-09-02T07:53:56Z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9D15B6CC2AA04085B6689A046FFFA1C9_13</vt:lpwstr>
  </property>
</Properties>
</file>