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color w:val="auto"/>
          <w:kern w:val="0"/>
          <w:sz w:val="52"/>
          <w:szCs w:val="52"/>
          <w:highlight w:val="none"/>
        </w:rPr>
      </w:pPr>
    </w:p>
    <w:p>
      <w:pPr>
        <w:spacing w:line="540" w:lineRule="exact"/>
        <w:rPr>
          <w:rFonts w:hint="default" w:ascii="Times New Roman" w:hAnsi="Times New Roman" w:eastAsia="华文中宋" w:cs="Times New Roman"/>
          <w:b/>
          <w:color w:val="auto"/>
          <w:kern w:val="0"/>
          <w:sz w:val="52"/>
          <w:szCs w:val="52"/>
          <w:highlight w:val="none"/>
        </w:rPr>
      </w:pPr>
    </w:p>
    <w:p>
      <w:pPr>
        <w:spacing w:line="540" w:lineRule="exact"/>
        <w:jc w:val="center"/>
        <w:rPr>
          <w:rFonts w:hint="default" w:ascii="Times New Roman" w:hAnsi="Times New Roman" w:eastAsia="华文中宋" w:cs="Times New Roman"/>
          <w:b/>
          <w:color w:val="auto"/>
          <w:kern w:val="0"/>
          <w:sz w:val="52"/>
          <w:szCs w:val="52"/>
          <w:highlight w:val="none"/>
        </w:rPr>
      </w:pPr>
    </w:p>
    <w:p>
      <w:pPr>
        <w:spacing w:line="540" w:lineRule="exact"/>
        <w:jc w:val="center"/>
        <w:rPr>
          <w:rFonts w:hint="default" w:ascii="Times New Roman" w:hAnsi="Times New Roman" w:eastAsia="华文中宋" w:cs="Times New Roman"/>
          <w:b/>
          <w:color w:val="auto"/>
          <w:kern w:val="0"/>
          <w:sz w:val="52"/>
          <w:szCs w:val="52"/>
          <w:highlight w:val="none"/>
        </w:rPr>
      </w:pPr>
    </w:p>
    <w:p>
      <w:pPr>
        <w:spacing w:line="540" w:lineRule="exact"/>
        <w:jc w:val="center"/>
        <w:rPr>
          <w:rFonts w:hint="default" w:ascii="Times New Roman" w:hAnsi="Times New Roman" w:eastAsia="方正小标宋_GBK" w:cs="Times New Roman"/>
          <w:color w:val="auto"/>
          <w:kern w:val="0"/>
          <w:sz w:val="48"/>
          <w:szCs w:val="48"/>
          <w:highlight w:val="none"/>
        </w:rPr>
      </w:pPr>
      <w:r>
        <w:rPr>
          <w:rFonts w:hint="default" w:ascii="Times New Roman" w:hAnsi="Times New Roman" w:eastAsia="方正小标宋_GBK" w:cs="Times New Roman"/>
          <w:color w:val="auto"/>
          <w:kern w:val="0"/>
          <w:sz w:val="48"/>
          <w:szCs w:val="48"/>
          <w:highlight w:val="none"/>
          <w:lang w:eastAsia="zh-CN"/>
        </w:rPr>
        <w:t>自治区2023年第一批疫情防控补助资金（自治区本级医疗机构重症床位设备配置经费）项目</w:t>
      </w:r>
      <w:r>
        <w:rPr>
          <w:rFonts w:hint="default" w:ascii="Times New Roman" w:hAnsi="Times New Roman" w:eastAsia="方正小标宋_GBK" w:cs="Times New Roman"/>
          <w:color w:val="auto"/>
          <w:kern w:val="0"/>
          <w:sz w:val="48"/>
          <w:szCs w:val="48"/>
          <w:highlight w:val="none"/>
        </w:rPr>
        <w:t>绩效</w:t>
      </w:r>
    </w:p>
    <w:p>
      <w:pPr>
        <w:spacing w:line="540" w:lineRule="exact"/>
        <w:jc w:val="center"/>
        <w:rPr>
          <w:rFonts w:hint="default" w:ascii="Times New Roman" w:hAnsi="Times New Roman" w:eastAsia="方正小标宋_GBK" w:cs="Times New Roman"/>
          <w:color w:val="auto"/>
          <w:kern w:val="0"/>
          <w:sz w:val="48"/>
          <w:szCs w:val="48"/>
          <w:highlight w:val="none"/>
        </w:rPr>
      </w:pPr>
      <w:r>
        <w:rPr>
          <w:rFonts w:hint="default" w:ascii="Times New Roman" w:hAnsi="Times New Roman" w:eastAsia="方正小标宋_GBK" w:cs="Times New Roman"/>
          <w:color w:val="auto"/>
          <w:kern w:val="0"/>
          <w:sz w:val="48"/>
          <w:szCs w:val="48"/>
          <w:highlight w:val="none"/>
        </w:rPr>
        <w:t>评价报告</w:t>
      </w:r>
    </w:p>
    <w:p>
      <w:pPr>
        <w:spacing w:line="540" w:lineRule="exact"/>
        <w:jc w:val="center"/>
        <w:rPr>
          <w:rFonts w:hint="default" w:ascii="Times New Roman" w:hAnsi="Times New Roman" w:eastAsia="华文中宋" w:cs="Times New Roman"/>
          <w:b/>
          <w:color w:val="auto"/>
          <w:kern w:val="0"/>
          <w:sz w:val="52"/>
          <w:szCs w:val="52"/>
          <w:highlight w:val="none"/>
        </w:rPr>
      </w:pPr>
    </w:p>
    <w:p>
      <w:pPr>
        <w:spacing w:line="540" w:lineRule="exact"/>
        <w:jc w:val="center"/>
        <w:rPr>
          <w:rFonts w:hint="default" w:ascii="Times New Roman" w:hAnsi="Times New Roman" w:eastAsia="仿宋_GB2312" w:cs="Times New Roman"/>
          <w:color w:val="auto"/>
          <w:kern w:val="0"/>
          <w:sz w:val="36"/>
          <w:szCs w:val="36"/>
          <w:highlight w:val="none"/>
        </w:rPr>
      </w:pPr>
      <w:r>
        <w:rPr>
          <w:rFonts w:hint="default" w:ascii="Times New Roman" w:hAnsi="Times New Roman" w:eastAsia="仿宋_GB2312" w:cs="Times New Roman"/>
          <w:color w:val="auto"/>
          <w:kern w:val="0"/>
          <w:sz w:val="36"/>
          <w:szCs w:val="36"/>
          <w:highlight w:val="none"/>
        </w:rPr>
        <w:t>（ 2023年度）</w:t>
      </w:r>
    </w:p>
    <w:p>
      <w:pPr>
        <w:spacing w:line="540" w:lineRule="exact"/>
        <w:jc w:val="center"/>
        <w:rPr>
          <w:rFonts w:hint="default" w:ascii="Times New Roman" w:hAnsi="Times New Roman" w:eastAsia="仿宋_GB2312" w:cs="Times New Roman"/>
          <w:color w:val="auto"/>
          <w:kern w:val="0"/>
          <w:sz w:val="30"/>
          <w:szCs w:val="30"/>
          <w:highlight w:val="none"/>
        </w:rPr>
      </w:pPr>
    </w:p>
    <w:p>
      <w:pPr>
        <w:spacing w:line="540" w:lineRule="exact"/>
        <w:jc w:val="center"/>
        <w:rPr>
          <w:rFonts w:hint="default" w:ascii="Times New Roman" w:hAnsi="Times New Roman" w:eastAsia="仿宋_GB2312" w:cs="Times New Roman"/>
          <w:color w:val="auto"/>
          <w:kern w:val="0"/>
          <w:sz w:val="30"/>
          <w:szCs w:val="30"/>
          <w:highlight w:val="none"/>
        </w:rPr>
      </w:pPr>
    </w:p>
    <w:p>
      <w:pPr>
        <w:spacing w:line="540" w:lineRule="exact"/>
        <w:jc w:val="center"/>
        <w:rPr>
          <w:rFonts w:hint="default" w:ascii="Times New Roman" w:hAnsi="Times New Roman" w:eastAsia="仿宋_GB2312" w:cs="Times New Roman"/>
          <w:color w:val="auto"/>
          <w:kern w:val="0"/>
          <w:sz w:val="30"/>
          <w:szCs w:val="30"/>
          <w:highlight w:val="none"/>
        </w:rPr>
      </w:pPr>
    </w:p>
    <w:p>
      <w:pPr>
        <w:spacing w:line="540" w:lineRule="exact"/>
        <w:jc w:val="center"/>
        <w:rPr>
          <w:rFonts w:hint="default" w:ascii="Times New Roman" w:hAnsi="Times New Roman" w:eastAsia="仿宋_GB2312" w:cs="Times New Roman"/>
          <w:color w:val="auto"/>
          <w:kern w:val="0"/>
          <w:sz w:val="30"/>
          <w:szCs w:val="30"/>
          <w:highlight w:val="none"/>
        </w:rPr>
      </w:pPr>
    </w:p>
    <w:p>
      <w:pPr>
        <w:spacing w:line="540" w:lineRule="exact"/>
        <w:rPr>
          <w:rFonts w:hint="default" w:ascii="Times New Roman" w:hAnsi="Times New Roman" w:eastAsia="仿宋_GB2312" w:cs="Times New Roman"/>
          <w:color w:val="auto"/>
          <w:kern w:val="0"/>
          <w:sz w:val="30"/>
          <w:szCs w:val="30"/>
          <w:highlight w:val="none"/>
        </w:rPr>
      </w:pPr>
    </w:p>
    <w:p>
      <w:pPr>
        <w:spacing w:line="700" w:lineRule="exact"/>
        <w:ind w:firstLine="1280" w:firstLineChars="400"/>
        <w:jc w:val="left"/>
        <w:rPr>
          <w:rFonts w:hint="default" w:ascii="Times New Roman" w:hAnsi="Times New Roman" w:eastAsia="仿宋_GB2312" w:cs="Times New Roman"/>
          <w:color w:val="auto"/>
          <w:kern w:val="0"/>
          <w:sz w:val="32"/>
          <w:szCs w:val="32"/>
          <w:highlight w:val="none"/>
          <w:lang w:eastAsia="zh-CN"/>
        </w:rPr>
      </w:pPr>
      <w:r>
        <w:rPr>
          <w:rFonts w:hint="default" w:ascii="Times New Roman" w:hAnsi="Times New Roman" w:eastAsia="仿宋_GB2312" w:cs="Times New Roman"/>
          <w:color w:val="auto"/>
          <w:kern w:val="0"/>
          <w:sz w:val="32"/>
          <w:szCs w:val="32"/>
          <w:highlight w:val="none"/>
        </w:rPr>
        <w:t>项目名称：</w:t>
      </w:r>
      <w:r>
        <w:rPr>
          <w:rFonts w:hint="default" w:ascii="Times New Roman" w:hAnsi="Times New Roman" w:eastAsia="仿宋_GB2312" w:cs="Times New Roman"/>
          <w:color w:val="auto"/>
          <w:kern w:val="0"/>
          <w:sz w:val="32"/>
          <w:szCs w:val="32"/>
          <w:highlight w:val="none"/>
          <w:lang w:eastAsia="zh-CN"/>
        </w:rPr>
        <w:t>自治区2023年第一批疫情防控补助资金（自治区本级医疗机构重症床位设备配置经费）</w:t>
      </w:r>
    </w:p>
    <w:p>
      <w:pPr>
        <w:spacing w:line="700" w:lineRule="exact"/>
        <w:ind w:firstLine="1280" w:firstLineChars="400"/>
        <w:jc w:val="left"/>
        <w:rPr>
          <w:rFonts w:hint="default" w:ascii="Times New Roman" w:hAnsi="Times New Roman" w:eastAsia="仿宋_GB2312" w:cs="Times New Roman"/>
          <w:color w:val="auto"/>
          <w:kern w:val="0"/>
          <w:sz w:val="32"/>
          <w:szCs w:val="32"/>
          <w:highlight w:val="none"/>
          <w:lang w:eastAsia="zh-CN"/>
        </w:rPr>
      </w:pPr>
      <w:r>
        <w:rPr>
          <w:rFonts w:hint="default" w:ascii="Times New Roman" w:hAnsi="Times New Roman" w:eastAsia="仿宋_GB2312" w:cs="Times New Roman"/>
          <w:color w:val="auto"/>
          <w:kern w:val="0"/>
          <w:sz w:val="32"/>
          <w:szCs w:val="32"/>
          <w:highlight w:val="none"/>
        </w:rPr>
        <w:t>实施单位（公章）：</w:t>
      </w:r>
      <w:r>
        <w:rPr>
          <w:rFonts w:hint="default" w:ascii="Times New Roman" w:hAnsi="Times New Roman" w:eastAsia="仿宋_GB2312" w:cs="Times New Roman"/>
          <w:color w:val="auto"/>
          <w:kern w:val="0"/>
          <w:sz w:val="32"/>
          <w:szCs w:val="32"/>
          <w:highlight w:val="none"/>
          <w:lang w:eastAsia="zh-CN"/>
        </w:rPr>
        <w:t>自治区</w:t>
      </w:r>
      <w:r>
        <w:rPr>
          <w:rFonts w:hint="eastAsia" w:eastAsia="仿宋_GB2312" w:cs="Times New Roman"/>
          <w:color w:val="auto"/>
          <w:kern w:val="0"/>
          <w:sz w:val="32"/>
          <w:szCs w:val="32"/>
          <w:highlight w:val="none"/>
          <w:lang w:eastAsia="zh-CN"/>
        </w:rPr>
        <w:t>第八人民医</w:t>
      </w:r>
      <w:r>
        <w:rPr>
          <w:rFonts w:hint="default" w:ascii="Times New Roman" w:hAnsi="Times New Roman" w:eastAsia="仿宋_GB2312" w:cs="Times New Roman"/>
          <w:color w:val="auto"/>
          <w:kern w:val="0"/>
          <w:sz w:val="32"/>
          <w:szCs w:val="32"/>
          <w:highlight w:val="none"/>
          <w:lang w:eastAsia="zh-CN"/>
        </w:rPr>
        <w:t>院</w:t>
      </w:r>
    </w:p>
    <w:p>
      <w:pPr>
        <w:spacing w:line="700" w:lineRule="exact"/>
        <w:ind w:firstLine="1280" w:firstLineChars="400"/>
        <w:jc w:val="left"/>
        <w:rPr>
          <w:rFonts w:hint="default" w:ascii="Times New Roman" w:hAnsi="Times New Roman" w:eastAsia="仿宋_GB2312" w:cs="Times New Roman"/>
          <w:color w:val="auto"/>
          <w:kern w:val="0"/>
          <w:sz w:val="32"/>
          <w:szCs w:val="32"/>
          <w:highlight w:val="none"/>
          <w:lang w:eastAsia="zh-CN"/>
        </w:rPr>
      </w:pPr>
      <w:r>
        <w:rPr>
          <w:rFonts w:hint="default" w:ascii="Times New Roman" w:hAnsi="Times New Roman" w:eastAsia="仿宋_GB2312" w:cs="Times New Roman"/>
          <w:color w:val="auto"/>
          <w:kern w:val="0"/>
          <w:sz w:val="32"/>
          <w:szCs w:val="32"/>
          <w:highlight w:val="none"/>
        </w:rPr>
        <w:t>主管部门（公章）：</w:t>
      </w:r>
      <w:r>
        <w:rPr>
          <w:rFonts w:hint="default" w:ascii="Times New Roman" w:hAnsi="Times New Roman" w:eastAsia="仿宋_GB2312" w:cs="Times New Roman"/>
          <w:color w:val="auto"/>
          <w:kern w:val="0"/>
          <w:sz w:val="32"/>
          <w:szCs w:val="32"/>
          <w:highlight w:val="none"/>
          <w:lang w:eastAsia="zh-CN"/>
        </w:rPr>
        <w:t>自治区卫生健康委员会</w:t>
      </w:r>
    </w:p>
    <w:p>
      <w:pPr>
        <w:spacing w:line="700" w:lineRule="exact"/>
        <w:ind w:firstLine="1280" w:firstLineChars="400"/>
        <w:jc w:val="left"/>
        <w:rPr>
          <w:rFonts w:hint="default" w:ascii="Times New Roman" w:hAnsi="Times New Roman" w:eastAsia="仿宋_GB2312" w:cs="Times New Roman"/>
          <w:color w:val="auto"/>
          <w:kern w:val="0"/>
          <w:sz w:val="32"/>
          <w:szCs w:val="32"/>
          <w:highlight w:val="none"/>
          <w:lang w:eastAsia="zh-CN"/>
        </w:rPr>
      </w:pPr>
      <w:r>
        <w:rPr>
          <w:rFonts w:hint="default" w:ascii="Times New Roman" w:hAnsi="Times New Roman" w:eastAsia="仿宋_GB2312" w:cs="Times New Roman"/>
          <w:color w:val="auto"/>
          <w:kern w:val="0"/>
          <w:sz w:val="32"/>
          <w:szCs w:val="32"/>
          <w:highlight w:val="none"/>
        </w:rPr>
        <w:t>项目负责人（签章）：</w:t>
      </w:r>
      <w:r>
        <w:rPr>
          <w:rFonts w:hint="default" w:ascii="Times New Roman" w:hAnsi="Times New Roman" w:eastAsia="仿宋_GB2312" w:cs="Times New Roman"/>
          <w:color w:val="auto"/>
          <w:kern w:val="0"/>
          <w:sz w:val="32"/>
          <w:szCs w:val="32"/>
          <w:highlight w:val="none"/>
          <w:lang w:eastAsia="zh-CN"/>
        </w:rPr>
        <w:t>牛伟亚</w:t>
      </w:r>
    </w:p>
    <w:p>
      <w:pPr>
        <w:spacing w:line="700" w:lineRule="exact"/>
        <w:ind w:firstLine="1280" w:firstLineChars="400"/>
        <w:jc w:val="left"/>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填报时间：</w:t>
      </w:r>
      <w:r>
        <w:rPr>
          <w:rFonts w:hint="default" w:ascii="Times New Roman" w:hAnsi="Times New Roman" w:eastAsia="仿宋_GB2312" w:cs="Times New Roman"/>
          <w:color w:val="auto"/>
          <w:kern w:val="0"/>
          <w:sz w:val="32"/>
          <w:szCs w:val="32"/>
          <w:highlight w:val="none"/>
          <w:lang w:val="en-US" w:eastAsia="zh-CN"/>
        </w:rPr>
        <w:t>2024</w:t>
      </w:r>
      <w:r>
        <w:rPr>
          <w:rFonts w:hint="default" w:ascii="Times New Roman" w:hAnsi="Times New Roman" w:eastAsia="仿宋_GB2312" w:cs="Times New Roman"/>
          <w:color w:val="auto"/>
          <w:kern w:val="0"/>
          <w:sz w:val="32"/>
          <w:szCs w:val="32"/>
          <w:highlight w:val="none"/>
        </w:rPr>
        <w:t>年</w:t>
      </w:r>
      <w:r>
        <w:rPr>
          <w:rFonts w:hint="default" w:ascii="Times New Roman" w:hAnsi="Times New Roman" w:eastAsia="仿宋_GB2312" w:cs="Times New Roman"/>
          <w:color w:val="auto"/>
          <w:kern w:val="0"/>
          <w:sz w:val="32"/>
          <w:szCs w:val="32"/>
          <w:highlight w:val="none"/>
          <w:lang w:val="en-US" w:eastAsia="zh-CN"/>
        </w:rPr>
        <w:t>3</w:t>
      </w:r>
      <w:r>
        <w:rPr>
          <w:rFonts w:hint="default" w:ascii="Times New Roman" w:hAnsi="Times New Roman" w:eastAsia="仿宋_GB2312" w:cs="Times New Roman"/>
          <w:color w:val="auto"/>
          <w:kern w:val="0"/>
          <w:sz w:val="32"/>
          <w:szCs w:val="32"/>
          <w:highlight w:val="none"/>
        </w:rPr>
        <w:t>月</w:t>
      </w:r>
      <w:r>
        <w:rPr>
          <w:rFonts w:hint="default" w:ascii="Times New Roman" w:hAnsi="Times New Roman" w:eastAsia="仿宋_GB2312" w:cs="Times New Roman"/>
          <w:color w:val="auto"/>
          <w:kern w:val="0"/>
          <w:sz w:val="32"/>
          <w:szCs w:val="32"/>
          <w:highlight w:val="none"/>
          <w:lang w:val="en-US" w:eastAsia="zh-CN"/>
        </w:rPr>
        <w:t>8</w:t>
      </w:r>
      <w:r>
        <w:rPr>
          <w:rFonts w:hint="default" w:ascii="Times New Roman" w:hAnsi="Times New Roman" w:eastAsia="仿宋_GB2312" w:cs="Times New Roman"/>
          <w:color w:val="auto"/>
          <w:kern w:val="0"/>
          <w:sz w:val="32"/>
          <w:szCs w:val="32"/>
          <w:highlight w:val="none"/>
        </w:rPr>
        <w:t>日</w:t>
      </w:r>
    </w:p>
    <w:p>
      <w:pPr>
        <w:spacing w:line="540" w:lineRule="exact"/>
        <w:jc w:val="center"/>
        <w:rPr>
          <w:rFonts w:hint="default" w:ascii="Times New Roman" w:hAnsi="Times New Roman" w:eastAsia="仿宋_GB2312" w:cs="Times New Roman"/>
          <w:color w:val="auto"/>
          <w:kern w:val="0"/>
          <w:sz w:val="30"/>
          <w:szCs w:val="30"/>
          <w:highlight w:val="none"/>
        </w:rPr>
      </w:pPr>
    </w:p>
    <w:p>
      <w:pPr>
        <w:spacing w:line="540" w:lineRule="exact"/>
        <w:rPr>
          <w:rStyle w:val="13"/>
          <w:rFonts w:hint="default" w:ascii="Times New Roman" w:hAnsi="Times New Roman" w:eastAsia="黑体" w:cs="Times New Roman"/>
          <w:b w:val="0"/>
          <w:color w:val="auto"/>
          <w:spacing w:val="-4"/>
          <w:sz w:val="32"/>
          <w:szCs w:val="32"/>
          <w:highlight w:val="none"/>
        </w:rPr>
      </w:pPr>
    </w:p>
    <w:p>
      <w:pPr>
        <w:spacing w:line="560" w:lineRule="exact"/>
        <w:ind w:firstLine="320" w:firstLineChars="100"/>
        <w:rPr>
          <w:rFonts w:hint="default" w:ascii="Times New Roman" w:hAnsi="Times New Roman" w:eastAsia="黑体" w:cs="Times New Roman"/>
          <w:bCs/>
          <w:color w:val="auto"/>
          <w:sz w:val="32"/>
          <w:szCs w:val="32"/>
          <w:highlight w:val="none"/>
        </w:rPr>
      </w:pPr>
    </w:p>
    <w:p>
      <w:pPr>
        <w:keepNext w:val="0"/>
        <w:keepLines w:val="0"/>
        <w:pageBreakBefore w:val="0"/>
        <w:kinsoku/>
        <w:wordWrap/>
        <w:overflowPunct/>
        <w:topLinePunct w:val="0"/>
        <w:autoSpaceDE/>
        <w:autoSpaceDN/>
        <w:bidi w:val="0"/>
        <w:adjustRightInd/>
        <w:snapToGrid/>
        <w:spacing w:line="540" w:lineRule="exact"/>
        <w:ind w:firstLine="320" w:firstLineChars="100"/>
        <w:textAlignment w:val="auto"/>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一、基本情况</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（一）项目概况</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1、项目背景</w:t>
      </w:r>
    </w:p>
    <w:p>
      <w:pPr>
        <w:keepNext w:val="0"/>
        <w:keepLines w:val="0"/>
        <w:pageBreakBefore w:val="0"/>
        <w:kinsoku/>
        <w:wordWrap/>
        <w:overflowPunct/>
        <w:topLinePunct w:val="0"/>
        <w:autoSpaceDE/>
        <w:autoSpaceDN/>
        <w:bidi w:val="0"/>
        <w:adjustRightInd/>
        <w:snapToGrid/>
        <w:spacing w:line="540" w:lineRule="exact"/>
        <w:ind w:left="0" w:leftChars="0" w:firstLine="640" w:firstLineChars="200"/>
        <w:jc w:val="left"/>
        <w:textAlignment w:val="auto"/>
        <w:rPr>
          <w:rFonts w:hint="default" w:ascii="Times New Roman" w:hAnsi="Times New Roman" w:eastAsia="仿宋_GB2312" w:cs="Times New Roman"/>
          <w:color w:val="auto"/>
          <w:kern w:val="0"/>
          <w:sz w:val="36"/>
          <w:szCs w:val="36"/>
          <w:highlight w:val="none"/>
          <w:lang w:eastAsia="zh-CN"/>
        </w:rPr>
      </w:pPr>
      <w:r>
        <w:rPr>
          <w:rFonts w:hint="default" w:ascii="Times New Roman" w:hAnsi="Times New Roman" w:eastAsia="仿宋_GB2312" w:cs="Times New Roman"/>
          <w:b w:val="0"/>
          <w:bCs/>
          <w:color w:val="auto"/>
          <w:kern w:val="2"/>
          <w:sz w:val="32"/>
          <w:szCs w:val="32"/>
          <w:highlight w:val="none"/>
          <w:lang w:val="en-US" w:eastAsia="zh-CN" w:bidi="ar-SA"/>
        </w:rPr>
        <w:t>按照国务院联防联控机制《关于印发做好医疗资源准备工作方案的通知》（联防联控机制综发〔2022〕112号）要求和新冠病毒感染疫情乙类乙管工作要求，有效提升医疗机构重症救治资源储备，扩充ICU和可转化ICU床位数，补齐设备缺口，有效开展疫情期间重症病例救治工作的要求；以及根据自治区党委、人民政府关于扩展自治区本级医疗机构重症床位的工作部署，提高自治区疫情救治定点医院重症救治能力的相关要求；根据《关于拨付2023年自治区第一批疫情防控补助资金（自治区本级医疗机构重症床位设备购置经费）的通知》（</w:t>
      </w:r>
      <w:r>
        <w:rPr>
          <w:rFonts w:hint="default" w:ascii="Times New Roman" w:hAnsi="Times New Roman" w:eastAsia="仿宋_GB2312" w:cs="Times New Roman"/>
          <w:color w:val="auto"/>
          <w:sz w:val="32"/>
          <w:szCs w:val="32"/>
          <w:highlight w:val="none"/>
          <w:lang w:val="zh-CN"/>
        </w:rPr>
        <w:t>新财社</w:t>
      </w:r>
      <w:r>
        <w:rPr>
          <w:rFonts w:hint="default" w:ascii="Times New Roman" w:hAnsi="Times New Roman" w:eastAsia="仿宋_GB2312" w:cs="Times New Roman"/>
          <w:b w:val="0"/>
          <w:bCs/>
          <w:color w:val="auto"/>
          <w:kern w:val="2"/>
          <w:sz w:val="32"/>
          <w:szCs w:val="32"/>
          <w:highlight w:val="none"/>
          <w:lang w:val="en-US" w:eastAsia="zh-CN" w:bidi="ar-SA"/>
        </w:rPr>
        <w:t>[</w:t>
      </w:r>
      <w:r>
        <w:rPr>
          <w:rFonts w:hint="default" w:ascii="Times New Roman" w:hAnsi="Times New Roman" w:eastAsia="仿宋_GB2312" w:cs="Times New Roman"/>
          <w:color w:val="auto"/>
          <w:sz w:val="32"/>
          <w:szCs w:val="32"/>
          <w:highlight w:val="none"/>
          <w:lang w:val="zh-CN"/>
        </w:rPr>
        <w:t>2023</w:t>
      </w:r>
      <w:r>
        <w:rPr>
          <w:rFonts w:hint="default" w:ascii="Times New Roman" w:hAnsi="Times New Roman" w:eastAsia="仿宋_GB2312" w:cs="Times New Roman"/>
          <w:b w:val="0"/>
          <w:bCs/>
          <w:color w:val="auto"/>
          <w:kern w:val="2"/>
          <w:sz w:val="32"/>
          <w:szCs w:val="32"/>
          <w:highlight w:val="none"/>
          <w:lang w:val="en-US" w:eastAsia="zh-CN" w:bidi="ar-SA"/>
        </w:rPr>
        <w:t>]</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val="zh-CN"/>
        </w:rPr>
        <w:t>号</w:t>
      </w:r>
      <w:r>
        <w:rPr>
          <w:rFonts w:hint="default" w:ascii="Times New Roman" w:hAnsi="Times New Roman" w:eastAsia="仿宋_GB2312" w:cs="Times New Roman"/>
          <w:b w:val="0"/>
          <w:bCs/>
          <w:color w:val="auto"/>
          <w:kern w:val="2"/>
          <w:sz w:val="32"/>
          <w:szCs w:val="32"/>
          <w:highlight w:val="none"/>
          <w:lang w:val="en-US" w:eastAsia="zh-CN" w:bidi="ar-SA"/>
        </w:rPr>
        <w:t>）文件，我单位使用</w:t>
      </w:r>
      <w:r>
        <w:rPr>
          <w:rFonts w:hint="default" w:ascii="Times New Roman" w:hAnsi="Times New Roman" w:eastAsia="仿宋_GB2312" w:cs="Times New Roman"/>
          <w:color w:val="auto"/>
          <w:kern w:val="0"/>
          <w:sz w:val="32"/>
          <w:szCs w:val="32"/>
          <w:highlight w:val="none"/>
          <w:lang w:eastAsia="zh-CN"/>
        </w:rPr>
        <w:t>自治区2023年第一批疫情防控补助资金（自治区本级医疗机构重症床位设备配置经费）项目资金开展重症床位及相关设备配置建设工作。</w:t>
      </w:r>
    </w:p>
    <w:p>
      <w:pPr>
        <w:pStyle w:val="2"/>
        <w:keepNext w:val="0"/>
        <w:keepLines w:val="0"/>
        <w:pageBreakBefore w:val="0"/>
        <w:numPr>
          <w:ilvl w:val="0"/>
          <w:numId w:val="1"/>
        </w:numPr>
        <w:kinsoku/>
        <w:wordWrap/>
        <w:overflowPunct/>
        <w:topLinePunct w:val="0"/>
        <w:autoSpaceDE/>
        <w:autoSpaceDN/>
        <w:bidi w:val="0"/>
        <w:adjustRightInd/>
        <w:snapToGrid/>
        <w:spacing w:before="0" w:after="0" w:line="540" w:lineRule="exact"/>
        <w:ind w:firstLine="643" w:firstLineChars="200"/>
        <w:jc w:val="both"/>
        <w:textAlignment w:val="auto"/>
        <w:rPr>
          <w:rFonts w:hint="default" w:ascii="Times New Roman" w:hAnsi="Times New Roman" w:eastAsia="仿宋_GB2312" w:cs="Times New Roman"/>
          <w:color w:val="auto"/>
          <w:kern w:val="2"/>
          <w:highlight w:val="none"/>
        </w:rPr>
      </w:pPr>
      <w:r>
        <w:rPr>
          <w:rFonts w:hint="default" w:ascii="Times New Roman" w:hAnsi="Times New Roman" w:eastAsia="仿宋_GB2312" w:cs="Times New Roman"/>
          <w:color w:val="auto"/>
          <w:kern w:val="2"/>
          <w:highlight w:val="none"/>
        </w:rPr>
        <w:t>项目主要内容：</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sz w:val="30"/>
          <w:szCs w:val="30"/>
          <w:highlight w:val="none"/>
          <w:lang w:val="en-US" w:eastAsia="zh-CN"/>
        </w:rPr>
        <w:t>项目主要内容：</w:t>
      </w:r>
      <w:r>
        <w:rPr>
          <w:rFonts w:hint="default" w:ascii="Times New Roman" w:hAnsi="Times New Roman" w:eastAsia="仿宋_GB2312" w:cs="Times New Roman"/>
          <w:color w:val="auto"/>
          <w:sz w:val="32"/>
          <w:szCs w:val="32"/>
          <w:highlight w:val="none"/>
        </w:rPr>
        <w:t>按照国务院联防联控机制《关于印发做好医疗资源准备工作方案的通知》（联防联控机制综发</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2022</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112号）要求和新冠病毒感染疫情乙类乙管工作要求，有效提升医疗机构重症救治资源储备，扩充ICU和可转化ICU床位数，补齐设备缺口，有效开展疫情期间重症病例救治工作。</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3、资金投入和使用情况</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（1）资金投入情况</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该项目年初预算数1110万元，全年预算数1110万元，实际总投入1110万元，该项目资金已全部落实到位，资金来源为财政资金。</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（2）资金使用情况</w:t>
      </w:r>
    </w:p>
    <w:p>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该项目年初预算数1110万元，全年预算数1110万元，全年执行数1110万元，预算执行率为100%，主要用于：</w:t>
      </w:r>
      <w:r>
        <w:rPr>
          <w:rFonts w:hint="default" w:ascii="Times New Roman" w:hAnsi="Times New Roman" w:eastAsia="仿宋_GB2312" w:cs="Times New Roman"/>
          <w:b w:val="0"/>
          <w:bCs w:val="0"/>
          <w:color w:val="auto"/>
          <w:kern w:val="2"/>
          <w:highlight w:val="none"/>
        </w:rPr>
        <w:t>支付项目实施进程中的各项费用。</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（二）项目绩效目标</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1、总体目标</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sz w:val="32"/>
          <w:szCs w:val="32"/>
          <w:highlight w:val="none"/>
        </w:rPr>
        <w:t>按照国务院联防联控机制《关于印发做好医疗资源准备工作方案的通知》（联防联控机制综发</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2022</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112号）要求和新冠病毒感染疫情乙类乙管工作要求，有效提升医疗机构重症救治资源储备，扩充ICU和可转化ICU床位数，补齐设备缺口，有效开展疫情期间重症病例救治工作。</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t>2、阶段性目标</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（1）前期准备：通过制定项目实施方案，经项目负责人审核通过后，有序开展后续工作。</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（2）组织实施：资金一到位，立即根据项目要求实施项目。项目责任人按照项目实施方案要求逐一进行项目部署安排，提高项目质量及</w:t>
      </w:r>
      <w:r>
        <w:rPr>
          <w:rFonts w:hint="eastAsia" w:eastAsia="仿宋_GB2312" w:cs="Times New Roman"/>
          <w:color w:val="auto"/>
          <w:sz w:val="32"/>
          <w:szCs w:val="32"/>
          <w:highlight w:val="none"/>
          <w:lang w:eastAsia="zh-CN"/>
        </w:rPr>
        <w:t>效率</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二、绩效评价工作开展情况</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（一）绩效评价目的、对象和范围</w:t>
      </w:r>
    </w:p>
    <w:p>
      <w:pPr>
        <w:pStyle w:val="2"/>
        <w:keepNext w:val="0"/>
        <w:keepLines w:val="0"/>
        <w:pageBreakBefore w:val="0"/>
        <w:widowControl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1、绩效评价的目的</w:t>
      </w:r>
    </w:p>
    <w:p>
      <w:pPr>
        <w:pStyle w:val="16"/>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color w:val="auto"/>
          <w:kern w:val="2"/>
          <w:sz w:val="32"/>
          <w:szCs w:val="32"/>
          <w:highlight w:val="none"/>
        </w:rPr>
      </w:pPr>
      <w:r>
        <w:rPr>
          <w:rFonts w:hint="default" w:ascii="Times New Roman" w:hAnsi="Times New Roman" w:eastAsia="仿宋_GB2312" w:cs="Times New Roman"/>
          <w:color w:val="auto"/>
          <w:sz w:val="32"/>
          <w:szCs w:val="32"/>
          <w:highlight w:val="none"/>
        </w:rPr>
        <w:t>通过开展有效的财政支出绩效评价管理，</w:t>
      </w:r>
      <w:r>
        <w:rPr>
          <w:rFonts w:hint="default" w:ascii="Times New Roman" w:hAnsi="Times New Roman" w:eastAsia="仿宋_GB2312" w:cs="Times New Roman"/>
          <w:color w:val="auto"/>
          <w:kern w:val="2"/>
          <w:sz w:val="32"/>
          <w:szCs w:val="32"/>
          <w:highlight w:val="none"/>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2"/>
        <w:keepNext w:val="0"/>
        <w:keepLines w:val="0"/>
        <w:pageBreakBefore w:val="0"/>
        <w:widowControl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2、绩效评价的对象</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自治区2023年第一批疫情防控补助资金（自治区本级医疗机构重症床位设备配置经费）</w:t>
      </w:r>
      <w:r>
        <w:rPr>
          <w:rFonts w:hint="default" w:ascii="Times New Roman" w:hAnsi="Times New Roman" w:eastAsia="仿宋_GB2312" w:cs="Times New Roman"/>
          <w:color w:val="auto"/>
          <w:sz w:val="32"/>
          <w:szCs w:val="32"/>
          <w:highlight w:val="none"/>
          <w:lang w:eastAsia="zh-Hans"/>
        </w:rPr>
        <w:t>项目</w:t>
      </w:r>
      <w:r>
        <w:rPr>
          <w:rFonts w:hint="default" w:ascii="Times New Roman" w:hAnsi="Times New Roman" w:eastAsia="仿宋_GB2312" w:cs="Times New Roman"/>
          <w:color w:val="auto"/>
          <w:sz w:val="32"/>
          <w:szCs w:val="32"/>
          <w:highlight w:val="none"/>
        </w:rPr>
        <w:t>所包含的全部项目内容。</w:t>
      </w:r>
    </w:p>
    <w:p>
      <w:pPr>
        <w:pStyle w:val="2"/>
        <w:keepNext w:val="0"/>
        <w:keepLines w:val="0"/>
        <w:pageBreakBefore w:val="0"/>
        <w:widowControl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3、绩效评价的范围</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自治区2023年第一批疫情防控补助资金（自治区本级医疗机构重症床位设备配置经费）</w:t>
      </w:r>
      <w:r>
        <w:rPr>
          <w:rFonts w:hint="default" w:ascii="Times New Roman" w:hAnsi="Times New Roman" w:eastAsia="仿宋_GB2312" w:cs="Times New Roman"/>
          <w:color w:val="auto"/>
          <w:sz w:val="32"/>
          <w:szCs w:val="32"/>
          <w:highlight w:val="none"/>
          <w:lang w:eastAsia="zh-Hans"/>
        </w:rPr>
        <w:t>项目</w:t>
      </w:r>
      <w:r>
        <w:rPr>
          <w:rFonts w:hint="default" w:ascii="Times New Roman" w:hAnsi="Times New Roman" w:eastAsia="仿宋_GB2312" w:cs="Times New Roman"/>
          <w:color w:val="auto"/>
          <w:sz w:val="32"/>
          <w:szCs w:val="32"/>
          <w:highlight w:val="none"/>
        </w:rPr>
        <w:t>的决策、过程、产出、效益等。</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cs="Times New Roman"/>
          <w:color w:val="auto"/>
          <w:highlight w:val="none"/>
        </w:rPr>
      </w:pPr>
      <w:r>
        <w:rPr>
          <w:rFonts w:hint="default" w:ascii="Times New Roman" w:hAnsi="Times New Roman" w:eastAsia="楷体_GB2312" w:cs="Times New Roman"/>
          <w:b/>
          <w:bCs/>
          <w:color w:val="auto"/>
          <w:sz w:val="32"/>
          <w:szCs w:val="32"/>
          <w:highlight w:val="none"/>
        </w:rPr>
        <w:t>（二）绩效评价原则、评价指标体系（详情见表1）、评价方法、评价标准。</w:t>
      </w:r>
    </w:p>
    <w:p>
      <w:pPr>
        <w:pStyle w:val="2"/>
        <w:keepNext w:val="0"/>
        <w:keepLines w:val="0"/>
        <w:pageBreakBefore w:val="0"/>
        <w:widowControl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1、绩效评价原则</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本次项目绩效评价遵循以下基本原则：</w:t>
      </w:r>
    </w:p>
    <w:p>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（1）科学公正。绩效评价应当运用科学合理的方法，按照规范的程序，对项目绩效进行客观、公正</w:t>
      </w:r>
      <w:r>
        <w:rPr>
          <w:rFonts w:hint="eastAsia" w:ascii="Times New Roman" w:hAnsi="Times New Roman" w:eastAsia="仿宋_GB2312" w:cs="Times New Roman"/>
          <w:b w:val="0"/>
          <w:bCs w:val="0"/>
          <w:color w:val="auto"/>
          <w:highlight w:val="none"/>
          <w:lang w:eastAsia="zh-CN"/>
        </w:rPr>
        <w:t>的</w:t>
      </w:r>
      <w:r>
        <w:rPr>
          <w:rFonts w:hint="default" w:ascii="Times New Roman" w:hAnsi="Times New Roman" w:eastAsia="仿宋_GB2312" w:cs="Times New Roman"/>
          <w:b w:val="0"/>
          <w:bCs w:val="0"/>
          <w:color w:val="auto"/>
          <w:highlight w:val="none"/>
        </w:rPr>
        <w:t>反映。</w:t>
      </w:r>
    </w:p>
    <w:p>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（2）统筹兼顾。单位自评、部门评价和财政评价应职责明确，各有侧重，相互衔接。单位自评应由项目单位自主实施，即“谁支出、谁自评”。部门评价和财政评价应在单位自评的基础上开展。</w:t>
      </w:r>
    </w:p>
    <w:p>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（3）激励约束。绩效评价结果应与预算安排、政策调整、改进管理实质性挂钩，体现奖优罚劣和激励相容导向，有效要安排、低效要压减、无效要问责。</w:t>
      </w:r>
    </w:p>
    <w:p>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（4）公开透明。绩效评价结果应依法依规公开，并自觉接受社会监督。</w:t>
      </w:r>
    </w:p>
    <w:p>
      <w:pPr>
        <w:pStyle w:val="2"/>
        <w:keepNext w:val="0"/>
        <w:keepLines w:val="0"/>
        <w:pageBreakBefore w:val="0"/>
        <w:widowControl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2、评价指标体系</w:t>
      </w:r>
    </w:p>
    <w:p>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（1）确定评价指标</w:t>
      </w:r>
    </w:p>
    <w:p>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（2）确定权重</w:t>
      </w:r>
    </w:p>
    <w:p>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确定各个指标相对于项目总体绩效的权重分值。在绩效评价指标体系中，项目决策权重为20分，项目过程权重为20分，项目产出权重为40分，项目效益权重为20分。</w:t>
      </w:r>
    </w:p>
    <w:p>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（3）确定指标标准值</w:t>
      </w:r>
    </w:p>
    <w:p>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pPr>
        <w:pStyle w:val="2"/>
        <w:keepNext w:val="0"/>
        <w:keepLines w:val="0"/>
        <w:pageBreakBefore w:val="0"/>
        <w:kinsoku/>
        <w:wordWrap/>
        <w:overflowPunct/>
        <w:topLinePunct w:val="0"/>
        <w:autoSpaceDE/>
        <w:autoSpaceDN/>
        <w:bidi w:val="0"/>
        <w:adjustRightInd/>
        <w:snapToGrid/>
        <w:spacing w:before="0" w:after="0" w:line="540" w:lineRule="exact"/>
        <w:ind w:firstLine="708" w:firstLineChars="200"/>
        <w:jc w:val="both"/>
        <w:textAlignment w:val="auto"/>
        <w:rPr>
          <w:rFonts w:hint="default" w:ascii="Times New Roman" w:hAnsi="Times New Roman" w:eastAsia="仿宋_GB2312" w:cs="Times New Roman"/>
          <w:b w:val="0"/>
          <w:bCs w:val="0"/>
          <w:color w:val="auto"/>
          <w:spacing w:val="17"/>
          <w:kern w:val="2"/>
          <w:highlight w:val="none"/>
        </w:rPr>
      </w:pPr>
      <w:r>
        <w:rPr>
          <w:rFonts w:hint="default" w:ascii="Times New Roman" w:hAnsi="Times New Roman" w:eastAsia="仿宋_GB2312" w:cs="Times New Roman"/>
          <w:b w:val="0"/>
          <w:bCs w:val="0"/>
          <w:color w:val="auto"/>
          <w:spacing w:val="17"/>
          <w:kern w:val="2"/>
          <w:highlight w:val="none"/>
        </w:rPr>
        <w:t>绩效评价总分值100分，根据综合评分结果，评价计分90分</w:t>
      </w:r>
      <w:r>
        <w:rPr>
          <w:rFonts w:hint="default" w:ascii="Times New Roman" w:hAnsi="Times New Roman" w:eastAsia="仿宋_GB2312" w:cs="Times New Roman"/>
          <w:b w:val="0"/>
          <w:bCs w:val="0"/>
          <w:color w:val="auto"/>
          <w:spacing w:val="17"/>
          <w:kern w:val="2"/>
          <w:highlight w:val="none"/>
          <w:lang w:eastAsia="zh-CN"/>
        </w:rPr>
        <w:t>—</w:t>
      </w:r>
      <w:r>
        <w:rPr>
          <w:rFonts w:hint="default" w:ascii="Times New Roman" w:hAnsi="Times New Roman" w:eastAsia="仿宋_GB2312" w:cs="Times New Roman"/>
          <w:b w:val="0"/>
          <w:bCs w:val="0"/>
          <w:color w:val="auto"/>
          <w:spacing w:val="17"/>
          <w:kern w:val="2"/>
          <w:highlight w:val="none"/>
        </w:rPr>
        <w:t>100分（含90分）对应的评分结果级别为优，80</w:t>
      </w:r>
      <w:r>
        <w:rPr>
          <w:rFonts w:hint="default" w:ascii="Times New Roman" w:hAnsi="Times New Roman" w:eastAsia="仿宋_GB2312" w:cs="Times New Roman"/>
          <w:b w:val="0"/>
          <w:bCs w:val="0"/>
          <w:color w:val="auto"/>
          <w:spacing w:val="17"/>
          <w:kern w:val="2"/>
          <w:highlight w:val="none"/>
          <w:lang w:eastAsia="zh-CN"/>
        </w:rPr>
        <w:t>—</w:t>
      </w:r>
      <w:r>
        <w:rPr>
          <w:rFonts w:hint="default" w:ascii="Times New Roman" w:hAnsi="Times New Roman" w:eastAsia="仿宋_GB2312" w:cs="Times New Roman"/>
          <w:b w:val="0"/>
          <w:bCs w:val="0"/>
          <w:color w:val="auto"/>
          <w:spacing w:val="17"/>
          <w:kern w:val="2"/>
          <w:highlight w:val="none"/>
        </w:rPr>
        <w:t>90分（含80分）对应的评分结果级别为良，60</w:t>
      </w:r>
      <w:r>
        <w:rPr>
          <w:rFonts w:hint="default" w:ascii="Times New Roman" w:hAnsi="Times New Roman" w:eastAsia="仿宋_GB2312" w:cs="Times New Roman"/>
          <w:b w:val="0"/>
          <w:bCs w:val="0"/>
          <w:color w:val="auto"/>
          <w:spacing w:val="17"/>
          <w:kern w:val="2"/>
          <w:highlight w:val="none"/>
          <w:lang w:eastAsia="zh-CN"/>
        </w:rPr>
        <w:t>—</w:t>
      </w:r>
      <w:r>
        <w:rPr>
          <w:rFonts w:hint="default" w:ascii="Times New Roman" w:hAnsi="Times New Roman" w:eastAsia="仿宋_GB2312" w:cs="Times New Roman"/>
          <w:b w:val="0"/>
          <w:bCs w:val="0"/>
          <w:color w:val="auto"/>
          <w:spacing w:val="17"/>
          <w:kern w:val="2"/>
          <w:highlight w:val="none"/>
        </w:rPr>
        <w:t>80分（含60分）对应的评分结果级别为中，60分以下对应的评分结果级别为差。</w:t>
      </w:r>
    </w:p>
    <w:p>
      <w:pPr>
        <w:pStyle w:val="2"/>
        <w:keepNext w:val="0"/>
        <w:keepLines w:val="0"/>
        <w:pageBreakBefore w:val="0"/>
        <w:widowControl w:val="0"/>
        <w:kinsoku/>
        <w:wordWrap/>
        <w:overflowPunct/>
        <w:topLinePunct w:val="0"/>
        <w:autoSpaceDE/>
        <w:autoSpaceDN/>
        <w:bidi w:val="0"/>
        <w:adjustRightInd/>
        <w:snapToGrid/>
        <w:spacing w:before="0" w:after="0" w:line="540" w:lineRule="exact"/>
        <w:ind w:firstLine="708" w:firstLineChars="200"/>
        <w:jc w:val="both"/>
        <w:textAlignment w:val="auto"/>
        <w:outlineLvl w:val="9"/>
        <w:rPr>
          <w:rFonts w:hint="default" w:ascii="Times New Roman" w:hAnsi="Times New Roman" w:eastAsia="仿宋_GB2312" w:cs="Times New Roman"/>
          <w:b w:val="0"/>
          <w:bCs w:val="0"/>
          <w:color w:val="auto"/>
          <w:spacing w:val="17"/>
          <w:highlight w:val="none"/>
        </w:rPr>
      </w:pPr>
      <w:r>
        <w:rPr>
          <w:rFonts w:hint="default" w:ascii="Times New Roman" w:hAnsi="Times New Roman" w:eastAsia="仿宋_GB2312" w:cs="Times New Roman"/>
          <w:b w:val="0"/>
          <w:bCs w:val="0"/>
          <w:color w:val="auto"/>
          <w:spacing w:val="17"/>
          <w:highlight w:val="none"/>
        </w:rPr>
        <w:t>具体评价指标体系详情见附件1</w:t>
      </w:r>
    </w:p>
    <w:p>
      <w:pPr>
        <w:pStyle w:val="2"/>
        <w:keepNext w:val="0"/>
        <w:keepLines w:val="0"/>
        <w:pageBreakBefore w:val="0"/>
        <w:widowControl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3、绩效评价方法</w:t>
      </w:r>
    </w:p>
    <w:p>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绩效评价从项目决策、项目过程、项目产出、项目效益四个维度进行评价。评价对象为项目目标实施情况，  评价核心为资金的支出完成情况和项目的产出效益。</w:t>
      </w:r>
    </w:p>
    <w:p>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（1）比较法</w:t>
      </w:r>
    </w:p>
    <w:p>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通过对绩效目标与实施效果、历史与当期情况，综合分析绩效目标实现程度。对</w:t>
      </w:r>
      <w:r>
        <w:rPr>
          <w:rFonts w:hint="default" w:ascii="Times New Roman" w:hAnsi="Times New Roman" w:eastAsia="仿宋_GB2312" w:cs="Times New Roman"/>
          <w:color w:val="auto"/>
          <w:sz w:val="32"/>
          <w:szCs w:val="32"/>
          <w:highlight w:val="none"/>
        </w:rPr>
        <w:t>项目</w:t>
      </w:r>
      <w:r>
        <w:rPr>
          <w:rFonts w:hint="default" w:ascii="Times New Roman" w:hAnsi="Times New Roman" w:eastAsia="仿宋_GB2312" w:cs="Times New Roman"/>
          <w:color w:val="auto"/>
          <w:spacing w:val="17"/>
          <w:sz w:val="32"/>
          <w:szCs w:val="32"/>
          <w:highlight w:val="none"/>
        </w:rPr>
        <w:t>最终验收情况与年度绩效目标对比、预算资金执行情况等相关因素进行比较。</w:t>
      </w:r>
    </w:p>
    <w:p>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（2）因素分析法</w:t>
      </w:r>
    </w:p>
    <w:p>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通过综合分析影响绩效目标实现、实施效果的内外因素，评价绩效目标实现程度。通过对</w:t>
      </w:r>
      <w:r>
        <w:rPr>
          <w:rFonts w:hint="default" w:ascii="Times New Roman" w:hAnsi="Times New Roman" w:eastAsia="仿宋_GB2312" w:cs="Times New Roman"/>
          <w:color w:val="auto"/>
          <w:sz w:val="32"/>
          <w:szCs w:val="32"/>
          <w:highlight w:val="none"/>
        </w:rPr>
        <w:t>项目</w:t>
      </w:r>
      <w:r>
        <w:rPr>
          <w:rFonts w:hint="default" w:ascii="Times New Roman" w:hAnsi="Times New Roman" w:eastAsia="仿宋_GB2312" w:cs="Times New Roman"/>
          <w:color w:val="auto"/>
          <w:spacing w:val="17"/>
          <w:sz w:val="32"/>
          <w:szCs w:val="32"/>
          <w:highlight w:val="none"/>
        </w:rPr>
        <w:t>的开展情况、项目产出数量、成本控制、资金拨付文件及自评报告等相关资料的收集和审核，综合分析各因素对绩效目标实现的影响。</w:t>
      </w:r>
    </w:p>
    <w:p>
      <w:pPr>
        <w:pStyle w:val="2"/>
        <w:keepNext w:val="0"/>
        <w:keepLines w:val="0"/>
        <w:pageBreakBefore w:val="0"/>
        <w:widowControl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4、评价标准</w:t>
      </w:r>
    </w:p>
    <w:p>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绩效评价标准通常包括计划标准、行业标准、历史标准等，用于对绩效指标完成情况进行比较、分析、评价。本次</w:t>
      </w:r>
      <w:r>
        <w:rPr>
          <w:rFonts w:hint="default" w:ascii="Times New Roman" w:hAnsi="Times New Roman" w:eastAsia="仿宋_GB2312" w:cs="Times New Roman"/>
          <w:color w:val="auto"/>
          <w:spacing w:val="17"/>
          <w:sz w:val="32"/>
          <w:szCs w:val="32"/>
          <w:highlight w:val="none"/>
          <w:lang w:eastAsia="zh-CN"/>
        </w:rPr>
        <w:t>包括计划标准、行业标准和历史标准</w:t>
      </w:r>
      <w:r>
        <w:rPr>
          <w:rFonts w:hint="default" w:ascii="Times New Roman" w:hAnsi="Times New Roman" w:eastAsia="仿宋_GB2312" w:cs="Times New Roman"/>
          <w:color w:val="auto"/>
          <w:spacing w:val="17"/>
          <w:sz w:val="32"/>
          <w:szCs w:val="32"/>
          <w:highlight w:val="none"/>
        </w:rPr>
        <w:t>。</w:t>
      </w:r>
    </w:p>
    <w:p>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color w:val="auto"/>
          <w:spacing w:val="17"/>
          <w:sz w:val="32"/>
          <w:szCs w:val="32"/>
          <w:highlight w:val="none"/>
        </w:rPr>
      </w:pPr>
      <w:bookmarkStart w:id="0" w:name="_Toc17882"/>
      <w:bookmarkStart w:id="1" w:name="_Toc31464"/>
      <w:r>
        <w:rPr>
          <w:rFonts w:hint="default" w:ascii="Times New Roman" w:hAnsi="Times New Roman" w:eastAsia="仿宋_GB2312" w:cs="Times New Roman"/>
          <w:color w:val="auto"/>
          <w:spacing w:val="17"/>
          <w:sz w:val="32"/>
          <w:szCs w:val="32"/>
          <w:highlight w:val="none"/>
        </w:rPr>
        <w:t>计划标准：指以预先制定的目标、计划、预算、定额等作为评价标准。</w:t>
      </w:r>
      <w:bookmarkEnd w:id="0"/>
      <w:bookmarkEnd w:id="1"/>
    </w:p>
    <w:p>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color w:val="auto"/>
          <w:spacing w:val="17"/>
          <w:sz w:val="32"/>
          <w:szCs w:val="32"/>
          <w:highlight w:val="none"/>
        </w:rPr>
      </w:pPr>
      <w:bookmarkStart w:id="2" w:name="_Toc2318"/>
      <w:bookmarkStart w:id="3" w:name="_Toc5633"/>
      <w:r>
        <w:rPr>
          <w:rFonts w:hint="default" w:ascii="Times New Roman" w:hAnsi="Times New Roman" w:eastAsia="仿宋_GB2312" w:cs="Times New Roman"/>
          <w:color w:val="auto"/>
          <w:spacing w:val="17"/>
          <w:sz w:val="32"/>
          <w:szCs w:val="32"/>
          <w:highlight w:val="none"/>
        </w:rPr>
        <w:t>行业标准：指参照国家公布的行业指标数据制定的评价标准。</w:t>
      </w:r>
      <w:bookmarkEnd w:id="2"/>
      <w:bookmarkEnd w:id="3"/>
    </w:p>
    <w:p>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方正仿宋_GBK" w:cs="Times New Roman"/>
          <w:color w:val="auto"/>
          <w:sz w:val="32"/>
          <w:szCs w:val="32"/>
          <w:highlight w:val="none"/>
        </w:rPr>
      </w:pPr>
      <w:bookmarkStart w:id="4" w:name="_Toc16028"/>
      <w:bookmarkStart w:id="5" w:name="_Toc430"/>
      <w:r>
        <w:rPr>
          <w:rFonts w:hint="default" w:ascii="Times New Roman" w:hAnsi="Times New Roman" w:eastAsia="仿宋_GB2312" w:cs="Times New Roman"/>
          <w:color w:val="auto"/>
          <w:spacing w:val="17"/>
          <w:sz w:val="32"/>
          <w:szCs w:val="32"/>
          <w:highlight w:val="none"/>
        </w:rPr>
        <w:t>历史标准：指参照历史数据制定的评价标准，为体现绩效改进的原则，在可实现的条件下应当确定相对较高的评价标准。</w:t>
      </w:r>
      <w:bookmarkEnd w:id="4"/>
      <w:bookmarkEnd w:id="5"/>
    </w:p>
    <w:p>
      <w:pPr>
        <w:pStyle w:val="2"/>
        <w:keepNext w:val="0"/>
        <w:keepLines w:val="0"/>
        <w:pageBreakBefore w:val="0"/>
        <w:numPr>
          <w:ilvl w:val="0"/>
          <w:numId w:val="2"/>
        </w:numPr>
        <w:kinsoku/>
        <w:wordWrap/>
        <w:overflowPunct/>
        <w:topLinePunct w:val="0"/>
        <w:autoSpaceDE/>
        <w:autoSpaceDN/>
        <w:bidi w:val="0"/>
        <w:adjustRightInd/>
        <w:snapToGrid/>
        <w:spacing w:before="0" w:after="0" w:line="540" w:lineRule="exact"/>
        <w:ind w:firstLine="711" w:firstLineChars="200"/>
        <w:jc w:val="both"/>
        <w:textAlignment w:val="auto"/>
        <w:rPr>
          <w:rFonts w:hint="default" w:ascii="Times New Roman" w:hAnsi="Times New Roman" w:eastAsia="楷体" w:cs="Times New Roman"/>
          <w:color w:val="auto"/>
          <w:spacing w:val="17"/>
          <w:highlight w:val="none"/>
        </w:rPr>
      </w:pPr>
      <w:r>
        <w:rPr>
          <w:rFonts w:hint="default" w:ascii="Times New Roman" w:hAnsi="Times New Roman" w:eastAsia="楷体" w:cs="Times New Roman"/>
          <w:color w:val="auto"/>
          <w:spacing w:val="17"/>
          <w:highlight w:val="none"/>
        </w:rPr>
        <w:t>绩效评价工作过程</w:t>
      </w:r>
    </w:p>
    <w:p>
      <w:pPr>
        <w:keepNext w:val="0"/>
        <w:keepLines w:val="0"/>
        <w:pageBreakBefore w:val="0"/>
        <w:numPr>
          <w:ilvl w:val="0"/>
          <w:numId w:val="3"/>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numPr>
          <w:ilvl w:val="0"/>
          <w:numId w:val="3"/>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numPr>
          <w:ilvl w:val="0"/>
          <w:numId w:val="3"/>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cs="Times New Roman"/>
          <w:color w:val="auto"/>
          <w:sz w:val="32"/>
          <w:szCs w:val="32"/>
          <w:highlight w:val="none"/>
        </w:rPr>
      </w:pPr>
      <w:r>
        <w:rPr>
          <w:rFonts w:hint="default" w:ascii="Times New Roman" w:hAnsi="Times New Roman" w:eastAsia="仿宋_GB2312" w:cs="Times New Roman"/>
          <w:bCs/>
          <w:color w:val="auto"/>
          <w:sz w:val="32"/>
          <w:szCs w:val="32"/>
          <w:highlight w:val="none"/>
        </w:rPr>
        <w:t>分析评价。根据收集梳理的资料围绕项目立项、资金落实、业务管理、财务管理、项目产出、项目效益等内容，对照已确定的绩效评价指标进行详细全面的分析评价，逐项打分并形成绩效评价最终结果。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4"/>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综合评价情况及评价结论（附相关评分表）</w:t>
      </w:r>
    </w:p>
    <w:p>
      <w:pPr>
        <w:pStyle w:val="2"/>
        <w:keepNext w:val="0"/>
        <w:keepLines w:val="0"/>
        <w:pageBreakBefore w:val="0"/>
        <w:widowControl/>
        <w:kinsoku/>
        <w:wordWrap/>
        <w:overflowPunct/>
        <w:topLinePunct w:val="0"/>
        <w:autoSpaceDE/>
        <w:autoSpaceDN/>
        <w:bidi w:val="0"/>
        <w:adjustRightInd/>
        <w:snapToGrid/>
        <w:spacing w:before="0" w:after="0" w:line="54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pPr>
        <w:keepNext w:val="0"/>
        <w:keepLines w:val="0"/>
        <w:pageBreakBefore w:val="0"/>
        <w:shd w:val="clear"/>
        <w:kinsoku/>
        <w:wordWrap/>
        <w:overflowPunct/>
        <w:topLinePunct w:val="0"/>
        <w:autoSpaceDE/>
        <w:autoSpaceDN/>
        <w:bidi w:val="0"/>
        <w:adjustRightInd/>
        <w:snapToGrid/>
        <w:spacing w:line="540" w:lineRule="exact"/>
        <w:ind w:firstLine="640" w:firstLineChars="200"/>
        <w:textAlignment w:val="auto"/>
        <w:outlineLvl w:val="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项目总体组织规范，在项目实施过程中做到认真履职，监督到位。按照相关制度的要求，项目负责人对项目绩效监控执行情况进行跟踪监督，有效完成了本项目的工作目标，确保资金使用安全和最大效益地发挥，保障项目如期按要求完成。规范了项目档案资料的整理。项目的实施达到项目预期效果。</w:t>
      </w:r>
    </w:p>
    <w:p>
      <w:pPr>
        <w:pStyle w:val="2"/>
        <w:keepNext w:val="0"/>
        <w:keepLines w:val="0"/>
        <w:pageBreakBefore w:val="0"/>
        <w:widowControl/>
        <w:kinsoku/>
        <w:wordWrap/>
        <w:overflowPunct/>
        <w:topLinePunct w:val="0"/>
        <w:autoSpaceDE/>
        <w:autoSpaceDN/>
        <w:bidi w:val="0"/>
        <w:adjustRightInd/>
        <w:snapToGrid/>
        <w:spacing w:before="0" w:after="0" w:line="54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pPr>
        <w:pStyle w:val="2"/>
        <w:keepNext w:val="0"/>
        <w:keepLines w:val="0"/>
        <w:pageBreakBefore w:val="0"/>
        <w:widowControl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val="0"/>
          <w:bCs w:val="0"/>
          <w:highlight w:val="none"/>
        </w:rPr>
        <w:t>运用绩效评价组制定的评价指标体系以及财政部《项目支出绩效评价管理办法》（财预〔2020〕10号）文件的评分标准，通过数据采集、问卷调查及访谈等方式，</w:t>
      </w:r>
      <w:r>
        <w:rPr>
          <w:rFonts w:hint="default" w:ascii="Times New Roman" w:hAnsi="Times New Roman" w:eastAsia="仿宋_GB2312" w:cs="Times New Roman"/>
          <w:b w:val="0"/>
          <w:bCs w:val="0"/>
          <w:color w:val="auto"/>
          <w:highlight w:val="none"/>
        </w:rPr>
        <w:t>对</w:t>
      </w:r>
      <w:r>
        <w:rPr>
          <w:rFonts w:hint="default" w:ascii="Times New Roman" w:hAnsi="Times New Roman" w:eastAsia="仿宋_GB2312" w:cs="Times New Roman"/>
          <w:b w:val="0"/>
          <w:bCs w:val="0"/>
          <w:color w:val="auto"/>
          <w:highlight w:val="none"/>
          <w:lang w:val="en-US" w:eastAsia="zh-CN"/>
        </w:rPr>
        <w:t>自治区2023年第一批疫情防控补助资金（自治区本级医疗机构重症床位设备配置经费）</w:t>
      </w:r>
      <w:r>
        <w:rPr>
          <w:rFonts w:hint="default" w:ascii="Times New Roman" w:hAnsi="Times New Roman" w:eastAsia="仿宋_GB2312" w:cs="Times New Roman"/>
          <w:b w:val="0"/>
          <w:bCs w:val="0"/>
          <w:color w:val="auto"/>
          <w:highlight w:val="none"/>
        </w:rPr>
        <w:t xml:space="preserve">项目进行客观评价，最终评分结果：总得分为 </w:t>
      </w:r>
      <w:r>
        <w:rPr>
          <w:rFonts w:hint="default" w:ascii="Times New Roman" w:hAnsi="Times New Roman" w:eastAsia="仿宋_GB2312" w:cs="Times New Roman"/>
          <w:b w:val="0"/>
          <w:bCs w:val="0"/>
          <w:color w:val="auto"/>
          <w:highlight w:val="none"/>
          <w:lang w:val="en-US" w:eastAsia="zh-CN"/>
        </w:rPr>
        <w:t>99.47</w:t>
      </w:r>
      <w:r>
        <w:rPr>
          <w:rFonts w:hint="default" w:ascii="Times New Roman" w:hAnsi="Times New Roman" w:eastAsia="仿宋_GB2312" w:cs="Times New Roman"/>
          <w:b w:val="0"/>
          <w:bCs w:val="0"/>
          <w:color w:val="auto"/>
          <w:highlight w:val="none"/>
        </w:rPr>
        <w:t xml:space="preserve">分，属于“优”。其中，项目决策类指标权重为20分，得分为 </w:t>
      </w:r>
      <w:r>
        <w:rPr>
          <w:rFonts w:hint="default"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 xml:space="preserve">分，得分率为 </w:t>
      </w:r>
      <w:r>
        <w:rPr>
          <w:rFonts w:hint="default"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%。项目过程类指标权重为20分，得分为</w:t>
      </w:r>
      <w:r>
        <w:rPr>
          <w:rFonts w:hint="default"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 xml:space="preserve">分，得分率为 </w:t>
      </w:r>
      <w:r>
        <w:rPr>
          <w:rFonts w:hint="default"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%。项目产出类指标权重为40分，得分为</w:t>
      </w:r>
      <w:r>
        <w:rPr>
          <w:rFonts w:hint="default" w:ascii="Times New Roman" w:hAnsi="Times New Roman" w:eastAsia="仿宋_GB2312" w:cs="Times New Roman"/>
          <w:b w:val="0"/>
          <w:bCs w:val="0"/>
          <w:color w:val="auto"/>
          <w:highlight w:val="none"/>
          <w:lang w:val="en-US" w:eastAsia="zh-CN"/>
        </w:rPr>
        <w:t>40</w:t>
      </w:r>
      <w:r>
        <w:rPr>
          <w:rFonts w:hint="default" w:ascii="Times New Roman" w:hAnsi="Times New Roman" w:eastAsia="仿宋_GB2312" w:cs="Times New Roman"/>
          <w:b w:val="0"/>
          <w:bCs w:val="0"/>
          <w:color w:val="auto"/>
          <w:highlight w:val="none"/>
        </w:rPr>
        <w:t xml:space="preserve">分，得分率为 </w:t>
      </w:r>
      <w:r>
        <w:rPr>
          <w:rFonts w:hint="default"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%。项目效益类指标权重为20分，得分为</w:t>
      </w:r>
      <w:r>
        <w:rPr>
          <w:rFonts w:hint="default" w:ascii="Times New Roman" w:hAnsi="Times New Roman" w:eastAsia="仿宋_GB2312" w:cs="Times New Roman"/>
          <w:b w:val="0"/>
          <w:bCs w:val="0"/>
          <w:color w:val="auto"/>
          <w:highlight w:val="none"/>
          <w:lang w:val="en-US" w:eastAsia="zh-CN"/>
        </w:rPr>
        <w:t>19.47</w:t>
      </w:r>
      <w:r>
        <w:rPr>
          <w:rFonts w:hint="default" w:ascii="Times New Roman" w:hAnsi="Times New Roman" w:eastAsia="仿宋_GB2312" w:cs="Times New Roman"/>
          <w:b w:val="0"/>
          <w:bCs w:val="0"/>
          <w:color w:val="auto"/>
          <w:highlight w:val="none"/>
        </w:rPr>
        <w:t>分，得分率为</w:t>
      </w:r>
      <w:r>
        <w:rPr>
          <w:rFonts w:hint="default" w:ascii="Times New Roman" w:hAnsi="Times New Roman" w:eastAsia="仿宋_GB2312" w:cs="Times New Roman"/>
          <w:b w:val="0"/>
          <w:bCs w:val="0"/>
          <w:color w:val="auto"/>
          <w:highlight w:val="none"/>
          <w:lang w:val="en-US" w:eastAsia="zh-CN"/>
        </w:rPr>
        <w:t>97.35</w:t>
      </w:r>
      <w:r>
        <w:rPr>
          <w:rFonts w:hint="default" w:ascii="Times New Roman" w:hAnsi="Times New Roman" w:eastAsia="仿宋_GB2312" w:cs="Times New Roman"/>
          <w:b w:val="0"/>
          <w:bCs w:val="0"/>
          <w:color w:val="auto"/>
          <w:highlight w:val="none"/>
        </w:rPr>
        <w:t>%。</w:t>
      </w:r>
    </w:p>
    <w:p>
      <w:pPr>
        <w:pStyle w:val="2"/>
        <w:rPr>
          <w:rFonts w:hint="default" w:ascii="Times New Roman" w:hAnsi="Times New Roman" w:eastAsia="仿宋_GB2312" w:cs="Times New Roman"/>
          <w:color w:val="auto"/>
          <w:sz w:val="30"/>
          <w:szCs w:val="30"/>
          <w:highlight w:val="none"/>
        </w:rPr>
      </w:pPr>
    </w:p>
    <w:p>
      <w:pPr>
        <w:pStyle w:val="2"/>
        <w:rPr>
          <w:rFonts w:hint="default" w:ascii="Times New Roman" w:hAnsi="Times New Roman" w:eastAsia="仿宋_GB2312" w:cs="Times New Roman"/>
          <w:color w:val="auto"/>
          <w:sz w:val="30"/>
          <w:szCs w:val="30"/>
          <w:highlight w:val="none"/>
        </w:rPr>
      </w:pPr>
    </w:p>
    <w:p>
      <w:pPr>
        <w:pStyle w:val="2"/>
        <w:rPr>
          <w:rFonts w:hint="default" w:ascii="Times New Roman" w:hAnsi="Times New Roman" w:eastAsia="仿宋_GB2312" w:cs="Times New Roman"/>
          <w:color w:val="auto"/>
          <w:sz w:val="30"/>
          <w:szCs w:val="30"/>
          <w:highlight w:val="none"/>
        </w:rPr>
      </w:pPr>
    </w:p>
    <w:p>
      <w:pPr>
        <w:pStyle w:val="2"/>
        <w:rPr>
          <w:rFonts w:hint="default" w:ascii="Times New Roman" w:hAnsi="Times New Roman" w:eastAsia="仿宋_GB2312" w:cs="Times New Roman"/>
          <w:color w:val="auto"/>
          <w:sz w:val="30"/>
          <w:szCs w:val="30"/>
          <w:highlight w:val="none"/>
        </w:rPr>
      </w:pPr>
    </w:p>
    <w:p>
      <w:pPr>
        <w:pStyle w:val="2"/>
        <w:rPr>
          <w:rFonts w:hint="default" w:ascii="Times New Roman" w:hAnsi="Times New Roman" w:eastAsia="仿宋_GB2312" w:cs="Times New Roman"/>
          <w:color w:val="auto"/>
          <w:sz w:val="30"/>
          <w:szCs w:val="30"/>
          <w:highlight w:val="none"/>
        </w:rPr>
      </w:pPr>
    </w:p>
    <w:p>
      <w:pPr>
        <w:pStyle w:val="2"/>
        <w:rPr>
          <w:rFonts w:hint="default" w:ascii="Times New Roman" w:hAnsi="Times New Roman" w:eastAsia="仿宋_GB2312" w:cs="Times New Roman"/>
          <w:color w:val="auto"/>
          <w:sz w:val="30"/>
          <w:szCs w:val="30"/>
          <w:highlight w:val="none"/>
        </w:rPr>
      </w:pPr>
    </w:p>
    <w:p>
      <w:pPr>
        <w:pStyle w:val="2"/>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表1综合评分表</w:t>
      </w:r>
    </w:p>
    <w:p>
      <w:pPr>
        <w:rPr>
          <w:rFonts w:hint="default" w:ascii="Times New Roman" w:hAnsi="Times New Roman" w:cs="Times New Roman"/>
          <w:highlight w:val="none"/>
        </w:rPr>
      </w:pPr>
    </w:p>
    <w:p>
      <w:pPr>
        <w:pStyle w:val="2"/>
        <w:rPr>
          <w:rFonts w:hint="default" w:ascii="Times New Roman" w:hAnsi="Times New Roman" w:eastAsia="仿宋_GB2312" w:cs="Times New Roman"/>
          <w:color w:val="auto"/>
          <w:sz w:val="30"/>
          <w:szCs w:val="30"/>
          <w:highlight w:val="none"/>
        </w:rPr>
      </w:pPr>
    </w:p>
    <w:tbl>
      <w:tblPr>
        <w:tblStyle w:val="11"/>
        <w:tblpPr w:leftFromText="180" w:rightFromText="180" w:vertAnchor="text" w:horzAnchor="page" w:tblpX="1366" w:tblpY="-874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24" w:hRule="atLeast"/>
          <w:tblHeader/>
        </w:trPr>
        <w:tc>
          <w:tcPr>
            <w:tcW w:w="1104" w:type="dxa"/>
            <w:shd w:val="clear" w:color="auto" w:fill="BFBFBF"/>
            <w:vAlign w:val="center"/>
          </w:tcPr>
          <w:p>
            <w:pPr>
              <w:widowControl/>
              <w:spacing w:line="0" w:lineRule="atLeast"/>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一级指标</w:t>
            </w:r>
          </w:p>
        </w:tc>
        <w:tc>
          <w:tcPr>
            <w:tcW w:w="990" w:type="dxa"/>
            <w:shd w:val="clear" w:color="auto" w:fill="BFBFB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分值</w:t>
            </w:r>
          </w:p>
        </w:tc>
        <w:tc>
          <w:tcPr>
            <w:tcW w:w="1283" w:type="dxa"/>
            <w:shd w:val="clear" w:color="auto" w:fill="BFBFB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二级指标</w:t>
            </w:r>
          </w:p>
        </w:tc>
        <w:tc>
          <w:tcPr>
            <w:tcW w:w="1707" w:type="dxa"/>
            <w:shd w:val="clear" w:color="auto" w:fill="BFBFB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三级指标</w:t>
            </w:r>
          </w:p>
        </w:tc>
        <w:tc>
          <w:tcPr>
            <w:tcW w:w="727" w:type="dxa"/>
            <w:shd w:val="clear" w:color="auto" w:fill="BFBFB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权重</w:t>
            </w:r>
          </w:p>
        </w:tc>
        <w:tc>
          <w:tcPr>
            <w:tcW w:w="1044"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目标值</w:t>
            </w:r>
          </w:p>
        </w:tc>
        <w:tc>
          <w:tcPr>
            <w:tcW w:w="924"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业绩值</w:t>
            </w:r>
          </w:p>
        </w:tc>
        <w:tc>
          <w:tcPr>
            <w:tcW w:w="1215"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得分率</w:t>
            </w:r>
          </w:p>
        </w:tc>
        <w:tc>
          <w:tcPr>
            <w:tcW w:w="960"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决策　</w:t>
            </w:r>
          </w:p>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　</w:t>
            </w:r>
          </w:p>
          <w:p>
            <w:pPr>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　</w:t>
            </w:r>
          </w:p>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　</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20分</w:t>
            </w: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项目立项　</w:t>
            </w:r>
          </w:p>
        </w:tc>
        <w:tc>
          <w:tcPr>
            <w:tcW w:w="170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立项依据</w:t>
            </w:r>
          </w:p>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充分性</w:t>
            </w:r>
          </w:p>
        </w:tc>
        <w:tc>
          <w:tcPr>
            <w:tcW w:w="72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3</w:t>
            </w:r>
          </w:p>
        </w:tc>
        <w:tc>
          <w:tcPr>
            <w:tcW w:w="1044"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充分</w:t>
            </w:r>
          </w:p>
        </w:tc>
        <w:tc>
          <w:tcPr>
            <w:tcW w:w="924"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充分</w:t>
            </w:r>
          </w:p>
        </w:tc>
        <w:tc>
          <w:tcPr>
            <w:tcW w:w="1215" w:type="dxa"/>
            <w:shd w:val="clear" w:color="auto" w:fill="FFFFFF"/>
            <w:vAlign w:val="center"/>
          </w:tcPr>
          <w:p>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cs="Times New Roman"/>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立项程序</w:t>
            </w:r>
          </w:p>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规范性</w:t>
            </w:r>
          </w:p>
        </w:tc>
        <w:tc>
          <w:tcPr>
            <w:tcW w:w="72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3</w:t>
            </w:r>
          </w:p>
        </w:tc>
        <w:tc>
          <w:tcPr>
            <w:tcW w:w="1044"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规范</w:t>
            </w:r>
          </w:p>
        </w:tc>
        <w:tc>
          <w:tcPr>
            <w:tcW w:w="924"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规范</w:t>
            </w:r>
          </w:p>
        </w:tc>
        <w:tc>
          <w:tcPr>
            <w:tcW w:w="1215"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cs="Times New Roman"/>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绩效目标　</w:t>
            </w:r>
          </w:p>
        </w:tc>
        <w:tc>
          <w:tcPr>
            <w:tcW w:w="170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绩效目标</w:t>
            </w:r>
          </w:p>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合理性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3</w:t>
            </w:r>
          </w:p>
        </w:tc>
        <w:tc>
          <w:tcPr>
            <w:tcW w:w="1044"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合理</w:t>
            </w:r>
          </w:p>
        </w:tc>
        <w:tc>
          <w:tcPr>
            <w:tcW w:w="924"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合理</w:t>
            </w:r>
          </w:p>
        </w:tc>
        <w:tc>
          <w:tcPr>
            <w:tcW w:w="1215"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cs="Times New Roman"/>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绩效指标</w:t>
            </w:r>
          </w:p>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明确性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3</w:t>
            </w:r>
          </w:p>
        </w:tc>
        <w:tc>
          <w:tcPr>
            <w:tcW w:w="1044"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明确</w:t>
            </w:r>
          </w:p>
        </w:tc>
        <w:tc>
          <w:tcPr>
            <w:tcW w:w="924"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明确</w:t>
            </w:r>
          </w:p>
        </w:tc>
        <w:tc>
          <w:tcPr>
            <w:tcW w:w="1215"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cs="Times New Roman"/>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资金投入</w:t>
            </w:r>
          </w:p>
        </w:tc>
        <w:tc>
          <w:tcPr>
            <w:tcW w:w="170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预算编制</w:t>
            </w:r>
          </w:p>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科学性</w:t>
            </w:r>
          </w:p>
        </w:tc>
        <w:tc>
          <w:tcPr>
            <w:tcW w:w="72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4</w:t>
            </w:r>
          </w:p>
        </w:tc>
        <w:tc>
          <w:tcPr>
            <w:tcW w:w="1044"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科学</w:t>
            </w:r>
          </w:p>
        </w:tc>
        <w:tc>
          <w:tcPr>
            <w:tcW w:w="924"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科学</w:t>
            </w:r>
          </w:p>
        </w:tc>
        <w:tc>
          <w:tcPr>
            <w:tcW w:w="1215"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cs="Times New Roman"/>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资金分配</w:t>
            </w:r>
          </w:p>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合理性</w:t>
            </w:r>
          </w:p>
        </w:tc>
        <w:tc>
          <w:tcPr>
            <w:tcW w:w="72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4</w:t>
            </w:r>
          </w:p>
        </w:tc>
        <w:tc>
          <w:tcPr>
            <w:tcW w:w="1044"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合理</w:t>
            </w:r>
          </w:p>
        </w:tc>
        <w:tc>
          <w:tcPr>
            <w:tcW w:w="924"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合理</w:t>
            </w:r>
          </w:p>
        </w:tc>
        <w:tc>
          <w:tcPr>
            <w:tcW w:w="1215"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cs="Times New Roman"/>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过程</w:t>
            </w:r>
          </w:p>
          <w:p>
            <w:pPr>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　</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20分</w:t>
            </w: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资金管理</w:t>
            </w:r>
          </w:p>
        </w:tc>
        <w:tc>
          <w:tcPr>
            <w:tcW w:w="170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资金到位率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4</w:t>
            </w:r>
          </w:p>
        </w:tc>
        <w:tc>
          <w:tcPr>
            <w:tcW w:w="1044"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lang w:val="en-US" w:eastAsia="zh-CN"/>
              </w:rPr>
              <w:t>100</w:t>
            </w:r>
            <w:r>
              <w:rPr>
                <w:rFonts w:hint="default" w:ascii="Times New Roman" w:hAnsi="Times New Roman" w:cs="Times New Roman"/>
                <w:color w:val="auto"/>
                <w:kern w:val="0"/>
                <w:sz w:val="22"/>
                <w:szCs w:val="22"/>
                <w:highlight w:val="none"/>
              </w:rPr>
              <w:t>%</w:t>
            </w:r>
          </w:p>
        </w:tc>
        <w:tc>
          <w:tcPr>
            <w:tcW w:w="1215" w:type="dxa"/>
            <w:shd w:val="clear" w:color="000000" w:fill="FFFFFF"/>
            <w:vAlign w:val="center"/>
          </w:tcPr>
          <w:p>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100</w:t>
            </w:r>
            <w:r>
              <w:rPr>
                <w:rFonts w:hint="default" w:ascii="Times New Roman" w:hAnsi="Times New Roman" w:cs="Times New Roman"/>
                <w:color w:val="auto"/>
                <w:kern w:val="0"/>
                <w:sz w:val="22"/>
                <w:szCs w:val="22"/>
                <w:highlight w:val="none"/>
              </w:rPr>
              <w:t>%</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p>
        </w:tc>
        <w:tc>
          <w:tcPr>
            <w:tcW w:w="1283" w:type="dxa"/>
            <w:vMerge w:val="continue"/>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预算执行率</w:t>
            </w:r>
          </w:p>
        </w:tc>
        <w:tc>
          <w:tcPr>
            <w:tcW w:w="72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4</w:t>
            </w:r>
          </w:p>
        </w:tc>
        <w:tc>
          <w:tcPr>
            <w:tcW w:w="1044"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100%</w:t>
            </w:r>
          </w:p>
        </w:tc>
        <w:tc>
          <w:tcPr>
            <w:tcW w:w="924"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lang w:val="en-US" w:eastAsia="zh-CN"/>
              </w:rPr>
              <w:t>100</w:t>
            </w:r>
            <w:r>
              <w:rPr>
                <w:rFonts w:hint="default" w:ascii="Times New Roman" w:hAnsi="Times New Roman" w:cs="Times New Roman"/>
                <w:color w:val="auto"/>
                <w:kern w:val="0"/>
                <w:sz w:val="22"/>
                <w:szCs w:val="22"/>
                <w:highlight w:val="none"/>
              </w:rPr>
              <w:t>%</w:t>
            </w:r>
          </w:p>
        </w:tc>
        <w:tc>
          <w:tcPr>
            <w:tcW w:w="1215"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lang w:val="en-US" w:eastAsia="zh-CN"/>
              </w:rPr>
              <w:t>100</w:t>
            </w:r>
            <w:r>
              <w:rPr>
                <w:rFonts w:hint="default" w:ascii="Times New Roman" w:hAnsi="Times New Roman" w:cs="Times New Roman"/>
                <w:color w:val="auto"/>
                <w:kern w:val="0"/>
                <w:sz w:val="22"/>
                <w:szCs w:val="22"/>
                <w:highlight w:val="none"/>
              </w:rPr>
              <w:t>%</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cs="Times New Roman"/>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1283"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资金管理</w:t>
            </w:r>
          </w:p>
        </w:tc>
        <w:tc>
          <w:tcPr>
            <w:tcW w:w="170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资金使用</w:t>
            </w:r>
          </w:p>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合规性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4</w:t>
            </w:r>
          </w:p>
        </w:tc>
        <w:tc>
          <w:tcPr>
            <w:tcW w:w="1044"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合格</w:t>
            </w:r>
          </w:p>
        </w:tc>
        <w:tc>
          <w:tcPr>
            <w:tcW w:w="924"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合格</w:t>
            </w:r>
          </w:p>
        </w:tc>
        <w:tc>
          <w:tcPr>
            <w:tcW w:w="1215"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lang w:val="en-US" w:eastAsia="zh-CN"/>
              </w:rPr>
              <w:t>100</w:t>
            </w:r>
            <w:r>
              <w:rPr>
                <w:rFonts w:hint="default" w:ascii="Times New Roman" w:hAnsi="Times New Roman" w:cs="Times New Roman"/>
                <w:color w:val="auto"/>
                <w:kern w:val="0"/>
                <w:sz w:val="22"/>
                <w:szCs w:val="22"/>
                <w:highlight w:val="none"/>
              </w:rPr>
              <w:t>%</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cs="Times New Roman"/>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组织实施</w:t>
            </w:r>
          </w:p>
        </w:tc>
        <w:tc>
          <w:tcPr>
            <w:tcW w:w="170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管理制度</w:t>
            </w:r>
          </w:p>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健全性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4</w:t>
            </w:r>
          </w:p>
        </w:tc>
        <w:tc>
          <w:tcPr>
            <w:tcW w:w="1044"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健全</w:t>
            </w:r>
          </w:p>
        </w:tc>
        <w:tc>
          <w:tcPr>
            <w:tcW w:w="924"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健全</w:t>
            </w:r>
          </w:p>
        </w:tc>
        <w:tc>
          <w:tcPr>
            <w:tcW w:w="1215"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lang w:val="en-US" w:eastAsia="zh-CN"/>
              </w:rPr>
              <w:t>100</w:t>
            </w:r>
            <w:r>
              <w:rPr>
                <w:rFonts w:hint="default" w:ascii="Times New Roman" w:hAnsi="Times New Roman" w:cs="Times New Roman"/>
                <w:color w:val="auto"/>
                <w:kern w:val="0"/>
                <w:sz w:val="22"/>
                <w:szCs w:val="22"/>
                <w:highlight w:val="none"/>
              </w:rPr>
              <w:t>%</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cs="Times New Roman"/>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制度执行</w:t>
            </w:r>
          </w:p>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有效性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4</w:t>
            </w:r>
          </w:p>
        </w:tc>
        <w:tc>
          <w:tcPr>
            <w:tcW w:w="1044"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有效</w:t>
            </w:r>
          </w:p>
        </w:tc>
        <w:tc>
          <w:tcPr>
            <w:tcW w:w="924"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有效</w:t>
            </w:r>
          </w:p>
        </w:tc>
        <w:tc>
          <w:tcPr>
            <w:tcW w:w="1215"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lang w:val="en-US" w:eastAsia="zh-CN"/>
              </w:rPr>
              <w:t>100</w:t>
            </w:r>
            <w:r>
              <w:rPr>
                <w:rFonts w:hint="default" w:ascii="Times New Roman" w:hAnsi="Times New Roman" w:cs="Times New Roman"/>
                <w:color w:val="auto"/>
                <w:kern w:val="0"/>
                <w:sz w:val="22"/>
                <w:szCs w:val="22"/>
                <w:highlight w:val="none"/>
              </w:rPr>
              <w:t>%</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cs="Times New Roman"/>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产出</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40分</w:t>
            </w:r>
          </w:p>
        </w:tc>
        <w:tc>
          <w:tcPr>
            <w:tcW w:w="1283"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产出数量</w:t>
            </w:r>
          </w:p>
        </w:tc>
        <w:tc>
          <w:tcPr>
            <w:tcW w:w="170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实际完成率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lang w:val="en-US" w:eastAsia="zh-CN"/>
              </w:rPr>
              <w:t>100</w:t>
            </w:r>
            <w:r>
              <w:rPr>
                <w:rFonts w:hint="default" w:ascii="Times New Roman" w:hAnsi="Times New Roman" w:cs="Times New Roman"/>
                <w:color w:val="auto"/>
                <w:kern w:val="0"/>
                <w:sz w:val="22"/>
                <w:szCs w:val="22"/>
                <w:highlight w:val="none"/>
              </w:rPr>
              <w:t>%</w:t>
            </w:r>
          </w:p>
        </w:tc>
        <w:tc>
          <w:tcPr>
            <w:tcW w:w="1215"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lang w:val="en-US" w:eastAsia="zh-CN"/>
              </w:rPr>
              <w:t>100</w:t>
            </w:r>
            <w:r>
              <w:rPr>
                <w:rFonts w:hint="default" w:ascii="Times New Roman" w:hAnsi="Times New Roman" w:cs="Times New Roman"/>
                <w:color w:val="auto"/>
                <w:kern w:val="0"/>
                <w:sz w:val="22"/>
                <w:szCs w:val="22"/>
                <w:highlight w:val="none"/>
              </w:rPr>
              <w:t>%</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1283"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产出质量</w:t>
            </w:r>
          </w:p>
        </w:tc>
        <w:tc>
          <w:tcPr>
            <w:tcW w:w="170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质量达标率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lang w:val="en-US" w:eastAsia="zh-CN"/>
              </w:rPr>
              <w:t>100</w:t>
            </w:r>
            <w:r>
              <w:rPr>
                <w:rFonts w:hint="default" w:ascii="Times New Roman" w:hAnsi="Times New Roman" w:cs="Times New Roman"/>
                <w:color w:val="auto"/>
                <w:kern w:val="0"/>
                <w:sz w:val="22"/>
                <w:szCs w:val="22"/>
                <w:highlight w:val="none"/>
              </w:rPr>
              <w:t>%</w:t>
            </w:r>
          </w:p>
        </w:tc>
        <w:tc>
          <w:tcPr>
            <w:tcW w:w="1215"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lang w:val="en-US" w:eastAsia="zh-CN"/>
              </w:rPr>
              <w:t>100</w:t>
            </w:r>
            <w:r>
              <w:rPr>
                <w:rFonts w:hint="default" w:ascii="Times New Roman" w:hAnsi="Times New Roman" w:cs="Times New Roman"/>
                <w:color w:val="auto"/>
                <w:kern w:val="0"/>
                <w:sz w:val="22"/>
                <w:szCs w:val="22"/>
                <w:highlight w:val="none"/>
              </w:rPr>
              <w:t>%</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p>
        </w:tc>
        <w:tc>
          <w:tcPr>
            <w:tcW w:w="1283" w:type="dxa"/>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产出时效</w:t>
            </w:r>
          </w:p>
        </w:tc>
        <w:tc>
          <w:tcPr>
            <w:tcW w:w="170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完成及时性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及时</w:t>
            </w:r>
          </w:p>
        </w:tc>
        <w:tc>
          <w:tcPr>
            <w:tcW w:w="924"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及时</w:t>
            </w:r>
          </w:p>
        </w:tc>
        <w:tc>
          <w:tcPr>
            <w:tcW w:w="1215"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lang w:val="en-US" w:eastAsia="zh-CN"/>
              </w:rPr>
              <w:t>100</w:t>
            </w:r>
            <w:r>
              <w:rPr>
                <w:rFonts w:hint="default" w:ascii="Times New Roman" w:hAnsi="Times New Roman" w:cs="Times New Roman"/>
                <w:color w:val="auto"/>
                <w:kern w:val="0"/>
                <w:sz w:val="22"/>
                <w:szCs w:val="22"/>
                <w:highlight w:val="none"/>
              </w:rPr>
              <w:t>%</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1283"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产出成本</w:t>
            </w:r>
          </w:p>
        </w:tc>
        <w:tc>
          <w:tcPr>
            <w:tcW w:w="170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成本节约率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100%</w:t>
            </w:r>
          </w:p>
        </w:tc>
        <w:tc>
          <w:tcPr>
            <w:tcW w:w="1215"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lang w:val="en-US" w:eastAsia="zh-CN"/>
              </w:rPr>
              <w:t>100</w:t>
            </w:r>
            <w:r>
              <w:rPr>
                <w:rFonts w:hint="default" w:ascii="Times New Roman" w:hAnsi="Times New Roman" w:cs="Times New Roman"/>
                <w:color w:val="auto"/>
                <w:kern w:val="0"/>
                <w:sz w:val="22"/>
                <w:szCs w:val="22"/>
                <w:highlight w:val="none"/>
              </w:rPr>
              <w:t>%</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效益　</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20分</w:t>
            </w: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项目效益　</w:t>
            </w:r>
          </w:p>
        </w:tc>
        <w:tc>
          <w:tcPr>
            <w:tcW w:w="170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实施效益</w:t>
            </w:r>
          </w:p>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（社会效益、经济效益、可持续效益）</w:t>
            </w:r>
          </w:p>
        </w:tc>
        <w:tc>
          <w:tcPr>
            <w:tcW w:w="72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10</w:t>
            </w:r>
          </w:p>
        </w:tc>
        <w:tc>
          <w:tcPr>
            <w:tcW w:w="1044"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有效</w:t>
            </w:r>
          </w:p>
        </w:tc>
        <w:tc>
          <w:tcPr>
            <w:tcW w:w="924"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有效</w:t>
            </w:r>
          </w:p>
        </w:tc>
        <w:tc>
          <w:tcPr>
            <w:tcW w:w="1215"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lang w:val="en-US" w:eastAsia="zh-CN"/>
              </w:rPr>
              <w:t>100</w:t>
            </w:r>
            <w:r>
              <w:rPr>
                <w:rFonts w:hint="default" w:ascii="Times New Roman" w:hAnsi="Times New Roman" w:cs="Times New Roman"/>
                <w:color w:val="auto"/>
                <w:kern w:val="0"/>
                <w:sz w:val="22"/>
                <w:szCs w:val="22"/>
                <w:highlight w:val="none"/>
              </w:rPr>
              <w:t>%</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满意度</w:t>
            </w:r>
          </w:p>
        </w:tc>
        <w:tc>
          <w:tcPr>
            <w:tcW w:w="727"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w:t>
            </w:r>
            <w:r>
              <w:rPr>
                <w:rFonts w:hint="default" w:ascii="Times New Roman" w:hAnsi="Times New Roman" w:cs="Times New Roman"/>
                <w:color w:val="auto"/>
                <w:kern w:val="0"/>
                <w:sz w:val="22"/>
                <w:szCs w:val="22"/>
                <w:highlight w:val="none"/>
                <w:lang w:val="en-US" w:eastAsia="zh-CN"/>
              </w:rPr>
              <w:t>90</w:t>
            </w:r>
            <w:r>
              <w:rPr>
                <w:rFonts w:hint="default" w:ascii="Times New Roman" w:hAnsi="Times New Roman" w:cs="Times New Roman"/>
                <w:color w:val="auto"/>
                <w:kern w:val="0"/>
                <w:sz w:val="22"/>
                <w:szCs w:val="22"/>
                <w:highlight w:val="none"/>
              </w:rPr>
              <w:t>%</w:t>
            </w:r>
          </w:p>
        </w:tc>
        <w:tc>
          <w:tcPr>
            <w:tcW w:w="924" w:type="dxa"/>
            <w:shd w:val="clear" w:color="000000"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lang w:val="en-US" w:eastAsia="zh-CN"/>
              </w:rPr>
              <w:t>85.2</w:t>
            </w:r>
            <w:r>
              <w:rPr>
                <w:rFonts w:hint="default" w:ascii="Times New Roman" w:hAnsi="Times New Roman" w:cs="Times New Roman"/>
                <w:color w:val="auto"/>
                <w:kern w:val="0"/>
                <w:sz w:val="22"/>
                <w:szCs w:val="22"/>
                <w:highlight w:val="none"/>
              </w:rPr>
              <w:t>%</w:t>
            </w:r>
          </w:p>
        </w:tc>
        <w:tc>
          <w:tcPr>
            <w:tcW w:w="1215" w:type="dxa"/>
            <w:shd w:val="clear" w:color="000000" w:fill="FFFFFF"/>
            <w:vAlign w:val="center"/>
          </w:tcPr>
          <w:p>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94.67%</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9.47</w:t>
            </w:r>
          </w:p>
        </w:tc>
      </w:tr>
    </w:tbl>
    <w:p>
      <w:pPr>
        <w:spacing w:line="560" w:lineRule="exact"/>
        <w:ind w:firstLine="640" w:firstLineChars="200"/>
        <w:rPr>
          <w:rFonts w:hint="default" w:ascii="Times New Roman" w:hAnsi="Times New Roman" w:eastAsia="黑体" w:cs="Times New Roman"/>
          <w:color w:val="auto"/>
          <w:sz w:val="32"/>
          <w:szCs w:val="32"/>
          <w:highlight w:val="none"/>
        </w:rPr>
      </w:pPr>
    </w:p>
    <w:p>
      <w:pPr>
        <w:spacing w:line="560" w:lineRule="exact"/>
        <w:ind w:firstLine="640" w:firstLineChars="200"/>
        <w:rPr>
          <w:rFonts w:hint="default" w:ascii="Times New Roman" w:hAnsi="Times New Roman" w:eastAsia="黑体" w:cs="Times New Roman"/>
          <w:color w:val="auto"/>
          <w:sz w:val="32"/>
          <w:szCs w:val="32"/>
          <w:highlight w:val="none"/>
        </w:rPr>
      </w:pPr>
    </w:p>
    <w:p>
      <w:pPr>
        <w:spacing w:line="560" w:lineRule="exact"/>
        <w:ind w:firstLine="640" w:firstLineChars="200"/>
        <w:rPr>
          <w:rFonts w:hint="default" w:ascii="Times New Roman" w:hAnsi="Times New Roman" w:eastAsia="黑体" w:cs="Times New Roman"/>
          <w:color w:val="auto"/>
          <w:sz w:val="32"/>
          <w:szCs w:val="32"/>
          <w:highlight w:val="none"/>
        </w:rPr>
      </w:pPr>
    </w:p>
    <w:p>
      <w:pPr>
        <w:spacing w:line="560" w:lineRule="exact"/>
        <w:ind w:firstLine="640" w:firstLineChars="200"/>
        <w:rPr>
          <w:rFonts w:hint="default" w:ascii="Times New Roman" w:hAnsi="Times New Roman" w:eastAsia="黑体" w:cs="Times New Roman"/>
          <w:color w:val="auto"/>
          <w:sz w:val="32"/>
          <w:szCs w:val="32"/>
          <w:highlight w:val="none"/>
        </w:rPr>
      </w:pPr>
    </w:p>
    <w:p>
      <w:pPr>
        <w:spacing w:line="560" w:lineRule="exact"/>
        <w:ind w:firstLine="640" w:firstLineChars="200"/>
        <w:rPr>
          <w:rFonts w:hint="default" w:ascii="Times New Roman" w:hAnsi="Times New Roman" w:eastAsia="黑体" w:cs="Times New Roman"/>
          <w:color w:val="auto"/>
          <w:sz w:val="32"/>
          <w:szCs w:val="32"/>
          <w:highlight w:val="none"/>
        </w:rPr>
      </w:pPr>
    </w:p>
    <w:p>
      <w:pPr>
        <w:spacing w:line="560" w:lineRule="exact"/>
        <w:rPr>
          <w:rFonts w:hint="default" w:ascii="Times New Roman" w:hAnsi="Times New Roman" w:eastAsia="黑体" w:cs="Times New Roman"/>
          <w:color w:val="auto"/>
          <w:sz w:val="32"/>
          <w:szCs w:val="32"/>
          <w:highlight w:val="none"/>
        </w:rPr>
      </w:pPr>
    </w:p>
    <w:p>
      <w:pPr>
        <w:pageBreakBefore w:val="0"/>
        <w:kinsoku/>
        <w:wordWrap/>
        <w:overflowPunct/>
        <w:topLinePunct w:val="0"/>
        <w:autoSpaceDE/>
        <w:autoSpaceDN/>
        <w:bidi w:val="0"/>
        <w:adjustRightInd/>
        <w:spacing w:line="540" w:lineRule="exact"/>
        <w:ind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四、绩效评价指标分析</w:t>
      </w:r>
    </w:p>
    <w:p>
      <w:pPr>
        <w:pStyle w:val="2"/>
        <w:pageBreakBefore w:val="0"/>
        <w:kinsoku/>
        <w:wordWrap/>
        <w:overflowPunct/>
        <w:topLinePunct w:val="0"/>
        <w:autoSpaceDE/>
        <w:autoSpaceDN/>
        <w:bidi w:val="0"/>
        <w:adjustRightInd/>
        <w:spacing w:before="0" w:after="0" w:line="540" w:lineRule="exact"/>
        <w:ind w:firstLine="643" w:firstLineChars="200"/>
        <w:jc w:val="both"/>
        <w:textAlignment w:val="auto"/>
        <w:rPr>
          <w:rFonts w:hint="default" w:ascii="Times New Roman" w:hAnsi="Times New Roman" w:eastAsia="楷体_GB2312" w:cs="Times New Roman"/>
          <w:color w:val="auto"/>
          <w:highlight w:val="none"/>
        </w:rPr>
      </w:pPr>
      <w:r>
        <w:rPr>
          <w:rFonts w:hint="default" w:ascii="Times New Roman" w:hAnsi="Times New Roman" w:eastAsia="楷体_GB2312" w:cs="Times New Roman"/>
          <w:color w:val="auto"/>
          <w:highlight w:val="none"/>
        </w:rPr>
        <w:t>（一）项目决策情况</w:t>
      </w:r>
    </w:p>
    <w:p>
      <w:pPr>
        <w:pageBreakBefore w:val="0"/>
        <w:kinsoku/>
        <w:wordWrap/>
        <w:overflowPunct/>
        <w:topLinePunct w:val="0"/>
        <w:autoSpaceDE/>
        <w:autoSpaceDN/>
        <w:bidi w:val="0"/>
        <w:adjustRightInd/>
        <w:spacing w:line="540" w:lineRule="exact"/>
        <w:ind w:left="0" w:leftChars="0" w:firstLine="639" w:firstLineChars="213"/>
        <w:textAlignment w:val="auto"/>
        <w:rPr>
          <w:rFonts w:hint="default" w:ascii="Times New Roman" w:hAnsi="Times New Roman" w:eastAsia="仿宋_GB2312" w:cs="Times New Roman"/>
          <w:color w:val="auto"/>
          <w:sz w:val="30"/>
          <w:highlight w:val="none"/>
        </w:rPr>
      </w:pPr>
      <w:r>
        <w:rPr>
          <w:rFonts w:hint="default" w:ascii="Times New Roman" w:hAnsi="Times New Roman" w:eastAsia="仿宋_GB2312" w:cs="Times New Roman"/>
          <w:color w:val="auto"/>
          <w:sz w:val="30"/>
          <w:highlight w:val="none"/>
        </w:rPr>
        <w:t>1、立项依据充分性</w:t>
      </w:r>
    </w:p>
    <w:p>
      <w:pPr>
        <w:pageBreakBefore w:val="0"/>
        <w:kinsoku/>
        <w:wordWrap/>
        <w:overflowPunct/>
        <w:topLinePunct w:val="0"/>
        <w:autoSpaceDE/>
        <w:autoSpaceDN/>
        <w:bidi w:val="0"/>
        <w:adjustRightInd/>
        <w:spacing w:line="540" w:lineRule="exact"/>
        <w:ind w:left="0" w:leftChars="0" w:firstLine="600" w:firstLineChars="200"/>
        <w:textAlignment w:val="auto"/>
        <w:rPr>
          <w:rFonts w:hint="default" w:ascii="Times New Roman" w:hAnsi="Times New Roman" w:eastAsia="仿宋_GB2312" w:cs="Times New Roman"/>
          <w:color w:val="auto"/>
          <w:sz w:val="30"/>
          <w:highlight w:val="none"/>
        </w:rPr>
      </w:pPr>
      <w:r>
        <w:rPr>
          <w:rFonts w:hint="default" w:ascii="Times New Roman" w:hAnsi="Times New Roman" w:eastAsia="仿宋_GB2312" w:cs="Times New Roman"/>
          <w:color w:val="auto"/>
          <w:sz w:val="30"/>
          <w:highlight w:val="none"/>
          <w:lang w:val="en-US" w:eastAsia="zh-CN"/>
        </w:rPr>
        <w:t>按照国务院联防联控机制《关于印发做好医疗资源准备工作方案的通知》（联防联控机制综发〔2022〕112号）要求和新冠病毒感染疫情乙类乙管工作要求，有效提升医疗机构重症救治资源储备，扩充ICU和可转化ICU床位数，补齐设备缺口，有效开展疫情期间重症病例救治工作的要求；以及根据自治区党委、人民政府关于扩展自治区本级医疗机构重症床位的工作部署，提高自治区疫情救治定点医院重症救治能力的相关要求；根据《关于拨付2023年自治区第一批疫情防控补助资金（自治区本级医疗机构重症床位设备购置经费）的通知》（</w:t>
      </w:r>
      <w:r>
        <w:rPr>
          <w:rFonts w:hint="default" w:ascii="Times New Roman" w:hAnsi="Times New Roman" w:eastAsia="仿宋_GB2312" w:cs="Times New Roman"/>
          <w:color w:val="auto"/>
          <w:sz w:val="30"/>
          <w:highlight w:val="none"/>
          <w:lang w:val="zh-CN"/>
        </w:rPr>
        <w:t>新财社</w:t>
      </w:r>
      <w:r>
        <w:rPr>
          <w:rFonts w:hint="default" w:ascii="Times New Roman" w:hAnsi="Times New Roman" w:eastAsia="仿宋_GB2312" w:cs="Times New Roman"/>
          <w:color w:val="auto"/>
          <w:sz w:val="30"/>
          <w:highlight w:val="none"/>
          <w:lang w:val="en-US" w:eastAsia="zh-CN"/>
        </w:rPr>
        <w:t>[</w:t>
      </w:r>
      <w:r>
        <w:rPr>
          <w:rFonts w:hint="default" w:ascii="Times New Roman" w:hAnsi="Times New Roman" w:eastAsia="仿宋_GB2312" w:cs="Times New Roman"/>
          <w:color w:val="auto"/>
          <w:sz w:val="30"/>
          <w:highlight w:val="none"/>
          <w:lang w:val="zh-CN"/>
        </w:rPr>
        <w:t>2023</w:t>
      </w:r>
      <w:r>
        <w:rPr>
          <w:rFonts w:hint="default" w:ascii="Times New Roman" w:hAnsi="Times New Roman" w:eastAsia="仿宋_GB2312" w:cs="Times New Roman"/>
          <w:color w:val="auto"/>
          <w:sz w:val="30"/>
          <w:highlight w:val="none"/>
          <w:lang w:val="en-US" w:eastAsia="zh-CN"/>
        </w:rPr>
        <w:t>]1</w:t>
      </w:r>
      <w:r>
        <w:rPr>
          <w:rFonts w:hint="default" w:ascii="Times New Roman" w:hAnsi="Times New Roman" w:eastAsia="仿宋_GB2312" w:cs="Times New Roman"/>
          <w:color w:val="auto"/>
          <w:sz w:val="30"/>
          <w:highlight w:val="none"/>
          <w:lang w:val="zh-CN"/>
        </w:rPr>
        <w:t>号</w:t>
      </w:r>
      <w:r>
        <w:rPr>
          <w:rFonts w:hint="default" w:ascii="Times New Roman" w:hAnsi="Times New Roman" w:eastAsia="仿宋_GB2312" w:cs="Times New Roman"/>
          <w:color w:val="auto"/>
          <w:sz w:val="30"/>
          <w:highlight w:val="none"/>
          <w:lang w:val="en-US" w:eastAsia="zh-CN"/>
        </w:rPr>
        <w:t>）文件，我单位使用</w:t>
      </w:r>
      <w:r>
        <w:rPr>
          <w:rFonts w:hint="default" w:ascii="Times New Roman" w:hAnsi="Times New Roman" w:eastAsia="仿宋_GB2312" w:cs="Times New Roman"/>
          <w:color w:val="auto"/>
          <w:sz w:val="30"/>
          <w:highlight w:val="none"/>
          <w:lang w:eastAsia="zh-CN"/>
        </w:rPr>
        <w:t>自治区2023年第一批疫情防控补助资金（自治区本级医疗机构重症床位设备配置经费）项目资金开展重症床位及相关设备配置建设工作。</w:t>
      </w:r>
    </w:p>
    <w:p>
      <w:pPr>
        <w:pageBreakBefore w:val="0"/>
        <w:kinsoku/>
        <w:wordWrap/>
        <w:overflowPunct/>
        <w:topLinePunct w:val="0"/>
        <w:autoSpaceDE/>
        <w:autoSpaceDN/>
        <w:bidi w:val="0"/>
        <w:adjustRightInd/>
        <w:spacing w:line="540" w:lineRule="exact"/>
        <w:ind w:left="0" w:leftChars="0" w:firstLine="600" w:firstLineChars="200"/>
        <w:textAlignment w:val="auto"/>
        <w:rPr>
          <w:rFonts w:hint="default" w:ascii="Times New Roman" w:hAnsi="Times New Roman" w:eastAsia="仿宋_GB2312" w:cs="Times New Roman"/>
          <w:color w:val="auto"/>
          <w:sz w:val="30"/>
          <w:highlight w:val="none"/>
          <w:lang w:val="en-US" w:eastAsia="zh-CN"/>
        </w:rPr>
      </w:pPr>
      <w:r>
        <w:rPr>
          <w:rFonts w:hint="default" w:ascii="Times New Roman" w:hAnsi="Times New Roman" w:eastAsia="仿宋_GB2312" w:cs="Times New Roman"/>
          <w:color w:val="auto"/>
          <w:sz w:val="30"/>
          <w:highlight w:val="none"/>
          <w:lang w:val="en-US" w:eastAsia="zh-CN"/>
        </w:rPr>
        <w:t>2、立项程序规范性</w:t>
      </w:r>
    </w:p>
    <w:p>
      <w:pPr>
        <w:pageBreakBefore w:val="0"/>
        <w:kinsoku/>
        <w:wordWrap/>
        <w:overflowPunct/>
        <w:topLinePunct w:val="0"/>
        <w:autoSpaceDE/>
        <w:autoSpaceDN/>
        <w:bidi w:val="0"/>
        <w:adjustRightInd/>
        <w:spacing w:line="540" w:lineRule="exact"/>
        <w:ind w:left="0" w:leftChars="0" w:firstLine="600" w:firstLineChars="200"/>
        <w:textAlignment w:val="auto"/>
        <w:rPr>
          <w:rFonts w:hint="default" w:ascii="Times New Roman" w:hAnsi="Times New Roman" w:eastAsia="仿宋_GB2312" w:cs="Times New Roman"/>
          <w:color w:val="auto"/>
          <w:sz w:val="30"/>
          <w:highlight w:val="none"/>
          <w:lang w:val="en-US" w:eastAsia="zh-CN"/>
        </w:rPr>
      </w:pPr>
      <w:r>
        <w:rPr>
          <w:rFonts w:hint="default" w:ascii="Times New Roman" w:hAnsi="Times New Roman" w:eastAsia="仿宋_GB2312" w:cs="Times New Roman"/>
          <w:color w:val="auto"/>
          <w:sz w:val="30"/>
          <w:highlight w:val="none"/>
          <w:lang w:val="en-US" w:eastAsia="zh-CN"/>
        </w:rPr>
        <w:t>该项目属于当年特殊指令项目，按照财政规定的程序申请设立，经历一体化平台项目库申报-预算编制-编制批复流程，属于规范项目，符合项目规范立项要求。</w:t>
      </w:r>
    </w:p>
    <w:p>
      <w:pPr>
        <w:pageBreakBefore w:val="0"/>
        <w:kinsoku/>
        <w:wordWrap/>
        <w:overflowPunct/>
        <w:topLinePunct w:val="0"/>
        <w:autoSpaceDE/>
        <w:autoSpaceDN/>
        <w:bidi w:val="0"/>
        <w:adjustRightInd/>
        <w:spacing w:line="540" w:lineRule="exact"/>
        <w:ind w:left="0" w:leftChars="0" w:firstLine="600" w:firstLineChars="200"/>
        <w:textAlignment w:val="auto"/>
        <w:rPr>
          <w:rFonts w:hint="default" w:ascii="Times New Roman" w:hAnsi="Times New Roman" w:eastAsia="仿宋_GB2312" w:cs="Times New Roman"/>
          <w:color w:val="auto"/>
          <w:sz w:val="30"/>
          <w:highlight w:val="none"/>
          <w:lang w:val="en-US" w:eastAsia="zh-CN"/>
        </w:rPr>
      </w:pPr>
      <w:r>
        <w:rPr>
          <w:rFonts w:hint="default" w:ascii="Times New Roman" w:hAnsi="Times New Roman" w:eastAsia="仿宋_GB2312" w:cs="Times New Roman"/>
          <w:color w:val="auto"/>
          <w:sz w:val="30"/>
          <w:highlight w:val="none"/>
          <w:lang w:val="en-US" w:eastAsia="zh-CN"/>
        </w:rPr>
        <w:t>3、绩效目标合理性</w:t>
      </w:r>
    </w:p>
    <w:p>
      <w:pPr>
        <w:pageBreakBefore w:val="0"/>
        <w:kinsoku/>
        <w:wordWrap/>
        <w:overflowPunct/>
        <w:topLinePunct w:val="0"/>
        <w:autoSpaceDE/>
        <w:autoSpaceDN/>
        <w:bidi w:val="0"/>
        <w:adjustRightInd/>
        <w:spacing w:line="540" w:lineRule="exact"/>
        <w:ind w:left="0" w:leftChars="0" w:firstLine="600" w:firstLineChars="200"/>
        <w:textAlignment w:val="auto"/>
        <w:rPr>
          <w:rFonts w:hint="default" w:ascii="Times New Roman" w:hAnsi="Times New Roman" w:eastAsia="仿宋_GB2312" w:cs="Times New Roman"/>
          <w:color w:val="auto"/>
          <w:sz w:val="30"/>
          <w:highlight w:val="none"/>
        </w:rPr>
      </w:pPr>
      <w:r>
        <w:rPr>
          <w:rFonts w:hint="default" w:ascii="Times New Roman" w:hAnsi="Times New Roman" w:eastAsia="仿宋_GB2312" w:cs="Times New Roman"/>
          <w:color w:val="auto"/>
          <w:sz w:val="30"/>
          <w:highlight w:val="none"/>
          <w:lang w:val="en-US" w:eastAsia="zh-CN"/>
        </w:rPr>
        <w:t>自治区2023年第一批疫情防控补助资金（自治区本级医疗机构重症床位设备配置经费）项目设立了项目绩效目标，与防控政策</w:t>
      </w:r>
      <w:r>
        <w:rPr>
          <w:rFonts w:hint="default" w:ascii="Times New Roman" w:hAnsi="Times New Roman" w:eastAsia="仿宋_GB2312" w:cs="Times New Roman"/>
          <w:color w:val="auto"/>
          <w:sz w:val="30"/>
          <w:highlight w:val="none"/>
          <w:lang w:eastAsia="zh-CN"/>
        </w:rPr>
        <w:t>转向后重症救治床位配置的实际工作</w:t>
      </w:r>
      <w:r>
        <w:rPr>
          <w:rFonts w:hint="default" w:ascii="Times New Roman" w:hAnsi="Times New Roman" w:eastAsia="仿宋_GB2312" w:cs="Times New Roman"/>
          <w:color w:val="auto"/>
          <w:sz w:val="30"/>
          <w:highlight w:val="none"/>
        </w:rPr>
        <w:t>具有相关性，项目的预期产出效益和效果也均能符合正常的业绩水平，并且与预算确定的项目资金量相匹配。</w:t>
      </w:r>
    </w:p>
    <w:p>
      <w:pPr>
        <w:pageBreakBefore w:val="0"/>
        <w:kinsoku/>
        <w:wordWrap/>
        <w:overflowPunct/>
        <w:topLinePunct w:val="0"/>
        <w:autoSpaceDE/>
        <w:autoSpaceDN/>
        <w:bidi w:val="0"/>
        <w:adjustRightInd/>
        <w:spacing w:line="540" w:lineRule="exact"/>
        <w:ind w:left="0" w:leftChars="0" w:firstLine="639" w:firstLineChars="213"/>
        <w:textAlignment w:val="auto"/>
        <w:rPr>
          <w:rFonts w:hint="default" w:ascii="Times New Roman" w:hAnsi="Times New Roman" w:eastAsia="仿宋_GB2312" w:cs="Times New Roman"/>
          <w:color w:val="auto"/>
          <w:sz w:val="30"/>
          <w:highlight w:val="none"/>
        </w:rPr>
      </w:pPr>
      <w:r>
        <w:rPr>
          <w:rFonts w:hint="default" w:ascii="Times New Roman" w:hAnsi="Times New Roman" w:eastAsia="仿宋_GB2312" w:cs="Times New Roman"/>
          <w:color w:val="auto"/>
          <w:sz w:val="30"/>
          <w:highlight w:val="none"/>
        </w:rPr>
        <w:t>4、绩效指标明确性</w:t>
      </w:r>
    </w:p>
    <w:p>
      <w:pPr>
        <w:pageBreakBefore w:val="0"/>
        <w:kinsoku/>
        <w:wordWrap/>
        <w:overflowPunct/>
        <w:topLinePunct w:val="0"/>
        <w:autoSpaceDE/>
        <w:autoSpaceDN/>
        <w:bidi w:val="0"/>
        <w:adjustRightInd/>
        <w:spacing w:line="540" w:lineRule="exact"/>
        <w:ind w:firstLine="600" w:firstLineChars="200"/>
        <w:textAlignment w:val="auto"/>
        <w:rPr>
          <w:rFonts w:hint="default" w:ascii="Times New Roman" w:hAnsi="Times New Roman" w:eastAsia="仿宋_GB2312" w:cs="Times New Roman"/>
          <w:color w:val="auto"/>
          <w:sz w:val="30"/>
          <w:highlight w:val="none"/>
        </w:rPr>
      </w:pPr>
      <w:bookmarkStart w:id="6" w:name="_Hlk68699917"/>
      <w:r>
        <w:rPr>
          <w:rFonts w:hint="default" w:ascii="Times New Roman" w:hAnsi="Times New Roman" w:eastAsia="仿宋_GB2312" w:cs="Times New Roman"/>
          <w:color w:val="auto"/>
          <w:sz w:val="30"/>
          <w:highlight w:val="none"/>
          <w:lang w:val="en-US" w:eastAsia="zh-CN"/>
        </w:rPr>
        <w:t>自治区2023年第一批疫情防控补助资金（自治区本级医疗机构重症床位设备配置经费）</w:t>
      </w:r>
      <w:r>
        <w:rPr>
          <w:rFonts w:hint="default" w:ascii="Times New Roman" w:hAnsi="Times New Roman" w:eastAsia="仿宋_GB2312" w:cs="Times New Roman"/>
          <w:color w:val="auto"/>
          <w:sz w:val="30"/>
          <w:highlight w:val="none"/>
        </w:rPr>
        <w:t>项目将项目绩效目标细化分解为具体的绩效指标，一级指标共</w:t>
      </w:r>
      <w:r>
        <w:rPr>
          <w:rFonts w:hint="default" w:ascii="Times New Roman" w:hAnsi="Times New Roman" w:eastAsia="仿宋_GB2312" w:cs="Times New Roman"/>
          <w:color w:val="auto"/>
          <w:sz w:val="30"/>
          <w:highlight w:val="none"/>
          <w:lang w:val="en-US" w:eastAsia="zh-CN"/>
        </w:rPr>
        <w:t>4</w:t>
      </w:r>
      <w:r>
        <w:rPr>
          <w:rFonts w:hint="default" w:ascii="Times New Roman" w:hAnsi="Times New Roman" w:eastAsia="仿宋_GB2312" w:cs="Times New Roman"/>
          <w:color w:val="auto"/>
          <w:sz w:val="30"/>
          <w:highlight w:val="none"/>
        </w:rPr>
        <w:t>条，二级指标共</w:t>
      </w:r>
      <w:r>
        <w:rPr>
          <w:rFonts w:hint="default" w:ascii="Times New Roman" w:hAnsi="Times New Roman" w:eastAsia="仿宋_GB2312" w:cs="Times New Roman"/>
          <w:color w:val="auto"/>
          <w:sz w:val="30"/>
          <w:highlight w:val="none"/>
          <w:lang w:val="en-US" w:eastAsia="zh-CN"/>
        </w:rPr>
        <w:t>6</w:t>
      </w:r>
      <w:r>
        <w:rPr>
          <w:rFonts w:hint="default" w:ascii="Times New Roman" w:hAnsi="Times New Roman" w:eastAsia="仿宋_GB2312" w:cs="Times New Roman"/>
          <w:color w:val="auto"/>
          <w:sz w:val="30"/>
          <w:highlight w:val="none"/>
        </w:rPr>
        <w:t>条，三级指标共</w:t>
      </w:r>
      <w:r>
        <w:rPr>
          <w:rFonts w:hint="default" w:ascii="Times New Roman" w:hAnsi="Times New Roman" w:eastAsia="仿宋_GB2312" w:cs="Times New Roman"/>
          <w:color w:val="auto"/>
          <w:sz w:val="30"/>
          <w:highlight w:val="none"/>
          <w:lang w:val="en-US" w:eastAsia="zh-CN"/>
        </w:rPr>
        <w:t>7</w:t>
      </w:r>
      <w:r>
        <w:rPr>
          <w:rFonts w:hint="default" w:ascii="Times New Roman" w:hAnsi="Times New Roman" w:eastAsia="仿宋_GB2312" w:cs="Times New Roman"/>
          <w:color w:val="auto"/>
          <w:sz w:val="30"/>
          <w:highlight w:val="none"/>
        </w:rPr>
        <w:t>条，其中量化指标条数共</w:t>
      </w:r>
      <w:r>
        <w:rPr>
          <w:rFonts w:hint="default" w:ascii="Times New Roman" w:hAnsi="Times New Roman" w:eastAsia="仿宋_GB2312" w:cs="Times New Roman"/>
          <w:color w:val="auto"/>
          <w:sz w:val="30"/>
          <w:highlight w:val="none"/>
          <w:lang w:val="en-US" w:eastAsia="zh-CN"/>
        </w:rPr>
        <w:t>7</w:t>
      </w:r>
      <w:r>
        <w:rPr>
          <w:rFonts w:hint="default" w:ascii="Times New Roman" w:hAnsi="Times New Roman" w:eastAsia="仿宋_GB2312" w:cs="Times New Roman"/>
          <w:color w:val="auto"/>
          <w:sz w:val="30"/>
          <w:highlight w:val="none"/>
        </w:rPr>
        <w:t>条，所有绩效指标均通过清晰、可衡量的指标值予以体现，并且做到了与项目目标任务数</w:t>
      </w:r>
      <w:r>
        <w:rPr>
          <w:rFonts w:hint="default" w:ascii="Times New Roman" w:hAnsi="Times New Roman" w:eastAsia="仿宋_GB2312" w:cs="Times New Roman"/>
          <w:color w:val="auto"/>
          <w:sz w:val="30"/>
          <w:highlight w:val="none"/>
          <w:lang w:eastAsia="zh-CN"/>
        </w:rPr>
        <w:t>、</w:t>
      </w:r>
      <w:r>
        <w:rPr>
          <w:rFonts w:hint="default" w:ascii="Times New Roman" w:hAnsi="Times New Roman" w:eastAsia="仿宋_GB2312" w:cs="Times New Roman"/>
          <w:color w:val="auto"/>
          <w:sz w:val="30"/>
          <w:highlight w:val="none"/>
        </w:rPr>
        <w:t>计划数相对应。</w:t>
      </w:r>
      <w:bookmarkEnd w:id="6"/>
    </w:p>
    <w:p>
      <w:pPr>
        <w:pageBreakBefore w:val="0"/>
        <w:numPr>
          <w:ilvl w:val="0"/>
          <w:numId w:val="3"/>
        </w:numPr>
        <w:kinsoku/>
        <w:wordWrap/>
        <w:overflowPunct/>
        <w:topLinePunct w:val="0"/>
        <w:autoSpaceDE/>
        <w:autoSpaceDN/>
        <w:bidi w:val="0"/>
        <w:adjustRightInd/>
        <w:spacing w:line="540" w:lineRule="exact"/>
        <w:ind w:left="0" w:leftChars="0" w:firstLine="600" w:firstLineChars="200"/>
        <w:textAlignment w:val="auto"/>
        <w:rPr>
          <w:rFonts w:hint="default" w:ascii="Times New Roman" w:hAnsi="Times New Roman" w:eastAsia="仿宋_GB2312" w:cs="Times New Roman"/>
          <w:color w:val="auto"/>
          <w:sz w:val="30"/>
          <w:highlight w:val="none"/>
        </w:rPr>
      </w:pPr>
      <w:r>
        <w:rPr>
          <w:rFonts w:hint="default" w:ascii="Times New Roman" w:hAnsi="Times New Roman" w:eastAsia="仿宋_GB2312" w:cs="Times New Roman"/>
          <w:color w:val="auto"/>
          <w:sz w:val="30"/>
          <w:highlight w:val="none"/>
        </w:rPr>
        <w:t>预算编制科学性</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00" w:firstLineChars="200"/>
        <w:jc w:val="left"/>
        <w:textAlignment w:val="auto"/>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b w:val="0"/>
          <w:bCs w:val="0"/>
          <w:color w:val="auto"/>
          <w:kern w:val="2"/>
          <w:sz w:val="30"/>
          <w:szCs w:val="24"/>
          <w:highlight w:val="none"/>
          <w:lang w:val="en-US" w:eastAsia="zh-CN" w:bidi="ar-SA"/>
        </w:rPr>
        <w:t>自治区2023年第一批疫情防控补助资金（自治区本级医疗机构重症床位设备配置经费）项目属于特殊指令项目，经过自治区财政厅批准，预算内容与防控政策转向后重症救治床位配置内容匹配，预算额度测算依据充分，拟采购项目均经过装备委员会论证，均按照医院实际支出标准编制，预算确定的资金量与工作任务相匹配</w:t>
      </w:r>
    </w:p>
    <w:p>
      <w:pPr>
        <w:pageBreakBefore w:val="0"/>
        <w:kinsoku/>
        <w:wordWrap/>
        <w:overflowPunct/>
        <w:topLinePunct w:val="0"/>
        <w:autoSpaceDE/>
        <w:autoSpaceDN/>
        <w:bidi w:val="0"/>
        <w:adjustRightInd/>
        <w:spacing w:line="540" w:lineRule="exact"/>
        <w:ind w:left="0" w:leftChars="0" w:firstLine="639" w:firstLineChars="213"/>
        <w:textAlignment w:val="auto"/>
        <w:rPr>
          <w:rFonts w:hint="default" w:ascii="Times New Roman" w:hAnsi="Times New Roman" w:eastAsia="仿宋_GB2312" w:cs="Times New Roman"/>
          <w:color w:val="auto"/>
          <w:sz w:val="30"/>
          <w:highlight w:val="none"/>
        </w:rPr>
      </w:pPr>
      <w:r>
        <w:rPr>
          <w:rFonts w:hint="default" w:ascii="Times New Roman" w:hAnsi="Times New Roman" w:eastAsia="仿宋_GB2312" w:cs="Times New Roman"/>
          <w:color w:val="auto"/>
          <w:sz w:val="30"/>
          <w:highlight w:val="none"/>
          <w:lang w:val="en-US" w:eastAsia="zh-CN"/>
        </w:rPr>
        <w:t>5</w:t>
      </w:r>
      <w:r>
        <w:rPr>
          <w:rFonts w:hint="default" w:ascii="Times New Roman" w:hAnsi="Times New Roman" w:eastAsia="仿宋_GB2312" w:cs="Times New Roman"/>
          <w:color w:val="auto"/>
          <w:sz w:val="30"/>
          <w:highlight w:val="none"/>
        </w:rPr>
        <w:t>、资金分配合理性</w:t>
      </w:r>
    </w:p>
    <w:p>
      <w:pPr>
        <w:pageBreakBefore w:val="0"/>
        <w:kinsoku/>
        <w:wordWrap/>
        <w:overflowPunct/>
        <w:topLinePunct w:val="0"/>
        <w:autoSpaceDE/>
        <w:autoSpaceDN/>
        <w:bidi w:val="0"/>
        <w:adjustRightInd/>
        <w:spacing w:line="540" w:lineRule="exact"/>
        <w:ind w:left="0" w:leftChars="0" w:firstLine="639" w:firstLineChars="213"/>
        <w:textAlignment w:val="auto"/>
        <w:rPr>
          <w:rFonts w:hint="default" w:ascii="Times New Roman" w:hAnsi="Times New Roman" w:eastAsia="仿宋_GB2312" w:cs="Times New Roman"/>
          <w:color w:val="auto"/>
          <w:sz w:val="30"/>
          <w:highlight w:val="none"/>
        </w:rPr>
      </w:pPr>
      <w:r>
        <w:rPr>
          <w:rFonts w:hint="default" w:ascii="Times New Roman" w:hAnsi="Times New Roman" w:eastAsia="仿宋_GB2312" w:cs="Times New Roman"/>
          <w:b w:val="0"/>
          <w:bCs w:val="0"/>
          <w:color w:val="auto"/>
          <w:kern w:val="2"/>
          <w:sz w:val="30"/>
          <w:szCs w:val="24"/>
          <w:highlight w:val="none"/>
          <w:lang w:val="en-US" w:eastAsia="zh-CN" w:bidi="ar-SA"/>
        </w:rPr>
        <w:t>自治区2023年第一批疫情防控补助资金（自治区本级医疗机构重症床位设备配置经费）项目</w:t>
      </w:r>
      <w:r>
        <w:rPr>
          <w:rFonts w:hint="default" w:ascii="Times New Roman" w:hAnsi="Times New Roman" w:eastAsia="仿宋_GB2312" w:cs="Times New Roman"/>
          <w:color w:val="auto"/>
          <w:sz w:val="30"/>
          <w:highlight w:val="none"/>
        </w:rPr>
        <w:t>预算资金分配依据充分</w:t>
      </w:r>
      <w:r>
        <w:rPr>
          <w:rFonts w:hint="default" w:ascii="Times New Roman" w:hAnsi="Times New Roman" w:eastAsia="仿宋_GB2312" w:cs="Times New Roman"/>
          <w:color w:val="auto"/>
          <w:sz w:val="30"/>
          <w:highlight w:val="none"/>
          <w:lang w:eastAsia="zh-CN"/>
        </w:rPr>
        <w:t>，为</w:t>
      </w:r>
      <w:r>
        <w:rPr>
          <w:rFonts w:hint="default" w:ascii="Times New Roman" w:hAnsi="Times New Roman" w:eastAsia="仿宋_GB2312" w:cs="Times New Roman"/>
          <w:b w:val="0"/>
          <w:bCs w:val="0"/>
          <w:color w:val="auto"/>
          <w:kern w:val="2"/>
          <w:sz w:val="30"/>
          <w:szCs w:val="24"/>
          <w:highlight w:val="none"/>
          <w:lang w:val="en-US" w:eastAsia="zh-CN" w:bidi="ar-SA"/>
        </w:rPr>
        <w:t>防控政策转向后重症救治床位配置</w:t>
      </w:r>
      <w:r>
        <w:rPr>
          <w:rFonts w:hint="default" w:ascii="Times New Roman" w:hAnsi="Times New Roman" w:eastAsia="仿宋_GB2312" w:cs="Times New Roman"/>
          <w:color w:val="auto"/>
          <w:sz w:val="30"/>
          <w:highlight w:val="none"/>
          <w:lang w:eastAsia="zh-CN"/>
        </w:rPr>
        <w:t>实际支出需要的资金，</w:t>
      </w:r>
      <w:r>
        <w:rPr>
          <w:rFonts w:hint="default" w:ascii="Times New Roman" w:hAnsi="Times New Roman" w:eastAsia="仿宋_GB2312" w:cs="Times New Roman"/>
          <w:color w:val="auto"/>
          <w:sz w:val="30"/>
          <w:highlight w:val="none"/>
        </w:rPr>
        <w:t>资金分配额度合理，</w:t>
      </w:r>
      <w:r>
        <w:rPr>
          <w:rFonts w:hint="default" w:ascii="Times New Roman" w:hAnsi="Times New Roman" w:eastAsia="仿宋_GB2312" w:cs="Times New Roman"/>
          <w:color w:val="auto"/>
          <w:sz w:val="30"/>
          <w:highlight w:val="none"/>
          <w:lang w:eastAsia="zh-CN"/>
        </w:rPr>
        <w:t>充分考虑了</w:t>
      </w:r>
      <w:r>
        <w:rPr>
          <w:rFonts w:hint="default" w:ascii="Times New Roman" w:hAnsi="Times New Roman" w:eastAsia="仿宋_GB2312" w:cs="Times New Roman"/>
          <w:b w:val="0"/>
          <w:bCs w:val="0"/>
          <w:color w:val="auto"/>
          <w:kern w:val="2"/>
          <w:sz w:val="30"/>
          <w:szCs w:val="24"/>
          <w:highlight w:val="none"/>
          <w:lang w:val="en-US" w:eastAsia="zh-CN" w:bidi="ar-SA"/>
        </w:rPr>
        <w:t>防控政策转向后实际工作需要</w:t>
      </w:r>
      <w:r>
        <w:rPr>
          <w:rFonts w:hint="default" w:ascii="Times New Roman" w:hAnsi="Times New Roman" w:eastAsia="仿宋_GB2312" w:cs="Times New Roman"/>
          <w:color w:val="auto"/>
          <w:sz w:val="30"/>
          <w:highlight w:val="none"/>
          <w:lang w:eastAsia="zh-CN"/>
        </w:rPr>
        <w:t>，</w:t>
      </w:r>
      <w:r>
        <w:rPr>
          <w:rFonts w:hint="default" w:ascii="Times New Roman" w:hAnsi="Times New Roman" w:eastAsia="仿宋_GB2312" w:cs="Times New Roman"/>
          <w:color w:val="auto"/>
          <w:sz w:val="30"/>
          <w:highlight w:val="none"/>
        </w:rPr>
        <w:t>与项目单位实际相适应。</w:t>
      </w:r>
    </w:p>
    <w:p>
      <w:pPr>
        <w:pStyle w:val="2"/>
        <w:pageBreakBefore w:val="0"/>
        <w:numPr>
          <w:ilvl w:val="0"/>
          <w:numId w:val="5"/>
        </w:numPr>
        <w:kinsoku/>
        <w:wordWrap/>
        <w:overflowPunct/>
        <w:topLinePunct w:val="0"/>
        <w:autoSpaceDE/>
        <w:autoSpaceDN/>
        <w:bidi w:val="0"/>
        <w:adjustRightInd/>
        <w:spacing w:before="0" w:after="0" w:line="540" w:lineRule="exact"/>
        <w:ind w:firstLine="643" w:firstLineChars="200"/>
        <w:jc w:val="both"/>
        <w:textAlignment w:val="auto"/>
        <w:rPr>
          <w:rFonts w:hint="default" w:ascii="Times New Roman" w:hAnsi="Times New Roman" w:eastAsia="楷体" w:cs="Times New Roman"/>
          <w:color w:val="auto"/>
          <w:highlight w:val="none"/>
        </w:rPr>
      </w:pPr>
      <w:r>
        <w:rPr>
          <w:rFonts w:hint="default" w:ascii="Times New Roman" w:hAnsi="Times New Roman" w:eastAsia="楷体" w:cs="Times New Roman"/>
          <w:color w:val="auto"/>
          <w:highlight w:val="none"/>
        </w:rPr>
        <w:t>项目过程情况</w:t>
      </w:r>
    </w:p>
    <w:p>
      <w:pPr>
        <w:pageBreakBefore w:val="0"/>
        <w:kinsoku/>
        <w:wordWrap/>
        <w:overflowPunct/>
        <w:topLinePunct w:val="0"/>
        <w:autoSpaceDE/>
        <w:autoSpaceDN/>
        <w:bidi w:val="0"/>
        <w:adjustRightInd/>
        <w:spacing w:line="540" w:lineRule="exact"/>
        <w:ind w:left="0" w:leftChars="0" w:firstLine="639" w:firstLineChars="213"/>
        <w:textAlignment w:val="auto"/>
        <w:rPr>
          <w:rFonts w:hint="default" w:ascii="Times New Roman" w:hAnsi="Times New Roman" w:eastAsia="仿宋_GB2312" w:cs="Times New Roman"/>
          <w:color w:val="auto"/>
          <w:sz w:val="30"/>
          <w:highlight w:val="none"/>
        </w:rPr>
      </w:pPr>
      <w:r>
        <w:rPr>
          <w:rFonts w:hint="default" w:ascii="Times New Roman" w:hAnsi="Times New Roman" w:eastAsia="仿宋_GB2312" w:cs="Times New Roman"/>
          <w:color w:val="auto"/>
          <w:sz w:val="30"/>
          <w:highlight w:val="none"/>
        </w:rPr>
        <w:t>1、资金到位率：</w:t>
      </w:r>
    </w:p>
    <w:p>
      <w:pPr>
        <w:pageBreakBefore w:val="0"/>
        <w:shd w:val="clear"/>
        <w:kinsoku/>
        <w:wordWrap/>
        <w:overflowPunct/>
        <w:topLinePunct w:val="0"/>
        <w:autoSpaceDE/>
        <w:autoSpaceDN/>
        <w:bidi w:val="0"/>
        <w:adjustRightInd/>
        <w:spacing w:line="54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本项目总投资1110万元，财政资金及时足额到位，到位率100%，预算资金按计划进度执行。</w:t>
      </w:r>
    </w:p>
    <w:p>
      <w:pPr>
        <w:pageBreakBefore w:val="0"/>
        <w:kinsoku/>
        <w:wordWrap/>
        <w:overflowPunct/>
        <w:topLinePunct w:val="0"/>
        <w:autoSpaceDE/>
        <w:autoSpaceDN/>
        <w:bidi w:val="0"/>
        <w:adjustRightInd/>
        <w:spacing w:line="540" w:lineRule="exact"/>
        <w:ind w:left="0" w:leftChars="0" w:firstLine="639" w:firstLineChars="213"/>
        <w:textAlignment w:val="auto"/>
        <w:rPr>
          <w:rFonts w:hint="default" w:ascii="Times New Roman" w:hAnsi="Times New Roman" w:eastAsia="仿宋_GB2312" w:cs="Times New Roman"/>
          <w:color w:val="auto"/>
          <w:sz w:val="30"/>
          <w:highlight w:val="none"/>
        </w:rPr>
      </w:pPr>
      <w:r>
        <w:rPr>
          <w:rFonts w:hint="default" w:ascii="Times New Roman" w:hAnsi="Times New Roman" w:eastAsia="仿宋_GB2312" w:cs="Times New Roman"/>
          <w:color w:val="auto"/>
          <w:sz w:val="30"/>
          <w:highlight w:val="none"/>
        </w:rPr>
        <w:t>2、预算执行率</w:t>
      </w:r>
    </w:p>
    <w:p>
      <w:pPr>
        <w:pageBreakBefore w:val="0"/>
        <w:kinsoku/>
        <w:wordWrap/>
        <w:overflowPunct/>
        <w:topLinePunct w:val="0"/>
        <w:autoSpaceDE/>
        <w:autoSpaceDN/>
        <w:bidi w:val="0"/>
        <w:adjustRightInd/>
        <w:spacing w:line="540" w:lineRule="exact"/>
        <w:ind w:left="0" w:leftChars="0" w:firstLine="639" w:firstLineChars="213"/>
        <w:textAlignment w:val="auto"/>
        <w:rPr>
          <w:rFonts w:hint="default" w:ascii="Times New Roman" w:hAnsi="Times New Roman" w:eastAsia="仿宋_GB2312" w:cs="Times New Roman"/>
          <w:color w:val="auto"/>
          <w:sz w:val="30"/>
          <w:highlight w:val="none"/>
          <w:lang w:eastAsia="zh-CN"/>
        </w:rPr>
      </w:pPr>
      <w:r>
        <w:rPr>
          <w:rFonts w:hint="default" w:ascii="Times New Roman" w:hAnsi="Times New Roman" w:eastAsia="仿宋_GB2312" w:cs="Times New Roman"/>
          <w:color w:val="auto"/>
          <w:sz w:val="30"/>
          <w:highlight w:val="none"/>
        </w:rPr>
        <w:t>年初预算数</w:t>
      </w:r>
      <w:r>
        <w:rPr>
          <w:rFonts w:hint="default" w:ascii="Times New Roman" w:hAnsi="Times New Roman" w:eastAsia="仿宋_GB2312" w:cs="Times New Roman"/>
          <w:color w:val="auto"/>
          <w:sz w:val="30"/>
          <w:highlight w:val="none"/>
          <w:lang w:val="en-US" w:eastAsia="zh-CN"/>
        </w:rPr>
        <w:t>1110</w:t>
      </w:r>
      <w:r>
        <w:rPr>
          <w:rFonts w:hint="default" w:ascii="Times New Roman" w:hAnsi="Times New Roman" w:eastAsia="仿宋_GB2312" w:cs="Times New Roman"/>
          <w:color w:val="auto"/>
          <w:sz w:val="30"/>
          <w:highlight w:val="none"/>
        </w:rPr>
        <w:t>万元，全年预算数</w:t>
      </w:r>
      <w:r>
        <w:rPr>
          <w:rFonts w:hint="default" w:ascii="Times New Roman" w:hAnsi="Times New Roman" w:eastAsia="仿宋_GB2312" w:cs="Times New Roman"/>
          <w:color w:val="auto"/>
          <w:sz w:val="30"/>
          <w:highlight w:val="none"/>
          <w:lang w:val="en-US" w:eastAsia="zh-CN"/>
        </w:rPr>
        <w:t>1110</w:t>
      </w:r>
      <w:r>
        <w:rPr>
          <w:rFonts w:hint="default" w:ascii="Times New Roman" w:hAnsi="Times New Roman" w:eastAsia="仿宋_GB2312" w:cs="Times New Roman"/>
          <w:color w:val="auto"/>
          <w:sz w:val="30"/>
          <w:highlight w:val="none"/>
        </w:rPr>
        <w:t>万元，全年执行数</w:t>
      </w:r>
      <w:r>
        <w:rPr>
          <w:rFonts w:hint="default" w:ascii="Times New Roman" w:hAnsi="Times New Roman" w:eastAsia="仿宋_GB2312" w:cs="Times New Roman"/>
          <w:color w:val="auto"/>
          <w:sz w:val="30"/>
          <w:highlight w:val="none"/>
          <w:lang w:val="en-US" w:eastAsia="zh-CN"/>
        </w:rPr>
        <w:t>1110</w:t>
      </w:r>
      <w:r>
        <w:rPr>
          <w:rFonts w:hint="default" w:ascii="Times New Roman" w:hAnsi="Times New Roman" w:eastAsia="仿宋_GB2312" w:cs="Times New Roman"/>
          <w:color w:val="auto"/>
          <w:sz w:val="30"/>
          <w:highlight w:val="none"/>
        </w:rPr>
        <w:t>万元，预算执行率为</w:t>
      </w:r>
      <w:r>
        <w:rPr>
          <w:rFonts w:hint="default" w:ascii="Times New Roman" w:hAnsi="Times New Roman" w:eastAsia="仿宋_GB2312" w:cs="Times New Roman"/>
          <w:color w:val="auto"/>
          <w:sz w:val="30"/>
          <w:highlight w:val="none"/>
          <w:lang w:val="en-US" w:eastAsia="zh-CN"/>
        </w:rPr>
        <w:t>100.00</w:t>
      </w:r>
      <w:r>
        <w:rPr>
          <w:rFonts w:hint="default" w:ascii="Times New Roman" w:hAnsi="Times New Roman" w:eastAsia="仿宋_GB2312" w:cs="Times New Roman"/>
          <w:color w:val="auto"/>
          <w:sz w:val="30"/>
          <w:highlight w:val="none"/>
        </w:rPr>
        <w:t>%</w:t>
      </w:r>
      <w:r>
        <w:rPr>
          <w:rFonts w:hint="default" w:ascii="Times New Roman" w:hAnsi="Times New Roman" w:eastAsia="仿宋_GB2312" w:cs="Times New Roman"/>
          <w:color w:val="auto"/>
          <w:sz w:val="30"/>
          <w:highlight w:val="none"/>
          <w:lang w:eastAsia="zh-CN"/>
        </w:rPr>
        <w:t>。</w:t>
      </w:r>
    </w:p>
    <w:p>
      <w:pPr>
        <w:pageBreakBefore w:val="0"/>
        <w:kinsoku/>
        <w:wordWrap/>
        <w:overflowPunct/>
        <w:topLinePunct w:val="0"/>
        <w:autoSpaceDE/>
        <w:autoSpaceDN/>
        <w:bidi w:val="0"/>
        <w:adjustRightInd/>
        <w:spacing w:line="540" w:lineRule="exact"/>
        <w:ind w:left="0" w:leftChars="0" w:firstLine="639" w:firstLineChars="213"/>
        <w:textAlignment w:val="auto"/>
        <w:rPr>
          <w:rFonts w:hint="default" w:ascii="Times New Roman" w:hAnsi="Times New Roman" w:eastAsia="仿宋_GB2312" w:cs="Times New Roman"/>
          <w:color w:val="auto"/>
          <w:sz w:val="30"/>
          <w:highlight w:val="none"/>
        </w:rPr>
      </w:pPr>
      <w:r>
        <w:rPr>
          <w:rFonts w:hint="default" w:ascii="Times New Roman" w:hAnsi="Times New Roman" w:eastAsia="仿宋_GB2312" w:cs="Times New Roman"/>
          <w:color w:val="auto"/>
          <w:sz w:val="30"/>
          <w:highlight w:val="none"/>
        </w:rPr>
        <w:t>3、资金使用合规性</w:t>
      </w:r>
    </w:p>
    <w:p>
      <w:pPr>
        <w:pageBreakBefore w:val="0"/>
        <w:kinsoku/>
        <w:wordWrap/>
        <w:overflowPunct/>
        <w:topLinePunct w:val="0"/>
        <w:autoSpaceDE/>
        <w:autoSpaceDN/>
        <w:bidi w:val="0"/>
        <w:adjustRightInd/>
        <w:spacing w:line="540" w:lineRule="exact"/>
        <w:ind w:left="0" w:leftChars="0" w:firstLine="639" w:firstLineChars="213"/>
        <w:textAlignment w:val="auto"/>
        <w:rPr>
          <w:rFonts w:hint="default" w:ascii="Times New Roman" w:hAnsi="Times New Roman" w:eastAsia="仿宋_GB2312" w:cs="Times New Roman"/>
          <w:color w:val="auto"/>
          <w:sz w:val="30"/>
          <w:highlight w:val="none"/>
          <w:lang w:eastAsia="zh-CN"/>
        </w:rPr>
      </w:pPr>
      <w:r>
        <w:rPr>
          <w:rFonts w:hint="default" w:ascii="Times New Roman" w:hAnsi="Times New Roman" w:eastAsia="仿宋_GB2312" w:cs="Times New Roman"/>
          <w:color w:val="auto"/>
          <w:sz w:val="30"/>
          <w:highlight w:val="none"/>
          <w:lang w:val="en-US" w:eastAsia="zh-CN"/>
        </w:rPr>
        <w:t>自治区2023年第一批疫情防控补助资金（自治区本级医疗机构重症床位设备配置经费）项目资金</w:t>
      </w:r>
      <w:r>
        <w:rPr>
          <w:rFonts w:hint="default" w:ascii="Times New Roman" w:hAnsi="Times New Roman" w:eastAsia="仿宋_GB2312" w:cs="Times New Roman"/>
          <w:color w:val="auto"/>
          <w:sz w:val="30"/>
          <w:highlight w:val="none"/>
        </w:rPr>
        <w:t>符合国家财经法规和财务管理制度以及有关专项资金管理办法的规定；资金的拨付</w:t>
      </w:r>
      <w:r>
        <w:rPr>
          <w:rFonts w:hint="default" w:ascii="Times New Roman" w:hAnsi="Times New Roman" w:eastAsia="仿宋_GB2312" w:cs="Times New Roman"/>
          <w:color w:val="auto"/>
          <w:sz w:val="30"/>
          <w:highlight w:val="none"/>
          <w:lang w:eastAsia="zh-CN"/>
        </w:rPr>
        <w:t>均有</w:t>
      </w:r>
      <w:r>
        <w:rPr>
          <w:rFonts w:hint="default" w:ascii="Times New Roman" w:hAnsi="Times New Roman" w:eastAsia="仿宋_GB2312" w:cs="Times New Roman"/>
          <w:color w:val="auto"/>
          <w:sz w:val="30"/>
          <w:highlight w:val="none"/>
        </w:rPr>
        <w:t>完整的审批程序和手续</w:t>
      </w:r>
      <w:r>
        <w:rPr>
          <w:rFonts w:hint="default" w:ascii="Times New Roman" w:hAnsi="Times New Roman" w:eastAsia="仿宋_GB2312" w:cs="Times New Roman"/>
          <w:color w:val="auto"/>
          <w:sz w:val="30"/>
          <w:highlight w:val="none"/>
          <w:lang w:eastAsia="zh-CN"/>
        </w:rPr>
        <w:t>，所有支出均需要有预算申请单和支出审批单，采购项目严格按照预算批复－</w:t>
      </w:r>
      <w:r>
        <w:rPr>
          <w:rFonts w:hint="default" w:ascii="Times New Roman" w:hAnsi="Times New Roman" w:eastAsia="仿宋_GB2312" w:cs="Times New Roman"/>
          <w:color w:val="auto"/>
          <w:sz w:val="30"/>
          <w:highlight w:val="none"/>
          <w:lang w:val="en-US" w:eastAsia="zh-CN"/>
        </w:rPr>
        <w:t>招标申请－参数论证－符合疫情相关紧急招标流程－委托社会代理机构招标－开标－公示－确定中标商－签订合同－按合同执行的内控制度流程进行，</w:t>
      </w:r>
      <w:r>
        <w:rPr>
          <w:rFonts w:hint="default" w:ascii="Times New Roman" w:hAnsi="Times New Roman" w:eastAsia="仿宋_GB2312" w:cs="Times New Roman"/>
          <w:color w:val="auto"/>
          <w:sz w:val="30"/>
          <w:highlight w:val="none"/>
          <w:lang w:eastAsia="zh-CN"/>
        </w:rPr>
        <w:t>并按照内控制度，严格落实资金支付分层审批要求，做到了合规性与便捷性结合</w:t>
      </w:r>
      <w:r>
        <w:rPr>
          <w:rFonts w:hint="default" w:ascii="Times New Roman" w:hAnsi="Times New Roman" w:eastAsia="仿宋_GB2312" w:cs="Times New Roman"/>
          <w:color w:val="auto"/>
          <w:sz w:val="30"/>
          <w:highlight w:val="none"/>
        </w:rPr>
        <w:t>；</w:t>
      </w:r>
      <w:r>
        <w:rPr>
          <w:rFonts w:hint="default" w:ascii="Times New Roman" w:hAnsi="Times New Roman" w:eastAsia="仿宋_GB2312" w:cs="Times New Roman"/>
          <w:color w:val="auto"/>
          <w:sz w:val="30"/>
          <w:highlight w:val="none"/>
          <w:lang w:eastAsia="zh-CN"/>
        </w:rPr>
        <w:t>资金支出均</w:t>
      </w:r>
      <w:r>
        <w:rPr>
          <w:rFonts w:hint="default" w:ascii="Times New Roman" w:hAnsi="Times New Roman" w:eastAsia="仿宋_GB2312" w:cs="Times New Roman"/>
          <w:color w:val="auto"/>
          <w:sz w:val="30"/>
          <w:highlight w:val="none"/>
        </w:rPr>
        <w:t>符合项目预算批复</w:t>
      </w:r>
      <w:r>
        <w:rPr>
          <w:rFonts w:hint="default" w:ascii="Times New Roman" w:hAnsi="Times New Roman" w:eastAsia="仿宋_GB2312" w:cs="Times New Roman"/>
          <w:color w:val="auto"/>
          <w:sz w:val="30"/>
          <w:highlight w:val="none"/>
          <w:lang w:eastAsia="zh-CN"/>
        </w:rPr>
        <w:t>与</w:t>
      </w:r>
      <w:r>
        <w:rPr>
          <w:rFonts w:hint="default" w:ascii="Times New Roman" w:hAnsi="Times New Roman" w:eastAsia="仿宋_GB2312" w:cs="Times New Roman"/>
          <w:color w:val="auto"/>
          <w:sz w:val="30"/>
          <w:highlight w:val="none"/>
        </w:rPr>
        <w:t>合同规定的用途；</w:t>
      </w:r>
      <w:r>
        <w:rPr>
          <w:rFonts w:hint="default" w:ascii="Times New Roman" w:hAnsi="Times New Roman" w:eastAsia="仿宋_GB2312" w:cs="Times New Roman"/>
          <w:color w:val="auto"/>
          <w:sz w:val="30"/>
          <w:highlight w:val="none"/>
          <w:lang w:eastAsia="zh-CN"/>
        </w:rPr>
        <w:t>不</w:t>
      </w:r>
      <w:r>
        <w:rPr>
          <w:rFonts w:hint="default" w:ascii="Times New Roman" w:hAnsi="Times New Roman" w:eastAsia="仿宋_GB2312" w:cs="Times New Roman"/>
          <w:color w:val="auto"/>
          <w:sz w:val="30"/>
          <w:highlight w:val="none"/>
        </w:rPr>
        <w:t>存在截留、挤占、挪用、虚列支出等情况。</w:t>
      </w:r>
      <w:r>
        <w:rPr>
          <w:rFonts w:hint="default" w:ascii="Times New Roman" w:hAnsi="Times New Roman" w:eastAsia="仿宋_GB2312" w:cs="Times New Roman"/>
          <w:color w:val="auto"/>
          <w:sz w:val="30"/>
          <w:highlight w:val="none"/>
          <w:lang w:eastAsia="zh-CN"/>
        </w:rPr>
        <w:t>项目资金全部用于防控政策转向后重症救治床位配置支出。</w:t>
      </w:r>
    </w:p>
    <w:p>
      <w:pPr>
        <w:pageBreakBefore w:val="0"/>
        <w:kinsoku/>
        <w:wordWrap/>
        <w:overflowPunct/>
        <w:topLinePunct w:val="0"/>
        <w:autoSpaceDE/>
        <w:autoSpaceDN/>
        <w:bidi w:val="0"/>
        <w:adjustRightInd/>
        <w:spacing w:line="540" w:lineRule="exact"/>
        <w:ind w:left="0" w:leftChars="0" w:firstLine="639" w:firstLineChars="213"/>
        <w:textAlignment w:val="auto"/>
        <w:rPr>
          <w:rFonts w:hint="default" w:ascii="Times New Roman" w:hAnsi="Times New Roman" w:eastAsia="仿宋_GB2312" w:cs="Times New Roman"/>
          <w:color w:val="auto"/>
          <w:sz w:val="30"/>
          <w:highlight w:val="none"/>
        </w:rPr>
      </w:pPr>
      <w:r>
        <w:rPr>
          <w:rFonts w:hint="default" w:ascii="Times New Roman" w:hAnsi="Times New Roman" w:eastAsia="仿宋_GB2312" w:cs="Times New Roman"/>
          <w:color w:val="auto"/>
          <w:sz w:val="30"/>
          <w:highlight w:val="none"/>
        </w:rPr>
        <w:t>4、管理制度健全性</w:t>
      </w:r>
    </w:p>
    <w:p>
      <w:pPr>
        <w:pageBreakBefore w:val="0"/>
        <w:kinsoku/>
        <w:wordWrap/>
        <w:overflowPunct/>
        <w:topLinePunct w:val="0"/>
        <w:autoSpaceDE/>
        <w:autoSpaceDN/>
        <w:bidi w:val="0"/>
        <w:adjustRightInd/>
        <w:spacing w:line="540" w:lineRule="exact"/>
        <w:ind w:left="0" w:leftChars="0" w:firstLine="639" w:firstLineChars="213"/>
        <w:textAlignment w:val="auto"/>
        <w:rPr>
          <w:rFonts w:hint="default" w:ascii="Times New Roman" w:hAnsi="Times New Roman" w:eastAsia="仿宋_GB2312" w:cs="Times New Roman"/>
          <w:color w:val="auto"/>
          <w:sz w:val="30"/>
          <w:highlight w:val="none"/>
          <w:lang w:eastAsia="zh-CN"/>
        </w:rPr>
      </w:pPr>
      <w:r>
        <w:rPr>
          <w:rFonts w:hint="default" w:ascii="Times New Roman" w:hAnsi="Times New Roman" w:eastAsia="仿宋_GB2312" w:cs="Times New Roman"/>
          <w:color w:val="auto"/>
          <w:sz w:val="30"/>
          <w:highlight w:val="none"/>
          <w:lang w:eastAsia="zh-CN"/>
        </w:rPr>
        <w:t>我单位</w:t>
      </w:r>
      <w:r>
        <w:rPr>
          <w:rFonts w:hint="default" w:ascii="Times New Roman" w:hAnsi="Times New Roman" w:eastAsia="仿宋_GB2312" w:cs="Times New Roman"/>
          <w:color w:val="auto"/>
          <w:sz w:val="30"/>
          <w:highlight w:val="none"/>
        </w:rPr>
        <w:t>已制定</w:t>
      </w:r>
      <w:r>
        <w:rPr>
          <w:rFonts w:hint="default" w:ascii="Times New Roman" w:hAnsi="Times New Roman" w:eastAsia="仿宋_GB2312" w:cs="Times New Roman"/>
          <w:color w:val="auto"/>
          <w:sz w:val="30"/>
          <w:highlight w:val="none"/>
          <w:lang w:eastAsia="zh-CN"/>
        </w:rPr>
        <w:t>符合医院实际情况的</w:t>
      </w:r>
      <w:r>
        <w:rPr>
          <w:rFonts w:hint="default" w:ascii="Times New Roman" w:hAnsi="Times New Roman" w:eastAsia="仿宋_GB2312" w:cs="Times New Roman"/>
          <w:color w:val="auto"/>
          <w:sz w:val="30"/>
          <w:highlight w:val="none"/>
        </w:rPr>
        <w:t>财务和业务管理制度</w:t>
      </w:r>
      <w:r>
        <w:rPr>
          <w:rFonts w:hint="default" w:ascii="Times New Roman" w:hAnsi="Times New Roman" w:eastAsia="仿宋_GB2312" w:cs="Times New Roman"/>
          <w:color w:val="auto"/>
          <w:sz w:val="30"/>
          <w:highlight w:val="none"/>
          <w:lang w:eastAsia="zh-CN"/>
        </w:rPr>
        <w:t>并成文成册</w:t>
      </w:r>
      <w:r>
        <w:rPr>
          <w:rFonts w:hint="default" w:ascii="Times New Roman" w:hAnsi="Times New Roman" w:eastAsia="仿宋_GB2312" w:cs="Times New Roman"/>
          <w:color w:val="auto"/>
          <w:sz w:val="30"/>
          <w:highlight w:val="none"/>
        </w:rPr>
        <w:t>；</w:t>
      </w:r>
      <w:r>
        <w:rPr>
          <w:rFonts w:hint="default" w:ascii="Times New Roman" w:hAnsi="Times New Roman" w:eastAsia="仿宋_GB2312" w:cs="Times New Roman"/>
          <w:color w:val="auto"/>
          <w:sz w:val="30"/>
          <w:highlight w:val="none"/>
          <w:lang w:eastAsia="zh-CN"/>
        </w:rPr>
        <w:t>专门制定有医院招标采购管理办法，</w:t>
      </w:r>
      <w:r>
        <w:rPr>
          <w:rFonts w:hint="default" w:ascii="Times New Roman" w:hAnsi="Times New Roman" w:eastAsia="仿宋_GB2312" w:cs="Times New Roman"/>
          <w:color w:val="auto"/>
          <w:sz w:val="30"/>
          <w:highlight w:val="none"/>
        </w:rPr>
        <w:t>财务和业务管理制度合法、合规、完整。自治区2023年第一批疫情防控补助资金（自治区本级医疗机构重症床位设备配置经费</w:t>
      </w:r>
      <w:r>
        <w:rPr>
          <w:rFonts w:hint="default" w:ascii="Times New Roman" w:hAnsi="Times New Roman" w:eastAsia="仿宋_GB2312" w:cs="Times New Roman"/>
          <w:color w:val="auto"/>
          <w:sz w:val="30"/>
          <w:highlight w:val="none"/>
          <w:lang w:eastAsia="zh-CN"/>
        </w:rPr>
        <w:t>）项目全程使用相关制度进行。</w:t>
      </w:r>
    </w:p>
    <w:p>
      <w:pPr>
        <w:pageBreakBefore w:val="0"/>
        <w:kinsoku/>
        <w:wordWrap/>
        <w:overflowPunct/>
        <w:topLinePunct w:val="0"/>
        <w:autoSpaceDE/>
        <w:autoSpaceDN/>
        <w:bidi w:val="0"/>
        <w:adjustRightInd/>
        <w:spacing w:line="540" w:lineRule="exact"/>
        <w:ind w:left="0" w:leftChars="0" w:firstLine="639" w:firstLineChars="213"/>
        <w:textAlignment w:val="auto"/>
        <w:rPr>
          <w:rFonts w:hint="default" w:ascii="Times New Roman" w:hAnsi="Times New Roman" w:eastAsia="仿宋_GB2312" w:cs="Times New Roman"/>
          <w:color w:val="auto"/>
          <w:sz w:val="30"/>
          <w:highlight w:val="none"/>
        </w:rPr>
      </w:pPr>
      <w:r>
        <w:rPr>
          <w:rFonts w:hint="default" w:ascii="Times New Roman" w:hAnsi="Times New Roman" w:eastAsia="仿宋_GB2312" w:cs="Times New Roman"/>
          <w:color w:val="auto"/>
          <w:sz w:val="30"/>
          <w:highlight w:val="none"/>
        </w:rPr>
        <w:t>5、制度执行有效性</w:t>
      </w:r>
    </w:p>
    <w:p>
      <w:pPr>
        <w:pageBreakBefore w:val="0"/>
        <w:kinsoku/>
        <w:wordWrap/>
        <w:overflowPunct/>
        <w:topLinePunct w:val="0"/>
        <w:autoSpaceDE/>
        <w:autoSpaceDN/>
        <w:bidi w:val="0"/>
        <w:adjustRightInd/>
        <w:spacing w:line="540" w:lineRule="exact"/>
        <w:ind w:left="0" w:leftChars="0" w:firstLine="639" w:firstLineChars="213"/>
        <w:textAlignment w:val="auto"/>
        <w:rPr>
          <w:rFonts w:hint="default" w:ascii="Times New Roman" w:hAnsi="Times New Roman" w:eastAsia="仿宋_GB2312" w:cs="Times New Roman"/>
          <w:color w:val="auto"/>
          <w:sz w:val="30"/>
          <w:highlight w:val="none"/>
          <w:lang w:eastAsia="zh-CN"/>
        </w:rPr>
      </w:pPr>
      <w:r>
        <w:rPr>
          <w:rFonts w:hint="default" w:ascii="Times New Roman" w:hAnsi="Times New Roman" w:eastAsia="仿宋_GB2312" w:cs="Times New Roman"/>
          <w:color w:val="auto"/>
          <w:sz w:val="30"/>
          <w:highlight w:val="none"/>
          <w:lang w:val="en-US" w:eastAsia="zh-CN"/>
        </w:rPr>
        <w:t>自治区2023年第一批疫情防控补助资金（自治区本级医疗机构重症床位设备配置经费）项目均</w:t>
      </w:r>
      <w:r>
        <w:rPr>
          <w:rFonts w:hint="default" w:ascii="Times New Roman" w:hAnsi="Times New Roman" w:eastAsia="仿宋_GB2312" w:cs="Times New Roman"/>
          <w:color w:val="auto"/>
          <w:sz w:val="30"/>
          <w:highlight w:val="none"/>
        </w:rPr>
        <w:t>遵守相关法律法规和相关管理规定</w:t>
      </w:r>
      <w:r>
        <w:rPr>
          <w:rFonts w:hint="default" w:ascii="Times New Roman" w:hAnsi="Times New Roman" w:eastAsia="仿宋_GB2312" w:cs="Times New Roman"/>
          <w:color w:val="auto"/>
          <w:sz w:val="30"/>
          <w:highlight w:val="none"/>
          <w:lang w:eastAsia="zh-CN"/>
        </w:rPr>
        <w:t>，年中</w:t>
      </w:r>
      <w:r>
        <w:rPr>
          <w:rFonts w:hint="default" w:ascii="Times New Roman" w:hAnsi="Times New Roman" w:eastAsia="仿宋_GB2312" w:cs="Times New Roman"/>
          <w:color w:val="auto"/>
          <w:sz w:val="30"/>
          <w:highlight w:val="none"/>
        </w:rPr>
        <w:t>项目</w:t>
      </w:r>
      <w:r>
        <w:rPr>
          <w:rFonts w:hint="default" w:ascii="Times New Roman" w:hAnsi="Times New Roman" w:eastAsia="仿宋_GB2312" w:cs="Times New Roman"/>
          <w:color w:val="auto"/>
          <w:sz w:val="30"/>
          <w:highlight w:val="none"/>
          <w:lang w:eastAsia="zh-CN"/>
        </w:rPr>
        <w:t>无</w:t>
      </w:r>
      <w:r>
        <w:rPr>
          <w:rFonts w:hint="default" w:ascii="Times New Roman" w:hAnsi="Times New Roman" w:eastAsia="仿宋_GB2312" w:cs="Times New Roman"/>
          <w:color w:val="auto"/>
          <w:sz w:val="30"/>
          <w:highlight w:val="none"/>
        </w:rPr>
        <w:t>调整</w:t>
      </w:r>
      <w:r>
        <w:rPr>
          <w:rFonts w:hint="default" w:ascii="Times New Roman" w:hAnsi="Times New Roman" w:eastAsia="仿宋_GB2312" w:cs="Times New Roman"/>
          <w:color w:val="auto"/>
          <w:sz w:val="30"/>
          <w:highlight w:val="none"/>
          <w:lang w:eastAsia="zh-CN"/>
        </w:rPr>
        <w:t>预算行为，资金</w:t>
      </w:r>
      <w:r>
        <w:rPr>
          <w:rFonts w:hint="default" w:ascii="Times New Roman" w:hAnsi="Times New Roman" w:eastAsia="仿宋_GB2312" w:cs="Times New Roman"/>
          <w:color w:val="auto"/>
          <w:sz w:val="30"/>
          <w:highlight w:val="none"/>
        </w:rPr>
        <w:t>支出手续</w:t>
      </w:r>
      <w:r>
        <w:rPr>
          <w:rFonts w:hint="default" w:ascii="Times New Roman" w:hAnsi="Times New Roman" w:eastAsia="仿宋_GB2312" w:cs="Times New Roman"/>
          <w:color w:val="auto"/>
          <w:sz w:val="30"/>
          <w:highlight w:val="none"/>
          <w:lang w:eastAsia="zh-CN"/>
        </w:rPr>
        <w:t>均</w:t>
      </w:r>
      <w:r>
        <w:rPr>
          <w:rFonts w:hint="default" w:ascii="Times New Roman" w:hAnsi="Times New Roman" w:eastAsia="仿宋_GB2312" w:cs="Times New Roman"/>
          <w:color w:val="auto"/>
          <w:sz w:val="30"/>
          <w:highlight w:val="none"/>
        </w:rPr>
        <w:t>完备；</w:t>
      </w:r>
      <w:r>
        <w:rPr>
          <w:rFonts w:hint="default" w:ascii="Times New Roman" w:hAnsi="Times New Roman" w:eastAsia="仿宋_GB2312" w:cs="Times New Roman"/>
          <w:color w:val="auto"/>
          <w:sz w:val="30"/>
          <w:highlight w:val="none"/>
          <w:lang w:eastAsia="zh-CN"/>
        </w:rPr>
        <w:t>自治区2023年第一批疫情防控补助资金（自治区本级医疗机构重症床位设备配置经费）</w:t>
      </w:r>
      <w:r>
        <w:rPr>
          <w:rFonts w:hint="default" w:ascii="Times New Roman" w:hAnsi="Times New Roman" w:eastAsia="仿宋_GB2312" w:cs="Times New Roman"/>
          <w:color w:val="auto"/>
          <w:sz w:val="30"/>
          <w:highlight w:val="none"/>
        </w:rPr>
        <w:t>项目实施的人员条件、场地设备、信息支撑等</w:t>
      </w:r>
      <w:r>
        <w:rPr>
          <w:rFonts w:hint="default" w:ascii="Times New Roman" w:hAnsi="Times New Roman" w:eastAsia="仿宋_GB2312" w:cs="Times New Roman"/>
          <w:color w:val="auto"/>
          <w:sz w:val="30"/>
          <w:highlight w:val="none"/>
          <w:lang w:eastAsia="zh-CN"/>
        </w:rPr>
        <w:t>均到位，医院招标采购办公室、财务科、设备科、纪检监察室等均全程监督该项目全流程。</w:t>
      </w:r>
    </w:p>
    <w:p>
      <w:pPr>
        <w:pStyle w:val="9"/>
        <w:pageBreakBefore w:val="0"/>
        <w:numPr>
          <w:ilvl w:val="0"/>
          <w:numId w:val="5"/>
        </w:numPr>
        <w:kinsoku/>
        <w:wordWrap/>
        <w:overflowPunct/>
        <w:topLinePunct w:val="0"/>
        <w:autoSpaceDE/>
        <w:autoSpaceDN/>
        <w:bidi w:val="0"/>
        <w:adjustRightInd/>
        <w:spacing w:line="540" w:lineRule="exact"/>
        <w:ind w:firstLine="640"/>
        <w:textAlignment w:val="auto"/>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项目产出</w:t>
      </w:r>
    </w:p>
    <w:p>
      <w:pPr>
        <w:pageBreakBefore w:val="0"/>
        <w:kinsoku/>
        <w:wordWrap/>
        <w:overflowPunct/>
        <w:topLinePunct w:val="0"/>
        <w:autoSpaceDE/>
        <w:autoSpaceDN/>
        <w:bidi w:val="0"/>
        <w:adjustRightInd/>
        <w:snapToGrid w:val="0"/>
        <w:spacing w:line="540" w:lineRule="exact"/>
        <w:ind w:firstLine="627" w:firstLineChars="200"/>
        <w:textAlignment w:val="auto"/>
        <w:rPr>
          <w:rStyle w:val="13"/>
          <w:rFonts w:hint="default" w:ascii="Times New Roman" w:hAnsi="Times New Roman" w:eastAsia="仿宋_GB2312" w:cs="Times New Roman"/>
          <w:bCs w:val="0"/>
          <w:color w:val="auto"/>
          <w:spacing w:val="-4"/>
          <w:sz w:val="32"/>
          <w:szCs w:val="32"/>
          <w:highlight w:val="none"/>
        </w:rPr>
      </w:pPr>
      <w:r>
        <w:rPr>
          <w:rStyle w:val="13"/>
          <w:rFonts w:hint="default" w:ascii="Times New Roman" w:hAnsi="Times New Roman" w:eastAsia="仿宋_GB2312" w:cs="Times New Roman"/>
          <w:bCs w:val="0"/>
          <w:color w:val="auto"/>
          <w:spacing w:val="-4"/>
          <w:sz w:val="32"/>
          <w:szCs w:val="32"/>
          <w:highlight w:val="none"/>
        </w:rPr>
        <w:t>数量指标方面：</w:t>
      </w:r>
    </w:p>
    <w:p>
      <w:pPr>
        <w:pageBreakBefore w:val="0"/>
        <w:kinsoku/>
        <w:wordWrap/>
        <w:overflowPunct/>
        <w:topLinePunct w:val="0"/>
        <w:autoSpaceDE/>
        <w:autoSpaceDN/>
        <w:bidi w:val="0"/>
        <w:adjustRightInd/>
        <w:snapToGrid w:val="0"/>
        <w:spacing w:line="540" w:lineRule="exact"/>
        <w:ind w:firstLine="624" w:firstLineChars="200"/>
        <w:textAlignment w:val="auto"/>
        <w:rPr>
          <w:rStyle w:val="13"/>
          <w:rFonts w:hint="default" w:ascii="Times New Roman" w:hAnsi="Times New Roman" w:eastAsia="仿宋_GB2312" w:cs="Times New Roman"/>
          <w:b w:val="0"/>
          <w:color w:val="auto"/>
          <w:spacing w:val="-4"/>
          <w:sz w:val="32"/>
          <w:szCs w:val="32"/>
          <w:highlight w:val="none"/>
          <w:lang w:eastAsia="zh-CN"/>
        </w:rPr>
      </w:pPr>
      <w:r>
        <w:rPr>
          <w:rStyle w:val="13"/>
          <w:rFonts w:hint="default" w:ascii="Times New Roman" w:hAnsi="Times New Roman" w:eastAsia="仿宋_GB2312" w:cs="Times New Roman"/>
          <w:b w:val="0"/>
          <w:color w:val="auto"/>
          <w:spacing w:val="-4"/>
          <w:sz w:val="32"/>
          <w:szCs w:val="32"/>
          <w:highlight w:val="none"/>
        </w:rPr>
        <w:t>指标1：配置ICU床位数量及配套设备数量，指标值：＞=18床（套），实际完成值：18床（套），指标完成率</w:t>
      </w:r>
      <w:r>
        <w:rPr>
          <w:rStyle w:val="13"/>
          <w:rFonts w:hint="default" w:ascii="Times New Roman" w:hAnsi="Times New Roman" w:eastAsia="仿宋_GB2312" w:cs="Times New Roman"/>
          <w:b w:val="0"/>
          <w:color w:val="auto"/>
          <w:spacing w:val="-4"/>
          <w:sz w:val="32"/>
          <w:szCs w:val="32"/>
          <w:highlight w:val="none"/>
          <w:lang w:val="en-US" w:eastAsia="zh-CN"/>
        </w:rPr>
        <w:t>100</w:t>
      </w:r>
      <w:r>
        <w:rPr>
          <w:rStyle w:val="13"/>
          <w:rFonts w:hint="default" w:ascii="Times New Roman" w:hAnsi="Times New Roman" w:eastAsia="仿宋_GB2312" w:cs="Times New Roman"/>
          <w:b w:val="0"/>
          <w:color w:val="auto"/>
          <w:spacing w:val="-4"/>
          <w:sz w:val="32"/>
          <w:szCs w:val="32"/>
          <w:highlight w:val="none"/>
        </w:rPr>
        <w:t>%</w:t>
      </w:r>
      <w:r>
        <w:rPr>
          <w:rStyle w:val="13"/>
          <w:rFonts w:hint="default" w:ascii="Times New Roman" w:hAnsi="Times New Roman" w:eastAsia="仿宋_GB2312" w:cs="Times New Roman"/>
          <w:b w:val="0"/>
          <w:color w:val="auto"/>
          <w:spacing w:val="-4"/>
          <w:sz w:val="32"/>
          <w:szCs w:val="32"/>
          <w:highlight w:val="none"/>
          <w:lang w:eastAsia="zh-CN"/>
        </w:rPr>
        <w:t>；</w:t>
      </w:r>
    </w:p>
    <w:p>
      <w:pPr>
        <w:pageBreakBefore w:val="0"/>
        <w:kinsoku/>
        <w:wordWrap/>
        <w:overflowPunct/>
        <w:topLinePunct w:val="0"/>
        <w:autoSpaceDE/>
        <w:autoSpaceDN/>
        <w:bidi w:val="0"/>
        <w:adjustRightInd/>
        <w:spacing w:line="540" w:lineRule="exact"/>
        <w:ind w:firstLine="643" w:firstLineChars="200"/>
        <w:textAlignment w:val="auto"/>
        <w:rPr>
          <w:rStyle w:val="15"/>
          <w:rFonts w:hint="default" w:ascii="Times New Roman" w:hAnsi="Times New Roman" w:cs="Times New Roman"/>
          <w:b/>
          <w:bCs/>
          <w:color w:val="auto"/>
          <w:highlight w:val="none"/>
        </w:rPr>
      </w:pPr>
      <w:r>
        <w:rPr>
          <w:rStyle w:val="15"/>
          <w:rFonts w:hint="default" w:ascii="Times New Roman" w:hAnsi="Times New Roman" w:cs="Times New Roman"/>
          <w:b/>
          <w:bCs/>
          <w:color w:val="auto"/>
          <w:highlight w:val="none"/>
        </w:rPr>
        <w:t>质量指标方面：</w:t>
      </w:r>
    </w:p>
    <w:p>
      <w:pPr>
        <w:pageBreakBefore w:val="0"/>
        <w:kinsoku/>
        <w:wordWrap/>
        <w:overflowPunct/>
        <w:topLinePunct w:val="0"/>
        <w:autoSpaceDE/>
        <w:autoSpaceDN/>
        <w:bidi w:val="0"/>
        <w:adjustRightInd/>
        <w:snapToGrid w:val="0"/>
        <w:spacing w:line="540" w:lineRule="exact"/>
        <w:ind w:firstLine="624" w:firstLineChars="200"/>
        <w:textAlignment w:val="auto"/>
        <w:rPr>
          <w:rStyle w:val="13"/>
          <w:rFonts w:hint="default" w:ascii="Times New Roman" w:hAnsi="Times New Roman" w:eastAsia="仿宋_GB2312" w:cs="Times New Roman"/>
          <w:b w:val="0"/>
          <w:color w:val="auto"/>
          <w:spacing w:val="-4"/>
          <w:sz w:val="32"/>
          <w:szCs w:val="32"/>
          <w:highlight w:val="none"/>
        </w:rPr>
      </w:pPr>
      <w:r>
        <w:rPr>
          <w:rStyle w:val="13"/>
          <w:rFonts w:hint="default" w:ascii="Times New Roman" w:hAnsi="Times New Roman" w:eastAsia="仿宋_GB2312" w:cs="Times New Roman"/>
          <w:b w:val="0"/>
          <w:color w:val="auto"/>
          <w:spacing w:val="-4"/>
          <w:sz w:val="32"/>
          <w:szCs w:val="32"/>
          <w:highlight w:val="none"/>
        </w:rPr>
        <w:t>指标1：设备质量合格率，指标值：＞95% ，实际完成值：=100% ，指标完成率</w:t>
      </w:r>
      <w:r>
        <w:rPr>
          <w:rStyle w:val="13"/>
          <w:rFonts w:hint="default" w:ascii="Times New Roman" w:hAnsi="Times New Roman" w:eastAsia="仿宋_GB2312" w:cs="Times New Roman"/>
          <w:b w:val="0"/>
          <w:color w:val="auto"/>
          <w:spacing w:val="-4"/>
          <w:sz w:val="32"/>
          <w:szCs w:val="32"/>
          <w:highlight w:val="none"/>
          <w:lang w:val="en-US" w:eastAsia="zh-CN"/>
        </w:rPr>
        <w:t>100</w:t>
      </w:r>
      <w:r>
        <w:rPr>
          <w:rStyle w:val="13"/>
          <w:rFonts w:hint="default" w:ascii="Times New Roman" w:hAnsi="Times New Roman" w:eastAsia="仿宋_GB2312" w:cs="Times New Roman"/>
          <w:b w:val="0"/>
          <w:color w:val="auto"/>
          <w:spacing w:val="-4"/>
          <w:sz w:val="32"/>
          <w:szCs w:val="32"/>
          <w:highlight w:val="none"/>
        </w:rPr>
        <w:t>%；</w:t>
      </w:r>
    </w:p>
    <w:p>
      <w:pPr>
        <w:pageBreakBefore w:val="0"/>
        <w:kinsoku/>
        <w:wordWrap/>
        <w:overflowPunct/>
        <w:topLinePunct w:val="0"/>
        <w:autoSpaceDE/>
        <w:autoSpaceDN/>
        <w:bidi w:val="0"/>
        <w:adjustRightInd/>
        <w:snapToGrid w:val="0"/>
        <w:spacing w:line="540" w:lineRule="exact"/>
        <w:ind w:firstLine="624" w:firstLineChars="200"/>
        <w:textAlignment w:val="auto"/>
        <w:rPr>
          <w:rFonts w:hint="default" w:ascii="Times New Roman" w:hAnsi="Times New Roman" w:cs="Times New Roman"/>
          <w:color w:val="auto"/>
          <w:highlight w:val="none"/>
        </w:rPr>
      </w:pPr>
      <w:r>
        <w:rPr>
          <w:rStyle w:val="13"/>
          <w:rFonts w:hint="default" w:ascii="Times New Roman" w:hAnsi="Times New Roman" w:eastAsia="仿宋_GB2312" w:cs="Times New Roman"/>
          <w:b w:val="0"/>
          <w:color w:val="auto"/>
          <w:spacing w:val="-4"/>
          <w:sz w:val="32"/>
          <w:szCs w:val="32"/>
          <w:highlight w:val="none"/>
        </w:rPr>
        <w:t>指标</w:t>
      </w:r>
      <w:r>
        <w:rPr>
          <w:rStyle w:val="13"/>
          <w:rFonts w:hint="default" w:ascii="Times New Roman" w:hAnsi="Times New Roman" w:eastAsia="仿宋_GB2312" w:cs="Times New Roman"/>
          <w:b w:val="0"/>
          <w:color w:val="auto"/>
          <w:spacing w:val="-4"/>
          <w:sz w:val="32"/>
          <w:szCs w:val="32"/>
          <w:highlight w:val="none"/>
          <w:lang w:val="en-US" w:eastAsia="zh-CN"/>
        </w:rPr>
        <w:t>2</w:t>
      </w:r>
      <w:r>
        <w:rPr>
          <w:rStyle w:val="13"/>
          <w:rFonts w:hint="default" w:ascii="Times New Roman" w:hAnsi="Times New Roman" w:eastAsia="仿宋_GB2312" w:cs="Times New Roman"/>
          <w:b w:val="0"/>
          <w:color w:val="auto"/>
          <w:spacing w:val="-4"/>
          <w:sz w:val="32"/>
          <w:szCs w:val="32"/>
          <w:highlight w:val="none"/>
        </w:rPr>
        <w:t>：设备验收合格率，指标值：＞95% ，实际完成值：=100% ，指标完成率</w:t>
      </w:r>
      <w:r>
        <w:rPr>
          <w:rStyle w:val="13"/>
          <w:rFonts w:hint="default" w:ascii="Times New Roman" w:hAnsi="Times New Roman" w:eastAsia="仿宋_GB2312" w:cs="Times New Roman"/>
          <w:b w:val="0"/>
          <w:color w:val="auto"/>
          <w:spacing w:val="-4"/>
          <w:sz w:val="32"/>
          <w:szCs w:val="32"/>
          <w:highlight w:val="none"/>
          <w:lang w:val="en-US" w:eastAsia="zh-CN"/>
        </w:rPr>
        <w:t>100</w:t>
      </w:r>
      <w:r>
        <w:rPr>
          <w:rStyle w:val="13"/>
          <w:rFonts w:hint="default" w:ascii="Times New Roman" w:hAnsi="Times New Roman" w:eastAsia="仿宋_GB2312" w:cs="Times New Roman"/>
          <w:b w:val="0"/>
          <w:color w:val="auto"/>
          <w:spacing w:val="-4"/>
          <w:sz w:val="32"/>
          <w:szCs w:val="32"/>
          <w:highlight w:val="none"/>
        </w:rPr>
        <w:t>%；</w:t>
      </w:r>
    </w:p>
    <w:p>
      <w:pPr>
        <w:pStyle w:val="2"/>
        <w:pageBreakBefore w:val="0"/>
        <w:kinsoku/>
        <w:wordWrap/>
        <w:overflowPunct/>
        <w:topLinePunct w:val="0"/>
        <w:autoSpaceDE/>
        <w:autoSpaceDN/>
        <w:bidi w:val="0"/>
        <w:adjustRightInd/>
        <w:spacing w:before="0" w:after="0" w:line="540" w:lineRule="exact"/>
        <w:ind w:firstLine="643" w:firstLineChars="200"/>
        <w:jc w:val="both"/>
        <w:textAlignment w:val="auto"/>
        <w:rPr>
          <w:rStyle w:val="15"/>
          <w:rFonts w:hint="default" w:ascii="Times New Roman" w:hAnsi="Times New Roman" w:cs="Times New Roman"/>
          <w:color w:val="auto"/>
          <w:highlight w:val="none"/>
        </w:rPr>
      </w:pPr>
      <w:r>
        <w:rPr>
          <w:rStyle w:val="15"/>
          <w:rFonts w:hint="default" w:ascii="Times New Roman" w:hAnsi="Times New Roman" w:cs="Times New Roman"/>
          <w:color w:val="auto"/>
          <w:highlight w:val="none"/>
        </w:rPr>
        <w:t>成本指标方面：</w:t>
      </w:r>
    </w:p>
    <w:p>
      <w:pPr>
        <w:pageBreakBefore w:val="0"/>
        <w:kinsoku/>
        <w:wordWrap/>
        <w:overflowPunct/>
        <w:topLinePunct w:val="0"/>
        <w:autoSpaceDE/>
        <w:autoSpaceDN/>
        <w:bidi w:val="0"/>
        <w:adjustRightInd/>
        <w:snapToGrid w:val="0"/>
        <w:spacing w:line="540" w:lineRule="exact"/>
        <w:ind w:firstLine="624" w:firstLineChars="200"/>
        <w:textAlignment w:val="auto"/>
        <w:rPr>
          <w:rStyle w:val="13"/>
          <w:rFonts w:hint="default" w:ascii="Times New Roman" w:hAnsi="Times New Roman" w:eastAsia="仿宋_GB2312" w:cs="Times New Roman"/>
          <w:b w:val="0"/>
          <w:color w:val="auto"/>
          <w:spacing w:val="-4"/>
          <w:sz w:val="32"/>
          <w:szCs w:val="32"/>
          <w:highlight w:val="none"/>
        </w:rPr>
      </w:pPr>
      <w:r>
        <w:rPr>
          <w:rStyle w:val="13"/>
          <w:rFonts w:hint="default" w:ascii="Times New Roman" w:hAnsi="Times New Roman" w:eastAsia="仿宋_GB2312" w:cs="Times New Roman"/>
          <w:b w:val="0"/>
          <w:color w:val="auto"/>
          <w:spacing w:val="-4"/>
          <w:sz w:val="32"/>
          <w:szCs w:val="32"/>
          <w:highlight w:val="none"/>
        </w:rPr>
        <w:t>指标1：设备采购成本控制数，指标值：＜=61万元/床，实际完成值：61万元/床，指标完成率</w:t>
      </w:r>
      <w:r>
        <w:rPr>
          <w:rStyle w:val="13"/>
          <w:rFonts w:hint="default" w:ascii="Times New Roman" w:hAnsi="Times New Roman" w:eastAsia="仿宋_GB2312" w:cs="Times New Roman"/>
          <w:b w:val="0"/>
          <w:color w:val="auto"/>
          <w:spacing w:val="-4"/>
          <w:sz w:val="32"/>
          <w:szCs w:val="32"/>
          <w:highlight w:val="none"/>
          <w:lang w:val="en-US" w:eastAsia="zh-CN"/>
        </w:rPr>
        <w:t>100</w:t>
      </w:r>
      <w:r>
        <w:rPr>
          <w:rStyle w:val="13"/>
          <w:rFonts w:hint="default" w:ascii="Times New Roman" w:hAnsi="Times New Roman" w:eastAsia="仿宋_GB2312" w:cs="Times New Roman"/>
          <w:b w:val="0"/>
          <w:color w:val="auto"/>
          <w:spacing w:val="-4"/>
          <w:sz w:val="32"/>
          <w:szCs w:val="32"/>
          <w:highlight w:val="none"/>
        </w:rPr>
        <w:t>%；</w:t>
      </w:r>
    </w:p>
    <w:p>
      <w:pPr>
        <w:pageBreakBefore w:val="0"/>
        <w:kinsoku/>
        <w:wordWrap/>
        <w:overflowPunct/>
        <w:topLinePunct w:val="0"/>
        <w:autoSpaceDE/>
        <w:autoSpaceDN/>
        <w:bidi w:val="0"/>
        <w:adjustRightInd/>
        <w:spacing w:line="540" w:lineRule="exact"/>
        <w:ind w:firstLine="643" w:firstLineChars="200"/>
        <w:textAlignment w:val="auto"/>
        <w:rPr>
          <w:rStyle w:val="15"/>
          <w:rFonts w:hint="default" w:ascii="Times New Roman" w:hAnsi="Times New Roman" w:cs="Times New Roman"/>
          <w:b/>
          <w:bCs/>
          <w:color w:val="auto"/>
          <w:highlight w:val="none"/>
        </w:rPr>
      </w:pPr>
      <w:r>
        <w:rPr>
          <w:rStyle w:val="15"/>
          <w:rFonts w:hint="default" w:ascii="Times New Roman" w:hAnsi="Times New Roman" w:cs="Times New Roman"/>
          <w:b/>
          <w:bCs/>
          <w:color w:val="auto"/>
          <w:highlight w:val="none"/>
        </w:rPr>
        <w:t>时效指标方面：</w:t>
      </w:r>
    </w:p>
    <w:p>
      <w:pPr>
        <w:pageBreakBefore w:val="0"/>
        <w:kinsoku/>
        <w:wordWrap/>
        <w:overflowPunct/>
        <w:topLinePunct w:val="0"/>
        <w:autoSpaceDE/>
        <w:autoSpaceDN/>
        <w:bidi w:val="0"/>
        <w:adjustRightInd/>
        <w:snapToGrid w:val="0"/>
        <w:spacing w:line="540" w:lineRule="exact"/>
        <w:ind w:firstLine="624" w:firstLineChars="200"/>
        <w:textAlignment w:val="auto"/>
        <w:rPr>
          <w:rStyle w:val="13"/>
          <w:rFonts w:hint="default" w:ascii="Times New Roman" w:hAnsi="Times New Roman" w:eastAsia="仿宋_GB2312" w:cs="Times New Roman"/>
          <w:b w:val="0"/>
          <w:color w:val="auto"/>
          <w:spacing w:val="-4"/>
          <w:sz w:val="32"/>
          <w:szCs w:val="32"/>
          <w:highlight w:val="none"/>
        </w:rPr>
      </w:pPr>
      <w:r>
        <w:rPr>
          <w:rStyle w:val="13"/>
          <w:rFonts w:hint="default" w:ascii="Times New Roman" w:hAnsi="Times New Roman" w:eastAsia="仿宋_GB2312" w:cs="Times New Roman"/>
          <w:b w:val="0"/>
          <w:color w:val="auto"/>
          <w:spacing w:val="-4"/>
          <w:sz w:val="32"/>
          <w:szCs w:val="32"/>
          <w:highlight w:val="none"/>
        </w:rPr>
        <w:t>指标1：</w:t>
      </w:r>
      <w:r>
        <w:rPr>
          <w:rStyle w:val="13"/>
          <w:rFonts w:hint="default" w:ascii="Times New Roman" w:hAnsi="Times New Roman" w:eastAsia="仿宋_GB2312" w:cs="Times New Roman"/>
          <w:b w:val="0"/>
          <w:color w:val="auto"/>
          <w:spacing w:val="-4"/>
          <w:sz w:val="32"/>
          <w:szCs w:val="32"/>
          <w:highlight w:val="none"/>
          <w:lang w:val="en-US" w:eastAsia="zh-CN"/>
        </w:rPr>
        <w:t>床位改造完成时间</w:t>
      </w:r>
      <w:r>
        <w:rPr>
          <w:rStyle w:val="13"/>
          <w:rFonts w:hint="default" w:ascii="Times New Roman" w:hAnsi="Times New Roman" w:eastAsia="仿宋_GB2312" w:cs="Times New Roman"/>
          <w:b w:val="0"/>
          <w:color w:val="auto"/>
          <w:spacing w:val="-4"/>
          <w:sz w:val="32"/>
          <w:szCs w:val="32"/>
          <w:highlight w:val="none"/>
        </w:rPr>
        <w:t>，指标值：202</w:t>
      </w:r>
      <w:r>
        <w:rPr>
          <w:rStyle w:val="13"/>
          <w:rFonts w:hint="default" w:ascii="Times New Roman" w:hAnsi="Times New Roman" w:eastAsia="仿宋_GB2312" w:cs="Times New Roman"/>
          <w:b w:val="0"/>
          <w:color w:val="auto"/>
          <w:spacing w:val="-4"/>
          <w:sz w:val="32"/>
          <w:szCs w:val="32"/>
          <w:highlight w:val="none"/>
          <w:lang w:val="en-US" w:eastAsia="zh-CN"/>
        </w:rPr>
        <w:t>2</w:t>
      </w:r>
      <w:r>
        <w:rPr>
          <w:rStyle w:val="13"/>
          <w:rFonts w:hint="default" w:ascii="Times New Roman" w:hAnsi="Times New Roman" w:eastAsia="仿宋_GB2312" w:cs="Times New Roman"/>
          <w:b w:val="0"/>
          <w:color w:val="auto"/>
          <w:spacing w:val="-4"/>
          <w:sz w:val="32"/>
          <w:szCs w:val="32"/>
          <w:highlight w:val="none"/>
        </w:rPr>
        <w:t>年12月31日前，实际完成值：202</w:t>
      </w:r>
      <w:r>
        <w:rPr>
          <w:rStyle w:val="13"/>
          <w:rFonts w:hint="default" w:ascii="Times New Roman" w:hAnsi="Times New Roman" w:eastAsia="仿宋_GB2312" w:cs="Times New Roman"/>
          <w:b w:val="0"/>
          <w:color w:val="auto"/>
          <w:spacing w:val="-4"/>
          <w:sz w:val="32"/>
          <w:szCs w:val="32"/>
          <w:highlight w:val="none"/>
          <w:lang w:val="en-US" w:eastAsia="zh-CN"/>
        </w:rPr>
        <w:t>2</w:t>
      </w:r>
      <w:r>
        <w:rPr>
          <w:rStyle w:val="13"/>
          <w:rFonts w:hint="default" w:ascii="Times New Roman" w:hAnsi="Times New Roman" w:eastAsia="仿宋_GB2312" w:cs="Times New Roman"/>
          <w:b w:val="0"/>
          <w:color w:val="auto"/>
          <w:spacing w:val="-4"/>
          <w:sz w:val="32"/>
          <w:szCs w:val="32"/>
          <w:highlight w:val="none"/>
        </w:rPr>
        <w:t>年12月31日前，指标完成率</w:t>
      </w:r>
      <w:r>
        <w:rPr>
          <w:rStyle w:val="13"/>
          <w:rFonts w:hint="default" w:ascii="Times New Roman" w:hAnsi="Times New Roman" w:eastAsia="仿宋_GB2312" w:cs="Times New Roman"/>
          <w:b w:val="0"/>
          <w:color w:val="auto"/>
          <w:spacing w:val="-4"/>
          <w:sz w:val="32"/>
          <w:szCs w:val="32"/>
          <w:highlight w:val="none"/>
          <w:lang w:val="en-US" w:eastAsia="zh-CN"/>
        </w:rPr>
        <w:t>100</w:t>
      </w:r>
      <w:r>
        <w:rPr>
          <w:rStyle w:val="13"/>
          <w:rFonts w:hint="default" w:ascii="Times New Roman" w:hAnsi="Times New Roman" w:eastAsia="仿宋_GB2312" w:cs="Times New Roman"/>
          <w:b w:val="0"/>
          <w:color w:val="auto"/>
          <w:spacing w:val="-4"/>
          <w:sz w:val="32"/>
          <w:szCs w:val="32"/>
          <w:highlight w:val="none"/>
        </w:rPr>
        <w:t>%；</w:t>
      </w:r>
    </w:p>
    <w:p>
      <w:pPr>
        <w:pStyle w:val="9"/>
        <w:pageBreakBefore w:val="0"/>
        <w:numPr>
          <w:ilvl w:val="0"/>
          <w:numId w:val="5"/>
        </w:numPr>
        <w:kinsoku/>
        <w:wordWrap/>
        <w:overflowPunct/>
        <w:topLinePunct w:val="0"/>
        <w:autoSpaceDE/>
        <w:autoSpaceDN/>
        <w:bidi w:val="0"/>
        <w:adjustRightInd/>
        <w:spacing w:line="540" w:lineRule="exact"/>
        <w:ind w:firstLine="640"/>
        <w:textAlignment w:val="auto"/>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效益情况</w:t>
      </w:r>
    </w:p>
    <w:p>
      <w:pPr>
        <w:pageBreakBefore w:val="0"/>
        <w:kinsoku/>
        <w:wordWrap/>
        <w:overflowPunct/>
        <w:topLinePunct w:val="0"/>
        <w:autoSpaceDE/>
        <w:autoSpaceDN/>
        <w:bidi w:val="0"/>
        <w:adjustRightInd/>
        <w:spacing w:line="540" w:lineRule="exact"/>
        <w:ind w:firstLine="643" w:firstLineChars="200"/>
        <w:textAlignment w:val="auto"/>
        <w:rPr>
          <w:rStyle w:val="15"/>
          <w:rFonts w:hint="default" w:ascii="Times New Roman" w:hAnsi="Times New Roman" w:cs="Times New Roman"/>
          <w:b/>
          <w:bCs/>
          <w:color w:val="auto"/>
          <w:highlight w:val="none"/>
        </w:rPr>
      </w:pPr>
      <w:r>
        <w:rPr>
          <w:rStyle w:val="15"/>
          <w:rFonts w:hint="default" w:ascii="Times New Roman" w:hAnsi="Times New Roman" w:eastAsia="仿宋_GB2312" w:cs="Times New Roman"/>
          <w:b/>
          <w:bCs/>
          <w:color w:val="auto"/>
          <w:highlight w:val="none"/>
          <w:lang w:eastAsia="zh-CN"/>
        </w:rPr>
        <w:t>经济</w:t>
      </w:r>
      <w:r>
        <w:rPr>
          <w:rStyle w:val="15"/>
          <w:rFonts w:hint="default" w:ascii="Times New Roman" w:hAnsi="Times New Roman" w:cs="Times New Roman"/>
          <w:b/>
          <w:bCs/>
          <w:color w:val="auto"/>
          <w:highlight w:val="none"/>
        </w:rPr>
        <w:t>效益指标方面：</w:t>
      </w:r>
    </w:p>
    <w:p>
      <w:pPr>
        <w:pageBreakBefore w:val="0"/>
        <w:kinsoku/>
        <w:wordWrap/>
        <w:overflowPunct/>
        <w:topLinePunct w:val="0"/>
        <w:autoSpaceDE/>
        <w:autoSpaceDN/>
        <w:bidi w:val="0"/>
        <w:adjustRightInd/>
        <w:spacing w:line="540" w:lineRule="exact"/>
        <w:ind w:firstLine="640" w:firstLineChars="200"/>
        <w:textAlignment w:val="auto"/>
        <w:rPr>
          <w:rStyle w:val="15"/>
          <w:rFonts w:hint="default" w:ascii="Times New Roman" w:hAnsi="Times New Roman" w:cs="Times New Roman"/>
          <w:color w:val="auto"/>
          <w:highlight w:val="none"/>
        </w:rPr>
      </w:pPr>
      <w:r>
        <w:rPr>
          <w:rStyle w:val="15"/>
          <w:rFonts w:hint="default" w:ascii="Times New Roman" w:hAnsi="Times New Roman" w:cs="Times New Roman"/>
          <w:color w:val="auto"/>
          <w:highlight w:val="none"/>
        </w:rPr>
        <w:t>指标1：设备利用率，指标值：＞70%，实际完成值：</w:t>
      </w:r>
      <w:r>
        <w:rPr>
          <w:rStyle w:val="15"/>
          <w:rFonts w:hint="default" w:ascii="Times New Roman" w:hAnsi="Times New Roman" w:eastAsia="仿宋_GB2312" w:cs="Times New Roman"/>
          <w:color w:val="auto"/>
          <w:highlight w:val="none"/>
          <w:lang w:val="en-US" w:eastAsia="zh-CN"/>
        </w:rPr>
        <w:t>100%</w:t>
      </w:r>
      <w:r>
        <w:rPr>
          <w:rStyle w:val="15"/>
          <w:rFonts w:hint="default" w:ascii="Times New Roman" w:hAnsi="Times New Roman" w:cs="Times New Roman"/>
          <w:color w:val="auto"/>
          <w:highlight w:val="none"/>
        </w:rPr>
        <w:t>，指标完成率</w:t>
      </w:r>
      <w:r>
        <w:rPr>
          <w:rStyle w:val="15"/>
          <w:rFonts w:hint="default" w:ascii="Times New Roman" w:hAnsi="Times New Roman" w:eastAsia="仿宋_GB2312" w:cs="Times New Roman"/>
          <w:color w:val="auto"/>
          <w:highlight w:val="none"/>
          <w:lang w:val="en-US" w:eastAsia="zh-CN"/>
        </w:rPr>
        <w:t>100</w:t>
      </w:r>
      <w:r>
        <w:rPr>
          <w:rStyle w:val="15"/>
          <w:rFonts w:hint="default" w:ascii="Times New Roman" w:hAnsi="Times New Roman" w:cs="Times New Roman"/>
          <w:color w:val="auto"/>
          <w:highlight w:val="none"/>
        </w:rPr>
        <w:t>%；</w:t>
      </w:r>
    </w:p>
    <w:p>
      <w:pPr>
        <w:pageBreakBefore w:val="0"/>
        <w:kinsoku/>
        <w:wordWrap/>
        <w:overflowPunct/>
        <w:topLinePunct w:val="0"/>
        <w:autoSpaceDE/>
        <w:autoSpaceDN/>
        <w:bidi w:val="0"/>
        <w:adjustRightInd/>
        <w:spacing w:line="540" w:lineRule="exact"/>
        <w:ind w:firstLine="643" w:firstLineChars="200"/>
        <w:textAlignment w:val="auto"/>
        <w:rPr>
          <w:rStyle w:val="15"/>
          <w:rFonts w:hint="default" w:ascii="Times New Roman" w:hAnsi="Times New Roman" w:cs="Times New Roman"/>
          <w:b/>
          <w:bCs/>
          <w:color w:val="auto"/>
          <w:highlight w:val="none"/>
        </w:rPr>
      </w:pPr>
      <w:r>
        <w:rPr>
          <w:rStyle w:val="15"/>
          <w:rFonts w:hint="default" w:ascii="Times New Roman" w:hAnsi="Times New Roman" w:cs="Times New Roman"/>
          <w:b/>
          <w:bCs/>
          <w:color w:val="auto"/>
          <w:highlight w:val="none"/>
        </w:rPr>
        <w:t>满意度指标方面：</w:t>
      </w:r>
    </w:p>
    <w:p>
      <w:pPr>
        <w:pageBreakBefore w:val="0"/>
        <w:kinsoku/>
        <w:wordWrap/>
        <w:overflowPunct/>
        <w:topLinePunct w:val="0"/>
        <w:autoSpaceDE/>
        <w:autoSpaceDN/>
        <w:bidi w:val="0"/>
        <w:adjustRightInd/>
        <w:snapToGrid w:val="0"/>
        <w:spacing w:line="540" w:lineRule="exact"/>
        <w:ind w:firstLine="624" w:firstLineChars="200"/>
        <w:textAlignment w:val="auto"/>
        <w:rPr>
          <w:rStyle w:val="13"/>
          <w:rFonts w:hint="default" w:ascii="Times New Roman" w:hAnsi="Times New Roman" w:eastAsia="仿宋_GB2312" w:cs="Times New Roman"/>
          <w:b w:val="0"/>
          <w:color w:val="auto"/>
          <w:spacing w:val="-4"/>
          <w:sz w:val="32"/>
          <w:szCs w:val="32"/>
          <w:highlight w:val="none"/>
        </w:rPr>
      </w:pPr>
      <w:r>
        <w:rPr>
          <w:rStyle w:val="13"/>
          <w:rFonts w:hint="default" w:ascii="Times New Roman" w:hAnsi="Times New Roman" w:eastAsia="仿宋_GB2312" w:cs="Times New Roman"/>
          <w:b w:val="0"/>
          <w:color w:val="auto"/>
          <w:spacing w:val="-4"/>
          <w:sz w:val="32"/>
          <w:szCs w:val="32"/>
          <w:highlight w:val="none"/>
        </w:rPr>
        <w:t>指标1：使用人员满意度，指标值：＞=90%，实际完成值：</w:t>
      </w:r>
      <w:r>
        <w:rPr>
          <w:rStyle w:val="13"/>
          <w:rFonts w:hint="default" w:ascii="Times New Roman" w:hAnsi="Times New Roman" w:eastAsia="仿宋_GB2312" w:cs="Times New Roman"/>
          <w:b w:val="0"/>
          <w:color w:val="auto"/>
          <w:spacing w:val="-4"/>
          <w:sz w:val="32"/>
          <w:szCs w:val="32"/>
          <w:highlight w:val="none"/>
          <w:lang w:val="en-US" w:eastAsia="zh-CN"/>
        </w:rPr>
        <w:t>85.2%</w:t>
      </w:r>
      <w:r>
        <w:rPr>
          <w:rStyle w:val="13"/>
          <w:rFonts w:hint="default" w:ascii="Times New Roman" w:hAnsi="Times New Roman" w:eastAsia="仿宋_GB2312" w:cs="Times New Roman"/>
          <w:b w:val="0"/>
          <w:color w:val="auto"/>
          <w:spacing w:val="-4"/>
          <w:sz w:val="32"/>
          <w:szCs w:val="32"/>
          <w:highlight w:val="none"/>
        </w:rPr>
        <w:t>，指标完成率</w:t>
      </w:r>
      <w:r>
        <w:rPr>
          <w:rStyle w:val="13"/>
          <w:rFonts w:hint="default" w:ascii="Times New Roman" w:hAnsi="Times New Roman" w:eastAsia="仿宋_GB2312" w:cs="Times New Roman"/>
          <w:b w:val="0"/>
          <w:color w:val="auto"/>
          <w:spacing w:val="-4"/>
          <w:sz w:val="32"/>
          <w:szCs w:val="32"/>
          <w:highlight w:val="none"/>
          <w:lang w:val="en-US" w:eastAsia="zh-CN"/>
        </w:rPr>
        <w:t>94.67</w:t>
      </w:r>
      <w:r>
        <w:rPr>
          <w:rStyle w:val="13"/>
          <w:rFonts w:hint="default" w:ascii="Times New Roman" w:hAnsi="Times New Roman" w:eastAsia="仿宋_GB2312" w:cs="Times New Roman"/>
          <w:b w:val="0"/>
          <w:color w:val="auto"/>
          <w:spacing w:val="-4"/>
          <w:sz w:val="32"/>
          <w:szCs w:val="32"/>
          <w:highlight w:val="none"/>
        </w:rPr>
        <w:t>%</w:t>
      </w:r>
      <w:r>
        <w:rPr>
          <w:rStyle w:val="13"/>
          <w:rFonts w:hint="default" w:ascii="Times New Roman" w:hAnsi="Times New Roman" w:eastAsia="仿宋_GB2312" w:cs="Times New Roman"/>
          <w:b w:val="0"/>
          <w:color w:val="auto"/>
          <w:spacing w:val="-4"/>
          <w:sz w:val="32"/>
          <w:szCs w:val="32"/>
          <w:highlight w:val="none"/>
          <w:lang w:eastAsia="zh-CN"/>
        </w:rPr>
        <w:t>，</w:t>
      </w:r>
      <w:r>
        <w:rPr>
          <w:rStyle w:val="13"/>
          <w:rFonts w:hint="default" w:ascii="Times New Roman" w:hAnsi="Times New Roman" w:eastAsia="仿宋_GB2312" w:cs="Times New Roman"/>
          <w:b w:val="0"/>
          <w:color w:val="auto"/>
          <w:spacing w:val="-4"/>
          <w:sz w:val="32"/>
          <w:szCs w:val="32"/>
          <w:highlight w:val="none"/>
          <w:lang w:val="en-US" w:eastAsia="zh-CN"/>
        </w:rPr>
        <w:t>偏差原因：</w:t>
      </w:r>
      <w:r>
        <w:rPr>
          <w:rFonts w:hint="default" w:ascii="Times New Roman" w:hAnsi="Times New Roman" w:eastAsia="仿宋_GB2312" w:cs="Times New Roman"/>
          <w:color w:val="auto"/>
          <w:sz w:val="32"/>
          <w:szCs w:val="32"/>
          <w:highlight w:val="none"/>
          <w:lang w:eastAsia="zh-CN"/>
        </w:rPr>
        <w:t>由于我院建成时间较长，院区部分基建设施较陈旧，部分患者就诊体验有待进一步提高，故满意度指标未达到预期。</w:t>
      </w:r>
    </w:p>
    <w:p>
      <w:pPr>
        <w:pageBreakBefore w:val="0"/>
        <w:kinsoku/>
        <w:wordWrap/>
        <w:overflowPunct/>
        <w:topLinePunct w:val="0"/>
        <w:autoSpaceDE/>
        <w:autoSpaceDN/>
        <w:bidi w:val="0"/>
        <w:adjustRightInd/>
        <w:spacing w:line="540" w:lineRule="exact"/>
        <w:ind w:firstLine="640" w:firstLineChars="200"/>
        <w:textAlignment w:val="auto"/>
        <w:rPr>
          <w:rFonts w:hint="default" w:ascii="Times New Roman" w:hAnsi="Times New Roman" w:eastAsia="黑体" w:cs="Times New Roman"/>
          <w:color w:val="auto"/>
          <w:sz w:val="32"/>
          <w:szCs w:val="32"/>
          <w:highlight w:val="none"/>
          <w:lang w:eastAsia="zh-Hans"/>
        </w:rPr>
      </w:pPr>
      <w:r>
        <w:rPr>
          <w:rFonts w:hint="default" w:ascii="Times New Roman" w:hAnsi="Times New Roman" w:eastAsia="黑体" w:cs="Times New Roman"/>
          <w:color w:val="auto"/>
          <w:sz w:val="32"/>
          <w:szCs w:val="32"/>
          <w:highlight w:val="none"/>
        </w:rPr>
        <w:t>五、</w:t>
      </w:r>
      <w:r>
        <w:rPr>
          <w:rFonts w:hint="default" w:ascii="Times New Roman" w:hAnsi="Times New Roman" w:eastAsia="黑体" w:cs="Times New Roman"/>
          <w:color w:val="auto"/>
          <w:sz w:val="32"/>
          <w:szCs w:val="32"/>
          <w:highlight w:val="none"/>
          <w:lang w:eastAsia="zh-Hans"/>
        </w:rPr>
        <w:t>预算执行进度与绩效指标总体完成率偏差</w:t>
      </w:r>
    </w:p>
    <w:p>
      <w:pPr>
        <w:pStyle w:val="16"/>
        <w:pageBreakBefore w:val="0"/>
        <w:kinsoku/>
        <w:wordWrap/>
        <w:overflowPunct/>
        <w:topLinePunct w:val="0"/>
        <w:autoSpaceDE/>
        <w:autoSpaceDN/>
        <w:bidi w:val="0"/>
        <w:adjustRightInd/>
        <w:spacing w:line="540" w:lineRule="exact"/>
        <w:ind w:firstLine="640"/>
        <w:textAlignment w:val="auto"/>
        <w:rPr>
          <w:rFonts w:hint="default" w:ascii="Times New Roman" w:hAnsi="Times New Roman" w:eastAsia="方正仿宋_GBK"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自治区2023年第一批疫情防控补助资金（自治区本级医疗机构重症床位设备配置经费）项目</w:t>
      </w:r>
      <w:r>
        <w:rPr>
          <w:rFonts w:hint="default" w:ascii="Times New Roman" w:hAnsi="Times New Roman" w:eastAsia="仿宋_GB2312" w:cs="Times New Roman"/>
          <w:color w:val="auto"/>
          <w:sz w:val="32"/>
          <w:szCs w:val="32"/>
          <w:highlight w:val="none"/>
        </w:rPr>
        <w:t>预算</w:t>
      </w:r>
      <w:r>
        <w:rPr>
          <w:rFonts w:hint="default" w:ascii="Times New Roman" w:hAnsi="Times New Roman" w:eastAsia="仿宋_GB2312" w:cs="Times New Roman"/>
          <w:color w:val="auto"/>
          <w:sz w:val="32"/>
          <w:szCs w:val="32"/>
          <w:highlight w:val="none"/>
          <w:lang w:val="en-US" w:eastAsia="zh-CN"/>
        </w:rPr>
        <w:t>1110</w:t>
      </w:r>
      <w:r>
        <w:rPr>
          <w:rFonts w:hint="default" w:ascii="Times New Roman" w:hAnsi="Times New Roman" w:eastAsia="仿宋_GB2312" w:cs="Times New Roman"/>
          <w:color w:val="auto"/>
          <w:sz w:val="32"/>
          <w:szCs w:val="32"/>
          <w:highlight w:val="none"/>
        </w:rPr>
        <w:t>万元，到位</w:t>
      </w:r>
      <w:r>
        <w:rPr>
          <w:rFonts w:hint="default" w:ascii="Times New Roman" w:hAnsi="Times New Roman" w:eastAsia="仿宋_GB2312" w:cs="Times New Roman"/>
          <w:color w:val="auto"/>
          <w:sz w:val="32"/>
          <w:szCs w:val="32"/>
          <w:highlight w:val="none"/>
          <w:lang w:val="en-US" w:eastAsia="zh-CN"/>
        </w:rPr>
        <w:t>1110</w:t>
      </w:r>
      <w:r>
        <w:rPr>
          <w:rFonts w:hint="default" w:ascii="Times New Roman" w:hAnsi="Times New Roman" w:eastAsia="仿宋_GB2312" w:cs="Times New Roman"/>
          <w:color w:val="auto"/>
          <w:sz w:val="32"/>
          <w:szCs w:val="32"/>
          <w:highlight w:val="none"/>
        </w:rPr>
        <w:t>万元，实际支出</w:t>
      </w:r>
      <w:r>
        <w:rPr>
          <w:rFonts w:hint="default" w:ascii="Times New Roman" w:hAnsi="Times New Roman" w:eastAsia="仿宋_GB2312" w:cs="Times New Roman"/>
          <w:color w:val="auto"/>
          <w:sz w:val="32"/>
          <w:szCs w:val="32"/>
          <w:highlight w:val="none"/>
          <w:lang w:val="en-US" w:eastAsia="zh-CN"/>
        </w:rPr>
        <w:t>1110</w:t>
      </w:r>
      <w:r>
        <w:rPr>
          <w:rFonts w:hint="default" w:ascii="Times New Roman" w:hAnsi="Times New Roman" w:eastAsia="仿宋_GB2312" w:cs="Times New Roman"/>
          <w:color w:val="auto"/>
          <w:sz w:val="32"/>
          <w:szCs w:val="32"/>
          <w:highlight w:val="none"/>
        </w:rPr>
        <w:t>万元，预算执行率为</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%，项目绩效指标总体完成率为</w:t>
      </w:r>
      <w:r>
        <w:rPr>
          <w:rFonts w:hint="default" w:ascii="Times New Roman" w:hAnsi="Times New Roman" w:eastAsia="仿宋_GB2312" w:cs="Times New Roman"/>
          <w:color w:val="auto"/>
          <w:sz w:val="32"/>
          <w:szCs w:val="32"/>
          <w:highlight w:val="none"/>
          <w:lang w:val="en-US" w:eastAsia="zh-CN"/>
        </w:rPr>
        <w:t>99.24</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Hans"/>
        </w:rPr>
        <w:t>总体</w:t>
      </w:r>
      <w:r>
        <w:rPr>
          <w:rFonts w:hint="default" w:ascii="Times New Roman" w:hAnsi="Times New Roman" w:eastAsia="仿宋_GB2312" w:cs="Times New Roman"/>
          <w:color w:val="auto"/>
          <w:sz w:val="32"/>
          <w:szCs w:val="32"/>
          <w:highlight w:val="none"/>
        </w:rPr>
        <w:t>偏差率为</w:t>
      </w:r>
      <w:r>
        <w:rPr>
          <w:rFonts w:hint="default" w:ascii="Times New Roman" w:hAnsi="Times New Roman" w:eastAsia="仿宋_GB2312" w:cs="Times New Roman"/>
          <w:color w:val="auto"/>
          <w:sz w:val="32"/>
          <w:szCs w:val="32"/>
          <w:highlight w:val="none"/>
          <w:lang w:val="en-US" w:eastAsia="zh-CN"/>
        </w:rPr>
        <w:t>0.76</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Hans"/>
        </w:rPr>
        <w:t>偏差</w:t>
      </w:r>
      <w:r>
        <w:rPr>
          <w:rFonts w:hint="default" w:ascii="Times New Roman" w:hAnsi="Times New Roman" w:eastAsia="仿宋_GB2312" w:cs="Times New Roman"/>
          <w:color w:val="auto"/>
          <w:sz w:val="32"/>
          <w:szCs w:val="32"/>
          <w:highlight w:val="none"/>
        </w:rPr>
        <w:t>原因</w:t>
      </w:r>
      <w:r>
        <w:rPr>
          <w:rFonts w:hint="default" w:ascii="Times New Roman" w:hAnsi="Times New Roman" w:eastAsia="仿宋_GB2312" w:cs="Times New Roman"/>
          <w:color w:val="auto"/>
          <w:sz w:val="32"/>
          <w:szCs w:val="32"/>
          <w:highlight w:val="none"/>
          <w:lang w:eastAsia="zh-CN"/>
        </w:rPr>
        <w:t>：由于我院建成时间较长，院区部分基建设施较陈旧，部分患者就诊体验有待进一步提高，故满意度指标未达到预期。</w:t>
      </w:r>
      <w:r>
        <w:rPr>
          <w:rFonts w:hint="default" w:ascii="Times New Roman" w:hAnsi="Times New Roman" w:eastAsia="仿宋_GB2312" w:cs="Times New Roman"/>
          <w:color w:val="auto"/>
          <w:sz w:val="32"/>
          <w:szCs w:val="32"/>
          <w:highlight w:val="none"/>
          <w:lang w:eastAsia="zh-Hans"/>
        </w:rPr>
        <w:t>改进</w:t>
      </w:r>
      <w:r>
        <w:rPr>
          <w:rFonts w:hint="default" w:ascii="Times New Roman" w:hAnsi="Times New Roman" w:eastAsia="仿宋_GB2312" w:cs="Times New Roman"/>
          <w:color w:val="auto"/>
          <w:sz w:val="32"/>
          <w:szCs w:val="32"/>
          <w:highlight w:val="none"/>
        </w:rPr>
        <w:t>措施</w:t>
      </w:r>
      <w:r>
        <w:rPr>
          <w:rFonts w:hint="default" w:ascii="Times New Roman" w:hAnsi="Times New Roman" w:eastAsia="仿宋_GB2312" w:cs="Times New Roman"/>
          <w:color w:val="auto"/>
          <w:sz w:val="32"/>
          <w:szCs w:val="32"/>
          <w:highlight w:val="none"/>
          <w:lang w:eastAsia="zh-CN"/>
        </w:rPr>
        <w:t>：今后要进一步</w:t>
      </w:r>
      <w:r>
        <w:rPr>
          <w:rFonts w:hint="eastAsia" w:eastAsia="仿宋_GB2312" w:cs="Times New Roman"/>
          <w:color w:val="auto"/>
          <w:sz w:val="32"/>
          <w:szCs w:val="32"/>
          <w:highlight w:val="none"/>
          <w:lang w:eastAsia="zh-CN"/>
        </w:rPr>
        <w:t>增强</w:t>
      </w:r>
      <w:r>
        <w:rPr>
          <w:rFonts w:hint="default" w:ascii="Times New Roman" w:hAnsi="Times New Roman" w:eastAsia="仿宋_GB2312" w:cs="Times New Roman"/>
          <w:color w:val="auto"/>
          <w:sz w:val="32"/>
          <w:szCs w:val="32"/>
          <w:highlight w:val="none"/>
          <w:lang w:eastAsia="zh-CN"/>
        </w:rPr>
        <w:t>服务意识，努力在现有基建设施条件下提升医疗服务水平和护理质量，提升患者满意度。</w:t>
      </w:r>
    </w:p>
    <w:p>
      <w:pPr>
        <w:pageBreakBefore w:val="0"/>
        <w:kinsoku/>
        <w:wordWrap/>
        <w:overflowPunct/>
        <w:topLinePunct w:val="0"/>
        <w:autoSpaceDE/>
        <w:autoSpaceDN/>
        <w:bidi w:val="0"/>
        <w:adjustRightInd/>
        <w:spacing w:line="540" w:lineRule="exact"/>
        <w:ind w:firstLine="640" w:firstLineChars="200"/>
        <w:textAlignment w:val="auto"/>
        <w:rPr>
          <w:rStyle w:val="15"/>
          <w:rFonts w:hint="default" w:ascii="Times New Roman" w:hAnsi="Times New Roman" w:cs="Times New Roman"/>
          <w:color w:val="auto"/>
          <w:highlight w:val="none"/>
        </w:rPr>
      </w:pPr>
      <w:r>
        <w:rPr>
          <w:rFonts w:hint="default" w:ascii="Times New Roman" w:hAnsi="Times New Roman" w:eastAsia="黑体" w:cs="Times New Roman"/>
          <w:color w:val="auto"/>
          <w:sz w:val="32"/>
          <w:szCs w:val="32"/>
          <w:highlight w:val="none"/>
          <w:lang w:eastAsia="zh-Hans"/>
        </w:rPr>
        <w:t>六</w:t>
      </w:r>
      <w:r>
        <w:rPr>
          <w:rFonts w:hint="default" w:ascii="Times New Roman" w:hAnsi="Times New Roman" w:eastAsia="黑体" w:cs="Times New Roman"/>
          <w:color w:val="auto"/>
          <w:sz w:val="32"/>
          <w:szCs w:val="32"/>
          <w:highlight w:val="none"/>
        </w:rPr>
        <w:t>、主要经验及做法、存在的问题及原因分析</w:t>
      </w:r>
    </w:p>
    <w:p>
      <w:pPr>
        <w:pageBreakBefore w:val="0"/>
        <w:kinsoku/>
        <w:wordWrap/>
        <w:overflowPunct/>
        <w:topLinePunct w:val="0"/>
        <w:autoSpaceDE/>
        <w:autoSpaceDN/>
        <w:bidi w:val="0"/>
        <w:adjustRightInd/>
        <w:spacing w:line="540" w:lineRule="exact"/>
        <w:ind w:firstLine="627" w:firstLineChars="200"/>
        <w:textAlignment w:val="auto"/>
        <w:rPr>
          <w:rFonts w:hint="default" w:ascii="Times New Roman" w:hAnsi="Times New Roman" w:eastAsia="楷体" w:cs="Times New Roman"/>
          <w:b/>
          <w:color w:val="auto"/>
          <w:spacing w:val="-4"/>
          <w:sz w:val="32"/>
          <w:szCs w:val="32"/>
          <w:highlight w:val="none"/>
        </w:rPr>
      </w:pPr>
      <w:r>
        <w:rPr>
          <w:rFonts w:hint="default" w:ascii="Times New Roman" w:hAnsi="Times New Roman" w:eastAsia="楷体" w:cs="Times New Roman"/>
          <w:b/>
          <w:color w:val="auto"/>
          <w:spacing w:val="-4"/>
          <w:sz w:val="32"/>
          <w:szCs w:val="32"/>
          <w:highlight w:val="none"/>
        </w:rPr>
        <w:t>（一）主要经验及做法</w:t>
      </w:r>
    </w:p>
    <w:p>
      <w:pPr>
        <w:pageBreakBefore w:val="0"/>
        <w:kinsoku/>
        <w:wordWrap/>
        <w:overflowPunct/>
        <w:topLinePunct w:val="0"/>
        <w:autoSpaceDE/>
        <w:autoSpaceDN/>
        <w:bidi w:val="0"/>
        <w:adjustRightInd/>
        <w:spacing w:line="54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pageBreakBefore w:val="0"/>
        <w:kinsoku/>
        <w:wordWrap/>
        <w:overflowPunct/>
        <w:topLinePunct w:val="0"/>
        <w:autoSpaceDE/>
        <w:autoSpaceDN/>
        <w:bidi w:val="0"/>
        <w:adjustRightInd/>
        <w:spacing w:before="0" w:after="0" w:line="540" w:lineRule="exact"/>
        <w:ind w:firstLine="640" w:firstLineChars="200"/>
        <w:jc w:val="left"/>
        <w:textAlignment w:val="auto"/>
        <w:rPr>
          <w:rFonts w:hint="default" w:ascii="Times New Roman" w:hAnsi="Times New Roman" w:eastAsia="仿宋_GB2312" w:cs="Times New Roman"/>
          <w:b w:val="0"/>
          <w:bCs w:val="0"/>
          <w:color w:val="auto"/>
          <w:kern w:val="2"/>
          <w:highlight w:val="none"/>
        </w:rPr>
      </w:pPr>
      <w:r>
        <w:rPr>
          <w:rFonts w:hint="default" w:ascii="Times New Roman" w:hAnsi="Times New Roman" w:eastAsia="仿宋_GB2312" w:cs="Times New Roman"/>
          <w:b w:val="0"/>
          <w:bCs w:val="0"/>
          <w:color w:val="auto"/>
          <w:kern w:val="2"/>
          <w:highlight w:val="none"/>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pageBreakBefore w:val="0"/>
        <w:numPr>
          <w:ilvl w:val="0"/>
          <w:numId w:val="6"/>
        </w:numPr>
        <w:kinsoku/>
        <w:wordWrap/>
        <w:overflowPunct/>
        <w:topLinePunct w:val="0"/>
        <w:autoSpaceDE/>
        <w:autoSpaceDN/>
        <w:bidi w:val="0"/>
        <w:adjustRightInd/>
        <w:spacing w:line="540" w:lineRule="exact"/>
        <w:ind w:firstLine="643" w:firstLineChars="200"/>
        <w:textAlignment w:val="auto"/>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存在的问题及原因分析</w:t>
      </w:r>
    </w:p>
    <w:p>
      <w:pPr>
        <w:pStyle w:val="2"/>
        <w:pageBreakBefore w:val="0"/>
        <w:kinsoku/>
        <w:wordWrap/>
        <w:overflowPunct/>
        <w:topLinePunct w:val="0"/>
        <w:autoSpaceDE/>
        <w:autoSpaceDN/>
        <w:bidi w:val="0"/>
        <w:adjustRightInd/>
        <w:spacing w:before="0" w:after="0" w:line="540" w:lineRule="exact"/>
        <w:ind w:firstLine="640" w:firstLineChars="200"/>
        <w:jc w:val="both"/>
        <w:textAlignment w:val="auto"/>
        <w:rPr>
          <w:rFonts w:hint="default" w:ascii="Times New Roman" w:hAnsi="Times New Roman" w:eastAsia="仿宋_GB2312" w:cs="Times New Roman"/>
          <w:b w:val="0"/>
          <w:bCs w:val="0"/>
          <w:color w:val="auto"/>
          <w:kern w:val="2"/>
          <w:highlight w:val="none"/>
        </w:rPr>
      </w:pPr>
      <w:r>
        <w:rPr>
          <w:rFonts w:hint="default" w:ascii="Times New Roman" w:hAnsi="Times New Roman" w:eastAsia="仿宋_GB2312" w:cs="Times New Roman"/>
          <w:b w:val="0"/>
          <w:bCs w:val="0"/>
          <w:color w:val="auto"/>
          <w:kern w:val="2"/>
          <w:highlight w:val="none"/>
          <w:lang w:eastAsia="zh-CN"/>
        </w:rPr>
        <w:t>我</w:t>
      </w:r>
      <w:r>
        <w:rPr>
          <w:rFonts w:hint="default" w:ascii="Times New Roman" w:hAnsi="Times New Roman" w:eastAsia="仿宋_GB2312" w:cs="Times New Roman"/>
          <w:b w:val="0"/>
          <w:bCs w:val="0"/>
          <w:color w:val="auto"/>
          <w:kern w:val="2"/>
          <w:highlight w:val="none"/>
        </w:rPr>
        <w:t>单位建有</w:t>
      </w:r>
      <w:r>
        <w:rPr>
          <w:rFonts w:hint="default" w:ascii="Times New Roman" w:hAnsi="Times New Roman" w:eastAsia="仿宋_GB2312" w:cs="Times New Roman"/>
          <w:b w:val="0"/>
          <w:bCs w:val="0"/>
          <w:color w:val="auto"/>
          <w:kern w:val="2"/>
          <w:highlight w:val="none"/>
          <w:lang w:eastAsia="zh-CN"/>
        </w:rPr>
        <w:t>内控</w:t>
      </w:r>
      <w:r>
        <w:rPr>
          <w:rFonts w:hint="default" w:ascii="Times New Roman" w:hAnsi="Times New Roman" w:eastAsia="仿宋_GB2312" w:cs="Times New Roman"/>
          <w:b w:val="0"/>
          <w:bCs w:val="0"/>
          <w:color w:val="auto"/>
          <w:kern w:val="2"/>
          <w:highlight w:val="none"/>
        </w:rPr>
        <w:t>工作领导小组</w:t>
      </w:r>
      <w:r>
        <w:rPr>
          <w:rFonts w:hint="default" w:ascii="Times New Roman" w:hAnsi="Times New Roman" w:eastAsia="仿宋_GB2312" w:cs="Times New Roman"/>
          <w:b w:val="0"/>
          <w:bCs w:val="0"/>
          <w:color w:val="auto"/>
          <w:kern w:val="2"/>
          <w:highlight w:val="none"/>
          <w:lang w:eastAsia="zh-CN"/>
        </w:rPr>
        <w:t>，建有各类医疗业务和资金支付审批</w:t>
      </w:r>
      <w:r>
        <w:rPr>
          <w:rFonts w:hint="default" w:ascii="Times New Roman" w:hAnsi="Times New Roman" w:eastAsia="仿宋_GB2312" w:cs="Times New Roman"/>
          <w:b w:val="0"/>
          <w:bCs w:val="0"/>
          <w:color w:val="auto"/>
          <w:kern w:val="2"/>
          <w:highlight w:val="none"/>
        </w:rPr>
        <w:t>制度</w:t>
      </w:r>
      <w:r>
        <w:rPr>
          <w:rFonts w:hint="default" w:ascii="Times New Roman" w:hAnsi="Times New Roman" w:eastAsia="仿宋_GB2312" w:cs="Times New Roman"/>
          <w:b w:val="0"/>
          <w:bCs w:val="0"/>
          <w:color w:val="auto"/>
          <w:kern w:val="2"/>
          <w:highlight w:val="none"/>
          <w:lang w:eastAsia="zh-CN"/>
        </w:rPr>
        <w:t>，同时建有分层审批机制，每笔资金支出均遵循无预算不支出原则，均要求预算申请单和支出审批单签批完备才可支付，做到了预算约束，内控约束、财务监督相统一，同时做到了合规性与便捷性的结合。</w:t>
      </w:r>
      <w:r>
        <w:rPr>
          <w:rFonts w:hint="default" w:ascii="Times New Roman" w:hAnsi="Times New Roman" w:eastAsia="仿宋_GB2312" w:cs="Times New Roman"/>
          <w:b w:val="0"/>
          <w:bCs w:val="0"/>
          <w:color w:val="auto"/>
          <w:kern w:val="2"/>
          <w:highlight w:val="none"/>
        </w:rPr>
        <w:t xml:space="preserve">                                                                      </w:t>
      </w:r>
    </w:p>
    <w:p>
      <w:pPr>
        <w:pStyle w:val="2"/>
        <w:pageBreakBefore w:val="0"/>
        <w:kinsoku/>
        <w:wordWrap/>
        <w:overflowPunct/>
        <w:topLinePunct w:val="0"/>
        <w:autoSpaceDE/>
        <w:autoSpaceDN/>
        <w:bidi w:val="0"/>
        <w:adjustRightInd/>
        <w:spacing w:before="0" w:after="0" w:line="540" w:lineRule="exact"/>
        <w:ind w:firstLine="640" w:firstLineChars="200"/>
        <w:jc w:val="both"/>
        <w:textAlignment w:val="auto"/>
        <w:rPr>
          <w:rFonts w:hint="default" w:ascii="Times New Roman" w:hAnsi="Times New Roman" w:eastAsia="仿宋_GB2312" w:cs="Times New Roman"/>
          <w:b w:val="0"/>
          <w:bCs w:val="0"/>
          <w:color w:val="auto"/>
          <w:kern w:val="2"/>
          <w:highlight w:val="none"/>
        </w:rPr>
      </w:pPr>
      <w:r>
        <w:rPr>
          <w:rFonts w:hint="default" w:ascii="Times New Roman" w:hAnsi="Times New Roman" w:eastAsia="仿宋_GB2312" w:cs="Times New Roman"/>
          <w:b w:val="0"/>
          <w:bCs w:val="0"/>
          <w:color w:val="auto"/>
          <w:kern w:val="2"/>
          <w:highlight w:val="none"/>
          <w:lang w:eastAsia="zh-CN"/>
        </w:rPr>
        <w:t>但是现有</w:t>
      </w:r>
      <w:r>
        <w:rPr>
          <w:rFonts w:hint="default" w:ascii="Times New Roman" w:hAnsi="Times New Roman" w:eastAsia="仿宋_GB2312" w:cs="Times New Roman"/>
          <w:b w:val="0"/>
          <w:bCs w:val="0"/>
          <w:color w:val="auto"/>
          <w:kern w:val="2"/>
          <w:highlight w:val="none"/>
        </w:rPr>
        <w:t>单位内控制度对于</w:t>
      </w:r>
      <w:r>
        <w:rPr>
          <w:rFonts w:hint="default" w:ascii="Times New Roman" w:hAnsi="Times New Roman" w:eastAsia="仿宋_GB2312" w:cs="Times New Roman"/>
          <w:b w:val="0"/>
          <w:bCs w:val="0"/>
          <w:color w:val="auto"/>
          <w:kern w:val="2"/>
          <w:highlight w:val="none"/>
          <w:lang w:eastAsia="zh-CN"/>
        </w:rPr>
        <w:t>医院发展和财政要求的</w:t>
      </w:r>
      <w:r>
        <w:rPr>
          <w:rFonts w:hint="default" w:ascii="Times New Roman" w:hAnsi="Times New Roman" w:eastAsia="仿宋_GB2312" w:cs="Times New Roman"/>
          <w:b w:val="0"/>
          <w:bCs w:val="0"/>
          <w:color w:val="auto"/>
          <w:kern w:val="2"/>
          <w:highlight w:val="none"/>
        </w:rPr>
        <w:t>新形势和新业务</w:t>
      </w:r>
      <w:r>
        <w:rPr>
          <w:rFonts w:hint="default" w:ascii="Times New Roman" w:hAnsi="Times New Roman" w:eastAsia="仿宋_GB2312" w:cs="Times New Roman"/>
          <w:b w:val="0"/>
          <w:bCs w:val="0"/>
          <w:color w:val="auto"/>
          <w:kern w:val="2"/>
          <w:highlight w:val="none"/>
          <w:lang w:eastAsia="zh-CN"/>
        </w:rPr>
        <w:t>还</w:t>
      </w:r>
      <w:r>
        <w:rPr>
          <w:rFonts w:hint="default" w:ascii="Times New Roman" w:hAnsi="Times New Roman" w:eastAsia="仿宋_GB2312" w:cs="Times New Roman"/>
          <w:b w:val="0"/>
          <w:bCs w:val="0"/>
          <w:color w:val="auto"/>
          <w:kern w:val="2"/>
          <w:highlight w:val="none"/>
        </w:rPr>
        <w:t>不能完全覆盖，部分内控制度不够细致，不够完整。下一步单位将结合</w:t>
      </w:r>
      <w:r>
        <w:rPr>
          <w:rFonts w:hint="default" w:ascii="Times New Roman" w:hAnsi="Times New Roman" w:eastAsia="仿宋_GB2312" w:cs="Times New Roman"/>
          <w:b w:val="0"/>
          <w:bCs w:val="0"/>
          <w:color w:val="auto"/>
          <w:kern w:val="2"/>
          <w:highlight w:val="none"/>
          <w:lang w:eastAsia="zh-CN"/>
        </w:rPr>
        <w:t>财政有关内控制度新要求</w:t>
      </w:r>
      <w:r>
        <w:rPr>
          <w:rFonts w:hint="default" w:ascii="Times New Roman" w:hAnsi="Times New Roman" w:eastAsia="仿宋_GB2312" w:cs="Times New Roman"/>
          <w:b w:val="0"/>
          <w:bCs w:val="0"/>
          <w:color w:val="auto"/>
          <w:kern w:val="2"/>
          <w:highlight w:val="none"/>
        </w:rPr>
        <w:t>和医院整体业务实际情况，进一步完善内控制度，加强监管，进一步完整从严把</w:t>
      </w:r>
      <w:r>
        <w:rPr>
          <w:rFonts w:hint="default" w:ascii="Times New Roman" w:hAnsi="Times New Roman" w:eastAsia="仿宋_GB2312" w:cs="Times New Roman"/>
          <w:b w:val="0"/>
          <w:bCs w:val="0"/>
          <w:color w:val="auto"/>
          <w:kern w:val="2"/>
          <w:highlight w:val="none"/>
          <w:lang w:eastAsia="zh-CN"/>
        </w:rPr>
        <w:t>握预算执行资金支付</w:t>
      </w:r>
      <w:r>
        <w:rPr>
          <w:rFonts w:hint="default" w:ascii="Times New Roman" w:hAnsi="Times New Roman" w:eastAsia="仿宋_GB2312" w:cs="Times New Roman"/>
          <w:b w:val="0"/>
          <w:bCs w:val="0"/>
          <w:color w:val="auto"/>
          <w:kern w:val="2"/>
          <w:highlight w:val="none"/>
        </w:rPr>
        <w:t>工作</w:t>
      </w:r>
      <w:r>
        <w:rPr>
          <w:rFonts w:hint="default" w:ascii="Times New Roman" w:hAnsi="Times New Roman" w:eastAsia="仿宋_GB2312" w:cs="Times New Roman"/>
          <w:b w:val="0"/>
          <w:bCs w:val="0"/>
          <w:color w:val="auto"/>
          <w:kern w:val="2"/>
          <w:highlight w:val="none"/>
          <w:lang w:eastAsia="zh-CN"/>
        </w:rPr>
        <w:t>全</w:t>
      </w:r>
      <w:r>
        <w:rPr>
          <w:rFonts w:hint="default" w:ascii="Times New Roman" w:hAnsi="Times New Roman" w:eastAsia="仿宋_GB2312" w:cs="Times New Roman"/>
          <w:b w:val="0"/>
          <w:bCs w:val="0"/>
          <w:color w:val="auto"/>
          <w:kern w:val="2"/>
          <w:highlight w:val="none"/>
        </w:rPr>
        <w:t>流程。</w:t>
      </w:r>
    </w:p>
    <w:p>
      <w:pPr>
        <w:pageBreakBefore w:val="0"/>
        <w:kinsoku/>
        <w:wordWrap/>
        <w:overflowPunct/>
        <w:topLinePunct w:val="0"/>
        <w:autoSpaceDE/>
        <w:autoSpaceDN/>
        <w:bidi w:val="0"/>
        <w:adjustRightInd/>
        <w:spacing w:line="540" w:lineRule="exact"/>
        <w:ind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lang w:eastAsia="zh-Hans"/>
        </w:rPr>
        <w:t>七、</w:t>
      </w:r>
      <w:r>
        <w:rPr>
          <w:rFonts w:hint="default" w:ascii="Times New Roman" w:hAnsi="Times New Roman" w:eastAsia="黑体" w:cs="Times New Roman"/>
          <w:color w:val="auto"/>
          <w:sz w:val="32"/>
          <w:szCs w:val="32"/>
          <w:highlight w:val="none"/>
        </w:rPr>
        <w:t>有关建议</w:t>
      </w:r>
    </w:p>
    <w:p>
      <w:pPr>
        <w:pageBreakBefore w:val="0"/>
        <w:kinsoku/>
        <w:wordWrap/>
        <w:overflowPunct/>
        <w:topLinePunct w:val="0"/>
        <w:autoSpaceDE/>
        <w:autoSpaceDN/>
        <w:bidi w:val="0"/>
        <w:adjustRightInd/>
        <w:spacing w:line="540" w:lineRule="exact"/>
        <w:ind w:firstLine="640" w:firstLineChars="200"/>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28"/>
          <w:highlight w:val="none"/>
        </w:rPr>
        <w:t>进一步加强对绩效管理工作的组织领导，提高对预算绩效管理工作重要性的认识，总结经验查找问题，抓紧研究制定更全面更完善的绩效评价管理办法。结合</w:t>
      </w:r>
      <w:r>
        <w:rPr>
          <w:rFonts w:hint="default" w:ascii="Times New Roman" w:hAnsi="Times New Roman" w:eastAsia="仿宋_GB2312" w:cs="Times New Roman"/>
          <w:color w:val="auto"/>
          <w:sz w:val="32"/>
          <w:szCs w:val="28"/>
          <w:highlight w:val="none"/>
          <w:lang w:eastAsia="zh-CN"/>
        </w:rPr>
        <w:t>现代化</w:t>
      </w:r>
      <w:r>
        <w:rPr>
          <w:rFonts w:hint="default" w:ascii="Times New Roman" w:hAnsi="Times New Roman" w:eastAsia="仿宋_GB2312" w:cs="Times New Roman"/>
          <w:color w:val="auto"/>
          <w:sz w:val="32"/>
          <w:szCs w:val="28"/>
          <w:highlight w:val="none"/>
        </w:rPr>
        <w:t>考核建立绩效工作考核制度，加大全局对全面实施预算绩效管理和绩效管理工作的学习力度，让“花钱必问效，无效必问责”的理念深入工作每个环节。</w:t>
      </w:r>
    </w:p>
    <w:p>
      <w:pPr>
        <w:pageBreakBefore w:val="0"/>
        <w:kinsoku/>
        <w:wordWrap/>
        <w:overflowPunct/>
        <w:topLinePunct w:val="0"/>
        <w:autoSpaceDE/>
        <w:autoSpaceDN/>
        <w:bidi w:val="0"/>
        <w:adjustRightInd/>
        <w:spacing w:line="540" w:lineRule="exact"/>
        <w:ind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lang w:eastAsia="zh-Hans"/>
        </w:rPr>
        <w:t>八、</w:t>
      </w:r>
      <w:r>
        <w:rPr>
          <w:rFonts w:hint="default" w:ascii="Times New Roman" w:hAnsi="Times New Roman" w:eastAsia="黑体" w:cs="Times New Roman"/>
          <w:color w:val="auto"/>
          <w:sz w:val="32"/>
          <w:szCs w:val="32"/>
          <w:highlight w:val="none"/>
        </w:rPr>
        <w:t>其他需要说</w:t>
      </w:r>
      <w:bookmarkStart w:id="7" w:name="page8"/>
      <w:bookmarkEnd w:id="7"/>
      <w:r>
        <w:rPr>
          <w:rFonts w:hint="default" w:ascii="Times New Roman" w:hAnsi="Times New Roman" w:eastAsia="黑体" w:cs="Times New Roman"/>
          <w:color w:val="auto"/>
          <w:sz w:val="32"/>
          <w:szCs w:val="32"/>
          <w:highlight w:val="none"/>
        </w:rPr>
        <w:t>明的问题</w:t>
      </w:r>
    </w:p>
    <w:p>
      <w:pPr>
        <w:pStyle w:val="10"/>
        <w:pageBreakBefore w:val="0"/>
        <w:kinsoku/>
        <w:wordWrap/>
        <w:overflowPunct/>
        <w:topLinePunct w:val="0"/>
        <w:autoSpaceDE/>
        <w:autoSpaceDN/>
        <w:bidi w:val="0"/>
        <w:adjustRightInd/>
        <w:spacing w:after="0" w:line="540" w:lineRule="exact"/>
        <w:ind w:left="0" w:leftChars="0" w:firstLine="64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Hans"/>
        </w:rPr>
        <w:t>本项目无其他需说明的问题。</w:t>
      </w:r>
    </w:p>
    <w:p>
      <w:pPr>
        <w:pStyle w:val="10"/>
        <w:pageBreakBefore w:val="0"/>
        <w:kinsoku/>
        <w:wordWrap/>
        <w:overflowPunct/>
        <w:topLinePunct w:val="0"/>
        <w:autoSpaceDE/>
        <w:autoSpaceDN/>
        <w:bidi w:val="0"/>
        <w:adjustRightInd/>
        <w:spacing w:after="0" w:line="540" w:lineRule="exact"/>
        <w:ind w:left="0" w:leftChars="0" w:firstLine="640"/>
        <w:textAlignment w:val="auto"/>
        <w:rPr>
          <w:rFonts w:hint="default" w:ascii="Times New Roman" w:hAnsi="Times New Roman" w:eastAsia="仿宋_GB2312" w:cs="Times New Roman"/>
          <w:color w:val="auto"/>
          <w:sz w:val="32"/>
          <w:szCs w:val="32"/>
          <w:highlight w:val="none"/>
        </w:rPr>
      </w:pPr>
    </w:p>
    <w:p>
      <w:pPr>
        <w:pStyle w:val="10"/>
        <w:spacing w:after="0" w:line="560" w:lineRule="exact"/>
        <w:ind w:left="0" w:leftChars="0" w:firstLine="640"/>
        <w:rPr>
          <w:rFonts w:hint="default" w:ascii="Times New Roman" w:hAnsi="Times New Roman" w:eastAsia="仿宋_GB2312" w:cs="Times New Roman"/>
          <w:color w:val="auto"/>
          <w:sz w:val="32"/>
          <w:szCs w:val="32"/>
          <w:highlight w:val="none"/>
        </w:rPr>
      </w:pPr>
    </w:p>
    <w:p>
      <w:pPr>
        <w:pStyle w:val="10"/>
        <w:spacing w:after="0" w:line="560" w:lineRule="exact"/>
        <w:ind w:left="0" w:leftChars="0" w:firstLine="640"/>
        <w:rPr>
          <w:rFonts w:hint="default" w:ascii="Times New Roman" w:hAnsi="Times New Roman" w:eastAsia="仿宋_GB2312" w:cs="Times New Roman"/>
          <w:color w:val="auto"/>
          <w:sz w:val="32"/>
          <w:szCs w:val="32"/>
          <w:highlight w:val="none"/>
        </w:rPr>
      </w:pPr>
    </w:p>
    <w:p>
      <w:pPr>
        <w:pStyle w:val="10"/>
        <w:spacing w:after="0" w:line="560" w:lineRule="exact"/>
        <w:ind w:left="0" w:leftChars="0" w:firstLine="640"/>
        <w:rPr>
          <w:rFonts w:hint="default" w:ascii="Times New Roman" w:hAnsi="Times New Roman" w:eastAsia="仿宋_GB2312" w:cs="Times New Roman"/>
          <w:color w:val="auto"/>
          <w:sz w:val="32"/>
          <w:szCs w:val="32"/>
          <w:highlight w:val="none"/>
        </w:rPr>
      </w:pPr>
    </w:p>
    <w:p>
      <w:pPr>
        <w:pStyle w:val="10"/>
        <w:spacing w:after="0" w:line="560" w:lineRule="exact"/>
        <w:ind w:left="0" w:leftChars="0" w:firstLine="0" w:firstLineChars="0"/>
        <w:rPr>
          <w:rFonts w:hint="default" w:ascii="Times New Roman" w:hAnsi="Times New Roman" w:eastAsia="仿宋_GB2312" w:cs="Times New Roman"/>
          <w:color w:val="auto"/>
          <w:sz w:val="32"/>
          <w:szCs w:val="32"/>
          <w:highlight w:val="none"/>
        </w:rPr>
      </w:pPr>
    </w:p>
    <w:tbl>
      <w:tblPr>
        <w:tblStyle w:val="1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
        <w:gridCol w:w="397"/>
        <w:gridCol w:w="397"/>
        <w:gridCol w:w="643"/>
        <w:gridCol w:w="846"/>
        <w:gridCol w:w="756"/>
        <w:gridCol w:w="756"/>
        <w:gridCol w:w="756"/>
        <w:gridCol w:w="756"/>
        <w:gridCol w:w="406"/>
        <w:gridCol w:w="406"/>
        <w:gridCol w:w="523"/>
        <w:gridCol w:w="448"/>
        <w:gridCol w:w="12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rPr>
        <w:tc>
          <w:tcPr>
            <w:tcW w:w="5000" w:type="pct"/>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t>2023年度</w:t>
            </w:r>
            <w:r>
              <w:rPr>
                <w:rFonts w:hint="eastAsia" w:ascii="宋体" w:hAnsi="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4583"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自治区2023年第一批疫情防控补助资金（自治区本级医疗机构重症床位设备配置经费</w:t>
            </w:r>
            <w:r>
              <w:rPr>
                <w:rFonts w:hint="eastAsia" w:ascii="宋体" w:hAnsi="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1672"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新疆维吾尔自治区卫生健康委员会</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224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w:t>
            </w:r>
            <w:r>
              <w:rPr>
                <w:rFonts w:hint="eastAsia" w:ascii="宋体" w:hAnsi="宋体" w:cs="宋体"/>
                <w:i w:val="0"/>
                <w:iCs w:val="0"/>
                <w:color w:val="000000"/>
                <w:kern w:val="0"/>
                <w:sz w:val="18"/>
                <w:szCs w:val="18"/>
                <w:u w:val="none"/>
                <w:lang w:val="en-US" w:eastAsia="zh-CN" w:bidi="ar"/>
              </w:rPr>
              <w:t>第八人民医</w:t>
            </w:r>
            <w:bookmarkStart w:id="8" w:name="_GoBack"/>
            <w:bookmarkEnd w:id="8"/>
            <w:r>
              <w:rPr>
                <w:rFonts w:hint="eastAsia" w:ascii="宋体" w:hAnsi="宋体" w:eastAsia="宋体" w:cs="宋体"/>
                <w:i w:val="0"/>
                <w:iCs w:val="0"/>
                <w:color w:val="000000"/>
                <w:kern w:val="0"/>
                <w:sz w:val="18"/>
                <w:szCs w:val="18"/>
                <w:u w:val="none"/>
                <w:lang w:val="en-US" w:eastAsia="zh-CN" w:bidi="ar"/>
              </w:rPr>
              <w:t>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7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1110.00</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1110.00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1110</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188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291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88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按照国务院联防联控机制《关于印发做好医疗资源准备工作方案的通知》（联防联控机制综发</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2022</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112号）要求和新冠病毒感染疫情乙类乙管工作要求，有效提升医疗机构重症救治资源储备，扩充ICU和可转化ICU床位数，补齐设备缺口，有效开展疫情期间重症病例救治工作</w:t>
            </w:r>
          </w:p>
        </w:tc>
        <w:tc>
          <w:tcPr>
            <w:tcW w:w="291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按照国务院联防联控机制《关于印发做好医疗资源准备工作方案的通知》（联防联控机制综发</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2022</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112号）要求和新冠病毒感染疫情乙类乙管工作要求，通过项目资金建设了8张专门ICU床位和10张可转换ICU床位，购置了各类配套ICU设备，达到了有效开展疫情期间重症病例救治工作的目的。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4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3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3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3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8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4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配置ICU床位数量及配套设备数量</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&gt;=18床（套）</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=18床（套）</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设备质量合格率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设备验收合格率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床位改造完成时间</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2022年12月31日前</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2022年12月31日</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设备采购成本控制数</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&lt;=61万元/床</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=61万元/床</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设备利用率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&gt;70%</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使用人员满意度</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=85.2%</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94.67%</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由于我院建成时间较长，院区部分基建设施较陈旧，部分患者就诊体验有待进一步提高，故满意度指标未达到预期，今后将，在现有基建设施条件下提升医疗服务水平和护理质量，提升患者满意度。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1091"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nil"/>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8"/>
                <w:szCs w:val="18"/>
                <w:u w:val="none"/>
              </w:rPr>
            </w:pP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pStyle w:val="2"/>
        <w:jc w:val="both"/>
        <w:rPr>
          <w:rFonts w:hint="default" w:ascii="Times New Roman" w:hAnsi="Times New Roman" w:eastAsia="黑体" w:cs="Times New Roman"/>
          <w:b w:val="0"/>
          <w:bCs w:val="0"/>
          <w:color w:val="auto"/>
          <w:highlight w:val="none"/>
        </w:rPr>
      </w:pPr>
    </w:p>
    <w:p>
      <w:pPr>
        <w:pStyle w:val="2"/>
        <w:rPr>
          <w:rFonts w:hint="default" w:ascii="Times New Roman" w:hAnsi="Times New Roman" w:eastAsia="黑体" w:cs="Times New Roman"/>
          <w:b w:val="0"/>
          <w:bCs w:val="0"/>
          <w:color w:val="auto"/>
          <w:highlight w:val="none"/>
        </w:rPr>
      </w:pPr>
    </w:p>
    <w:p>
      <w:pPr>
        <w:pStyle w:val="2"/>
        <w:jc w:val="both"/>
        <w:rPr>
          <w:rFonts w:hint="default" w:ascii="Times New Roman" w:hAnsi="Times New Roman" w:cs="Times New Roman"/>
          <w:color w:val="auto"/>
          <w:highlight w:val="none"/>
        </w:rPr>
        <w:sectPr>
          <w:footerReference r:id="rId3" w:type="default"/>
          <w:pgSz w:w="11906" w:h="16838"/>
          <w:pgMar w:top="1440" w:right="1558" w:bottom="1440" w:left="1800" w:header="851" w:footer="992" w:gutter="0"/>
          <w:cols w:space="425" w:num="1"/>
          <w:docGrid w:type="lines" w:linePitch="312" w:charSpace="0"/>
        </w:sectPr>
      </w:pPr>
    </w:p>
    <w:p>
      <w:pPr>
        <w:spacing w:line="600" w:lineRule="exact"/>
        <w:rPr>
          <w:rFonts w:hint="default" w:ascii="Times New Roman" w:hAnsi="Times New Roman" w:cs="Times New Roman"/>
          <w:bCs/>
          <w:color w:val="auto"/>
          <w:sz w:val="32"/>
          <w:szCs w:val="32"/>
          <w:highlight w:val="none"/>
        </w:rPr>
      </w:pPr>
      <w:r>
        <w:rPr>
          <w:rFonts w:hint="default" w:ascii="Times New Roman" w:hAnsi="Times New Roman" w:cs="Times New Roman"/>
          <w:bCs/>
          <w:color w:val="auto"/>
          <w:sz w:val="32"/>
          <w:szCs w:val="32"/>
          <w:highlight w:val="none"/>
        </w:rPr>
        <w:t>附件1</w:t>
      </w:r>
    </w:p>
    <w:tbl>
      <w:tblPr>
        <w:tblStyle w:val="11"/>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9" w:type="dxa"/>
            <w:shd w:val="clear" w:color="auto"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一级指标</w:t>
            </w:r>
          </w:p>
        </w:tc>
        <w:tc>
          <w:tcPr>
            <w:tcW w:w="767" w:type="dxa"/>
            <w:shd w:val="clear" w:color="auto"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二级指标</w:t>
            </w:r>
          </w:p>
        </w:tc>
        <w:tc>
          <w:tcPr>
            <w:tcW w:w="873" w:type="dxa"/>
            <w:shd w:val="clear" w:color="auto"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三级指标</w:t>
            </w:r>
          </w:p>
        </w:tc>
        <w:tc>
          <w:tcPr>
            <w:tcW w:w="2353" w:type="dxa"/>
            <w:shd w:val="clear" w:color="auto"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指标解释</w:t>
            </w:r>
          </w:p>
        </w:tc>
        <w:tc>
          <w:tcPr>
            <w:tcW w:w="5188" w:type="dxa"/>
            <w:shd w:val="clear" w:color="auto"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指标说明</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权重</w:t>
            </w:r>
          </w:p>
        </w:tc>
        <w:tc>
          <w:tcPr>
            <w:tcW w:w="1363" w:type="dxa"/>
            <w:shd w:val="clear" w:color="auto"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决策　</w:t>
            </w:r>
          </w:p>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　</w:t>
            </w:r>
          </w:p>
          <w:p>
            <w:pPr>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　</w:t>
            </w:r>
          </w:p>
        </w:tc>
        <w:tc>
          <w:tcPr>
            <w:tcW w:w="767"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项目立项　</w:t>
            </w:r>
          </w:p>
        </w:tc>
        <w:tc>
          <w:tcPr>
            <w:tcW w:w="873"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立项依据</w:t>
            </w:r>
          </w:p>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充分性</w:t>
            </w:r>
          </w:p>
        </w:tc>
        <w:tc>
          <w:tcPr>
            <w:tcW w:w="2353" w:type="dxa"/>
            <w:shd w:val="clear" w:color="auto"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项目立项是否符合法律法规、相关政策、发展规划以及部门职责，用以反映和考核项目立项依据情况。</w:t>
            </w:r>
          </w:p>
        </w:tc>
        <w:tc>
          <w:tcPr>
            <w:tcW w:w="5188" w:type="dxa"/>
            <w:shd w:val="clear" w:color="auto" w:fill="FFFFFF"/>
            <w:vAlign w:val="center"/>
          </w:tcPr>
          <w:p>
            <w:pPr>
              <w:widowControl/>
              <w:spacing w:line="0" w:lineRule="atLeast"/>
              <w:jc w:val="lef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评价要点：</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①项目立项是否符合国家法律法规、国民经济发展规划和相关政策；</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②项目立项是否符合行业发展规划和政策要求；</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③项目立项是否与部门职责范围相符，属于部门履职所需；</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④项目是否属于公共财政支持范围，是否符合中央、地方事权支出责任划分原则；</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3</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auto"/>
                <w:kern w:val="0"/>
                <w:sz w:val="22"/>
                <w:szCs w:val="22"/>
                <w:highlight w:val="none"/>
                <w:lang w:eastAsia="zh-CN"/>
              </w:rPr>
            </w:pPr>
            <w:r>
              <w:rPr>
                <w:rFonts w:hint="default" w:ascii="Times New Roman" w:hAnsi="Times New Roman" w:cs="Times New Roman"/>
                <w:b/>
                <w:bCs/>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p>
        </w:tc>
        <w:tc>
          <w:tcPr>
            <w:tcW w:w="767"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873"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立项程序</w:t>
            </w:r>
          </w:p>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规范性</w:t>
            </w:r>
          </w:p>
        </w:tc>
        <w:tc>
          <w:tcPr>
            <w:tcW w:w="2353" w:type="dxa"/>
            <w:shd w:val="clear" w:color="auto"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项目申请、设立过程是否符合相关要求，用以反映和考核项目立项的规范情况。</w:t>
            </w:r>
          </w:p>
        </w:tc>
        <w:tc>
          <w:tcPr>
            <w:tcW w:w="5188" w:type="dxa"/>
            <w:shd w:val="clear" w:color="auto" w:fill="FFFFFF"/>
            <w:vAlign w:val="center"/>
          </w:tcPr>
          <w:p>
            <w:pPr>
              <w:widowControl/>
              <w:spacing w:line="0" w:lineRule="atLeast"/>
              <w:jc w:val="lef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评价要点：</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①项目是否按照规定的程序申请设立；</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②审批文件、材料是否符合相关要求；</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3</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auto"/>
                <w:kern w:val="0"/>
                <w:sz w:val="22"/>
                <w:szCs w:val="22"/>
                <w:highlight w:val="none"/>
                <w:lang w:eastAsia="zh-CN"/>
              </w:rPr>
            </w:pPr>
            <w:r>
              <w:rPr>
                <w:rFonts w:hint="default" w:ascii="Times New Roman" w:hAnsi="Times New Roman" w:cs="Times New Roman"/>
                <w:b/>
                <w:bCs/>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p>
        </w:tc>
        <w:tc>
          <w:tcPr>
            <w:tcW w:w="76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绩效目标　</w:t>
            </w:r>
          </w:p>
        </w:tc>
        <w:tc>
          <w:tcPr>
            <w:tcW w:w="873"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绩效目标</w:t>
            </w:r>
          </w:p>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合理性</w:t>
            </w:r>
          </w:p>
        </w:tc>
        <w:tc>
          <w:tcPr>
            <w:tcW w:w="2353" w:type="dxa"/>
            <w:shd w:val="clear" w:color="000000"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项目所设定的绩效目标是否依据充分，是否符合客观实际，用以反映和考核项目绩效目标与项目实施的相符情况。</w:t>
            </w:r>
          </w:p>
        </w:tc>
        <w:tc>
          <w:tcPr>
            <w:tcW w:w="5188" w:type="dxa"/>
            <w:shd w:val="clear" w:color="000000" w:fill="FFFFFF"/>
            <w:vAlign w:val="center"/>
          </w:tcPr>
          <w:p>
            <w:pPr>
              <w:widowControl/>
              <w:spacing w:line="0" w:lineRule="atLeast"/>
              <w:jc w:val="lef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评价要点：</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（如未设定预算绩效目标，也可考核其他工作任务目标）</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①项目是否有绩效目标；</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②项目绩效目标与实际工作内容是否具有相关性；</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③项目预期产出效益和效果是否符合正常的业绩水平；</w:t>
            </w:r>
          </w:p>
          <w:p>
            <w:pPr>
              <w:widowControl/>
              <w:spacing w:line="0" w:lineRule="atLeast"/>
              <w:jc w:val="lef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3</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auto"/>
                <w:kern w:val="0"/>
                <w:sz w:val="22"/>
                <w:szCs w:val="22"/>
                <w:highlight w:val="none"/>
                <w:lang w:eastAsia="zh-CN"/>
              </w:rPr>
            </w:pPr>
            <w:r>
              <w:rPr>
                <w:rFonts w:hint="default" w:ascii="Times New Roman" w:hAnsi="Times New Roman" w:cs="Times New Roman"/>
                <w:b/>
                <w:bCs/>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决策　</w:t>
            </w:r>
          </w:p>
        </w:tc>
        <w:tc>
          <w:tcPr>
            <w:tcW w:w="76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绩效目标</w:t>
            </w:r>
          </w:p>
        </w:tc>
        <w:tc>
          <w:tcPr>
            <w:tcW w:w="873"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绩效指标</w:t>
            </w:r>
          </w:p>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明确性</w:t>
            </w:r>
          </w:p>
        </w:tc>
        <w:tc>
          <w:tcPr>
            <w:tcW w:w="2353" w:type="dxa"/>
            <w:shd w:val="clear" w:color="000000"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依据绩效目标设定的绩效指标是否清晰、细化、可衡量等，用以反映和考核项目绩效目标的明细化情况。</w:t>
            </w:r>
          </w:p>
        </w:tc>
        <w:tc>
          <w:tcPr>
            <w:tcW w:w="5188" w:type="dxa"/>
            <w:shd w:val="clear" w:color="000000"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评价要点：</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①是否将项目绩效目标细化分解为具体的绩效指标；</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②是否通过清晰、可衡量的指标值予以体现；</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③是否与项目目标任务数或计划数相对应。</w:t>
            </w:r>
            <w:r>
              <w:rPr>
                <w:rFonts w:hint="default" w:ascii="Times New Roman" w:hAnsi="Times New Roman" w:cs="Times New Roman"/>
                <w:color w:val="auto"/>
                <w:kern w:val="0"/>
                <w:sz w:val="22"/>
                <w:szCs w:val="22"/>
                <w:highlight w:val="none"/>
              </w:rPr>
              <w:br w:type="textWrapping"/>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3</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auto"/>
                <w:kern w:val="0"/>
                <w:sz w:val="22"/>
                <w:szCs w:val="22"/>
                <w:highlight w:val="none"/>
                <w:lang w:eastAsia="zh-CN"/>
              </w:rPr>
            </w:pPr>
            <w:r>
              <w:rPr>
                <w:rFonts w:hint="default" w:ascii="Times New Roman" w:hAnsi="Times New Roman" w:cs="Times New Roman"/>
                <w:b/>
                <w:bCs/>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p>
        </w:tc>
        <w:tc>
          <w:tcPr>
            <w:tcW w:w="767"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资金投入</w:t>
            </w:r>
          </w:p>
          <w:p>
            <w:pPr>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　</w:t>
            </w:r>
          </w:p>
        </w:tc>
        <w:tc>
          <w:tcPr>
            <w:tcW w:w="873"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预算编制</w:t>
            </w:r>
          </w:p>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科学性</w:t>
            </w:r>
          </w:p>
        </w:tc>
        <w:tc>
          <w:tcPr>
            <w:tcW w:w="2353" w:type="dxa"/>
            <w:shd w:val="clear" w:color="auto"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项目预算编制是否经过科学论证、有明确标准，资金额度与年度目标是否相适应，用以反映和考核项目预算编制的科学性、合理性情况。</w:t>
            </w:r>
          </w:p>
        </w:tc>
        <w:tc>
          <w:tcPr>
            <w:tcW w:w="5188" w:type="dxa"/>
            <w:shd w:val="clear" w:color="auto"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评价要点：</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①预算编制是否经过科学论证；</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②预算内容与项目内容是否匹配；</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③预算额度测算依据是否充分，是否按照标准编制；</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4</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auto"/>
                <w:kern w:val="0"/>
                <w:sz w:val="22"/>
                <w:szCs w:val="22"/>
                <w:highlight w:val="none"/>
                <w:lang w:eastAsia="zh-CN"/>
              </w:rPr>
            </w:pPr>
            <w:r>
              <w:rPr>
                <w:rFonts w:hint="default" w:ascii="Times New Roman" w:hAnsi="Times New Roman" w:cs="Times New Roman"/>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767"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873"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资金分配</w:t>
            </w:r>
          </w:p>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合理性</w:t>
            </w:r>
          </w:p>
        </w:tc>
        <w:tc>
          <w:tcPr>
            <w:tcW w:w="2353" w:type="dxa"/>
            <w:shd w:val="clear" w:color="auto"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项目预算资金分配是否有测算依据，与补助单位或地方实际是否相适应，用以反映和考核项目预算资金分配的科学性、合理性情况。</w:t>
            </w:r>
          </w:p>
        </w:tc>
        <w:tc>
          <w:tcPr>
            <w:tcW w:w="5188" w:type="dxa"/>
            <w:shd w:val="clear" w:color="auto"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评价要点：</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①预算资金分配依据是否充分；</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4</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auto"/>
                <w:kern w:val="0"/>
                <w:sz w:val="22"/>
                <w:szCs w:val="22"/>
                <w:highlight w:val="none"/>
                <w:lang w:eastAsia="zh-CN"/>
              </w:rPr>
            </w:pPr>
            <w:r>
              <w:rPr>
                <w:rFonts w:hint="default" w:ascii="Times New Roman" w:hAnsi="Times New Roman" w:cs="Times New Roman"/>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9" w:type="dxa"/>
            <w:vMerge w:val="restart"/>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过程</w:t>
            </w:r>
          </w:p>
        </w:tc>
        <w:tc>
          <w:tcPr>
            <w:tcW w:w="767"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资金管理</w:t>
            </w:r>
          </w:p>
        </w:tc>
        <w:tc>
          <w:tcPr>
            <w:tcW w:w="873"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资金到位率</w:t>
            </w:r>
          </w:p>
        </w:tc>
        <w:tc>
          <w:tcPr>
            <w:tcW w:w="2353" w:type="dxa"/>
            <w:shd w:val="clear" w:color="000000"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实际到位资金与预算资金的比率，用以反映和考核资金落实情况对项目实施的总体保障程度。</w:t>
            </w:r>
          </w:p>
        </w:tc>
        <w:tc>
          <w:tcPr>
            <w:tcW w:w="5188" w:type="dxa"/>
            <w:shd w:val="clear" w:color="000000"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资金到位率=（实际到位资金/预算资金）×100%。</w:t>
            </w:r>
          </w:p>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实际到位资金：一定时期（本年度或项目期）内落实到具体项目的资金。</w:t>
            </w:r>
          </w:p>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4</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auto"/>
                <w:kern w:val="0"/>
                <w:sz w:val="22"/>
                <w:szCs w:val="22"/>
                <w:highlight w:val="none"/>
                <w:lang w:val="en-US" w:eastAsia="zh-CN"/>
              </w:rPr>
            </w:pPr>
            <w:r>
              <w:rPr>
                <w:rFonts w:hint="default" w:ascii="Times New Roman" w:hAnsi="Times New Roman" w:cs="Times New Roman"/>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p>
        </w:tc>
        <w:tc>
          <w:tcPr>
            <w:tcW w:w="767" w:type="dxa"/>
            <w:vMerge w:val="continue"/>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p>
        </w:tc>
        <w:tc>
          <w:tcPr>
            <w:tcW w:w="873"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预算执行率</w:t>
            </w:r>
          </w:p>
        </w:tc>
        <w:tc>
          <w:tcPr>
            <w:tcW w:w="2353" w:type="dxa"/>
            <w:shd w:val="clear" w:color="auto"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项目预算资金是否按照计划执行，用以反映或考核项目预算执行情况。</w:t>
            </w:r>
          </w:p>
        </w:tc>
        <w:tc>
          <w:tcPr>
            <w:tcW w:w="5188" w:type="dxa"/>
            <w:shd w:val="clear" w:color="auto"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预算执行率=（实际支出资金/实际到位资金）×100%。</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4</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auto"/>
                <w:kern w:val="0"/>
                <w:sz w:val="22"/>
                <w:szCs w:val="22"/>
                <w:highlight w:val="none"/>
                <w:lang w:eastAsia="zh-CN"/>
              </w:rPr>
            </w:pPr>
            <w:r>
              <w:rPr>
                <w:rFonts w:hint="default" w:ascii="Times New Roman" w:hAnsi="Times New Roman" w:cs="Times New Roman"/>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　</w:t>
            </w:r>
          </w:p>
          <w:p>
            <w:pPr>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过程　</w:t>
            </w:r>
          </w:p>
        </w:tc>
        <w:tc>
          <w:tcPr>
            <w:tcW w:w="76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资金管理</w:t>
            </w:r>
          </w:p>
        </w:tc>
        <w:tc>
          <w:tcPr>
            <w:tcW w:w="873"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资金使用</w:t>
            </w:r>
          </w:p>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合规性</w:t>
            </w:r>
          </w:p>
        </w:tc>
        <w:tc>
          <w:tcPr>
            <w:tcW w:w="2353" w:type="dxa"/>
            <w:shd w:val="clear" w:color="000000"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项目资金使用是否符合相关的财务管理制度规定，用以反映和考核项目资金的规范运行情况。</w:t>
            </w:r>
          </w:p>
        </w:tc>
        <w:tc>
          <w:tcPr>
            <w:tcW w:w="5188" w:type="dxa"/>
            <w:shd w:val="clear" w:color="000000"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评价要点：</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①是否符合国家财经法规和财务管理制度以及有关专项资金管理办法的规定；</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②资金的拨付是否有完整的审批程序和手续；</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③是否符合项目预算批复或合同规定的用途；</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4</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auto"/>
                <w:kern w:val="0"/>
                <w:sz w:val="22"/>
                <w:szCs w:val="22"/>
                <w:highlight w:val="none"/>
                <w:lang w:eastAsia="zh-CN"/>
              </w:rPr>
            </w:pPr>
            <w:r>
              <w:rPr>
                <w:rFonts w:hint="default" w:ascii="Times New Roman" w:hAnsi="Times New Roman" w:cs="Times New Roman"/>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p>
        </w:tc>
        <w:tc>
          <w:tcPr>
            <w:tcW w:w="767"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组织实施</w:t>
            </w:r>
          </w:p>
          <w:p>
            <w:pPr>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　</w:t>
            </w:r>
          </w:p>
        </w:tc>
        <w:tc>
          <w:tcPr>
            <w:tcW w:w="873"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管理制度</w:t>
            </w:r>
          </w:p>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健全性</w:t>
            </w:r>
          </w:p>
        </w:tc>
        <w:tc>
          <w:tcPr>
            <w:tcW w:w="2353" w:type="dxa"/>
            <w:shd w:val="clear" w:color="000000"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项目实施单位的财务和业务管理制度是否健全，用以反映和考核财务和业务管理制度对项目顺利实施的保障情况。</w:t>
            </w:r>
          </w:p>
        </w:tc>
        <w:tc>
          <w:tcPr>
            <w:tcW w:w="5188" w:type="dxa"/>
            <w:shd w:val="clear" w:color="000000"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评价要点：</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①是否已制定或具有相应的财务和业务管理制度；</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4</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auto"/>
                <w:kern w:val="0"/>
                <w:sz w:val="22"/>
                <w:szCs w:val="22"/>
                <w:highlight w:val="none"/>
                <w:lang w:eastAsia="zh-CN"/>
              </w:rPr>
            </w:pPr>
            <w:r>
              <w:rPr>
                <w:rFonts w:hint="default" w:ascii="Times New Roman" w:hAnsi="Times New Roman" w:cs="Times New Roman"/>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767"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873"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制度执行</w:t>
            </w:r>
          </w:p>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有效性</w:t>
            </w:r>
          </w:p>
        </w:tc>
        <w:tc>
          <w:tcPr>
            <w:tcW w:w="2353" w:type="dxa"/>
            <w:shd w:val="clear" w:color="000000"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项目实施是否符合相关管理规定，用以反映和考核相关管理制度的有效执行情况。</w:t>
            </w:r>
          </w:p>
        </w:tc>
        <w:tc>
          <w:tcPr>
            <w:tcW w:w="5188" w:type="dxa"/>
            <w:shd w:val="clear" w:color="000000"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评价要点：</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①是否遵守相关法律法规和相关管理规定；</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②项目调整及支出调整手续是否完备；</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③项目合同书、验收报告、技术鉴定等资料是否齐全并及时归档；</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4</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auto"/>
                <w:kern w:val="0"/>
                <w:sz w:val="22"/>
                <w:szCs w:val="22"/>
                <w:highlight w:val="none"/>
                <w:lang w:eastAsia="zh-CN"/>
              </w:rPr>
            </w:pPr>
            <w:r>
              <w:rPr>
                <w:rFonts w:hint="default" w:ascii="Times New Roman" w:hAnsi="Times New Roman" w:cs="Times New Roman"/>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9"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产出</w:t>
            </w:r>
          </w:p>
        </w:tc>
        <w:tc>
          <w:tcPr>
            <w:tcW w:w="76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产出数量</w:t>
            </w:r>
          </w:p>
        </w:tc>
        <w:tc>
          <w:tcPr>
            <w:tcW w:w="873"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实际完成率</w:t>
            </w:r>
          </w:p>
        </w:tc>
        <w:tc>
          <w:tcPr>
            <w:tcW w:w="2353" w:type="dxa"/>
            <w:shd w:val="clear" w:color="000000"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项目实施的实际产出数与计划产出数的比率，用以反映和考核项目产出数量目标的实现程度。</w:t>
            </w:r>
          </w:p>
        </w:tc>
        <w:tc>
          <w:tcPr>
            <w:tcW w:w="5188" w:type="dxa"/>
            <w:shd w:val="clear" w:color="000000"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实际完成率=（实际产出数/计划产出数）×100%。</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实际产出数：一定时期（本年度或项目期）内项目实际产出的产品或提供的服务数量。</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auto"/>
                <w:kern w:val="0"/>
                <w:sz w:val="22"/>
                <w:szCs w:val="22"/>
                <w:highlight w:val="none"/>
                <w:lang w:val="en-US" w:eastAsia="zh-CN"/>
              </w:rPr>
            </w:pPr>
            <w:r>
              <w:rPr>
                <w:rFonts w:hint="default" w:ascii="Times New Roman" w:hAnsi="Times New Roman" w:cs="Times New Roman"/>
                <w:b/>
                <w:bCs/>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产出</w:t>
            </w:r>
          </w:p>
        </w:tc>
        <w:tc>
          <w:tcPr>
            <w:tcW w:w="76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产出质量</w:t>
            </w:r>
          </w:p>
        </w:tc>
        <w:tc>
          <w:tcPr>
            <w:tcW w:w="873"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质量达标率</w:t>
            </w:r>
          </w:p>
        </w:tc>
        <w:tc>
          <w:tcPr>
            <w:tcW w:w="2353" w:type="dxa"/>
            <w:shd w:val="clear" w:color="000000"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项目完成的质量达标产出数与实际产出数的比率，用以反映和考核项目产出质量目标的实现程度。</w:t>
            </w:r>
          </w:p>
        </w:tc>
        <w:tc>
          <w:tcPr>
            <w:tcW w:w="5188" w:type="dxa"/>
            <w:shd w:val="clear" w:color="000000"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质量达标率=（质量达标产出数/实际产出数）×100%。</w:t>
            </w:r>
          </w:p>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auto"/>
                <w:kern w:val="0"/>
                <w:sz w:val="22"/>
                <w:szCs w:val="22"/>
                <w:highlight w:val="none"/>
                <w:lang w:val="en-US" w:eastAsia="zh-CN"/>
              </w:rPr>
            </w:pPr>
            <w:r>
              <w:rPr>
                <w:rFonts w:hint="default" w:ascii="Times New Roman" w:hAnsi="Times New Roman" w:cs="Times New Roman"/>
                <w:b/>
                <w:bCs/>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p>
        </w:tc>
        <w:tc>
          <w:tcPr>
            <w:tcW w:w="767" w:type="dxa"/>
            <w:shd w:val="clear" w:color="auto" w:fill="FFFFFF"/>
            <w:vAlign w:val="center"/>
          </w:tcPr>
          <w:p>
            <w:pPr>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产出时效</w:t>
            </w:r>
          </w:p>
        </w:tc>
        <w:tc>
          <w:tcPr>
            <w:tcW w:w="873"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完成及时性</w:t>
            </w:r>
          </w:p>
        </w:tc>
        <w:tc>
          <w:tcPr>
            <w:tcW w:w="2353" w:type="dxa"/>
            <w:shd w:val="clear" w:color="000000"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项目实际完成时间与计划完成时间的比较，用以反映和考核项目产出时效目标的实现程度。</w:t>
            </w:r>
          </w:p>
        </w:tc>
        <w:tc>
          <w:tcPr>
            <w:tcW w:w="5188" w:type="dxa"/>
            <w:shd w:val="clear" w:color="000000"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实际完成时间：项目实施单位完成该项目实际所耗用的时间。</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auto"/>
                <w:kern w:val="0"/>
                <w:sz w:val="22"/>
                <w:szCs w:val="22"/>
                <w:highlight w:val="none"/>
                <w:lang w:val="en-US" w:eastAsia="zh-CN"/>
              </w:rPr>
            </w:pPr>
            <w:r>
              <w:rPr>
                <w:rFonts w:hint="default" w:ascii="Times New Roman" w:hAnsi="Times New Roman" w:cs="Times New Roman"/>
                <w:b/>
                <w:bCs/>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767"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产出成本</w:t>
            </w:r>
          </w:p>
        </w:tc>
        <w:tc>
          <w:tcPr>
            <w:tcW w:w="873"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成本节约率</w:t>
            </w:r>
          </w:p>
        </w:tc>
        <w:tc>
          <w:tcPr>
            <w:tcW w:w="2353" w:type="dxa"/>
            <w:shd w:val="clear" w:color="000000"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完成项目计划工作目标的实际节约成本与计划成本的比率，用以反映和考核项目的成本节约程度。</w:t>
            </w:r>
          </w:p>
        </w:tc>
        <w:tc>
          <w:tcPr>
            <w:tcW w:w="5188" w:type="dxa"/>
            <w:shd w:val="clear" w:color="000000"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成本节约率=[（计划成本-实际成本）/计划成本]×100%。</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实际成本：项目实施单位如期、保质、保量完成既定工作目标实际所耗费的支出。</w:t>
            </w:r>
            <w:r>
              <w:rPr>
                <w:rFonts w:hint="default" w:ascii="Times New Roman" w:hAnsi="Times New Roman" w:cs="Times New Roman"/>
                <w:color w:val="auto"/>
                <w:kern w:val="0"/>
                <w:sz w:val="22"/>
                <w:szCs w:val="22"/>
                <w:highlight w:val="none"/>
              </w:rPr>
              <w:br w:type="textWrapping"/>
            </w:r>
            <w:r>
              <w:rPr>
                <w:rFonts w:hint="default" w:ascii="Times New Roman" w:hAnsi="Times New Roman" w:cs="Times New Roman"/>
                <w:color w:val="auto"/>
                <w:kern w:val="0"/>
                <w:sz w:val="22"/>
                <w:szCs w:val="22"/>
                <w:highlight w:val="none"/>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auto"/>
                <w:kern w:val="0"/>
                <w:sz w:val="22"/>
                <w:szCs w:val="22"/>
                <w:highlight w:val="none"/>
                <w:lang w:val="en-US" w:eastAsia="zh-CN"/>
              </w:rPr>
            </w:pPr>
            <w:r>
              <w:rPr>
                <w:rFonts w:hint="default" w:ascii="Times New Roman" w:hAnsi="Times New Roman" w:cs="Times New Roman"/>
                <w:b/>
                <w:bCs/>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效益　</w:t>
            </w:r>
          </w:p>
        </w:tc>
        <w:tc>
          <w:tcPr>
            <w:tcW w:w="767" w:type="dxa"/>
            <w:vMerge w:val="restart"/>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项目效益　</w:t>
            </w:r>
          </w:p>
        </w:tc>
        <w:tc>
          <w:tcPr>
            <w:tcW w:w="873"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实施效益</w:t>
            </w:r>
          </w:p>
        </w:tc>
        <w:tc>
          <w:tcPr>
            <w:tcW w:w="2353" w:type="dxa"/>
            <w:shd w:val="clear" w:color="auto" w:fill="FFFFFF"/>
            <w:vAlign w:val="center"/>
          </w:tcPr>
          <w:p>
            <w:pPr>
              <w:widowControl/>
              <w:spacing w:line="0" w:lineRule="atLeast"/>
              <w:jc w:val="lef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项目实施所产生的效益。</w:t>
            </w:r>
          </w:p>
        </w:tc>
        <w:tc>
          <w:tcPr>
            <w:tcW w:w="5188" w:type="dxa"/>
            <w:shd w:val="clear" w:color="auto"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10</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auto"/>
                <w:kern w:val="0"/>
                <w:sz w:val="22"/>
                <w:szCs w:val="22"/>
                <w:highlight w:val="none"/>
                <w:lang w:val="en-US" w:eastAsia="zh-CN"/>
              </w:rPr>
            </w:pPr>
            <w:r>
              <w:rPr>
                <w:rFonts w:hint="default" w:ascii="Times New Roman" w:hAnsi="Times New Roman" w:cs="Times New Roman"/>
                <w:b/>
                <w:bCs/>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767" w:type="dxa"/>
            <w:vMerge w:val="continue"/>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p>
        </w:tc>
        <w:tc>
          <w:tcPr>
            <w:tcW w:w="873" w:type="dxa"/>
            <w:shd w:val="clear" w:color="auto" w:fill="FFFFFF"/>
            <w:vAlign w:val="center"/>
          </w:tcPr>
          <w:p>
            <w:pPr>
              <w:widowControl/>
              <w:spacing w:line="0" w:lineRule="atLeast"/>
              <w:jc w:val="center"/>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满意度</w:t>
            </w:r>
          </w:p>
        </w:tc>
        <w:tc>
          <w:tcPr>
            <w:tcW w:w="2353" w:type="dxa"/>
            <w:shd w:val="clear" w:color="000000"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社会公众或服务对象对项目实施效果的满意程度。</w:t>
            </w:r>
          </w:p>
        </w:tc>
        <w:tc>
          <w:tcPr>
            <w:tcW w:w="5188" w:type="dxa"/>
            <w:shd w:val="clear" w:color="000000" w:fill="FFFFFF"/>
            <w:vAlign w:val="center"/>
          </w:tcPr>
          <w:p>
            <w:pPr>
              <w:widowControl/>
              <w:spacing w:line="0" w:lineRule="atLeast"/>
              <w:rPr>
                <w:rFonts w:hint="default" w:ascii="Times New Roman" w:hAnsi="Times New Roman" w:cs="Times New Roman"/>
                <w:color w:val="auto"/>
                <w:kern w:val="0"/>
                <w:sz w:val="22"/>
                <w:szCs w:val="22"/>
                <w:highlight w:val="none"/>
              </w:rPr>
            </w:pPr>
            <w:r>
              <w:rPr>
                <w:rFonts w:hint="default" w:ascii="Times New Roman" w:hAnsi="Times New Roman" w:cs="Times New Roman"/>
                <w:color w:val="auto"/>
                <w:kern w:val="0"/>
                <w:sz w:val="22"/>
                <w:szCs w:val="22"/>
                <w:highlight w:val="none"/>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auto"/>
                <w:kern w:val="0"/>
                <w:sz w:val="22"/>
                <w:szCs w:val="22"/>
                <w:highlight w:val="none"/>
              </w:rPr>
            </w:pPr>
            <w:r>
              <w:rPr>
                <w:rFonts w:hint="default" w:ascii="Times New Roman" w:hAnsi="Times New Roman" w:cs="Times New Roman"/>
                <w:b/>
                <w:bCs/>
                <w:color w:val="auto"/>
                <w:kern w:val="0"/>
                <w:sz w:val="22"/>
                <w:szCs w:val="22"/>
                <w:highlight w:val="none"/>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auto"/>
                <w:kern w:val="0"/>
                <w:sz w:val="22"/>
                <w:szCs w:val="22"/>
                <w:highlight w:val="none"/>
                <w:lang w:val="en-US" w:eastAsia="zh-CN"/>
              </w:rPr>
            </w:pPr>
            <w:r>
              <w:rPr>
                <w:rFonts w:hint="default" w:ascii="Times New Roman" w:hAnsi="Times New Roman" w:cs="Times New Roman"/>
                <w:b/>
                <w:bCs/>
                <w:color w:val="auto"/>
                <w:kern w:val="0"/>
                <w:sz w:val="22"/>
                <w:szCs w:val="22"/>
                <w:highlight w:val="none"/>
                <w:lang w:val="en-US" w:eastAsia="zh-CN"/>
              </w:rPr>
              <w:t>9.47</w:t>
            </w:r>
          </w:p>
        </w:tc>
      </w:tr>
    </w:tbl>
    <w:p>
      <w:pPr>
        <w:pStyle w:val="2"/>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spacing w:line="540" w:lineRule="exact"/>
        <w:ind w:firstLine="640"/>
        <w:rPr>
          <w:rStyle w:val="13"/>
          <w:rFonts w:hint="default" w:ascii="Times New Roman" w:hAnsi="Times New Roman" w:eastAsia="黑体" w:cs="Times New Roman"/>
          <w:bCs w:val="0"/>
          <w:color w:val="auto"/>
          <w:spacing w:val="-4"/>
          <w:sz w:val="32"/>
          <w:szCs w:val="32"/>
          <w:highlight w:val="none"/>
        </w:rPr>
      </w:pPr>
    </w:p>
    <w:p>
      <w:pPr>
        <w:spacing w:line="540" w:lineRule="exact"/>
        <w:ind w:firstLine="640"/>
        <w:rPr>
          <w:rStyle w:val="13"/>
          <w:rFonts w:hint="default" w:ascii="Times New Roman" w:hAnsi="Times New Roman" w:eastAsia="黑体" w:cs="Times New Roman"/>
          <w:bCs w:val="0"/>
          <w:color w:val="auto"/>
          <w:spacing w:val="-4"/>
          <w:sz w:val="32"/>
          <w:szCs w:val="32"/>
          <w:highlight w:val="none"/>
        </w:rPr>
      </w:pPr>
    </w:p>
    <w:p>
      <w:pPr>
        <w:spacing w:line="540" w:lineRule="exact"/>
        <w:ind w:firstLine="640"/>
        <w:rPr>
          <w:rStyle w:val="13"/>
          <w:rFonts w:hint="default" w:ascii="Times New Roman" w:hAnsi="Times New Roman" w:eastAsia="黑体" w:cs="Times New Roman"/>
          <w:bCs w:val="0"/>
          <w:color w:val="auto"/>
          <w:spacing w:val="-4"/>
          <w:sz w:val="32"/>
          <w:szCs w:val="32"/>
          <w:highlight w:val="none"/>
        </w:rPr>
      </w:pPr>
    </w:p>
    <w:p>
      <w:pPr>
        <w:spacing w:line="540" w:lineRule="exact"/>
        <w:ind w:firstLine="640"/>
        <w:rPr>
          <w:rStyle w:val="13"/>
          <w:rFonts w:hint="default" w:ascii="Times New Roman" w:hAnsi="Times New Roman" w:eastAsia="黑体" w:cs="Times New Roman"/>
          <w:bCs w:val="0"/>
          <w:color w:val="auto"/>
          <w:spacing w:val="-4"/>
          <w:sz w:val="32"/>
          <w:szCs w:val="32"/>
          <w:highlight w:val="none"/>
        </w:rPr>
      </w:pPr>
    </w:p>
    <w:p>
      <w:pPr>
        <w:spacing w:line="540" w:lineRule="exact"/>
        <w:ind w:firstLine="640"/>
        <w:rPr>
          <w:rStyle w:val="13"/>
          <w:rFonts w:hint="default" w:ascii="Times New Roman" w:hAnsi="Times New Roman" w:eastAsia="黑体" w:cs="Times New Roman"/>
          <w:bCs w:val="0"/>
          <w:color w:val="auto"/>
          <w:spacing w:val="-4"/>
          <w:sz w:val="32"/>
          <w:szCs w:val="32"/>
          <w:highlight w:val="none"/>
        </w:rPr>
      </w:pPr>
    </w:p>
    <w:p>
      <w:pPr>
        <w:spacing w:line="540" w:lineRule="exact"/>
        <w:ind w:firstLine="640"/>
        <w:rPr>
          <w:rStyle w:val="13"/>
          <w:rFonts w:hint="default" w:ascii="Times New Roman" w:hAnsi="Times New Roman" w:eastAsia="黑体" w:cs="Times New Roman"/>
          <w:bCs w:val="0"/>
          <w:color w:val="auto"/>
          <w:spacing w:val="-4"/>
          <w:sz w:val="32"/>
          <w:szCs w:val="32"/>
          <w:highlight w:val="none"/>
        </w:rPr>
      </w:pPr>
    </w:p>
    <w:p>
      <w:pPr>
        <w:spacing w:line="540" w:lineRule="exact"/>
        <w:rPr>
          <w:rStyle w:val="13"/>
          <w:rFonts w:hint="default" w:ascii="Times New Roman" w:hAnsi="Times New Roman" w:eastAsia="仿宋" w:cs="Times New Roman"/>
          <w:b w:val="0"/>
          <w:color w:val="auto"/>
          <w:spacing w:val="-4"/>
          <w:sz w:val="32"/>
          <w:szCs w:val="32"/>
          <w:highlight w:val="none"/>
        </w:rPr>
      </w:pPr>
    </w:p>
    <w:p>
      <w:pPr>
        <w:rPr>
          <w:rFonts w:hint="default" w:ascii="Times New Roman" w:hAnsi="Times New Roman" w:cs="Times New Roman"/>
          <w:color w:val="auto"/>
          <w:highlight w:val="none"/>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66E33DF-8851-4479-9057-0632CA8D562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AE087367-370C-4931-B7F7-BFB74A600F0B}"/>
  </w:font>
  <w:font w:name="华文中宋">
    <w:panose1 w:val="02010600040101010101"/>
    <w:charset w:val="86"/>
    <w:family w:val="auto"/>
    <w:pitch w:val="default"/>
    <w:sig w:usb0="00000287" w:usb1="080F0000" w:usb2="00000000" w:usb3="00000000" w:csb0="0004009F" w:csb1="DFD70000"/>
    <w:embedRegular r:id="rId3" w:fontKey="{9A00026D-EDA0-45FE-A29D-CC20C9FC36E8}"/>
  </w:font>
  <w:font w:name="方正小标宋_GBK">
    <w:panose1 w:val="03000509000000000000"/>
    <w:charset w:val="86"/>
    <w:family w:val="script"/>
    <w:pitch w:val="default"/>
    <w:sig w:usb0="00000001" w:usb1="080E0000" w:usb2="00000000" w:usb3="00000000" w:csb0="00040000" w:csb1="00000000"/>
    <w:embedRegular r:id="rId4" w:fontKey="{FD9D188B-5A35-4BB3-AB50-FD46B0EFEAF6}"/>
  </w:font>
  <w:font w:name="楷体_GB2312">
    <w:panose1 w:val="02010609030101010101"/>
    <w:charset w:val="86"/>
    <w:family w:val="auto"/>
    <w:pitch w:val="default"/>
    <w:sig w:usb0="00000001" w:usb1="080E0000" w:usb2="00000000" w:usb3="00000000" w:csb0="00040000" w:csb1="00000000"/>
    <w:embedRegular r:id="rId5" w:fontKey="{CC7F9C01-3ED8-45C7-98AD-BA706A21E9FE}"/>
  </w:font>
  <w:font w:name="方正仿宋_GBK">
    <w:panose1 w:val="02000000000000000000"/>
    <w:charset w:val="86"/>
    <w:family w:val="auto"/>
    <w:pitch w:val="default"/>
    <w:sig w:usb0="A00002BF" w:usb1="38CF7CFA" w:usb2="00082016" w:usb3="00000000" w:csb0="00040001" w:csb1="00000000"/>
    <w:embedRegular r:id="rId6" w:fontKey="{AE7A7CC5-24EE-40CF-AF55-B18121AC9A5E}"/>
  </w:font>
  <w:font w:name="楷体">
    <w:panose1 w:val="02010609060101010101"/>
    <w:charset w:val="86"/>
    <w:family w:val="modern"/>
    <w:pitch w:val="default"/>
    <w:sig w:usb0="800002BF" w:usb1="38CF7CFA" w:usb2="00000016" w:usb3="00000000" w:csb0="00040001" w:csb1="00000000"/>
    <w:embedRegular r:id="rId7" w:fontKey="{88371E5A-9D97-4CBB-8037-3CEDE62E75FC}"/>
  </w:font>
  <w:font w:name="仿宋">
    <w:panose1 w:val="02010609060101010101"/>
    <w:charset w:val="86"/>
    <w:family w:val="modern"/>
    <w:pitch w:val="default"/>
    <w:sig w:usb0="800002BF" w:usb1="38CF7CFA" w:usb2="00000016" w:usb3="00000000" w:csb0="00040001" w:csb1="00000000"/>
    <w:embedRegular r:id="rId8" w:fontKey="{6FA19D56-9196-45CA-8626-BD028801393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7"/>
          <w:jc w:val="center"/>
        </w:pPr>
        <w:r>
          <w:fldChar w:fldCharType="begin"/>
        </w:r>
        <w:r>
          <w:instrText xml:space="preserve">PAGE   \* MERGEFORMAT</w:instrText>
        </w:r>
        <w:r>
          <w:fldChar w:fldCharType="separate"/>
        </w:r>
        <w:r>
          <w:rPr>
            <w:lang w:val="zh-CN"/>
          </w:rPr>
          <w:t>1</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3853AE"/>
    <w:multiLevelType w:val="singleLevel"/>
    <w:tmpl w:val="E83853AE"/>
    <w:lvl w:ilvl="0" w:tentative="0">
      <w:start w:val="2"/>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38F0C646"/>
    <w:multiLevelType w:val="singleLevel"/>
    <w:tmpl w:val="38F0C646"/>
    <w:lvl w:ilvl="0" w:tentative="0">
      <w:start w:val="1"/>
      <w:numFmt w:val="decimal"/>
      <w:suff w:val="nothing"/>
      <w:lvlText w:val="%1、"/>
      <w:lvlJc w:val="left"/>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172A27"/>
    <w:rsid w:val="00095176"/>
    <w:rsid w:val="004712B7"/>
    <w:rsid w:val="00714727"/>
    <w:rsid w:val="00ED711C"/>
    <w:rsid w:val="00FC7F82"/>
    <w:rsid w:val="00FD3DF8"/>
    <w:rsid w:val="024A7E79"/>
    <w:rsid w:val="02A469B5"/>
    <w:rsid w:val="06416570"/>
    <w:rsid w:val="08044CD8"/>
    <w:rsid w:val="08E7715F"/>
    <w:rsid w:val="0A896802"/>
    <w:rsid w:val="0EF12AE6"/>
    <w:rsid w:val="13B90F01"/>
    <w:rsid w:val="17481711"/>
    <w:rsid w:val="1C1D76A9"/>
    <w:rsid w:val="1C284B4C"/>
    <w:rsid w:val="1C671E73"/>
    <w:rsid w:val="1FEF748A"/>
    <w:rsid w:val="20AB365B"/>
    <w:rsid w:val="20D9793D"/>
    <w:rsid w:val="24BE1FAC"/>
    <w:rsid w:val="2967011C"/>
    <w:rsid w:val="2BE84159"/>
    <w:rsid w:val="2F377504"/>
    <w:rsid w:val="362D7FF8"/>
    <w:rsid w:val="37C86300"/>
    <w:rsid w:val="395F2B56"/>
    <w:rsid w:val="3BECE841"/>
    <w:rsid w:val="3E652039"/>
    <w:rsid w:val="3FB9BB5E"/>
    <w:rsid w:val="3FF7797D"/>
    <w:rsid w:val="40521C8B"/>
    <w:rsid w:val="40F015F2"/>
    <w:rsid w:val="42C83582"/>
    <w:rsid w:val="437708B1"/>
    <w:rsid w:val="466510E8"/>
    <w:rsid w:val="4AD11400"/>
    <w:rsid w:val="4F10624B"/>
    <w:rsid w:val="4F337FD5"/>
    <w:rsid w:val="4FA40ED3"/>
    <w:rsid w:val="513A1040"/>
    <w:rsid w:val="51B624E2"/>
    <w:rsid w:val="5B2D71BF"/>
    <w:rsid w:val="5BFF6039"/>
    <w:rsid w:val="5D313471"/>
    <w:rsid w:val="5D76A616"/>
    <w:rsid w:val="5D7F20B9"/>
    <w:rsid w:val="5DAC7D0E"/>
    <w:rsid w:val="5FFE8511"/>
    <w:rsid w:val="5FFEACE2"/>
    <w:rsid w:val="61B27EEA"/>
    <w:rsid w:val="643EE26D"/>
    <w:rsid w:val="6450167E"/>
    <w:rsid w:val="6AC645F4"/>
    <w:rsid w:val="6BAF5FBC"/>
    <w:rsid w:val="6FAF6C78"/>
    <w:rsid w:val="709E4F80"/>
    <w:rsid w:val="724554EC"/>
    <w:rsid w:val="7317C656"/>
    <w:rsid w:val="739D4281"/>
    <w:rsid w:val="77FD8BE9"/>
    <w:rsid w:val="79A9BD3F"/>
    <w:rsid w:val="7BFFFDD0"/>
    <w:rsid w:val="7D7A5F86"/>
    <w:rsid w:val="7D8050DF"/>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19"/>
    <w:qFormat/>
    <w:uiPriority w:val="99"/>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18"/>
    <w:qFormat/>
    <w:uiPriority w:val="0"/>
    <w:pPr>
      <w:tabs>
        <w:tab w:val="center" w:pos="4153"/>
        <w:tab w:val="right" w:pos="8306"/>
      </w:tabs>
      <w:snapToGrid w:val="0"/>
      <w:jc w:val="center"/>
    </w:pPr>
    <w:rPr>
      <w:sz w:val="18"/>
      <w:szCs w:val="18"/>
    </w:rPr>
  </w:style>
  <w:style w:type="paragraph" w:styleId="9">
    <w:name w:val="Body Text First Indent"/>
    <w:basedOn w:val="5"/>
    <w:qFormat/>
    <w:uiPriority w:val="0"/>
    <w:pPr>
      <w:spacing w:after="0"/>
      <w:ind w:firstLine="200" w:firstLineChars="200"/>
    </w:pPr>
  </w:style>
  <w:style w:type="paragraph" w:styleId="10">
    <w:name w:val="Body Text First Indent 2"/>
    <w:basedOn w:val="6"/>
    <w:qFormat/>
    <w:uiPriority w:val="0"/>
    <w:pPr>
      <w:ind w:firstLine="420" w:firstLineChars="200"/>
    </w:pPr>
  </w:style>
  <w:style w:type="character" w:styleId="13">
    <w:name w:val="Strong"/>
    <w:basedOn w:val="12"/>
    <w:qFormat/>
    <w:uiPriority w:val="0"/>
    <w:rPr>
      <w:b/>
      <w:bCs/>
    </w:rPr>
  </w:style>
  <w:style w:type="character" w:styleId="14">
    <w:name w:val="annotation reference"/>
    <w:basedOn w:val="12"/>
    <w:qFormat/>
    <w:uiPriority w:val="99"/>
    <w:rPr>
      <w:sz w:val="21"/>
      <w:szCs w:val="21"/>
    </w:rPr>
  </w:style>
  <w:style w:type="character" w:customStyle="1" w:styleId="15">
    <w:name w:val="fontstyle01"/>
    <w:qFormat/>
    <w:uiPriority w:val="0"/>
    <w:rPr>
      <w:rFonts w:ascii="仿宋_GB2312" w:hAnsi="仿宋_GB2312" w:eastAsia="仿宋_GB2312" w:cs="仿宋_GB2312"/>
      <w:color w:val="000000"/>
      <w:sz w:val="32"/>
      <w:szCs w:val="32"/>
    </w:rPr>
  </w:style>
  <w:style w:type="paragraph" w:customStyle="1" w:styleId="16">
    <w:name w:val="闻政-正文段落文字"/>
    <w:basedOn w:val="1"/>
    <w:qFormat/>
    <w:uiPriority w:val="3"/>
    <w:pPr>
      <w:spacing w:line="500" w:lineRule="exact"/>
      <w:ind w:firstLine="200"/>
    </w:pPr>
    <w:rPr>
      <w:kern w:val="0"/>
      <w:szCs w:val="28"/>
    </w:rPr>
  </w:style>
  <w:style w:type="paragraph" w:customStyle="1" w:styleId="17">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8">
    <w:name w:val="页眉 字符"/>
    <w:basedOn w:val="12"/>
    <w:link w:val="8"/>
    <w:qFormat/>
    <w:uiPriority w:val="0"/>
    <w:rPr>
      <w:rFonts w:ascii="Times New Roman" w:hAnsi="Times New Roman" w:eastAsia="宋体" w:cs="Times New Roman"/>
      <w:kern w:val="2"/>
      <w:sz w:val="18"/>
      <w:szCs w:val="18"/>
    </w:rPr>
  </w:style>
  <w:style w:type="character" w:customStyle="1" w:styleId="19">
    <w:name w:val="批注文字 字符"/>
    <w:basedOn w:val="12"/>
    <w:link w:val="4"/>
    <w:qFormat/>
    <w:uiPriority w:val="99"/>
    <w:rPr>
      <w:rFonts w:ascii="Times New Roman" w:hAnsi="Times New Roman" w:eastAsia="宋体" w:cs="Times New Roman"/>
      <w:kern w:val="2"/>
      <w:sz w:val="21"/>
      <w:szCs w:val="24"/>
    </w:rPr>
  </w:style>
  <w:style w:type="paragraph" w:styleId="20">
    <w:name w:val="List Paragraph"/>
    <w:basedOn w:val="1"/>
    <w:unhideWhenUsed/>
    <w:qFormat/>
    <w:uiPriority w:val="99"/>
    <w:pPr>
      <w:ind w:firstLine="420" w:firstLineChars="200"/>
    </w:pPr>
  </w:style>
  <w:style w:type="character" w:customStyle="1" w:styleId="21">
    <w:name w:val="font31"/>
    <w:basedOn w:val="12"/>
    <w:qFormat/>
    <w:uiPriority w:val="0"/>
    <w:rPr>
      <w:rFonts w:hint="eastAsia" w:ascii="宋体" w:hAnsi="宋体" w:eastAsia="宋体" w:cs="宋体"/>
      <w:color w:val="000000"/>
      <w:sz w:val="18"/>
      <w:szCs w:val="18"/>
      <w:u w:val="none"/>
    </w:rPr>
  </w:style>
  <w:style w:type="character" w:customStyle="1" w:styleId="22">
    <w:name w:val="font61"/>
    <w:basedOn w:val="12"/>
    <w:qFormat/>
    <w:uiPriority w:val="0"/>
    <w:rPr>
      <w:rFonts w:hint="eastAsia" w:ascii="宋体" w:hAnsi="宋体" w:eastAsia="宋体" w:cs="宋体"/>
      <w:color w:val="000000"/>
      <w:sz w:val="16"/>
      <w:szCs w:val="16"/>
      <w:u w:val="none"/>
    </w:rPr>
  </w:style>
  <w:style w:type="character" w:customStyle="1" w:styleId="23">
    <w:name w:val="font51"/>
    <w:basedOn w:val="12"/>
    <w:qFormat/>
    <w:uiPriority w:val="0"/>
    <w:rPr>
      <w:rFonts w:hint="eastAsia" w:ascii="宋体" w:hAnsi="宋体" w:eastAsia="宋体" w:cs="宋体"/>
      <w:color w:val="000000"/>
      <w:sz w:val="18"/>
      <w:szCs w:val="18"/>
      <w:u w:val="none"/>
    </w:rPr>
  </w:style>
  <w:style w:type="character" w:customStyle="1" w:styleId="24">
    <w:name w:val="font41"/>
    <w:basedOn w:val="12"/>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9851</Words>
  <Characters>10438</Characters>
  <Lines>63</Lines>
  <Paragraphs>17</Paragraphs>
  <TotalTime>3</TotalTime>
  <ScaleCrop>false</ScaleCrop>
  <LinksUpToDate>false</LinksUpToDate>
  <CharactersWithSpaces>10543</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2023-03-08T21:13:00Z</dcterms:created>
  <dc:creator>审核人</dc:creator>
  <cp:lastModifiedBy>szyy-cwkyy</cp:lastModifiedBy>
  <dcterms:modified xsi:type="dcterms:W3CDTF">2024-09-02T09:29:47Z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0CA58AF8364FF55815C8066417B177EA</vt:lpwstr>
  </property>
</Properties>
</file>