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E7BC1">
      <w:pPr>
        <w:spacing w:line="540" w:lineRule="exact"/>
        <w:jc w:val="center"/>
        <w:rPr>
          <w:rFonts w:eastAsia="华文中宋"/>
          <w:b/>
          <w:color w:val="auto"/>
          <w:kern w:val="0"/>
          <w:sz w:val="52"/>
          <w:szCs w:val="52"/>
          <w:highlight w:val="none"/>
        </w:rPr>
      </w:pPr>
    </w:p>
    <w:p w14:paraId="7BBE1EFB">
      <w:pPr>
        <w:spacing w:line="540" w:lineRule="exact"/>
        <w:rPr>
          <w:rFonts w:eastAsia="华文中宋"/>
          <w:b/>
          <w:color w:val="auto"/>
          <w:kern w:val="0"/>
          <w:sz w:val="52"/>
          <w:szCs w:val="52"/>
          <w:highlight w:val="none"/>
        </w:rPr>
      </w:pPr>
    </w:p>
    <w:p w14:paraId="6DB5139F">
      <w:pPr>
        <w:spacing w:line="540" w:lineRule="exact"/>
        <w:jc w:val="center"/>
        <w:rPr>
          <w:rFonts w:eastAsia="华文中宋"/>
          <w:b/>
          <w:color w:val="auto"/>
          <w:kern w:val="0"/>
          <w:sz w:val="52"/>
          <w:szCs w:val="52"/>
          <w:highlight w:val="none"/>
        </w:rPr>
      </w:pPr>
    </w:p>
    <w:p w14:paraId="150CA772">
      <w:pPr>
        <w:spacing w:line="540" w:lineRule="exact"/>
        <w:jc w:val="center"/>
        <w:rPr>
          <w:rFonts w:eastAsia="华文中宋"/>
          <w:b/>
          <w:color w:val="auto"/>
          <w:kern w:val="0"/>
          <w:sz w:val="52"/>
          <w:szCs w:val="52"/>
          <w:highlight w:val="none"/>
        </w:rPr>
      </w:pPr>
    </w:p>
    <w:p w14:paraId="4D2D6A5C">
      <w:pPr>
        <w:spacing w:line="540" w:lineRule="exact"/>
        <w:jc w:val="center"/>
        <w:rPr>
          <w:rFonts w:eastAsia="方正小标宋_GBK"/>
          <w:color w:val="auto"/>
          <w:kern w:val="0"/>
          <w:sz w:val="48"/>
          <w:szCs w:val="48"/>
          <w:highlight w:val="none"/>
        </w:rPr>
      </w:pPr>
      <w:r>
        <w:rPr>
          <w:rFonts w:hint="eastAsia" w:eastAsia="方正小标宋_GBK"/>
          <w:color w:val="auto"/>
          <w:kern w:val="0"/>
          <w:sz w:val="48"/>
          <w:szCs w:val="48"/>
          <w:highlight w:val="none"/>
          <w:lang w:eastAsia="zh-CN"/>
        </w:rPr>
        <w:t>医院政府采购</w:t>
      </w:r>
      <w:r>
        <w:rPr>
          <w:rFonts w:eastAsia="方正小标宋_GBK"/>
          <w:color w:val="auto"/>
          <w:kern w:val="0"/>
          <w:sz w:val="48"/>
          <w:szCs w:val="48"/>
          <w:highlight w:val="none"/>
        </w:rPr>
        <w:t>项目绩效评价</w:t>
      </w:r>
    </w:p>
    <w:p w14:paraId="6C68CD99">
      <w:pPr>
        <w:spacing w:line="540" w:lineRule="exact"/>
        <w:jc w:val="center"/>
        <w:rPr>
          <w:rFonts w:eastAsia="方正小标宋_GBK"/>
          <w:color w:val="auto"/>
          <w:kern w:val="0"/>
          <w:sz w:val="48"/>
          <w:szCs w:val="48"/>
          <w:highlight w:val="none"/>
        </w:rPr>
      </w:pPr>
      <w:r>
        <w:rPr>
          <w:rFonts w:eastAsia="方正小标宋_GBK"/>
          <w:color w:val="auto"/>
          <w:kern w:val="0"/>
          <w:sz w:val="48"/>
          <w:szCs w:val="48"/>
          <w:highlight w:val="none"/>
        </w:rPr>
        <w:t>报告</w:t>
      </w:r>
    </w:p>
    <w:p w14:paraId="0A3DF1D4">
      <w:pPr>
        <w:spacing w:line="540" w:lineRule="exact"/>
        <w:jc w:val="center"/>
        <w:rPr>
          <w:rFonts w:eastAsia="华文中宋"/>
          <w:b/>
          <w:color w:val="auto"/>
          <w:kern w:val="0"/>
          <w:sz w:val="52"/>
          <w:szCs w:val="52"/>
          <w:highlight w:val="none"/>
        </w:rPr>
      </w:pPr>
    </w:p>
    <w:p w14:paraId="6DEAC87C">
      <w:pPr>
        <w:spacing w:line="540" w:lineRule="exact"/>
        <w:jc w:val="center"/>
        <w:rPr>
          <w:rFonts w:eastAsia="仿宋_GB2312"/>
          <w:color w:val="auto"/>
          <w:kern w:val="0"/>
          <w:sz w:val="36"/>
          <w:szCs w:val="36"/>
          <w:highlight w:val="none"/>
        </w:rPr>
      </w:pPr>
      <w:r>
        <w:rPr>
          <w:rFonts w:eastAsia="仿宋_GB2312"/>
          <w:color w:val="auto"/>
          <w:kern w:val="0"/>
          <w:sz w:val="36"/>
          <w:szCs w:val="36"/>
          <w:highlight w:val="none"/>
        </w:rPr>
        <w:t>（ 2023年度）</w:t>
      </w:r>
    </w:p>
    <w:p w14:paraId="4B58A810">
      <w:pPr>
        <w:spacing w:line="540" w:lineRule="exact"/>
        <w:jc w:val="center"/>
        <w:rPr>
          <w:rFonts w:eastAsia="仿宋_GB2312"/>
          <w:color w:val="auto"/>
          <w:kern w:val="0"/>
          <w:sz w:val="30"/>
          <w:szCs w:val="30"/>
          <w:highlight w:val="none"/>
        </w:rPr>
      </w:pPr>
    </w:p>
    <w:p w14:paraId="2A863B66">
      <w:pPr>
        <w:spacing w:line="540" w:lineRule="exact"/>
        <w:jc w:val="center"/>
        <w:rPr>
          <w:rFonts w:eastAsia="仿宋_GB2312"/>
          <w:color w:val="auto"/>
          <w:kern w:val="0"/>
          <w:sz w:val="30"/>
          <w:szCs w:val="30"/>
          <w:highlight w:val="none"/>
        </w:rPr>
      </w:pPr>
    </w:p>
    <w:p w14:paraId="1DBED4A8">
      <w:pPr>
        <w:spacing w:line="540" w:lineRule="exact"/>
        <w:jc w:val="center"/>
        <w:rPr>
          <w:rFonts w:eastAsia="仿宋_GB2312"/>
          <w:color w:val="auto"/>
          <w:kern w:val="0"/>
          <w:sz w:val="30"/>
          <w:szCs w:val="30"/>
          <w:highlight w:val="none"/>
        </w:rPr>
      </w:pPr>
    </w:p>
    <w:p w14:paraId="6DD6385E">
      <w:pPr>
        <w:spacing w:line="540" w:lineRule="exact"/>
        <w:jc w:val="center"/>
        <w:rPr>
          <w:rFonts w:eastAsia="仿宋_GB2312"/>
          <w:color w:val="auto"/>
          <w:kern w:val="0"/>
          <w:sz w:val="30"/>
          <w:szCs w:val="30"/>
          <w:highlight w:val="none"/>
        </w:rPr>
      </w:pPr>
    </w:p>
    <w:p w14:paraId="6142F8B6">
      <w:pPr>
        <w:spacing w:line="540" w:lineRule="exact"/>
        <w:rPr>
          <w:rFonts w:eastAsia="仿宋_GB2312"/>
          <w:color w:val="auto"/>
          <w:kern w:val="0"/>
          <w:sz w:val="30"/>
          <w:szCs w:val="30"/>
          <w:highlight w:val="none"/>
        </w:rPr>
      </w:pPr>
    </w:p>
    <w:p w14:paraId="6A841D54">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项目名称：</w:t>
      </w:r>
      <w:r>
        <w:rPr>
          <w:rFonts w:hint="eastAsia" w:eastAsia="仿宋_GB2312"/>
          <w:color w:val="auto"/>
          <w:kern w:val="0"/>
          <w:sz w:val="36"/>
          <w:szCs w:val="36"/>
          <w:highlight w:val="none"/>
          <w:lang w:eastAsia="zh-CN"/>
        </w:rPr>
        <w:t>医院政府采购</w:t>
      </w:r>
    </w:p>
    <w:p w14:paraId="386CEA3D">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实施单位（公章）：</w:t>
      </w:r>
      <w:r>
        <w:rPr>
          <w:rFonts w:hint="eastAsia" w:eastAsia="仿宋_GB2312"/>
          <w:color w:val="auto"/>
          <w:kern w:val="0"/>
          <w:sz w:val="36"/>
          <w:szCs w:val="36"/>
          <w:highlight w:val="none"/>
          <w:lang w:eastAsia="zh-CN"/>
        </w:rPr>
        <w:t>自治区第八人民医院</w:t>
      </w:r>
    </w:p>
    <w:p w14:paraId="273AEC8F">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主管部门（公章）：</w:t>
      </w:r>
      <w:r>
        <w:rPr>
          <w:rFonts w:hint="eastAsia" w:eastAsia="仿宋_GB2312"/>
          <w:color w:val="auto"/>
          <w:kern w:val="0"/>
          <w:sz w:val="36"/>
          <w:szCs w:val="36"/>
          <w:highlight w:val="none"/>
          <w:lang w:eastAsia="zh-CN"/>
        </w:rPr>
        <w:t>自治区卫生健康委员会</w:t>
      </w:r>
    </w:p>
    <w:p w14:paraId="7D58D1B9">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项目负责人（签章）：</w:t>
      </w:r>
      <w:r>
        <w:rPr>
          <w:rFonts w:hint="eastAsia" w:eastAsia="仿宋_GB2312"/>
          <w:color w:val="auto"/>
          <w:kern w:val="0"/>
          <w:sz w:val="36"/>
          <w:szCs w:val="36"/>
          <w:highlight w:val="none"/>
          <w:lang w:eastAsia="zh-CN"/>
        </w:rPr>
        <w:t>牛伟亚</w:t>
      </w:r>
    </w:p>
    <w:p w14:paraId="7D2C5FB5">
      <w:pPr>
        <w:spacing w:line="700" w:lineRule="exact"/>
        <w:ind w:firstLine="1440" w:firstLineChars="400"/>
        <w:jc w:val="left"/>
        <w:rPr>
          <w:rFonts w:eastAsia="仿宋_GB2312"/>
          <w:color w:val="auto"/>
          <w:kern w:val="0"/>
          <w:sz w:val="36"/>
          <w:szCs w:val="36"/>
          <w:highlight w:val="none"/>
        </w:rPr>
      </w:pPr>
      <w:r>
        <w:rPr>
          <w:rFonts w:eastAsia="仿宋_GB2312"/>
          <w:color w:val="auto"/>
          <w:kern w:val="0"/>
          <w:sz w:val="36"/>
          <w:szCs w:val="36"/>
          <w:highlight w:val="none"/>
        </w:rPr>
        <w:t>填报时间：</w:t>
      </w:r>
      <w:r>
        <w:rPr>
          <w:rFonts w:hint="eastAsia" w:eastAsia="仿宋_GB2312"/>
          <w:color w:val="auto"/>
          <w:kern w:val="0"/>
          <w:sz w:val="36"/>
          <w:szCs w:val="36"/>
          <w:highlight w:val="none"/>
          <w:lang w:val="en-US" w:eastAsia="zh-CN"/>
        </w:rPr>
        <w:t>2024</w:t>
      </w:r>
      <w:r>
        <w:rPr>
          <w:rFonts w:eastAsia="仿宋_GB2312"/>
          <w:color w:val="auto"/>
          <w:kern w:val="0"/>
          <w:sz w:val="36"/>
          <w:szCs w:val="36"/>
          <w:highlight w:val="none"/>
        </w:rPr>
        <w:t>年</w:t>
      </w:r>
      <w:r>
        <w:rPr>
          <w:rFonts w:hint="eastAsia" w:eastAsia="仿宋_GB2312"/>
          <w:color w:val="auto"/>
          <w:kern w:val="0"/>
          <w:sz w:val="36"/>
          <w:szCs w:val="36"/>
          <w:highlight w:val="none"/>
          <w:lang w:val="en-US" w:eastAsia="zh-CN"/>
        </w:rPr>
        <w:t>3</w:t>
      </w:r>
      <w:r>
        <w:rPr>
          <w:rFonts w:eastAsia="仿宋_GB2312"/>
          <w:color w:val="auto"/>
          <w:kern w:val="0"/>
          <w:sz w:val="36"/>
          <w:szCs w:val="36"/>
          <w:highlight w:val="none"/>
        </w:rPr>
        <w:t>月</w:t>
      </w:r>
      <w:r>
        <w:rPr>
          <w:rFonts w:hint="eastAsia" w:eastAsia="仿宋_GB2312"/>
          <w:color w:val="auto"/>
          <w:kern w:val="0"/>
          <w:sz w:val="36"/>
          <w:szCs w:val="36"/>
          <w:highlight w:val="none"/>
          <w:lang w:val="en-US" w:eastAsia="zh-CN"/>
        </w:rPr>
        <w:t>8</w:t>
      </w:r>
      <w:r>
        <w:rPr>
          <w:rFonts w:eastAsia="仿宋_GB2312"/>
          <w:color w:val="auto"/>
          <w:kern w:val="0"/>
          <w:sz w:val="36"/>
          <w:szCs w:val="36"/>
          <w:highlight w:val="none"/>
        </w:rPr>
        <w:t>日</w:t>
      </w:r>
    </w:p>
    <w:p w14:paraId="62553B93">
      <w:pPr>
        <w:spacing w:line="540" w:lineRule="exact"/>
        <w:jc w:val="center"/>
        <w:rPr>
          <w:rFonts w:eastAsia="仿宋_GB2312"/>
          <w:color w:val="auto"/>
          <w:kern w:val="0"/>
          <w:sz w:val="30"/>
          <w:szCs w:val="30"/>
          <w:highlight w:val="none"/>
        </w:rPr>
      </w:pPr>
    </w:p>
    <w:p w14:paraId="5BFFE8D7">
      <w:pPr>
        <w:spacing w:line="540" w:lineRule="exact"/>
        <w:rPr>
          <w:rStyle w:val="13"/>
          <w:rFonts w:eastAsia="黑体"/>
          <w:b w:val="0"/>
          <w:color w:val="auto"/>
          <w:spacing w:val="-4"/>
          <w:sz w:val="32"/>
          <w:szCs w:val="32"/>
          <w:highlight w:val="none"/>
        </w:rPr>
      </w:pPr>
    </w:p>
    <w:p w14:paraId="5677B529">
      <w:pPr>
        <w:spacing w:line="540" w:lineRule="exact"/>
        <w:ind w:firstLine="640"/>
        <w:rPr>
          <w:rStyle w:val="13"/>
          <w:rFonts w:eastAsia="黑体"/>
          <w:b w:val="0"/>
          <w:color w:val="auto"/>
          <w:spacing w:val="-4"/>
          <w:sz w:val="32"/>
          <w:szCs w:val="32"/>
          <w:highlight w:val="none"/>
        </w:rPr>
      </w:pPr>
    </w:p>
    <w:p w14:paraId="6642090E">
      <w:pPr>
        <w:spacing w:line="540" w:lineRule="exact"/>
        <w:rPr>
          <w:rStyle w:val="13"/>
          <w:rFonts w:eastAsia="黑体"/>
          <w:b w:val="0"/>
          <w:color w:val="auto"/>
          <w:spacing w:val="-4"/>
          <w:sz w:val="32"/>
          <w:szCs w:val="32"/>
          <w:highlight w:val="none"/>
        </w:rPr>
      </w:pPr>
    </w:p>
    <w:p w14:paraId="7C0E001E">
      <w:pPr>
        <w:spacing w:line="600" w:lineRule="exact"/>
        <w:jc w:val="center"/>
        <w:rPr>
          <w:rFonts w:eastAsia="黑体"/>
          <w:bCs/>
          <w:color w:val="auto"/>
          <w:sz w:val="32"/>
          <w:szCs w:val="32"/>
          <w:highlight w:val="none"/>
        </w:rPr>
      </w:pPr>
    </w:p>
    <w:p w14:paraId="511F259B">
      <w:pPr>
        <w:spacing w:line="600" w:lineRule="exact"/>
        <w:rPr>
          <w:rFonts w:eastAsia="黑体"/>
          <w:bCs/>
          <w:color w:val="auto"/>
          <w:sz w:val="32"/>
          <w:szCs w:val="32"/>
          <w:highlight w:val="none"/>
        </w:rPr>
      </w:pPr>
    </w:p>
    <w:p w14:paraId="27DEFA06">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一、基本情况</w:t>
      </w:r>
    </w:p>
    <w:p w14:paraId="7F2F1D6C">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（一）项目概况</w:t>
      </w:r>
    </w:p>
    <w:p w14:paraId="06C84F65">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1、项目背景</w:t>
      </w:r>
    </w:p>
    <w:p w14:paraId="468048FD">
      <w:pPr>
        <w:spacing w:line="560" w:lineRule="exact"/>
        <w:ind w:firstLine="640" w:firstLineChars="200"/>
        <w:rPr>
          <w:rStyle w:val="13"/>
          <w:rFonts w:eastAsia="黑体"/>
          <w:bCs w:val="0"/>
          <w:color w:val="auto"/>
          <w:spacing w:val="-4"/>
          <w:sz w:val="32"/>
          <w:szCs w:val="32"/>
          <w:highlight w:val="none"/>
        </w:rPr>
      </w:pPr>
      <w:r>
        <w:rPr>
          <w:rFonts w:hint="eastAsia" w:ascii="仿宋_GB2312" w:hAnsi="仿宋_GB2312" w:eastAsia="仿宋_GB2312" w:cs="仿宋_GB2312"/>
          <w:b w:val="0"/>
          <w:bCs/>
          <w:color w:val="auto"/>
          <w:kern w:val="2"/>
          <w:sz w:val="32"/>
          <w:szCs w:val="32"/>
          <w:highlight w:val="none"/>
          <w:lang w:val="en-US" w:eastAsia="zh-CN" w:bidi="ar-SA"/>
        </w:rPr>
        <w:t>根据新编委[2018]18号文件将新疆石油管理局明园职工医院并入自治区计划生育科学技术研究所整合更名为“新疆维吾尔自治区生殖健康医院（自治区计划生育科学技术研究所）”，经新党编委[2019]34号文件，加挂“自治区第八人民医院”，我单位为公益二类事业单位。主要承担全区妇幼健康和常见病防治服务；开展生殖健康、优生优育和出生缺陷综合防治等技术服务；开展区域规划服务、科研培训、信息管理、技术推广及对下级妇幼保健服务机构的指导、培训、监督评价工作。在严格遵守《预算法</w:t>
      </w:r>
      <w:r>
        <w:rPr>
          <w:rFonts w:hint="eastAsia" w:ascii="仿宋_GB2312" w:hAnsi="仿宋_GB2312" w:cs="仿宋_GB2312"/>
          <w:b w:val="0"/>
          <w:bCs/>
          <w:color w:val="auto"/>
          <w:kern w:val="2"/>
          <w:sz w:val="32"/>
          <w:szCs w:val="32"/>
          <w:highlight w:val="none"/>
          <w:lang w:val="en-US" w:eastAsia="zh-CN" w:bidi="ar-SA"/>
        </w:rPr>
        <w:t>》《</w:t>
      </w:r>
      <w:r>
        <w:rPr>
          <w:rFonts w:hint="eastAsia" w:ascii="仿宋_GB2312" w:hAnsi="仿宋_GB2312" w:eastAsia="仿宋_GB2312" w:cs="仿宋_GB2312"/>
          <w:bCs/>
          <w:color w:val="auto"/>
          <w:sz w:val="32"/>
          <w:szCs w:val="32"/>
          <w:highlight w:val="none"/>
          <w:lang w:val="en-US" w:eastAsia="zh-CN"/>
        </w:rPr>
        <w:t>政府采购法</w:t>
      </w:r>
      <w:r>
        <w:rPr>
          <w:rFonts w:hint="eastAsia" w:ascii="仿宋_GB2312" w:hAnsi="仿宋_GB2312" w:cs="仿宋_GB2312"/>
          <w:bCs/>
          <w:color w:val="auto"/>
          <w:sz w:val="32"/>
          <w:szCs w:val="32"/>
          <w:highlight w:val="none"/>
          <w:lang w:val="en-US" w:eastAsia="zh-CN"/>
        </w:rPr>
        <w:t>》《</w:t>
      </w:r>
      <w:r>
        <w:rPr>
          <w:rFonts w:hint="eastAsia" w:ascii="仿宋_GB2312" w:hAnsi="仿宋_GB2312" w:eastAsia="仿宋_GB2312" w:cs="仿宋_GB2312"/>
          <w:bCs/>
          <w:color w:val="auto"/>
          <w:sz w:val="32"/>
          <w:szCs w:val="32"/>
          <w:highlight w:val="none"/>
          <w:lang w:val="en-US" w:eastAsia="zh-CN"/>
        </w:rPr>
        <w:t>自治区政府集中采购目录及标准》</w:t>
      </w:r>
      <w:r>
        <w:rPr>
          <w:rFonts w:hint="eastAsia" w:ascii="仿宋_GB2312" w:hAnsi="仿宋_GB2312" w:eastAsia="仿宋_GB2312" w:cs="仿宋_GB2312"/>
          <w:b w:val="0"/>
          <w:bCs/>
          <w:color w:val="auto"/>
          <w:kern w:val="2"/>
          <w:sz w:val="32"/>
          <w:szCs w:val="32"/>
          <w:highlight w:val="none"/>
          <w:lang w:val="en-US" w:eastAsia="zh-CN" w:bidi="ar-SA"/>
        </w:rPr>
        <w:t>等法律法规和政策文件的基础上，科学编制2023年度政府采购项目预算并获得财政批复，严格按照经批复的预算开展预算执行工作，对医院各项业务正常运行和患者诊疗救治起到良好支撑作用。</w:t>
      </w:r>
    </w:p>
    <w:p w14:paraId="7B39FB19">
      <w:pPr>
        <w:pStyle w:val="2"/>
        <w:numPr>
          <w:ilvl w:val="0"/>
          <w:numId w:val="1"/>
        </w:numPr>
        <w:spacing w:before="0" w:after="0" w:line="560" w:lineRule="exact"/>
        <w:ind w:firstLine="643" w:firstLineChars="200"/>
        <w:jc w:val="both"/>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14:paraId="43F80A86">
      <w:pPr>
        <w:spacing w:line="560" w:lineRule="exact"/>
        <w:ind w:firstLine="600" w:firstLineChars="200"/>
        <w:rPr>
          <w:rFonts w:hint="eastAsia" w:eastAsia="仿宋_GB2312"/>
          <w:color w:val="auto"/>
          <w:highlight w:val="none"/>
          <w:lang w:eastAsia="zh-CN"/>
        </w:rPr>
      </w:pPr>
      <w:r>
        <w:rPr>
          <w:rFonts w:hint="eastAsia" w:ascii="仿宋_GB2312" w:hAnsi="仿宋_GB2312" w:eastAsia="仿宋_GB2312" w:cs="仿宋_GB2312"/>
          <w:sz w:val="30"/>
          <w:szCs w:val="30"/>
          <w:highlight w:val="none"/>
          <w:lang w:val="en-US" w:eastAsia="zh-CN"/>
        </w:rPr>
        <w:t>项目主要内容：</w:t>
      </w:r>
      <w:r>
        <w:rPr>
          <w:rFonts w:hint="eastAsia" w:ascii="Times New Roman" w:hAnsi="Times New Roman" w:eastAsia="仿宋_GB2312" w:cs="Times New Roman"/>
          <w:color w:val="auto"/>
          <w:sz w:val="32"/>
          <w:szCs w:val="32"/>
          <w:highlight w:val="none"/>
        </w:rPr>
        <w:t>通过医疗设备、网络设备、医院基础建设等设施设备的新增和更新换代，更大程度</w:t>
      </w:r>
      <w:r>
        <w:rPr>
          <w:rFonts w:hint="eastAsia" w:cs="Times New Roman"/>
          <w:color w:val="auto"/>
          <w:sz w:val="32"/>
          <w:szCs w:val="32"/>
          <w:highlight w:val="none"/>
          <w:lang w:eastAsia="zh-CN"/>
        </w:rPr>
        <w:t>地</w:t>
      </w:r>
      <w:r>
        <w:rPr>
          <w:rFonts w:hint="eastAsia" w:ascii="Times New Roman" w:hAnsi="Times New Roman" w:eastAsia="仿宋_GB2312" w:cs="Times New Roman"/>
          <w:color w:val="auto"/>
          <w:sz w:val="32"/>
          <w:szCs w:val="32"/>
          <w:highlight w:val="none"/>
        </w:rPr>
        <w:t>满足患者的医疗服务需求，使诊疗速度更快，服务效率更高，患者就医更加方便、舒适。</w:t>
      </w:r>
    </w:p>
    <w:p w14:paraId="734D0755">
      <w:pPr>
        <w:spacing w:line="560" w:lineRule="exact"/>
        <w:ind w:firstLine="640" w:firstLineChars="200"/>
        <w:rPr>
          <w:color w:val="auto"/>
          <w:highlight w:val="none"/>
        </w:rPr>
      </w:pPr>
      <w:r>
        <w:rPr>
          <w:rFonts w:eastAsia="仿宋_GB2312"/>
          <w:color w:val="auto"/>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066976B5">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14:paraId="43F4558E">
      <w:pPr>
        <w:spacing w:line="560" w:lineRule="exact"/>
        <w:ind w:firstLine="640" w:firstLineChars="200"/>
        <w:rPr>
          <w:rFonts w:eastAsia="仿宋_GB2312"/>
          <w:color w:val="auto"/>
          <w:sz w:val="20"/>
          <w:szCs w:val="20"/>
          <w:highlight w:val="none"/>
        </w:rPr>
      </w:pPr>
      <w:r>
        <w:rPr>
          <w:rFonts w:eastAsia="仿宋_GB2312"/>
          <w:color w:val="auto"/>
          <w:sz w:val="32"/>
          <w:szCs w:val="32"/>
          <w:highlight w:val="none"/>
        </w:rPr>
        <w:t>（1）资金安排</w:t>
      </w:r>
    </w:p>
    <w:p w14:paraId="6EA65022">
      <w:pPr>
        <w:bidi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highlight w:val="none"/>
          <w:lang w:val="en-US" w:eastAsia="zh-CN"/>
        </w:rPr>
        <w:t>该项目年初预算数</w:t>
      </w:r>
      <w:r>
        <w:rPr>
          <w:rFonts w:hint="default" w:ascii="Times New Roman" w:hAnsi="Times New Roman" w:eastAsia="仿宋_GB2312" w:cs="Times New Roman"/>
          <w:color w:val="000000"/>
          <w:sz w:val="32"/>
          <w:szCs w:val="32"/>
          <w:highlight w:val="none"/>
          <w:lang w:val="en-US" w:eastAsia="zh-CN" w:bidi="ar"/>
        </w:rPr>
        <w:t>7079.66</w:t>
      </w:r>
      <w:r>
        <w:rPr>
          <w:rFonts w:hint="default" w:ascii="Times New Roman" w:hAnsi="Times New Roman" w:eastAsia="仿宋_GB2312" w:cs="Times New Roman"/>
          <w:sz w:val="32"/>
          <w:szCs w:val="32"/>
          <w:highlight w:val="none"/>
          <w:lang w:val="en-US" w:eastAsia="zh-CN"/>
        </w:rPr>
        <w:t>万元，全年预算数</w:t>
      </w:r>
      <w:r>
        <w:rPr>
          <w:rFonts w:hint="default" w:ascii="Times New Roman" w:hAnsi="Times New Roman" w:eastAsia="仿宋_GB2312" w:cs="Times New Roman"/>
          <w:color w:val="000000"/>
          <w:sz w:val="32"/>
          <w:szCs w:val="32"/>
          <w:highlight w:val="none"/>
          <w:lang w:val="en-US" w:eastAsia="zh-CN" w:bidi="ar"/>
        </w:rPr>
        <w:t>7079.66</w:t>
      </w:r>
      <w:r>
        <w:rPr>
          <w:rFonts w:hint="default" w:ascii="Times New Roman" w:hAnsi="Times New Roman" w:eastAsia="仿宋_GB2312" w:cs="Times New Roman"/>
          <w:sz w:val="32"/>
          <w:szCs w:val="32"/>
          <w:highlight w:val="none"/>
          <w:lang w:val="en-US" w:eastAsia="zh-CN"/>
        </w:rPr>
        <w:t>万元，实际总投入</w:t>
      </w:r>
      <w:r>
        <w:rPr>
          <w:rFonts w:hint="default" w:ascii="Times New Roman" w:hAnsi="Times New Roman" w:eastAsia="仿宋_GB2312" w:cs="Times New Roman"/>
          <w:color w:val="auto"/>
          <w:sz w:val="32"/>
          <w:szCs w:val="32"/>
          <w:highlight w:val="none"/>
          <w:lang w:val="en-US" w:eastAsia="zh-CN"/>
        </w:rPr>
        <w:t>6925.2</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default" w:ascii="Times New Roman" w:hAnsi="Times New Roman" w:eastAsia="仿宋_GB2312" w:cs="Times New Roman"/>
          <w:b w:val="0"/>
          <w:bCs w:val="0"/>
          <w:color w:val="auto"/>
          <w:kern w:val="2"/>
          <w:highlight w:val="none"/>
          <w:lang w:eastAsia="zh-CN"/>
        </w:rPr>
        <w:t>财政拨款及事业收入</w:t>
      </w:r>
      <w:r>
        <w:rPr>
          <w:rFonts w:hint="default" w:ascii="Times New Roman" w:hAnsi="Times New Roman" w:eastAsia="仿宋_GB2312" w:cs="Times New Roman"/>
          <w:sz w:val="32"/>
          <w:szCs w:val="32"/>
          <w:highlight w:val="none"/>
          <w:lang w:val="en-US" w:eastAsia="zh-CN"/>
        </w:rPr>
        <w:t>。</w:t>
      </w:r>
    </w:p>
    <w:p w14:paraId="39C40149">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（2）预算资金来源及使用情况</w:t>
      </w:r>
      <w:bookmarkStart w:id="0" w:name="page10"/>
      <w:bookmarkEnd w:id="0"/>
    </w:p>
    <w:p w14:paraId="38151707">
      <w:pPr>
        <w:pStyle w:val="2"/>
        <w:spacing w:before="0" w:after="0" w:line="560" w:lineRule="exact"/>
        <w:ind w:firstLine="640" w:firstLineChars="200"/>
        <w:jc w:val="both"/>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highlight w:val="none"/>
          <w:lang w:val="en-US" w:eastAsia="zh-CN"/>
        </w:rPr>
        <w:t>该项目年初预算数</w:t>
      </w:r>
      <w:r>
        <w:rPr>
          <w:rFonts w:hint="default" w:ascii="Times New Roman" w:hAnsi="Times New Roman" w:eastAsia="仿宋_GB2312" w:cs="Times New Roman"/>
          <w:b w:val="0"/>
          <w:bCs w:val="0"/>
          <w:color w:val="000000"/>
          <w:sz w:val="32"/>
          <w:szCs w:val="32"/>
          <w:highlight w:val="none"/>
          <w:lang w:val="en-US" w:eastAsia="zh-CN" w:bidi="ar"/>
        </w:rPr>
        <w:t>7079.66</w:t>
      </w:r>
      <w:r>
        <w:rPr>
          <w:rFonts w:hint="default" w:ascii="Times New Roman" w:hAnsi="Times New Roman" w:eastAsia="仿宋_GB2312" w:cs="Times New Roman"/>
          <w:b w:val="0"/>
          <w:bCs w:val="0"/>
          <w:highlight w:val="none"/>
          <w:lang w:val="en-US" w:eastAsia="zh-CN"/>
        </w:rPr>
        <w:t>万元，全年预算数</w:t>
      </w:r>
      <w:r>
        <w:rPr>
          <w:rFonts w:hint="default" w:ascii="Times New Roman" w:hAnsi="Times New Roman" w:eastAsia="仿宋_GB2312" w:cs="Times New Roman"/>
          <w:b w:val="0"/>
          <w:bCs w:val="0"/>
          <w:color w:val="000000"/>
          <w:sz w:val="32"/>
          <w:szCs w:val="32"/>
          <w:highlight w:val="none"/>
          <w:lang w:val="en-US" w:eastAsia="zh-CN" w:bidi="ar"/>
        </w:rPr>
        <w:t>7079.66</w:t>
      </w:r>
      <w:r>
        <w:rPr>
          <w:rFonts w:hint="default" w:ascii="Times New Roman" w:hAnsi="Times New Roman" w:eastAsia="仿宋_GB2312" w:cs="Times New Roman"/>
          <w:b w:val="0"/>
          <w:bCs w:val="0"/>
          <w:highlight w:val="none"/>
          <w:lang w:val="en-US" w:eastAsia="zh-CN"/>
        </w:rPr>
        <w:t>万元，全年执行数</w:t>
      </w:r>
      <w:r>
        <w:rPr>
          <w:rFonts w:hint="default" w:ascii="Times New Roman" w:hAnsi="Times New Roman" w:eastAsia="仿宋_GB2312" w:cs="Times New Roman"/>
          <w:b w:val="0"/>
          <w:bCs w:val="0"/>
          <w:color w:val="auto"/>
          <w:sz w:val="32"/>
          <w:szCs w:val="32"/>
          <w:highlight w:val="none"/>
          <w:lang w:val="en-US" w:eastAsia="zh-CN"/>
        </w:rPr>
        <w:t>6925.2</w:t>
      </w:r>
      <w:r>
        <w:rPr>
          <w:rFonts w:hint="default" w:ascii="Times New Roman" w:hAnsi="Times New Roman" w:eastAsia="仿宋_GB2312" w:cs="Times New Roman"/>
          <w:b w:val="0"/>
          <w:bCs w:val="0"/>
          <w:highlight w:val="none"/>
          <w:lang w:val="en-US" w:eastAsia="zh-CN"/>
        </w:rPr>
        <w:t>万元，预算执行率为</w:t>
      </w:r>
      <w:r>
        <w:rPr>
          <w:rFonts w:hint="eastAsia" w:ascii="Times New Roman" w:hAnsi="Times New Roman" w:eastAsia="仿宋_GB2312" w:cs="Times New Roman"/>
          <w:b w:val="0"/>
          <w:bCs w:val="0"/>
          <w:highlight w:val="none"/>
          <w:lang w:val="en-US" w:eastAsia="zh-CN"/>
        </w:rPr>
        <w:t>97.82</w:t>
      </w:r>
      <w:r>
        <w:rPr>
          <w:rFonts w:hint="default" w:ascii="Times New Roman" w:hAnsi="Times New Roman" w:eastAsia="仿宋_GB2312" w:cs="Times New Roman"/>
          <w:b w:val="0"/>
          <w:bCs w:val="0"/>
          <w:highlight w:val="none"/>
          <w:lang w:val="en-US" w:eastAsia="zh-CN"/>
        </w:rPr>
        <w:t>%</w:t>
      </w:r>
      <w:r>
        <w:rPr>
          <w:rFonts w:hint="eastAsia"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lang w:val="en-US" w:eastAsia="zh-CN"/>
        </w:rPr>
        <w:t>主要用于：</w:t>
      </w:r>
      <w:r>
        <w:rPr>
          <w:rFonts w:hint="default" w:ascii="Times New Roman" w:hAnsi="Times New Roman" w:eastAsia="仿宋_GB2312" w:cs="Times New Roman"/>
          <w:b w:val="0"/>
          <w:bCs w:val="0"/>
          <w:color w:val="auto"/>
          <w:kern w:val="2"/>
          <w:highlight w:val="none"/>
        </w:rPr>
        <w:t>支付项目实施进程中的各项费用。</w:t>
      </w:r>
    </w:p>
    <w:p w14:paraId="33E2DF19">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（二）项目绩效目标</w:t>
      </w:r>
    </w:p>
    <w:p w14:paraId="76D42BDE">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1、总体目标</w:t>
      </w:r>
    </w:p>
    <w:p w14:paraId="5770ADC2">
      <w:pPr>
        <w:spacing w:line="560" w:lineRule="exact"/>
        <w:ind w:firstLine="640" w:firstLineChars="200"/>
        <w:rPr>
          <w:rFonts w:hint="eastAsia" w:eastAsia="仿宋_GB2312"/>
          <w:color w:val="auto"/>
          <w:highlight w:val="none"/>
          <w:lang w:val="en-US" w:eastAsia="zh-CN"/>
        </w:rPr>
      </w:pPr>
      <w:r>
        <w:rPr>
          <w:rFonts w:hint="eastAsia" w:ascii="Times New Roman" w:hAnsi="Times New Roman" w:eastAsia="仿宋_GB2312" w:cs="Times New Roman"/>
          <w:color w:val="auto"/>
          <w:sz w:val="32"/>
          <w:szCs w:val="32"/>
          <w:highlight w:val="none"/>
        </w:rPr>
        <w:t>通过医疗设备、网络设备、医院基础建设等设施设备的新增和更新换代，更大程度</w:t>
      </w:r>
      <w:r>
        <w:rPr>
          <w:rFonts w:hint="eastAsia" w:cs="Times New Roman"/>
          <w:color w:val="auto"/>
          <w:sz w:val="32"/>
          <w:szCs w:val="32"/>
          <w:highlight w:val="none"/>
          <w:lang w:eastAsia="zh-CN"/>
        </w:rPr>
        <w:t>地</w:t>
      </w:r>
      <w:r>
        <w:rPr>
          <w:rFonts w:hint="eastAsia" w:ascii="Times New Roman" w:hAnsi="Times New Roman" w:eastAsia="仿宋_GB2312" w:cs="Times New Roman"/>
          <w:color w:val="auto"/>
          <w:sz w:val="32"/>
          <w:szCs w:val="32"/>
          <w:highlight w:val="none"/>
        </w:rPr>
        <w:t>满足患者的医疗服务需求，使诊疗速度更快，服务效率更高，患者就医更加方便、舒适。</w:t>
      </w:r>
    </w:p>
    <w:p w14:paraId="07DC1B90">
      <w:pPr>
        <w:spacing w:line="560" w:lineRule="exact"/>
        <w:ind w:firstLine="640" w:firstLineChars="200"/>
        <w:rPr>
          <w:color w:val="auto"/>
          <w:highlight w:val="none"/>
        </w:rPr>
      </w:pPr>
      <w:r>
        <w:rPr>
          <w:rFonts w:eastAsia="仿宋_GB2312"/>
          <w:color w:val="auto"/>
          <w:sz w:val="32"/>
          <w:szCs w:val="32"/>
          <w:highlight w:val="none"/>
        </w:rPr>
        <w:t>2、阶段性目标</w:t>
      </w:r>
    </w:p>
    <w:p w14:paraId="6213B867">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（1）前期准备：通过制定项目实施方案，经项目负责人审核通过后，有序开展后续工作。</w:t>
      </w:r>
    </w:p>
    <w:p w14:paraId="153B6AC7">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（2）组织实施：资金一到位，立即根据项目要求实施项目。项目责任人按照项目实施方案要求逐一进行项目部署安排，提高项目质量及</w:t>
      </w:r>
      <w:r>
        <w:rPr>
          <w:rFonts w:hint="eastAsia"/>
          <w:color w:val="auto"/>
          <w:sz w:val="32"/>
          <w:szCs w:val="32"/>
          <w:highlight w:val="none"/>
          <w:lang w:eastAsia="zh-CN"/>
        </w:rPr>
        <w:t>效率</w:t>
      </w:r>
      <w:r>
        <w:rPr>
          <w:rFonts w:eastAsia="仿宋_GB2312"/>
          <w:color w:val="auto"/>
          <w:sz w:val="32"/>
          <w:szCs w:val="32"/>
          <w:highlight w:val="none"/>
        </w:rPr>
        <w:t>。</w:t>
      </w:r>
    </w:p>
    <w:p w14:paraId="4CDE2EF4">
      <w:pPr>
        <w:spacing w:line="560" w:lineRule="exact"/>
        <w:ind w:firstLine="640" w:firstLineChars="200"/>
        <w:rPr>
          <w:rFonts w:eastAsia="黑体"/>
          <w:color w:val="auto"/>
          <w:sz w:val="32"/>
          <w:szCs w:val="32"/>
          <w:highlight w:val="none"/>
        </w:rPr>
      </w:pPr>
      <w:r>
        <w:rPr>
          <w:rFonts w:eastAsia="黑体"/>
          <w:color w:val="auto"/>
          <w:sz w:val="32"/>
          <w:szCs w:val="32"/>
          <w:highlight w:val="none"/>
        </w:rPr>
        <w:t>二、绩效评价工作开展情况</w:t>
      </w:r>
    </w:p>
    <w:p w14:paraId="2BE33ED2">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（一）绩效评价目的、对象和范围</w:t>
      </w:r>
    </w:p>
    <w:p w14:paraId="060F6FD1">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1、绩效评价的目的</w:t>
      </w:r>
    </w:p>
    <w:p w14:paraId="2C5C4BC9">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BEB8211">
      <w:pPr>
        <w:numPr>
          <w:ilvl w:val="0"/>
          <w:numId w:val="2"/>
        </w:num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项目在实施前向项目负责人提供财政支出绩效方面的资金管理信息，促进项目支出严格按照资金管理规定进行。</w:t>
      </w:r>
    </w:p>
    <w:p w14:paraId="700F3696">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（2）项目绩效管</w:t>
      </w:r>
      <w:r>
        <w:rPr>
          <w:rFonts w:hint="eastAsia"/>
          <w:color w:val="auto"/>
          <w:sz w:val="32"/>
          <w:szCs w:val="32"/>
          <w:highlight w:val="none"/>
          <w:lang w:eastAsia="zh-CN"/>
        </w:rPr>
        <w:t>理为</w:t>
      </w:r>
      <w:r>
        <w:rPr>
          <w:rFonts w:eastAsia="仿宋_GB2312"/>
          <w:color w:val="auto"/>
          <w:sz w:val="32"/>
          <w:szCs w:val="32"/>
          <w:highlight w:val="none"/>
        </w:rPr>
        <w:t>财政支出运行提供及时、有效的信息。</w:t>
      </w:r>
    </w:p>
    <w:p w14:paraId="5400B169">
      <w:pPr>
        <w:pStyle w:val="16"/>
        <w:spacing w:line="560" w:lineRule="exact"/>
        <w:ind w:firstLine="640" w:firstLineChars="200"/>
        <w:rPr>
          <w:rFonts w:eastAsia="仿宋_GB2312"/>
          <w:color w:val="auto"/>
          <w:kern w:val="2"/>
          <w:sz w:val="32"/>
          <w:szCs w:val="32"/>
          <w:highlight w:val="none"/>
        </w:rPr>
      </w:pPr>
      <w:r>
        <w:rPr>
          <w:rFonts w:eastAsia="仿宋_GB2312"/>
          <w:color w:val="auto"/>
          <w:sz w:val="32"/>
          <w:szCs w:val="32"/>
          <w:highlight w:val="none"/>
        </w:rPr>
        <w:t>综合来看，通过开展有效的财政支出绩效评价管理，</w:t>
      </w:r>
      <w:r>
        <w:rPr>
          <w:rFonts w:hint="eastAsia" w:eastAsia="仿宋_GB2312"/>
          <w:color w:val="auto"/>
          <w:kern w:val="2"/>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w:t>
      </w:r>
      <w:r>
        <w:rPr>
          <w:rFonts w:eastAsia="仿宋_GB2312"/>
          <w:color w:val="auto"/>
          <w:kern w:val="2"/>
          <w:sz w:val="32"/>
          <w:szCs w:val="32"/>
          <w:highlight w:val="none"/>
        </w:rPr>
        <w:t>改进预算管理、控制节约成本，</w:t>
      </w:r>
      <w:r>
        <w:rPr>
          <w:rFonts w:hint="eastAsia" w:eastAsia="仿宋_GB2312"/>
          <w:color w:val="auto"/>
          <w:kern w:val="2"/>
          <w:sz w:val="32"/>
          <w:szCs w:val="32"/>
          <w:highlight w:val="none"/>
        </w:rPr>
        <w:t>优化资源配置、</w:t>
      </w:r>
      <w:r>
        <w:rPr>
          <w:rFonts w:eastAsia="仿宋_GB2312"/>
          <w:color w:val="auto"/>
          <w:kern w:val="2"/>
          <w:sz w:val="32"/>
          <w:szCs w:val="32"/>
          <w:highlight w:val="none"/>
        </w:rPr>
        <w:t>提高预算资金使用效益的目的。</w:t>
      </w:r>
    </w:p>
    <w:p w14:paraId="4B4E32B1">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2、绩效评价的对象</w:t>
      </w:r>
    </w:p>
    <w:p w14:paraId="312F1529">
      <w:pPr>
        <w:spacing w:line="560" w:lineRule="exact"/>
        <w:ind w:firstLine="640" w:firstLineChars="200"/>
        <w:rPr>
          <w:rFonts w:ascii="仿宋_GB2312" w:hAnsi="仿宋_GB2312" w:eastAsia="仿宋_GB2312" w:cs="仿宋_GB2312"/>
          <w:color w:val="auto"/>
          <w:sz w:val="32"/>
          <w:szCs w:val="32"/>
          <w:highlight w:val="none"/>
        </w:rPr>
      </w:pPr>
      <w:r>
        <w:rPr>
          <w:rFonts w:hint="eastAsia" w:eastAsia="仿宋_GB2312"/>
          <w:color w:val="auto"/>
          <w:sz w:val="32"/>
          <w:szCs w:val="32"/>
          <w:highlight w:val="none"/>
          <w:lang w:val="en-US" w:eastAsia="zh-CN"/>
        </w:rPr>
        <w:t>2023年医院政府采购</w:t>
      </w:r>
      <w:r>
        <w:rPr>
          <w:rFonts w:hint="eastAsia" w:eastAsia="仿宋_GB2312"/>
          <w:color w:val="auto"/>
          <w:sz w:val="32"/>
          <w:szCs w:val="32"/>
          <w:highlight w:val="none"/>
          <w:lang w:eastAsia="zh-Hans"/>
        </w:rPr>
        <w:t>项目</w:t>
      </w:r>
      <w:r>
        <w:rPr>
          <w:rFonts w:hint="eastAsia" w:ascii="仿宋_GB2312" w:hAnsi="仿宋_GB2312" w:eastAsia="仿宋_GB2312" w:cs="仿宋_GB2312"/>
          <w:color w:val="auto"/>
          <w:sz w:val="32"/>
          <w:szCs w:val="32"/>
          <w:highlight w:val="none"/>
        </w:rPr>
        <w:t>所包含的全部项目内容。</w:t>
      </w:r>
    </w:p>
    <w:p w14:paraId="0A895676">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14:paraId="6D234ED1">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本次评价从项目决策（包括</w:t>
      </w:r>
      <w:r>
        <w:rPr>
          <w:rFonts w:hint="eastAsia" w:ascii="仿宋_GB2312" w:hAnsi="仿宋_GB2312" w:eastAsia="仿宋_GB2312" w:cs="仿宋_GB2312"/>
          <w:sz w:val="32"/>
          <w:szCs w:val="32"/>
          <w:highlight w:val="none"/>
          <w:lang w:val="en-US" w:eastAsia="zh-CN"/>
        </w:rPr>
        <w:t>项目立项、</w:t>
      </w:r>
      <w:r>
        <w:rPr>
          <w:rFonts w:hint="eastAsia" w:ascii="仿宋_GB2312" w:hAnsi="仿宋_GB2312" w:eastAsia="仿宋_GB2312" w:cs="仿宋_GB2312"/>
          <w:sz w:val="32"/>
          <w:szCs w:val="32"/>
          <w:highlight w:val="none"/>
        </w:rPr>
        <w:t>绩效目标、</w:t>
      </w:r>
      <w:r>
        <w:rPr>
          <w:rFonts w:hint="eastAsia" w:ascii="仿宋_GB2312" w:hAnsi="仿宋_GB2312" w:eastAsia="仿宋_GB2312" w:cs="仿宋_GB2312"/>
          <w:sz w:val="32"/>
          <w:szCs w:val="32"/>
          <w:highlight w:val="none"/>
          <w:lang w:val="en-US" w:eastAsia="zh-CN"/>
        </w:rPr>
        <w:t>资金投入</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过程</w:t>
      </w:r>
      <w:r>
        <w:rPr>
          <w:rFonts w:hint="eastAsia" w:ascii="仿宋_GB2312" w:hAnsi="仿宋_GB2312" w:eastAsia="仿宋_GB2312" w:cs="仿宋_GB2312"/>
          <w:sz w:val="32"/>
          <w:szCs w:val="32"/>
          <w:highlight w:val="none"/>
        </w:rPr>
        <w:t>（包括资金</w:t>
      </w:r>
      <w:r>
        <w:rPr>
          <w:rFonts w:hint="eastAsia" w:ascii="仿宋_GB2312" w:hAnsi="仿宋_GB2312" w:eastAsia="仿宋_GB2312" w:cs="仿宋_GB2312"/>
          <w:sz w:val="32"/>
          <w:szCs w:val="32"/>
          <w:highlight w:val="none"/>
          <w:lang w:val="en-US" w:eastAsia="zh-CN"/>
        </w:rPr>
        <w:t>管理</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组织</w:t>
      </w:r>
      <w:r>
        <w:rPr>
          <w:rFonts w:hint="eastAsia" w:ascii="仿宋_GB2312" w:hAnsi="仿宋_GB2312" w:eastAsia="仿宋_GB2312" w:cs="仿宋_GB2312"/>
          <w:sz w:val="32"/>
          <w:szCs w:val="32"/>
          <w:highlight w:val="none"/>
        </w:rPr>
        <w:t>实施）、项目产出（包括项目产出数量、产出质量、产出时效和产出成本）</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项目效益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实施效益、满意度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四个维度对</w:t>
      </w:r>
      <w:r>
        <w:rPr>
          <w:rFonts w:hint="eastAsia" w:eastAsia="仿宋_GB2312"/>
          <w:color w:val="auto"/>
          <w:sz w:val="32"/>
          <w:szCs w:val="32"/>
          <w:highlight w:val="none"/>
          <w:lang w:val="en-US" w:eastAsia="zh-CN"/>
        </w:rPr>
        <w:t>2023年医院政府采购</w:t>
      </w:r>
      <w:r>
        <w:rPr>
          <w:rFonts w:hint="eastAsia" w:eastAsia="仿宋_GB2312"/>
          <w:color w:val="auto"/>
          <w:sz w:val="32"/>
          <w:szCs w:val="32"/>
          <w:highlight w:val="none"/>
          <w:lang w:eastAsia="zh-Hans"/>
        </w:rPr>
        <w:t>项目</w:t>
      </w:r>
      <w:r>
        <w:rPr>
          <w:rFonts w:hint="eastAsia" w:ascii="仿宋_GB2312" w:hAnsi="仿宋_GB2312" w:eastAsia="仿宋_GB2312" w:cs="仿宋_GB2312"/>
          <w:sz w:val="32"/>
          <w:szCs w:val="32"/>
          <w:highlight w:val="none"/>
        </w:rPr>
        <w:t>进行评价，评价核心为</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资金的支出完成情况和效果。</w:t>
      </w:r>
    </w:p>
    <w:p w14:paraId="6E7E82E8">
      <w:pPr>
        <w:spacing w:line="560" w:lineRule="exact"/>
        <w:ind w:firstLine="643" w:firstLineChars="200"/>
        <w:rPr>
          <w:color w:val="auto"/>
          <w:highlight w:val="none"/>
        </w:rPr>
      </w:pPr>
      <w:r>
        <w:rPr>
          <w:rFonts w:eastAsia="楷体_GB2312"/>
          <w:b/>
          <w:bCs/>
          <w:color w:val="auto"/>
          <w:sz w:val="32"/>
          <w:szCs w:val="32"/>
          <w:highlight w:val="none"/>
        </w:rPr>
        <w:t>（二）绩效评价原则、评价指标体系（详情见表1）、评价方法、评价标准。</w:t>
      </w:r>
    </w:p>
    <w:p w14:paraId="6A80AB6F">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14:paraId="49DD42A1">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本次项目绩效评价遵循以下基本原则：</w:t>
      </w:r>
    </w:p>
    <w:p w14:paraId="787807F3">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w:t>
      </w:r>
      <w:r>
        <w:rPr>
          <w:rFonts w:hint="eastAsia" w:ascii="Times New Roman" w:hAnsi="Times New Roman" w:eastAsia="仿宋_GB2312"/>
          <w:b w:val="0"/>
          <w:bCs w:val="0"/>
          <w:color w:val="auto"/>
          <w:highlight w:val="none"/>
          <w:lang w:eastAsia="zh-CN"/>
        </w:rPr>
        <w:t>的</w:t>
      </w:r>
      <w:r>
        <w:rPr>
          <w:rFonts w:ascii="Times New Roman" w:hAnsi="Times New Roman" w:eastAsia="仿宋_GB2312"/>
          <w:b w:val="0"/>
          <w:bCs w:val="0"/>
          <w:color w:val="auto"/>
          <w:highlight w:val="none"/>
        </w:rPr>
        <w:t>反映。</w:t>
      </w:r>
    </w:p>
    <w:p w14:paraId="01B89C34">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44786243">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14:paraId="60B65DB8">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14:paraId="218B4F1C">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14:paraId="0F81E737">
      <w:pPr>
        <w:spacing w:line="560" w:lineRule="exact"/>
        <w:ind w:firstLine="708" w:firstLineChars="200"/>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5F49E922">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（1）确定评价指标</w:t>
      </w:r>
    </w:p>
    <w:p w14:paraId="630BA67E">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69C4E2A7">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（2）确定权重</w:t>
      </w:r>
    </w:p>
    <w:p w14:paraId="18C0776E">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4C5870D9">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14:paraId="36978389">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4A0F8869">
      <w:pPr>
        <w:pStyle w:val="2"/>
        <w:spacing w:before="0" w:after="0" w:line="560" w:lineRule="exact"/>
        <w:ind w:firstLine="708" w:firstLineChars="200"/>
        <w:jc w:val="both"/>
        <w:rPr>
          <w:rFonts w:ascii="Times New Roman" w:hAnsi="Times New Roman" w:eastAsia="仿宋_GB2312"/>
          <w:b w:val="0"/>
          <w:bCs w:val="0"/>
          <w:color w:val="auto"/>
          <w:spacing w:val="17"/>
          <w:kern w:val="2"/>
          <w:highlight w:val="none"/>
        </w:rPr>
      </w:pPr>
      <w:r>
        <w:rPr>
          <w:rFonts w:ascii="Times New Roman" w:hAnsi="Times New Roman" w:eastAsia="仿宋_GB2312"/>
          <w:b w:val="0"/>
          <w:bCs w:val="0"/>
          <w:color w:val="auto"/>
          <w:spacing w:val="17"/>
          <w:kern w:val="2"/>
          <w:highlight w:val="none"/>
        </w:rPr>
        <w:t>绩效评价总分值100分，根据综合评分结果，评价计分90分</w:t>
      </w:r>
      <w:r>
        <w:rPr>
          <w:rFonts w:hint="eastAsia" w:ascii="Times New Roman" w:hAnsi="Times New Roman" w:eastAsia="仿宋_GB2312"/>
          <w:b w:val="0"/>
          <w:bCs w:val="0"/>
          <w:color w:val="auto"/>
          <w:spacing w:val="17"/>
          <w:kern w:val="2"/>
          <w:highlight w:val="none"/>
          <w:lang w:eastAsia="zh-CN"/>
        </w:rPr>
        <w:t>—</w:t>
      </w:r>
      <w:r>
        <w:rPr>
          <w:rFonts w:ascii="Times New Roman" w:hAnsi="Times New Roman" w:eastAsia="仿宋_GB2312"/>
          <w:b w:val="0"/>
          <w:bCs w:val="0"/>
          <w:color w:val="auto"/>
          <w:spacing w:val="17"/>
          <w:kern w:val="2"/>
          <w:highlight w:val="none"/>
        </w:rPr>
        <w:t>100分（含90分）对应的评分结果级别为优，80</w:t>
      </w:r>
      <w:r>
        <w:rPr>
          <w:rFonts w:hint="eastAsia" w:ascii="Times New Roman" w:hAnsi="Times New Roman" w:eastAsia="仿宋_GB2312"/>
          <w:b w:val="0"/>
          <w:bCs w:val="0"/>
          <w:color w:val="auto"/>
          <w:spacing w:val="17"/>
          <w:kern w:val="2"/>
          <w:highlight w:val="none"/>
          <w:lang w:eastAsia="zh-CN"/>
        </w:rPr>
        <w:t>—</w:t>
      </w:r>
      <w:r>
        <w:rPr>
          <w:rFonts w:ascii="Times New Roman" w:hAnsi="Times New Roman" w:eastAsia="仿宋_GB2312"/>
          <w:b w:val="0"/>
          <w:bCs w:val="0"/>
          <w:color w:val="auto"/>
          <w:spacing w:val="17"/>
          <w:kern w:val="2"/>
          <w:highlight w:val="none"/>
        </w:rPr>
        <w:t>90分（含80分）对应的评分结果级别为良，60</w:t>
      </w:r>
      <w:r>
        <w:rPr>
          <w:rFonts w:hint="eastAsia" w:ascii="Times New Roman" w:hAnsi="Times New Roman" w:eastAsia="仿宋_GB2312"/>
          <w:b w:val="0"/>
          <w:bCs w:val="0"/>
          <w:color w:val="auto"/>
          <w:spacing w:val="17"/>
          <w:kern w:val="2"/>
          <w:highlight w:val="none"/>
          <w:lang w:eastAsia="zh-CN"/>
        </w:rPr>
        <w:t>—</w:t>
      </w:r>
      <w:r>
        <w:rPr>
          <w:rFonts w:ascii="Times New Roman" w:hAnsi="Times New Roman" w:eastAsia="仿宋_GB2312"/>
          <w:b w:val="0"/>
          <w:bCs w:val="0"/>
          <w:color w:val="auto"/>
          <w:spacing w:val="17"/>
          <w:kern w:val="2"/>
          <w:highlight w:val="none"/>
        </w:rPr>
        <w:t>80分（含60分）对应的评分结果级别为中，60分以下对应的评分结果级别为差。</w:t>
      </w:r>
    </w:p>
    <w:p w14:paraId="2BD7340C">
      <w:pPr>
        <w:pStyle w:val="2"/>
        <w:widowControl w:val="0"/>
        <w:spacing w:before="0" w:after="0" w:line="560" w:lineRule="exact"/>
        <w:ind w:firstLine="708" w:firstLineChars="200"/>
        <w:jc w:val="both"/>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14:paraId="6DEC615A">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14:paraId="39CC7D7E">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647EBF38">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05937856">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14:paraId="5551AAB0">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14:paraId="4768FE56">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14:paraId="506EFAAC">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14:paraId="2D877DF5">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14:paraId="45DC6E23">
      <w:pPr>
        <w:spacing w:line="560" w:lineRule="exact"/>
        <w:ind w:firstLine="708" w:firstLineChars="200"/>
        <w:rPr>
          <w:rFonts w:ascii="Times New Roman" w:hAnsi="Times New Roman" w:eastAsia="仿宋_GB2312" w:cs="Times New Roman"/>
          <w:color w:val="auto"/>
          <w:spacing w:val="17"/>
          <w:sz w:val="32"/>
          <w:szCs w:val="32"/>
          <w:highlight w:val="none"/>
        </w:rPr>
      </w:pPr>
      <w:r>
        <w:rPr>
          <w:rFonts w:hint="eastAsia" w:ascii="Times New Roman" w:hAnsi="Times New Roman" w:eastAsia="仿宋_GB2312" w:cs="Times New Roman"/>
          <w:color w:val="auto"/>
          <w:spacing w:val="17"/>
          <w:sz w:val="32"/>
          <w:szCs w:val="32"/>
          <w:highlight w:val="none"/>
        </w:rPr>
        <w:t>绩效评价标准通常包括计划标准、行业标准、历史标准等，用于对绩效指标完成情况进行比较、分析、评价。本次</w:t>
      </w:r>
      <w:r>
        <w:rPr>
          <w:rFonts w:hint="eastAsia" w:eastAsia="仿宋_GB2312" w:cs="Times New Roman"/>
          <w:color w:val="auto"/>
          <w:spacing w:val="17"/>
          <w:sz w:val="32"/>
          <w:szCs w:val="32"/>
          <w:highlight w:val="none"/>
          <w:lang w:eastAsia="zh-CN"/>
        </w:rPr>
        <w:t>包括</w:t>
      </w:r>
      <w:r>
        <w:rPr>
          <w:rFonts w:hint="eastAsia" w:ascii="Times New Roman" w:hAnsi="Times New Roman" w:eastAsia="仿宋_GB2312" w:cs="Times New Roman"/>
          <w:color w:val="auto"/>
          <w:spacing w:val="17"/>
          <w:sz w:val="32"/>
          <w:szCs w:val="32"/>
          <w:highlight w:val="none"/>
          <w:lang w:eastAsia="zh-CN"/>
        </w:rPr>
        <w:t>计划标准、行业标准和历史标准</w:t>
      </w:r>
      <w:r>
        <w:rPr>
          <w:rFonts w:hint="eastAsia" w:ascii="Times New Roman" w:hAnsi="Times New Roman" w:eastAsia="仿宋_GB2312" w:cs="Times New Roman"/>
          <w:color w:val="auto"/>
          <w:spacing w:val="17"/>
          <w:sz w:val="32"/>
          <w:szCs w:val="32"/>
          <w:highlight w:val="none"/>
        </w:rPr>
        <w:t>。</w:t>
      </w:r>
    </w:p>
    <w:p w14:paraId="08F45587">
      <w:pPr>
        <w:spacing w:line="560" w:lineRule="exact"/>
        <w:ind w:firstLine="711" w:firstLineChars="200"/>
        <w:rPr>
          <w:rFonts w:ascii="Times New Roman" w:hAnsi="Times New Roman" w:eastAsia="仿宋_GB2312" w:cs="Times New Roman"/>
          <w:color w:val="auto"/>
          <w:spacing w:val="17"/>
          <w:sz w:val="32"/>
          <w:szCs w:val="32"/>
          <w:highlight w:val="none"/>
        </w:rPr>
      </w:pPr>
      <w:bookmarkStart w:id="1" w:name="_Toc31464"/>
      <w:bookmarkStart w:id="2" w:name="_Toc17882"/>
      <w:r>
        <w:rPr>
          <w:rFonts w:hint="eastAsia" w:ascii="Times New Roman" w:hAnsi="Times New Roman" w:eastAsia="仿宋_GB2312" w:cs="Times New Roman"/>
          <w:b/>
          <w:bCs/>
          <w:color w:val="auto"/>
          <w:spacing w:val="17"/>
          <w:sz w:val="32"/>
          <w:szCs w:val="32"/>
          <w:highlight w:val="none"/>
        </w:rPr>
        <w:t>计划标准</w:t>
      </w:r>
      <w:r>
        <w:rPr>
          <w:rFonts w:hint="eastAsia" w:ascii="Times New Roman" w:hAnsi="Times New Roman" w:eastAsia="仿宋_GB2312" w:cs="Times New Roman"/>
          <w:color w:val="auto"/>
          <w:spacing w:val="17"/>
          <w:sz w:val="32"/>
          <w:szCs w:val="32"/>
          <w:highlight w:val="none"/>
        </w:rPr>
        <w:t>：指以预先制定的目标、计划、预算、定额等作为评价标准。</w:t>
      </w:r>
      <w:bookmarkEnd w:id="1"/>
      <w:bookmarkEnd w:id="2"/>
    </w:p>
    <w:p w14:paraId="52C7AA31">
      <w:pPr>
        <w:spacing w:line="560" w:lineRule="exact"/>
        <w:ind w:firstLine="711" w:firstLineChars="200"/>
        <w:rPr>
          <w:rFonts w:ascii="Times New Roman" w:hAnsi="Times New Roman" w:eastAsia="仿宋_GB2312" w:cs="Times New Roman"/>
          <w:color w:val="auto"/>
          <w:spacing w:val="17"/>
          <w:sz w:val="32"/>
          <w:szCs w:val="32"/>
          <w:highlight w:val="none"/>
        </w:rPr>
      </w:pPr>
      <w:bookmarkStart w:id="3" w:name="_Toc5633"/>
      <w:bookmarkStart w:id="4" w:name="_Toc2318"/>
      <w:r>
        <w:rPr>
          <w:rFonts w:hint="eastAsia" w:ascii="Times New Roman" w:hAnsi="Times New Roman" w:eastAsia="仿宋_GB2312" w:cs="Times New Roman"/>
          <w:b/>
          <w:bCs/>
          <w:color w:val="auto"/>
          <w:spacing w:val="17"/>
          <w:sz w:val="32"/>
          <w:szCs w:val="32"/>
          <w:highlight w:val="none"/>
        </w:rPr>
        <w:t>行业标准</w:t>
      </w:r>
      <w:r>
        <w:rPr>
          <w:rFonts w:hint="eastAsia" w:ascii="Times New Roman" w:hAnsi="Times New Roman" w:eastAsia="仿宋_GB2312" w:cs="Times New Roman"/>
          <w:color w:val="auto"/>
          <w:spacing w:val="17"/>
          <w:sz w:val="32"/>
          <w:szCs w:val="32"/>
          <w:highlight w:val="none"/>
        </w:rPr>
        <w:t>：指参照国家公布的行业指标数据制定的评价标准。</w:t>
      </w:r>
      <w:bookmarkEnd w:id="3"/>
      <w:bookmarkEnd w:id="4"/>
    </w:p>
    <w:p w14:paraId="4E4A4848">
      <w:pPr>
        <w:spacing w:line="560" w:lineRule="exact"/>
        <w:ind w:firstLine="711" w:firstLineChars="200"/>
        <w:rPr>
          <w:rFonts w:eastAsia="方正仿宋_GBK" w:cs="方正仿宋_GBK"/>
          <w:color w:val="auto"/>
          <w:sz w:val="32"/>
          <w:szCs w:val="32"/>
          <w:highlight w:val="none"/>
        </w:rPr>
      </w:pPr>
      <w:bookmarkStart w:id="5" w:name="_Toc16028"/>
      <w:bookmarkStart w:id="6" w:name="_Toc430"/>
      <w:r>
        <w:rPr>
          <w:rFonts w:hint="eastAsia" w:ascii="Times New Roman" w:hAnsi="Times New Roman" w:eastAsia="仿宋_GB2312" w:cs="Times New Roman"/>
          <w:b/>
          <w:bCs/>
          <w:color w:val="auto"/>
          <w:spacing w:val="17"/>
          <w:sz w:val="32"/>
          <w:szCs w:val="32"/>
          <w:highlight w:val="none"/>
        </w:rPr>
        <w:t>历史标准</w:t>
      </w:r>
      <w:r>
        <w:rPr>
          <w:rFonts w:hint="eastAsia" w:ascii="Times New Roman" w:hAnsi="Times New Roman" w:eastAsia="仿宋_GB2312" w:cs="Times New Roman"/>
          <w:color w:val="auto"/>
          <w:spacing w:val="17"/>
          <w:sz w:val="32"/>
          <w:szCs w:val="32"/>
          <w:highlight w:val="none"/>
        </w:rPr>
        <w:t>：指参照历史数据制定的评价标准，为体现绩效改进的原则，在可实现的条件下应当确定相对较高的评价标准。</w:t>
      </w:r>
      <w:bookmarkEnd w:id="5"/>
      <w:bookmarkEnd w:id="6"/>
    </w:p>
    <w:p w14:paraId="2B0C5907">
      <w:pPr>
        <w:pStyle w:val="2"/>
        <w:numPr>
          <w:ilvl w:val="0"/>
          <w:numId w:val="3"/>
        </w:numPr>
        <w:spacing w:before="0" w:after="0" w:line="56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14:paraId="2AE6D402">
      <w:pPr>
        <w:numPr>
          <w:ilvl w:val="0"/>
          <w:numId w:val="4"/>
        </w:numPr>
        <w:spacing w:line="56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2AFE6CB9">
      <w:pPr>
        <w:numPr>
          <w:ilvl w:val="0"/>
          <w:numId w:val="4"/>
        </w:numPr>
        <w:spacing w:line="56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05A6E28D">
      <w:pPr>
        <w:numPr>
          <w:ilvl w:val="0"/>
          <w:numId w:val="4"/>
        </w:numPr>
        <w:spacing w:line="560" w:lineRule="exact"/>
        <w:ind w:firstLine="640" w:firstLineChars="200"/>
        <w:rPr>
          <w:color w:val="auto"/>
          <w:sz w:val="32"/>
          <w:szCs w:val="32"/>
          <w:highlight w:val="none"/>
        </w:rPr>
      </w:pPr>
      <w:r>
        <w:rPr>
          <w:rFonts w:hint="eastAsia"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64CABBDB">
      <w:pPr>
        <w:numPr>
          <w:ilvl w:val="0"/>
          <w:numId w:val="5"/>
        </w:numPr>
        <w:spacing w:line="560" w:lineRule="exact"/>
        <w:ind w:firstLine="640" w:firstLineChars="200"/>
        <w:rPr>
          <w:color w:val="auto"/>
          <w:highlight w:val="none"/>
        </w:rPr>
      </w:pPr>
      <w:r>
        <w:rPr>
          <w:rFonts w:eastAsia="黑体"/>
          <w:color w:val="auto"/>
          <w:sz w:val="32"/>
          <w:szCs w:val="32"/>
          <w:highlight w:val="none"/>
        </w:rPr>
        <w:t>综合评价情况及评价结论（附相关评分表）</w:t>
      </w:r>
    </w:p>
    <w:p w14:paraId="73B2E550">
      <w:pPr>
        <w:numPr>
          <w:ilvl w:val="0"/>
          <w:numId w:val="0"/>
        </w:numPr>
        <w:spacing w:line="560" w:lineRule="exact"/>
        <w:ind w:firstLine="640" w:firstLineChars="200"/>
        <w:rPr>
          <w:color w:val="auto"/>
          <w:highlight w:val="none"/>
        </w:rPr>
      </w:pPr>
      <w:r>
        <w:rPr>
          <w:rFonts w:ascii="Times New Roman" w:hAnsi="Times New Roman" w:eastAsia="仿宋_GB2312"/>
          <w:b w:val="0"/>
          <w:bCs w:val="0"/>
          <w:color w:val="auto"/>
          <w:highlight w:val="none"/>
        </w:rPr>
        <w:t>对</w:t>
      </w:r>
      <w:r>
        <w:rPr>
          <w:rFonts w:hint="eastAsia" w:ascii="Times New Roman" w:hAnsi="Times New Roman" w:eastAsia="仿宋_GB2312"/>
          <w:b w:val="0"/>
          <w:bCs w:val="0"/>
          <w:color w:val="auto"/>
          <w:highlight w:val="none"/>
          <w:lang w:val="en-US" w:eastAsia="zh-CN"/>
        </w:rPr>
        <w:t>2023年医院政府采购</w:t>
      </w:r>
      <w:r>
        <w:rPr>
          <w:rFonts w:ascii="Times New Roman" w:hAnsi="Times New Roman" w:eastAsia="仿宋_GB2312"/>
          <w:b w:val="0"/>
          <w:bCs w:val="0"/>
          <w:color w:val="auto"/>
          <w:highlight w:val="none"/>
        </w:rPr>
        <w:t>项目进行客观评价，最终评分结果：总得分为</w:t>
      </w:r>
      <w:r>
        <w:rPr>
          <w:rFonts w:hint="eastAsia" w:ascii="Times New Roman" w:hAnsi="Times New Roman" w:eastAsia="仿宋_GB2312"/>
          <w:b w:val="0"/>
          <w:bCs w:val="0"/>
          <w:color w:val="auto"/>
          <w:highlight w:val="none"/>
          <w:lang w:val="en-US" w:eastAsia="zh-CN"/>
        </w:rPr>
        <w:t>9</w:t>
      </w:r>
      <w:r>
        <w:rPr>
          <w:rFonts w:hint="default" w:ascii="Times New Roman" w:hAnsi="Times New Roman" w:eastAsia="仿宋_GB2312"/>
          <w:b w:val="0"/>
          <w:bCs w:val="0"/>
          <w:color w:val="auto"/>
          <w:highlight w:val="none"/>
          <w:lang w:val="en-US" w:eastAsia="zh-CN"/>
        </w:rPr>
        <w:t>5</w:t>
      </w:r>
      <w:r>
        <w:rPr>
          <w:rFonts w:hint="eastAsia" w:ascii="Times New Roman" w:hAnsi="Times New Roman" w:eastAsia="仿宋_GB2312"/>
          <w:b w:val="0"/>
          <w:bCs w:val="0"/>
          <w:color w:val="auto"/>
          <w:highlight w:val="none"/>
          <w:lang w:val="en-US" w:eastAsia="zh-CN"/>
        </w:rPr>
        <w:t>.</w:t>
      </w:r>
      <w:r>
        <w:rPr>
          <w:rFonts w:hint="default" w:ascii="Times New Roman" w:hAnsi="Times New Roman" w:eastAsia="仿宋_GB2312"/>
          <w:b w:val="0"/>
          <w:bCs w:val="0"/>
          <w:color w:val="auto"/>
          <w:highlight w:val="none"/>
          <w:lang w:val="en-US" w:eastAsia="zh-CN"/>
        </w:rPr>
        <w:t>9</w:t>
      </w:r>
      <w:r>
        <w:rPr>
          <w:rFonts w:hint="eastAsia" w:ascii="Times New Roman" w:hAnsi="Times New Roman" w:eastAsia="仿宋_GB2312"/>
          <w:b w:val="0"/>
          <w:bCs w:val="0"/>
          <w:color w:val="auto"/>
          <w:highlight w:val="none"/>
          <w:lang w:val="en-US" w:eastAsia="zh-CN"/>
        </w:rPr>
        <w:t>8</w:t>
      </w:r>
      <w:r>
        <w:rPr>
          <w:rFonts w:ascii="Times New Roman" w:hAnsi="Times New Roman" w:eastAsia="仿宋_GB2312"/>
          <w:b w:val="0"/>
          <w:bCs w:val="0"/>
          <w:color w:val="auto"/>
          <w:highlight w:val="none"/>
        </w:rPr>
        <w:t>分，属于“优”。其中，项目决策类指标权重为20分，得分为</w:t>
      </w:r>
      <w:r>
        <w:rPr>
          <w:rFonts w:hint="eastAsia" w:ascii="Times New Roman" w:hAnsi="Times New Roman" w:eastAsia="仿宋_GB2312"/>
          <w:b w:val="0"/>
          <w:bCs w:val="0"/>
          <w:color w:val="auto"/>
          <w:highlight w:val="none"/>
          <w:lang w:val="en-US" w:eastAsia="zh-CN"/>
        </w:rPr>
        <w:t>20</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ascii="Times New Roman" w:hAnsi="Times New Roman" w:eastAsia="仿宋_GB2312"/>
          <w:b w:val="0"/>
          <w:bCs w:val="0"/>
          <w:color w:val="auto"/>
          <w:highlight w:val="none"/>
        </w:rPr>
        <w:t>%。项目过程类指标权重为20分，得分为</w:t>
      </w:r>
      <w:r>
        <w:rPr>
          <w:rFonts w:hint="eastAsia" w:ascii="Times New Roman" w:hAnsi="Times New Roman" w:eastAsia="仿宋_GB2312"/>
          <w:b w:val="0"/>
          <w:bCs w:val="0"/>
          <w:color w:val="auto"/>
          <w:highlight w:val="none"/>
          <w:lang w:val="en-US" w:eastAsia="zh-CN"/>
        </w:rPr>
        <w:t>19.91</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99.55</w:t>
      </w:r>
      <w:r>
        <w:rPr>
          <w:rFonts w:ascii="Times New Roman" w:hAnsi="Times New Roman" w:eastAsia="仿宋_GB2312"/>
          <w:b w:val="0"/>
          <w:bCs w:val="0"/>
          <w:color w:val="auto"/>
          <w:highlight w:val="none"/>
        </w:rPr>
        <w:t>%。项目产出类指标权重为40分，得分为</w:t>
      </w:r>
      <w:r>
        <w:rPr>
          <w:rFonts w:hint="default" w:ascii="Times New Roman" w:hAnsi="Times New Roman" w:eastAsia="仿宋_GB2312"/>
          <w:b w:val="0"/>
          <w:bCs w:val="0"/>
          <w:color w:val="auto"/>
          <w:highlight w:val="none"/>
          <w:lang w:val="en-US" w:eastAsia="zh-CN"/>
        </w:rPr>
        <w:t>36.6</w:t>
      </w:r>
      <w:r>
        <w:rPr>
          <w:rFonts w:ascii="Times New Roman" w:hAnsi="Times New Roman" w:eastAsia="仿宋_GB2312"/>
          <w:b w:val="0"/>
          <w:bCs w:val="0"/>
          <w:color w:val="auto"/>
          <w:highlight w:val="none"/>
        </w:rPr>
        <w:t>分，得分率为</w:t>
      </w:r>
      <w:r>
        <w:rPr>
          <w:rFonts w:hint="default" w:ascii="Times New Roman" w:hAnsi="Times New Roman" w:eastAsia="仿宋_GB2312"/>
          <w:b w:val="0"/>
          <w:bCs w:val="0"/>
          <w:color w:val="auto"/>
          <w:highlight w:val="none"/>
          <w:lang w:val="en-US"/>
        </w:rPr>
        <w:t>91.5</w:t>
      </w:r>
      <w:r>
        <w:rPr>
          <w:rFonts w:ascii="Times New Roman" w:hAnsi="Times New Roman" w:eastAsia="仿宋_GB2312"/>
          <w:b w:val="0"/>
          <w:bCs w:val="0"/>
          <w:color w:val="auto"/>
          <w:highlight w:val="none"/>
        </w:rPr>
        <w:t>%。项目效益类指标权重为20分，得分为</w:t>
      </w:r>
      <w:r>
        <w:rPr>
          <w:rFonts w:hint="eastAsia" w:ascii="Times New Roman" w:hAnsi="Times New Roman" w:eastAsia="仿宋_GB2312"/>
          <w:b w:val="0"/>
          <w:bCs w:val="0"/>
          <w:color w:val="auto"/>
          <w:highlight w:val="none"/>
          <w:lang w:val="en-US" w:eastAsia="zh-CN"/>
        </w:rPr>
        <w:t>19.47</w:t>
      </w:r>
      <w:r>
        <w:rPr>
          <w:rFonts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97.35</w:t>
      </w:r>
      <w:r>
        <w:rPr>
          <w:rFonts w:ascii="Times New Roman" w:hAnsi="Times New Roman" w:eastAsia="仿宋_GB2312"/>
          <w:b w:val="0"/>
          <w:bCs w:val="0"/>
          <w:color w:val="auto"/>
          <w:highlight w:val="none"/>
        </w:rPr>
        <w:t>%。</w:t>
      </w:r>
      <w:r>
        <w:rPr>
          <w:rFonts w:ascii="Times New Roman" w:hAnsi="Times New Roman" w:eastAsia="仿宋_GB2312"/>
          <w:color w:val="auto"/>
          <w:sz w:val="30"/>
          <w:szCs w:val="30"/>
          <w:highlight w:val="none"/>
        </w:rPr>
        <w:t>表1综合评分表</w:t>
      </w:r>
    </w:p>
    <w:tbl>
      <w:tblPr>
        <w:tblStyle w:val="11"/>
        <w:tblW w:w="4997" w:type="pct"/>
        <w:tblInd w:w="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57"/>
        <w:gridCol w:w="527"/>
        <w:gridCol w:w="893"/>
        <w:gridCol w:w="1267"/>
        <w:gridCol w:w="1076"/>
        <w:gridCol w:w="741"/>
        <w:gridCol w:w="895"/>
        <w:gridCol w:w="1371"/>
        <w:gridCol w:w="1132"/>
      </w:tblGrid>
      <w:tr w14:paraId="7FC393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36" w:hRule="atLeast"/>
          <w:tblHeader/>
        </w:trPr>
        <w:tc>
          <w:tcPr>
            <w:tcW w:w="489" w:type="pct"/>
            <w:shd w:val="clear" w:color="auto" w:fill="BFBFBF"/>
            <w:vAlign w:val="center"/>
          </w:tcPr>
          <w:p w14:paraId="561AB609">
            <w:pPr>
              <w:keepNext w:val="0"/>
              <w:keepLines w:val="0"/>
              <w:widowControl/>
              <w:suppressLineNumbers w:val="0"/>
              <w:spacing w:before="0" w:beforeAutospacing="0" w:after="0" w:afterAutospacing="0" w:line="0" w:lineRule="atLeast"/>
              <w:ind w:left="0" w:leftChars="0" w:right="0" w:firstLine="0" w:firstLineChars="0"/>
              <w:jc w:val="both"/>
              <w:rPr>
                <w:rFonts w:hint="default"/>
                <w:b/>
                <w:bCs/>
                <w:color w:val="auto"/>
                <w:kern w:val="0"/>
                <w:sz w:val="22"/>
                <w:szCs w:val="22"/>
                <w:highlight w:val="none"/>
              </w:rPr>
            </w:pPr>
            <w:r>
              <w:rPr>
                <w:rFonts w:hint="default"/>
                <w:b/>
                <w:bCs/>
                <w:color w:val="auto"/>
                <w:kern w:val="0"/>
                <w:sz w:val="22"/>
                <w:szCs w:val="22"/>
                <w:highlight w:val="none"/>
              </w:rPr>
              <w:t>一级指标</w:t>
            </w:r>
          </w:p>
        </w:tc>
        <w:tc>
          <w:tcPr>
            <w:tcW w:w="301" w:type="pct"/>
            <w:shd w:val="clear" w:color="auto" w:fill="BFBFBF"/>
            <w:vAlign w:val="center"/>
          </w:tcPr>
          <w:p w14:paraId="01941288">
            <w:pPr>
              <w:keepNext w:val="0"/>
              <w:keepLines w:val="0"/>
              <w:widowControl/>
              <w:suppressLineNumbers w:val="0"/>
              <w:spacing w:before="0" w:beforeAutospacing="0" w:after="0" w:afterAutospacing="0" w:line="0" w:lineRule="atLeast"/>
              <w:ind w:left="0" w:leftChars="0" w:right="0" w:firstLine="0" w:firstLineChars="0"/>
              <w:jc w:val="both"/>
              <w:rPr>
                <w:rFonts w:hint="default"/>
                <w:b/>
                <w:bCs/>
                <w:color w:val="auto"/>
                <w:kern w:val="0"/>
                <w:sz w:val="22"/>
                <w:szCs w:val="22"/>
                <w:highlight w:val="none"/>
              </w:rPr>
            </w:pPr>
            <w:r>
              <w:rPr>
                <w:rFonts w:hint="default"/>
                <w:b/>
                <w:bCs/>
                <w:color w:val="auto"/>
                <w:kern w:val="0"/>
                <w:sz w:val="22"/>
                <w:szCs w:val="22"/>
                <w:highlight w:val="none"/>
              </w:rPr>
              <w:t>分值</w:t>
            </w:r>
          </w:p>
        </w:tc>
        <w:tc>
          <w:tcPr>
            <w:tcW w:w="510" w:type="pct"/>
            <w:shd w:val="clear" w:color="auto" w:fill="BFBFBF"/>
            <w:vAlign w:val="center"/>
          </w:tcPr>
          <w:p w14:paraId="0E70C36F">
            <w:pPr>
              <w:keepNext w:val="0"/>
              <w:keepLines w:val="0"/>
              <w:widowControl/>
              <w:suppressLineNumbers w:val="0"/>
              <w:spacing w:before="0" w:beforeAutospacing="0" w:after="0" w:afterAutospacing="0" w:line="0" w:lineRule="atLeast"/>
              <w:ind w:left="0" w:leftChars="0" w:right="0" w:firstLine="0" w:firstLineChars="0"/>
              <w:jc w:val="both"/>
              <w:rPr>
                <w:rFonts w:hint="default"/>
                <w:b/>
                <w:bCs/>
                <w:color w:val="auto"/>
                <w:kern w:val="0"/>
                <w:sz w:val="22"/>
                <w:szCs w:val="22"/>
                <w:highlight w:val="none"/>
              </w:rPr>
            </w:pPr>
            <w:r>
              <w:rPr>
                <w:rFonts w:hint="default"/>
                <w:b/>
                <w:bCs/>
                <w:color w:val="auto"/>
                <w:kern w:val="0"/>
                <w:sz w:val="22"/>
                <w:szCs w:val="22"/>
                <w:highlight w:val="none"/>
              </w:rPr>
              <w:t>二级指标</w:t>
            </w:r>
          </w:p>
        </w:tc>
        <w:tc>
          <w:tcPr>
            <w:tcW w:w="723" w:type="pct"/>
            <w:shd w:val="clear" w:color="auto" w:fill="BFBFBF"/>
            <w:vAlign w:val="center"/>
          </w:tcPr>
          <w:p w14:paraId="1B47A429">
            <w:pPr>
              <w:keepNext w:val="0"/>
              <w:keepLines w:val="0"/>
              <w:widowControl/>
              <w:suppressLineNumbers w:val="0"/>
              <w:spacing w:before="0" w:beforeAutospacing="0" w:after="0" w:afterAutospacing="0" w:line="0" w:lineRule="atLeast"/>
              <w:ind w:left="0" w:leftChars="0" w:right="0" w:firstLine="0" w:firstLineChars="0"/>
              <w:jc w:val="both"/>
              <w:rPr>
                <w:rFonts w:hint="default"/>
                <w:b/>
                <w:bCs/>
                <w:color w:val="auto"/>
                <w:kern w:val="0"/>
                <w:sz w:val="22"/>
                <w:szCs w:val="22"/>
                <w:highlight w:val="none"/>
              </w:rPr>
            </w:pPr>
            <w:r>
              <w:rPr>
                <w:rFonts w:hint="default"/>
                <w:b/>
                <w:bCs/>
                <w:color w:val="auto"/>
                <w:kern w:val="0"/>
                <w:sz w:val="22"/>
                <w:szCs w:val="22"/>
                <w:highlight w:val="none"/>
              </w:rPr>
              <w:t>三级指标</w:t>
            </w:r>
          </w:p>
        </w:tc>
        <w:tc>
          <w:tcPr>
            <w:tcW w:w="614" w:type="pct"/>
            <w:shd w:val="clear" w:color="auto" w:fill="BFBFBF"/>
            <w:vAlign w:val="center"/>
          </w:tcPr>
          <w:p w14:paraId="4A511E24">
            <w:pPr>
              <w:keepNext w:val="0"/>
              <w:keepLines w:val="0"/>
              <w:widowControl/>
              <w:suppressLineNumbers w:val="0"/>
              <w:spacing w:before="0" w:beforeAutospacing="0" w:after="0" w:afterAutospacing="0" w:line="0" w:lineRule="atLeast"/>
              <w:ind w:left="0" w:leftChars="0" w:right="0" w:firstLine="0" w:firstLineChars="0"/>
              <w:jc w:val="both"/>
              <w:rPr>
                <w:rFonts w:hint="default"/>
                <w:b/>
                <w:bCs/>
                <w:color w:val="auto"/>
                <w:kern w:val="0"/>
                <w:sz w:val="22"/>
                <w:szCs w:val="22"/>
                <w:highlight w:val="none"/>
              </w:rPr>
            </w:pPr>
            <w:r>
              <w:rPr>
                <w:rFonts w:hint="default"/>
                <w:b/>
                <w:bCs/>
                <w:color w:val="auto"/>
                <w:kern w:val="0"/>
                <w:sz w:val="22"/>
                <w:szCs w:val="22"/>
                <w:highlight w:val="none"/>
              </w:rPr>
              <w:t>权重</w:t>
            </w:r>
          </w:p>
        </w:tc>
        <w:tc>
          <w:tcPr>
            <w:tcW w:w="422" w:type="pct"/>
            <w:shd w:val="clear" w:color="auto" w:fill="BFBFBF"/>
            <w:vAlign w:val="center"/>
          </w:tcPr>
          <w:p w14:paraId="17C0BC0B">
            <w:pPr>
              <w:keepNext w:val="0"/>
              <w:keepLines w:val="0"/>
              <w:widowControl/>
              <w:suppressLineNumbers w:val="0"/>
              <w:tabs>
                <w:tab w:val="left" w:pos="1333"/>
                <w:tab w:val="center" w:pos="3623"/>
              </w:tabs>
              <w:spacing w:before="0" w:beforeAutospacing="0" w:after="0" w:afterAutospacing="0" w:line="0" w:lineRule="atLeast"/>
              <w:ind w:left="0" w:leftChars="0" w:right="0" w:firstLine="0" w:firstLineChars="0"/>
              <w:jc w:val="both"/>
              <w:rPr>
                <w:rFonts w:hint="default"/>
                <w:b/>
                <w:bCs/>
                <w:color w:val="auto"/>
                <w:kern w:val="0"/>
                <w:sz w:val="22"/>
                <w:szCs w:val="22"/>
                <w:highlight w:val="none"/>
              </w:rPr>
            </w:pPr>
            <w:r>
              <w:rPr>
                <w:rFonts w:hint="default"/>
                <w:b/>
                <w:bCs/>
                <w:color w:val="auto"/>
                <w:kern w:val="0"/>
                <w:sz w:val="22"/>
                <w:szCs w:val="22"/>
                <w:highlight w:val="none"/>
              </w:rPr>
              <w:t>目标值</w:t>
            </w:r>
          </w:p>
        </w:tc>
        <w:tc>
          <w:tcPr>
            <w:tcW w:w="510" w:type="pct"/>
            <w:shd w:val="clear" w:color="auto" w:fill="BFBFBF"/>
            <w:vAlign w:val="center"/>
          </w:tcPr>
          <w:p w14:paraId="681ADEC4">
            <w:pPr>
              <w:keepNext w:val="0"/>
              <w:keepLines w:val="0"/>
              <w:widowControl/>
              <w:suppressLineNumbers w:val="0"/>
              <w:tabs>
                <w:tab w:val="left" w:pos="1333"/>
                <w:tab w:val="center" w:pos="3623"/>
              </w:tabs>
              <w:spacing w:before="0" w:beforeAutospacing="0" w:after="0" w:afterAutospacing="0" w:line="0" w:lineRule="atLeast"/>
              <w:ind w:left="0" w:leftChars="0" w:right="0" w:firstLine="0" w:firstLineChars="0"/>
              <w:jc w:val="both"/>
              <w:rPr>
                <w:rFonts w:hint="default"/>
                <w:b/>
                <w:bCs/>
                <w:color w:val="auto"/>
                <w:kern w:val="0"/>
                <w:sz w:val="22"/>
                <w:szCs w:val="22"/>
                <w:highlight w:val="none"/>
              </w:rPr>
            </w:pPr>
            <w:r>
              <w:rPr>
                <w:rFonts w:hint="default"/>
                <w:b/>
                <w:bCs/>
                <w:color w:val="auto"/>
                <w:kern w:val="0"/>
                <w:sz w:val="22"/>
                <w:szCs w:val="22"/>
                <w:highlight w:val="none"/>
              </w:rPr>
              <w:t>业绩值</w:t>
            </w:r>
          </w:p>
        </w:tc>
        <w:tc>
          <w:tcPr>
            <w:tcW w:w="782" w:type="pct"/>
            <w:shd w:val="clear" w:color="auto" w:fill="BFBFBF"/>
            <w:vAlign w:val="center"/>
          </w:tcPr>
          <w:p w14:paraId="5E731AE0">
            <w:pPr>
              <w:keepNext w:val="0"/>
              <w:keepLines w:val="0"/>
              <w:widowControl/>
              <w:suppressLineNumbers w:val="0"/>
              <w:tabs>
                <w:tab w:val="left" w:pos="1333"/>
                <w:tab w:val="center" w:pos="3623"/>
              </w:tabs>
              <w:spacing w:before="0" w:beforeAutospacing="0" w:after="0" w:afterAutospacing="0" w:line="0" w:lineRule="atLeast"/>
              <w:ind w:left="0" w:leftChars="0" w:right="0" w:firstLine="0" w:firstLineChars="0"/>
              <w:jc w:val="both"/>
              <w:rPr>
                <w:rFonts w:hint="default"/>
                <w:b/>
                <w:bCs/>
                <w:color w:val="auto"/>
                <w:kern w:val="0"/>
                <w:sz w:val="22"/>
                <w:szCs w:val="22"/>
                <w:highlight w:val="none"/>
              </w:rPr>
            </w:pPr>
            <w:r>
              <w:rPr>
                <w:rFonts w:hint="default"/>
                <w:b/>
                <w:bCs/>
                <w:color w:val="auto"/>
                <w:kern w:val="0"/>
                <w:sz w:val="22"/>
                <w:szCs w:val="22"/>
                <w:highlight w:val="none"/>
              </w:rPr>
              <w:t>得分率</w:t>
            </w:r>
          </w:p>
        </w:tc>
        <w:tc>
          <w:tcPr>
            <w:tcW w:w="645" w:type="pct"/>
            <w:shd w:val="clear" w:color="auto" w:fill="BFBFBF"/>
            <w:vAlign w:val="center"/>
          </w:tcPr>
          <w:p w14:paraId="3D049D94">
            <w:pPr>
              <w:keepNext w:val="0"/>
              <w:keepLines w:val="0"/>
              <w:widowControl/>
              <w:suppressLineNumbers w:val="0"/>
              <w:tabs>
                <w:tab w:val="left" w:pos="1333"/>
                <w:tab w:val="center" w:pos="3623"/>
              </w:tabs>
              <w:spacing w:before="0" w:beforeAutospacing="0" w:after="0" w:afterAutospacing="0" w:line="0" w:lineRule="atLeast"/>
              <w:ind w:left="0" w:leftChars="0" w:right="0" w:firstLine="0" w:firstLineChars="0"/>
              <w:jc w:val="both"/>
              <w:rPr>
                <w:rFonts w:hint="default"/>
                <w:b/>
                <w:bCs/>
                <w:color w:val="auto"/>
                <w:kern w:val="0"/>
                <w:sz w:val="22"/>
                <w:szCs w:val="22"/>
                <w:highlight w:val="none"/>
              </w:rPr>
            </w:pPr>
            <w:r>
              <w:rPr>
                <w:rFonts w:hint="default"/>
                <w:b/>
                <w:bCs/>
                <w:color w:val="auto"/>
                <w:kern w:val="0"/>
                <w:sz w:val="22"/>
                <w:szCs w:val="22"/>
                <w:highlight w:val="none"/>
              </w:rPr>
              <w:t>得分</w:t>
            </w:r>
          </w:p>
        </w:tc>
      </w:tr>
      <w:tr w14:paraId="6A7AC6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trPr>
        <w:tc>
          <w:tcPr>
            <w:tcW w:w="489" w:type="pct"/>
            <w:vMerge w:val="restart"/>
            <w:shd w:val="clear" w:color="auto" w:fill="FFFFFF"/>
            <w:vAlign w:val="center"/>
          </w:tcPr>
          <w:p w14:paraId="7A763432">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决策　</w:t>
            </w:r>
          </w:p>
          <w:p w14:paraId="50F2BD65">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　</w:t>
            </w:r>
          </w:p>
          <w:p w14:paraId="0675A790">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　</w:t>
            </w:r>
          </w:p>
          <w:p w14:paraId="4F93271D">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　</w:t>
            </w:r>
          </w:p>
        </w:tc>
        <w:tc>
          <w:tcPr>
            <w:tcW w:w="301" w:type="pct"/>
            <w:vMerge w:val="restart"/>
            <w:shd w:val="clear" w:color="auto" w:fill="FFFFFF"/>
            <w:vAlign w:val="center"/>
          </w:tcPr>
          <w:p w14:paraId="48A5E8D0">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20分</w:t>
            </w:r>
          </w:p>
        </w:tc>
        <w:tc>
          <w:tcPr>
            <w:tcW w:w="510" w:type="pct"/>
            <w:vMerge w:val="restart"/>
            <w:shd w:val="clear" w:color="auto" w:fill="FFFFFF"/>
            <w:vAlign w:val="center"/>
          </w:tcPr>
          <w:p w14:paraId="1C42AA3B">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项目立项　</w:t>
            </w:r>
          </w:p>
        </w:tc>
        <w:tc>
          <w:tcPr>
            <w:tcW w:w="723" w:type="pct"/>
            <w:shd w:val="clear" w:color="auto" w:fill="FFFFFF"/>
            <w:vAlign w:val="center"/>
          </w:tcPr>
          <w:p w14:paraId="18DBFA96">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立项依据充分性</w:t>
            </w:r>
          </w:p>
        </w:tc>
        <w:tc>
          <w:tcPr>
            <w:tcW w:w="614" w:type="pct"/>
            <w:shd w:val="clear" w:color="auto" w:fill="FFFFFF"/>
            <w:vAlign w:val="center"/>
          </w:tcPr>
          <w:p w14:paraId="45D041D1">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3</w:t>
            </w:r>
          </w:p>
        </w:tc>
        <w:tc>
          <w:tcPr>
            <w:tcW w:w="422" w:type="pct"/>
            <w:shd w:val="clear" w:color="auto" w:fill="FFFFFF"/>
            <w:vAlign w:val="center"/>
          </w:tcPr>
          <w:p w14:paraId="0965FEE5">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充分</w:t>
            </w:r>
          </w:p>
        </w:tc>
        <w:tc>
          <w:tcPr>
            <w:tcW w:w="510" w:type="pct"/>
            <w:shd w:val="clear" w:color="auto" w:fill="FFFFFF"/>
            <w:vAlign w:val="center"/>
          </w:tcPr>
          <w:p w14:paraId="5F6419E2">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充分</w:t>
            </w:r>
          </w:p>
        </w:tc>
        <w:tc>
          <w:tcPr>
            <w:tcW w:w="782" w:type="pct"/>
            <w:shd w:val="clear" w:color="auto" w:fill="FFFFFF"/>
            <w:vAlign w:val="center"/>
          </w:tcPr>
          <w:p w14:paraId="4D8D8882">
            <w:pPr>
              <w:keepNext w:val="0"/>
              <w:keepLines w:val="0"/>
              <w:widowControl/>
              <w:suppressLineNumbers w:val="0"/>
              <w:spacing w:before="0" w:beforeAutospacing="0" w:after="0" w:afterAutospacing="0" w:line="0" w:lineRule="atLeast"/>
              <w:ind w:left="0" w:leftChars="0" w:right="0"/>
              <w:jc w:val="both"/>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100%</w:t>
            </w:r>
          </w:p>
        </w:tc>
        <w:tc>
          <w:tcPr>
            <w:tcW w:w="645" w:type="pct"/>
            <w:shd w:val="clear" w:color="auto" w:fill="FFFFFF"/>
            <w:vAlign w:val="center"/>
          </w:tcPr>
          <w:p w14:paraId="049C0D31">
            <w:pPr>
              <w:keepNext w:val="0"/>
              <w:keepLines w:val="0"/>
              <w:widowControl/>
              <w:suppressLineNumbers w:val="0"/>
              <w:spacing w:before="0" w:beforeAutospacing="0" w:after="0" w:afterAutospacing="0" w:line="0" w:lineRule="atLeast"/>
              <w:ind w:left="0" w:leftChars="0" w:right="0"/>
              <w:jc w:val="both"/>
              <w:rPr>
                <w:rFonts w:hint="eastAsia" w:eastAsia="宋体"/>
                <w:color w:val="auto"/>
                <w:kern w:val="0"/>
                <w:sz w:val="22"/>
                <w:szCs w:val="22"/>
                <w:highlight w:val="none"/>
                <w:lang w:eastAsia="zh-CN"/>
              </w:rPr>
            </w:pPr>
            <w:r>
              <w:rPr>
                <w:rFonts w:hint="eastAsia"/>
                <w:color w:val="auto"/>
                <w:kern w:val="0"/>
                <w:sz w:val="22"/>
                <w:szCs w:val="22"/>
                <w:highlight w:val="none"/>
                <w:lang w:val="en-US" w:eastAsia="zh-CN"/>
              </w:rPr>
              <w:t>3</w:t>
            </w:r>
          </w:p>
        </w:tc>
      </w:tr>
      <w:tr w14:paraId="148B89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trPr>
        <w:tc>
          <w:tcPr>
            <w:tcW w:w="489" w:type="pct"/>
            <w:vMerge w:val="continue"/>
            <w:shd w:val="clear" w:color="auto" w:fill="FFFFFF"/>
            <w:vAlign w:val="center"/>
          </w:tcPr>
          <w:p w14:paraId="35D6E955">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26F373A3">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vMerge w:val="continue"/>
            <w:shd w:val="clear" w:color="auto" w:fill="FFFFFF"/>
            <w:vAlign w:val="center"/>
          </w:tcPr>
          <w:p w14:paraId="7990B23D">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723" w:type="pct"/>
            <w:shd w:val="clear" w:color="auto" w:fill="FFFFFF"/>
            <w:vAlign w:val="center"/>
          </w:tcPr>
          <w:p w14:paraId="36A1990D">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立项程序规范性</w:t>
            </w:r>
          </w:p>
        </w:tc>
        <w:tc>
          <w:tcPr>
            <w:tcW w:w="614" w:type="pct"/>
            <w:shd w:val="clear" w:color="auto" w:fill="FFFFFF"/>
            <w:vAlign w:val="center"/>
          </w:tcPr>
          <w:p w14:paraId="32A5C826">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3</w:t>
            </w:r>
          </w:p>
        </w:tc>
        <w:tc>
          <w:tcPr>
            <w:tcW w:w="422" w:type="pct"/>
            <w:shd w:val="clear" w:color="auto" w:fill="FFFFFF"/>
            <w:vAlign w:val="center"/>
          </w:tcPr>
          <w:p w14:paraId="26748C9D">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规范</w:t>
            </w:r>
          </w:p>
        </w:tc>
        <w:tc>
          <w:tcPr>
            <w:tcW w:w="510" w:type="pct"/>
            <w:shd w:val="clear" w:color="auto" w:fill="FFFFFF"/>
            <w:vAlign w:val="center"/>
          </w:tcPr>
          <w:p w14:paraId="3D78AC29">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规范</w:t>
            </w:r>
          </w:p>
        </w:tc>
        <w:tc>
          <w:tcPr>
            <w:tcW w:w="782" w:type="pct"/>
            <w:shd w:val="clear" w:color="auto" w:fill="FFFFFF"/>
            <w:vAlign w:val="center"/>
          </w:tcPr>
          <w:p w14:paraId="721B8992">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p>
        </w:tc>
        <w:tc>
          <w:tcPr>
            <w:tcW w:w="645" w:type="pct"/>
            <w:shd w:val="clear" w:color="auto" w:fill="FFFFFF"/>
            <w:vAlign w:val="center"/>
          </w:tcPr>
          <w:p w14:paraId="737E8A83">
            <w:pPr>
              <w:keepNext w:val="0"/>
              <w:keepLines w:val="0"/>
              <w:widowControl/>
              <w:suppressLineNumbers w:val="0"/>
              <w:spacing w:before="0" w:beforeAutospacing="0" w:after="0" w:afterAutospacing="0" w:line="0" w:lineRule="atLeast"/>
              <w:ind w:left="0" w:leftChars="0" w:right="0"/>
              <w:jc w:val="both"/>
              <w:rPr>
                <w:rFonts w:hint="eastAsia" w:eastAsia="宋体"/>
                <w:color w:val="auto"/>
                <w:kern w:val="0"/>
                <w:sz w:val="22"/>
                <w:szCs w:val="22"/>
                <w:highlight w:val="none"/>
                <w:lang w:eastAsia="zh-CN"/>
              </w:rPr>
            </w:pPr>
            <w:r>
              <w:rPr>
                <w:rFonts w:hint="eastAsia"/>
                <w:color w:val="auto"/>
                <w:kern w:val="0"/>
                <w:sz w:val="22"/>
                <w:szCs w:val="22"/>
                <w:highlight w:val="none"/>
                <w:lang w:val="en-US" w:eastAsia="zh-CN"/>
              </w:rPr>
              <w:t>3</w:t>
            </w:r>
          </w:p>
        </w:tc>
      </w:tr>
      <w:tr w14:paraId="23A660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trPr>
        <w:tc>
          <w:tcPr>
            <w:tcW w:w="489" w:type="pct"/>
            <w:vMerge w:val="continue"/>
            <w:shd w:val="clear" w:color="auto" w:fill="FFFFFF"/>
            <w:vAlign w:val="center"/>
          </w:tcPr>
          <w:p w14:paraId="333A1062">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3FA00D35">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vMerge w:val="restart"/>
            <w:shd w:val="clear" w:color="auto" w:fill="FFFFFF"/>
            <w:vAlign w:val="center"/>
          </w:tcPr>
          <w:p w14:paraId="08E8734E">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绩效目标　</w:t>
            </w:r>
          </w:p>
        </w:tc>
        <w:tc>
          <w:tcPr>
            <w:tcW w:w="723" w:type="pct"/>
            <w:shd w:val="clear" w:color="auto" w:fill="FFFFFF"/>
            <w:vAlign w:val="center"/>
          </w:tcPr>
          <w:p w14:paraId="218CF012">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绩效目标合理性</w:t>
            </w:r>
          </w:p>
        </w:tc>
        <w:tc>
          <w:tcPr>
            <w:tcW w:w="614" w:type="pct"/>
            <w:shd w:val="clear" w:color="000000" w:fill="FFFFFF"/>
            <w:vAlign w:val="center"/>
          </w:tcPr>
          <w:p w14:paraId="5DF0E933">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3</w:t>
            </w:r>
          </w:p>
        </w:tc>
        <w:tc>
          <w:tcPr>
            <w:tcW w:w="422" w:type="pct"/>
            <w:shd w:val="clear" w:color="000000" w:fill="FFFFFF"/>
            <w:vAlign w:val="center"/>
          </w:tcPr>
          <w:p w14:paraId="5A4A885F">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合理</w:t>
            </w:r>
          </w:p>
        </w:tc>
        <w:tc>
          <w:tcPr>
            <w:tcW w:w="510" w:type="pct"/>
            <w:shd w:val="clear" w:color="000000" w:fill="FFFFFF"/>
            <w:vAlign w:val="center"/>
          </w:tcPr>
          <w:p w14:paraId="64388F3B">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合理</w:t>
            </w:r>
          </w:p>
        </w:tc>
        <w:tc>
          <w:tcPr>
            <w:tcW w:w="782" w:type="pct"/>
            <w:shd w:val="clear" w:color="000000" w:fill="FFFFFF"/>
            <w:vAlign w:val="center"/>
          </w:tcPr>
          <w:p w14:paraId="433DCFB6">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p>
        </w:tc>
        <w:tc>
          <w:tcPr>
            <w:tcW w:w="645" w:type="pct"/>
            <w:shd w:val="clear" w:color="000000" w:fill="FFFFFF"/>
            <w:vAlign w:val="center"/>
          </w:tcPr>
          <w:p w14:paraId="77230401">
            <w:pPr>
              <w:keepNext w:val="0"/>
              <w:keepLines w:val="0"/>
              <w:widowControl/>
              <w:suppressLineNumbers w:val="0"/>
              <w:spacing w:before="0" w:beforeAutospacing="0" w:after="0" w:afterAutospacing="0" w:line="0" w:lineRule="atLeast"/>
              <w:ind w:left="0" w:leftChars="0" w:right="0"/>
              <w:jc w:val="both"/>
              <w:rPr>
                <w:rFonts w:hint="eastAsia" w:eastAsia="宋体"/>
                <w:color w:val="auto"/>
                <w:kern w:val="0"/>
                <w:sz w:val="22"/>
                <w:szCs w:val="22"/>
                <w:highlight w:val="none"/>
                <w:lang w:eastAsia="zh-CN"/>
              </w:rPr>
            </w:pPr>
            <w:r>
              <w:rPr>
                <w:rFonts w:hint="eastAsia"/>
                <w:color w:val="auto"/>
                <w:kern w:val="0"/>
                <w:sz w:val="22"/>
                <w:szCs w:val="22"/>
                <w:highlight w:val="none"/>
                <w:lang w:val="en-US" w:eastAsia="zh-CN"/>
              </w:rPr>
              <w:t>3</w:t>
            </w:r>
          </w:p>
        </w:tc>
      </w:tr>
      <w:tr w14:paraId="7D509A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trPr>
        <w:tc>
          <w:tcPr>
            <w:tcW w:w="489" w:type="pct"/>
            <w:vMerge w:val="continue"/>
            <w:shd w:val="clear" w:color="auto" w:fill="FFFFFF"/>
            <w:vAlign w:val="center"/>
          </w:tcPr>
          <w:p w14:paraId="0371E179">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694EE1AE">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vMerge w:val="continue"/>
            <w:shd w:val="clear" w:color="auto" w:fill="FFFFFF"/>
            <w:vAlign w:val="center"/>
          </w:tcPr>
          <w:p w14:paraId="5E4C8963">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723" w:type="pct"/>
            <w:shd w:val="clear" w:color="auto" w:fill="FFFFFF"/>
            <w:vAlign w:val="center"/>
          </w:tcPr>
          <w:p w14:paraId="3050B36D">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绩效指标明确性</w:t>
            </w:r>
          </w:p>
        </w:tc>
        <w:tc>
          <w:tcPr>
            <w:tcW w:w="614" w:type="pct"/>
            <w:shd w:val="clear" w:color="000000" w:fill="FFFFFF"/>
            <w:vAlign w:val="center"/>
          </w:tcPr>
          <w:p w14:paraId="482A794D">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3</w:t>
            </w:r>
          </w:p>
        </w:tc>
        <w:tc>
          <w:tcPr>
            <w:tcW w:w="422" w:type="pct"/>
            <w:shd w:val="clear" w:color="000000" w:fill="FFFFFF"/>
            <w:vAlign w:val="center"/>
          </w:tcPr>
          <w:p w14:paraId="1C4D5A4B">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明确</w:t>
            </w:r>
          </w:p>
        </w:tc>
        <w:tc>
          <w:tcPr>
            <w:tcW w:w="510" w:type="pct"/>
            <w:shd w:val="clear" w:color="000000" w:fill="FFFFFF"/>
            <w:vAlign w:val="center"/>
          </w:tcPr>
          <w:p w14:paraId="6F8980A9">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明确</w:t>
            </w:r>
          </w:p>
        </w:tc>
        <w:tc>
          <w:tcPr>
            <w:tcW w:w="782" w:type="pct"/>
            <w:shd w:val="clear" w:color="000000" w:fill="FFFFFF"/>
            <w:vAlign w:val="center"/>
          </w:tcPr>
          <w:p w14:paraId="04CA6256">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p>
        </w:tc>
        <w:tc>
          <w:tcPr>
            <w:tcW w:w="645" w:type="pct"/>
            <w:shd w:val="clear" w:color="000000" w:fill="FFFFFF"/>
            <w:vAlign w:val="center"/>
          </w:tcPr>
          <w:p w14:paraId="48A46DC9">
            <w:pPr>
              <w:keepNext w:val="0"/>
              <w:keepLines w:val="0"/>
              <w:widowControl/>
              <w:suppressLineNumbers w:val="0"/>
              <w:spacing w:before="0" w:beforeAutospacing="0" w:after="0" w:afterAutospacing="0" w:line="0" w:lineRule="atLeast"/>
              <w:ind w:left="0" w:leftChars="0" w:right="0"/>
              <w:jc w:val="both"/>
              <w:rPr>
                <w:rFonts w:hint="eastAsia" w:eastAsia="宋体"/>
                <w:color w:val="auto"/>
                <w:kern w:val="0"/>
                <w:sz w:val="22"/>
                <w:szCs w:val="22"/>
                <w:highlight w:val="none"/>
                <w:lang w:eastAsia="zh-CN"/>
              </w:rPr>
            </w:pPr>
            <w:r>
              <w:rPr>
                <w:rFonts w:hint="eastAsia"/>
                <w:color w:val="auto"/>
                <w:kern w:val="0"/>
                <w:sz w:val="22"/>
                <w:szCs w:val="22"/>
                <w:highlight w:val="none"/>
                <w:lang w:val="en-US" w:eastAsia="zh-CN"/>
              </w:rPr>
              <w:t>3</w:t>
            </w:r>
          </w:p>
        </w:tc>
      </w:tr>
      <w:tr w14:paraId="1A2673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trPr>
        <w:tc>
          <w:tcPr>
            <w:tcW w:w="489" w:type="pct"/>
            <w:vMerge w:val="continue"/>
            <w:shd w:val="clear" w:color="auto" w:fill="FFFFFF"/>
            <w:vAlign w:val="center"/>
          </w:tcPr>
          <w:p w14:paraId="73C8CA43">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15064D60">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vMerge w:val="restart"/>
            <w:shd w:val="clear" w:color="auto" w:fill="FFFFFF"/>
            <w:vAlign w:val="center"/>
          </w:tcPr>
          <w:p w14:paraId="1C8BFAF9">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资金投入</w:t>
            </w:r>
          </w:p>
        </w:tc>
        <w:tc>
          <w:tcPr>
            <w:tcW w:w="723" w:type="pct"/>
            <w:shd w:val="clear" w:color="auto" w:fill="FFFFFF"/>
            <w:vAlign w:val="center"/>
          </w:tcPr>
          <w:p w14:paraId="7A474988">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预算编制科学性</w:t>
            </w:r>
          </w:p>
        </w:tc>
        <w:tc>
          <w:tcPr>
            <w:tcW w:w="614" w:type="pct"/>
            <w:shd w:val="clear" w:color="auto" w:fill="FFFFFF"/>
            <w:vAlign w:val="center"/>
          </w:tcPr>
          <w:p w14:paraId="4648D842">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4</w:t>
            </w:r>
          </w:p>
        </w:tc>
        <w:tc>
          <w:tcPr>
            <w:tcW w:w="422" w:type="pct"/>
            <w:shd w:val="clear" w:color="auto" w:fill="FFFFFF"/>
            <w:vAlign w:val="center"/>
          </w:tcPr>
          <w:p w14:paraId="2F4CD78B">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科学</w:t>
            </w:r>
          </w:p>
        </w:tc>
        <w:tc>
          <w:tcPr>
            <w:tcW w:w="510" w:type="pct"/>
            <w:shd w:val="clear" w:color="auto" w:fill="FFFFFF"/>
            <w:vAlign w:val="center"/>
          </w:tcPr>
          <w:p w14:paraId="3454F3C3">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科学</w:t>
            </w:r>
          </w:p>
        </w:tc>
        <w:tc>
          <w:tcPr>
            <w:tcW w:w="782" w:type="pct"/>
            <w:shd w:val="clear" w:color="auto" w:fill="FFFFFF"/>
            <w:vAlign w:val="center"/>
          </w:tcPr>
          <w:p w14:paraId="60659A74">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p>
        </w:tc>
        <w:tc>
          <w:tcPr>
            <w:tcW w:w="645" w:type="pct"/>
            <w:shd w:val="clear" w:color="auto" w:fill="FFFFFF"/>
            <w:vAlign w:val="center"/>
          </w:tcPr>
          <w:p w14:paraId="6B5F06ED">
            <w:pPr>
              <w:keepNext w:val="0"/>
              <w:keepLines w:val="0"/>
              <w:widowControl/>
              <w:suppressLineNumbers w:val="0"/>
              <w:spacing w:before="0" w:beforeAutospacing="0" w:after="0" w:afterAutospacing="0" w:line="0" w:lineRule="atLeast"/>
              <w:ind w:left="0" w:leftChars="0" w:right="0"/>
              <w:jc w:val="both"/>
              <w:rPr>
                <w:rFonts w:hint="eastAsia" w:eastAsia="宋体"/>
                <w:color w:val="auto"/>
                <w:kern w:val="0"/>
                <w:sz w:val="22"/>
                <w:szCs w:val="22"/>
                <w:highlight w:val="none"/>
                <w:lang w:eastAsia="zh-CN"/>
              </w:rPr>
            </w:pPr>
            <w:r>
              <w:rPr>
                <w:rFonts w:hint="eastAsia"/>
                <w:color w:val="auto"/>
                <w:kern w:val="0"/>
                <w:sz w:val="22"/>
                <w:szCs w:val="22"/>
                <w:highlight w:val="none"/>
                <w:lang w:val="en-US" w:eastAsia="zh-CN"/>
              </w:rPr>
              <w:t>4</w:t>
            </w:r>
          </w:p>
        </w:tc>
      </w:tr>
      <w:tr w14:paraId="478880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trPr>
        <w:tc>
          <w:tcPr>
            <w:tcW w:w="489" w:type="pct"/>
            <w:vMerge w:val="continue"/>
            <w:shd w:val="clear" w:color="auto" w:fill="FFFFFF"/>
            <w:vAlign w:val="center"/>
          </w:tcPr>
          <w:p w14:paraId="2CE6B3B2">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370DFE5E">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vMerge w:val="continue"/>
            <w:shd w:val="clear" w:color="auto" w:fill="FFFFFF"/>
            <w:vAlign w:val="center"/>
          </w:tcPr>
          <w:p w14:paraId="68274EFF">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723" w:type="pct"/>
            <w:shd w:val="clear" w:color="auto" w:fill="FFFFFF"/>
            <w:vAlign w:val="center"/>
          </w:tcPr>
          <w:p w14:paraId="0AAE22CA">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资金分配合理性</w:t>
            </w:r>
          </w:p>
        </w:tc>
        <w:tc>
          <w:tcPr>
            <w:tcW w:w="614" w:type="pct"/>
            <w:shd w:val="clear" w:color="auto" w:fill="FFFFFF"/>
            <w:vAlign w:val="center"/>
          </w:tcPr>
          <w:p w14:paraId="6F91ADBD">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4</w:t>
            </w:r>
          </w:p>
        </w:tc>
        <w:tc>
          <w:tcPr>
            <w:tcW w:w="422" w:type="pct"/>
            <w:shd w:val="clear" w:color="auto" w:fill="FFFFFF"/>
            <w:vAlign w:val="center"/>
          </w:tcPr>
          <w:p w14:paraId="2D0F77DD">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合理</w:t>
            </w:r>
          </w:p>
        </w:tc>
        <w:tc>
          <w:tcPr>
            <w:tcW w:w="510" w:type="pct"/>
            <w:shd w:val="clear" w:color="auto" w:fill="FFFFFF"/>
            <w:vAlign w:val="center"/>
          </w:tcPr>
          <w:p w14:paraId="790A681F">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合理</w:t>
            </w:r>
          </w:p>
        </w:tc>
        <w:tc>
          <w:tcPr>
            <w:tcW w:w="782" w:type="pct"/>
            <w:shd w:val="clear" w:color="auto" w:fill="FFFFFF"/>
            <w:vAlign w:val="center"/>
          </w:tcPr>
          <w:p w14:paraId="079B88CB">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p>
        </w:tc>
        <w:tc>
          <w:tcPr>
            <w:tcW w:w="645" w:type="pct"/>
            <w:shd w:val="clear" w:color="auto" w:fill="FFFFFF"/>
            <w:vAlign w:val="center"/>
          </w:tcPr>
          <w:p w14:paraId="59A9287B">
            <w:pPr>
              <w:keepNext w:val="0"/>
              <w:keepLines w:val="0"/>
              <w:widowControl/>
              <w:suppressLineNumbers w:val="0"/>
              <w:spacing w:before="0" w:beforeAutospacing="0" w:after="0" w:afterAutospacing="0" w:line="0" w:lineRule="atLeast"/>
              <w:ind w:left="0" w:leftChars="0" w:right="0"/>
              <w:jc w:val="both"/>
              <w:rPr>
                <w:rFonts w:hint="eastAsia" w:eastAsia="宋体"/>
                <w:color w:val="auto"/>
                <w:kern w:val="0"/>
                <w:sz w:val="22"/>
                <w:szCs w:val="22"/>
                <w:highlight w:val="none"/>
                <w:lang w:eastAsia="zh-CN"/>
              </w:rPr>
            </w:pPr>
            <w:r>
              <w:rPr>
                <w:rFonts w:hint="eastAsia"/>
                <w:color w:val="auto"/>
                <w:kern w:val="0"/>
                <w:sz w:val="22"/>
                <w:szCs w:val="22"/>
                <w:highlight w:val="none"/>
                <w:lang w:val="en-US" w:eastAsia="zh-CN"/>
              </w:rPr>
              <w:t>4</w:t>
            </w:r>
          </w:p>
        </w:tc>
      </w:tr>
      <w:tr w14:paraId="414B3C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3" w:hRule="atLeast"/>
        </w:trPr>
        <w:tc>
          <w:tcPr>
            <w:tcW w:w="489" w:type="pct"/>
            <w:vMerge w:val="restart"/>
            <w:shd w:val="clear" w:color="auto" w:fill="FFFFFF"/>
            <w:vAlign w:val="center"/>
          </w:tcPr>
          <w:p w14:paraId="7B07CBC6">
            <w:pPr>
              <w:keepNext w:val="0"/>
              <w:keepLines w:val="0"/>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过程</w:t>
            </w:r>
          </w:p>
          <w:p w14:paraId="51CDAFAC">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　</w:t>
            </w:r>
          </w:p>
        </w:tc>
        <w:tc>
          <w:tcPr>
            <w:tcW w:w="301" w:type="pct"/>
            <w:vMerge w:val="restart"/>
            <w:shd w:val="clear" w:color="auto" w:fill="FFFFFF"/>
            <w:vAlign w:val="center"/>
          </w:tcPr>
          <w:p w14:paraId="6BD5E1F5">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20分</w:t>
            </w:r>
          </w:p>
        </w:tc>
        <w:tc>
          <w:tcPr>
            <w:tcW w:w="510" w:type="pct"/>
            <w:vMerge w:val="restart"/>
            <w:shd w:val="clear" w:color="auto" w:fill="FFFFFF"/>
            <w:vAlign w:val="center"/>
          </w:tcPr>
          <w:p w14:paraId="5A5D8014">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资金管理</w:t>
            </w:r>
          </w:p>
        </w:tc>
        <w:tc>
          <w:tcPr>
            <w:tcW w:w="723" w:type="pct"/>
            <w:shd w:val="clear" w:color="auto" w:fill="FFFFFF"/>
            <w:vAlign w:val="center"/>
          </w:tcPr>
          <w:p w14:paraId="24F4B230">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资金到位率</w:t>
            </w:r>
          </w:p>
        </w:tc>
        <w:tc>
          <w:tcPr>
            <w:tcW w:w="614" w:type="pct"/>
            <w:shd w:val="clear" w:color="000000" w:fill="FFFFFF"/>
            <w:vAlign w:val="center"/>
          </w:tcPr>
          <w:p w14:paraId="618B0084">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4</w:t>
            </w:r>
          </w:p>
        </w:tc>
        <w:tc>
          <w:tcPr>
            <w:tcW w:w="422" w:type="pct"/>
            <w:shd w:val="clear" w:color="000000" w:fill="FFFFFF"/>
            <w:vAlign w:val="center"/>
          </w:tcPr>
          <w:p w14:paraId="3E30792C">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100%</w:t>
            </w:r>
          </w:p>
        </w:tc>
        <w:tc>
          <w:tcPr>
            <w:tcW w:w="510" w:type="pct"/>
            <w:shd w:val="clear" w:color="000000" w:fill="FFFFFF"/>
            <w:vAlign w:val="center"/>
          </w:tcPr>
          <w:p w14:paraId="10344FB4">
            <w:pPr>
              <w:keepNext w:val="0"/>
              <w:keepLines w:val="0"/>
              <w:widowControl/>
              <w:suppressLineNumbers w:val="0"/>
              <w:spacing w:before="0" w:beforeAutospacing="0" w:after="0" w:afterAutospacing="0" w:line="0" w:lineRule="atLeast"/>
              <w:ind w:left="0" w:leftChars="0" w:right="0" w:firstLine="0" w:firstLineChars="0"/>
              <w:jc w:val="center"/>
              <w:rPr>
                <w:rFonts w:hint="default"/>
                <w:color w:val="auto"/>
                <w:kern w:val="0"/>
                <w:sz w:val="22"/>
                <w:szCs w:val="22"/>
                <w:highlight w:val="none"/>
              </w:rPr>
            </w:pPr>
            <w:r>
              <w:rPr>
                <w:rFonts w:hint="eastAsia"/>
                <w:color w:val="auto"/>
                <w:kern w:val="0"/>
                <w:sz w:val="22"/>
                <w:szCs w:val="22"/>
                <w:highlight w:val="none"/>
                <w:lang w:val="en-US" w:eastAsia="zh-CN"/>
              </w:rPr>
              <w:t>97.82</w:t>
            </w:r>
            <w:r>
              <w:rPr>
                <w:rFonts w:hint="default"/>
                <w:color w:val="auto"/>
                <w:kern w:val="0"/>
                <w:sz w:val="22"/>
                <w:szCs w:val="22"/>
                <w:highlight w:val="none"/>
              </w:rPr>
              <w:t>%</w:t>
            </w:r>
          </w:p>
        </w:tc>
        <w:tc>
          <w:tcPr>
            <w:tcW w:w="782" w:type="pct"/>
            <w:shd w:val="clear" w:color="000000" w:fill="FFFFFF"/>
            <w:vAlign w:val="center"/>
          </w:tcPr>
          <w:p w14:paraId="270E73F7">
            <w:pPr>
              <w:keepNext w:val="0"/>
              <w:keepLines w:val="0"/>
              <w:widowControl/>
              <w:suppressLineNumbers w:val="0"/>
              <w:spacing w:before="0" w:beforeAutospacing="0" w:after="0" w:afterAutospacing="0" w:line="0" w:lineRule="atLeast"/>
              <w:ind w:left="0" w:leftChars="0" w:right="0" w:firstLine="0" w:firstLineChars="0"/>
              <w:jc w:val="center"/>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97.82</w:t>
            </w:r>
            <w:r>
              <w:rPr>
                <w:rFonts w:hint="default"/>
                <w:color w:val="auto"/>
                <w:kern w:val="0"/>
                <w:sz w:val="22"/>
                <w:szCs w:val="22"/>
                <w:highlight w:val="none"/>
              </w:rPr>
              <w:t>%</w:t>
            </w:r>
          </w:p>
        </w:tc>
        <w:tc>
          <w:tcPr>
            <w:tcW w:w="645" w:type="pct"/>
            <w:shd w:val="clear" w:color="000000" w:fill="FFFFFF"/>
            <w:vAlign w:val="center"/>
          </w:tcPr>
          <w:p w14:paraId="59D058B9">
            <w:pPr>
              <w:keepNext w:val="0"/>
              <w:keepLines w:val="0"/>
              <w:widowControl/>
              <w:suppressLineNumbers w:val="0"/>
              <w:spacing w:before="0" w:beforeAutospacing="0" w:after="0" w:afterAutospacing="0" w:line="0" w:lineRule="atLeast"/>
              <w:ind w:left="0" w:leftChars="0" w:right="0" w:firstLine="0" w:firstLineChars="0"/>
              <w:jc w:val="center"/>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3.91</w:t>
            </w:r>
          </w:p>
        </w:tc>
      </w:tr>
      <w:tr w14:paraId="62858C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3" w:hRule="atLeast"/>
        </w:trPr>
        <w:tc>
          <w:tcPr>
            <w:tcW w:w="489" w:type="pct"/>
            <w:vMerge w:val="continue"/>
            <w:shd w:val="clear" w:color="auto" w:fill="FFFFFF"/>
            <w:vAlign w:val="center"/>
          </w:tcPr>
          <w:p w14:paraId="726C4101">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1E82338D">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vMerge w:val="continue"/>
            <w:shd w:val="clear" w:color="auto" w:fill="FFFFFF"/>
            <w:vAlign w:val="center"/>
          </w:tcPr>
          <w:p w14:paraId="3CB17D43">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723" w:type="pct"/>
            <w:shd w:val="clear" w:color="auto" w:fill="FFFFFF"/>
            <w:vAlign w:val="center"/>
          </w:tcPr>
          <w:p w14:paraId="6CCBF0AD">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预算执行率</w:t>
            </w:r>
          </w:p>
        </w:tc>
        <w:tc>
          <w:tcPr>
            <w:tcW w:w="614" w:type="pct"/>
            <w:shd w:val="clear" w:color="auto" w:fill="FFFFFF"/>
            <w:vAlign w:val="center"/>
          </w:tcPr>
          <w:p w14:paraId="733A3242">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4</w:t>
            </w:r>
          </w:p>
        </w:tc>
        <w:tc>
          <w:tcPr>
            <w:tcW w:w="422" w:type="pct"/>
            <w:shd w:val="clear" w:color="auto" w:fill="FFFFFF"/>
            <w:vAlign w:val="center"/>
          </w:tcPr>
          <w:p w14:paraId="46D98AE4">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100%</w:t>
            </w:r>
          </w:p>
        </w:tc>
        <w:tc>
          <w:tcPr>
            <w:tcW w:w="510" w:type="pct"/>
            <w:shd w:val="clear" w:color="auto" w:fill="FFFFFF"/>
            <w:vAlign w:val="center"/>
          </w:tcPr>
          <w:p w14:paraId="57C66FC7">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782" w:type="pct"/>
            <w:shd w:val="clear" w:color="auto" w:fill="FFFFFF"/>
            <w:vAlign w:val="center"/>
          </w:tcPr>
          <w:p w14:paraId="303997C8">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645" w:type="pct"/>
            <w:shd w:val="clear" w:color="auto" w:fill="FFFFFF"/>
            <w:vAlign w:val="center"/>
          </w:tcPr>
          <w:p w14:paraId="2DC998DD">
            <w:pPr>
              <w:keepNext w:val="0"/>
              <w:keepLines w:val="0"/>
              <w:widowControl/>
              <w:suppressLineNumbers w:val="0"/>
              <w:spacing w:before="0" w:beforeAutospacing="0" w:after="0" w:afterAutospacing="0" w:line="0" w:lineRule="atLeast"/>
              <w:ind w:left="0" w:leftChars="0" w:right="0"/>
              <w:jc w:val="both"/>
              <w:rPr>
                <w:rFonts w:hint="eastAsia" w:eastAsia="宋体"/>
                <w:color w:val="auto"/>
                <w:kern w:val="0"/>
                <w:sz w:val="22"/>
                <w:szCs w:val="22"/>
                <w:highlight w:val="none"/>
                <w:lang w:eastAsia="zh-CN"/>
              </w:rPr>
            </w:pPr>
            <w:r>
              <w:rPr>
                <w:rFonts w:hint="eastAsia"/>
                <w:color w:val="auto"/>
                <w:kern w:val="0"/>
                <w:sz w:val="22"/>
                <w:szCs w:val="22"/>
                <w:highlight w:val="none"/>
                <w:lang w:val="en-US" w:eastAsia="zh-CN"/>
              </w:rPr>
              <w:t>4</w:t>
            </w:r>
          </w:p>
        </w:tc>
      </w:tr>
      <w:tr w14:paraId="0E0AA3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trPr>
        <w:tc>
          <w:tcPr>
            <w:tcW w:w="489" w:type="pct"/>
            <w:vMerge w:val="continue"/>
            <w:shd w:val="clear" w:color="auto" w:fill="FFFFFF"/>
            <w:vAlign w:val="center"/>
          </w:tcPr>
          <w:p w14:paraId="4EB1C031">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7C34CA1D">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shd w:val="clear" w:color="auto" w:fill="FFFFFF"/>
            <w:vAlign w:val="center"/>
          </w:tcPr>
          <w:p w14:paraId="4F025A25">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资金管理</w:t>
            </w:r>
          </w:p>
        </w:tc>
        <w:tc>
          <w:tcPr>
            <w:tcW w:w="723" w:type="pct"/>
            <w:shd w:val="clear" w:color="auto" w:fill="FFFFFF"/>
            <w:vAlign w:val="center"/>
          </w:tcPr>
          <w:p w14:paraId="45DF6550">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资金使用合规性</w:t>
            </w:r>
          </w:p>
        </w:tc>
        <w:tc>
          <w:tcPr>
            <w:tcW w:w="614" w:type="pct"/>
            <w:shd w:val="clear" w:color="000000" w:fill="FFFFFF"/>
            <w:vAlign w:val="center"/>
          </w:tcPr>
          <w:p w14:paraId="62942DD1">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4</w:t>
            </w:r>
          </w:p>
        </w:tc>
        <w:tc>
          <w:tcPr>
            <w:tcW w:w="422" w:type="pct"/>
            <w:shd w:val="clear" w:color="000000" w:fill="FFFFFF"/>
            <w:vAlign w:val="center"/>
          </w:tcPr>
          <w:p w14:paraId="6C0B3E66">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合格</w:t>
            </w:r>
          </w:p>
        </w:tc>
        <w:tc>
          <w:tcPr>
            <w:tcW w:w="510" w:type="pct"/>
            <w:shd w:val="clear" w:color="000000" w:fill="FFFFFF"/>
            <w:vAlign w:val="center"/>
          </w:tcPr>
          <w:p w14:paraId="44CD9514">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合格</w:t>
            </w:r>
          </w:p>
        </w:tc>
        <w:tc>
          <w:tcPr>
            <w:tcW w:w="782" w:type="pct"/>
            <w:shd w:val="clear" w:color="000000" w:fill="FFFFFF"/>
            <w:vAlign w:val="center"/>
          </w:tcPr>
          <w:p w14:paraId="3E1DE7DA">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645" w:type="pct"/>
            <w:shd w:val="clear" w:color="000000" w:fill="FFFFFF"/>
            <w:vAlign w:val="center"/>
          </w:tcPr>
          <w:p w14:paraId="52B5124D">
            <w:pPr>
              <w:keepNext w:val="0"/>
              <w:keepLines w:val="0"/>
              <w:widowControl/>
              <w:suppressLineNumbers w:val="0"/>
              <w:spacing w:before="0" w:beforeAutospacing="0" w:after="0" w:afterAutospacing="0" w:line="0" w:lineRule="atLeast"/>
              <w:ind w:left="0" w:leftChars="0" w:right="0"/>
              <w:jc w:val="both"/>
              <w:rPr>
                <w:rFonts w:hint="eastAsia" w:eastAsia="宋体"/>
                <w:color w:val="auto"/>
                <w:kern w:val="0"/>
                <w:sz w:val="22"/>
                <w:szCs w:val="22"/>
                <w:highlight w:val="none"/>
                <w:lang w:eastAsia="zh-CN"/>
              </w:rPr>
            </w:pPr>
            <w:r>
              <w:rPr>
                <w:rFonts w:hint="eastAsia"/>
                <w:color w:val="auto"/>
                <w:kern w:val="0"/>
                <w:sz w:val="22"/>
                <w:szCs w:val="22"/>
                <w:highlight w:val="none"/>
                <w:lang w:val="en-US" w:eastAsia="zh-CN"/>
              </w:rPr>
              <w:t>4</w:t>
            </w:r>
          </w:p>
        </w:tc>
      </w:tr>
      <w:tr w14:paraId="55549F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trPr>
        <w:tc>
          <w:tcPr>
            <w:tcW w:w="489" w:type="pct"/>
            <w:vMerge w:val="continue"/>
            <w:shd w:val="clear" w:color="auto" w:fill="FFFFFF"/>
            <w:vAlign w:val="center"/>
          </w:tcPr>
          <w:p w14:paraId="0C6B38A0">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7F146EB5">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vMerge w:val="restart"/>
            <w:shd w:val="clear" w:color="auto" w:fill="FFFFFF"/>
            <w:vAlign w:val="center"/>
          </w:tcPr>
          <w:p w14:paraId="1E30F8DB">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组织实施</w:t>
            </w:r>
          </w:p>
        </w:tc>
        <w:tc>
          <w:tcPr>
            <w:tcW w:w="723" w:type="pct"/>
            <w:shd w:val="clear" w:color="auto" w:fill="FFFFFF"/>
            <w:vAlign w:val="center"/>
          </w:tcPr>
          <w:p w14:paraId="41C60563">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管理制度健全性</w:t>
            </w:r>
          </w:p>
        </w:tc>
        <w:tc>
          <w:tcPr>
            <w:tcW w:w="614" w:type="pct"/>
            <w:shd w:val="clear" w:color="000000" w:fill="FFFFFF"/>
            <w:vAlign w:val="center"/>
          </w:tcPr>
          <w:p w14:paraId="056A3C1C">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4</w:t>
            </w:r>
          </w:p>
        </w:tc>
        <w:tc>
          <w:tcPr>
            <w:tcW w:w="422" w:type="pct"/>
            <w:shd w:val="clear" w:color="000000" w:fill="FFFFFF"/>
            <w:vAlign w:val="center"/>
          </w:tcPr>
          <w:p w14:paraId="61A24833">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健全</w:t>
            </w:r>
          </w:p>
        </w:tc>
        <w:tc>
          <w:tcPr>
            <w:tcW w:w="510" w:type="pct"/>
            <w:shd w:val="clear" w:color="000000" w:fill="FFFFFF"/>
            <w:vAlign w:val="center"/>
          </w:tcPr>
          <w:p w14:paraId="2DDCD923">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健全</w:t>
            </w:r>
          </w:p>
        </w:tc>
        <w:tc>
          <w:tcPr>
            <w:tcW w:w="782" w:type="pct"/>
            <w:shd w:val="clear" w:color="000000" w:fill="FFFFFF"/>
            <w:vAlign w:val="center"/>
          </w:tcPr>
          <w:p w14:paraId="39735FE6">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645" w:type="pct"/>
            <w:shd w:val="clear" w:color="000000" w:fill="FFFFFF"/>
            <w:vAlign w:val="center"/>
          </w:tcPr>
          <w:p w14:paraId="7A75AF2E">
            <w:pPr>
              <w:keepNext w:val="0"/>
              <w:keepLines w:val="0"/>
              <w:widowControl/>
              <w:suppressLineNumbers w:val="0"/>
              <w:spacing w:before="0" w:beforeAutospacing="0" w:after="0" w:afterAutospacing="0" w:line="0" w:lineRule="atLeast"/>
              <w:ind w:left="0" w:leftChars="0" w:right="0"/>
              <w:jc w:val="both"/>
              <w:rPr>
                <w:rFonts w:hint="eastAsia" w:eastAsia="宋体"/>
                <w:color w:val="auto"/>
                <w:kern w:val="0"/>
                <w:sz w:val="22"/>
                <w:szCs w:val="22"/>
                <w:highlight w:val="none"/>
                <w:lang w:eastAsia="zh-CN"/>
              </w:rPr>
            </w:pPr>
            <w:r>
              <w:rPr>
                <w:rFonts w:hint="eastAsia"/>
                <w:color w:val="auto"/>
                <w:kern w:val="0"/>
                <w:sz w:val="22"/>
                <w:szCs w:val="22"/>
                <w:highlight w:val="none"/>
                <w:lang w:val="en-US" w:eastAsia="zh-CN"/>
              </w:rPr>
              <w:t>4</w:t>
            </w:r>
          </w:p>
        </w:tc>
      </w:tr>
      <w:tr w14:paraId="61294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trPr>
        <w:tc>
          <w:tcPr>
            <w:tcW w:w="489" w:type="pct"/>
            <w:vMerge w:val="continue"/>
            <w:shd w:val="clear" w:color="auto" w:fill="FFFFFF"/>
            <w:vAlign w:val="center"/>
          </w:tcPr>
          <w:p w14:paraId="45F0B583">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1C60C2F1">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vMerge w:val="continue"/>
            <w:shd w:val="clear" w:color="auto" w:fill="FFFFFF"/>
            <w:vAlign w:val="center"/>
          </w:tcPr>
          <w:p w14:paraId="7827F572">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723" w:type="pct"/>
            <w:shd w:val="clear" w:color="auto" w:fill="FFFFFF"/>
            <w:vAlign w:val="center"/>
          </w:tcPr>
          <w:p w14:paraId="5AC67981">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制度执行有效性</w:t>
            </w:r>
          </w:p>
        </w:tc>
        <w:tc>
          <w:tcPr>
            <w:tcW w:w="614" w:type="pct"/>
            <w:shd w:val="clear" w:color="000000" w:fill="FFFFFF"/>
            <w:vAlign w:val="center"/>
          </w:tcPr>
          <w:p w14:paraId="1A9816EA">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4</w:t>
            </w:r>
          </w:p>
        </w:tc>
        <w:tc>
          <w:tcPr>
            <w:tcW w:w="422" w:type="pct"/>
            <w:shd w:val="clear" w:color="000000" w:fill="FFFFFF"/>
            <w:vAlign w:val="center"/>
          </w:tcPr>
          <w:p w14:paraId="43BB37A5">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有效</w:t>
            </w:r>
          </w:p>
        </w:tc>
        <w:tc>
          <w:tcPr>
            <w:tcW w:w="510" w:type="pct"/>
            <w:shd w:val="clear" w:color="000000" w:fill="FFFFFF"/>
            <w:vAlign w:val="center"/>
          </w:tcPr>
          <w:p w14:paraId="767DACD6">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有效</w:t>
            </w:r>
          </w:p>
        </w:tc>
        <w:tc>
          <w:tcPr>
            <w:tcW w:w="782" w:type="pct"/>
            <w:shd w:val="clear" w:color="000000" w:fill="FFFFFF"/>
            <w:vAlign w:val="center"/>
          </w:tcPr>
          <w:p w14:paraId="0442790C">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645" w:type="pct"/>
            <w:shd w:val="clear" w:color="000000" w:fill="FFFFFF"/>
            <w:vAlign w:val="center"/>
          </w:tcPr>
          <w:p w14:paraId="67EDDC81">
            <w:pPr>
              <w:keepNext w:val="0"/>
              <w:keepLines w:val="0"/>
              <w:widowControl/>
              <w:suppressLineNumbers w:val="0"/>
              <w:spacing w:before="0" w:beforeAutospacing="0" w:after="0" w:afterAutospacing="0" w:line="0" w:lineRule="atLeast"/>
              <w:ind w:left="0" w:leftChars="0" w:right="0"/>
              <w:jc w:val="both"/>
              <w:rPr>
                <w:rFonts w:hint="eastAsia" w:eastAsia="宋体"/>
                <w:color w:val="auto"/>
                <w:kern w:val="0"/>
                <w:sz w:val="22"/>
                <w:szCs w:val="22"/>
                <w:highlight w:val="none"/>
                <w:lang w:eastAsia="zh-CN"/>
              </w:rPr>
            </w:pPr>
            <w:r>
              <w:rPr>
                <w:rFonts w:hint="eastAsia"/>
                <w:color w:val="auto"/>
                <w:kern w:val="0"/>
                <w:sz w:val="22"/>
                <w:szCs w:val="22"/>
                <w:highlight w:val="none"/>
                <w:lang w:val="en-US" w:eastAsia="zh-CN"/>
              </w:rPr>
              <w:t>4</w:t>
            </w:r>
          </w:p>
        </w:tc>
      </w:tr>
      <w:tr w14:paraId="2A3677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3" w:hRule="atLeast"/>
        </w:trPr>
        <w:tc>
          <w:tcPr>
            <w:tcW w:w="489" w:type="pct"/>
            <w:vMerge w:val="restart"/>
            <w:shd w:val="clear" w:color="auto" w:fill="FFFFFF"/>
            <w:vAlign w:val="center"/>
          </w:tcPr>
          <w:p w14:paraId="3CEE0922">
            <w:pPr>
              <w:keepNext w:val="0"/>
              <w:keepLines w:val="0"/>
              <w:widowControl/>
              <w:suppressLineNumbers w:val="0"/>
              <w:spacing w:before="0" w:beforeAutospacing="0" w:after="0" w:afterAutospacing="0" w:line="0" w:lineRule="atLeast"/>
              <w:ind w:left="0" w:leftChars="0" w:right="0" w:firstLine="0" w:firstLineChars="0"/>
              <w:jc w:val="center"/>
              <w:rPr>
                <w:rFonts w:hint="default"/>
                <w:color w:val="auto"/>
                <w:kern w:val="0"/>
                <w:sz w:val="22"/>
                <w:szCs w:val="22"/>
                <w:highlight w:val="none"/>
              </w:rPr>
            </w:pPr>
            <w:r>
              <w:rPr>
                <w:rFonts w:hint="default"/>
                <w:color w:val="auto"/>
                <w:kern w:val="0"/>
                <w:sz w:val="22"/>
                <w:szCs w:val="22"/>
                <w:highlight w:val="none"/>
              </w:rPr>
              <w:t>产出</w:t>
            </w:r>
          </w:p>
        </w:tc>
        <w:tc>
          <w:tcPr>
            <w:tcW w:w="301" w:type="pct"/>
            <w:vMerge w:val="restart"/>
            <w:shd w:val="clear" w:color="auto" w:fill="FFFFFF"/>
            <w:vAlign w:val="center"/>
          </w:tcPr>
          <w:p w14:paraId="127D79EE">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40分</w:t>
            </w:r>
          </w:p>
        </w:tc>
        <w:tc>
          <w:tcPr>
            <w:tcW w:w="510" w:type="pct"/>
            <w:shd w:val="clear" w:color="auto" w:fill="FFFFFF"/>
            <w:vAlign w:val="center"/>
          </w:tcPr>
          <w:p w14:paraId="2D716635">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产出数量</w:t>
            </w:r>
          </w:p>
        </w:tc>
        <w:tc>
          <w:tcPr>
            <w:tcW w:w="723" w:type="pct"/>
            <w:shd w:val="clear" w:color="auto" w:fill="FFFFFF"/>
            <w:vAlign w:val="center"/>
          </w:tcPr>
          <w:p w14:paraId="7744346C">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实际完成率</w:t>
            </w:r>
          </w:p>
        </w:tc>
        <w:tc>
          <w:tcPr>
            <w:tcW w:w="614" w:type="pct"/>
            <w:shd w:val="clear" w:color="000000" w:fill="FFFFFF"/>
            <w:vAlign w:val="center"/>
          </w:tcPr>
          <w:p w14:paraId="2F869437">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10</w:t>
            </w:r>
          </w:p>
        </w:tc>
        <w:tc>
          <w:tcPr>
            <w:tcW w:w="422" w:type="pct"/>
            <w:shd w:val="clear" w:color="000000" w:fill="FFFFFF"/>
            <w:vAlign w:val="center"/>
          </w:tcPr>
          <w:p w14:paraId="6C964BF6">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100%</w:t>
            </w:r>
          </w:p>
        </w:tc>
        <w:tc>
          <w:tcPr>
            <w:tcW w:w="510" w:type="pct"/>
            <w:shd w:val="clear" w:color="000000" w:fill="FFFFFF"/>
            <w:vAlign w:val="center"/>
          </w:tcPr>
          <w:p w14:paraId="07CC04E6">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782" w:type="pct"/>
            <w:shd w:val="clear" w:color="000000" w:fill="FFFFFF"/>
            <w:vAlign w:val="center"/>
          </w:tcPr>
          <w:p w14:paraId="0625C2A5">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645" w:type="pct"/>
            <w:shd w:val="clear" w:color="000000" w:fill="FFFFFF"/>
            <w:vAlign w:val="center"/>
          </w:tcPr>
          <w:p w14:paraId="345AEB07">
            <w:pPr>
              <w:keepNext w:val="0"/>
              <w:keepLines w:val="0"/>
              <w:widowControl/>
              <w:suppressLineNumbers w:val="0"/>
              <w:spacing w:before="0" w:beforeAutospacing="0" w:after="0" w:afterAutospacing="0" w:line="0" w:lineRule="atLeast"/>
              <w:ind w:left="0" w:leftChars="0" w:right="0"/>
              <w:jc w:val="both"/>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10</w:t>
            </w:r>
          </w:p>
        </w:tc>
      </w:tr>
      <w:tr w14:paraId="349728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3" w:hRule="atLeast"/>
        </w:trPr>
        <w:tc>
          <w:tcPr>
            <w:tcW w:w="489" w:type="pct"/>
            <w:vMerge w:val="continue"/>
            <w:shd w:val="clear" w:color="auto" w:fill="FFFFFF"/>
            <w:vAlign w:val="center"/>
          </w:tcPr>
          <w:p w14:paraId="68097085">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79ED72C1">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shd w:val="clear" w:color="auto" w:fill="FFFFFF"/>
            <w:vAlign w:val="center"/>
          </w:tcPr>
          <w:p w14:paraId="296B3F6F">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产出质量</w:t>
            </w:r>
          </w:p>
        </w:tc>
        <w:tc>
          <w:tcPr>
            <w:tcW w:w="723" w:type="pct"/>
            <w:shd w:val="clear" w:color="auto" w:fill="FFFFFF"/>
            <w:vAlign w:val="center"/>
          </w:tcPr>
          <w:p w14:paraId="0C20AF0E">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质量达标率</w:t>
            </w:r>
          </w:p>
        </w:tc>
        <w:tc>
          <w:tcPr>
            <w:tcW w:w="614" w:type="pct"/>
            <w:shd w:val="clear" w:color="000000" w:fill="FFFFFF"/>
            <w:vAlign w:val="center"/>
          </w:tcPr>
          <w:p w14:paraId="6FCE453C">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10</w:t>
            </w:r>
          </w:p>
        </w:tc>
        <w:tc>
          <w:tcPr>
            <w:tcW w:w="422" w:type="pct"/>
            <w:shd w:val="clear" w:color="000000" w:fill="FFFFFF"/>
            <w:vAlign w:val="center"/>
          </w:tcPr>
          <w:p w14:paraId="0656A0FE">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100%</w:t>
            </w:r>
          </w:p>
        </w:tc>
        <w:tc>
          <w:tcPr>
            <w:tcW w:w="510" w:type="pct"/>
            <w:shd w:val="clear" w:color="000000" w:fill="FFFFFF"/>
            <w:vAlign w:val="center"/>
          </w:tcPr>
          <w:p w14:paraId="64DD4C88">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782" w:type="pct"/>
            <w:shd w:val="clear" w:color="000000" w:fill="FFFFFF"/>
            <w:vAlign w:val="center"/>
          </w:tcPr>
          <w:p w14:paraId="7226C298">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645" w:type="pct"/>
            <w:shd w:val="clear" w:color="000000" w:fill="FFFFFF"/>
            <w:vAlign w:val="center"/>
          </w:tcPr>
          <w:p w14:paraId="3AF61601">
            <w:pPr>
              <w:keepNext w:val="0"/>
              <w:keepLines w:val="0"/>
              <w:widowControl/>
              <w:suppressLineNumbers w:val="0"/>
              <w:spacing w:before="0" w:beforeAutospacing="0" w:after="0" w:afterAutospacing="0" w:line="0" w:lineRule="atLeast"/>
              <w:ind w:left="0" w:leftChars="0" w:right="0"/>
              <w:jc w:val="both"/>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10</w:t>
            </w:r>
          </w:p>
        </w:tc>
      </w:tr>
      <w:tr w14:paraId="62B369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3" w:hRule="atLeast"/>
        </w:trPr>
        <w:tc>
          <w:tcPr>
            <w:tcW w:w="489" w:type="pct"/>
            <w:vMerge w:val="continue"/>
            <w:shd w:val="clear" w:color="auto" w:fill="FFFFFF"/>
            <w:vAlign w:val="center"/>
          </w:tcPr>
          <w:p w14:paraId="1734046C">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2F6C7D2A">
            <w:pPr>
              <w:keepNext w:val="0"/>
              <w:keepLines w:val="0"/>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shd w:val="clear" w:color="auto" w:fill="FFFFFF"/>
            <w:vAlign w:val="center"/>
          </w:tcPr>
          <w:p w14:paraId="71F616A2">
            <w:pPr>
              <w:keepNext w:val="0"/>
              <w:keepLines w:val="0"/>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产出时效</w:t>
            </w:r>
          </w:p>
        </w:tc>
        <w:tc>
          <w:tcPr>
            <w:tcW w:w="723" w:type="pct"/>
            <w:shd w:val="clear" w:color="auto" w:fill="FFFFFF"/>
            <w:vAlign w:val="center"/>
          </w:tcPr>
          <w:p w14:paraId="33DE7BB1">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完成及时性</w:t>
            </w:r>
          </w:p>
        </w:tc>
        <w:tc>
          <w:tcPr>
            <w:tcW w:w="614" w:type="pct"/>
            <w:shd w:val="clear" w:color="000000" w:fill="FFFFFF"/>
            <w:vAlign w:val="center"/>
          </w:tcPr>
          <w:p w14:paraId="3ECFE568">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10</w:t>
            </w:r>
          </w:p>
        </w:tc>
        <w:tc>
          <w:tcPr>
            <w:tcW w:w="422" w:type="pct"/>
            <w:shd w:val="clear" w:color="000000" w:fill="FFFFFF"/>
            <w:vAlign w:val="center"/>
          </w:tcPr>
          <w:p w14:paraId="25DA3530">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及时</w:t>
            </w:r>
          </w:p>
        </w:tc>
        <w:tc>
          <w:tcPr>
            <w:tcW w:w="510" w:type="pct"/>
            <w:shd w:val="clear" w:color="000000" w:fill="FFFFFF"/>
            <w:vAlign w:val="center"/>
          </w:tcPr>
          <w:p w14:paraId="7083744C">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及时</w:t>
            </w:r>
          </w:p>
        </w:tc>
        <w:tc>
          <w:tcPr>
            <w:tcW w:w="782" w:type="pct"/>
            <w:shd w:val="clear" w:color="000000" w:fill="FFFFFF"/>
            <w:vAlign w:val="center"/>
          </w:tcPr>
          <w:p w14:paraId="26EE0A50">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645" w:type="pct"/>
            <w:shd w:val="clear" w:color="000000" w:fill="FFFFFF"/>
            <w:vAlign w:val="center"/>
          </w:tcPr>
          <w:p w14:paraId="6BE42DA6">
            <w:pPr>
              <w:keepNext w:val="0"/>
              <w:keepLines w:val="0"/>
              <w:widowControl/>
              <w:suppressLineNumbers w:val="0"/>
              <w:spacing w:before="0" w:beforeAutospacing="0" w:after="0" w:afterAutospacing="0" w:line="0" w:lineRule="atLeast"/>
              <w:ind w:left="0" w:leftChars="0" w:right="0"/>
              <w:jc w:val="both"/>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10</w:t>
            </w:r>
          </w:p>
        </w:tc>
      </w:tr>
      <w:tr w14:paraId="77583C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3" w:hRule="atLeast"/>
        </w:trPr>
        <w:tc>
          <w:tcPr>
            <w:tcW w:w="489" w:type="pct"/>
            <w:vMerge w:val="continue"/>
            <w:shd w:val="clear" w:color="auto" w:fill="FFFFFF"/>
            <w:vAlign w:val="center"/>
          </w:tcPr>
          <w:p w14:paraId="0763105C">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23CEF60B">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shd w:val="clear" w:color="auto" w:fill="FFFFFF"/>
            <w:vAlign w:val="center"/>
          </w:tcPr>
          <w:p w14:paraId="77B07EB2">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产出成本</w:t>
            </w:r>
          </w:p>
        </w:tc>
        <w:tc>
          <w:tcPr>
            <w:tcW w:w="723" w:type="pct"/>
            <w:shd w:val="clear" w:color="auto" w:fill="FFFFFF"/>
            <w:vAlign w:val="center"/>
          </w:tcPr>
          <w:p w14:paraId="34526FF6">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成本节约率</w:t>
            </w:r>
          </w:p>
        </w:tc>
        <w:tc>
          <w:tcPr>
            <w:tcW w:w="614" w:type="pct"/>
            <w:shd w:val="clear" w:color="000000" w:fill="FFFFFF"/>
            <w:vAlign w:val="center"/>
          </w:tcPr>
          <w:p w14:paraId="6505BDC9">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10</w:t>
            </w:r>
          </w:p>
        </w:tc>
        <w:tc>
          <w:tcPr>
            <w:tcW w:w="422" w:type="pct"/>
            <w:shd w:val="clear" w:color="000000" w:fill="FFFFFF"/>
            <w:vAlign w:val="center"/>
          </w:tcPr>
          <w:p w14:paraId="63B7BA2B">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100%</w:t>
            </w:r>
          </w:p>
        </w:tc>
        <w:tc>
          <w:tcPr>
            <w:tcW w:w="510" w:type="pct"/>
            <w:shd w:val="clear" w:color="000000" w:fill="FFFFFF"/>
            <w:vAlign w:val="center"/>
          </w:tcPr>
          <w:p w14:paraId="01EFB7FA">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lang w:val="en-US"/>
              </w:rPr>
              <w:t>134</w:t>
            </w:r>
            <w:r>
              <w:rPr>
                <w:rFonts w:hint="default"/>
                <w:color w:val="auto"/>
                <w:kern w:val="0"/>
                <w:sz w:val="22"/>
                <w:szCs w:val="22"/>
                <w:highlight w:val="none"/>
              </w:rPr>
              <w:t>%</w:t>
            </w:r>
          </w:p>
        </w:tc>
        <w:tc>
          <w:tcPr>
            <w:tcW w:w="782" w:type="pct"/>
            <w:shd w:val="clear" w:color="000000" w:fill="FFFFFF"/>
            <w:vAlign w:val="center"/>
          </w:tcPr>
          <w:p w14:paraId="3CFEB26A">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lang w:val="en-US" w:eastAsia="zh-CN"/>
              </w:rPr>
              <w:t>66</w:t>
            </w:r>
            <w:r>
              <w:rPr>
                <w:rFonts w:hint="default"/>
                <w:color w:val="auto"/>
                <w:kern w:val="0"/>
                <w:sz w:val="22"/>
                <w:szCs w:val="22"/>
                <w:highlight w:val="none"/>
              </w:rPr>
              <w:t>%</w:t>
            </w:r>
          </w:p>
        </w:tc>
        <w:tc>
          <w:tcPr>
            <w:tcW w:w="645" w:type="pct"/>
            <w:shd w:val="clear" w:color="000000" w:fill="FFFFFF"/>
            <w:vAlign w:val="center"/>
          </w:tcPr>
          <w:p w14:paraId="7A04801F">
            <w:pPr>
              <w:keepNext w:val="0"/>
              <w:keepLines w:val="0"/>
              <w:widowControl/>
              <w:suppressLineNumbers w:val="0"/>
              <w:spacing w:before="0" w:beforeAutospacing="0" w:after="0" w:afterAutospacing="0" w:line="0" w:lineRule="atLeast"/>
              <w:ind w:left="0" w:leftChars="0" w:right="0"/>
              <w:jc w:val="both"/>
              <w:rPr>
                <w:rFonts w:hint="default" w:eastAsia="宋体"/>
                <w:color w:val="auto"/>
                <w:kern w:val="0"/>
                <w:sz w:val="22"/>
                <w:szCs w:val="22"/>
                <w:highlight w:val="none"/>
                <w:lang w:val="en-US" w:eastAsia="zh-CN"/>
              </w:rPr>
            </w:pPr>
            <w:r>
              <w:rPr>
                <w:rFonts w:hint="default"/>
                <w:color w:val="auto"/>
                <w:kern w:val="0"/>
                <w:sz w:val="22"/>
                <w:szCs w:val="22"/>
                <w:highlight w:val="none"/>
                <w:lang w:val="en-US" w:eastAsia="zh-CN"/>
              </w:rPr>
              <w:t>6.6</w:t>
            </w:r>
          </w:p>
        </w:tc>
      </w:tr>
      <w:tr w14:paraId="56F114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trPr>
        <w:tc>
          <w:tcPr>
            <w:tcW w:w="489" w:type="pct"/>
            <w:vMerge w:val="restart"/>
            <w:shd w:val="clear" w:color="auto" w:fill="FFFFFF"/>
            <w:vAlign w:val="center"/>
          </w:tcPr>
          <w:p w14:paraId="3B8EFDD5">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效益　</w:t>
            </w:r>
          </w:p>
        </w:tc>
        <w:tc>
          <w:tcPr>
            <w:tcW w:w="301" w:type="pct"/>
            <w:vMerge w:val="restart"/>
            <w:shd w:val="clear" w:color="auto" w:fill="FFFFFF"/>
            <w:vAlign w:val="center"/>
          </w:tcPr>
          <w:p w14:paraId="3BCCBE26">
            <w:pPr>
              <w:keepNext w:val="0"/>
              <w:keepLines w:val="0"/>
              <w:widowControl/>
              <w:suppressLineNumbers w:val="0"/>
              <w:spacing w:before="0" w:beforeAutospacing="0" w:after="0" w:afterAutospacing="0" w:line="0" w:lineRule="atLeast"/>
              <w:ind w:left="0" w:leftChars="0" w:right="0" w:firstLine="0" w:firstLineChars="0"/>
              <w:jc w:val="center"/>
              <w:rPr>
                <w:rFonts w:hint="default"/>
                <w:color w:val="auto"/>
                <w:kern w:val="0"/>
                <w:sz w:val="22"/>
                <w:szCs w:val="22"/>
                <w:highlight w:val="none"/>
              </w:rPr>
            </w:pPr>
            <w:r>
              <w:rPr>
                <w:rFonts w:hint="default"/>
                <w:color w:val="auto"/>
                <w:kern w:val="0"/>
                <w:sz w:val="22"/>
                <w:szCs w:val="22"/>
                <w:highlight w:val="none"/>
              </w:rPr>
              <w:t>20分</w:t>
            </w:r>
          </w:p>
        </w:tc>
        <w:tc>
          <w:tcPr>
            <w:tcW w:w="510" w:type="pct"/>
            <w:vMerge w:val="restart"/>
            <w:shd w:val="clear" w:color="auto" w:fill="FFFFFF"/>
            <w:vAlign w:val="center"/>
          </w:tcPr>
          <w:p w14:paraId="4F12CCEB">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项目效益　</w:t>
            </w:r>
          </w:p>
        </w:tc>
        <w:tc>
          <w:tcPr>
            <w:tcW w:w="723" w:type="pct"/>
            <w:shd w:val="clear" w:color="auto" w:fill="FFFFFF"/>
            <w:vAlign w:val="center"/>
          </w:tcPr>
          <w:p w14:paraId="6D04B719">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实施效益（社会效益、经济效益、可持续效益）</w:t>
            </w:r>
          </w:p>
        </w:tc>
        <w:tc>
          <w:tcPr>
            <w:tcW w:w="614" w:type="pct"/>
            <w:shd w:val="clear" w:color="auto" w:fill="FFFFFF"/>
            <w:vAlign w:val="center"/>
          </w:tcPr>
          <w:p w14:paraId="76A451B9">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10</w:t>
            </w:r>
          </w:p>
        </w:tc>
        <w:tc>
          <w:tcPr>
            <w:tcW w:w="422" w:type="pct"/>
            <w:shd w:val="clear" w:color="auto" w:fill="FFFFFF"/>
            <w:vAlign w:val="center"/>
          </w:tcPr>
          <w:p w14:paraId="73B130A6">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有效</w:t>
            </w:r>
          </w:p>
        </w:tc>
        <w:tc>
          <w:tcPr>
            <w:tcW w:w="510" w:type="pct"/>
            <w:shd w:val="clear" w:color="auto" w:fill="FFFFFF"/>
            <w:vAlign w:val="center"/>
          </w:tcPr>
          <w:p w14:paraId="30A570D9">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有效</w:t>
            </w:r>
          </w:p>
        </w:tc>
        <w:tc>
          <w:tcPr>
            <w:tcW w:w="782" w:type="pct"/>
            <w:shd w:val="clear" w:color="auto" w:fill="FFFFFF"/>
            <w:vAlign w:val="center"/>
          </w:tcPr>
          <w:p w14:paraId="2ED2DCE7">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eastAsia"/>
                <w:color w:val="auto"/>
                <w:kern w:val="0"/>
                <w:sz w:val="22"/>
                <w:szCs w:val="22"/>
                <w:highlight w:val="none"/>
                <w:lang w:val="en-US" w:eastAsia="zh-CN"/>
              </w:rPr>
              <w:t>100</w:t>
            </w:r>
            <w:r>
              <w:rPr>
                <w:rFonts w:hint="default"/>
                <w:color w:val="auto"/>
                <w:kern w:val="0"/>
                <w:sz w:val="22"/>
                <w:szCs w:val="22"/>
                <w:highlight w:val="none"/>
              </w:rPr>
              <w:t>%</w:t>
            </w:r>
          </w:p>
        </w:tc>
        <w:tc>
          <w:tcPr>
            <w:tcW w:w="645" w:type="pct"/>
            <w:shd w:val="clear" w:color="auto" w:fill="FFFFFF"/>
            <w:vAlign w:val="center"/>
          </w:tcPr>
          <w:p w14:paraId="1F777E0E">
            <w:pPr>
              <w:keepNext w:val="0"/>
              <w:keepLines w:val="0"/>
              <w:widowControl/>
              <w:suppressLineNumbers w:val="0"/>
              <w:spacing w:before="0" w:beforeAutospacing="0" w:after="0" w:afterAutospacing="0" w:line="0" w:lineRule="atLeast"/>
              <w:ind w:left="0" w:leftChars="0" w:right="0"/>
              <w:jc w:val="both"/>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10</w:t>
            </w:r>
          </w:p>
        </w:tc>
      </w:tr>
      <w:tr w14:paraId="77B8A0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3" w:hRule="atLeast"/>
        </w:trPr>
        <w:tc>
          <w:tcPr>
            <w:tcW w:w="489" w:type="pct"/>
            <w:vMerge w:val="continue"/>
            <w:shd w:val="clear" w:color="auto" w:fill="FFFFFF"/>
            <w:vAlign w:val="center"/>
          </w:tcPr>
          <w:p w14:paraId="1FB8FE24">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301" w:type="pct"/>
            <w:vMerge w:val="continue"/>
            <w:shd w:val="clear" w:color="auto" w:fill="FFFFFF"/>
            <w:vAlign w:val="center"/>
          </w:tcPr>
          <w:p w14:paraId="179C99EA">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510" w:type="pct"/>
            <w:vMerge w:val="continue"/>
            <w:shd w:val="clear" w:color="auto" w:fill="FFFFFF"/>
            <w:vAlign w:val="center"/>
          </w:tcPr>
          <w:p w14:paraId="1A77A086">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p>
        </w:tc>
        <w:tc>
          <w:tcPr>
            <w:tcW w:w="723" w:type="pct"/>
            <w:shd w:val="clear" w:color="auto" w:fill="FFFFFF"/>
            <w:vAlign w:val="center"/>
          </w:tcPr>
          <w:p w14:paraId="0531B17C">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满意度</w:t>
            </w:r>
          </w:p>
        </w:tc>
        <w:tc>
          <w:tcPr>
            <w:tcW w:w="614" w:type="pct"/>
            <w:shd w:val="clear" w:color="000000" w:fill="FFFFFF"/>
            <w:vAlign w:val="center"/>
          </w:tcPr>
          <w:p w14:paraId="01863E69">
            <w:pPr>
              <w:keepNext w:val="0"/>
              <w:keepLines w:val="0"/>
              <w:widowControl/>
              <w:suppressLineNumbers w:val="0"/>
              <w:spacing w:before="0" w:beforeAutospacing="0" w:after="0" w:afterAutospacing="0" w:line="0" w:lineRule="atLeast"/>
              <w:ind w:left="0" w:leftChars="0" w:right="0"/>
              <w:jc w:val="both"/>
              <w:rPr>
                <w:rFonts w:hint="default"/>
                <w:color w:val="auto"/>
                <w:kern w:val="0"/>
                <w:sz w:val="22"/>
                <w:szCs w:val="22"/>
                <w:highlight w:val="none"/>
              </w:rPr>
            </w:pPr>
            <w:r>
              <w:rPr>
                <w:rFonts w:hint="default"/>
                <w:color w:val="auto"/>
                <w:kern w:val="0"/>
                <w:sz w:val="22"/>
                <w:szCs w:val="22"/>
                <w:highlight w:val="none"/>
              </w:rPr>
              <w:t>10</w:t>
            </w:r>
          </w:p>
        </w:tc>
        <w:tc>
          <w:tcPr>
            <w:tcW w:w="422" w:type="pct"/>
            <w:shd w:val="clear" w:color="000000" w:fill="FFFFFF"/>
            <w:vAlign w:val="center"/>
          </w:tcPr>
          <w:p w14:paraId="0E0E1AF0">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default"/>
                <w:color w:val="auto"/>
                <w:kern w:val="0"/>
                <w:sz w:val="22"/>
                <w:szCs w:val="22"/>
                <w:highlight w:val="none"/>
              </w:rPr>
              <w:t>≥</w:t>
            </w:r>
            <w:r>
              <w:rPr>
                <w:rFonts w:hint="eastAsia"/>
                <w:color w:val="auto"/>
                <w:kern w:val="0"/>
                <w:sz w:val="22"/>
                <w:szCs w:val="22"/>
                <w:highlight w:val="none"/>
                <w:lang w:val="en-US" w:eastAsia="zh-CN"/>
              </w:rPr>
              <w:t>90</w:t>
            </w:r>
            <w:r>
              <w:rPr>
                <w:rFonts w:hint="default"/>
                <w:color w:val="auto"/>
                <w:kern w:val="0"/>
                <w:sz w:val="22"/>
                <w:szCs w:val="22"/>
                <w:highlight w:val="none"/>
              </w:rPr>
              <w:t>%</w:t>
            </w:r>
          </w:p>
        </w:tc>
        <w:tc>
          <w:tcPr>
            <w:tcW w:w="510" w:type="pct"/>
            <w:shd w:val="clear" w:color="000000" w:fill="FFFFFF"/>
            <w:vAlign w:val="center"/>
          </w:tcPr>
          <w:p w14:paraId="097724E6">
            <w:pPr>
              <w:keepNext w:val="0"/>
              <w:keepLines w:val="0"/>
              <w:widowControl/>
              <w:suppressLineNumbers w:val="0"/>
              <w:spacing w:before="0" w:beforeAutospacing="0" w:after="0" w:afterAutospacing="0" w:line="0" w:lineRule="atLeast"/>
              <w:ind w:left="0" w:leftChars="0" w:right="0" w:firstLine="0" w:firstLineChars="0"/>
              <w:jc w:val="both"/>
              <w:rPr>
                <w:rFonts w:hint="default"/>
                <w:color w:val="auto"/>
                <w:kern w:val="0"/>
                <w:sz w:val="22"/>
                <w:szCs w:val="22"/>
                <w:highlight w:val="none"/>
              </w:rPr>
            </w:pPr>
            <w:r>
              <w:rPr>
                <w:rFonts w:hint="eastAsia"/>
                <w:color w:val="auto"/>
                <w:kern w:val="0"/>
                <w:sz w:val="22"/>
                <w:szCs w:val="22"/>
                <w:highlight w:val="none"/>
                <w:lang w:val="en-US" w:eastAsia="zh-CN"/>
              </w:rPr>
              <w:t>85.2</w:t>
            </w:r>
            <w:r>
              <w:rPr>
                <w:rFonts w:hint="default"/>
                <w:color w:val="auto"/>
                <w:kern w:val="0"/>
                <w:sz w:val="22"/>
                <w:szCs w:val="22"/>
                <w:highlight w:val="none"/>
              </w:rPr>
              <w:t>%</w:t>
            </w:r>
          </w:p>
        </w:tc>
        <w:tc>
          <w:tcPr>
            <w:tcW w:w="782" w:type="pct"/>
            <w:shd w:val="clear" w:color="000000" w:fill="FFFFFF"/>
            <w:vAlign w:val="center"/>
          </w:tcPr>
          <w:p w14:paraId="6D4BDF22">
            <w:pPr>
              <w:keepNext w:val="0"/>
              <w:keepLines w:val="0"/>
              <w:widowControl/>
              <w:suppressLineNumbers w:val="0"/>
              <w:spacing w:before="0" w:beforeAutospacing="0" w:after="0" w:afterAutospacing="0" w:line="0" w:lineRule="atLeast"/>
              <w:ind w:left="0" w:leftChars="0" w:right="0" w:firstLine="0" w:firstLineChars="0"/>
              <w:jc w:val="both"/>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94.67%</w:t>
            </w:r>
          </w:p>
        </w:tc>
        <w:tc>
          <w:tcPr>
            <w:tcW w:w="645" w:type="pct"/>
            <w:shd w:val="clear" w:color="000000" w:fill="FFFFFF"/>
            <w:vAlign w:val="center"/>
          </w:tcPr>
          <w:p w14:paraId="6387E5B4">
            <w:pPr>
              <w:keepNext w:val="0"/>
              <w:keepLines w:val="0"/>
              <w:widowControl/>
              <w:suppressLineNumbers w:val="0"/>
              <w:spacing w:before="0" w:beforeAutospacing="0" w:after="0" w:afterAutospacing="0" w:line="0" w:lineRule="atLeast"/>
              <w:ind w:left="0" w:leftChars="0" w:right="0" w:firstLine="0" w:firstLineChars="0"/>
              <w:jc w:val="both"/>
              <w:rPr>
                <w:rFonts w:hint="default" w:eastAsia="宋体"/>
                <w:color w:val="auto"/>
                <w:kern w:val="0"/>
                <w:sz w:val="22"/>
                <w:szCs w:val="22"/>
                <w:highlight w:val="none"/>
                <w:lang w:val="en-US" w:eastAsia="zh-CN"/>
              </w:rPr>
            </w:pPr>
            <w:r>
              <w:rPr>
                <w:rFonts w:hint="eastAsia"/>
                <w:color w:val="auto"/>
                <w:kern w:val="0"/>
                <w:sz w:val="22"/>
                <w:szCs w:val="22"/>
                <w:highlight w:val="none"/>
                <w:lang w:val="en-US" w:eastAsia="zh-CN"/>
              </w:rPr>
              <w:t>9.47</w:t>
            </w:r>
          </w:p>
        </w:tc>
      </w:tr>
    </w:tbl>
    <w:p w14:paraId="53C34425">
      <w:pPr>
        <w:spacing w:line="560" w:lineRule="exact"/>
        <w:ind w:left="0" w:leftChars="0" w:firstLine="640" w:firstLineChars="200"/>
        <w:rPr>
          <w:rFonts w:eastAsia="黑体"/>
          <w:color w:val="auto"/>
          <w:sz w:val="32"/>
          <w:szCs w:val="32"/>
          <w:highlight w:val="none"/>
        </w:rPr>
      </w:pPr>
      <w:r>
        <w:rPr>
          <w:rFonts w:eastAsia="黑体"/>
          <w:color w:val="auto"/>
          <w:sz w:val="32"/>
          <w:szCs w:val="32"/>
          <w:highlight w:val="none"/>
        </w:rPr>
        <w:t>四、绩效评价指标分析</w:t>
      </w:r>
    </w:p>
    <w:p w14:paraId="73CD25D4">
      <w:pPr>
        <w:pStyle w:val="2"/>
        <w:spacing w:before="0" w:after="0" w:line="560" w:lineRule="exact"/>
        <w:ind w:firstLine="643" w:firstLineChars="200"/>
        <w:jc w:val="both"/>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14:paraId="26308108">
      <w:pPr>
        <w:spacing w:line="360" w:lineRule="auto"/>
        <w:ind w:left="0" w:leftChars="0" w:firstLine="639" w:firstLineChars="213"/>
        <w:rPr>
          <w:rFonts w:eastAsia="仿宋_GB2312"/>
          <w:color w:val="auto"/>
          <w:sz w:val="30"/>
          <w:highlight w:val="none"/>
        </w:rPr>
      </w:pPr>
      <w:r>
        <w:rPr>
          <w:rFonts w:hint="eastAsia" w:eastAsia="仿宋_GB2312"/>
          <w:color w:val="auto"/>
          <w:sz w:val="30"/>
          <w:highlight w:val="none"/>
        </w:rPr>
        <w:t>1、立项依据充分性</w:t>
      </w:r>
    </w:p>
    <w:p w14:paraId="18E192B6">
      <w:pPr>
        <w:spacing w:line="360" w:lineRule="auto"/>
        <w:ind w:left="0" w:leftChars="0" w:firstLine="640" w:firstLineChars="200"/>
        <w:rPr>
          <w:rFonts w:eastAsia="仿宋_GB2312"/>
          <w:color w:val="auto"/>
          <w:sz w:val="30"/>
          <w:highlight w:val="none"/>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w:t>
      </w:r>
      <w:r>
        <w:rPr>
          <w:rFonts w:hint="eastAsia" w:ascii="仿宋_GB2312" w:hAnsi="仿宋_GB2312" w:eastAsia="仿宋_GB2312" w:cs="仿宋_GB2312"/>
          <w:b w:val="0"/>
          <w:bCs/>
          <w:color w:val="auto"/>
          <w:kern w:val="2"/>
          <w:sz w:val="32"/>
          <w:szCs w:val="32"/>
          <w:highlight w:val="none"/>
          <w:lang w:val="en-US" w:eastAsia="zh-CN" w:bidi="ar-SA"/>
        </w:rPr>
        <w:t>在</w:t>
      </w:r>
      <w:r>
        <w:rPr>
          <w:rFonts w:hint="eastAsia" w:ascii="仿宋_GB2312" w:hAnsi="仿宋_GB2312" w:cs="仿宋_GB2312"/>
          <w:b w:val="0"/>
          <w:bCs/>
          <w:color w:val="auto"/>
          <w:kern w:val="2"/>
          <w:sz w:val="32"/>
          <w:szCs w:val="32"/>
          <w:highlight w:val="none"/>
          <w:lang w:val="en-US" w:eastAsia="zh-CN" w:bidi="ar-SA"/>
        </w:rPr>
        <w:t>严格遵守</w:t>
      </w:r>
      <w:r>
        <w:rPr>
          <w:rFonts w:hint="eastAsia" w:ascii="仿宋_GB2312" w:hAnsi="仿宋_GB2312" w:eastAsia="仿宋_GB2312" w:cs="仿宋_GB2312"/>
          <w:b w:val="0"/>
          <w:bCs/>
          <w:color w:val="auto"/>
          <w:kern w:val="2"/>
          <w:sz w:val="32"/>
          <w:szCs w:val="32"/>
          <w:highlight w:val="none"/>
          <w:lang w:val="en-US" w:eastAsia="zh-CN" w:bidi="ar-SA"/>
        </w:rPr>
        <w:t>《预算法</w:t>
      </w:r>
      <w:r>
        <w:rPr>
          <w:rFonts w:hint="eastAsia" w:ascii="仿宋_GB2312" w:hAnsi="仿宋_GB2312" w:cs="仿宋_GB2312"/>
          <w:b w:val="0"/>
          <w:bCs/>
          <w:color w:val="auto"/>
          <w:kern w:val="2"/>
          <w:sz w:val="32"/>
          <w:szCs w:val="32"/>
          <w:highlight w:val="none"/>
          <w:lang w:val="en-US" w:eastAsia="zh-CN" w:bidi="ar-SA"/>
        </w:rPr>
        <w:t>》《</w:t>
      </w:r>
      <w:r>
        <w:rPr>
          <w:rFonts w:hint="eastAsia" w:ascii="仿宋_GB2312" w:hAnsi="仿宋_GB2312" w:eastAsia="仿宋_GB2312" w:cs="仿宋_GB2312"/>
          <w:bCs/>
          <w:color w:val="auto"/>
          <w:sz w:val="32"/>
          <w:szCs w:val="32"/>
          <w:highlight w:val="none"/>
          <w:lang w:val="en-US" w:eastAsia="zh-CN"/>
        </w:rPr>
        <w:t>政府采购法</w:t>
      </w:r>
      <w:r>
        <w:rPr>
          <w:rFonts w:hint="eastAsia" w:ascii="仿宋_GB2312" w:hAnsi="仿宋_GB2312" w:cs="仿宋_GB2312"/>
          <w:bCs/>
          <w:color w:val="auto"/>
          <w:sz w:val="32"/>
          <w:szCs w:val="32"/>
          <w:highlight w:val="none"/>
          <w:lang w:val="en-US" w:eastAsia="zh-CN"/>
        </w:rPr>
        <w:t>》《</w:t>
      </w:r>
      <w:r>
        <w:rPr>
          <w:rFonts w:hint="eastAsia" w:ascii="仿宋_GB2312" w:hAnsi="仿宋_GB2312" w:eastAsia="仿宋_GB2312" w:cs="仿宋_GB2312"/>
          <w:bCs/>
          <w:color w:val="auto"/>
          <w:sz w:val="32"/>
          <w:szCs w:val="32"/>
          <w:highlight w:val="none"/>
          <w:lang w:val="en-US" w:eastAsia="zh-CN"/>
        </w:rPr>
        <w:t>自治区政府集中采购目录及标准》</w:t>
      </w:r>
      <w:r>
        <w:rPr>
          <w:rFonts w:hint="eastAsia" w:ascii="仿宋_GB2312" w:hAnsi="仿宋_GB2312" w:eastAsia="仿宋_GB2312" w:cs="仿宋_GB2312"/>
          <w:b w:val="0"/>
          <w:bCs/>
          <w:color w:val="auto"/>
          <w:kern w:val="2"/>
          <w:sz w:val="32"/>
          <w:szCs w:val="32"/>
          <w:highlight w:val="none"/>
          <w:lang w:val="en-US" w:eastAsia="zh-CN" w:bidi="ar-SA"/>
        </w:rPr>
        <w:t>等法律法规和政策文件的基础上，科学编制2023年度政府采购项目预算并获得财政批复，严格按照经批复的预算开展预算执行工作，对医院各项业务正常运行和患者诊疗救治起到良好支撑作用。</w:t>
      </w:r>
    </w:p>
    <w:p w14:paraId="0C5F1646">
      <w:pPr>
        <w:spacing w:line="360" w:lineRule="auto"/>
        <w:ind w:left="0" w:leftChars="0" w:firstLine="681" w:firstLineChars="21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2、立项程序规范性</w:t>
      </w:r>
    </w:p>
    <w:p w14:paraId="608D9528">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该项目属于历史性延续项目，每年均按照财政</w:t>
      </w:r>
      <w:r>
        <w:rPr>
          <w:rFonts w:hint="default" w:ascii="Times New Roman" w:hAnsi="Times New Roman" w:eastAsia="仿宋_GB2312" w:cs="Times New Roman"/>
          <w:color w:val="auto"/>
          <w:sz w:val="32"/>
          <w:szCs w:val="32"/>
          <w:highlight w:val="none"/>
        </w:rPr>
        <w:t>规定的程序申请设立</w:t>
      </w:r>
      <w:r>
        <w:rPr>
          <w:rFonts w:hint="default" w:ascii="Times New Roman" w:hAnsi="Times New Roman" w:eastAsia="仿宋_GB2312" w:cs="Times New Roman"/>
          <w:color w:val="auto"/>
          <w:sz w:val="32"/>
          <w:szCs w:val="32"/>
          <w:highlight w:val="none"/>
          <w:lang w:eastAsia="zh-CN"/>
        </w:rPr>
        <w:t>，经历一体化平台项目库申报</w:t>
      </w:r>
      <w:r>
        <w:rPr>
          <w:rFonts w:hint="default" w:ascii="Times New Roman" w:hAnsi="Times New Roman" w:eastAsia="仿宋_GB2312" w:cs="Times New Roman"/>
          <w:color w:val="auto"/>
          <w:sz w:val="32"/>
          <w:szCs w:val="32"/>
          <w:highlight w:val="none"/>
          <w:lang w:val="en-US" w:eastAsia="zh-CN"/>
        </w:rPr>
        <w:t>-预算编制-编制批复流程，属于规范项目，符合项目规范立项要求</w:t>
      </w:r>
      <w:r>
        <w:rPr>
          <w:rFonts w:hint="eastAsia" w:cs="Times New Roman"/>
          <w:color w:val="auto"/>
          <w:sz w:val="32"/>
          <w:szCs w:val="32"/>
          <w:highlight w:val="none"/>
          <w:lang w:val="en-US" w:eastAsia="zh-CN"/>
        </w:rPr>
        <w:t>。</w:t>
      </w:r>
      <w:r>
        <w:rPr>
          <w:rFonts w:hint="eastAsia" w:ascii="仿宋_GB2312" w:hAnsi="仿宋_GB2312" w:eastAsia="仿宋_GB2312" w:cs="仿宋_GB2312"/>
          <w:sz w:val="32"/>
          <w:szCs w:val="32"/>
          <w:highlight w:val="none"/>
          <w:lang w:val="en-US" w:eastAsia="zh-CN"/>
        </w:rPr>
        <w:t>项目的审批文件、材料符合相关要求，项目事前经过必要的可行性研究、专家论证、风险评估、绩效评估、集体决策，保障了程序的规范性。</w:t>
      </w:r>
    </w:p>
    <w:p w14:paraId="5212B49A">
      <w:pPr>
        <w:spacing w:line="360" w:lineRule="auto"/>
        <w:ind w:left="0" w:leftChars="0" w:firstLine="681" w:firstLineChars="21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3、绩效目标合理性</w:t>
      </w:r>
    </w:p>
    <w:p w14:paraId="3F0AB0E4">
      <w:pPr>
        <w:spacing w:line="360"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2023年</w:t>
      </w:r>
      <w:r>
        <w:rPr>
          <w:rFonts w:hint="eastAsia" w:ascii="仿宋_GB2312" w:hAnsi="仿宋_GB2312" w:eastAsia="仿宋_GB2312" w:cs="仿宋_GB2312"/>
          <w:sz w:val="32"/>
          <w:szCs w:val="32"/>
          <w:highlight w:val="none"/>
          <w:lang w:val="en-US" w:eastAsia="zh-Hans"/>
        </w:rPr>
        <w:t>年初结合实际工作内容</w:t>
      </w:r>
      <w:r>
        <w:rPr>
          <w:rFonts w:hint="eastAsia" w:ascii="仿宋_GB2312" w:hAnsi="仿宋_GB2312" w:eastAsia="仿宋_GB2312" w:cs="仿宋_GB2312"/>
          <w:sz w:val="32"/>
          <w:szCs w:val="32"/>
          <w:highlight w:val="none"/>
          <w:lang w:val="en-US" w:eastAsia="zh-CN"/>
        </w:rPr>
        <w:t>设定绩效目标</w:t>
      </w:r>
      <w:r>
        <w:rPr>
          <w:rFonts w:hint="eastAsia" w:ascii="仿宋_GB2312" w:hAnsi="仿宋_GB2312" w:eastAsia="仿宋_GB2312" w:cs="仿宋_GB2312"/>
          <w:sz w:val="32"/>
          <w:szCs w:val="32"/>
          <w:highlight w:val="none"/>
          <w:lang w:val="en-US" w:eastAsia="zh-Hans"/>
        </w:rPr>
        <w:t>，绩效目标</w:t>
      </w:r>
      <w:r>
        <w:rPr>
          <w:rFonts w:hint="eastAsia" w:ascii="仿宋_GB2312" w:hAnsi="仿宋_GB2312" w:eastAsia="仿宋_GB2312" w:cs="仿宋_GB2312"/>
          <w:sz w:val="32"/>
          <w:szCs w:val="32"/>
          <w:highlight w:val="none"/>
          <w:lang w:val="en-US" w:eastAsia="zh-CN"/>
        </w:rPr>
        <w:t>依据充分，符合客观实际，能反映和考核项目绩效目标与项目实施的相符情况，依据绩效目标设定的绩效指标清晰、细化、可衡量，能反映和考核项目绩效目标</w:t>
      </w:r>
      <w:r>
        <w:rPr>
          <w:rFonts w:hint="eastAsia" w:ascii="仿宋_GB2312" w:hAnsi="仿宋_GB2312" w:cs="仿宋_GB2312"/>
          <w:sz w:val="32"/>
          <w:szCs w:val="32"/>
          <w:highlight w:val="none"/>
          <w:lang w:val="en-US" w:eastAsia="zh-CN"/>
        </w:rPr>
        <w:t>的</w:t>
      </w:r>
      <w:r>
        <w:rPr>
          <w:rFonts w:hint="eastAsia" w:ascii="仿宋_GB2312" w:hAnsi="仿宋_GB2312" w:eastAsia="仿宋_GB2312" w:cs="仿宋_GB2312"/>
          <w:sz w:val="32"/>
          <w:szCs w:val="32"/>
          <w:highlight w:val="none"/>
          <w:lang w:val="en-US" w:eastAsia="zh-CN"/>
        </w:rPr>
        <w:t>细化情况。</w:t>
      </w:r>
      <w:r>
        <w:rPr>
          <w:rFonts w:hint="default" w:ascii="Times New Roman" w:hAnsi="Times New Roman" w:eastAsia="仿宋_GB2312" w:cs="Times New Roman"/>
          <w:color w:val="auto"/>
          <w:sz w:val="32"/>
          <w:szCs w:val="32"/>
          <w:highlight w:val="none"/>
        </w:rPr>
        <w:t>与</w:t>
      </w:r>
      <w:r>
        <w:rPr>
          <w:rFonts w:hint="default" w:ascii="Times New Roman" w:hAnsi="Times New Roman" w:eastAsia="仿宋_GB2312" w:cs="Times New Roman"/>
          <w:color w:val="auto"/>
          <w:sz w:val="32"/>
          <w:szCs w:val="32"/>
          <w:highlight w:val="none"/>
          <w:lang w:eastAsia="zh-CN"/>
        </w:rPr>
        <w:t>政府采购实际工作</w:t>
      </w:r>
      <w:r>
        <w:rPr>
          <w:rFonts w:hint="default" w:ascii="Times New Roman" w:hAnsi="Times New Roman" w:eastAsia="仿宋_GB2312" w:cs="Times New Roman"/>
          <w:color w:val="auto"/>
          <w:sz w:val="32"/>
          <w:szCs w:val="32"/>
          <w:highlight w:val="none"/>
        </w:rPr>
        <w:t>具有相关性，项目的预期产出效益和效果也均能符合正常的业绩水平，并且与预算确定的项目资金量相匹配。</w:t>
      </w:r>
    </w:p>
    <w:p w14:paraId="29036B65">
      <w:pPr>
        <w:spacing w:line="360" w:lineRule="auto"/>
        <w:ind w:left="0" w:leftChars="0" w:firstLine="681" w:firstLineChars="21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4、绩效指标明确性</w:t>
      </w:r>
    </w:p>
    <w:p w14:paraId="58A29521">
      <w:pPr>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bookmarkStart w:id="7" w:name="_Hlk68699917"/>
      <w:r>
        <w:rPr>
          <w:rFonts w:hint="default" w:ascii="Times New Roman" w:hAnsi="Times New Roman" w:eastAsia="仿宋_GB2312" w:cs="Times New Roman"/>
          <w:color w:val="auto"/>
          <w:sz w:val="32"/>
          <w:szCs w:val="32"/>
          <w:highlight w:val="none"/>
          <w:lang w:val="en-US" w:eastAsia="zh-CN"/>
        </w:rPr>
        <w:t>2023年医院政府采购</w:t>
      </w:r>
      <w:r>
        <w:rPr>
          <w:rFonts w:hint="default" w:ascii="Times New Roman" w:hAnsi="Times New Roman" w:eastAsia="仿宋_GB2312" w:cs="Times New Roman"/>
          <w:color w:val="auto"/>
          <w:sz w:val="32"/>
          <w:szCs w:val="32"/>
          <w:highlight w:val="none"/>
        </w:rPr>
        <w:t>项目将项目绩效目标细化分解为具体的绩效指标，一级指标共</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条，二级指标共</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条，三级指标共</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条，其中量化指标条数共</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条，所有绩效指标均通过清晰、可衡量的指标值予以体现，并且做到了与项目目标任务数</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计划数相对应。</w:t>
      </w:r>
      <w:bookmarkEnd w:id="7"/>
    </w:p>
    <w:p w14:paraId="2941EABF">
      <w:pPr>
        <w:keepLines w:val="0"/>
        <w:pageBreakBefore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5、预算编制科学性</w:t>
      </w:r>
    </w:p>
    <w:p w14:paraId="593F2E33">
      <w:pPr>
        <w:pStyle w:val="3"/>
        <w:keepNext/>
        <w:keepLines w:val="0"/>
        <w:pageBreakBefore w:val="0"/>
        <w:widowControl/>
        <w:kinsoku/>
        <w:wordWrap/>
        <w:overflowPunct/>
        <w:topLinePunct w:val="0"/>
        <w:autoSpaceDE/>
        <w:autoSpaceDN/>
        <w:bidi w:val="0"/>
        <w:adjustRightInd/>
        <w:snapToGrid/>
        <w:spacing w:before="0" w:after="0" w:line="360" w:lineRule="auto"/>
        <w:ind w:left="0" w:leftChars="0"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仿宋_GB2312" w:hAnsi="仿宋_GB2312" w:eastAsia="仿宋_GB2312" w:cs="仿宋_GB2312"/>
          <w:b w:val="0"/>
          <w:bCs w:val="0"/>
          <w:color w:val="auto"/>
          <w:kern w:val="2"/>
          <w:sz w:val="32"/>
          <w:szCs w:val="32"/>
          <w:highlight w:val="none"/>
          <w:lang w:val="en-US" w:eastAsia="zh-CN" w:bidi="ar-SA"/>
        </w:rPr>
        <w:t>2023年医院政府采购项目经过医院预算委员会讨论并同意，预算内容与支撑医院运行的政府采购内容匹配，预算额度测算依据充分，采购项目均经过装备委员会论证</w:t>
      </w:r>
      <w:r>
        <w:rPr>
          <w:rFonts w:hint="default" w:ascii="Times New Roman" w:hAnsi="Times New Roman" w:eastAsia="仿宋_GB2312" w:cs="Times New Roman"/>
          <w:b w:val="0"/>
          <w:bCs w:val="0"/>
          <w:color w:val="auto"/>
          <w:kern w:val="2"/>
          <w:sz w:val="32"/>
          <w:szCs w:val="32"/>
          <w:highlight w:val="none"/>
          <w:lang w:val="en-US" w:eastAsia="zh-CN" w:bidi="ar-SA"/>
        </w:rPr>
        <w:t>，均按照医院实际支出标准编制，预算确定的资金量与工作任务相匹配</w:t>
      </w:r>
    </w:p>
    <w:p w14:paraId="3266C3C7">
      <w:pPr>
        <w:keepLines w:val="0"/>
        <w:pageBreakBefore w:val="0"/>
        <w:kinsoku/>
        <w:wordWrap/>
        <w:overflowPunct/>
        <w:topLinePunct w:val="0"/>
        <w:autoSpaceDE/>
        <w:autoSpaceDN/>
        <w:bidi w:val="0"/>
        <w:adjustRightInd/>
        <w:snapToGrid/>
        <w:spacing w:line="360" w:lineRule="auto"/>
        <w:ind w:left="0" w:leftChars="0" w:firstLine="681" w:firstLineChars="213"/>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6、资金分配合理性</w:t>
      </w:r>
    </w:p>
    <w:p w14:paraId="0B56C739">
      <w:pPr>
        <w:spacing w:line="360" w:lineRule="auto"/>
        <w:ind w:left="0" w:leftChars="0" w:firstLine="681" w:firstLineChars="21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val="0"/>
          <w:bCs w:val="0"/>
          <w:color w:val="auto"/>
          <w:kern w:val="2"/>
          <w:sz w:val="32"/>
          <w:szCs w:val="32"/>
          <w:highlight w:val="none"/>
          <w:lang w:val="en-US" w:eastAsia="zh-CN" w:bidi="ar-SA"/>
        </w:rPr>
        <w:t>2023年医院政府采购项目</w:t>
      </w:r>
      <w:r>
        <w:rPr>
          <w:rFonts w:hint="default" w:ascii="Times New Roman" w:hAnsi="Times New Roman" w:eastAsia="仿宋_GB2312" w:cs="Times New Roman"/>
          <w:color w:val="auto"/>
          <w:sz w:val="32"/>
          <w:szCs w:val="32"/>
          <w:highlight w:val="none"/>
        </w:rPr>
        <w:t>预算资金分配依据充分</w:t>
      </w:r>
      <w:r>
        <w:rPr>
          <w:rFonts w:hint="default" w:ascii="Times New Roman" w:hAnsi="Times New Roman" w:eastAsia="仿宋_GB2312" w:cs="Times New Roman"/>
          <w:color w:val="auto"/>
          <w:sz w:val="32"/>
          <w:szCs w:val="32"/>
          <w:highlight w:val="none"/>
          <w:lang w:eastAsia="zh-CN"/>
        </w:rPr>
        <w:t>，为医院发展所需采购项目实际支出需要的资金，</w:t>
      </w:r>
      <w:r>
        <w:rPr>
          <w:rFonts w:hint="default" w:ascii="Times New Roman" w:hAnsi="Times New Roman" w:eastAsia="仿宋_GB2312" w:cs="Times New Roman"/>
          <w:color w:val="auto"/>
          <w:sz w:val="32"/>
          <w:szCs w:val="32"/>
          <w:highlight w:val="none"/>
        </w:rPr>
        <w:t>资金分配额度合理，</w:t>
      </w:r>
      <w:r>
        <w:rPr>
          <w:rFonts w:hint="default" w:ascii="Times New Roman" w:hAnsi="Times New Roman" w:eastAsia="仿宋_GB2312" w:cs="Times New Roman"/>
          <w:color w:val="auto"/>
          <w:sz w:val="32"/>
          <w:szCs w:val="32"/>
          <w:highlight w:val="none"/>
          <w:lang w:eastAsia="zh-CN"/>
        </w:rPr>
        <w:t>充分考虑了医院实际收支状况，</w:t>
      </w:r>
      <w:r>
        <w:rPr>
          <w:rFonts w:hint="default" w:ascii="Times New Roman" w:hAnsi="Times New Roman" w:eastAsia="仿宋_GB2312" w:cs="Times New Roman"/>
          <w:color w:val="auto"/>
          <w:sz w:val="32"/>
          <w:szCs w:val="32"/>
          <w:highlight w:val="none"/>
        </w:rPr>
        <w:t>与项目单位实际相适应。</w:t>
      </w:r>
    </w:p>
    <w:p w14:paraId="70EFA82D">
      <w:pPr>
        <w:pStyle w:val="2"/>
        <w:numPr>
          <w:ilvl w:val="0"/>
          <w:numId w:val="6"/>
        </w:numPr>
        <w:spacing w:before="0" w:after="0" w:line="560" w:lineRule="exact"/>
        <w:ind w:firstLine="643" w:firstLineChars="200"/>
        <w:jc w:val="both"/>
        <w:rPr>
          <w:rFonts w:ascii="楷体" w:hAnsi="楷体" w:eastAsia="楷体" w:cs="楷体"/>
          <w:color w:val="auto"/>
          <w:highlight w:val="none"/>
        </w:rPr>
      </w:pPr>
      <w:r>
        <w:rPr>
          <w:rFonts w:hint="eastAsia" w:ascii="楷体" w:hAnsi="楷体" w:eastAsia="楷体" w:cs="楷体"/>
          <w:color w:val="auto"/>
          <w:highlight w:val="none"/>
        </w:rPr>
        <w:t>项目过程情况</w:t>
      </w:r>
    </w:p>
    <w:p w14:paraId="2A37CF5E">
      <w:pPr>
        <w:ind w:left="0" w:leftChars="0" w:firstLine="681" w:firstLineChars="213"/>
        <w:rPr>
          <w:rFonts w:eastAsia="仿宋_GB2312"/>
          <w:color w:val="auto"/>
          <w:sz w:val="32"/>
          <w:szCs w:val="32"/>
          <w:highlight w:val="none"/>
        </w:rPr>
      </w:pPr>
      <w:r>
        <w:rPr>
          <w:rFonts w:hint="eastAsia" w:eastAsia="仿宋_GB2312"/>
          <w:color w:val="auto"/>
          <w:sz w:val="32"/>
          <w:szCs w:val="32"/>
          <w:highlight w:val="none"/>
        </w:rPr>
        <w:t>1、资金到位率：</w:t>
      </w:r>
    </w:p>
    <w:p w14:paraId="6160C2B7">
      <w:pPr>
        <w:ind w:left="0" w:leftChars="0" w:firstLine="681" w:firstLineChars="213"/>
        <w:rPr>
          <w:rFonts w:hint="eastAsia" w:eastAsia="仿宋_GB2312"/>
          <w:color w:val="auto"/>
          <w:sz w:val="32"/>
          <w:szCs w:val="32"/>
          <w:highlight w:val="none"/>
          <w:lang w:eastAsia="zh-CN"/>
        </w:rPr>
      </w:pPr>
      <w:r>
        <w:rPr>
          <w:rFonts w:hint="eastAsia" w:eastAsia="仿宋_GB2312"/>
          <w:color w:val="auto"/>
          <w:sz w:val="32"/>
          <w:szCs w:val="32"/>
          <w:highlight w:val="none"/>
        </w:rPr>
        <w:t>实际到位资金</w:t>
      </w:r>
      <w:r>
        <w:rPr>
          <w:rFonts w:hint="eastAsia" w:eastAsia="仿宋_GB2312"/>
          <w:color w:val="auto"/>
          <w:sz w:val="32"/>
          <w:szCs w:val="32"/>
          <w:highlight w:val="none"/>
          <w:lang w:val="en-US" w:eastAsia="zh-CN"/>
        </w:rPr>
        <w:t>6925.2</w:t>
      </w:r>
      <w:r>
        <w:rPr>
          <w:rFonts w:hint="eastAsia" w:eastAsia="仿宋_GB2312"/>
          <w:color w:val="auto"/>
          <w:sz w:val="32"/>
          <w:szCs w:val="32"/>
          <w:highlight w:val="none"/>
        </w:rPr>
        <w:t>万元，预算资金</w:t>
      </w:r>
      <w:r>
        <w:rPr>
          <w:rFonts w:hint="eastAsia" w:eastAsia="仿宋_GB2312"/>
          <w:color w:val="auto"/>
          <w:sz w:val="32"/>
          <w:szCs w:val="32"/>
          <w:highlight w:val="none"/>
          <w:lang w:val="en-US" w:eastAsia="zh-CN"/>
        </w:rPr>
        <w:t>7079.66</w:t>
      </w:r>
      <w:r>
        <w:rPr>
          <w:rFonts w:hint="eastAsia" w:eastAsia="仿宋_GB2312"/>
          <w:color w:val="auto"/>
          <w:sz w:val="32"/>
          <w:szCs w:val="32"/>
          <w:highlight w:val="none"/>
        </w:rPr>
        <w:t>万元，资金到位率</w:t>
      </w:r>
      <w:r>
        <w:rPr>
          <w:rFonts w:hint="eastAsia" w:eastAsia="仿宋_GB2312"/>
          <w:color w:val="auto"/>
          <w:sz w:val="32"/>
          <w:szCs w:val="32"/>
          <w:highlight w:val="none"/>
          <w:lang w:val="en-US" w:eastAsia="zh-CN"/>
        </w:rPr>
        <w:t>97.82</w:t>
      </w:r>
      <w:r>
        <w:rPr>
          <w:rFonts w:hint="eastAsia" w:eastAsia="仿宋_GB2312"/>
          <w:color w:val="auto"/>
          <w:sz w:val="32"/>
          <w:szCs w:val="32"/>
          <w:highlight w:val="none"/>
        </w:rPr>
        <w:t>%</w:t>
      </w:r>
      <w:r>
        <w:rPr>
          <w:rFonts w:hint="eastAsia"/>
          <w:color w:val="auto"/>
          <w:sz w:val="32"/>
          <w:szCs w:val="32"/>
          <w:highlight w:val="none"/>
          <w:lang w:eastAsia="zh-CN"/>
        </w:rPr>
        <w:t>。</w:t>
      </w:r>
    </w:p>
    <w:p w14:paraId="4C31602F">
      <w:pPr>
        <w:ind w:left="0" w:leftChars="0" w:firstLine="681" w:firstLineChars="21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2、预算执行率</w:t>
      </w:r>
    </w:p>
    <w:p w14:paraId="537DE56C">
      <w:pPr>
        <w:shd w:val="clear"/>
        <w:spacing w:line="600" w:lineRule="exact"/>
        <w:ind w:firstLine="640" w:firstLineChars="200"/>
        <w:outlineLvl w:val="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w:t>
      </w:r>
      <w:r>
        <w:rPr>
          <w:rFonts w:hint="default" w:ascii="Times New Roman" w:hAnsi="Times New Roman" w:eastAsia="仿宋_GB2312" w:cs="Times New Roman"/>
          <w:color w:val="auto"/>
          <w:sz w:val="32"/>
          <w:szCs w:val="32"/>
          <w:highlight w:val="none"/>
        </w:rPr>
        <w:t>年初预算数</w:t>
      </w:r>
      <w:r>
        <w:rPr>
          <w:rFonts w:hint="default" w:ascii="Times New Roman" w:hAnsi="Times New Roman" w:eastAsia="仿宋_GB2312" w:cs="Times New Roman"/>
          <w:color w:val="auto"/>
          <w:sz w:val="32"/>
          <w:szCs w:val="32"/>
          <w:highlight w:val="none"/>
          <w:lang w:val="en-US" w:eastAsia="zh-CN"/>
        </w:rPr>
        <w:t>7079.66</w:t>
      </w:r>
      <w:r>
        <w:rPr>
          <w:rFonts w:hint="default" w:ascii="Times New Roman" w:hAnsi="Times New Roman" w:eastAsia="仿宋_GB2312" w:cs="Times New Roman"/>
          <w:color w:val="auto"/>
          <w:sz w:val="32"/>
          <w:szCs w:val="32"/>
          <w:highlight w:val="none"/>
        </w:rPr>
        <w:t>万元，全年预算数</w:t>
      </w:r>
      <w:r>
        <w:rPr>
          <w:rFonts w:hint="default" w:ascii="Times New Roman" w:hAnsi="Times New Roman" w:eastAsia="仿宋_GB2312" w:cs="Times New Roman"/>
          <w:color w:val="auto"/>
          <w:sz w:val="32"/>
          <w:szCs w:val="32"/>
          <w:highlight w:val="none"/>
          <w:lang w:val="en-US" w:eastAsia="zh-CN"/>
        </w:rPr>
        <w:t>6925.2</w:t>
      </w:r>
      <w:r>
        <w:rPr>
          <w:rFonts w:hint="default" w:ascii="Times New Roman" w:hAnsi="Times New Roman" w:eastAsia="仿宋_GB2312" w:cs="Times New Roman"/>
          <w:color w:val="auto"/>
          <w:sz w:val="32"/>
          <w:szCs w:val="32"/>
          <w:highlight w:val="none"/>
        </w:rPr>
        <w:t>万元</w:t>
      </w:r>
      <w:r>
        <w:rPr>
          <w:rFonts w:hint="eastAsia"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全年执行数</w:t>
      </w:r>
      <w:r>
        <w:rPr>
          <w:rFonts w:hint="default" w:ascii="Times New Roman" w:hAnsi="Times New Roman" w:eastAsia="仿宋_GB2312" w:cs="Times New Roman"/>
          <w:color w:val="auto"/>
          <w:sz w:val="32"/>
          <w:szCs w:val="32"/>
          <w:highlight w:val="none"/>
          <w:lang w:val="en-US" w:eastAsia="zh-CN"/>
        </w:rPr>
        <w:t>6925.2</w:t>
      </w:r>
      <w:r>
        <w:rPr>
          <w:rFonts w:hint="default" w:ascii="Times New Roman" w:hAnsi="Times New Roman" w:eastAsia="仿宋_GB2312" w:cs="Times New Roman"/>
          <w:color w:val="auto"/>
          <w:sz w:val="32"/>
          <w:szCs w:val="32"/>
          <w:highlight w:val="none"/>
        </w:rPr>
        <w:t>万元，预算执行率为</w:t>
      </w:r>
      <w:r>
        <w:rPr>
          <w:rFonts w:hint="eastAsia" w:cs="Times New Roman"/>
          <w:color w:val="auto"/>
          <w:sz w:val="32"/>
          <w:szCs w:val="32"/>
          <w:highlight w:val="none"/>
          <w:lang w:val="en-US" w:eastAsia="zh-CN"/>
        </w:rPr>
        <w:t>97.82</w:t>
      </w:r>
      <w:r>
        <w:rPr>
          <w:rFonts w:hint="default" w:ascii="Times New Roman" w:hAnsi="Times New Roman" w:eastAsia="仿宋_GB2312" w:cs="Times New Roman"/>
          <w:color w:val="auto"/>
          <w:sz w:val="32"/>
          <w:szCs w:val="32"/>
          <w:highlight w:val="none"/>
        </w:rPr>
        <w:t>%</w:t>
      </w:r>
      <w:r>
        <w:rPr>
          <w:rFonts w:hint="eastAsia" w:cs="Times New Roman"/>
          <w:color w:val="auto"/>
          <w:sz w:val="32"/>
          <w:szCs w:val="32"/>
          <w:highlight w:val="none"/>
          <w:lang w:eastAsia="zh-CN"/>
        </w:rPr>
        <w:t>。</w:t>
      </w:r>
    </w:p>
    <w:p w14:paraId="055D94CB">
      <w:pPr>
        <w:ind w:left="0" w:leftChars="0" w:firstLine="681" w:firstLineChars="21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3、资金使用合规性</w:t>
      </w:r>
    </w:p>
    <w:p w14:paraId="4D2B6E1D">
      <w:pPr>
        <w:ind w:left="0" w:leftChars="0" w:firstLine="681" w:firstLineChars="21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2023年医院政府采购项目资金</w:t>
      </w:r>
      <w:r>
        <w:rPr>
          <w:rFonts w:hint="default" w:ascii="Times New Roman" w:hAnsi="Times New Roman" w:eastAsia="仿宋_GB2312" w:cs="Times New Roman"/>
          <w:color w:val="auto"/>
          <w:sz w:val="32"/>
          <w:szCs w:val="32"/>
          <w:highlight w:val="none"/>
        </w:rPr>
        <w:t>符合国家财经法规和财务管理制度以及有关专项资金管理办法的规定；资金的拨付</w:t>
      </w:r>
      <w:r>
        <w:rPr>
          <w:rFonts w:hint="default" w:ascii="Times New Roman" w:hAnsi="Times New Roman" w:eastAsia="仿宋_GB2312" w:cs="Times New Roman"/>
          <w:color w:val="auto"/>
          <w:sz w:val="32"/>
          <w:szCs w:val="32"/>
          <w:highlight w:val="none"/>
          <w:lang w:eastAsia="zh-CN"/>
        </w:rPr>
        <w:t>均有</w:t>
      </w:r>
      <w:r>
        <w:rPr>
          <w:rFonts w:hint="default" w:ascii="Times New Roman" w:hAnsi="Times New Roman" w:eastAsia="仿宋_GB2312" w:cs="Times New Roman"/>
          <w:color w:val="auto"/>
          <w:sz w:val="32"/>
          <w:szCs w:val="32"/>
          <w:highlight w:val="none"/>
        </w:rPr>
        <w:t>完整的审批程序和手续</w:t>
      </w:r>
      <w:r>
        <w:rPr>
          <w:rFonts w:hint="default" w:ascii="Times New Roman" w:hAnsi="Times New Roman" w:eastAsia="仿宋_GB2312" w:cs="Times New Roman"/>
          <w:color w:val="auto"/>
          <w:sz w:val="32"/>
          <w:szCs w:val="32"/>
          <w:highlight w:val="none"/>
          <w:lang w:eastAsia="zh-CN"/>
        </w:rPr>
        <w:t>，所有支出均需要有预算申请单和支出审批单，采购项目严格按照预算批复</w:t>
      </w:r>
      <w:r>
        <w:rPr>
          <w:rFonts w:hint="eastAsia"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招标申请</w:t>
      </w:r>
      <w:r>
        <w:rPr>
          <w:rFonts w:hint="eastAsia"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参数论证</w:t>
      </w:r>
      <w:r>
        <w:rPr>
          <w:rFonts w:hint="eastAsia"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政采云采购意向公开-政采云做采购计划</w:t>
      </w:r>
      <w:r>
        <w:rPr>
          <w:rFonts w:hint="eastAsia"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委托集中采购机构或社会代理机构招标</w:t>
      </w:r>
      <w:r>
        <w:rPr>
          <w:rFonts w:hint="eastAsia"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开标</w:t>
      </w:r>
      <w:r>
        <w:rPr>
          <w:rFonts w:hint="eastAsia"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公示</w:t>
      </w:r>
      <w:r>
        <w:rPr>
          <w:rFonts w:hint="eastAsia"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确定中标商</w:t>
      </w:r>
      <w:r>
        <w:rPr>
          <w:rFonts w:hint="eastAsia"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签订合同</w:t>
      </w:r>
      <w:r>
        <w:rPr>
          <w:rFonts w:hint="eastAsia"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按合同执行的院内政府采购内控制度流程进行，</w:t>
      </w:r>
      <w:r>
        <w:rPr>
          <w:rFonts w:hint="default" w:ascii="Times New Roman" w:hAnsi="Times New Roman" w:eastAsia="仿宋_GB2312" w:cs="Times New Roman"/>
          <w:color w:val="auto"/>
          <w:sz w:val="32"/>
          <w:szCs w:val="32"/>
          <w:highlight w:val="none"/>
          <w:lang w:eastAsia="zh-CN"/>
        </w:rPr>
        <w:t>并按照内控制度，严格落实资金支付分层审批要求，做到了合规性与便捷性结合</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资金支出均</w:t>
      </w:r>
      <w:r>
        <w:rPr>
          <w:rFonts w:hint="default" w:ascii="Times New Roman" w:hAnsi="Times New Roman" w:eastAsia="仿宋_GB2312" w:cs="Times New Roman"/>
          <w:color w:val="auto"/>
          <w:sz w:val="32"/>
          <w:szCs w:val="32"/>
          <w:highlight w:val="none"/>
        </w:rPr>
        <w:t>符合项目预算批复</w:t>
      </w:r>
      <w:r>
        <w:rPr>
          <w:rFonts w:hint="default" w:ascii="Times New Roman" w:hAnsi="Times New Roman" w:eastAsia="仿宋_GB2312" w:cs="Times New Roman"/>
          <w:color w:val="auto"/>
          <w:sz w:val="32"/>
          <w:szCs w:val="32"/>
          <w:highlight w:val="none"/>
          <w:lang w:eastAsia="zh-CN"/>
        </w:rPr>
        <w:t>与</w:t>
      </w:r>
      <w:r>
        <w:rPr>
          <w:rFonts w:hint="default" w:ascii="Times New Roman" w:hAnsi="Times New Roman" w:eastAsia="仿宋_GB2312" w:cs="Times New Roman"/>
          <w:color w:val="auto"/>
          <w:sz w:val="32"/>
          <w:szCs w:val="32"/>
          <w:highlight w:val="none"/>
        </w:rPr>
        <w:t>合同规定的用途；</w:t>
      </w:r>
      <w:r>
        <w:rPr>
          <w:rFonts w:hint="default" w:ascii="Times New Roman" w:hAnsi="Times New Roman" w:eastAsia="仿宋_GB2312" w:cs="Times New Roman"/>
          <w:color w:val="auto"/>
          <w:sz w:val="32"/>
          <w:szCs w:val="32"/>
          <w:highlight w:val="none"/>
          <w:lang w:eastAsia="zh-CN"/>
        </w:rPr>
        <w:t>不</w:t>
      </w:r>
      <w:r>
        <w:rPr>
          <w:rFonts w:hint="default" w:ascii="Times New Roman" w:hAnsi="Times New Roman" w:eastAsia="仿宋_GB2312" w:cs="Times New Roman"/>
          <w:color w:val="auto"/>
          <w:sz w:val="32"/>
          <w:szCs w:val="32"/>
          <w:highlight w:val="none"/>
        </w:rPr>
        <w:t>存在截留、挤占、挪用、虚列支出等情况。</w:t>
      </w:r>
    </w:p>
    <w:p w14:paraId="28C002E8">
      <w:pPr>
        <w:ind w:left="0" w:leftChars="0" w:firstLine="681" w:firstLineChars="21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4、管理制度健全性</w:t>
      </w:r>
    </w:p>
    <w:p w14:paraId="0C8E6B2A">
      <w:pPr>
        <w:ind w:left="0" w:leftChars="0" w:firstLine="681" w:firstLineChars="21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我单位</w:t>
      </w:r>
      <w:r>
        <w:rPr>
          <w:rFonts w:hint="default" w:ascii="Times New Roman" w:hAnsi="Times New Roman" w:eastAsia="仿宋_GB2312" w:cs="Times New Roman"/>
          <w:color w:val="auto"/>
          <w:sz w:val="32"/>
          <w:szCs w:val="32"/>
          <w:highlight w:val="none"/>
        </w:rPr>
        <w:t>已制定</w:t>
      </w:r>
      <w:r>
        <w:rPr>
          <w:rFonts w:hint="default" w:ascii="Times New Roman" w:hAnsi="Times New Roman" w:eastAsia="仿宋_GB2312" w:cs="Times New Roman"/>
          <w:color w:val="auto"/>
          <w:sz w:val="32"/>
          <w:szCs w:val="32"/>
          <w:highlight w:val="none"/>
          <w:lang w:eastAsia="zh-CN"/>
        </w:rPr>
        <w:t>符合医院实际情况的</w:t>
      </w:r>
      <w:r>
        <w:rPr>
          <w:rFonts w:hint="default" w:ascii="Times New Roman" w:hAnsi="Times New Roman" w:eastAsia="仿宋_GB2312" w:cs="Times New Roman"/>
          <w:color w:val="auto"/>
          <w:sz w:val="32"/>
          <w:szCs w:val="32"/>
          <w:highlight w:val="none"/>
        </w:rPr>
        <w:t>财务和业务管理制度</w:t>
      </w:r>
      <w:r>
        <w:rPr>
          <w:rFonts w:hint="default" w:ascii="Times New Roman" w:hAnsi="Times New Roman" w:eastAsia="仿宋_GB2312" w:cs="Times New Roman"/>
          <w:color w:val="auto"/>
          <w:sz w:val="32"/>
          <w:szCs w:val="32"/>
          <w:highlight w:val="none"/>
          <w:lang w:eastAsia="zh-CN"/>
        </w:rPr>
        <w:t>并成文成册</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专门制定有医院招标采购管理办法，</w:t>
      </w:r>
      <w:r>
        <w:rPr>
          <w:rFonts w:hint="default" w:ascii="Times New Roman" w:hAnsi="Times New Roman" w:eastAsia="仿宋_GB2312" w:cs="Times New Roman"/>
          <w:color w:val="auto"/>
          <w:sz w:val="32"/>
          <w:szCs w:val="32"/>
          <w:highlight w:val="none"/>
        </w:rPr>
        <w:t>财务和业务管理制度合法、合规、完整。</w:t>
      </w:r>
    </w:p>
    <w:p w14:paraId="69034DA5">
      <w:pPr>
        <w:ind w:left="0" w:leftChars="0" w:firstLine="681" w:firstLineChars="21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5、制度执行有效性</w:t>
      </w:r>
    </w:p>
    <w:p w14:paraId="4AA68D93">
      <w:pPr>
        <w:ind w:left="0" w:leftChars="0" w:firstLine="681" w:firstLineChars="213"/>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2023年医院政府采购项目均</w:t>
      </w:r>
      <w:r>
        <w:rPr>
          <w:rFonts w:hint="default" w:ascii="Times New Roman" w:hAnsi="Times New Roman" w:eastAsia="仿宋_GB2312" w:cs="Times New Roman"/>
          <w:color w:val="auto"/>
          <w:sz w:val="32"/>
          <w:szCs w:val="32"/>
          <w:highlight w:val="none"/>
        </w:rPr>
        <w:t>遵守相关法律法规和相关管理规定</w:t>
      </w:r>
      <w:r>
        <w:rPr>
          <w:rFonts w:hint="default" w:ascii="Times New Roman" w:hAnsi="Times New Roman" w:eastAsia="仿宋_GB2312" w:cs="Times New Roman"/>
          <w:color w:val="auto"/>
          <w:sz w:val="32"/>
          <w:szCs w:val="32"/>
          <w:highlight w:val="none"/>
          <w:lang w:eastAsia="zh-CN"/>
        </w:rPr>
        <w:t>，年中</w:t>
      </w:r>
      <w:r>
        <w:rPr>
          <w:rFonts w:hint="default" w:ascii="Times New Roman" w:hAnsi="Times New Roman" w:eastAsia="仿宋_GB2312" w:cs="Times New Roman"/>
          <w:color w:val="auto"/>
          <w:sz w:val="32"/>
          <w:szCs w:val="32"/>
          <w:highlight w:val="none"/>
        </w:rPr>
        <w:t>项目</w:t>
      </w:r>
      <w:r>
        <w:rPr>
          <w:rFonts w:hint="default" w:ascii="Times New Roman" w:hAnsi="Times New Roman" w:eastAsia="仿宋_GB2312" w:cs="Times New Roman"/>
          <w:color w:val="auto"/>
          <w:sz w:val="32"/>
          <w:szCs w:val="32"/>
          <w:highlight w:val="none"/>
          <w:lang w:eastAsia="zh-CN"/>
        </w:rPr>
        <w:t>无</w:t>
      </w:r>
      <w:r>
        <w:rPr>
          <w:rFonts w:hint="default" w:ascii="Times New Roman" w:hAnsi="Times New Roman" w:eastAsia="仿宋_GB2312" w:cs="Times New Roman"/>
          <w:color w:val="auto"/>
          <w:sz w:val="32"/>
          <w:szCs w:val="32"/>
          <w:highlight w:val="none"/>
        </w:rPr>
        <w:t>调整</w:t>
      </w:r>
      <w:r>
        <w:rPr>
          <w:rFonts w:hint="default" w:ascii="Times New Roman" w:hAnsi="Times New Roman" w:eastAsia="仿宋_GB2312" w:cs="Times New Roman"/>
          <w:color w:val="auto"/>
          <w:sz w:val="32"/>
          <w:szCs w:val="32"/>
          <w:highlight w:val="none"/>
          <w:lang w:eastAsia="zh-CN"/>
        </w:rPr>
        <w:t>预算行为，资金</w:t>
      </w:r>
      <w:r>
        <w:rPr>
          <w:rFonts w:hint="default" w:ascii="Times New Roman" w:hAnsi="Times New Roman" w:eastAsia="仿宋_GB2312" w:cs="Times New Roman"/>
          <w:color w:val="auto"/>
          <w:sz w:val="32"/>
          <w:szCs w:val="32"/>
          <w:highlight w:val="none"/>
        </w:rPr>
        <w:t>支出手续</w:t>
      </w:r>
      <w:r>
        <w:rPr>
          <w:rFonts w:hint="default" w:ascii="Times New Roman" w:hAnsi="Times New Roman" w:eastAsia="仿宋_GB2312" w:cs="Times New Roman"/>
          <w:color w:val="auto"/>
          <w:sz w:val="32"/>
          <w:szCs w:val="32"/>
          <w:highlight w:val="none"/>
          <w:lang w:eastAsia="zh-CN"/>
        </w:rPr>
        <w:t>均</w:t>
      </w:r>
      <w:r>
        <w:rPr>
          <w:rFonts w:hint="default" w:ascii="Times New Roman" w:hAnsi="Times New Roman" w:eastAsia="仿宋_GB2312" w:cs="Times New Roman"/>
          <w:color w:val="auto"/>
          <w:sz w:val="32"/>
          <w:szCs w:val="32"/>
          <w:highlight w:val="none"/>
        </w:rPr>
        <w:t>完备；</w:t>
      </w:r>
      <w:r>
        <w:rPr>
          <w:rFonts w:hint="default" w:ascii="Times New Roman" w:hAnsi="Times New Roman" w:eastAsia="仿宋_GB2312" w:cs="Times New Roman"/>
          <w:color w:val="auto"/>
          <w:sz w:val="32"/>
          <w:szCs w:val="32"/>
          <w:highlight w:val="none"/>
          <w:lang w:eastAsia="zh-CN"/>
        </w:rPr>
        <w:t>医院政府采购</w:t>
      </w:r>
      <w:r>
        <w:rPr>
          <w:rFonts w:hint="default" w:ascii="Times New Roman" w:hAnsi="Times New Roman" w:eastAsia="仿宋_GB2312" w:cs="Times New Roman"/>
          <w:color w:val="auto"/>
          <w:sz w:val="32"/>
          <w:szCs w:val="32"/>
          <w:highlight w:val="none"/>
        </w:rPr>
        <w:t>项目实施的人员条件、场地设备、信息支撑等</w:t>
      </w:r>
      <w:r>
        <w:rPr>
          <w:rFonts w:hint="default" w:ascii="Times New Roman" w:hAnsi="Times New Roman" w:eastAsia="仿宋_GB2312" w:cs="Times New Roman"/>
          <w:color w:val="auto"/>
          <w:sz w:val="32"/>
          <w:szCs w:val="32"/>
          <w:highlight w:val="none"/>
          <w:lang w:eastAsia="zh-CN"/>
        </w:rPr>
        <w:t>均到位，医院专门建有招标采购办公室用于招标采购事宜。</w:t>
      </w:r>
    </w:p>
    <w:p w14:paraId="534B6119">
      <w:pPr>
        <w:pStyle w:val="9"/>
        <w:numPr>
          <w:ilvl w:val="0"/>
          <w:numId w:val="6"/>
        </w:numPr>
        <w:spacing w:line="560" w:lineRule="exact"/>
        <w:ind w:firstLine="640"/>
        <w:rPr>
          <w:rFonts w:eastAsia="楷体_GB2312"/>
          <w:b/>
          <w:bCs/>
          <w:color w:val="auto"/>
          <w:sz w:val="32"/>
          <w:szCs w:val="32"/>
          <w:highlight w:val="none"/>
        </w:rPr>
      </w:pPr>
      <w:r>
        <w:rPr>
          <w:rFonts w:eastAsia="楷体_GB2312"/>
          <w:b/>
          <w:bCs/>
          <w:color w:val="auto"/>
          <w:sz w:val="32"/>
          <w:szCs w:val="32"/>
          <w:highlight w:val="none"/>
        </w:rPr>
        <w:t>项目产出</w:t>
      </w:r>
    </w:p>
    <w:p w14:paraId="032F8C1B">
      <w:pPr>
        <w:snapToGrid w:val="0"/>
        <w:spacing w:line="560" w:lineRule="exact"/>
        <w:ind w:firstLine="627" w:firstLineChars="200"/>
        <w:rPr>
          <w:rStyle w:val="13"/>
          <w:rFonts w:eastAsia="仿宋_GB2312"/>
          <w:bCs w:val="0"/>
          <w:color w:val="auto"/>
          <w:spacing w:val="-4"/>
          <w:sz w:val="32"/>
          <w:szCs w:val="32"/>
          <w:highlight w:val="none"/>
        </w:rPr>
      </w:pPr>
      <w:r>
        <w:rPr>
          <w:rStyle w:val="13"/>
          <w:rFonts w:eastAsia="仿宋_GB2312"/>
          <w:bCs w:val="0"/>
          <w:color w:val="auto"/>
          <w:spacing w:val="-4"/>
          <w:sz w:val="32"/>
          <w:szCs w:val="32"/>
          <w:highlight w:val="none"/>
        </w:rPr>
        <w:t>数量指标方面：</w:t>
      </w:r>
    </w:p>
    <w:p w14:paraId="2C383624">
      <w:pPr>
        <w:snapToGrid w:val="0"/>
        <w:spacing w:line="560" w:lineRule="exact"/>
        <w:ind w:firstLine="624" w:firstLineChars="200"/>
        <w:rPr>
          <w:rStyle w:val="13"/>
          <w:rFonts w:hint="eastAsia" w:eastAsia="仿宋_GB2312"/>
          <w:b w:val="0"/>
          <w:color w:val="auto"/>
          <w:spacing w:val="-4"/>
          <w:sz w:val="32"/>
          <w:szCs w:val="32"/>
          <w:highlight w:val="none"/>
          <w:lang w:eastAsia="zh-CN"/>
        </w:rPr>
      </w:pPr>
      <w:r>
        <w:rPr>
          <w:rStyle w:val="13"/>
          <w:rFonts w:eastAsia="仿宋_GB2312"/>
          <w:b w:val="0"/>
          <w:color w:val="auto"/>
          <w:spacing w:val="-4"/>
          <w:sz w:val="32"/>
          <w:szCs w:val="32"/>
          <w:highlight w:val="none"/>
        </w:rPr>
        <w:t>指标1：</w:t>
      </w:r>
      <w:r>
        <w:rPr>
          <w:rStyle w:val="13"/>
          <w:rFonts w:hint="eastAsia" w:eastAsia="仿宋_GB2312"/>
          <w:b w:val="0"/>
          <w:color w:val="auto"/>
          <w:spacing w:val="-4"/>
          <w:sz w:val="32"/>
          <w:szCs w:val="32"/>
          <w:highlight w:val="none"/>
        </w:rPr>
        <w:t>设备采购数量</w:t>
      </w:r>
      <w:r>
        <w:rPr>
          <w:rStyle w:val="13"/>
          <w:rFonts w:eastAsia="仿宋_GB2312"/>
          <w:b w:val="0"/>
          <w:color w:val="auto"/>
          <w:spacing w:val="-4"/>
          <w:sz w:val="32"/>
          <w:szCs w:val="32"/>
          <w:highlight w:val="none"/>
        </w:rPr>
        <w:t>，指标值：</w:t>
      </w:r>
      <w:r>
        <w:rPr>
          <w:rStyle w:val="13"/>
          <w:rFonts w:hint="eastAsia" w:eastAsia="仿宋_GB2312"/>
          <w:b w:val="0"/>
          <w:color w:val="auto"/>
          <w:spacing w:val="-4"/>
          <w:sz w:val="32"/>
          <w:szCs w:val="32"/>
          <w:highlight w:val="none"/>
        </w:rPr>
        <w:t>＞=3套（台）</w:t>
      </w:r>
      <w:r>
        <w:rPr>
          <w:rStyle w:val="13"/>
          <w:rFonts w:eastAsia="仿宋_GB2312"/>
          <w:b w:val="0"/>
          <w:color w:val="auto"/>
          <w:spacing w:val="-4"/>
          <w:sz w:val="32"/>
          <w:szCs w:val="32"/>
          <w:highlight w:val="none"/>
        </w:rPr>
        <w:t>，实际完成值：</w:t>
      </w:r>
      <w:r>
        <w:rPr>
          <w:rStyle w:val="13"/>
          <w:rFonts w:hint="eastAsia" w:eastAsia="仿宋_GB2312"/>
          <w:b w:val="0"/>
          <w:color w:val="auto"/>
          <w:spacing w:val="-4"/>
          <w:sz w:val="32"/>
          <w:szCs w:val="32"/>
          <w:highlight w:val="none"/>
          <w:lang w:val="en-US" w:eastAsia="zh-CN"/>
        </w:rPr>
        <w:t>3</w:t>
      </w:r>
      <w:r>
        <w:rPr>
          <w:rStyle w:val="13"/>
          <w:rFonts w:hint="eastAsia" w:eastAsia="仿宋_GB2312"/>
          <w:b w:val="0"/>
          <w:color w:val="auto"/>
          <w:spacing w:val="-4"/>
          <w:sz w:val="32"/>
          <w:szCs w:val="32"/>
          <w:highlight w:val="none"/>
        </w:rPr>
        <w:t>套（台）</w:t>
      </w:r>
      <w:r>
        <w:rPr>
          <w:rStyle w:val="13"/>
          <w:rFonts w:eastAsia="仿宋_GB2312"/>
          <w:b w:val="0"/>
          <w:color w:val="auto"/>
          <w:spacing w:val="-4"/>
          <w:sz w:val="32"/>
          <w:szCs w:val="32"/>
          <w:highlight w:val="none"/>
        </w:rPr>
        <w:t>，指标完成率</w:t>
      </w:r>
      <w:r>
        <w:rPr>
          <w:rStyle w:val="13"/>
          <w:rFonts w:hint="eastAsia" w:eastAsia="仿宋_GB2312"/>
          <w:b w:val="0"/>
          <w:color w:val="auto"/>
          <w:spacing w:val="-4"/>
          <w:sz w:val="32"/>
          <w:szCs w:val="32"/>
          <w:highlight w:val="none"/>
          <w:lang w:val="en-US" w:eastAsia="zh-CN"/>
        </w:rPr>
        <w:t>100</w:t>
      </w:r>
      <w:r>
        <w:rPr>
          <w:rStyle w:val="13"/>
          <w:rFonts w:eastAsia="仿宋_GB2312"/>
          <w:b w:val="0"/>
          <w:color w:val="auto"/>
          <w:spacing w:val="-4"/>
          <w:sz w:val="32"/>
          <w:szCs w:val="32"/>
          <w:highlight w:val="none"/>
        </w:rPr>
        <w:t>%</w:t>
      </w:r>
      <w:r>
        <w:rPr>
          <w:rStyle w:val="13"/>
          <w:rFonts w:hint="eastAsia" w:eastAsia="仿宋_GB2312"/>
          <w:b w:val="0"/>
          <w:color w:val="auto"/>
          <w:spacing w:val="-4"/>
          <w:sz w:val="32"/>
          <w:szCs w:val="32"/>
          <w:highlight w:val="none"/>
          <w:lang w:eastAsia="zh-CN"/>
        </w:rPr>
        <w:t>；</w:t>
      </w:r>
    </w:p>
    <w:p w14:paraId="311B40EF">
      <w:pPr>
        <w:spacing w:line="560" w:lineRule="exact"/>
        <w:ind w:firstLine="643" w:firstLineChars="200"/>
        <w:rPr>
          <w:rStyle w:val="15"/>
          <w:rFonts w:ascii="Times New Roman" w:hAnsi="Times New Roman" w:cs="Times New Roman"/>
          <w:b/>
          <w:bCs/>
          <w:color w:val="auto"/>
          <w:highlight w:val="none"/>
        </w:rPr>
      </w:pPr>
      <w:r>
        <w:rPr>
          <w:rStyle w:val="15"/>
          <w:rFonts w:ascii="Times New Roman" w:hAnsi="Times New Roman" w:cs="Times New Roman"/>
          <w:b/>
          <w:bCs/>
          <w:color w:val="auto"/>
          <w:highlight w:val="none"/>
        </w:rPr>
        <w:t>质量指标方面：</w:t>
      </w:r>
    </w:p>
    <w:p w14:paraId="517E1D6F">
      <w:pPr>
        <w:snapToGrid w:val="0"/>
        <w:spacing w:line="560" w:lineRule="exact"/>
        <w:ind w:firstLine="624" w:firstLineChars="200"/>
        <w:rPr>
          <w:rStyle w:val="13"/>
          <w:rFonts w:eastAsia="仿宋_GB2312"/>
          <w:b w:val="0"/>
          <w:color w:val="auto"/>
          <w:spacing w:val="-4"/>
          <w:sz w:val="32"/>
          <w:szCs w:val="32"/>
          <w:highlight w:val="none"/>
        </w:rPr>
      </w:pPr>
      <w:r>
        <w:rPr>
          <w:rStyle w:val="13"/>
          <w:rFonts w:eastAsia="仿宋_GB2312"/>
          <w:b w:val="0"/>
          <w:color w:val="auto"/>
          <w:spacing w:val="-4"/>
          <w:sz w:val="32"/>
          <w:szCs w:val="32"/>
          <w:highlight w:val="none"/>
        </w:rPr>
        <w:t>指标1：</w:t>
      </w:r>
      <w:r>
        <w:rPr>
          <w:rStyle w:val="13"/>
          <w:rFonts w:hint="eastAsia" w:eastAsia="仿宋_GB2312"/>
          <w:b w:val="0"/>
          <w:color w:val="auto"/>
          <w:spacing w:val="-4"/>
          <w:sz w:val="32"/>
          <w:szCs w:val="32"/>
          <w:highlight w:val="none"/>
        </w:rPr>
        <w:t>设备验收合格率</w:t>
      </w:r>
      <w:r>
        <w:rPr>
          <w:rStyle w:val="13"/>
          <w:rFonts w:eastAsia="仿宋_GB2312"/>
          <w:b w:val="0"/>
          <w:color w:val="auto"/>
          <w:spacing w:val="-4"/>
          <w:sz w:val="32"/>
          <w:szCs w:val="32"/>
          <w:highlight w:val="none"/>
        </w:rPr>
        <w:t>，指标值：</w:t>
      </w:r>
      <w:r>
        <w:rPr>
          <w:rStyle w:val="13"/>
          <w:rFonts w:hint="eastAsia" w:eastAsia="仿宋_GB2312"/>
          <w:b w:val="0"/>
          <w:color w:val="auto"/>
          <w:spacing w:val="-4"/>
          <w:sz w:val="32"/>
          <w:szCs w:val="32"/>
          <w:highlight w:val="none"/>
        </w:rPr>
        <w:t>=100%</w:t>
      </w:r>
      <w:r>
        <w:rPr>
          <w:rStyle w:val="13"/>
          <w:rFonts w:eastAsia="仿宋_GB2312"/>
          <w:b w:val="0"/>
          <w:color w:val="auto"/>
          <w:spacing w:val="-4"/>
          <w:sz w:val="32"/>
          <w:szCs w:val="32"/>
          <w:highlight w:val="none"/>
        </w:rPr>
        <w:t xml:space="preserve"> ，实际完成值：</w:t>
      </w:r>
      <w:r>
        <w:rPr>
          <w:rStyle w:val="13"/>
          <w:rFonts w:hint="eastAsia" w:eastAsia="仿宋_GB2312"/>
          <w:b w:val="0"/>
          <w:color w:val="auto"/>
          <w:spacing w:val="-4"/>
          <w:sz w:val="32"/>
          <w:szCs w:val="32"/>
          <w:highlight w:val="none"/>
        </w:rPr>
        <w:t>=100%</w:t>
      </w:r>
      <w:r>
        <w:rPr>
          <w:rStyle w:val="13"/>
          <w:rFonts w:eastAsia="仿宋_GB2312"/>
          <w:b w:val="0"/>
          <w:color w:val="auto"/>
          <w:spacing w:val="-4"/>
          <w:sz w:val="32"/>
          <w:szCs w:val="32"/>
          <w:highlight w:val="none"/>
        </w:rPr>
        <w:t xml:space="preserve"> ，指标完成率</w:t>
      </w:r>
      <w:r>
        <w:rPr>
          <w:rStyle w:val="13"/>
          <w:rFonts w:hint="eastAsia" w:eastAsia="仿宋_GB2312"/>
          <w:b w:val="0"/>
          <w:color w:val="auto"/>
          <w:spacing w:val="-4"/>
          <w:sz w:val="32"/>
          <w:szCs w:val="32"/>
          <w:highlight w:val="none"/>
          <w:lang w:val="en-US" w:eastAsia="zh-CN"/>
        </w:rPr>
        <w:t>100</w:t>
      </w:r>
      <w:r>
        <w:rPr>
          <w:rStyle w:val="13"/>
          <w:rFonts w:eastAsia="仿宋_GB2312"/>
          <w:b w:val="0"/>
          <w:color w:val="auto"/>
          <w:spacing w:val="-4"/>
          <w:sz w:val="32"/>
          <w:szCs w:val="32"/>
          <w:highlight w:val="none"/>
        </w:rPr>
        <w:t>%；</w:t>
      </w:r>
    </w:p>
    <w:p w14:paraId="4D89290C">
      <w:pPr>
        <w:snapToGrid w:val="0"/>
        <w:spacing w:line="560" w:lineRule="exact"/>
        <w:ind w:firstLine="624" w:firstLineChars="200"/>
        <w:rPr>
          <w:color w:val="auto"/>
          <w:highlight w:val="none"/>
        </w:rPr>
      </w:pPr>
      <w:r>
        <w:rPr>
          <w:rStyle w:val="13"/>
          <w:rFonts w:eastAsia="仿宋_GB2312"/>
          <w:b w:val="0"/>
          <w:color w:val="auto"/>
          <w:spacing w:val="-4"/>
          <w:sz w:val="32"/>
          <w:szCs w:val="32"/>
          <w:highlight w:val="none"/>
        </w:rPr>
        <w:t>指标</w:t>
      </w:r>
      <w:r>
        <w:rPr>
          <w:rStyle w:val="13"/>
          <w:rFonts w:hint="eastAsia" w:eastAsia="仿宋_GB2312"/>
          <w:b w:val="0"/>
          <w:color w:val="auto"/>
          <w:spacing w:val="-4"/>
          <w:sz w:val="32"/>
          <w:szCs w:val="32"/>
          <w:highlight w:val="none"/>
          <w:lang w:val="en-US" w:eastAsia="zh-CN"/>
        </w:rPr>
        <w:t>2</w:t>
      </w:r>
      <w:r>
        <w:rPr>
          <w:rStyle w:val="13"/>
          <w:rFonts w:eastAsia="仿宋_GB2312"/>
          <w:b w:val="0"/>
          <w:color w:val="auto"/>
          <w:spacing w:val="-4"/>
          <w:sz w:val="32"/>
          <w:szCs w:val="32"/>
          <w:highlight w:val="none"/>
        </w:rPr>
        <w:t>：</w:t>
      </w:r>
      <w:r>
        <w:rPr>
          <w:rStyle w:val="13"/>
          <w:rFonts w:hint="eastAsia" w:eastAsia="仿宋_GB2312"/>
          <w:b w:val="0"/>
          <w:color w:val="auto"/>
          <w:spacing w:val="-4"/>
          <w:sz w:val="32"/>
          <w:szCs w:val="32"/>
          <w:highlight w:val="none"/>
        </w:rPr>
        <w:t>政府采购率</w:t>
      </w:r>
      <w:r>
        <w:rPr>
          <w:rStyle w:val="13"/>
          <w:rFonts w:eastAsia="仿宋_GB2312"/>
          <w:b w:val="0"/>
          <w:color w:val="auto"/>
          <w:spacing w:val="-4"/>
          <w:sz w:val="32"/>
          <w:szCs w:val="32"/>
          <w:highlight w:val="none"/>
        </w:rPr>
        <w:t>，指标值：</w:t>
      </w:r>
      <w:r>
        <w:rPr>
          <w:rStyle w:val="13"/>
          <w:rFonts w:hint="eastAsia"/>
          <w:b w:val="0"/>
          <w:color w:val="auto"/>
          <w:spacing w:val="-4"/>
          <w:sz w:val="32"/>
          <w:szCs w:val="32"/>
          <w:highlight w:val="none"/>
          <w:lang w:val="en-US" w:eastAsia="zh-CN"/>
        </w:rPr>
        <w:t>≥80</w:t>
      </w:r>
      <w:r>
        <w:rPr>
          <w:rStyle w:val="13"/>
          <w:rFonts w:hint="eastAsia" w:eastAsia="仿宋_GB2312"/>
          <w:b w:val="0"/>
          <w:color w:val="auto"/>
          <w:spacing w:val="-4"/>
          <w:sz w:val="32"/>
          <w:szCs w:val="32"/>
          <w:highlight w:val="none"/>
        </w:rPr>
        <w:t>%</w:t>
      </w:r>
      <w:r>
        <w:rPr>
          <w:rStyle w:val="13"/>
          <w:rFonts w:eastAsia="仿宋_GB2312"/>
          <w:b w:val="0"/>
          <w:color w:val="auto"/>
          <w:spacing w:val="-4"/>
          <w:sz w:val="32"/>
          <w:szCs w:val="32"/>
          <w:highlight w:val="none"/>
        </w:rPr>
        <w:t xml:space="preserve"> ，实际完成值：</w:t>
      </w:r>
      <w:r>
        <w:rPr>
          <w:rStyle w:val="13"/>
          <w:rFonts w:hint="eastAsia" w:eastAsia="仿宋_GB2312"/>
          <w:b w:val="0"/>
          <w:color w:val="auto"/>
          <w:spacing w:val="-4"/>
          <w:sz w:val="32"/>
          <w:szCs w:val="32"/>
          <w:highlight w:val="none"/>
        </w:rPr>
        <w:t>=100%</w:t>
      </w:r>
      <w:r>
        <w:rPr>
          <w:rStyle w:val="13"/>
          <w:rFonts w:eastAsia="仿宋_GB2312"/>
          <w:b w:val="0"/>
          <w:color w:val="auto"/>
          <w:spacing w:val="-4"/>
          <w:sz w:val="32"/>
          <w:szCs w:val="32"/>
          <w:highlight w:val="none"/>
        </w:rPr>
        <w:t xml:space="preserve"> ，指标完成率</w:t>
      </w:r>
      <w:r>
        <w:rPr>
          <w:rStyle w:val="13"/>
          <w:rFonts w:hint="eastAsia" w:eastAsia="仿宋_GB2312"/>
          <w:b w:val="0"/>
          <w:color w:val="auto"/>
          <w:spacing w:val="-4"/>
          <w:sz w:val="32"/>
          <w:szCs w:val="32"/>
          <w:highlight w:val="none"/>
          <w:lang w:val="en-US" w:eastAsia="zh-CN"/>
        </w:rPr>
        <w:t>100</w:t>
      </w:r>
      <w:r>
        <w:rPr>
          <w:rStyle w:val="13"/>
          <w:rFonts w:eastAsia="仿宋_GB2312"/>
          <w:b w:val="0"/>
          <w:color w:val="auto"/>
          <w:spacing w:val="-4"/>
          <w:sz w:val="32"/>
          <w:szCs w:val="32"/>
          <w:highlight w:val="none"/>
        </w:rPr>
        <w:t>%；</w:t>
      </w:r>
    </w:p>
    <w:p w14:paraId="2AD36A82">
      <w:pPr>
        <w:pStyle w:val="2"/>
        <w:spacing w:before="0" w:after="0" w:line="560" w:lineRule="exact"/>
        <w:ind w:firstLine="643" w:firstLineChars="200"/>
        <w:jc w:val="both"/>
        <w:rPr>
          <w:rStyle w:val="15"/>
          <w:rFonts w:ascii="Times New Roman" w:hAnsi="Times New Roman" w:cs="Times New Roman"/>
          <w:color w:val="auto"/>
          <w:highlight w:val="none"/>
        </w:rPr>
      </w:pPr>
      <w:r>
        <w:rPr>
          <w:rStyle w:val="15"/>
          <w:rFonts w:ascii="Times New Roman" w:hAnsi="Times New Roman" w:cs="Times New Roman"/>
          <w:color w:val="auto"/>
          <w:highlight w:val="none"/>
        </w:rPr>
        <w:t>成本指标方面：</w:t>
      </w:r>
    </w:p>
    <w:p w14:paraId="45F34E43">
      <w:pPr>
        <w:shd w:val="clear"/>
        <w:spacing w:line="600" w:lineRule="exact"/>
        <w:ind w:firstLine="624" w:firstLineChars="200"/>
        <w:outlineLvl w:val="0"/>
        <w:rPr>
          <w:rStyle w:val="13"/>
          <w:rFonts w:hint="default" w:ascii="仿宋_GB2312" w:hAnsi="仿宋_GB2312" w:eastAsia="仿宋_GB2312" w:cs="仿宋_GB2312"/>
          <w:b w:val="0"/>
          <w:color w:val="auto"/>
          <w:spacing w:val="-4"/>
          <w:sz w:val="32"/>
          <w:szCs w:val="32"/>
          <w:highlight w:val="none"/>
          <w:lang w:val="en-US"/>
        </w:rPr>
      </w:pPr>
      <w:r>
        <w:rPr>
          <w:rStyle w:val="13"/>
          <w:rFonts w:eastAsia="仿宋_GB2312"/>
          <w:b w:val="0"/>
          <w:color w:val="auto"/>
          <w:spacing w:val="-4"/>
          <w:sz w:val="32"/>
          <w:szCs w:val="32"/>
          <w:highlight w:val="none"/>
        </w:rPr>
        <w:t>指标1：</w:t>
      </w:r>
      <w:r>
        <w:rPr>
          <w:rStyle w:val="13"/>
          <w:rFonts w:hint="eastAsia" w:eastAsia="仿宋_GB2312"/>
          <w:b w:val="0"/>
          <w:color w:val="auto"/>
          <w:spacing w:val="-4"/>
          <w:sz w:val="32"/>
          <w:szCs w:val="32"/>
          <w:highlight w:val="none"/>
        </w:rPr>
        <w:t>设备采购资金节约率</w:t>
      </w:r>
      <w:r>
        <w:rPr>
          <w:rStyle w:val="13"/>
          <w:rFonts w:eastAsia="仿宋_GB2312"/>
          <w:b w:val="0"/>
          <w:color w:val="auto"/>
          <w:spacing w:val="-4"/>
          <w:sz w:val="32"/>
          <w:szCs w:val="32"/>
          <w:highlight w:val="none"/>
        </w:rPr>
        <w:t>，指标值：</w:t>
      </w:r>
      <w:r>
        <w:rPr>
          <w:rStyle w:val="13"/>
          <w:rFonts w:hint="eastAsia" w:eastAsia="仿宋_GB2312"/>
          <w:b w:val="0"/>
          <w:color w:val="auto"/>
          <w:spacing w:val="-4"/>
          <w:sz w:val="32"/>
          <w:szCs w:val="32"/>
          <w:highlight w:val="none"/>
        </w:rPr>
        <w:t>＞=1%</w:t>
      </w:r>
      <w:r>
        <w:rPr>
          <w:rStyle w:val="13"/>
          <w:rFonts w:eastAsia="仿宋_GB2312"/>
          <w:b w:val="0"/>
          <w:color w:val="auto"/>
          <w:spacing w:val="-4"/>
          <w:sz w:val="32"/>
          <w:szCs w:val="32"/>
          <w:highlight w:val="none"/>
        </w:rPr>
        <w:t>，实际完成值：</w:t>
      </w:r>
      <w:r>
        <w:rPr>
          <w:rStyle w:val="13"/>
          <w:rFonts w:hint="eastAsia" w:eastAsia="仿宋_GB2312"/>
          <w:b w:val="0"/>
          <w:color w:val="auto"/>
          <w:spacing w:val="-4"/>
          <w:sz w:val="32"/>
          <w:szCs w:val="32"/>
          <w:highlight w:val="none"/>
          <w:lang w:val="en-US" w:eastAsia="zh-CN"/>
        </w:rPr>
        <w:t>1.34%</w:t>
      </w:r>
      <w:r>
        <w:rPr>
          <w:rStyle w:val="13"/>
          <w:rFonts w:eastAsia="仿宋_GB2312"/>
          <w:b w:val="0"/>
          <w:color w:val="auto"/>
          <w:spacing w:val="-4"/>
          <w:sz w:val="32"/>
          <w:szCs w:val="32"/>
          <w:highlight w:val="none"/>
        </w:rPr>
        <w:t>，指标完成率</w:t>
      </w:r>
      <w:r>
        <w:rPr>
          <w:rStyle w:val="13"/>
          <w:rFonts w:hint="eastAsia" w:eastAsia="仿宋_GB2312"/>
          <w:b w:val="0"/>
          <w:color w:val="auto"/>
          <w:spacing w:val="-4"/>
          <w:sz w:val="32"/>
          <w:szCs w:val="32"/>
          <w:highlight w:val="none"/>
          <w:lang w:val="en-US" w:eastAsia="zh-CN"/>
        </w:rPr>
        <w:t>134</w:t>
      </w:r>
      <w:r>
        <w:rPr>
          <w:rStyle w:val="13"/>
          <w:rFonts w:eastAsia="仿宋_GB2312"/>
          <w:b w:val="0"/>
          <w:color w:val="auto"/>
          <w:spacing w:val="-4"/>
          <w:sz w:val="32"/>
          <w:szCs w:val="32"/>
          <w:highlight w:val="none"/>
        </w:rPr>
        <w:t>%；</w:t>
      </w:r>
      <w:r>
        <w:rPr>
          <w:rFonts w:hint="eastAsia" w:ascii="仿宋_GB2312" w:hAnsi="仿宋_GB2312" w:eastAsia="仿宋_GB2312" w:cs="仿宋_GB2312"/>
          <w:sz w:val="32"/>
          <w:szCs w:val="32"/>
          <w:highlight w:val="none"/>
          <w:lang w:eastAsia="zh-CN"/>
        </w:rPr>
        <w:t>偏差原因：</w:t>
      </w:r>
      <w:r>
        <w:rPr>
          <w:rFonts w:hint="eastAsia" w:ascii="仿宋_GB2312" w:hAnsi="仿宋_GB2312" w:eastAsia="仿宋_GB2312" w:cs="仿宋_GB2312"/>
          <w:color w:val="000000"/>
          <w:sz w:val="32"/>
          <w:szCs w:val="32"/>
          <w:highlight w:val="none"/>
          <w:lang w:val="en-US" w:eastAsia="zh-CN" w:bidi="ar"/>
        </w:rPr>
        <w:t>因2023年防控转为常态化，市场主体增多，潜在供应商之间竞争幅度增多，故最终资金节约率有所上升</w:t>
      </w:r>
      <w:r>
        <w:rPr>
          <w:rFonts w:hint="eastAsia" w:ascii="仿宋_GB2312" w:hAnsi="仿宋_GB2312" w:cs="仿宋_GB2312"/>
          <w:color w:val="000000"/>
          <w:sz w:val="32"/>
          <w:szCs w:val="32"/>
          <w:highlight w:val="none"/>
          <w:lang w:val="en-US" w:eastAsia="zh-CN" w:bidi="ar"/>
        </w:rPr>
        <w:t>；</w:t>
      </w:r>
    </w:p>
    <w:p w14:paraId="4AA91A32">
      <w:pPr>
        <w:spacing w:line="560" w:lineRule="exact"/>
        <w:ind w:firstLine="643" w:firstLineChars="200"/>
        <w:rPr>
          <w:rStyle w:val="15"/>
          <w:rFonts w:ascii="Times New Roman" w:hAnsi="Times New Roman" w:cs="Times New Roman"/>
          <w:b/>
          <w:bCs/>
          <w:color w:val="auto"/>
          <w:highlight w:val="none"/>
        </w:rPr>
      </w:pPr>
      <w:r>
        <w:rPr>
          <w:rStyle w:val="15"/>
          <w:rFonts w:ascii="Times New Roman" w:hAnsi="Times New Roman" w:cs="Times New Roman"/>
          <w:b/>
          <w:bCs/>
          <w:color w:val="auto"/>
          <w:highlight w:val="none"/>
        </w:rPr>
        <w:t>时效指标方面：</w:t>
      </w:r>
    </w:p>
    <w:p w14:paraId="0C000167">
      <w:pPr>
        <w:snapToGrid w:val="0"/>
        <w:spacing w:line="560" w:lineRule="exact"/>
        <w:ind w:firstLine="624" w:firstLineChars="200"/>
        <w:rPr>
          <w:rStyle w:val="13"/>
          <w:rFonts w:eastAsia="仿宋_GB2312"/>
          <w:b w:val="0"/>
          <w:color w:val="auto"/>
          <w:spacing w:val="-4"/>
          <w:sz w:val="32"/>
          <w:szCs w:val="32"/>
          <w:highlight w:val="none"/>
        </w:rPr>
      </w:pPr>
      <w:r>
        <w:rPr>
          <w:rStyle w:val="13"/>
          <w:rFonts w:eastAsia="仿宋_GB2312"/>
          <w:b w:val="0"/>
          <w:color w:val="auto"/>
          <w:spacing w:val="-4"/>
          <w:sz w:val="32"/>
          <w:szCs w:val="32"/>
          <w:highlight w:val="none"/>
        </w:rPr>
        <w:t>指标1：</w:t>
      </w:r>
      <w:r>
        <w:rPr>
          <w:rStyle w:val="13"/>
          <w:rFonts w:hint="eastAsia" w:eastAsia="仿宋_GB2312"/>
          <w:b w:val="0"/>
          <w:color w:val="auto"/>
          <w:spacing w:val="-4"/>
          <w:sz w:val="32"/>
          <w:szCs w:val="32"/>
          <w:highlight w:val="none"/>
        </w:rPr>
        <w:t>年度计划完成率</w:t>
      </w:r>
      <w:r>
        <w:rPr>
          <w:rStyle w:val="13"/>
          <w:rFonts w:eastAsia="仿宋_GB2312"/>
          <w:b w:val="0"/>
          <w:color w:val="auto"/>
          <w:spacing w:val="-4"/>
          <w:sz w:val="32"/>
          <w:szCs w:val="32"/>
          <w:highlight w:val="none"/>
        </w:rPr>
        <w:t>，指标值：</w:t>
      </w:r>
      <w:r>
        <w:rPr>
          <w:rStyle w:val="13"/>
          <w:rFonts w:hint="eastAsia" w:eastAsia="仿宋_GB2312"/>
          <w:b w:val="0"/>
          <w:color w:val="auto"/>
          <w:spacing w:val="-4"/>
          <w:sz w:val="32"/>
          <w:szCs w:val="32"/>
          <w:highlight w:val="none"/>
        </w:rPr>
        <w:t>=100%</w:t>
      </w:r>
      <w:r>
        <w:rPr>
          <w:rStyle w:val="13"/>
          <w:rFonts w:eastAsia="仿宋_GB2312"/>
          <w:b w:val="0"/>
          <w:color w:val="auto"/>
          <w:spacing w:val="-4"/>
          <w:sz w:val="32"/>
          <w:szCs w:val="32"/>
          <w:highlight w:val="none"/>
        </w:rPr>
        <w:t>，实际完成值：</w:t>
      </w:r>
      <w:r>
        <w:rPr>
          <w:rStyle w:val="13"/>
          <w:rFonts w:hint="eastAsia" w:eastAsia="仿宋_GB2312"/>
          <w:b w:val="0"/>
          <w:color w:val="auto"/>
          <w:spacing w:val="-4"/>
          <w:sz w:val="32"/>
          <w:szCs w:val="32"/>
          <w:highlight w:val="none"/>
        </w:rPr>
        <w:t>100%</w:t>
      </w:r>
      <w:r>
        <w:rPr>
          <w:rStyle w:val="13"/>
          <w:rFonts w:eastAsia="仿宋_GB2312"/>
          <w:b w:val="0"/>
          <w:color w:val="auto"/>
          <w:spacing w:val="-4"/>
          <w:sz w:val="32"/>
          <w:szCs w:val="32"/>
          <w:highlight w:val="none"/>
        </w:rPr>
        <w:t>，指标完成率</w:t>
      </w:r>
      <w:r>
        <w:rPr>
          <w:rStyle w:val="13"/>
          <w:rFonts w:hint="eastAsia" w:eastAsia="仿宋_GB2312"/>
          <w:b w:val="0"/>
          <w:color w:val="auto"/>
          <w:spacing w:val="-4"/>
          <w:sz w:val="32"/>
          <w:szCs w:val="32"/>
          <w:highlight w:val="none"/>
          <w:lang w:val="en-US" w:eastAsia="zh-CN"/>
        </w:rPr>
        <w:t>100</w:t>
      </w:r>
      <w:r>
        <w:rPr>
          <w:rStyle w:val="13"/>
          <w:rFonts w:eastAsia="仿宋_GB2312"/>
          <w:b w:val="0"/>
          <w:color w:val="auto"/>
          <w:spacing w:val="-4"/>
          <w:sz w:val="32"/>
          <w:szCs w:val="32"/>
          <w:highlight w:val="none"/>
        </w:rPr>
        <w:t>%；</w:t>
      </w:r>
    </w:p>
    <w:p w14:paraId="620EBBE7">
      <w:pPr>
        <w:pStyle w:val="9"/>
        <w:numPr>
          <w:ilvl w:val="0"/>
          <w:numId w:val="6"/>
        </w:numPr>
        <w:spacing w:line="560" w:lineRule="exact"/>
        <w:ind w:firstLine="640"/>
        <w:rPr>
          <w:rFonts w:eastAsia="楷体_GB2312"/>
          <w:b/>
          <w:bCs/>
          <w:color w:val="auto"/>
          <w:sz w:val="32"/>
          <w:szCs w:val="32"/>
          <w:highlight w:val="none"/>
        </w:rPr>
      </w:pPr>
      <w:r>
        <w:rPr>
          <w:rFonts w:eastAsia="楷体_GB2312"/>
          <w:b/>
          <w:bCs/>
          <w:color w:val="auto"/>
          <w:sz w:val="32"/>
          <w:szCs w:val="32"/>
          <w:highlight w:val="none"/>
        </w:rPr>
        <w:t>效益情况</w:t>
      </w:r>
    </w:p>
    <w:p w14:paraId="045B140E">
      <w:pPr>
        <w:spacing w:line="560" w:lineRule="exact"/>
        <w:ind w:firstLine="643" w:firstLineChars="200"/>
        <w:rPr>
          <w:rStyle w:val="15"/>
          <w:rFonts w:ascii="Times New Roman" w:hAnsi="Times New Roman" w:cs="Times New Roman"/>
          <w:b/>
          <w:bCs/>
          <w:color w:val="auto"/>
          <w:highlight w:val="none"/>
        </w:rPr>
      </w:pPr>
      <w:r>
        <w:rPr>
          <w:rStyle w:val="15"/>
          <w:rFonts w:ascii="Times New Roman" w:hAnsi="Times New Roman" w:cs="Times New Roman"/>
          <w:b/>
          <w:bCs/>
          <w:color w:val="auto"/>
          <w:highlight w:val="none"/>
        </w:rPr>
        <w:t>社会效益指标方面：</w:t>
      </w:r>
    </w:p>
    <w:p w14:paraId="4B000FA2">
      <w:pPr>
        <w:spacing w:line="560" w:lineRule="exact"/>
        <w:ind w:firstLine="640" w:firstLineChars="200"/>
        <w:rPr>
          <w:rStyle w:val="15"/>
          <w:rFonts w:ascii="Times New Roman" w:hAnsi="Times New Roman" w:cs="Times New Roman"/>
          <w:color w:val="auto"/>
          <w:highlight w:val="none"/>
        </w:rPr>
      </w:pPr>
      <w:r>
        <w:rPr>
          <w:rStyle w:val="15"/>
          <w:rFonts w:ascii="Times New Roman" w:hAnsi="Times New Roman" w:cs="Times New Roman"/>
          <w:color w:val="auto"/>
          <w:highlight w:val="none"/>
        </w:rPr>
        <w:t>指标1：</w:t>
      </w:r>
      <w:r>
        <w:rPr>
          <w:rStyle w:val="15"/>
          <w:rFonts w:hint="eastAsia" w:ascii="Times New Roman" w:hAnsi="Times New Roman" w:cs="Times New Roman"/>
          <w:color w:val="auto"/>
          <w:highlight w:val="none"/>
        </w:rPr>
        <w:t>保障医院业务正常运行</w:t>
      </w:r>
      <w:r>
        <w:rPr>
          <w:rStyle w:val="15"/>
          <w:rFonts w:ascii="Times New Roman" w:hAnsi="Times New Roman" w:cs="Times New Roman"/>
          <w:color w:val="auto"/>
          <w:highlight w:val="none"/>
        </w:rPr>
        <w:t>，指标值：</w:t>
      </w:r>
      <w:r>
        <w:rPr>
          <w:rStyle w:val="15"/>
          <w:rFonts w:hint="eastAsia" w:ascii="Times New Roman" w:hAnsi="Times New Roman" w:cs="Times New Roman"/>
          <w:color w:val="auto"/>
          <w:highlight w:val="none"/>
        </w:rPr>
        <w:t>=100%</w:t>
      </w:r>
      <w:r>
        <w:rPr>
          <w:rStyle w:val="15"/>
          <w:rFonts w:ascii="Times New Roman" w:hAnsi="Times New Roman" w:cs="Times New Roman"/>
          <w:color w:val="auto"/>
          <w:highlight w:val="none"/>
        </w:rPr>
        <w:t>，实际完成值：</w:t>
      </w:r>
      <w:r>
        <w:rPr>
          <w:rStyle w:val="15"/>
          <w:rFonts w:hint="eastAsia" w:eastAsia="仿宋_GB2312" w:cs="Times New Roman"/>
          <w:color w:val="auto"/>
          <w:highlight w:val="none"/>
          <w:lang w:val="en-US" w:eastAsia="zh-CN"/>
        </w:rPr>
        <w:t>100%</w:t>
      </w:r>
      <w:r>
        <w:rPr>
          <w:rStyle w:val="15"/>
          <w:rFonts w:ascii="Times New Roman" w:hAnsi="Times New Roman" w:cs="Times New Roman"/>
          <w:color w:val="auto"/>
          <w:highlight w:val="none"/>
        </w:rPr>
        <w:t>，指标完成率</w:t>
      </w:r>
      <w:r>
        <w:rPr>
          <w:rStyle w:val="15"/>
          <w:rFonts w:hint="eastAsia" w:eastAsia="仿宋_GB2312" w:cs="Times New Roman"/>
          <w:color w:val="auto"/>
          <w:highlight w:val="none"/>
          <w:lang w:val="en-US" w:eastAsia="zh-CN"/>
        </w:rPr>
        <w:t>100</w:t>
      </w:r>
      <w:r>
        <w:rPr>
          <w:rStyle w:val="15"/>
          <w:rFonts w:ascii="Times New Roman" w:hAnsi="Times New Roman" w:cs="Times New Roman"/>
          <w:color w:val="auto"/>
          <w:highlight w:val="none"/>
        </w:rPr>
        <w:t>%；</w:t>
      </w:r>
    </w:p>
    <w:p w14:paraId="36342000">
      <w:pPr>
        <w:spacing w:line="560" w:lineRule="exact"/>
        <w:ind w:firstLine="643" w:firstLineChars="200"/>
        <w:rPr>
          <w:rStyle w:val="15"/>
          <w:rFonts w:ascii="Times New Roman" w:hAnsi="Times New Roman" w:cs="Times New Roman"/>
          <w:b/>
          <w:bCs/>
          <w:color w:val="auto"/>
          <w:highlight w:val="none"/>
        </w:rPr>
      </w:pPr>
      <w:r>
        <w:rPr>
          <w:rStyle w:val="15"/>
          <w:rFonts w:ascii="Times New Roman" w:hAnsi="Times New Roman" w:cs="Times New Roman"/>
          <w:b/>
          <w:bCs/>
          <w:color w:val="auto"/>
          <w:highlight w:val="none"/>
        </w:rPr>
        <w:t>满意度指标方面：</w:t>
      </w:r>
    </w:p>
    <w:p w14:paraId="0168F25D">
      <w:pPr>
        <w:keepNext w:val="0"/>
        <w:keepLines w:val="0"/>
        <w:widowControl/>
        <w:suppressLineNumbers w:val="0"/>
        <w:spacing w:before="0" w:beforeAutospacing="0" w:after="0" w:afterAutospacing="0"/>
        <w:ind w:left="0" w:right="0"/>
        <w:jc w:val="both"/>
        <w:textAlignment w:val="center"/>
        <w:rPr>
          <w:rStyle w:val="13"/>
          <w:rFonts w:hint="default" w:eastAsia="仿宋_GB2312"/>
          <w:b w:val="0"/>
          <w:color w:val="auto"/>
          <w:spacing w:val="-4"/>
          <w:sz w:val="32"/>
          <w:szCs w:val="32"/>
          <w:highlight w:val="none"/>
          <w:lang w:val="en-US" w:eastAsia="zh-CN"/>
        </w:rPr>
      </w:pPr>
      <w:r>
        <w:rPr>
          <w:rStyle w:val="13"/>
          <w:rFonts w:eastAsia="仿宋_GB2312"/>
          <w:b w:val="0"/>
          <w:color w:val="auto"/>
          <w:spacing w:val="-4"/>
          <w:sz w:val="32"/>
          <w:szCs w:val="32"/>
          <w:highlight w:val="none"/>
        </w:rPr>
        <w:t>指标1：</w:t>
      </w:r>
      <w:r>
        <w:rPr>
          <w:rStyle w:val="13"/>
          <w:rFonts w:hint="eastAsia" w:eastAsia="仿宋_GB2312"/>
          <w:b w:val="0"/>
          <w:color w:val="auto"/>
          <w:spacing w:val="-4"/>
          <w:sz w:val="32"/>
          <w:szCs w:val="32"/>
          <w:highlight w:val="none"/>
        </w:rPr>
        <w:t>满意度指标</w:t>
      </w:r>
      <w:r>
        <w:rPr>
          <w:rStyle w:val="13"/>
          <w:rFonts w:eastAsia="仿宋_GB2312"/>
          <w:b w:val="0"/>
          <w:color w:val="auto"/>
          <w:spacing w:val="-4"/>
          <w:sz w:val="32"/>
          <w:szCs w:val="32"/>
          <w:highlight w:val="none"/>
        </w:rPr>
        <w:t>，指标值：</w:t>
      </w:r>
      <w:r>
        <w:rPr>
          <w:rStyle w:val="13"/>
          <w:rFonts w:hint="eastAsia" w:eastAsia="仿宋_GB2312"/>
          <w:b w:val="0"/>
          <w:color w:val="auto"/>
          <w:spacing w:val="-4"/>
          <w:sz w:val="32"/>
          <w:szCs w:val="32"/>
          <w:highlight w:val="none"/>
        </w:rPr>
        <w:t>＞=90%</w:t>
      </w:r>
      <w:r>
        <w:rPr>
          <w:rStyle w:val="13"/>
          <w:rFonts w:eastAsia="仿宋_GB2312"/>
          <w:b w:val="0"/>
          <w:color w:val="auto"/>
          <w:spacing w:val="-4"/>
          <w:sz w:val="32"/>
          <w:szCs w:val="32"/>
          <w:highlight w:val="none"/>
        </w:rPr>
        <w:t>，实际完成值：</w:t>
      </w:r>
      <w:r>
        <w:rPr>
          <w:rStyle w:val="13"/>
          <w:rFonts w:hint="eastAsia" w:eastAsia="仿宋_GB2312"/>
          <w:b w:val="0"/>
          <w:color w:val="auto"/>
          <w:spacing w:val="-4"/>
          <w:sz w:val="32"/>
          <w:szCs w:val="32"/>
          <w:highlight w:val="none"/>
          <w:lang w:val="en-US" w:eastAsia="zh-CN"/>
        </w:rPr>
        <w:t>85.2%</w:t>
      </w:r>
      <w:r>
        <w:rPr>
          <w:rStyle w:val="13"/>
          <w:rFonts w:eastAsia="仿宋_GB2312"/>
          <w:b w:val="0"/>
          <w:color w:val="auto"/>
          <w:spacing w:val="-4"/>
          <w:sz w:val="32"/>
          <w:szCs w:val="32"/>
          <w:highlight w:val="none"/>
        </w:rPr>
        <w:t>，指标完成率</w:t>
      </w:r>
      <w:r>
        <w:rPr>
          <w:rStyle w:val="13"/>
          <w:rFonts w:hint="eastAsia" w:eastAsia="仿宋_GB2312"/>
          <w:b w:val="0"/>
          <w:color w:val="auto"/>
          <w:spacing w:val="-4"/>
          <w:sz w:val="32"/>
          <w:szCs w:val="32"/>
          <w:highlight w:val="none"/>
          <w:lang w:val="en-US" w:eastAsia="zh-CN"/>
        </w:rPr>
        <w:t>94.67</w:t>
      </w:r>
      <w:r>
        <w:rPr>
          <w:rStyle w:val="13"/>
          <w:rFonts w:eastAsia="仿宋_GB2312"/>
          <w:b w:val="0"/>
          <w:color w:val="auto"/>
          <w:spacing w:val="-4"/>
          <w:sz w:val="32"/>
          <w:szCs w:val="32"/>
          <w:highlight w:val="none"/>
        </w:rPr>
        <w:t>%</w:t>
      </w:r>
      <w:r>
        <w:rPr>
          <w:rStyle w:val="13"/>
          <w:rFonts w:hint="eastAsia"/>
          <w:b w:val="0"/>
          <w:color w:val="auto"/>
          <w:spacing w:val="-4"/>
          <w:sz w:val="32"/>
          <w:szCs w:val="32"/>
          <w:highlight w:val="none"/>
          <w:lang w:eastAsia="zh-CN"/>
        </w:rPr>
        <w:t>，</w:t>
      </w:r>
      <w:r>
        <w:rPr>
          <w:rStyle w:val="13"/>
          <w:rFonts w:hint="eastAsia"/>
          <w:b w:val="0"/>
          <w:color w:val="auto"/>
          <w:spacing w:val="-4"/>
          <w:sz w:val="32"/>
          <w:szCs w:val="32"/>
          <w:highlight w:val="none"/>
          <w:lang w:val="en-US" w:eastAsia="zh-CN"/>
        </w:rPr>
        <w:t>偏差原因：</w:t>
      </w:r>
      <w:r>
        <w:rPr>
          <w:rFonts w:hint="eastAsia" w:ascii="仿宋_GB2312" w:hAnsi="仿宋_GB2312" w:eastAsia="仿宋_GB2312" w:cs="仿宋_GB2312"/>
          <w:b w:val="0"/>
          <w:bCs w:val="0"/>
          <w:color w:val="000000"/>
          <w:kern w:val="0"/>
          <w:sz w:val="32"/>
          <w:szCs w:val="32"/>
          <w:highlight w:val="none"/>
          <w:lang w:val="en-US" w:eastAsia="zh-CN" w:bidi="ar"/>
        </w:rPr>
        <w:t>由于我院建成时间较长，院区部分基建设施较陈旧，部分患者就诊体验有待进一步提高，故满意度指标未达到预期，今后将，在现有基建</w:t>
      </w:r>
      <w:bookmarkStart w:id="9" w:name="_GoBack"/>
      <w:bookmarkEnd w:id="9"/>
      <w:r>
        <w:rPr>
          <w:rFonts w:hint="eastAsia" w:ascii="仿宋_GB2312" w:hAnsi="仿宋_GB2312" w:eastAsia="仿宋_GB2312" w:cs="仿宋_GB2312"/>
          <w:b w:val="0"/>
          <w:bCs w:val="0"/>
          <w:color w:val="000000"/>
          <w:kern w:val="0"/>
          <w:sz w:val="32"/>
          <w:szCs w:val="32"/>
          <w:highlight w:val="none"/>
          <w:lang w:val="en-US" w:eastAsia="zh-CN" w:bidi="ar"/>
        </w:rPr>
        <w:t>设施条件下提升医疗服务水平和护理质量，提升患者满意度。</w:t>
      </w:r>
    </w:p>
    <w:p w14:paraId="67D8F65D">
      <w:pPr>
        <w:spacing w:line="560" w:lineRule="exact"/>
        <w:ind w:firstLine="640" w:firstLineChars="200"/>
        <w:rPr>
          <w:rFonts w:eastAsia="黑体"/>
          <w:color w:val="auto"/>
          <w:sz w:val="32"/>
          <w:szCs w:val="32"/>
          <w:highlight w:val="none"/>
          <w:lang w:eastAsia="zh-Hans"/>
        </w:rPr>
      </w:pPr>
      <w:r>
        <w:rPr>
          <w:rFonts w:eastAsia="黑体"/>
          <w:color w:val="auto"/>
          <w:sz w:val="32"/>
          <w:szCs w:val="32"/>
          <w:highlight w:val="none"/>
        </w:rPr>
        <w:t>五、</w:t>
      </w:r>
      <w:r>
        <w:rPr>
          <w:rFonts w:hint="eastAsia" w:eastAsia="黑体"/>
          <w:color w:val="auto"/>
          <w:sz w:val="32"/>
          <w:szCs w:val="32"/>
          <w:highlight w:val="none"/>
          <w:lang w:eastAsia="zh-Hans"/>
        </w:rPr>
        <w:t>预算执行进度与绩效指标总体完成率偏差</w:t>
      </w:r>
    </w:p>
    <w:p w14:paraId="41EAB1F2">
      <w:pPr>
        <w:pStyle w:val="16"/>
        <w:spacing w:line="560" w:lineRule="exact"/>
        <w:ind w:firstLine="640"/>
        <w:rPr>
          <w:rFonts w:hint="eastAsia" w:eastAsia="方正仿宋_GBK" w:cs="方正仿宋_GBK"/>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2023医院政府采购项目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7079.66</w:t>
      </w:r>
      <w:r>
        <w:rPr>
          <w:rFonts w:hint="eastAsia" w:ascii="仿宋_GB2312" w:hAnsi="仿宋_GB2312" w:eastAsia="仿宋_GB2312" w:cs="仿宋_GB2312"/>
          <w:color w:val="auto"/>
          <w:sz w:val="32"/>
          <w:szCs w:val="32"/>
          <w:highlight w:val="none"/>
        </w:rPr>
        <w:t>万元，到位</w:t>
      </w:r>
      <w:r>
        <w:rPr>
          <w:rFonts w:hint="eastAsia" w:ascii="仿宋_GB2312" w:hAnsi="仿宋_GB2312" w:eastAsia="仿宋_GB2312" w:cs="仿宋_GB2312"/>
          <w:color w:val="auto"/>
          <w:sz w:val="32"/>
          <w:szCs w:val="32"/>
          <w:highlight w:val="none"/>
          <w:lang w:val="en-US" w:eastAsia="zh-CN"/>
        </w:rPr>
        <w:t>6925.2</w:t>
      </w:r>
      <w:r>
        <w:rPr>
          <w:rFonts w:hint="eastAsia" w:ascii="仿宋_GB2312" w:hAnsi="仿宋_GB2312" w:eastAsia="仿宋_GB2312" w:cs="仿宋_GB2312"/>
          <w:color w:val="auto"/>
          <w:sz w:val="32"/>
          <w:szCs w:val="32"/>
          <w:highlight w:val="none"/>
        </w:rPr>
        <w:t>万元，实际支出</w:t>
      </w:r>
      <w:r>
        <w:rPr>
          <w:rFonts w:hint="eastAsia" w:ascii="仿宋_GB2312" w:hAnsi="仿宋_GB2312" w:eastAsia="仿宋_GB2312" w:cs="仿宋_GB2312"/>
          <w:color w:val="auto"/>
          <w:sz w:val="32"/>
          <w:szCs w:val="32"/>
          <w:highlight w:val="none"/>
          <w:lang w:val="en-US" w:eastAsia="zh-CN"/>
        </w:rPr>
        <w:t>6925.2</w:t>
      </w:r>
      <w:r>
        <w:rPr>
          <w:rFonts w:hint="eastAsia" w:ascii="仿宋_GB2312" w:hAnsi="仿宋_GB2312" w:eastAsia="仿宋_GB2312" w:cs="仿宋_GB2312"/>
          <w:color w:val="auto"/>
          <w:sz w:val="32"/>
          <w:szCs w:val="32"/>
          <w:highlight w:val="none"/>
        </w:rPr>
        <w:t>万元，预算执行率为</w:t>
      </w:r>
      <w:r>
        <w:rPr>
          <w:rFonts w:hint="eastAsia" w:ascii="仿宋_GB2312" w:hAnsi="仿宋_GB2312" w:cs="仿宋_GB2312"/>
          <w:color w:val="auto"/>
          <w:sz w:val="32"/>
          <w:szCs w:val="32"/>
          <w:highlight w:val="none"/>
          <w:lang w:val="en-US" w:eastAsia="zh-CN"/>
        </w:rPr>
        <w:t>97.82</w:t>
      </w:r>
      <w:r>
        <w:rPr>
          <w:rFonts w:hint="eastAsia" w:ascii="仿宋_GB2312" w:hAnsi="仿宋_GB2312" w:eastAsia="仿宋_GB2312" w:cs="仿宋_GB2312"/>
          <w:color w:val="auto"/>
          <w:sz w:val="32"/>
          <w:szCs w:val="32"/>
          <w:highlight w:val="none"/>
        </w:rPr>
        <w:t>%，项目绩效指标总体完成率为</w:t>
      </w:r>
      <w:r>
        <w:rPr>
          <w:rFonts w:hint="eastAsia" w:ascii="仿宋_GB2312" w:hAnsi="仿宋_GB2312" w:cs="仿宋_GB2312"/>
          <w:color w:val="auto"/>
          <w:sz w:val="32"/>
          <w:szCs w:val="32"/>
          <w:highlight w:val="none"/>
          <w:lang w:val="en-US" w:eastAsia="zh-CN"/>
        </w:rPr>
        <w:t>104.1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总体</w:t>
      </w:r>
      <w:r>
        <w:rPr>
          <w:rFonts w:hint="eastAsia" w:ascii="仿宋_GB2312" w:hAnsi="仿宋_GB2312" w:eastAsia="仿宋_GB2312" w:cs="仿宋_GB2312"/>
          <w:color w:val="auto"/>
          <w:sz w:val="32"/>
          <w:szCs w:val="32"/>
          <w:highlight w:val="none"/>
        </w:rPr>
        <w:t>偏差率为</w:t>
      </w:r>
      <w:r>
        <w:rPr>
          <w:rFonts w:hint="eastAsia" w:ascii="仿宋_GB2312" w:hAnsi="仿宋_GB2312" w:cs="仿宋_GB2312"/>
          <w:color w:val="auto"/>
          <w:sz w:val="32"/>
          <w:szCs w:val="32"/>
          <w:highlight w:val="none"/>
          <w:lang w:val="en-US" w:eastAsia="zh-CN"/>
        </w:rPr>
        <w:t>6.28</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Hans"/>
        </w:rPr>
        <w:t>偏差</w:t>
      </w:r>
      <w:r>
        <w:rPr>
          <w:rFonts w:hint="eastAsia" w:ascii="仿宋_GB2312" w:hAnsi="仿宋_GB2312" w:eastAsia="仿宋_GB2312" w:cs="仿宋_GB2312"/>
          <w:color w:val="auto"/>
          <w:sz w:val="32"/>
          <w:szCs w:val="32"/>
          <w:highlight w:val="none"/>
        </w:rPr>
        <w:t>原因</w:t>
      </w:r>
      <w:r>
        <w:rPr>
          <w:rFonts w:hint="eastAsia" w:ascii="仿宋_GB2312" w:hAnsi="仿宋_GB2312" w:eastAsia="仿宋_GB2312" w:cs="仿宋_GB2312"/>
          <w:color w:val="auto"/>
          <w:sz w:val="32"/>
          <w:szCs w:val="32"/>
          <w:highlight w:val="none"/>
          <w:lang w:eastAsia="zh-CN"/>
        </w:rPr>
        <w:t>：因2023年防控转为常态化，市场主体增多，潜在供应商之间竞争幅度增多，故最终资金节约率有所上升</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CN"/>
        </w:rPr>
        <w:t>由于我院建成时间较长，院区部分基建设施较陈旧，部分患者就诊体验有待进一步提高，故满意度指标未达到预期。</w:t>
      </w:r>
      <w:r>
        <w:rPr>
          <w:rFonts w:hint="eastAsia" w:ascii="仿宋_GB2312" w:hAnsi="仿宋_GB2312" w:eastAsia="仿宋_GB2312" w:cs="仿宋_GB2312"/>
          <w:color w:val="auto"/>
          <w:sz w:val="32"/>
          <w:szCs w:val="32"/>
          <w:highlight w:val="none"/>
          <w:lang w:eastAsia="zh-Hans"/>
        </w:rPr>
        <w:t>改进</w:t>
      </w:r>
      <w:r>
        <w:rPr>
          <w:rFonts w:hint="eastAsia" w:ascii="仿宋_GB2312" w:hAnsi="仿宋_GB2312" w:eastAsia="仿宋_GB2312" w:cs="仿宋_GB2312"/>
          <w:color w:val="auto"/>
          <w:sz w:val="32"/>
          <w:szCs w:val="32"/>
          <w:highlight w:val="none"/>
        </w:rPr>
        <w:t>措施</w:t>
      </w:r>
      <w:r>
        <w:rPr>
          <w:rFonts w:hint="eastAsia" w:ascii="仿宋_GB2312" w:hAnsi="仿宋_GB2312" w:eastAsia="仿宋_GB2312" w:cs="仿宋_GB2312"/>
          <w:color w:val="auto"/>
          <w:sz w:val="32"/>
          <w:szCs w:val="32"/>
          <w:highlight w:val="none"/>
          <w:lang w:eastAsia="zh-CN"/>
        </w:rPr>
        <w:t>：今后要进一步</w:t>
      </w:r>
      <w:r>
        <w:rPr>
          <w:rFonts w:hint="eastAsia" w:ascii="仿宋_GB2312" w:hAnsi="仿宋_GB2312" w:cs="仿宋_GB2312"/>
          <w:color w:val="auto"/>
          <w:sz w:val="32"/>
          <w:szCs w:val="32"/>
          <w:highlight w:val="none"/>
          <w:lang w:eastAsia="zh-CN"/>
        </w:rPr>
        <w:t>增强</w:t>
      </w:r>
      <w:r>
        <w:rPr>
          <w:rFonts w:hint="eastAsia" w:ascii="仿宋_GB2312" w:hAnsi="仿宋_GB2312" w:eastAsia="仿宋_GB2312" w:cs="仿宋_GB2312"/>
          <w:color w:val="auto"/>
          <w:sz w:val="32"/>
          <w:szCs w:val="32"/>
          <w:highlight w:val="none"/>
          <w:lang w:eastAsia="zh-CN"/>
        </w:rPr>
        <w:t>服务意识，努力在现有基建设施条件下提升医疗服务水平和护理质量，提升患者满意度。</w:t>
      </w:r>
    </w:p>
    <w:p w14:paraId="7ABCD3C6">
      <w:pPr>
        <w:spacing w:line="560" w:lineRule="exact"/>
        <w:ind w:firstLine="640" w:firstLineChars="200"/>
        <w:rPr>
          <w:rStyle w:val="15"/>
          <w:rFonts w:ascii="Times New Roman" w:hAnsi="Times New Roman" w:cs="Times New Roman"/>
          <w:color w:val="auto"/>
          <w:highlight w:val="none"/>
        </w:rPr>
      </w:pPr>
      <w:r>
        <w:rPr>
          <w:rFonts w:hint="eastAsia" w:eastAsia="黑体"/>
          <w:color w:val="auto"/>
          <w:sz w:val="32"/>
          <w:szCs w:val="32"/>
          <w:highlight w:val="none"/>
          <w:lang w:eastAsia="zh-Hans"/>
        </w:rPr>
        <w:t>六</w:t>
      </w:r>
      <w:r>
        <w:rPr>
          <w:rFonts w:eastAsia="黑体"/>
          <w:color w:val="auto"/>
          <w:sz w:val="32"/>
          <w:szCs w:val="32"/>
          <w:highlight w:val="none"/>
        </w:rPr>
        <w:t>、主要经验及做法、存在的问题及原因分析</w:t>
      </w:r>
    </w:p>
    <w:p w14:paraId="3ED877E3">
      <w:pPr>
        <w:spacing w:line="560" w:lineRule="exact"/>
        <w:ind w:firstLine="627" w:firstLineChars="200"/>
        <w:rPr>
          <w:rFonts w:eastAsia="楷体"/>
          <w:b/>
          <w:color w:val="auto"/>
          <w:spacing w:val="-4"/>
          <w:sz w:val="32"/>
          <w:szCs w:val="32"/>
          <w:highlight w:val="none"/>
        </w:rPr>
      </w:pPr>
      <w:r>
        <w:rPr>
          <w:rFonts w:eastAsia="楷体"/>
          <w:b/>
          <w:color w:val="auto"/>
          <w:spacing w:val="-4"/>
          <w:sz w:val="32"/>
          <w:szCs w:val="32"/>
          <w:highlight w:val="none"/>
        </w:rPr>
        <w:t>（一）主要经验及做法</w:t>
      </w:r>
    </w:p>
    <w:p w14:paraId="555CD653">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9F2C3BB">
      <w:pPr>
        <w:pStyle w:val="2"/>
        <w:spacing w:before="0" w:after="0" w:line="560" w:lineRule="exact"/>
        <w:ind w:firstLine="640" w:firstLineChars="200"/>
        <w:jc w:val="left"/>
        <w:rPr>
          <w:rFonts w:ascii="Times New Roman" w:hAnsi="Times New Roman" w:eastAsia="仿宋_GB2312"/>
          <w:b w:val="0"/>
          <w:bCs w:val="0"/>
          <w:color w:val="auto"/>
          <w:kern w:val="2"/>
          <w:highlight w:val="none"/>
        </w:rPr>
      </w:pPr>
      <w:r>
        <w:rPr>
          <w:rFonts w:ascii="Times New Roman" w:hAnsi="Times New Roman" w:eastAsia="仿宋_GB2312"/>
          <w:b w:val="0"/>
          <w:bCs w:val="0"/>
          <w:color w:val="auto"/>
          <w:kern w:val="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553FD39">
      <w:pPr>
        <w:keepNext/>
        <w:keepLines/>
        <w:numPr>
          <w:ilvl w:val="0"/>
          <w:numId w:val="7"/>
        </w:num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存在的问题及原因分析</w:t>
      </w:r>
    </w:p>
    <w:p w14:paraId="12BDA5CE">
      <w:pPr>
        <w:pStyle w:val="2"/>
        <w:spacing w:before="0" w:after="0" w:line="600" w:lineRule="exact"/>
        <w:ind w:firstLine="640" w:firstLineChars="200"/>
        <w:jc w:val="both"/>
        <w:rPr>
          <w:rFonts w:hint="eastAsia" w:ascii="Times New Roman" w:hAnsi="Times New Roman" w:eastAsia="仿宋_GB2312"/>
          <w:b w:val="0"/>
          <w:bCs w:val="0"/>
          <w:color w:val="auto"/>
          <w:kern w:val="2"/>
          <w:highlight w:val="none"/>
        </w:rPr>
      </w:pPr>
      <w:r>
        <w:rPr>
          <w:rFonts w:hint="eastAsia" w:ascii="Times New Roman" w:hAnsi="Times New Roman" w:eastAsia="仿宋_GB2312"/>
          <w:b w:val="0"/>
          <w:bCs w:val="0"/>
          <w:color w:val="auto"/>
          <w:kern w:val="2"/>
          <w:highlight w:val="none"/>
          <w:lang w:eastAsia="zh-CN"/>
        </w:rPr>
        <w:t>我</w:t>
      </w:r>
      <w:r>
        <w:rPr>
          <w:rFonts w:hint="eastAsia" w:ascii="Times New Roman" w:hAnsi="Times New Roman" w:eastAsia="仿宋_GB2312"/>
          <w:b w:val="0"/>
          <w:bCs w:val="0"/>
          <w:color w:val="auto"/>
          <w:kern w:val="2"/>
          <w:highlight w:val="none"/>
        </w:rPr>
        <w:t xml:space="preserve">单位建有政府采购工作领导小组及政府采购工作监管领导小组，建有政府采购工作制度。严格按照自治区财政厅政采云平台规定进行网采计划申报，通过政采云流程进行招标采购。政府采购项目的技术参数，严格按照满足需求的最低参数进行，不得添加任何指向性、排他性参数。                                                                      </w:t>
      </w:r>
    </w:p>
    <w:p w14:paraId="199267ED">
      <w:pPr>
        <w:pStyle w:val="2"/>
        <w:spacing w:before="0" w:after="0" w:line="560" w:lineRule="exact"/>
        <w:ind w:firstLine="640" w:firstLineChars="200"/>
        <w:jc w:val="both"/>
        <w:rPr>
          <w:rFonts w:ascii="Times New Roman" w:hAnsi="Times New Roman" w:eastAsia="仿宋_GB2312"/>
          <w:b w:val="0"/>
          <w:bCs w:val="0"/>
          <w:color w:val="auto"/>
          <w:kern w:val="2"/>
          <w:highlight w:val="none"/>
        </w:rPr>
      </w:pPr>
      <w:r>
        <w:rPr>
          <w:rFonts w:hint="eastAsia" w:ascii="Times New Roman" w:hAnsi="Times New Roman" w:eastAsia="仿宋_GB2312"/>
          <w:b w:val="0"/>
          <w:bCs w:val="0"/>
          <w:color w:val="auto"/>
          <w:kern w:val="2"/>
          <w:highlight w:val="none"/>
        </w:rPr>
        <w:t>单位内控制度对于政府采购的新形势和新业务不能完全覆盖，部分内控制度不够细致，不够完整。下一步单位将结合政府采购工作和医院整体业务实际情况，进一步完善内控制度，加强监管，进一步完整从严把控政府采购工作流程。</w:t>
      </w:r>
    </w:p>
    <w:p w14:paraId="20CEB5B6">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七、</w:t>
      </w:r>
      <w:r>
        <w:rPr>
          <w:rFonts w:eastAsia="黑体"/>
          <w:color w:val="auto"/>
          <w:sz w:val="32"/>
          <w:szCs w:val="32"/>
          <w:highlight w:val="none"/>
        </w:rPr>
        <w:t>有关建议</w:t>
      </w:r>
    </w:p>
    <w:p w14:paraId="05C00CE5">
      <w:pPr>
        <w:spacing w:line="560" w:lineRule="exact"/>
        <w:ind w:firstLine="640" w:firstLineChars="200"/>
        <w:rPr>
          <w:color w:val="auto"/>
          <w:highlight w:val="none"/>
        </w:rPr>
      </w:pPr>
      <w:r>
        <w:rPr>
          <w:rFonts w:hint="eastAsia" w:ascii="仿宋_GB2312" w:hAnsi="仿宋_GB2312" w:eastAsia="仿宋_GB2312" w:cs="仿宋_GB2312"/>
          <w:color w:val="auto"/>
          <w:sz w:val="32"/>
          <w:szCs w:val="28"/>
          <w:highlight w:val="none"/>
        </w:rPr>
        <w:t>进一步加强对绩效管理工作的组织领导，提高对预算绩效管理工作重要性的认识，总结经验查找问题，抓紧研究制定更全面更完善的绩效评价管理办法。结合</w:t>
      </w:r>
      <w:r>
        <w:rPr>
          <w:rFonts w:hint="eastAsia" w:ascii="仿宋_GB2312" w:hAnsi="仿宋_GB2312" w:eastAsia="仿宋_GB2312" w:cs="仿宋_GB2312"/>
          <w:color w:val="auto"/>
          <w:sz w:val="32"/>
          <w:szCs w:val="28"/>
          <w:highlight w:val="none"/>
          <w:lang w:eastAsia="zh-CN"/>
        </w:rPr>
        <w:t>现代化</w:t>
      </w:r>
      <w:r>
        <w:rPr>
          <w:rFonts w:hint="eastAsia" w:ascii="仿宋_GB2312" w:hAnsi="仿宋_GB2312" w:eastAsia="仿宋_GB2312" w:cs="仿宋_GB2312"/>
          <w:color w:val="auto"/>
          <w:sz w:val="32"/>
          <w:szCs w:val="28"/>
          <w:highlight w:val="none"/>
        </w:rPr>
        <w:t>考核建立绩效工作考核制度，加大全局对全面实施预算绩效管理和绩效管理工作的学习力度，让“花钱必问效，无效必问责”的理念深入工作每个环节。</w:t>
      </w:r>
    </w:p>
    <w:p w14:paraId="7C7AEE7C">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八、</w:t>
      </w:r>
      <w:r>
        <w:rPr>
          <w:rFonts w:eastAsia="黑体"/>
          <w:color w:val="auto"/>
          <w:sz w:val="32"/>
          <w:szCs w:val="32"/>
          <w:highlight w:val="none"/>
        </w:rPr>
        <w:t>其他需要说</w:t>
      </w:r>
      <w:bookmarkStart w:id="8" w:name="page8"/>
      <w:bookmarkEnd w:id="8"/>
      <w:r>
        <w:rPr>
          <w:rFonts w:eastAsia="黑体"/>
          <w:color w:val="auto"/>
          <w:sz w:val="32"/>
          <w:szCs w:val="32"/>
          <w:highlight w:val="none"/>
        </w:rPr>
        <w:t>明的问题</w:t>
      </w:r>
    </w:p>
    <w:p w14:paraId="78C81EB1">
      <w:pPr>
        <w:pStyle w:val="10"/>
        <w:spacing w:after="0" w:line="560" w:lineRule="exact"/>
        <w:ind w:left="0" w:leftChars="0"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Hans"/>
        </w:rPr>
        <w:t>本项目无其他需说明的问题。</w:t>
      </w:r>
    </w:p>
    <w:p w14:paraId="08EF4D0F">
      <w:pPr>
        <w:pStyle w:val="10"/>
        <w:spacing w:after="0" w:line="560" w:lineRule="exact"/>
        <w:ind w:left="0" w:leftChars="0" w:firstLine="640"/>
        <w:rPr>
          <w:rFonts w:ascii="仿宋_GB2312" w:hAnsi="仿宋_GB2312" w:eastAsia="仿宋_GB2312" w:cs="仿宋_GB2312"/>
          <w:color w:val="auto"/>
          <w:sz w:val="32"/>
          <w:szCs w:val="32"/>
          <w:highlight w:val="none"/>
        </w:rPr>
      </w:pPr>
    </w:p>
    <w:p w14:paraId="1B902F58">
      <w:pPr>
        <w:pStyle w:val="10"/>
        <w:spacing w:after="0" w:line="560" w:lineRule="exact"/>
        <w:ind w:left="0" w:leftChars="0" w:firstLine="640"/>
        <w:rPr>
          <w:rFonts w:ascii="仿宋_GB2312" w:hAnsi="仿宋_GB2312" w:eastAsia="仿宋_GB2312" w:cs="仿宋_GB2312"/>
          <w:color w:val="auto"/>
          <w:sz w:val="32"/>
          <w:szCs w:val="32"/>
          <w:highlight w:val="none"/>
        </w:rPr>
      </w:pPr>
    </w:p>
    <w:p w14:paraId="4E536152">
      <w:pPr>
        <w:pStyle w:val="10"/>
        <w:spacing w:after="0" w:line="560" w:lineRule="exact"/>
        <w:ind w:left="0" w:leftChars="0" w:firstLine="640"/>
        <w:rPr>
          <w:rFonts w:ascii="仿宋_GB2312" w:hAnsi="仿宋_GB2312" w:eastAsia="仿宋_GB2312" w:cs="仿宋_GB2312"/>
          <w:color w:val="auto"/>
          <w:sz w:val="32"/>
          <w:szCs w:val="32"/>
          <w:highlight w:val="none"/>
        </w:rPr>
      </w:pPr>
    </w:p>
    <w:p w14:paraId="658EE68C">
      <w:pPr>
        <w:pStyle w:val="10"/>
        <w:spacing w:after="0" w:line="560" w:lineRule="exact"/>
        <w:ind w:left="0" w:leftChars="0" w:firstLine="640"/>
        <w:rPr>
          <w:rFonts w:ascii="仿宋_GB2312" w:hAnsi="仿宋_GB2312" w:eastAsia="仿宋_GB2312" w:cs="仿宋_GB2312"/>
          <w:color w:val="auto"/>
          <w:sz w:val="32"/>
          <w:szCs w:val="32"/>
          <w:highlight w:val="none"/>
        </w:rPr>
        <w:sectPr>
          <w:footerReference r:id="rId5" w:type="default"/>
          <w:pgSz w:w="11906" w:h="16838"/>
          <w:pgMar w:top="1440" w:right="1558" w:bottom="1440" w:left="1800" w:header="851" w:footer="992" w:gutter="0"/>
          <w:cols w:space="425" w:num="1"/>
          <w:docGrid w:type="lines" w:linePitch="312" w:charSpace="0"/>
        </w:sectPr>
      </w:pPr>
    </w:p>
    <w:p w14:paraId="181FE163">
      <w:pPr>
        <w:pStyle w:val="10"/>
        <w:spacing w:after="0" w:line="560" w:lineRule="exact"/>
        <w:ind w:left="0" w:leftChars="0" w:firstLine="640"/>
        <w:rPr>
          <w:rFonts w:ascii="仿宋_GB2312" w:hAnsi="仿宋_GB2312" w:eastAsia="仿宋_GB2312" w:cs="仿宋_GB2312"/>
          <w:color w:val="auto"/>
          <w:sz w:val="32"/>
          <w:szCs w:val="32"/>
          <w:highlight w:val="none"/>
        </w:rPr>
      </w:pP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86"/>
        <w:gridCol w:w="886"/>
        <w:gridCol w:w="886"/>
        <w:gridCol w:w="887"/>
        <w:gridCol w:w="1254"/>
        <w:gridCol w:w="1107"/>
        <w:gridCol w:w="1180"/>
        <w:gridCol w:w="1180"/>
        <w:gridCol w:w="1107"/>
        <w:gridCol w:w="887"/>
        <w:gridCol w:w="1107"/>
        <w:gridCol w:w="887"/>
        <w:gridCol w:w="887"/>
        <w:gridCol w:w="1033"/>
      </w:tblGrid>
      <w:tr w14:paraId="73526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14:paraId="43594D9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highlight w:val="none"/>
                <w:u w:val="none"/>
                <w:lang w:val="en-US" w:eastAsia="zh-CN" w:bidi="ar"/>
              </w:rPr>
              <w:t>项目支出绩效自评表</w:t>
            </w:r>
          </w:p>
        </w:tc>
      </w:tr>
      <w:tr w14:paraId="02DA2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A8488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highlight w:val="none"/>
                <w:u w:val="none"/>
                <w:lang w:val="en-US" w:eastAsia="zh-CN" w:bidi="ar"/>
              </w:rPr>
              <w:t>(2023年度）</w:t>
            </w:r>
          </w:p>
        </w:tc>
      </w:tr>
      <w:tr w14:paraId="60246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EB610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项目名称</w:t>
            </w:r>
          </w:p>
        </w:tc>
        <w:tc>
          <w:tcPr>
            <w:tcW w:w="455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4993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医院政府采购</w:t>
            </w:r>
          </w:p>
        </w:tc>
      </w:tr>
      <w:tr w14:paraId="61060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55C3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主管部门</w:t>
            </w:r>
          </w:p>
        </w:tc>
        <w:tc>
          <w:tcPr>
            <w:tcW w:w="167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4DCE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新疆维吾尔自治区卫生健康委员会</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CD00D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实施单位</w:t>
            </w:r>
          </w:p>
        </w:tc>
        <w:tc>
          <w:tcPr>
            <w:tcW w:w="221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CE1BF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新疆维吾尔自治区生殖健康医院</w:t>
            </w:r>
          </w:p>
        </w:tc>
      </w:tr>
      <w:tr w14:paraId="3EA33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4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8D73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项目资金</w:t>
            </w:r>
            <w:r>
              <w:rPr>
                <w:rFonts w:hint="eastAsia" w:ascii="宋体" w:hAnsi="宋体" w:eastAsia="宋体" w:cs="宋体"/>
                <w:b/>
                <w:bCs/>
                <w:i w:val="0"/>
                <w:iCs w:val="0"/>
                <w:color w:val="000000"/>
                <w:kern w:val="0"/>
                <w:sz w:val="18"/>
                <w:szCs w:val="18"/>
                <w:highlight w:val="none"/>
                <w:u w:val="none"/>
                <w:lang w:val="en-US" w:eastAsia="zh-CN" w:bidi="ar"/>
              </w:rPr>
              <w:br w:type="textWrapping"/>
            </w:r>
            <w:r>
              <w:rPr>
                <w:rFonts w:hint="eastAsia" w:ascii="宋体" w:hAnsi="宋体" w:eastAsia="宋体" w:cs="宋体"/>
                <w:b/>
                <w:bCs/>
                <w:i w:val="0"/>
                <w:iCs w:val="0"/>
                <w:color w:val="000000"/>
                <w:kern w:val="0"/>
                <w:sz w:val="18"/>
                <w:szCs w:val="18"/>
                <w:highlight w:val="none"/>
                <w:u w:val="none"/>
                <w:lang w:val="en-US" w:eastAsia="zh-CN" w:bidi="ar"/>
              </w:rPr>
              <w:t>（万元）</w:t>
            </w:r>
          </w:p>
        </w:tc>
        <w:tc>
          <w:tcPr>
            <w:tcW w:w="6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D16E76">
            <w:pPr>
              <w:jc w:val="cente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7C24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年初预算数</w:t>
            </w:r>
          </w:p>
        </w:tc>
        <w:tc>
          <w:tcPr>
            <w:tcW w:w="6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36D0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全年预算数</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8CB8A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全年执行数</w:t>
            </w:r>
          </w:p>
        </w:tc>
        <w:tc>
          <w:tcPr>
            <w:tcW w:w="6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3A22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分值</w:t>
            </w:r>
          </w:p>
        </w:tc>
        <w:tc>
          <w:tcPr>
            <w:tcW w:w="7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DC6BF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执行率</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833F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得分</w:t>
            </w:r>
          </w:p>
        </w:tc>
      </w:tr>
      <w:tr w14:paraId="4212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1BC19">
            <w:pPr>
              <w:jc w:val="center"/>
              <w:rPr>
                <w:rFonts w:hint="eastAsia" w:ascii="宋体" w:hAnsi="宋体" w:eastAsia="宋体" w:cs="宋体"/>
                <w:b/>
                <w:bCs/>
                <w:i w:val="0"/>
                <w:iCs w:val="0"/>
                <w:color w:val="000000"/>
                <w:sz w:val="18"/>
                <w:szCs w:val="18"/>
                <w:u w:val="none"/>
              </w:rPr>
            </w:pPr>
          </w:p>
        </w:tc>
        <w:tc>
          <w:tcPr>
            <w:tcW w:w="6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41727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年度资金总额</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5C0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7079.66</w:t>
            </w:r>
          </w:p>
        </w:tc>
        <w:tc>
          <w:tcPr>
            <w:tcW w:w="6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5D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7079.66</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B504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6925.2</w:t>
            </w:r>
          </w:p>
        </w:tc>
        <w:tc>
          <w:tcPr>
            <w:tcW w:w="6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E5FB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7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98D7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97.82%</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283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9.78分</w:t>
            </w:r>
          </w:p>
        </w:tc>
      </w:tr>
      <w:tr w14:paraId="00556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E1129">
            <w:pPr>
              <w:jc w:val="center"/>
              <w:rPr>
                <w:rFonts w:hint="eastAsia" w:ascii="宋体" w:hAnsi="宋体" w:eastAsia="宋体" w:cs="宋体"/>
                <w:b/>
                <w:bCs/>
                <w:i w:val="0"/>
                <w:iCs w:val="0"/>
                <w:color w:val="000000"/>
                <w:sz w:val="18"/>
                <w:szCs w:val="18"/>
                <w:u w:val="none"/>
              </w:rPr>
            </w:pPr>
          </w:p>
        </w:tc>
        <w:tc>
          <w:tcPr>
            <w:tcW w:w="6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613ED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其中：当年财政拨款</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24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0</w:t>
            </w:r>
          </w:p>
        </w:tc>
        <w:tc>
          <w:tcPr>
            <w:tcW w:w="6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951C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0</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11D8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0</w:t>
            </w:r>
          </w:p>
        </w:tc>
        <w:tc>
          <w:tcPr>
            <w:tcW w:w="6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566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7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F2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85D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5B0CD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238435">
            <w:pPr>
              <w:jc w:val="center"/>
              <w:rPr>
                <w:rFonts w:hint="eastAsia" w:ascii="宋体" w:hAnsi="宋体" w:eastAsia="宋体" w:cs="宋体"/>
                <w:b/>
                <w:bCs/>
                <w:i w:val="0"/>
                <w:iCs w:val="0"/>
                <w:color w:val="000000"/>
                <w:sz w:val="18"/>
                <w:szCs w:val="18"/>
                <w:u w:val="none"/>
              </w:rPr>
            </w:pPr>
          </w:p>
        </w:tc>
        <w:tc>
          <w:tcPr>
            <w:tcW w:w="6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7096C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  其他资金</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3A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7079.66</w:t>
            </w:r>
          </w:p>
        </w:tc>
        <w:tc>
          <w:tcPr>
            <w:tcW w:w="6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5911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7079.66</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CD68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6925.20</w:t>
            </w:r>
          </w:p>
        </w:tc>
        <w:tc>
          <w:tcPr>
            <w:tcW w:w="6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A1DB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7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292C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9AA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2C5DD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A99EC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年度总体目标</w:t>
            </w:r>
          </w:p>
        </w:tc>
        <w:tc>
          <w:tcPr>
            <w:tcW w:w="190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37D2CB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预期目标</w:t>
            </w:r>
          </w:p>
        </w:tc>
        <w:tc>
          <w:tcPr>
            <w:tcW w:w="2871"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2553BB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实际完成情况</w:t>
            </w:r>
          </w:p>
        </w:tc>
      </w:tr>
      <w:tr w14:paraId="43426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474E1">
            <w:pPr>
              <w:jc w:val="center"/>
              <w:rPr>
                <w:rFonts w:hint="eastAsia" w:ascii="宋体" w:hAnsi="宋体" w:eastAsia="宋体" w:cs="宋体"/>
                <w:b/>
                <w:bCs/>
                <w:i w:val="0"/>
                <w:iCs w:val="0"/>
                <w:color w:val="000000"/>
                <w:sz w:val="18"/>
                <w:szCs w:val="18"/>
                <w:u w:val="none"/>
              </w:rPr>
            </w:pPr>
          </w:p>
        </w:tc>
        <w:tc>
          <w:tcPr>
            <w:tcW w:w="190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6851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通过医疗设备、网络设备、医院基础建设等设施设备的新增和更新换代，更大程度的满足患者的医疗服务需求，使诊疗速度更快，服务效率更高，患者就医更加方便、舒适。</w:t>
            </w:r>
          </w:p>
        </w:tc>
        <w:tc>
          <w:tcPr>
            <w:tcW w:w="2871"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6F5D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通过政府采购方式，购入了医疗设备、网络设备、维修改造了医院基础建设，提升了医疗服务硬件与病区环境，达到了更好地满足患者的医疗服务需求、使诊疗速度更快、服务效率更高，患者就医更加方便、舒适的目的。</w:t>
            </w:r>
          </w:p>
        </w:tc>
      </w:tr>
      <w:tr w14:paraId="4C037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1DDCB3">
            <w:pPr>
              <w:jc w:val="center"/>
              <w:rPr>
                <w:rFonts w:hint="eastAsia" w:ascii="宋体" w:hAnsi="宋体" w:eastAsia="宋体" w:cs="宋体"/>
                <w:i w:val="0"/>
                <w:iCs w:val="0"/>
                <w:color w:val="000000"/>
                <w:sz w:val="18"/>
                <w:szCs w:val="18"/>
                <w:u w:val="none"/>
              </w:rPr>
            </w:pPr>
          </w:p>
        </w:tc>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7D0A0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一级指标</w:t>
            </w:r>
          </w:p>
        </w:tc>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293B3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二级指标</w:t>
            </w:r>
          </w:p>
        </w:tc>
        <w:tc>
          <w:tcPr>
            <w:tcW w:w="4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C179A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三级指标</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459C3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权重</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8FBE8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目标值</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729DF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业绩值</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9BE42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完成率</w:t>
            </w:r>
          </w:p>
        </w:tc>
        <w:tc>
          <w:tcPr>
            <w:tcW w:w="3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C5114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指标得分</w:t>
            </w:r>
          </w:p>
        </w:tc>
        <w:tc>
          <w:tcPr>
            <w:tcW w:w="3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B5307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指标值设定依据</w:t>
            </w:r>
          </w:p>
        </w:tc>
        <w:tc>
          <w:tcPr>
            <w:tcW w:w="3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88455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上年完成情况</w:t>
            </w:r>
          </w:p>
        </w:tc>
        <w:tc>
          <w:tcPr>
            <w:tcW w:w="3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6849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赋分规则</w:t>
            </w:r>
          </w:p>
        </w:tc>
        <w:tc>
          <w:tcPr>
            <w:tcW w:w="3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5B568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佐证资料</w:t>
            </w: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28E9C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偏差原因分析及改进措施</w:t>
            </w:r>
          </w:p>
        </w:tc>
      </w:tr>
      <w:tr w14:paraId="66ABD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89CE7">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047F5">
            <w:pPr>
              <w:jc w:val="center"/>
              <w:rPr>
                <w:rFonts w:hint="eastAsia" w:ascii="宋体" w:hAnsi="宋体" w:eastAsia="宋体" w:cs="宋体"/>
                <w:b/>
                <w:bCs/>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2ACD9D">
            <w:pPr>
              <w:jc w:val="center"/>
              <w:rPr>
                <w:rFonts w:hint="eastAsia" w:ascii="宋体" w:hAnsi="宋体" w:eastAsia="宋体" w:cs="宋体"/>
                <w:b/>
                <w:bCs/>
                <w:i w:val="0"/>
                <w:iCs w:val="0"/>
                <w:color w:val="000000"/>
                <w:sz w:val="18"/>
                <w:szCs w:val="18"/>
                <w:u w:val="none"/>
              </w:rPr>
            </w:pPr>
          </w:p>
        </w:tc>
        <w:tc>
          <w:tcPr>
            <w:tcW w:w="4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E76B4">
            <w:pPr>
              <w:jc w:val="center"/>
              <w:rPr>
                <w:rFonts w:hint="eastAsia" w:ascii="宋体" w:hAnsi="宋体" w:eastAsia="宋体" w:cs="宋体"/>
                <w:b/>
                <w:bCs/>
                <w:i w:val="0"/>
                <w:iCs w:val="0"/>
                <w:color w:val="000000"/>
                <w:sz w:val="18"/>
                <w:szCs w:val="18"/>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0C464">
            <w:pPr>
              <w:jc w:val="center"/>
              <w:rPr>
                <w:rFonts w:hint="eastAsia" w:ascii="宋体" w:hAnsi="宋体" w:eastAsia="宋体" w:cs="宋体"/>
                <w:b/>
                <w:bCs/>
                <w:i w:val="0"/>
                <w:iCs w:val="0"/>
                <w:color w:val="000000"/>
                <w:sz w:val="18"/>
                <w:szCs w:val="18"/>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10CE8">
            <w:pPr>
              <w:jc w:val="center"/>
              <w:rPr>
                <w:rFonts w:hint="eastAsia" w:ascii="宋体" w:hAnsi="宋体" w:eastAsia="宋体" w:cs="宋体"/>
                <w:b/>
                <w:bCs/>
                <w:i w:val="0"/>
                <w:iCs w:val="0"/>
                <w:color w:val="000000"/>
                <w:sz w:val="18"/>
                <w:szCs w:val="18"/>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0098E">
            <w:pPr>
              <w:jc w:val="center"/>
              <w:rPr>
                <w:rFonts w:hint="eastAsia" w:ascii="宋体" w:hAnsi="宋体" w:eastAsia="宋体" w:cs="宋体"/>
                <w:b/>
                <w:bCs/>
                <w:i w:val="0"/>
                <w:iCs w:val="0"/>
                <w:color w:val="000000"/>
                <w:sz w:val="18"/>
                <w:szCs w:val="18"/>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4406F">
            <w:pPr>
              <w:jc w:val="center"/>
              <w:rPr>
                <w:rFonts w:hint="eastAsia" w:ascii="宋体" w:hAnsi="宋体" w:eastAsia="宋体" w:cs="宋体"/>
                <w:b/>
                <w:bCs/>
                <w:i w:val="0"/>
                <w:iCs w:val="0"/>
                <w:color w:val="000000"/>
                <w:sz w:val="18"/>
                <w:szCs w:val="18"/>
                <w:u w:val="none"/>
              </w:rPr>
            </w:pPr>
          </w:p>
        </w:tc>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29F51">
            <w:pPr>
              <w:jc w:val="center"/>
              <w:rPr>
                <w:rFonts w:hint="eastAsia" w:ascii="宋体" w:hAnsi="宋体" w:eastAsia="宋体" w:cs="宋体"/>
                <w:b/>
                <w:bCs/>
                <w:i w:val="0"/>
                <w:iCs w:val="0"/>
                <w:color w:val="000000"/>
                <w:sz w:val="18"/>
                <w:szCs w:val="18"/>
                <w:u w:val="none"/>
              </w:rPr>
            </w:pPr>
          </w:p>
        </w:tc>
        <w:tc>
          <w:tcPr>
            <w:tcW w:w="3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B7958">
            <w:pPr>
              <w:jc w:val="center"/>
              <w:rPr>
                <w:rFonts w:hint="eastAsia" w:ascii="宋体" w:hAnsi="宋体" w:eastAsia="宋体" w:cs="宋体"/>
                <w:b/>
                <w:bCs/>
                <w:i w:val="0"/>
                <w:iCs w:val="0"/>
                <w:color w:val="000000"/>
                <w:sz w:val="18"/>
                <w:szCs w:val="18"/>
                <w:u w:val="none"/>
              </w:rPr>
            </w:pPr>
          </w:p>
        </w:tc>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4AB78">
            <w:pPr>
              <w:jc w:val="center"/>
              <w:rPr>
                <w:rFonts w:hint="eastAsia" w:ascii="宋体" w:hAnsi="宋体" w:eastAsia="宋体" w:cs="宋体"/>
                <w:b/>
                <w:bCs/>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1F150">
            <w:pPr>
              <w:jc w:val="center"/>
              <w:rPr>
                <w:rFonts w:hint="eastAsia" w:ascii="宋体" w:hAnsi="宋体" w:eastAsia="宋体" w:cs="宋体"/>
                <w:b/>
                <w:bCs/>
                <w:i w:val="0"/>
                <w:iCs w:val="0"/>
                <w:color w:val="000000"/>
                <w:sz w:val="18"/>
                <w:szCs w:val="18"/>
                <w:u w:val="none"/>
              </w:rPr>
            </w:pPr>
          </w:p>
        </w:tc>
        <w:tc>
          <w:tcPr>
            <w:tcW w:w="3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DD59D">
            <w:pPr>
              <w:jc w:val="center"/>
              <w:rPr>
                <w:rFonts w:hint="eastAsia" w:ascii="宋体" w:hAnsi="宋体" w:eastAsia="宋体" w:cs="宋体"/>
                <w:b/>
                <w:bCs/>
                <w:i w:val="0"/>
                <w:iCs w:val="0"/>
                <w:color w:val="000000"/>
                <w:sz w:val="18"/>
                <w:szCs w:val="18"/>
                <w:u w:val="none"/>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B238A">
            <w:pPr>
              <w:jc w:val="center"/>
              <w:rPr>
                <w:rFonts w:hint="eastAsia" w:ascii="宋体" w:hAnsi="宋体" w:eastAsia="宋体" w:cs="宋体"/>
                <w:b/>
                <w:bCs/>
                <w:i w:val="0"/>
                <w:iCs w:val="0"/>
                <w:color w:val="000000"/>
                <w:sz w:val="18"/>
                <w:szCs w:val="18"/>
                <w:u w:val="none"/>
              </w:rPr>
            </w:pPr>
          </w:p>
        </w:tc>
      </w:tr>
      <w:tr w14:paraId="01F5F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CC93D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年度绩效指标完成情况</w:t>
            </w:r>
          </w:p>
        </w:tc>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E1F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37B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数量指标</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58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设备采购数量</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042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DB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&gt;=3套（台）</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288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=3套（台）</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91D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1B7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119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CD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5套（台）</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DB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93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CB233">
            <w:pPr>
              <w:jc w:val="center"/>
              <w:rPr>
                <w:rFonts w:hint="eastAsia" w:ascii="宋体" w:hAnsi="宋体" w:eastAsia="宋体" w:cs="宋体"/>
                <w:i w:val="0"/>
                <w:iCs w:val="0"/>
                <w:color w:val="000000"/>
                <w:sz w:val="18"/>
                <w:szCs w:val="18"/>
                <w:u w:val="none"/>
              </w:rPr>
            </w:pPr>
          </w:p>
        </w:tc>
      </w:tr>
      <w:tr w14:paraId="05617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36909">
            <w:pPr>
              <w:jc w:val="center"/>
              <w:rPr>
                <w:rFonts w:hint="eastAsia" w:ascii="宋体" w:hAnsi="宋体" w:eastAsia="宋体" w:cs="宋体"/>
                <w:b/>
                <w:bCs/>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153CE">
            <w:pPr>
              <w:jc w:val="center"/>
              <w:rPr>
                <w:rFonts w:hint="eastAsia" w:ascii="宋体" w:hAnsi="宋体" w:eastAsia="宋体" w:cs="宋体"/>
                <w:i w:val="0"/>
                <w:iCs w:val="0"/>
                <w:color w:val="000000"/>
                <w:sz w:val="18"/>
                <w:szCs w:val="18"/>
                <w:u w:val="none"/>
              </w:rPr>
            </w:pP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00A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E60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设备验收合格率</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C3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22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6A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AF2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F72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328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D47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C3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E9A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95E00">
            <w:pPr>
              <w:jc w:val="center"/>
              <w:rPr>
                <w:rFonts w:hint="eastAsia" w:ascii="宋体" w:hAnsi="宋体" w:eastAsia="宋体" w:cs="宋体"/>
                <w:i w:val="0"/>
                <w:iCs w:val="0"/>
                <w:color w:val="000000"/>
                <w:sz w:val="18"/>
                <w:szCs w:val="18"/>
                <w:u w:val="none"/>
              </w:rPr>
            </w:pPr>
          </w:p>
        </w:tc>
      </w:tr>
      <w:tr w14:paraId="7E552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07E97">
            <w:pPr>
              <w:jc w:val="center"/>
              <w:rPr>
                <w:rFonts w:hint="eastAsia" w:ascii="宋体" w:hAnsi="宋体" w:eastAsia="宋体" w:cs="宋体"/>
                <w:b/>
                <w:bCs/>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1EB07">
            <w:pPr>
              <w:jc w:val="center"/>
              <w:rPr>
                <w:rFonts w:hint="eastAsia" w:ascii="宋体" w:hAnsi="宋体" w:eastAsia="宋体" w:cs="宋体"/>
                <w:i w:val="0"/>
                <w:iCs w:val="0"/>
                <w:color w:val="000000"/>
                <w:sz w:val="18"/>
                <w:szCs w:val="18"/>
                <w:u w:val="none"/>
              </w:rPr>
            </w:pP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927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4C8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政府采购率</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9C9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19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&gt;=80%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4B5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B7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908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A5D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973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EE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179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83A20">
            <w:pPr>
              <w:jc w:val="center"/>
              <w:rPr>
                <w:rFonts w:hint="eastAsia" w:ascii="宋体" w:hAnsi="宋体" w:eastAsia="宋体" w:cs="宋体"/>
                <w:i w:val="0"/>
                <w:iCs w:val="0"/>
                <w:color w:val="000000"/>
                <w:sz w:val="18"/>
                <w:szCs w:val="18"/>
                <w:u w:val="none"/>
              </w:rPr>
            </w:pPr>
          </w:p>
        </w:tc>
      </w:tr>
      <w:tr w14:paraId="1D4B7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EFD4F">
            <w:pPr>
              <w:jc w:val="center"/>
              <w:rPr>
                <w:rFonts w:hint="eastAsia" w:ascii="宋体" w:hAnsi="宋体" w:eastAsia="宋体" w:cs="宋体"/>
                <w:b/>
                <w:bCs/>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E9882">
            <w:pPr>
              <w:jc w:val="center"/>
              <w:rPr>
                <w:rFonts w:hint="eastAsia" w:ascii="宋体" w:hAnsi="宋体" w:eastAsia="宋体" w:cs="宋体"/>
                <w:i w:val="0"/>
                <w:iCs w:val="0"/>
                <w:color w:val="000000"/>
                <w:sz w:val="18"/>
                <w:szCs w:val="18"/>
                <w:u w:val="none"/>
              </w:rPr>
            </w:pP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78F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6E8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年度计划完成率</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95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BEF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A7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F78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166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34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94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9E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DF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E74C6">
            <w:pPr>
              <w:jc w:val="center"/>
              <w:rPr>
                <w:rFonts w:hint="eastAsia" w:ascii="宋体" w:hAnsi="宋体" w:eastAsia="宋体" w:cs="宋体"/>
                <w:i w:val="0"/>
                <w:iCs w:val="0"/>
                <w:color w:val="000000"/>
                <w:sz w:val="18"/>
                <w:szCs w:val="18"/>
                <w:u w:val="none"/>
              </w:rPr>
            </w:pPr>
          </w:p>
        </w:tc>
      </w:tr>
      <w:tr w14:paraId="2632D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90252">
            <w:pPr>
              <w:jc w:val="center"/>
              <w:rPr>
                <w:rFonts w:hint="eastAsia" w:ascii="宋体" w:hAnsi="宋体" w:eastAsia="宋体" w:cs="宋体"/>
                <w:b/>
                <w:bCs/>
                <w:i w:val="0"/>
                <w:iCs w:val="0"/>
                <w:color w:val="000000"/>
                <w:sz w:val="18"/>
                <w:szCs w:val="18"/>
                <w:u w:val="none"/>
              </w:rPr>
            </w:pP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DE3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成本指标</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CBD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经济成本指标</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16D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设备采购资金节约率</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FE7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F18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&gt;=1%</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51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=1.34%</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E88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134%</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4B5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13.2</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77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A7C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2.04%</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4A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FB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B10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因2023年防控转为常态化，市场主体增多，潜在供应商之间竞争幅度增多，故最终资金节约率有所上升</w:t>
            </w:r>
          </w:p>
        </w:tc>
      </w:tr>
      <w:tr w14:paraId="3E9F0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EFEFD">
            <w:pPr>
              <w:jc w:val="center"/>
              <w:rPr>
                <w:rFonts w:hint="eastAsia" w:ascii="宋体" w:hAnsi="宋体" w:eastAsia="宋体" w:cs="宋体"/>
                <w:b/>
                <w:bCs/>
                <w:i w:val="0"/>
                <w:iCs w:val="0"/>
                <w:color w:val="000000"/>
                <w:sz w:val="18"/>
                <w:szCs w:val="18"/>
                <w:u w:val="none"/>
              </w:rPr>
            </w:pP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C2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效益指标</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16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社会效益指标</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D3B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保障医疗业务正常运行</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EC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CEC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E7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35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18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58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130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C20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13E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AA2D4">
            <w:pPr>
              <w:jc w:val="center"/>
              <w:rPr>
                <w:rFonts w:hint="eastAsia" w:ascii="宋体" w:hAnsi="宋体" w:eastAsia="宋体" w:cs="宋体"/>
                <w:i w:val="0"/>
                <w:iCs w:val="0"/>
                <w:color w:val="000000"/>
                <w:sz w:val="18"/>
                <w:szCs w:val="18"/>
                <w:u w:val="none"/>
              </w:rPr>
            </w:pPr>
          </w:p>
        </w:tc>
      </w:tr>
      <w:tr w14:paraId="7828E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3CA844">
            <w:pPr>
              <w:jc w:val="center"/>
              <w:rPr>
                <w:rFonts w:hint="eastAsia" w:ascii="宋体" w:hAnsi="宋体" w:eastAsia="宋体" w:cs="宋体"/>
                <w:b/>
                <w:bCs/>
                <w:i w:val="0"/>
                <w:iCs w:val="0"/>
                <w:color w:val="000000"/>
                <w:sz w:val="18"/>
                <w:szCs w:val="18"/>
                <w:u w:val="none"/>
              </w:rPr>
            </w:pP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0D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满意度指标</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4B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满意度指标</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D3E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满意度指标</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3C5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5C6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&gt;=90%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CF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=85.2%</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D2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94.67%</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2DE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42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E9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94.28</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23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满意度赋分</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88A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587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由于我院建成时间较长，院区部分基建设施较陈旧，部分患者就诊体验有待进一步提高，故满意度指标未达到预期，今后将，在现有基建设施条件下提升医疗服务水平和护理质量，提升患者满意度。</w:t>
            </w:r>
          </w:p>
        </w:tc>
      </w:tr>
      <w:tr w14:paraId="03E93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133" w:type="pct"/>
            <w:gridSpan w:val="4"/>
            <w:tcBorders>
              <w:top w:val="single" w:color="000000" w:sz="4" w:space="0"/>
              <w:left w:val="single" w:color="000000" w:sz="4" w:space="0"/>
              <w:bottom w:val="single" w:color="000000" w:sz="4" w:space="0"/>
              <w:right w:val="nil"/>
            </w:tcBorders>
            <w:shd w:val="clear" w:color="auto" w:fill="auto"/>
            <w:vAlign w:val="center"/>
          </w:tcPr>
          <w:p w14:paraId="57E023E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highlight w:val="none"/>
                <w:u w:val="none"/>
                <w:lang w:val="en-US" w:eastAsia="zh-CN" w:bidi="ar"/>
              </w:rPr>
              <w:t>总分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74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nil"/>
              <w:bottom w:val="single" w:color="000000" w:sz="4" w:space="0"/>
              <w:right w:val="single" w:color="000000" w:sz="4" w:space="0"/>
            </w:tcBorders>
            <w:shd w:val="clear" w:color="auto" w:fill="auto"/>
            <w:vAlign w:val="center"/>
          </w:tcPr>
          <w:p w14:paraId="18ADE6D9">
            <w:pPr>
              <w:rPr>
                <w:rFonts w:hint="eastAsia" w:ascii="宋体" w:hAnsi="宋体" w:eastAsia="宋体" w:cs="宋体"/>
                <w:b/>
                <w:bCs/>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4029A">
            <w:pPr>
              <w:jc w:val="center"/>
              <w:rPr>
                <w:rFonts w:hint="eastAsia" w:ascii="宋体" w:hAnsi="宋体" w:eastAsia="宋体" w:cs="宋体"/>
                <w:i w:val="0"/>
                <w:iCs w:val="0"/>
                <w:color w:val="000000"/>
                <w:sz w:val="18"/>
                <w:szCs w:val="18"/>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AE8F9">
            <w:pPr>
              <w:jc w:val="center"/>
              <w:rPr>
                <w:rFonts w:hint="eastAsia" w:ascii="宋体" w:hAnsi="宋体" w:eastAsia="宋体" w:cs="宋体"/>
                <w:i w:val="0"/>
                <w:iCs w:val="0"/>
                <w:color w:val="000000"/>
                <w:sz w:val="18"/>
                <w:szCs w:val="18"/>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9B2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92.98分</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7DEBE">
            <w:pPr>
              <w:rPr>
                <w:rFonts w:hint="eastAsia" w:ascii="宋体" w:hAnsi="宋体" w:eastAsia="宋体" w:cs="宋体"/>
                <w:i w:val="0"/>
                <w:iCs w:val="0"/>
                <w:color w:val="000000"/>
                <w:sz w:val="18"/>
                <w:szCs w:val="18"/>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9A325">
            <w:pPr>
              <w:rPr>
                <w:rFonts w:hint="eastAsia" w:ascii="宋体" w:hAnsi="宋体" w:eastAsia="宋体" w:cs="宋体"/>
                <w:i w:val="0"/>
                <w:iCs w:val="0"/>
                <w:color w:val="000000"/>
                <w:sz w:val="18"/>
                <w:szCs w:val="18"/>
                <w:u w:val="none"/>
              </w:rPr>
            </w:pP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707C7">
            <w:pPr>
              <w:rPr>
                <w:rFonts w:hint="eastAsia" w:ascii="宋体" w:hAnsi="宋体" w:eastAsia="宋体" w:cs="宋体"/>
                <w:i w:val="0"/>
                <w:iCs w:val="0"/>
                <w:color w:val="000000"/>
                <w:sz w:val="18"/>
                <w:szCs w:val="18"/>
                <w:u w:val="none"/>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EB386">
            <w:pPr>
              <w:rPr>
                <w:rFonts w:hint="eastAsia" w:ascii="宋体" w:hAnsi="宋体" w:eastAsia="宋体" w:cs="宋体"/>
                <w:i w:val="0"/>
                <w:iCs w:val="0"/>
                <w:color w:val="000000"/>
                <w:sz w:val="18"/>
                <w:szCs w:val="18"/>
                <w:u w:val="none"/>
              </w:rPr>
            </w:pP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C8795">
            <w:pPr>
              <w:rPr>
                <w:rFonts w:hint="eastAsia" w:ascii="宋体" w:hAnsi="宋体" w:eastAsia="宋体" w:cs="宋体"/>
                <w:i w:val="0"/>
                <w:iCs w:val="0"/>
                <w:color w:val="000000"/>
                <w:sz w:val="18"/>
                <w:szCs w:val="18"/>
                <w:u w:val="none"/>
              </w:rPr>
            </w:pPr>
          </w:p>
        </w:tc>
      </w:tr>
    </w:tbl>
    <w:p w14:paraId="126D2AF9">
      <w:pPr>
        <w:pStyle w:val="10"/>
        <w:spacing w:after="0" w:line="560" w:lineRule="exact"/>
        <w:ind w:left="0" w:leftChars="0" w:firstLine="0" w:firstLineChars="0"/>
        <w:rPr>
          <w:rFonts w:ascii="仿宋_GB2312" w:hAnsi="仿宋_GB2312" w:eastAsia="仿宋_GB2312" w:cs="仿宋_GB2312"/>
          <w:color w:val="auto"/>
          <w:sz w:val="32"/>
          <w:szCs w:val="32"/>
          <w:highlight w:val="none"/>
        </w:rPr>
      </w:pPr>
    </w:p>
    <w:p w14:paraId="5D55010A">
      <w:pPr>
        <w:pStyle w:val="2"/>
        <w:ind w:left="0" w:leftChars="0" w:firstLine="0" w:firstLineChars="0"/>
        <w:jc w:val="both"/>
        <w:rPr>
          <w:rFonts w:ascii="Times New Roman" w:hAnsi="Times New Roman" w:eastAsia="黑体"/>
          <w:b w:val="0"/>
          <w:bCs w:val="0"/>
          <w:color w:val="auto"/>
          <w:highlight w:val="none"/>
        </w:rPr>
      </w:pPr>
    </w:p>
    <w:p w14:paraId="0BF0E823">
      <w:pPr>
        <w:pStyle w:val="2"/>
        <w:jc w:val="both"/>
        <w:rPr>
          <w:rFonts w:ascii="Times New Roman" w:hAnsi="Times New Roman"/>
          <w:color w:val="auto"/>
          <w:highlight w:val="none"/>
        </w:rPr>
        <w:sectPr>
          <w:pgSz w:w="16838" w:h="11906" w:orient="landscape"/>
          <w:pgMar w:top="1800" w:right="1440" w:bottom="1558" w:left="1440" w:header="851" w:footer="992" w:gutter="0"/>
          <w:cols w:space="425" w:num="1"/>
          <w:docGrid w:type="lines" w:linePitch="312" w:charSpace="0"/>
        </w:sectPr>
      </w:pPr>
    </w:p>
    <w:p w14:paraId="766D97FE">
      <w:pPr>
        <w:spacing w:line="600" w:lineRule="exact"/>
        <w:rPr>
          <w:bCs/>
          <w:color w:val="auto"/>
          <w:sz w:val="32"/>
          <w:szCs w:val="32"/>
          <w:highlight w:val="none"/>
        </w:rPr>
      </w:pPr>
      <w:r>
        <w:rPr>
          <w:bCs/>
          <w:color w:val="auto"/>
          <w:sz w:val="32"/>
          <w:szCs w:val="32"/>
          <w:highlight w:val="none"/>
        </w:rPr>
        <w:t>附件1</w:t>
      </w:r>
    </w:p>
    <w:tbl>
      <w:tblPr>
        <w:tblStyle w:val="11"/>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14:paraId="288873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14:paraId="12575524">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一级指标</w:t>
            </w:r>
          </w:p>
        </w:tc>
        <w:tc>
          <w:tcPr>
            <w:tcW w:w="767" w:type="dxa"/>
            <w:shd w:val="clear" w:color="auto" w:fill="FFFFFF"/>
            <w:vAlign w:val="center"/>
          </w:tcPr>
          <w:p w14:paraId="324E6F1C">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二级指标</w:t>
            </w:r>
          </w:p>
        </w:tc>
        <w:tc>
          <w:tcPr>
            <w:tcW w:w="873" w:type="dxa"/>
            <w:shd w:val="clear" w:color="auto" w:fill="FFFFFF"/>
            <w:vAlign w:val="center"/>
          </w:tcPr>
          <w:p w14:paraId="18BD1981">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三级指标</w:t>
            </w:r>
          </w:p>
        </w:tc>
        <w:tc>
          <w:tcPr>
            <w:tcW w:w="2353" w:type="dxa"/>
            <w:shd w:val="clear" w:color="auto" w:fill="FFFFFF"/>
            <w:vAlign w:val="center"/>
          </w:tcPr>
          <w:p w14:paraId="618D10A3">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指标解释</w:t>
            </w:r>
          </w:p>
        </w:tc>
        <w:tc>
          <w:tcPr>
            <w:tcW w:w="5188" w:type="dxa"/>
            <w:shd w:val="clear" w:color="auto" w:fill="FFFFFF"/>
            <w:vAlign w:val="center"/>
          </w:tcPr>
          <w:p w14:paraId="336D6EFB">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指标说明</w:t>
            </w:r>
          </w:p>
        </w:tc>
        <w:tc>
          <w:tcPr>
            <w:tcW w:w="1300" w:type="dxa"/>
            <w:shd w:val="clear" w:color="auto" w:fill="FFFFFF"/>
            <w:vAlign w:val="center"/>
          </w:tcPr>
          <w:p w14:paraId="42F137CC">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权重</w:t>
            </w:r>
          </w:p>
        </w:tc>
        <w:tc>
          <w:tcPr>
            <w:tcW w:w="1363" w:type="dxa"/>
            <w:shd w:val="clear" w:color="auto" w:fill="FFFFFF"/>
            <w:vAlign w:val="center"/>
          </w:tcPr>
          <w:p w14:paraId="0CBC15B4">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得分</w:t>
            </w:r>
          </w:p>
        </w:tc>
      </w:tr>
      <w:tr w14:paraId="1BD70A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9" w:type="dxa"/>
            <w:vMerge w:val="restart"/>
            <w:shd w:val="clear" w:color="auto" w:fill="FFFFFF"/>
            <w:vAlign w:val="center"/>
          </w:tcPr>
          <w:p w14:paraId="6D211B5B">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决策　</w:t>
            </w:r>
          </w:p>
          <w:p w14:paraId="5FD71E0D">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　</w:t>
            </w:r>
          </w:p>
          <w:p w14:paraId="436E56A5">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　</w:t>
            </w:r>
          </w:p>
        </w:tc>
        <w:tc>
          <w:tcPr>
            <w:tcW w:w="767" w:type="dxa"/>
            <w:vMerge w:val="restart"/>
            <w:shd w:val="clear" w:color="auto" w:fill="FFFFFF"/>
            <w:vAlign w:val="center"/>
          </w:tcPr>
          <w:p w14:paraId="640BD3A8">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项目立项　</w:t>
            </w:r>
          </w:p>
        </w:tc>
        <w:tc>
          <w:tcPr>
            <w:tcW w:w="873" w:type="dxa"/>
            <w:shd w:val="clear" w:color="auto" w:fill="FFFFFF"/>
            <w:vAlign w:val="center"/>
          </w:tcPr>
          <w:p w14:paraId="0B18E5B1">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立项依据</w:t>
            </w:r>
          </w:p>
          <w:p w14:paraId="3D451062">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充分性</w:t>
            </w:r>
          </w:p>
        </w:tc>
        <w:tc>
          <w:tcPr>
            <w:tcW w:w="2353" w:type="dxa"/>
            <w:shd w:val="clear" w:color="auto" w:fill="FFFFFF"/>
            <w:vAlign w:val="center"/>
          </w:tcPr>
          <w:p w14:paraId="02116B35">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项目立项是否符合法律法规、相关政策、发展规划以及部门职责，用以反映和考核项目立项依据情况。</w:t>
            </w:r>
          </w:p>
        </w:tc>
        <w:tc>
          <w:tcPr>
            <w:tcW w:w="5188" w:type="dxa"/>
            <w:shd w:val="clear" w:color="auto" w:fill="FFFFFF"/>
            <w:vAlign w:val="center"/>
          </w:tcPr>
          <w:p w14:paraId="41FF56BF">
            <w:pPr>
              <w:keepNext w:val="0"/>
              <w:keepLines w:val="0"/>
              <w:widowControl/>
              <w:suppressLineNumbers w:val="0"/>
              <w:spacing w:before="0" w:beforeAutospacing="0" w:after="0" w:afterAutospacing="0" w:line="0" w:lineRule="atLeast"/>
              <w:ind w:left="0" w:right="0"/>
              <w:jc w:val="left"/>
              <w:rPr>
                <w:rFonts w:hint="default"/>
                <w:color w:val="auto"/>
                <w:kern w:val="0"/>
                <w:sz w:val="22"/>
                <w:szCs w:val="22"/>
                <w:highlight w:val="none"/>
              </w:rPr>
            </w:pPr>
            <w:r>
              <w:rPr>
                <w:rFonts w:hint="default"/>
                <w:color w:val="auto"/>
                <w:kern w:val="0"/>
                <w:sz w:val="22"/>
                <w:szCs w:val="22"/>
                <w:highlight w:val="none"/>
              </w:rPr>
              <w:t>评价要点：</w:t>
            </w:r>
            <w:r>
              <w:rPr>
                <w:rFonts w:hint="default"/>
                <w:color w:val="auto"/>
                <w:kern w:val="0"/>
                <w:sz w:val="22"/>
                <w:szCs w:val="22"/>
                <w:highlight w:val="none"/>
              </w:rPr>
              <w:br w:type="textWrapping"/>
            </w:r>
            <w:r>
              <w:rPr>
                <w:rFonts w:hint="default"/>
                <w:color w:val="auto"/>
                <w:kern w:val="0"/>
                <w:sz w:val="22"/>
                <w:szCs w:val="22"/>
                <w:highlight w:val="none"/>
              </w:rPr>
              <w:t>①项目立项是否符合国家法律法规、国民经济发展规划和相关政策；</w:t>
            </w:r>
            <w:r>
              <w:rPr>
                <w:rFonts w:hint="default"/>
                <w:color w:val="auto"/>
                <w:kern w:val="0"/>
                <w:sz w:val="22"/>
                <w:szCs w:val="22"/>
                <w:highlight w:val="none"/>
              </w:rPr>
              <w:br w:type="textWrapping"/>
            </w:r>
            <w:r>
              <w:rPr>
                <w:rFonts w:hint="default"/>
                <w:color w:val="auto"/>
                <w:kern w:val="0"/>
                <w:sz w:val="22"/>
                <w:szCs w:val="22"/>
                <w:highlight w:val="none"/>
              </w:rPr>
              <w:t>②项目立项是否符合行业发展规划和政策要求；</w:t>
            </w:r>
            <w:r>
              <w:rPr>
                <w:rFonts w:hint="default"/>
                <w:color w:val="auto"/>
                <w:kern w:val="0"/>
                <w:sz w:val="22"/>
                <w:szCs w:val="22"/>
                <w:highlight w:val="none"/>
              </w:rPr>
              <w:br w:type="textWrapping"/>
            </w:r>
            <w:r>
              <w:rPr>
                <w:rFonts w:hint="default"/>
                <w:color w:val="auto"/>
                <w:kern w:val="0"/>
                <w:sz w:val="22"/>
                <w:szCs w:val="22"/>
                <w:highlight w:val="none"/>
              </w:rPr>
              <w:t>③项目立项是否与部门职责范围相符，属于部门履职所需；</w:t>
            </w:r>
            <w:r>
              <w:rPr>
                <w:rFonts w:hint="default"/>
                <w:color w:val="auto"/>
                <w:kern w:val="0"/>
                <w:sz w:val="22"/>
                <w:szCs w:val="22"/>
                <w:highlight w:val="none"/>
              </w:rPr>
              <w:br w:type="textWrapping"/>
            </w:r>
            <w:r>
              <w:rPr>
                <w:rFonts w:hint="default"/>
                <w:color w:val="auto"/>
                <w:kern w:val="0"/>
                <w:sz w:val="22"/>
                <w:szCs w:val="22"/>
                <w:highlight w:val="none"/>
              </w:rPr>
              <w:t>④项目是否属于公共财政支持范围，是否符合中央、地方事权支出责任划分原则；</w:t>
            </w:r>
            <w:r>
              <w:rPr>
                <w:rFonts w:hint="default"/>
                <w:color w:val="auto"/>
                <w:kern w:val="0"/>
                <w:sz w:val="22"/>
                <w:szCs w:val="22"/>
                <w:highlight w:val="none"/>
              </w:rPr>
              <w:br w:type="textWrapping"/>
            </w:r>
            <w:r>
              <w:rPr>
                <w:rFonts w:hint="default"/>
                <w:color w:val="auto"/>
                <w:kern w:val="0"/>
                <w:sz w:val="22"/>
                <w:szCs w:val="22"/>
                <w:highlight w:val="none"/>
              </w:rPr>
              <w:t>⑤项目是否与相关部门同类项目或部门内部相关项目重复。</w:t>
            </w:r>
          </w:p>
        </w:tc>
        <w:tc>
          <w:tcPr>
            <w:tcW w:w="1300" w:type="dxa"/>
            <w:shd w:val="clear" w:color="auto" w:fill="FFFFFF"/>
            <w:vAlign w:val="center"/>
          </w:tcPr>
          <w:p w14:paraId="2BC7B4A1">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3</w:t>
            </w:r>
          </w:p>
        </w:tc>
        <w:tc>
          <w:tcPr>
            <w:tcW w:w="1363" w:type="dxa"/>
            <w:shd w:val="clear" w:color="auto" w:fill="FFFFFF"/>
            <w:vAlign w:val="center"/>
          </w:tcPr>
          <w:p w14:paraId="2C284E94">
            <w:pPr>
              <w:keepNext w:val="0"/>
              <w:keepLines w:val="0"/>
              <w:widowControl/>
              <w:suppressLineNumbers w:val="0"/>
              <w:spacing w:before="0" w:beforeAutospacing="0" w:after="0" w:afterAutospacing="0" w:line="0" w:lineRule="atLeast"/>
              <w:ind w:left="0" w:right="0"/>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56C7C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14:paraId="079B9E00">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767" w:type="dxa"/>
            <w:vMerge w:val="continue"/>
            <w:shd w:val="clear" w:color="auto" w:fill="FFFFFF"/>
            <w:vAlign w:val="center"/>
          </w:tcPr>
          <w:p w14:paraId="27093D7A">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873" w:type="dxa"/>
            <w:shd w:val="clear" w:color="auto" w:fill="FFFFFF"/>
            <w:vAlign w:val="center"/>
          </w:tcPr>
          <w:p w14:paraId="7D1FACC0">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立项程序</w:t>
            </w:r>
          </w:p>
          <w:p w14:paraId="02C50676">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规范性</w:t>
            </w:r>
          </w:p>
        </w:tc>
        <w:tc>
          <w:tcPr>
            <w:tcW w:w="2353" w:type="dxa"/>
            <w:shd w:val="clear" w:color="auto" w:fill="FFFFFF"/>
            <w:vAlign w:val="center"/>
          </w:tcPr>
          <w:p w14:paraId="512D441B">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项目申请、设立过程是否符合相关要求，用以反映和考核项目立项的规范情况。</w:t>
            </w:r>
          </w:p>
        </w:tc>
        <w:tc>
          <w:tcPr>
            <w:tcW w:w="5188" w:type="dxa"/>
            <w:shd w:val="clear" w:color="auto" w:fill="FFFFFF"/>
            <w:vAlign w:val="center"/>
          </w:tcPr>
          <w:p w14:paraId="5FE53320">
            <w:pPr>
              <w:keepNext w:val="0"/>
              <w:keepLines w:val="0"/>
              <w:widowControl/>
              <w:suppressLineNumbers w:val="0"/>
              <w:spacing w:before="0" w:beforeAutospacing="0" w:after="0" w:afterAutospacing="0" w:line="0" w:lineRule="atLeast"/>
              <w:ind w:left="0" w:right="0"/>
              <w:jc w:val="left"/>
              <w:rPr>
                <w:rFonts w:hint="default"/>
                <w:color w:val="auto"/>
                <w:kern w:val="0"/>
                <w:sz w:val="22"/>
                <w:szCs w:val="22"/>
                <w:highlight w:val="none"/>
              </w:rPr>
            </w:pPr>
            <w:r>
              <w:rPr>
                <w:rFonts w:hint="default"/>
                <w:color w:val="auto"/>
                <w:kern w:val="0"/>
                <w:sz w:val="22"/>
                <w:szCs w:val="22"/>
                <w:highlight w:val="none"/>
              </w:rPr>
              <w:t>评价要点：</w:t>
            </w:r>
            <w:r>
              <w:rPr>
                <w:rFonts w:hint="default"/>
                <w:color w:val="auto"/>
                <w:kern w:val="0"/>
                <w:sz w:val="22"/>
                <w:szCs w:val="22"/>
                <w:highlight w:val="none"/>
              </w:rPr>
              <w:br w:type="textWrapping"/>
            </w:r>
            <w:r>
              <w:rPr>
                <w:rFonts w:hint="default"/>
                <w:color w:val="auto"/>
                <w:kern w:val="0"/>
                <w:sz w:val="22"/>
                <w:szCs w:val="22"/>
                <w:highlight w:val="none"/>
              </w:rPr>
              <w:t>①项目是否按照规定的程序申请设立；</w:t>
            </w:r>
            <w:r>
              <w:rPr>
                <w:rFonts w:hint="default"/>
                <w:color w:val="auto"/>
                <w:kern w:val="0"/>
                <w:sz w:val="22"/>
                <w:szCs w:val="22"/>
                <w:highlight w:val="none"/>
              </w:rPr>
              <w:br w:type="textWrapping"/>
            </w:r>
            <w:r>
              <w:rPr>
                <w:rFonts w:hint="default"/>
                <w:color w:val="auto"/>
                <w:kern w:val="0"/>
                <w:sz w:val="22"/>
                <w:szCs w:val="22"/>
                <w:highlight w:val="none"/>
              </w:rPr>
              <w:t>②审批文件、材料是否符合相关要求；</w:t>
            </w:r>
            <w:r>
              <w:rPr>
                <w:rFonts w:hint="default"/>
                <w:color w:val="auto"/>
                <w:kern w:val="0"/>
                <w:sz w:val="22"/>
                <w:szCs w:val="22"/>
                <w:highlight w:val="none"/>
              </w:rPr>
              <w:br w:type="textWrapping"/>
            </w:r>
            <w:r>
              <w:rPr>
                <w:rFonts w:hint="default"/>
                <w:color w:val="auto"/>
                <w:kern w:val="0"/>
                <w:sz w:val="22"/>
                <w:szCs w:val="22"/>
                <w:highlight w:val="none"/>
              </w:rPr>
              <w:t>③事前是否已经过必要的可行性研究、专家论证、风险评估、绩效评估、集体决策。</w:t>
            </w:r>
          </w:p>
        </w:tc>
        <w:tc>
          <w:tcPr>
            <w:tcW w:w="1300" w:type="dxa"/>
            <w:shd w:val="clear" w:color="auto" w:fill="FFFFFF"/>
            <w:vAlign w:val="center"/>
          </w:tcPr>
          <w:p w14:paraId="34DB7D25">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3</w:t>
            </w:r>
          </w:p>
        </w:tc>
        <w:tc>
          <w:tcPr>
            <w:tcW w:w="1363" w:type="dxa"/>
            <w:shd w:val="clear" w:color="auto" w:fill="FFFFFF"/>
            <w:vAlign w:val="center"/>
          </w:tcPr>
          <w:p w14:paraId="5669DE74">
            <w:pPr>
              <w:keepNext w:val="0"/>
              <w:keepLines w:val="0"/>
              <w:widowControl/>
              <w:suppressLineNumbers w:val="0"/>
              <w:spacing w:before="0" w:beforeAutospacing="0" w:after="0" w:afterAutospacing="0" w:line="0" w:lineRule="atLeast"/>
              <w:ind w:left="0" w:right="0"/>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1F5621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14:paraId="46774E24">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767" w:type="dxa"/>
            <w:shd w:val="clear" w:color="auto" w:fill="FFFFFF"/>
            <w:vAlign w:val="center"/>
          </w:tcPr>
          <w:p w14:paraId="0CD79845">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绩效目标　</w:t>
            </w:r>
          </w:p>
        </w:tc>
        <w:tc>
          <w:tcPr>
            <w:tcW w:w="873" w:type="dxa"/>
            <w:shd w:val="clear" w:color="auto" w:fill="FFFFFF"/>
            <w:vAlign w:val="center"/>
          </w:tcPr>
          <w:p w14:paraId="40D875F4">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绩效目标</w:t>
            </w:r>
          </w:p>
          <w:p w14:paraId="49AB1284">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合理性</w:t>
            </w:r>
          </w:p>
        </w:tc>
        <w:tc>
          <w:tcPr>
            <w:tcW w:w="2353" w:type="dxa"/>
            <w:shd w:val="clear" w:color="000000" w:fill="FFFFFF"/>
            <w:vAlign w:val="center"/>
          </w:tcPr>
          <w:p w14:paraId="7782C9DD">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项目所设定的绩效目标是否依据充分，是否符合客观实际，用以反映和考核项目绩效目标与项目实施的相符情况。</w:t>
            </w:r>
          </w:p>
        </w:tc>
        <w:tc>
          <w:tcPr>
            <w:tcW w:w="5188" w:type="dxa"/>
            <w:shd w:val="clear" w:color="000000" w:fill="FFFFFF"/>
            <w:vAlign w:val="center"/>
          </w:tcPr>
          <w:p w14:paraId="7655A7C7">
            <w:pPr>
              <w:keepNext w:val="0"/>
              <w:keepLines w:val="0"/>
              <w:widowControl/>
              <w:suppressLineNumbers w:val="0"/>
              <w:spacing w:before="0" w:beforeAutospacing="0" w:after="0" w:afterAutospacing="0" w:line="0" w:lineRule="atLeast"/>
              <w:ind w:left="0" w:right="0"/>
              <w:jc w:val="left"/>
              <w:rPr>
                <w:rFonts w:hint="default"/>
                <w:color w:val="auto"/>
                <w:kern w:val="0"/>
                <w:sz w:val="22"/>
                <w:szCs w:val="22"/>
                <w:highlight w:val="none"/>
              </w:rPr>
            </w:pPr>
            <w:r>
              <w:rPr>
                <w:rFonts w:hint="default"/>
                <w:color w:val="auto"/>
                <w:kern w:val="0"/>
                <w:sz w:val="22"/>
                <w:szCs w:val="22"/>
                <w:highlight w:val="none"/>
              </w:rPr>
              <w:t>评价要点：</w:t>
            </w:r>
            <w:r>
              <w:rPr>
                <w:rFonts w:hint="default"/>
                <w:color w:val="auto"/>
                <w:kern w:val="0"/>
                <w:sz w:val="22"/>
                <w:szCs w:val="22"/>
                <w:highlight w:val="none"/>
              </w:rPr>
              <w:br w:type="textWrapping"/>
            </w:r>
            <w:r>
              <w:rPr>
                <w:rFonts w:hint="default"/>
                <w:color w:val="auto"/>
                <w:kern w:val="0"/>
                <w:sz w:val="22"/>
                <w:szCs w:val="22"/>
                <w:highlight w:val="none"/>
              </w:rPr>
              <w:t>（如未设定预算绩效目标，也可考核其他工作任务目标）</w:t>
            </w:r>
            <w:r>
              <w:rPr>
                <w:rFonts w:hint="default"/>
                <w:color w:val="auto"/>
                <w:kern w:val="0"/>
                <w:sz w:val="22"/>
                <w:szCs w:val="22"/>
                <w:highlight w:val="none"/>
              </w:rPr>
              <w:br w:type="textWrapping"/>
            </w:r>
            <w:r>
              <w:rPr>
                <w:rFonts w:hint="default"/>
                <w:color w:val="auto"/>
                <w:kern w:val="0"/>
                <w:sz w:val="22"/>
                <w:szCs w:val="22"/>
                <w:highlight w:val="none"/>
              </w:rPr>
              <w:t>①项目是否有绩效目标；</w:t>
            </w:r>
            <w:r>
              <w:rPr>
                <w:rFonts w:hint="default"/>
                <w:color w:val="auto"/>
                <w:kern w:val="0"/>
                <w:sz w:val="22"/>
                <w:szCs w:val="22"/>
                <w:highlight w:val="none"/>
              </w:rPr>
              <w:br w:type="textWrapping"/>
            </w:r>
            <w:r>
              <w:rPr>
                <w:rFonts w:hint="default"/>
                <w:color w:val="auto"/>
                <w:kern w:val="0"/>
                <w:sz w:val="22"/>
                <w:szCs w:val="22"/>
                <w:highlight w:val="none"/>
              </w:rPr>
              <w:t>②项目绩效目标与实际工作内容是否具有相关性；</w:t>
            </w:r>
            <w:r>
              <w:rPr>
                <w:rFonts w:hint="default"/>
                <w:color w:val="auto"/>
                <w:kern w:val="0"/>
                <w:sz w:val="22"/>
                <w:szCs w:val="22"/>
                <w:highlight w:val="none"/>
              </w:rPr>
              <w:br w:type="textWrapping"/>
            </w:r>
            <w:r>
              <w:rPr>
                <w:rFonts w:hint="default"/>
                <w:color w:val="auto"/>
                <w:kern w:val="0"/>
                <w:sz w:val="22"/>
                <w:szCs w:val="22"/>
                <w:highlight w:val="none"/>
              </w:rPr>
              <w:t>③项目预期产出效益和效果是否符合正常的业绩水平；</w:t>
            </w:r>
          </w:p>
          <w:p w14:paraId="17090D05">
            <w:pPr>
              <w:keepNext w:val="0"/>
              <w:keepLines w:val="0"/>
              <w:widowControl/>
              <w:suppressLineNumbers w:val="0"/>
              <w:spacing w:before="0" w:beforeAutospacing="0" w:after="0" w:afterAutospacing="0" w:line="0" w:lineRule="atLeast"/>
              <w:ind w:left="0" w:right="0"/>
              <w:jc w:val="left"/>
              <w:rPr>
                <w:rFonts w:hint="default"/>
                <w:color w:val="auto"/>
                <w:kern w:val="0"/>
                <w:sz w:val="22"/>
                <w:szCs w:val="22"/>
                <w:highlight w:val="none"/>
              </w:rPr>
            </w:pPr>
            <w:r>
              <w:rPr>
                <w:rFonts w:hint="default"/>
                <w:color w:val="auto"/>
                <w:kern w:val="0"/>
                <w:sz w:val="22"/>
                <w:szCs w:val="22"/>
                <w:highlight w:val="none"/>
              </w:rPr>
              <w:t>④是否与预算确定的项目投资额或资金量相匹配。</w:t>
            </w:r>
          </w:p>
        </w:tc>
        <w:tc>
          <w:tcPr>
            <w:tcW w:w="1300" w:type="dxa"/>
            <w:shd w:val="clear" w:color="000000" w:fill="FFFFFF"/>
            <w:vAlign w:val="center"/>
          </w:tcPr>
          <w:p w14:paraId="0BB3D0F7">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3</w:t>
            </w:r>
          </w:p>
        </w:tc>
        <w:tc>
          <w:tcPr>
            <w:tcW w:w="1363" w:type="dxa"/>
            <w:shd w:val="clear" w:color="000000" w:fill="FFFFFF"/>
            <w:vAlign w:val="center"/>
          </w:tcPr>
          <w:p w14:paraId="18855A07">
            <w:pPr>
              <w:keepNext w:val="0"/>
              <w:keepLines w:val="0"/>
              <w:widowControl/>
              <w:suppressLineNumbers w:val="0"/>
              <w:spacing w:before="0" w:beforeAutospacing="0" w:after="0" w:afterAutospacing="0" w:line="0" w:lineRule="atLeast"/>
              <w:ind w:left="0" w:right="0"/>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1C2E52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14:paraId="1DA9C9C9">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决策　</w:t>
            </w:r>
          </w:p>
        </w:tc>
        <w:tc>
          <w:tcPr>
            <w:tcW w:w="767" w:type="dxa"/>
            <w:shd w:val="clear" w:color="auto" w:fill="FFFFFF"/>
            <w:vAlign w:val="center"/>
          </w:tcPr>
          <w:p w14:paraId="56996833">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绩效目标</w:t>
            </w:r>
          </w:p>
        </w:tc>
        <w:tc>
          <w:tcPr>
            <w:tcW w:w="873" w:type="dxa"/>
            <w:shd w:val="clear" w:color="auto" w:fill="FFFFFF"/>
            <w:vAlign w:val="center"/>
          </w:tcPr>
          <w:p w14:paraId="1114BD5C">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绩效指标</w:t>
            </w:r>
          </w:p>
          <w:p w14:paraId="6FADCDDC">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明确性</w:t>
            </w:r>
          </w:p>
        </w:tc>
        <w:tc>
          <w:tcPr>
            <w:tcW w:w="2353" w:type="dxa"/>
            <w:shd w:val="clear" w:color="000000" w:fill="FFFFFF"/>
            <w:vAlign w:val="center"/>
          </w:tcPr>
          <w:p w14:paraId="792429C1">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依据绩效目标设定的绩效指标是否清晰、细化、可衡量等，用以反映和考核项目绩效目标的明细化情况。</w:t>
            </w:r>
          </w:p>
        </w:tc>
        <w:tc>
          <w:tcPr>
            <w:tcW w:w="5188" w:type="dxa"/>
            <w:shd w:val="clear" w:color="000000" w:fill="FFFFFF"/>
            <w:vAlign w:val="center"/>
          </w:tcPr>
          <w:p w14:paraId="5F72B0A6">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评价要点：</w:t>
            </w:r>
            <w:r>
              <w:rPr>
                <w:rFonts w:hint="default"/>
                <w:color w:val="auto"/>
                <w:kern w:val="0"/>
                <w:sz w:val="22"/>
                <w:szCs w:val="22"/>
                <w:highlight w:val="none"/>
              </w:rPr>
              <w:br w:type="textWrapping"/>
            </w:r>
            <w:r>
              <w:rPr>
                <w:rFonts w:hint="default"/>
                <w:color w:val="auto"/>
                <w:kern w:val="0"/>
                <w:sz w:val="22"/>
                <w:szCs w:val="22"/>
                <w:highlight w:val="none"/>
              </w:rPr>
              <w:t>①是否将项目绩效目标细化分解为具体的绩效指标；</w:t>
            </w:r>
            <w:r>
              <w:rPr>
                <w:rFonts w:hint="default"/>
                <w:color w:val="auto"/>
                <w:kern w:val="0"/>
                <w:sz w:val="22"/>
                <w:szCs w:val="22"/>
                <w:highlight w:val="none"/>
              </w:rPr>
              <w:br w:type="textWrapping"/>
            </w:r>
            <w:r>
              <w:rPr>
                <w:rFonts w:hint="default"/>
                <w:color w:val="auto"/>
                <w:kern w:val="0"/>
                <w:sz w:val="22"/>
                <w:szCs w:val="22"/>
                <w:highlight w:val="none"/>
              </w:rPr>
              <w:t>②是否通过清晰、可衡量的指标值予以体现；</w:t>
            </w:r>
            <w:r>
              <w:rPr>
                <w:rFonts w:hint="default"/>
                <w:color w:val="auto"/>
                <w:kern w:val="0"/>
                <w:sz w:val="22"/>
                <w:szCs w:val="22"/>
                <w:highlight w:val="none"/>
              </w:rPr>
              <w:br w:type="textWrapping"/>
            </w:r>
            <w:r>
              <w:rPr>
                <w:rFonts w:hint="default"/>
                <w:color w:val="auto"/>
                <w:kern w:val="0"/>
                <w:sz w:val="22"/>
                <w:szCs w:val="22"/>
                <w:highlight w:val="none"/>
              </w:rPr>
              <w:t>③是否与项目目标任务数或计划数相对应。</w:t>
            </w:r>
            <w:r>
              <w:rPr>
                <w:rFonts w:hint="default"/>
                <w:color w:val="auto"/>
                <w:kern w:val="0"/>
                <w:sz w:val="22"/>
                <w:szCs w:val="22"/>
                <w:highlight w:val="none"/>
              </w:rPr>
              <w:br w:type="textWrapping"/>
            </w:r>
          </w:p>
        </w:tc>
        <w:tc>
          <w:tcPr>
            <w:tcW w:w="1300" w:type="dxa"/>
            <w:shd w:val="clear" w:color="000000" w:fill="FFFFFF"/>
            <w:vAlign w:val="center"/>
          </w:tcPr>
          <w:p w14:paraId="33A5AF5B">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3</w:t>
            </w:r>
          </w:p>
        </w:tc>
        <w:tc>
          <w:tcPr>
            <w:tcW w:w="1363" w:type="dxa"/>
            <w:shd w:val="clear" w:color="000000" w:fill="FFFFFF"/>
            <w:vAlign w:val="center"/>
          </w:tcPr>
          <w:p w14:paraId="149BD805">
            <w:pPr>
              <w:keepNext w:val="0"/>
              <w:keepLines w:val="0"/>
              <w:widowControl/>
              <w:suppressLineNumbers w:val="0"/>
              <w:spacing w:before="0" w:beforeAutospacing="0" w:after="0" w:afterAutospacing="0" w:line="0" w:lineRule="atLeast"/>
              <w:ind w:left="0" w:right="0"/>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49615F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14:paraId="667E6F38">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767" w:type="dxa"/>
            <w:vMerge w:val="restart"/>
            <w:shd w:val="clear" w:color="auto" w:fill="FFFFFF"/>
            <w:vAlign w:val="center"/>
          </w:tcPr>
          <w:p w14:paraId="26A1D754">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资金投入</w:t>
            </w:r>
          </w:p>
          <w:p w14:paraId="570B3EA3">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　</w:t>
            </w:r>
          </w:p>
        </w:tc>
        <w:tc>
          <w:tcPr>
            <w:tcW w:w="873" w:type="dxa"/>
            <w:shd w:val="clear" w:color="auto" w:fill="FFFFFF"/>
            <w:vAlign w:val="center"/>
          </w:tcPr>
          <w:p w14:paraId="25ED377C">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预算编制</w:t>
            </w:r>
          </w:p>
          <w:p w14:paraId="1FA88DB2">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科学性</w:t>
            </w:r>
          </w:p>
        </w:tc>
        <w:tc>
          <w:tcPr>
            <w:tcW w:w="2353" w:type="dxa"/>
            <w:shd w:val="clear" w:color="auto" w:fill="FFFFFF"/>
            <w:vAlign w:val="center"/>
          </w:tcPr>
          <w:p w14:paraId="7D64B4BD">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14:paraId="1CCFBE17">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评价要点：</w:t>
            </w:r>
            <w:r>
              <w:rPr>
                <w:rFonts w:hint="default"/>
                <w:color w:val="auto"/>
                <w:kern w:val="0"/>
                <w:sz w:val="22"/>
                <w:szCs w:val="22"/>
                <w:highlight w:val="none"/>
              </w:rPr>
              <w:br w:type="textWrapping"/>
            </w:r>
            <w:r>
              <w:rPr>
                <w:rFonts w:hint="default"/>
                <w:color w:val="auto"/>
                <w:kern w:val="0"/>
                <w:sz w:val="22"/>
                <w:szCs w:val="22"/>
                <w:highlight w:val="none"/>
              </w:rPr>
              <w:t>①预算编制是否经过科学论证；</w:t>
            </w:r>
            <w:r>
              <w:rPr>
                <w:rFonts w:hint="default"/>
                <w:color w:val="auto"/>
                <w:kern w:val="0"/>
                <w:sz w:val="22"/>
                <w:szCs w:val="22"/>
                <w:highlight w:val="none"/>
              </w:rPr>
              <w:br w:type="textWrapping"/>
            </w:r>
            <w:r>
              <w:rPr>
                <w:rFonts w:hint="default"/>
                <w:color w:val="auto"/>
                <w:kern w:val="0"/>
                <w:sz w:val="22"/>
                <w:szCs w:val="22"/>
                <w:highlight w:val="none"/>
              </w:rPr>
              <w:t>②预算内容与项目内容是否匹配；</w:t>
            </w:r>
            <w:r>
              <w:rPr>
                <w:rFonts w:hint="default"/>
                <w:color w:val="auto"/>
                <w:kern w:val="0"/>
                <w:sz w:val="22"/>
                <w:szCs w:val="22"/>
                <w:highlight w:val="none"/>
              </w:rPr>
              <w:br w:type="textWrapping"/>
            </w:r>
            <w:r>
              <w:rPr>
                <w:rFonts w:hint="default"/>
                <w:color w:val="auto"/>
                <w:kern w:val="0"/>
                <w:sz w:val="22"/>
                <w:szCs w:val="22"/>
                <w:highlight w:val="none"/>
              </w:rPr>
              <w:t>③预算额度测算依据是否充分，是否按照标准编制；</w:t>
            </w:r>
            <w:r>
              <w:rPr>
                <w:rFonts w:hint="default"/>
                <w:color w:val="auto"/>
                <w:kern w:val="0"/>
                <w:sz w:val="22"/>
                <w:szCs w:val="22"/>
                <w:highlight w:val="none"/>
              </w:rPr>
              <w:br w:type="textWrapping"/>
            </w:r>
            <w:r>
              <w:rPr>
                <w:rFonts w:hint="default"/>
                <w:color w:val="auto"/>
                <w:kern w:val="0"/>
                <w:sz w:val="22"/>
                <w:szCs w:val="22"/>
                <w:highlight w:val="none"/>
              </w:rPr>
              <w:t>④预算确定的项目投资额或资金量是否与工作任务相匹配。</w:t>
            </w:r>
          </w:p>
        </w:tc>
        <w:tc>
          <w:tcPr>
            <w:tcW w:w="1300" w:type="dxa"/>
            <w:shd w:val="clear" w:color="auto" w:fill="FFFFFF"/>
            <w:vAlign w:val="center"/>
          </w:tcPr>
          <w:p w14:paraId="1748A713">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4</w:t>
            </w:r>
          </w:p>
        </w:tc>
        <w:tc>
          <w:tcPr>
            <w:tcW w:w="1363" w:type="dxa"/>
            <w:shd w:val="clear" w:color="auto" w:fill="FFFFFF"/>
            <w:vAlign w:val="center"/>
          </w:tcPr>
          <w:p w14:paraId="160B1114">
            <w:pPr>
              <w:keepNext w:val="0"/>
              <w:keepLines w:val="0"/>
              <w:widowControl/>
              <w:suppressLineNumbers w:val="0"/>
              <w:spacing w:before="0" w:beforeAutospacing="0" w:after="0" w:afterAutospacing="0" w:line="0" w:lineRule="atLeast"/>
              <w:ind w:left="0" w:right="0"/>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6EBDB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14:paraId="67C45C44">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767" w:type="dxa"/>
            <w:vMerge w:val="continue"/>
            <w:shd w:val="clear" w:color="auto" w:fill="FFFFFF"/>
            <w:vAlign w:val="center"/>
          </w:tcPr>
          <w:p w14:paraId="7F1579CB">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873" w:type="dxa"/>
            <w:shd w:val="clear" w:color="auto" w:fill="FFFFFF"/>
            <w:vAlign w:val="center"/>
          </w:tcPr>
          <w:p w14:paraId="28B40E3C">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资金分配</w:t>
            </w:r>
          </w:p>
          <w:p w14:paraId="62A077DD">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合理性</w:t>
            </w:r>
          </w:p>
        </w:tc>
        <w:tc>
          <w:tcPr>
            <w:tcW w:w="2353" w:type="dxa"/>
            <w:shd w:val="clear" w:color="auto" w:fill="FFFFFF"/>
            <w:vAlign w:val="center"/>
          </w:tcPr>
          <w:p w14:paraId="5AE2BED0">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14:paraId="2B40C6DA">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评价要点：</w:t>
            </w:r>
            <w:r>
              <w:rPr>
                <w:rFonts w:hint="default"/>
                <w:color w:val="auto"/>
                <w:kern w:val="0"/>
                <w:sz w:val="22"/>
                <w:szCs w:val="22"/>
                <w:highlight w:val="none"/>
              </w:rPr>
              <w:br w:type="textWrapping"/>
            </w:r>
            <w:r>
              <w:rPr>
                <w:rFonts w:hint="default"/>
                <w:color w:val="auto"/>
                <w:kern w:val="0"/>
                <w:sz w:val="22"/>
                <w:szCs w:val="22"/>
                <w:highlight w:val="none"/>
              </w:rPr>
              <w:t>①预算资金分配依据是否充分；</w:t>
            </w:r>
            <w:r>
              <w:rPr>
                <w:rFonts w:hint="default"/>
                <w:color w:val="auto"/>
                <w:kern w:val="0"/>
                <w:sz w:val="22"/>
                <w:szCs w:val="22"/>
                <w:highlight w:val="none"/>
              </w:rPr>
              <w:br w:type="textWrapping"/>
            </w:r>
            <w:r>
              <w:rPr>
                <w:rFonts w:hint="default"/>
                <w:color w:val="auto"/>
                <w:kern w:val="0"/>
                <w:sz w:val="22"/>
                <w:szCs w:val="22"/>
                <w:highlight w:val="none"/>
              </w:rPr>
              <w:t>②资金分配额度是否合理，与项目单位或地方实际是否相适应。</w:t>
            </w:r>
          </w:p>
        </w:tc>
        <w:tc>
          <w:tcPr>
            <w:tcW w:w="1300" w:type="dxa"/>
            <w:shd w:val="clear" w:color="auto" w:fill="FFFFFF"/>
            <w:vAlign w:val="center"/>
          </w:tcPr>
          <w:p w14:paraId="3198CB05">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4</w:t>
            </w:r>
          </w:p>
        </w:tc>
        <w:tc>
          <w:tcPr>
            <w:tcW w:w="1363" w:type="dxa"/>
            <w:shd w:val="clear" w:color="auto" w:fill="FFFFFF"/>
            <w:vAlign w:val="center"/>
          </w:tcPr>
          <w:p w14:paraId="013CEDBD">
            <w:pPr>
              <w:keepNext w:val="0"/>
              <w:keepLines w:val="0"/>
              <w:widowControl/>
              <w:suppressLineNumbers w:val="0"/>
              <w:spacing w:before="0" w:beforeAutospacing="0" w:after="0" w:afterAutospacing="0" w:line="0" w:lineRule="atLeast"/>
              <w:ind w:left="0" w:right="0"/>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377EB3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14:paraId="4C48139E">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过程</w:t>
            </w:r>
          </w:p>
        </w:tc>
        <w:tc>
          <w:tcPr>
            <w:tcW w:w="767" w:type="dxa"/>
            <w:vMerge w:val="restart"/>
            <w:shd w:val="clear" w:color="auto" w:fill="FFFFFF"/>
            <w:vAlign w:val="center"/>
          </w:tcPr>
          <w:p w14:paraId="71AEC023">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资金管理</w:t>
            </w:r>
          </w:p>
        </w:tc>
        <w:tc>
          <w:tcPr>
            <w:tcW w:w="873" w:type="dxa"/>
            <w:shd w:val="clear" w:color="auto" w:fill="FFFFFF"/>
            <w:vAlign w:val="center"/>
          </w:tcPr>
          <w:p w14:paraId="4A8D581C">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资金到位率</w:t>
            </w:r>
          </w:p>
        </w:tc>
        <w:tc>
          <w:tcPr>
            <w:tcW w:w="2353" w:type="dxa"/>
            <w:shd w:val="clear" w:color="000000" w:fill="FFFFFF"/>
            <w:vAlign w:val="center"/>
          </w:tcPr>
          <w:p w14:paraId="6BADDA6C">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实际到位资金与预算资金的比率，用以反映和考核资金落实情况对项目实施的总体保障程度。</w:t>
            </w:r>
          </w:p>
        </w:tc>
        <w:tc>
          <w:tcPr>
            <w:tcW w:w="5188" w:type="dxa"/>
            <w:shd w:val="clear" w:color="000000" w:fill="FFFFFF"/>
            <w:vAlign w:val="center"/>
          </w:tcPr>
          <w:p w14:paraId="0C4DEC70">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资金到位率=（实际到位资金/预算资金）×100%。</w:t>
            </w:r>
          </w:p>
          <w:p w14:paraId="5FD5D2F1">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实际到位资金：一定时期（本年度或项目期）内落实到具体项目的资金。</w:t>
            </w:r>
          </w:p>
          <w:p w14:paraId="54DCB702">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预算资金：一定时期（本年度或项目期）内预算安排到具体项目的资金。</w:t>
            </w:r>
          </w:p>
        </w:tc>
        <w:tc>
          <w:tcPr>
            <w:tcW w:w="1300" w:type="dxa"/>
            <w:shd w:val="clear" w:color="000000" w:fill="FFFFFF"/>
            <w:vAlign w:val="center"/>
          </w:tcPr>
          <w:p w14:paraId="5D60DA5B">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4</w:t>
            </w:r>
          </w:p>
        </w:tc>
        <w:tc>
          <w:tcPr>
            <w:tcW w:w="1363" w:type="dxa"/>
            <w:shd w:val="clear" w:color="000000" w:fill="FFFFFF"/>
            <w:vAlign w:val="center"/>
          </w:tcPr>
          <w:p w14:paraId="648C91E8">
            <w:pPr>
              <w:keepNext w:val="0"/>
              <w:keepLines w:val="0"/>
              <w:widowControl/>
              <w:suppressLineNumbers w:val="0"/>
              <w:spacing w:before="0" w:beforeAutospacing="0" w:after="0" w:afterAutospacing="0" w:line="0" w:lineRule="atLeast"/>
              <w:ind w:left="0" w:right="0"/>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3.91</w:t>
            </w:r>
          </w:p>
        </w:tc>
      </w:tr>
      <w:tr w14:paraId="493933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14:paraId="435096E0">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767" w:type="dxa"/>
            <w:vMerge w:val="continue"/>
            <w:shd w:val="clear" w:color="auto" w:fill="FFFFFF"/>
            <w:vAlign w:val="center"/>
          </w:tcPr>
          <w:p w14:paraId="22A8C354">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873" w:type="dxa"/>
            <w:shd w:val="clear" w:color="auto" w:fill="FFFFFF"/>
            <w:vAlign w:val="center"/>
          </w:tcPr>
          <w:p w14:paraId="5C2F349A">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预算执行率</w:t>
            </w:r>
          </w:p>
        </w:tc>
        <w:tc>
          <w:tcPr>
            <w:tcW w:w="2353" w:type="dxa"/>
            <w:shd w:val="clear" w:color="auto" w:fill="FFFFFF"/>
            <w:vAlign w:val="center"/>
          </w:tcPr>
          <w:p w14:paraId="1B3EA493">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项目预算资金是否按照计划执行，用以反映或考核项目预算执行情况。</w:t>
            </w:r>
          </w:p>
        </w:tc>
        <w:tc>
          <w:tcPr>
            <w:tcW w:w="5188" w:type="dxa"/>
            <w:shd w:val="clear" w:color="auto" w:fill="FFFFFF"/>
            <w:vAlign w:val="center"/>
          </w:tcPr>
          <w:p w14:paraId="77F0464E">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预算执行率=（实际支出资金/实际到位资金）×100%。</w:t>
            </w:r>
            <w:r>
              <w:rPr>
                <w:rFonts w:hint="default"/>
                <w:color w:val="auto"/>
                <w:kern w:val="0"/>
                <w:sz w:val="22"/>
                <w:szCs w:val="22"/>
                <w:highlight w:val="none"/>
              </w:rPr>
              <w:br w:type="textWrapping"/>
            </w:r>
            <w:r>
              <w:rPr>
                <w:rFonts w:hint="default"/>
                <w:color w:val="auto"/>
                <w:kern w:val="0"/>
                <w:sz w:val="22"/>
                <w:szCs w:val="22"/>
                <w:highlight w:val="none"/>
              </w:rPr>
              <w:t>实际支出资金：一定时期（本年度或项目期）内项目实际拨付的资金。</w:t>
            </w:r>
          </w:p>
        </w:tc>
        <w:tc>
          <w:tcPr>
            <w:tcW w:w="1300" w:type="dxa"/>
            <w:shd w:val="clear" w:color="auto" w:fill="FFFFFF"/>
            <w:vAlign w:val="center"/>
          </w:tcPr>
          <w:p w14:paraId="45532AB5">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4</w:t>
            </w:r>
          </w:p>
        </w:tc>
        <w:tc>
          <w:tcPr>
            <w:tcW w:w="1363" w:type="dxa"/>
            <w:shd w:val="clear" w:color="auto" w:fill="FFFFFF"/>
            <w:vAlign w:val="center"/>
          </w:tcPr>
          <w:p w14:paraId="267F1EC8">
            <w:pPr>
              <w:keepNext w:val="0"/>
              <w:keepLines w:val="0"/>
              <w:widowControl/>
              <w:suppressLineNumbers w:val="0"/>
              <w:spacing w:before="0" w:beforeAutospacing="0" w:after="0" w:afterAutospacing="0" w:line="0" w:lineRule="atLeast"/>
              <w:ind w:left="0" w:right="0"/>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6E0C79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14:paraId="6B973052">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　</w:t>
            </w:r>
          </w:p>
          <w:p w14:paraId="73713FDF">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过程　</w:t>
            </w:r>
          </w:p>
        </w:tc>
        <w:tc>
          <w:tcPr>
            <w:tcW w:w="767" w:type="dxa"/>
            <w:shd w:val="clear" w:color="auto" w:fill="FFFFFF"/>
            <w:vAlign w:val="center"/>
          </w:tcPr>
          <w:p w14:paraId="523DECE8">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资金管理</w:t>
            </w:r>
          </w:p>
        </w:tc>
        <w:tc>
          <w:tcPr>
            <w:tcW w:w="873" w:type="dxa"/>
            <w:shd w:val="clear" w:color="auto" w:fill="FFFFFF"/>
            <w:vAlign w:val="center"/>
          </w:tcPr>
          <w:p w14:paraId="23171561">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资金使用</w:t>
            </w:r>
          </w:p>
          <w:p w14:paraId="1D924FD3">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合规性</w:t>
            </w:r>
          </w:p>
        </w:tc>
        <w:tc>
          <w:tcPr>
            <w:tcW w:w="2353" w:type="dxa"/>
            <w:shd w:val="clear" w:color="000000" w:fill="FFFFFF"/>
            <w:vAlign w:val="center"/>
          </w:tcPr>
          <w:p w14:paraId="0C1096AE">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项目资金使用是否符合相关的财务管理制度规定，用以反映和考核项目资金的规范运行情况。</w:t>
            </w:r>
          </w:p>
        </w:tc>
        <w:tc>
          <w:tcPr>
            <w:tcW w:w="5188" w:type="dxa"/>
            <w:shd w:val="clear" w:color="000000" w:fill="FFFFFF"/>
            <w:vAlign w:val="center"/>
          </w:tcPr>
          <w:p w14:paraId="0C11EB25">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评价要点：</w:t>
            </w:r>
            <w:r>
              <w:rPr>
                <w:rFonts w:hint="default"/>
                <w:color w:val="auto"/>
                <w:kern w:val="0"/>
                <w:sz w:val="22"/>
                <w:szCs w:val="22"/>
                <w:highlight w:val="none"/>
              </w:rPr>
              <w:br w:type="textWrapping"/>
            </w:r>
            <w:r>
              <w:rPr>
                <w:rFonts w:hint="default"/>
                <w:color w:val="auto"/>
                <w:kern w:val="0"/>
                <w:sz w:val="22"/>
                <w:szCs w:val="22"/>
                <w:highlight w:val="none"/>
              </w:rPr>
              <w:t>①是否符合国家财经法规和财务管理制度以及有关专项资金管理办法的规定；</w:t>
            </w:r>
            <w:r>
              <w:rPr>
                <w:rFonts w:hint="default"/>
                <w:color w:val="auto"/>
                <w:kern w:val="0"/>
                <w:sz w:val="22"/>
                <w:szCs w:val="22"/>
                <w:highlight w:val="none"/>
              </w:rPr>
              <w:br w:type="textWrapping"/>
            </w:r>
            <w:r>
              <w:rPr>
                <w:rFonts w:hint="default"/>
                <w:color w:val="auto"/>
                <w:kern w:val="0"/>
                <w:sz w:val="22"/>
                <w:szCs w:val="22"/>
                <w:highlight w:val="none"/>
              </w:rPr>
              <w:t>②资金的拨付是否有完整的审批程序和手续；</w:t>
            </w:r>
            <w:r>
              <w:rPr>
                <w:rFonts w:hint="default"/>
                <w:color w:val="auto"/>
                <w:kern w:val="0"/>
                <w:sz w:val="22"/>
                <w:szCs w:val="22"/>
                <w:highlight w:val="none"/>
              </w:rPr>
              <w:br w:type="textWrapping"/>
            </w:r>
            <w:r>
              <w:rPr>
                <w:rFonts w:hint="default"/>
                <w:color w:val="auto"/>
                <w:kern w:val="0"/>
                <w:sz w:val="22"/>
                <w:szCs w:val="22"/>
                <w:highlight w:val="none"/>
              </w:rPr>
              <w:t>③是否符合项目预算批复或合同规定的用途；</w:t>
            </w:r>
            <w:r>
              <w:rPr>
                <w:rFonts w:hint="default"/>
                <w:color w:val="auto"/>
                <w:kern w:val="0"/>
                <w:sz w:val="22"/>
                <w:szCs w:val="22"/>
                <w:highlight w:val="none"/>
              </w:rPr>
              <w:br w:type="textWrapping"/>
            </w:r>
            <w:r>
              <w:rPr>
                <w:rFonts w:hint="default"/>
                <w:color w:val="auto"/>
                <w:kern w:val="0"/>
                <w:sz w:val="22"/>
                <w:szCs w:val="22"/>
                <w:highlight w:val="none"/>
              </w:rPr>
              <w:t>④是否存在截留、挤占、挪用、虚列支出等情况。</w:t>
            </w:r>
          </w:p>
        </w:tc>
        <w:tc>
          <w:tcPr>
            <w:tcW w:w="1300" w:type="dxa"/>
            <w:shd w:val="clear" w:color="000000" w:fill="FFFFFF"/>
            <w:vAlign w:val="center"/>
          </w:tcPr>
          <w:p w14:paraId="09691BE2">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4</w:t>
            </w:r>
          </w:p>
        </w:tc>
        <w:tc>
          <w:tcPr>
            <w:tcW w:w="1363" w:type="dxa"/>
            <w:shd w:val="clear" w:color="000000" w:fill="FFFFFF"/>
            <w:vAlign w:val="center"/>
          </w:tcPr>
          <w:p w14:paraId="03B38301">
            <w:pPr>
              <w:keepNext w:val="0"/>
              <w:keepLines w:val="0"/>
              <w:widowControl/>
              <w:suppressLineNumbers w:val="0"/>
              <w:spacing w:before="0" w:beforeAutospacing="0" w:after="0" w:afterAutospacing="0" w:line="0" w:lineRule="atLeast"/>
              <w:ind w:left="0" w:right="0"/>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1F718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14:paraId="43020C5C">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767" w:type="dxa"/>
            <w:vMerge w:val="restart"/>
            <w:shd w:val="clear" w:color="auto" w:fill="FFFFFF"/>
            <w:vAlign w:val="center"/>
          </w:tcPr>
          <w:p w14:paraId="1A36290E">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组织实施</w:t>
            </w:r>
          </w:p>
          <w:p w14:paraId="18B5406C">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　</w:t>
            </w:r>
          </w:p>
        </w:tc>
        <w:tc>
          <w:tcPr>
            <w:tcW w:w="873" w:type="dxa"/>
            <w:shd w:val="clear" w:color="auto" w:fill="FFFFFF"/>
            <w:vAlign w:val="center"/>
          </w:tcPr>
          <w:p w14:paraId="57F83605">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管理制度</w:t>
            </w:r>
          </w:p>
          <w:p w14:paraId="6A2A37E6">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健全性</w:t>
            </w:r>
          </w:p>
        </w:tc>
        <w:tc>
          <w:tcPr>
            <w:tcW w:w="2353" w:type="dxa"/>
            <w:shd w:val="clear" w:color="000000" w:fill="FFFFFF"/>
            <w:vAlign w:val="center"/>
          </w:tcPr>
          <w:p w14:paraId="17EB8EB8">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项目实施单位的财务和业务管理制度是否健全，用以反映和考核财务和业务管理制度对项目顺利实施的保障情况。</w:t>
            </w:r>
          </w:p>
        </w:tc>
        <w:tc>
          <w:tcPr>
            <w:tcW w:w="5188" w:type="dxa"/>
            <w:shd w:val="clear" w:color="000000" w:fill="FFFFFF"/>
            <w:vAlign w:val="center"/>
          </w:tcPr>
          <w:p w14:paraId="524F3198">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评价要点：</w:t>
            </w:r>
            <w:r>
              <w:rPr>
                <w:rFonts w:hint="default"/>
                <w:color w:val="auto"/>
                <w:kern w:val="0"/>
                <w:sz w:val="22"/>
                <w:szCs w:val="22"/>
                <w:highlight w:val="none"/>
              </w:rPr>
              <w:br w:type="textWrapping"/>
            </w:r>
            <w:r>
              <w:rPr>
                <w:rFonts w:hint="default"/>
                <w:color w:val="auto"/>
                <w:kern w:val="0"/>
                <w:sz w:val="22"/>
                <w:szCs w:val="22"/>
                <w:highlight w:val="none"/>
              </w:rPr>
              <w:t>①是否已制定或具有相应的财务和业务管理制度；</w:t>
            </w:r>
            <w:r>
              <w:rPr>
                <w:rFonts w:hint="default"/>
                <w:color w:val="auto"/>
                <w:kern w:val="0"/>
                <w:sz w:val="22"/>
                <w:szCs w:val="22"/>
                <w:highlight w:val="none"/>
              </w:rPr>
              <w:br w:type="textWrapping"/>
            </w:r>
            <w:r>
              <w:rPr>
                <w:rFonts w:hint="default"/>
                <w:color w:val="auto"/>
                <w:kern w:val="0"/>
                <w:sz w:val="22"/>
                <w:szCs w:val="22"/>
                <w:highlight w:val="none"/>
              </w:rPr>
              <w:t>②财务和业务管理制度是否合法、合规、完整。</w:t>
            </w:r>
          </w:p>
        </w:tc>
        <w:tc>
          <w:tcPr>
            <w:tcW w:w="1300" w:type="dxa"/>
            <w:shd w:val="clear" w:color="000000" w:fill="FFFFFF"/>
            <w:vAlign w:val="center"/>
          </w:tcPr>
          <w:p w14:paraId="69F7870E">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4</w:t>
            </w:r>
          </w:p>
        </w:tc>
        <w:tc>
          <w:tcPr>
            <w:tcW w:w="1363" w:type="dxa"/>
            <w:shd w:val="clear" w:color="000000" w:fill="FFFFFF"/>
            <w:vAlign w:val="center"/>
          </w:tcPr>
          <w:p w14:paraId="4E3933B9">
            <w:pPr>
              <w:keepNext w:val="0"/>
              <w:keepLines w:val="0"/>
              <w:widowControl/>
              <w:suppressLineNumbers w:val="0"/>
              <w:spacing w:before="0" w:beforeAutospacing="0" w:after="0" w:afterAutospacing="0" w:line="0" w:lineRule="atLeast"/>
              <w:ind w:left="0" w:right="0"/>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73B01B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14:paraId="17AC65F5">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767" w:type="dxa"/>
            <w:vMerge w:val="continue"/>
            <w:shd w:val="clear" w:color="auto" w:fill="FFFFFF"/>
            <w:vAlign w:val="center"/>
          </w:tcPr>
          <w:p w14:paraId="06A448B3">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873" w:type="dxa"/>
            <w:shd w:val="clear" w:color="auto" w:fill="FFFFFF"/>
            <w:vAlign w:val="center"/>
          </w:tcPr>
          <w:p w14:paraId="7C6CD06B">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制度执行</w:t>
            </w:r>
          </w:p>
          <w:p w14:paraId="77DD0641">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有效性</w:t>
            </w:r>
          </w:p>
        </w:tc>
        <w:tc>
          <w:tcPr>
            <w:tcW w:w="2353" w:type="dxa"/>
            <w:shd w:val="clear" w:color="000000" w:fill="FFFFFF"/>
            <w:vAlign w:val="center"/>
          </w:tcPr>
          <w:p w14:paraId="21D59321">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项目实施是否符合相关管理规定，用以反映和考核相关管理制度的有效执行情况。</w:t>
            </w:r>
          </w:p>
        </w:tc>
        <w:tc>
          <w:tcPr>
            <w:tcW w:w="5188" w:type="dxa"/>
            <w:shd w:val="clear" w:color="000000" w:fill="FFFFFF"/>
            <w:vAlign w:val="center"/>
          </w:tcPr>
          <w:p w14:paraId="50B1019E">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评价要点：</w:t>
            </w:r>
            <w:r>
              <w:rPr>
                <w:rFonts w:hint="default"/>
                <w:color w:val="auto"/>
                <w:kern w:val="0"/>
                <w:sz w:val="22"/>
                <w:szCs w:val="22"/>
                <w:highlight w:val="none"/>
              </w:rPr>
              <w:br w:type="textWrapping"/>
            </w:r>
            <w:r>
              <w:rPr>
                <w:rFonts w:hint="default"/>
                <w:color w:val="auto"/>
                <w:kern w:val="0"/>
                <w:sz w:val="22"/>
                <w:szCs w:val="22"/>
                <w:highlight w:val="none"/>
              </w:rPr>
              <w:t>①是否遵守相关法律法规和相关管理规定；</w:t>
            </w:r>
            <w:r>
              <w:rPr>
                <w:rFonts w:hint="default"/>
                <w:color w:val="auto"/>
                <w:kern w:val="0"/>
                <w:sz w:val="22"/>
                <w:szCs w:val="22"/>
                <w:highlight w:val="none"/>
              </w:rPr>
              <w:br w:type="textWrapping"/>
            </w:r>
            <w:r>
              <w:rPr>
                <w:rFonts w:hint="default"/>
                <w:color w:val="auto"/>
                <w:kern w:val="0"/>
                <w:sz w:val="22"/>
                <w:szCs w:val="22"/>
                <w:highlight w:val="none"/>
              </w:rPr>
              <w:t>②项目调整及支出调整手续是否完备；</w:t>
            </w:r>
            <w:r>
              <w:rPr>
                <w:rFonts w:hint="default"/>
                <w:color w:val="auto"/>
                <w:kern w:val="0"/>
                <w:sz w:val="22"/>
                <w:szCs w:val="22"/>
                <w:highlight w:val="none"/>
              </w:rPr>
              <w:br w:type="textWrapping"/>
            </w:r>
            <w:r>
              <w:rPr>
                <w:rFonts w:hint="default"/>
                <w:color w:val="auto"/>
                <w:kern w:val="0"/>
                <w:sz w:val="22"/>
                <w:szCs w:val="22"/>
                <w:highlight w:val="none"/>
              </w:rPr>
              <w:t>③项目合同书、验收报告、技术鉴定等资料是否齐全并及时归档；</w:t>
            </w:r>
            <w:r>
              <w:rPr>
                <w:rFonts w:hint="default"/>
                <w:color w:val="auto"/>
                <w:kern w:val="0"/>
                <w:sz w:val="22"/>
                <w:szCs w:val="22"/>
                <w:highlight w:val="none"/>
              </w:rPr>
              <w:br w:type="textWrapping"/>
            </w:r>
            <w:r>
              <w:rPr>
                <w:rFonts w:hint="default"/>
                <w:color w:val="auto"/>
                <w:kern w:val="0"/>
                <w:sz w:val="22"/>
                <w:szCs w:val="22"/>
                <w:highlight w:val="none"/>
              </w:rPr>
              <w:t>④项目实施的人员条件、场地设备、信息支撑等是否落实到位。</w:t>
            </w:r>
          </w:p>
        </w:tc>
        <w:tc>
          <w:tcPr>
            <w:tcW w:w="1300" w:type="dxa"/>
            <w:shd w:val="clear" w:color="000000" w:fill="FFFFFF"/>
            <w:vAlign w:val="center"/>
          </w:tcPr>
          <w:p w14:paraId="4432CDB3">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4</w:t>
            </w:r>
          </w:p>
        </w:tc>
        <w:tc>
          <w:tcPr>
            <w:tcW w:w="1363" w:type="dxa"/>
            <w:shd w:val="clear" w:color="000000" w:fill="FFFFFF"/>
            <w:vAlign w:val="center"/>
          </w:tcPr>
          <w:p w14:paraId="100261FB">
            <w:pPr>
              <w:keepNext w:val="0"/>
              <w:keepLines w:val="0"/>
              <w:widowControl/>
              <w:suppressLineNumbers w:val="0"/>
              <w:spacing w:before="0" w:beforeAutospacing="0" w:after="0" w:afterAutospacing="0" w:line="0" w:lineRule="atLeast"/>
              <w:ind w:left="0" w:right="0"/>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3B531D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9" w:type="dxa"/>
            <w:shd w:val="clear" w:color="auto" w:fill="FFFFFF"/>
            <w:vAlign w:val="center"/>
          </w:tcPr>
          <w:p w14:paraId="74A551DD">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产出</w:t>
            </w:r>
          </w:p>
        </w:tc>
        <w:tc>
          <w:tcPr>
            <w:tcW w:w="767" w:type="dxa"/>
            <w:shd w:val="clear" w:color="auto" w:fill="FFFFFF"/>
            <w:vAlign w:val="center"/>
          </w:tcPr>
          <w:p w14:paraId="1D01423C">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产出数量</w:t>
            </w:r>
          </w:p>
        </w:tc>
        <w:tc>
          <w:tcPr>
            <w:tcW w:w="873" w:type="dxa"/>
            <w:shd w:val="clear" w:color="auto" w:fill="FFFFFF"/>
            <w:vAlign w:val="center"/>
          </w:tcPr>
          <w:p w14:paraId="154072D9">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实际完成率</w:t>
            </w:r>
          </w:p>
        </w:tc>
        <w:tc>
          <w:tcPr>
            <w:tcW w:w="2353" w:type="dxa"/>
            <w:shd w:val="clear" w:color="000000" w:fill="FFFFFF"/>
            <w:vAlign w:val="center"/>
          </w:tcPr>
          <w:p w14:paraId="24DFC534">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项目实施的实际产出数与计划产出数的比率，用以反映和考核项目产出数量目标的实现程度。</w:t>
            </w:r>
          </w:p>
        </w:tc>
        <w:tc>
          <w:tcPr>
            <w:tcW w:w="5188" w:type="dxa"/>
            <w:shd w:val="clear" w:color="000000" w:fill="FFFFFF"/>
            <w:vAlign w:val="center"/>
          </w:tcPr>
          <w:p w14:paraId="04E84D82">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实际完成率=（实际产出数/计划产出数）×100%。</w:t>
            </w:r>
            <w:r>
              <w:rPr>
                <w:rFonts w:hint="default"/>
                <w:color w:val="auto"/>
                <w:kern w:val="0"/>
                <w:sz w:val="22"/>
                <w:szCs w:val="22"/>
                <w:highlight w:val="none"/>
              </w:rPr>
              <w:br w:type="textWrapping"/>
            </w:r>
            <w:r>
              <w:rPr>
                <w:rFonts w:hint="default"/>
                <w:color w:val="auto"/>
                <w:kern w:val="0"/>
                <w:sz w:val="22"/>
                <w:szCs w:val="22"/>
                <w:highlight w:val="none"/>
              </w:rPr>
              <w:t>实际产出数：一定时期（本年度或项目期）内项目实际产出的产品或提供的服务数量。</w:t>
            </w:r>
            <w:r>
              <w:rPr>
                <w:rFonts w:hint="default"/>
                <w:color w:val="auto"/>
                <w:kern w:val="0"/>
                <w:sz w:val="22"/>
                <w:szCs w:val="22"/>
                <w:highlight w:val="none"/>
              </w:rPr>
              <w:br w:type="textWrapping"/>
            </w:r>
            <w:r>
              <w:rPr>
                <w:rFonts w:hint="default"/>
                <w:color w:val="auto"/>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14:paraId="1BB5A1AC">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10</w:t>
            </w:r>
          </w:p>
        </w:tc>
        <w:tc>
          <w:tcPr>
            <w:tcW w:w="1363" w:type="dxa"/>
            <w:shd w:val="clear" w:color="000000" w:fill="FFFFFF"/>
            <w:vAlign w:val="center"/>
          </w:tcPr>
          <w:p w14:paraId="7FA9C7F5">
            <w:pPr>
              <w:keepNext w:val="0"/>
              <w:keepLines w:val="0"/>
              <w:widowControl/>
              <w:suppressLineNumbers w:val="0"/>
              <w:spacing w:before="0" w:beforeAutospacing="0" w:after="0" w:afterAutospacing="0" w:line="0" w:lineRule="atLeast"/>
              <w:ind w:left="0" w:right="0"/>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163C75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14:paraId="52823EF5">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产出</w:t>
            </w:r>
          </w:p>
        </w:tc>
        <w:tc>
          <w:tcPr>
            <w:tcW w:w="767" w:type="dxa"/>
            <w:shd w:val="clear" w:color="auto" w:fill="FFFFFF"/>
            <w:vAlign w:val="center"/>
          </w:tcPr>
          <w:p w14:paraId="52735B56">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产出质量</w:t>
            </w:r>
          </w:p>
        </w:tc>
        <w:tc>
          <w:tcPr>
            <w:tcW w:w="873" w:type="dxa"/>
            <w:shd w:val="clear" w:color="auto" w:fill="FFFFFF"/>
            <w:vAlign w:val="center"/>
          </w:tcPr>
          <w:p w14:paraId="7A35CB8E">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质量达标率</w:t>
            </w:r>
          </w:p>
        </w:tc>
        <w:tc>
          <w:tcPr>
            <w:tcW w:w="2353" w:type="dxa"/>
            <w:shd w:val="clear" w:color="000000" w:fill="FFFFFF"/>
            <w:vAlign w:val="center"/>
          </w:tcPr>
          <w:p w14:paraId="1F61EE79">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项目完成的质量达标产出数与实际产出数的比率，用以反映和考核项目产出质量目标的实现程度。</w:t>
            </w:r>
          </w:p>
        </w:tc>
        <w:tc>
          <w:tcPr>
            <w:tcW w:w="5188" w:type="dxa"/>
            <w:shd w:val="clear" w:color="000000" w:fill="FFFFFF"/>
            <w:vAlign w:val="center"/>
          </w:tcPr>
          <w:p w14:paraId="01EE3C5D">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质量达标率=（质量达标产出数/实际产出数）×100%。</w:t>
            </w:r>
          </w:p>
          <w:p w14:paraId="02BBE218">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5689806D">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10</w:t>
            </w:r>
          </w:p>
        </w:tc>
        <w:tc>
          <w:tcPr>
            <w:tcW w:w="1363" w:type="dxa"/>
            <w:shd w:val="clear" w:color="000000" w:fill="FFFFFF"/>
            <w:vAlign w:val="center"/>
          </w:tcPr>
          <w:p w14:paraId="19202643">
            <w:pPr>
              <w:keepNext w:val="0"/>
              <w:keepLines w:val="0"/>
              <w:widowControl/>
              <w:suppressLineNumbers w:val="0"/>
              <w:spacing w:before="0" w:beforeAutospacing="0" w:after="0" w:afterAutospacing="0" w:line="0" w:lineRule="atLeast"/>
              <w:ind w:left="0" w:right="0"/>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681DBD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14:paraId="04C78B1E">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767" w:type="dxa"/>
            <w:shd w:val="clear" w:color="auto" w:fill="FFFFFF"/>
            <w:vAlign w:val="center"/>
          </w:tcPr>
          <w:p w14:paraId="3C76587A">
            <w:pPr>
              <w:keepNext w:val="0"/>
              <w:keepLines w:val="0"/>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产出时效</w:t>
            </w:r>
          </w:p>
        </w:tc>
        <w:tc>
          <w:tcPr>
            <w:tcW w:w="873" w:type="dxa"/>
            <w:shd w:val="clear" w:color="auto" w:fill="FFFFFF"/>
            <w:vAlign w:val="center"/>
          </w:tcPr>
          <w:p w14:paraId="02302825">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完成及时性</w:t>
            </w:r>
          </w:p>
        </w:tc>
        <w:tc>
          <w:tcPr>
            <w:tcW w:w="2353" w:type="dxa"/>
            <w:shd w:val="clear" w:color="000000" w:fill="FFFFFF"/>
            <w:vAlign w:val="center"/>
          </w:tcPr>
          <w:p w14:paraId="1CA160F7">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项目实际完成时间与计划完成时间的比较，用以反映和考核项目产出时效目标的实现程度。</w:t>
            </w:r>
          </w:p>
        </w:tc>
        <w:tc>
          <w:tcPr>
            <w:tcW w:w="5188" w:type="dxa"/>
            <w:shd w:val="clear" w:color="000000" w:fill="FFFFFF"/>
            <w:vAlign w:val="center"/>
          </w:tcPr>
          <w:p w14:paraId="77079816">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实际完成时间：项目实施单位完成该项目实际所耗用的时间。</w:t>
            </w:r>
            <w:r>
              <w:rPr>
                <w:rFonts w:hint="default"/>
                <w:color w:val="auto"/>
                <w:kern w:val="0"/>
                <w:sz w:val="22"/>
                <w:szCs w:val="22"/>
                <w:highlight w:val="none"/>
              </w:rPr>
              <w:br w:type="textWrapping"/>
            </w:r>
            <w:r>
              <w:rPr>
                <w:rFonts w:hint="default"/>
                <w:color w:val="auto"/>
                <w:kern w:val="0"/>
                <w:sz w:val="22"/>
                <w:szCs w:val="22"/>
                <w:highlight w:val="none"/>
              </w:rPr>
              <w:t>计划完成时间：按照项目实施计划或相关规定完成该项目所需的时间。</w:t>
            </w:r>
          </w:p>
        </w:tc>
        <w:tc>
          <w:tcPr>
            <w:tcW w:w="1300" w:type="dxa"/>
            <w:shd w:val="clear" w:color="000000" w:fill="FFFFFF"/>
            <w:vAlign w:val="center"/>
          </w:tcPr>
          <w:p w14:paraId="14384F46">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10</w:t>
            </w:r>
          </w:p>
        </w:tc>
        <w:tc>
          <w:tcPr>
            <w:tcW w:w="1363" w:type="dxa"/>
            <w:shd w:val="clear" w:color="000000" w:fill="FFFFFF"/>
            <w:vAlign w:val="center"/>
          </w:tcPr>
          <w:p w14:paraId="55CF9DC8">
            <w:pPr>
              <w:keepNext w:val="0"/>
              <w:keepLines w:val="0"/>
              <w:widowControl/>
              <w:suppressLineNumbers w:val="0"/>
              <w:spacing w:before="0" w:beforeAutospacing="0" w:after="0" w:afterAutospacing="0" w:line="0" w:lineRule="atLeast"/>
              <w:ind w:left="0" w:right="0"/>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2AB93D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14:paraId="496ED66A">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767" w:type="dxa"/>
            <w:shd w:val="clear" w:color="auto" w:fill="FFFFFF"/>
            <w:vAlign w:val="center"/>
          </w:tcPr>
          <w:p w14:paraId="0501FE79">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产出成本</w:t>
            </w:r>
          </w:p>
        </w:tc>
        <w:tc>
          <w:tcPr>
            <w:tcW w:w="873" w:type="dxa"/>
            <w:shd w:val="clear" w:color="auto" w:fill="FFFFFF"/>
            <w:vAlign w:val="center"/>
          </w:tcPr>
          <w:p w14:paraId="1A42A0B5">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成本节约率</w:t>
            </w:r>
          </w:p>
        </w:tc>
        <w:tc>
          <w:tcPr>
            <w:tcW w:w="2353" w:type="dxa"/>
            <w:shd w:val="clear" w:color="000000" w:fill="FFFFFF"/>
            <w:vAlign w:val="center"/>
          </w:tcPr>
          <w:p w14:paraId="7D4B6464">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完成项目计划工作目标的实际节约成本与计划成本的比率，用以反映和考核项目的成本节约程度。</w:t>
            </w:r>
          </w:p>
        </w:tc>
        <w:tc>
          <w:tcPr>
            <w:tcW w:w="5188" w:type="dxa"/>
            <w:shd w:val="clear" w:color="000000" w:fill="FFFFFF"/>
            <w:vAlign w:val="center"/>
          </w:tcPr>
          <w:p w14:paraId="505D754A">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br w:type="textWrapping"/>
            </w:r>
            <w:r>
              <w:rPr>
                <w:rFonts w:hint="default"/>
                <w:color w:val="auto"/>
                <w:kern w:val="0"/>
                <w:sz w:val="22"/>
                <w:szCs w:val="22"/>
                <w:highlight w:val="none"/>
              </w:rPr>
              <w:t>成本节约率=[（计划成本-实际成本）/计划成本]×100%。</w:t>
            </w:r>
            <w:r>
              <w:rPr>
                <w:rFonts w:hint="default"/>
                <w:color w:val="auto"/>
                <w:kern w:val="0"/>
                <w:sz w:val="22"/>
                <w:szCs w:val="22"/>
                <w:highlight w:val="none"/>
              </w:rPr>
              <w:br w:type="textWrapping"/>
            </w:r>
            <w:r>
              <w:rPr>
                <w:rFonts w:hint="default"/>
                <w:color w:val="auto"/>
                <w:kern w:val="0"/>
                <w:sz w:val="22"/>
                <w:szCs w:val="22"/>
                <w:highlight w:val="none"/>
              </w:rPr>
              <w:t>实际成本：项目实施单位如期、保质、保量完成既定工作目标实际所耗费的支出。</w:t>
            </w:r>
            <w:r>
              <w:rPr>
                <w:rFonts w:hint="default"/>
                <w:color w:val="auto"/>
                <w:kern w:val="0"/>
                <w:sz w:val="22"/>
                <w:szCs w:val="22"/>
                <w:highlight w:val="none"/>
              </w:rPr>
              <w:br w:type="textWrapping"/>
            </w:r>
            <w:r>
              <w:rPr>
                <w:rFonts w:hint="default"/>
                <w:color w:val="auto"/>
                <w:kern w:val="0"/>
                <w:sz w:val="22"/>
                <w:szCs w:val="22"/>
                <w:highlight w:val="none"/>
              </w:rPr>
              <w:t>计划成本：项目实施单位为完成工作目标计划安排的支出，一般以项目预算为参考。</w:t>
            </w:r>
          </w:p>
        </w:tc>
        <w:tc>
          <w:tcPr>
            <w:tcW w:w="1300" w:type="dxa"/>
            <w:shd w:val="clear" w:color="000000" w:fill="FFFFFF"/>
            <w:vAlign w:val="center"/>
          </w:tcPr>
          <w:p w14:paraId="5CDB58A7">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10</w:t>
            </w:r>
          </w:p>
        </w:tc>
        <w:tc>
          <w:tcPr>
            <w:tcW w:w="1363" w:type="dxa"/>
            <w:shd w:val="clear" w:color="000000" w:fill="FFFFFF"/>
            <w:vAlign w:val="center"/>
          </w:tcPr>
          <w:p w14:paraId="3C67F68A">
            <w:pPr>
              <w:keepNext w:val="0"/>
              <w:keepLines w:val="0"/>
              <w:widowControl/>
              <w:suppressLineNumbers w:val="0"/>
              <w:spacing w:before="0" w:beforeAutospacing="0" w:after="0" w:afterAutospacing="0" w:line="0" w:lineRule="atLeast"/>
              <w:ind w:left="0" w:right="0"/>
              <w:jc w:val="center"/>
              <w:rPr>
                <w:rFonts w:hint="default" w:eastAsia="宋体"/>
                <w:b/>
                <w:bCs/>
                <w:color w:val="auto"/>
                <w:kern w:val="0"/>
                <w:sz w:val="22"/>
                <w:szCs w:val="22"/>
                <w:highlight w:val="none"/>
                <w:lang w:val="en-US" w:eastAsia="zh-CN"/>
              </w:rPr>
            </w:pPr>
            <w:r>
              <w:rPr>
                <w:rFonts w:hint="default"/>
                <w:b/>
                <w:bCs/>
                <w:color w:val="auto"/>
                <w:kern w:val="0"/>
                <w:sz w:val="22"/>
                <w:szCs w:val="22"/>
                <w:highlight w:val="none"/>
                <w:lang w:val="en-US" w:eastAsia="zh-CN"/>
              </w:rPr>
              <w:t>6.6</w:t>
            </w:r>
          </w:p>
        </w:tc>
      </w:tr>
      <w:tr w14:paraId="59680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14:paraId="2CEB7820">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效益　</w:t>
            </w:r>
          </w:p>
        </w:tc>
        <w:tc>
          <w:tcPr>
            <w:tcW w:w="767" w:type="dxa"/>
            <w:vMerge w:val="restart"/>
            <w:shd w:val="clear" w:color="auto" w:fill="FFFFFF"/>
            <w:vAlign w:val="center"/>
          </w:tcPr>
          <w:p w14:paraId="6CC8C867">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项目效益　</w:t>
            </w:r>
          </w:p>
        </w:tc>
        <w:tc>
          <w:tcPr>
            <w:tcW w:w="873" w:type="dxa"/>
            <w:shd w:val="clear" w:color="auto" w:fill="FFFFFF"/>
            <w:vAlign w:val="center"/>
          </w:tcPr>
          <w:p w14:paraId="66785038">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实施效益</w:t>
            </w:r>
          </w:p>
        </w:tc>
        <w:tc>
          <w:tcPr>
            <w:tcW w:w="2353" w:type="dxa"/>
            <w:shd w:val="clear" w:color="auto" w:fill="FFFFFF"/>
            <w:vAlign w:val="center"/>
          </w:tcPr>
          <w:p w14:paraId="1CC50953">
            <w:pPr>
              <w:keepNext w:val="0"/>
              <w:keepLines w:val="0"/>
              <w:widowControl/>
              <w:suppressLineNumbers w:val="0"/>
              <w:spacing w:before="0" w:beforeAutospacing="0" w:after="0" w:afterAutospacing="0" w:line="0" w:lineRule="atLeast"/>
              <w:ind w:left="0" w:right="0"/>
              <w:jc w:val="left"/>
              <w:rPr>
                <w:rFonts w:hint="default"/>
                <w:color w:val="auto"/>
                <w:kern w:val="0"/>
                <w:sz w:val="22"/>
                <w:szCs w:val="22"/>
                <w:highlight w:val="none"/>
              </w:rPr>
            </w:pPr>
            <w:r>
              <w:rPr>
                <w:rFonts w:hint="default"/>
                <w:color w:val="auto"/>
                <w:kern w:val="0"/>
                <w:sz w:val="22"/>
                <w:szCs w:val="22"/>
                <w:highlight w:val="none"/>
              </w:rPr>
              <w:t>项目实施所产生的效益。</w:t>
            </w:r>
          </w:p>
        </w:tc>
        <w:tc>
          <w:tcPr>
            <w:tcW w:w="5188" w:type="dxa"/>
            <w:shd w:val="clear" w:color="auto" w:fill="FFFFFF"/>
            <w:vAlign w:val="center"/>
          </w:tcPr>
          <w:p w14:paraId="2C78DF06">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14:paraId="0341D1B4">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10</w:t>
            </w:r>
          </w:p>
        </w:tc>
        <w:tc>
          <w:tcPr>
            <w:tcW w:w="1363" w:type="dxa"/>
            <w:shd w:val="clear" w:color="auto" w:fill="FFFFFF"/>
            <w:vAlign w:val="center"/>
          </w:tcPr>
          <w:p w14:paraId="2F1A2AB2">
            <w:pPr>
              <w:keepNext w:val="0"/>
              <w:keepLines w:val="0"/>
              <w:widowControl/>
              <w:suppressLineNumbers w:val="0"/>
              <w:spacing w:before="0" w:beforeAutospacing="0" w:after="0" w:afterAutospacing="0" w:line="0" w:lineRule="atLeast"/>
              <w:ind w:left="0" w:right="0"/>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1374C0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14:paraId="63C7176C">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767" w:type="dxa"/>
            <w:vMerge w:val="continue"/>
            <w:shd w:val="clear" w:color="auto" w:fill="FFFFFF"/>
            <w:vAlign w:val="center"/>
          </w:tcPr>
          <w:p w14:paraId="29E5A3A8">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p>
        </w:tc>
        <w:tc>
          <w:tcPr>
            <w:tcW w:w="873" w:type="dxa"/>
            <w:shd w:val="clear" w:color="auto" w:fill="FFFFFF"/>
            <w:vAlign w:val="center"/>
          </w:tcPr>
          <w:p w14:paraId="5623D961">
            <w:pPr>
              <w:keepNext w:val="0"/>
              <w:keepLines w:val="0"/>
              <w:widowControl/>
              <w:suppressLineNumbers w:val="0"/>
              <w:spacing w:before="0" w:beforeAutospacing="0" w:after="0" w:afterAutospacing="0" w:line="0" w:lineRule="atLeast"/>
              <w:ind w:left="0" w:right="0"/>
              <w:jc w:val="center"/>
              <w:rPr>
                <w:rFonts w:hint="default"/>
                <w:color w:val="auto"/>
                <w:kern w:val="0"/>
                <w:sz w:val="22"/>
                <w:szCs w:val="22"/>
                <w:highlight w:val="none"/>
              </w:rPr>
            </w:pPr>
            <w:r>
              <w:rPr>
                <w:rFonts w:hint="default"/>
                <w:color w:val="auto"/>
                <w:kern w:val="0"/>
                <w:sz w:val="22"/>
                <w:szCs w:val="22"/>
                <w:highlight w:val="none"/>
              </w:rPr>
              <w:t>满意度</w:t>
            </w:r>
          </w:p>
        </w:tc>
        <w:tc>
          <w:tcPr>
            <w:tcW w:w="2353" w:type="dxa"/>
            <w:shd w:val="clear" w:color="000000" w:fill="FFFFFF"/>
            <w:vAlign w:val="center"/>
          </w:tcPr>
          <w:p w14:paraId="7688D666">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社会公众或服务对象对项目实施效果的满意程度。</w:t>
            </w:r>
          </w:p>
        </w:tc>
        <w:tc>
          <w:tcPr>
            <w:tcW w:w="5188" w:type="dxa"/>
            <w:shd w:val="clear" w:color="000000" w:fill="FFFFFF"/>
            <w:vAlign w:val="center"/>
          </w:tcPr>
          <w:p w14:paraId="7C56A712">
            <w:pPr>
              <w:keepNext w:val="0"/>
              <w:keepLines w:val="0"/>
              <w:widowControl/>
              <w:suppressLineNumbers w:val="0"/>
              <w:spacing w:before="0" w:beforeAutospacing="0" w:after="0" w:afterAutospacing="0" w:line="0" w:lineRule="atLeast"/>
              <w:ind w:left="0" w:right="0"/>
              <w:rPr>
                <w:rFonts w:hint="default"/>
                <w:color w:val="auto"/>
                <w:kern w:val="0"/>
                <w:sz w:val="22"/>
                <w:szCs w:val="22"/>
                <w:highlight w:val="none"/>
              </w:rPr>
            </w:pPr>
            <w:r>
              <w:rPr>
                <w:rFonts w:hint="default"/>
                <w:color w:val="auto"/>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14:paraId="4CF5BAC3">
            <w:pPr>
              <w:keepNext w:val="0"/>
              <w:keepLines w:val="0"/>
              <w:widowControl/>
              <w:suppressLineNumbers w:val="0"/>
              <w:spacing w:before="0" w:beforeAutospacing="0" w:after="0" w:afterAutospacing="0" w:line="0" w:lineRule="atLeast"/>
              <w:ind w:left="0" w:right="0"/>
              <w:jc w:val="center"/>
              <w:rPr>
                <w:rFonts w:hint="default"/>
                <w:b/>
                <w:bCs/>
                <w:color w:val="auto"/>
                <w:kern w:val="0"/>
                <w:sz w:val="22"/>
                <w:szCs w:val="22"/>
                <w:highlight w:val="none"/>
              </w:rPr>
            </w:pPr>
            <w:r>
              <w:rPr>
                <w:rFonts w:hint="default"/>
                <w:b/>
                <w:bCs/>
                <w:color w:val="auto"/>
                <w:kern w:val="0"/>
                <w:sz w:val="22"/>
                <w:szCs w:val="22"/>
                <w:highlight w:val="none"/>
              </w:rPr>
              <w:t>10</w:t>
            </w:r>
          </w:p>
        </w:tc>
        <w:tc>
          <w:tcPr>
            <w:tcW w:w="1363" w:type="dxa"/>
            <w:shd w:val="clear" w:color="000000" w:fill="FFFFFF"/>
            <w:vAlign w:val="center"/>
          </w:tcPr>
          <w:p w14:paraId="05A82166">
            <w:pPr>
              <w:keepNext w:val="0"/>
              <w:keepLines w:val="0"/>
              <w:widowControl/>
              <w:suppressLineNumbers w:val="0"/>
              <w:spacing w:before="0" w:beforeAutospacing="0" w:after="0" w:afterAutospacing="0" w:line="0" w:lineRule="atLeast"/>
              <w:ind w:left="0" w:right="0"/>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9.47</w:t>
            </w:r>
          </w:p>
        </w:tc>
      </w:tr>
    </w:tbl>
    <w:p w14:paraId="1901D048">
      <w:pPr>
        <w:pStyle w:val="2"/>
        <w:rPr>
          <w:rFonts w:ascii="Times New Roman" w:hAnsi="Times New Roman"/>
          <w:color w:val="auto"/>
          <w:highlight w:val="none"/>
        </w:rPr>
      </w:pPr>
    </w:p>
    <w:p w14:paraId="5252667C">
      <w:pPr>
        <w:rPr>
          <w:color w:val="auto"/>
          <w:highlight w:val="none"/>
        </w:rPr>
      </w:pPr>
    </w:p>
    <w:p w14:paraId="1C7F4A17">
      <w:pPr>
        <w:spacing w:line="540" w:lineRule="exact"/>
        <w:ind w:firstLine="640"/>
        <w:rPr>
          <w:rStyle w:val="13"/>
          <w:rFonts w:eastAsia="黑体"/>
          <w:bCs w:val="0"/>
          <w:color w:val="auto"/>
          <w:spacing w:val="-4"/>
          <w:sz w:val="32"/>
          <w:szCs w:val="32"/>
          <w:highlight w:val="none"/>
        </w:rPr>
      </w:pPr>
    </w:p>
    <w:p w14:paraId="3D862675">
      <w:pPr>
        <w:spacing w:line="540" w:lineRule="exact"/>
        <w:ind w:firstLine="640"/>
        <w:rPr>
          <w:rStyle w:val="13"/>
          <w:rFonts w:eastAsia="黑体"/>
          <w:bCs w:val="0"/>
          <w:color w:val="auto"/>
          <w:spacing w:val="-4"/>
          <w:sz w:val="32"/>
          <w:szCs w:val="32"/>
          <w:highlight w:val="none"/>
        </w:rPr>
      </w:pPr>
    </w:p>
    <w:p w14:paraId="622C5A51">
      <w:pPr>
        <w:spacing w:line="540" w:lineRule="exact"/>
        <w:ind w:firstLine="640"/>
        <w:rPr>
          <w:rStyle w:val="13"/>
          <w:rFonts w:eastAsia="黑体"/>
          <w:bCs w:val="0"/>
          <w:color w:val="auto"/>
          <w:spacing w:val="-4"/>
          <w:sz w:val="32"/>
          <w:szCs w:val="32"/>
          <w:highlight w:val="none"/>
        </w:rPr>
      </w:pPr>
    </w:p>
    <w:p w14:paraId="290050C4">
      <w:pPr>
        <w:spacing w:line="540" w:lineRule="exact"/>
        <w:ind w:firstLine="640"/>
        <w:rPr>
          <w:rStyle w:val="13"/>
          <w:rFonts w:eastAsia="黑体"/>
          <w:bCs w:val="0"/>
          <w:color w:val="auto"/>
          <w:spacing w:val="-4"/>
          <w:sz w:val="32"/>
          <w:szCs w:val="32"/>
          <w:highlight w:val="none"/>
        </w:rPr>
      </w:pPr>
    </w:p>
    <w:p w14:paraId="2611D9FB">
      <w:pPr>
        <w:spacing w:line="540" w:lineRule="exact"/>
        <w:ind w:firstLine="640"/>
        <w:rPr>
          <w:rStyle w:val="13"/>
          <w:rFonts w:eastAsia="黑体"/>
          <w:bCs w:val="0"/>
          <w:color w:val="auto"/>
          <w:spacing w:val="-4"/>
          <w:sz w:val="32"/>
          <w:szCs w:val="32"/>
          <w:highlight w:val="none"/>
        </w:rPr>
      </w:pPr>
    </w:p>
    <w:p w14:paraId="25943AF9">
      <w:pPr>
        <w:spacing w:line="540" w:lineRule="exact"/>
        <w:ind w:firstLine="640"/>
        <w:rPr>
          <w:rStyle w:val="13"/>
          <w:rFonts w:eastAsia="黑体"/>
          <w:bCs w:val="0"/>
          <w:color w:val="auto"/>
          <w:spacing w:val="-4"/>
          <w:sz w:val="32"/>
          <w:szCs w:val="32"/>
          <w:highlight w:val="none"/>
        </w:rPr>
      </w:pPr>
    </w:p>
    <w:p w14:paraId="5DE9A507">
      <w:pPr>
        <w:spacing w:line="540" w:lineRule="exact"/>
        <w:rPr>
          <w:rStyle w:val="13"/>
          <w:rFonts w:eastAsia="仿宋"/>
          <w:b w:val="0"/>
          <w:color w:val="auto"/>
          <w:spacing w:val="-4"/>
          <w:sz w:val="32"/>
          <w:szCs w:val="32"/>
          <w:highlight w:val="none"/>
        </w:rPr>
      </w:pPr>
    </w:p>
    <w:p w14:paraId="25B71360">
      <w:pPr>
        <w:rPr>
          <w:color w:val="auto"/>
          <w:highlight w:val="none"/>
        </w:rPr>
      </w:pPr>
    </w:p>
    <w:sectPr>
      <w:pgSz w:w="16838" w:h="11906" w:orient="landscape"/>
      <w:pgMar w:top="1800" w:right="1440" w:bottom="1558"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336AC2-FF12-4F66-8A7E-2B28E440E9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AD2F6B34-67A0-4374-9ED3-3C324B9CDD5C}"/>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3" w:fontKey="{28C90F8D-AC29-4144-A34D-84D7AA705B32}"/>
  </w:font>
  <w:font w:name="方正小标宋_GBK">
    <w:panose1 w:val="02000000000000000000"/>
    <w:charset w:val="86"/>
    <w:family w:val="script"/>
    <w:pitch w:val="default"/>
    <w:sig w:usb0="A00002BF" w:usb1="38CF7CFA" w:usb2="00082016" w:usb3="00000000" w:csb0="00040001" w:csb1="00000000"/>
    <w:embedRegular r:id="rId4" w:fontKey="{6D79F8F6-05FA-4370-8F70-9AF52BAA784B}"/>
  </w:font>
  <w:font w:name="楷体_GB2312">
    <w:panose1 w:val="02010609030101010101"/>
    <w:charset w:val="86"/>
    <w:family w:val="auto"/>
    <w:pitch w:val="default"/>
    <w:sig w:usb0="00000001" w:usb1="080E0000" w:usb2="00000000" w:usb3="00000000" w:csb0="00040000" w:csb1="00000000"/>
    <w:embedRegular r:id="rId5" w:fontKey="{EC15550C-D412-48F6-BC5C-09AAE65470C2}"/>
  </w:font>
  <w:font w:name="方正仿宋_GBK">
    <w:panose1 w:val="02000000000000000000"/>
    <w:charset w:val="86"/>
    <w:family w:val="auto"/>
    <w:pitch w:val="default"/>
    <w:sig w:usb0="A00002BF" w:usb1="38CF7CFA" w:usb2="00082016" w:usb3="00000000" w:csb0="00040001" w:csb1="00000000"/>
    <w:embedRegular r:id="rId6" w:fontKey="{840B6CE4-E1F3-4502-81C6-33BB648D8E4B}"/>
  </w:font>
  <w:font w:name="楷体">
    <w:panose1 w:val="02010609060101010101"/>
    <w:charset w:val="86"/>
    <w:family w:val="modern"/>
    <w:pitch w:val="default"/>
    <w:sig w:usb0="800002BF" w:usb1="38CF7CFA" w:usb2="00000016" w:usb3="00000000" w:csb0="00040001" w:csb1="00000000"/>
    <w:embedRegular r:id="rId7" w:fontKey="{01AC77C5-16C9-4E42-B80D-B537BD4CBAE8}"/>
  </w:font>
  <w:font w:name="仿宋">
    <w:panose1 w:val="02010609060101010101"/>
    <w:charset w:val="86"/>
    <w:family w:val="modern"/>
    <w:pitch w:val="default"/>
    <w:sig w:usb0="800002BF" w:usb1="38CF7CFA" w:usb2="00000016" w:usb3="00000000" w:csb0="00040001" w:csb1="00000000"/>
    <w:embedRegular r:id="rId8" w:fontKey="{69873502-35A4-4810-A250-79751D56CA2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9670630">
        <w:pPr>
          <w:pStyle w:val="7"/>
          <w:jc w:val="center"/>
        </w:pPr>
        <w:r>
          <w:fldChar w:fldCharType="begin"/>
        </w:r>
        <w:r>
          <w:instrText xml:space="preserve">PAGE   \* MERGEFORMAT</w:instrText>
        </w:r>
        <w:r>
          <w:fldChar w:fldCharType="separate"/>
        </w:r>
        <w:r>
          <w:rPr>
            <w:lang w:val="zh-CN"/>
          </w:rPr>
          <w:t>1</w:t>
        </w:r>
        <w:r>
          <w:fldChar w:fldCharType="end"/>
        </w:r>
      </w:p>
    </w:sdtContent>
  </w:sdt>
  <w:p w14:paraId="13EA8F57">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38F0C646"/>
    <w:multiLevelType w:val="singleLevel"/>
    <w:tmpl w:val="38F0C646"/>
    <w:lvl w:ilvl="0" w:tentative="0">
      <w:start w:val="1"/>
      <w:numFmt w:val="decimal"/>
      <w:suff w:val="nothing"/>
      <w:lvlText w:val="%1、"/>
      <w:lvlJc w:val="left"/>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FF6C4049"/>
    <w:rsid w:val="00095176"/>
    <w:rsid w:val="004712B7"/>
    <w:rsid w:val="00714727"/>
    <w:rsid w:val="00ED711C"/>
    <w:rsid w:val="00FC7F82"/>
    <w:rsid w:val="00FD3DF8"/>
    <w:rsid w:val="01DA2D9E"/>
    <w:rsid w:val="024A7E79"/>
    <w:rsid w:val="0A183A20"/>
    <w:rsid w:val="13B90F01"/>
    <w:rsid w:val="1AA70235"/>
    <w:rsid w:val="1C1D76A9"/>
    <w:rsid w:val="1C671E73"/>
    <w:rsid w:val="1EC02AAE"/>
    <w:rsid w:val="2F377504"/>
    <w:rsid w:val="37C86300"/>
    <w:rsid w:val="395F2B56"/>
    <w:rsid w:val="3B6B0B4E"/>
    <w:rsid w:val="3BECE841"/>
    <w:rsid w:val="3C9D519E"/>
    <w:rsid w:val="3FF7797D"/>
    <w:rsid w:val="40F015F2"/>
    <w:rsid w:val="48202152"/>
    <w:rsid w:val="48C15D76"/>
    <w:rsid w:val="4AD11400"/>
    <w:rsid w:val="4D130FE6"/>
    <w:rsid w:val="4E813561"/>
    <w:rsid w:val="5BFF6039"/>
    <w:rsid w:val="5D76A616"/>
    <w:rsid w:val="5D7F20B9"/>
    <w:rsid w:val="5DAC7D0E"/>
    <w:rsid w:val="5FFE8511"/>
    <w:rsid w:val="5FFEACE2"/>
    <w:rsid w:val="61B27EEA"/>
    <w:rsid w:val="643EE26D"/>
    <w:rsid w:val="64C71494"/>
    <w:rsid w:val="6DB62A2B"/>
    <w:rsid w:val="6F0B5516"/>
    <w:rsid w:val="6FAF6C78"/>
    <w:rsid w:val="7317C656"/>
    <w:rsid w:val="77FD8BE9"/>
    <w:rsid w:val="79A9BD3F"/>
    <w:rsid w:val="7A7720FD"/>
    <w:rsid w:val="7BFFFDD0"/>
    <w:rsid w:val="7D7A5F86"/>
    <w:rsid w:val="7D8050DF"/>
    <w:rsid w:val="7E941F8F"/>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FFFFA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640" w:firstLineChars="200"/>
      <w:jc w:val="both"/>
    </w:pPr>
    <w:rPr>
      <w:rFonts w:ascii="Times New Roman" w:hAnsi="Times New Roman" w:eastAsia="仿宋_GB2312" w:cs="Times New Roman"/>
      <w:color w:val="auto"/>
      <w:kern w:val="2"/>
      <w:sz w:val="32"/>
      <w:szCs w:val="24"/>
      <w:highlight w:val="none"/>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Title"/>
    <w:basedOn w:val="1"/>
    <w:next w:val="1"/>
    <w:link w:val="25"/>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19"/>
    <w:autoRedefine/>
    <w:qFormat/>
    <w:uiPriority w:val="99"/>
    <w:pPr>
      <w:jc w:val="left"/>
    </w:pPr>
  </w:style>
  <w:style w:type="paragraph" w:styleId="5">
    <w:name w:val="Body Text"/>
    <w:basedOn w:val="1"/>
    <w:autoRedefine/>
    <w:qFormat/>
    <w:uiPriority w:val="0"/>
    <w:pPr>
      <w:spacing w:after="120"/>
    </w:pPr>
  </w:style>
  <w:style w:type="paragraph" w:styleId="6">
    <w:name w:val="Body Text Indent"/>
    <w:basedOn w:val="1"/>
    <w:autoRedefine/>
    <w:qFormat/>
    <w:uiPriority w:val="0"/>
    <w:pPr>
      <w:spacing w:after="120"/>
      <w:ind w:left="420" w:leftChars="200"/>
    </w:pPr>
    <w:rPr>
      <w:rFonts w:ascii="Calibri" w:hAnsi="Calibri"/>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18"/>
    <w:autoRedefine/>
    <w:qFormat/>
    <w:uiPriority w:val="0"/>
    <w:pPr>
      <w:tabs>
        <w:tab w:val="center" w:pos="4153"/>
        <w:tab w:val="right" w:pos="8306"/>
      </w:tabs>
      <w:snapToGrid w:val="0"/>
      <w:jc w:val="center"/>
    </w:pPr>
    <w:rPr>
      <w:sz w:val="18"/>
      <w:szCs w:val="18"/>
    </w:rPr>
  </w:style>
  <w:style w:type="paragraph" w:styleId="9">
    <w:name w:val="Body Text First Indent"/>
    <w:basedOn w:val="5"/>
    <w:autoRedefine/>
    <w:qFormat/>
    <w:uiPriority w:val="0"/>
    <w:pPr>
      <w:spacing w:after="0"/>
      <w:ind w:firstLine="200" w:firstLineChars="200"/>
    </w:pPr>
  </w:style>
  <w:style w:type="paragraph" w:styleId="10">
    <w:name w:val="Body Text First Indent 2"/>
    <w:basedOn w:val="6"/>
    <w:autoRedefine/>
    <w:qFormat/>
    <w:uiPriority w:val="0"/>
    <w:pPr>
      <w:ind w:firstLine="420" w:firstLineChars="200"/>
    </w:pPr>
  </w:style>
  <w:style w:type="character" w:styleId="13">
    <w:name w:val="Strong"/>
    <w:basedOn w:val="12"/>
    <w:autoRedefine/>
    <w:qFormat/>
    <w:uiPriority w:val="0"/>
    <w:rPr>
      <w:b/>
      <w:bCs/>
    </w:rPr>
  </w:style>
  <w:style w:type="character" w:styleId="14">
    <w:name w:val="annotation reference"/>
    <w:basedOn w:val="12"/>
    <w:autoRedefine/>
    <w:qFormat/>
    <w:uiPriority w:val="99"/>
    <w:rPr>
      <w:sz w:val="21"/>
      <w:szCs w:val="21"/>
    </w:rPr>
  </w:style>
  <w:style w:type="character" w:customStyle="1" w:styleId="15">
    <w:name w:val="fontstyle01"/>
    <w:autoRedefine/>
    <w:qFormat/>
    <w:uiPriority w:val="0"/>
    <w:rPr>
      <w:rFonts w:ascii="仿宋_GB2312" w:hAnsi="仿宋_GB2312" w:eastAsia="仿宋_GB2312" w:cs="仿宋_GB2312"/>
      <w:color w:val="000000"/>
      <w:sz w:val="32"/>
      <w:szCs w:val="32"/>
    </w:rPr>
  </w:style>
  <w:style w:type="paragraph" w:customStyle="1" w:styleId="16">
    <w:name w:val="闻政-正文段落文字"/>
    <w:basedOn w:val="1"/>
    <w:autoRedefine/>
    <w:qFormat/>
    <w:uiPriority w:val="3"/>
    <w:pPr>
      <w:spacing w:line="500" w:lineRule="exact"/>
      <w:ind w:firstLine="200"/>
    </w:pPr>
    <w:rPr>
      <w:kern w:val="0"/>
      <w:szCs w:val="28"/>
    </w:rPr>
  </w:style>
  <w:style w:type="paragraph" w:customStyle="1" w:styleId="17">
    <w:name w:val="Revision"/>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18">
    <w:name w:val="页眉 字符"/>
    <w:basedOn w:val="12"/>
    <w:link w:val="8"/>
    <w:autoRedefine/>
    <w:qFormat/>
    <w:uiPriority w:val="0"/>
    <w:rPr>
      <w:rFonts w:ascii="Times New Roman" w:hAnsi="Times New Roman" w:eastAsia="宋体" w:cs="Times New Roman"/>
      <w:kern w:val="2"/>
      <w:sz w:val="18"/>
      <w:szCs w:val="18"/>
    </w:rPr>
  </w:style>
  <w:style w:type="character" w:customStyle="1" w:styleId="19">
    <w:name w:val="批注文字 字符"/>
    <w:basedOn w:val="12"/>
    <w:link w:val="4"/>
    <w:qFormat/>
    <w:uiPriority w:val="99"/>
    <w:rPr>
      <w:rFonts w:ascii="Times New Roman" w:hAnsi="Times New Roman" w:eastAsia="宋体" w:cs="Times New Roman"/>
      <w:kern w:val="2"/>
      <w:sz w:val="21"/>
      <w:szCs w:val="24"/>
    </w:rPr>
  </w:style>
  <w:style w:type="paragraph" w:styleId="20">
    <w:name w:val="List Paragraph"/>
    <w:basedOn w:val="1"/>
    <w:autoRedefine/>
    <w:unhideWhenUsed/>
    <w:qFormat/>
    <w:uiPriority w:val="99"/>
    <w:pPr>
      <w:ind w:firstLine="420" w:firstLineChars="200"/>
    </w:pPr>
  </w:style>
  <w:style w:type="character" w:customStyle="1" w:styleId="21">
    <w:name w:val="font31"/>
    <w:basedOn w:val="12"/>
    <w:qFormat/>
    <w:uiPriority w:val="0"/>
    <w:rPr>
      <w:rFonts w:hint="eastAsia" w:ascii="宋体" w:hAnsi="宋体" w:eastAsia="宋体" w:cs="宋体"/>
      <w:color w:val="000000"/>
      <w:sz w:val="18"/>
      <w:szCs w:val="18"/>
      <w:u w:val="none"/>
    </w:rPr>
  </w:style>
  <w:style w:type="character" w:customStyle="1" w:styleId="22">
    <w:name w:val="font61"/>
    <w:basedOn w:val="12"/>
    <w:qFormat/>
    <w:uiPriority w:val="0"/>
    <w:rPr>
      <w:rFonts w:hint="eastAsia" w:ascii="宋体" w:hAnsi="宋体" w:eastAsia="宋体" w:cs="宋体"/>
      <w:color w:val="000000"/>
      <w:sz w:val="16"/>
      <w:szCs w:val="16"/>
      <w:u w:val="none"/>
    </w:rPr>
  </w:style>
  <w:style w:type="character" w:customStyle="1" w:styleId="23">
    <w:name w:val="font51"/>
    <w:basedOn w:val="12"/>
    <w:autoRedefine/>
    <w:qFormat/>
    <w:uiPriority w:val="0"/>
    <w:rPr>
      <w:rFonts w:hint="eastAsia" w:ascii="宋体" w:hAnsi="宋体" w:eastAsia="宋体" w:cs="宋体"/>
      <w:color w:val="000000"/>
      <w:sz w:val="18"/>
      <w:szCs w:val="18"/>
      <w:u w:val="none"/>
    </w:rPr>
  </w:style>
  <w:style w:type="character" w:customStyle="1" w:styleId="24">
    <w:name w:val="font41"/>
    <w:basedOn w:val="12"/>
    <w:autoRedefine/>
    <w:qFormat/>
    <w:uiPriority w:val="0"/>
    <w:rPr>
      <w:rFonts w:hint="eastAsia" w:ascii="宋体" w:hAnsi="宋体" w:eastAsia="宋体" w:cs="宋体"/>
      <w:color w:val="000000"/>
      <w:sz w:val="18"/>
      <w:szCs w:val="18"/>
      <w:u w:val="none"/>
    </w:rPr>
  </w:style>
  <w:style w:type="character" w:customStyle="1" w:styleId="25">
    <w:name w:val="标题 字符"/>
    <w:basedOn w:val="12"/>
    <w:link w:val="2"/>
    <w:qFormat/>
    <w:uiPriority w:val="0"/>
    <w:rPr>
      <w:rFonts w:ascii="Calibri Light" w:hAnsi="Calibri Light" w:eastAsia="宋体" w:cs="Times New Roman"/>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9466</Words>
  <Characters>10076</Characters>
  <Lines>63</Lines>
  <Paragraphs>17</Paragraphs>
  <TotalTime>7</TotalTime>
  <ScaleCrop>false</ScaleCrop>
  <LinksUpToDate>false</LinksUpToDate>
  <CharactersWithSpaces>10176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2023-03-08T21:13:00Z</dcterms:created>
  <dc:creator>审核人</dc:creator>
  <cp:lastModifiedBy>薛俊璇</cp:lastModifiedBy>
  <dcterms:modified xsi:type="dcterms:W3CDTF">2024-08-27T11:05:06Z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D6A3E54B218E40DBBC3E1ABFCB5229D8_13</vt:lpwstr>
  </property>
</Properties>
</file>