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E0EEF">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14:paraId="1A5A5726">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14:paraId="50A12028">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_GBK" w:cs="Times New Roman"/>
          <w:color w:val="auto"/>
          <w:sz w:val="44"/>
          <w:szCs w:val="44"/>
          <w:highlight w:val="none"/>
          <w:lang w:val="en-US" w:eastAsia="zh-CN"/>
        </w:rPr>
        <w:t>新疆维吾尔自治区第二济困医院(新疆维吾尔自治区第五人民医院)</w:t>
      </w:r>
    </w:p>
    <w:p w14:paraId="296D157B">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2023年度</w:t>
      </w:r>
      <w:r>
        <w:rPr>
          <w:rFonts w:hint="default" w:ascii="Times New Roman" w:hAnsi="Times New Roman" w:eastAsia="方正小标宋_GBK" w:cs="Times New Roman"/>
          <w:color w:val="auto"/>
          <w:sz w:val="44"/>
          <w:szCs w:val="44"/>
          <w:highlight w:val="none"/>
        </w:rPr>
        <w:t>部门决算</w:t>
      </w:r>
    </w:p>
    <w:p w14:paraId="3D34F907">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14:paraId="1B1B716C">
      <w:pP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14:paraId="6FD49C0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14:paraId="1A26C70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14:paraId="6CFB866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14:paraId="10C10D8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14:paraId="766CA3A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14:paraId="3D1EA22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14:paraId="0D0BA41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14:paraId="409A77C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14:paraId="5A49368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14:paraId="3711BDC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14:paraId="4E521A3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14:paraId="08B76F7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6F7E236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14:paraId="5CE2E41B">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14:paraId="63C9D9C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14:paraId="20972B06">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14:paraId="13904B5C">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14:paraId="569D12FE">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14:paraId="70D7CE4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14:paraId="6FFC85D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14:paraId="5890EC0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14:paraId="64536E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14:paraId="4D24DCC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14:paraId="639BE27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14:paraId="1B4400F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14:paraId="539554C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14:paraId="39293E3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14:paraId="069A074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14:paraId="39E4CC9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14:paraId="76B4ACD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14:paraId="4E069B5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14:paraId="60BE069B">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14:paraId="266298E1">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14:paraId="4223C7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14:paraId="54398FE6">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14:paraId="65FB33DF">
      <w:pPr>
        <w:keepNext w:val="0"/>
        <w:keepLines w:val="0"/>
        <w:pageBreakBefore w:val="0"/>
        <w:widowControl w:val="0"/>
        <w:kinsoku/>
        <w:wordWrap/>
        <w:overflowPunct/>
        <w:topLinePunct/>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4" w:name="_Toc31238"/>
      <w:bookmarkStart w:id="5" w:name="_Toc2151"/>
      <w:r>
        <w:rPr>
          <w:rFonts w:hint="default" w:ascii="Times New Roman" w:hAnsi="Times New Roman" w:eastAsia="仿宋_GB2312" w:cs="Times New Roman"/>
          <w:snapToGrid/>
          <w:spacing w:val="0"/>
          <w:sz w:val="32"/>
          <w:szCs w:val="32"/>
        </w:rPr>
        <w:t>新疆维吾尔自治区第二济困医院(新疆维吾尔自治区第五人民医院)始建于1958年，前身为新疆农业机械厂医院，2003年8月经自治区党委批准转制为自治区第二济困医院</w:t>
      </w:r>
      <w:r>
        <w:rPr>
          <w:rFonts w:hint="default" w:ascii="Times New Roman" w:hAnsi="Times New Roman" w:eastAsia="仿宋_GB2312" w:cs="Times New Roman"/>
          <w:snapToGrid/>
          <w:spacing w:val="0"/>
          <w:sz w:val="32"/>
          <w:szCs w:val="32"/>
          <w:lang w:eastAsia="zh-CN"/>
        </w:rPr>
        <w:t>，</w:t>
      </w:r>
      <w:r>
        <w:rPr>
          <w:rFonts w:hint="default" w:ascii="Times New Roman" w:hAnsi="Times New Roman" w:eastAsia="仿宋_GB2312" w:cs="Times New Roman"/>
          <w:snapToGrid/>
          <w:spacing w:val="0"/>
          <w:sz w:val="32"/>
          <w:szCs w:val="32"/>
        </w:rPr>
        <w:t>2017年7月经自治区党委编办批复增挂新疆维吾尔自治区第五人民医院，</w:t>
      </w:r>
      <w:r>
        <w:rPr>
          <w:rFonts w:hint="default" w:ascii="Times New Roman" w:hAnsi="Times New Roman" w:eastAsia="仿宋_GB2312" w:cs="Times New Roman"/>
          <w:snapToGrid/>
          <w:spacing w:val="0"/>
          <w:sz w:val="32"/>
          <w:szCs w:val="32"/>
          <w:lang w:val="en-US" w:eastAsia="zh-CN"/>
        </w:rPr>
        <w:t>2022年7月经自治区卫生健康委批复为三级中西医结合医院</w:t>
      </w:r>
      <w:r>
        <w:rPr>
          <w:rFonts w:hint="default" w:ascii="Times New Roman" w:hAnsi="Times New Roman" w:eastAsia="仿宋_GB2312" w:cs="Times New Roman"/>
          <w:snapToGrid/>
          <w:spacing w:val="0"/>
          <w:sz w:val="32"/>
          <w:szCs w:val="32"/>
        </w:rPr>
        <w:t>。医院建有门诊、医技、住院楼等业务用房，</w:t>
      </w:r>
      <w:r>
        <w:rPr>
          <w:rFonts w:hint="default" w:ascii="Times New Roman" w:hAnsi="Times New Roman" w:eastAsia="仿宋_GB2312" w:cs="Times New Roman"/>
          <w:snapToGrid/>
          <w:spacing w:val="0"/>
          <w:sz w:val="32"/>
          <w:szCs w:val="32"/>
          <w:lang w:val="en-US" w:eastAsia="zh-CN"/>
        </w:rPr>
        <w:t>编制</w:t>
      </w:r>
      <w:r>
        <w:rPr>
          <w:rFonts w:hint="default" w:ascii="Times New Roman" w:hAnsi="Times New Roman" w:eastAsia="仿宋_GB2312" w:cs="Times New Roman"/>
          <w:snapToGrid/>
          <w:spacing w:val="0"/>
          <w:sz w:val="32"/>
          <w:szCs w:val="32"/>
        </w:rPr>
        <w:t>床位</w:t>
      </w:r>
      <w:r>
        <w:rPr>
          <w:rFonts w:hint="default" w:ascii="Times New Roman" w:hAnsi="Times New Roman" w:eastAsia="仿宋_GB2312" w:cs="Times New Roman"/>
          <w:snapToGrid/>
          <w:spacing w:val="0"/>
          <w:sz w:val="32"/>
          <w:szCs w:val="32"/>
          <w:lang w:val="en-US" w:eastAsia="zh-CN"/>
        </w:rPr>
        <w:t>400</w:t>
      </w:r>
      <w:r>
        <w:rPr>
          <w:rFonts w:hint="default" w:ascii="Times New Roman" w:hAnsi="Times New Roman" w:eastAsia="仿宋_GB2312" w:cs="Times New Roman"/>
          <w:snapToGrid/>
          <w:spacing w:val="0"/>
          <w:sz w:val="32"/>
          <w:szCs w:val="32"/>
        </w:rPr>
        <w:t>张，</w:t>
      </w:r>
      <w:r>
        <w:rPr>
          <w:rFonts w:hint="default" w:ascii="Times New Roman" w:hAnsi="Times New Roman" w:eastAsia="仿宋_GB2312" w:cs="Times New Roman"/>
          <w:snapToGrid/>
          <w:spacing w:val="0"/>
          <w:sz w:val="32"/>
          <w:szCs w:val="32"/>
          <w:lang w:val="en-US" w:eastAsia="zh-CN"/>
        </w:rPr>
        <w:t>规范设置临床医技及行政职能科室，</w:t>
      </w:r>
      <w:r>
        <w:rPr>
          <w:rFonts w:hint="default" w:ascii="Times New Roman" w:hAnsi="Times New Roman" w:eastAsia="仿宋_GB2312" w:cs="Times New Roman"/>
          <w:snapToGrid/>
          <w:spacing w:val="0"/>
          <w:sz w:val="32"/>
          <w:szCs w:val="32"/>
        </w:rPr>
        <w:t>配备大中型医疗设备100余台</w:t>
      </w:r>
      <w:r>
        <w:rPr>
          <w:rFonts w:hint="default" w:ascii="Times New Roman" w:hAnsi="Times New Roman" w:eastAsia="仿宋_GB2312" w:cs="Times New Roman"/>
          <w:snapToGrid/>
          <w:spacing w:val="0"/>
          <w:sz w:val="32"/>
          <w:szCs w:val="32"/>
          <w:lang w:eastAsia="zh-CN"/>
        </w:rPr>
        <w:t>，</w:t>
      </w:r>
      <w:r>
        <w:rPr>
          <w:rFonts w:hint="default" w:ascii="Times New Roman" w:hAnsi="Times New Roman" w:eastAsia="仿宋_GB2312" w:cs="Times New Roman"/>
          <w:snapToGrid/>
          <w:spacing w:val="0"/>
          <w:sz w:val="32"/>
          <w:szCs w:val="32"/>
          <w:lang w:val="en-US" w:eastAsia="zh-CN"/>
        </w:rPr>
        <w:t>能够</w:t>
      </w:r>
      <w:r>
        <w:rPr>
          <w:rFonts w:hint="default" w:ascii="Times New Roman" w:hAnsi="Times New Roman" w:eastAsia="仿宋_GB2312" w:cs="Times New Roman"/>
          <w:snapToGrid/>
          <w:spacing w:val="0"/>
          <w:sz w:val="32"/>
          <w:szCs w:val="32"/>
        </w:rPr>
        <w:t>在</w:t>
      </w:r>
      <w:r>
        <w:rPr>
          <w:rFonts w:hint="default" w:ascii="Times New Roman" w:hAnsi="Times New Roman" w:eastAsia="仿宋_GB2312" w:cs="Times New Roman"/>
          <w:snapToGrid/>
          <w:spacing w:val="0"/>
          <w:sz w:val="32"/>
          <w:szCs w:val="32"/>
          <w:lang w:val="en-US" w:eastAsia="zh-CN"/>
        </w:rPr>
        <w:t>西</w:t>
      </w:r>
      <w:r>
        <w:rPr>
          <w:rFonts w:hint="default" w:ascii="Times New Roman" w:hAnsi="Times New Roman" w:eastAsia="仿宋_GB2312" w:cs="Times New Roman"/>
          <w:snapToGrid/>
          <w:spacing w:val="0"/>
          <w:sz w:val="32"/>
          <w:szCs w:val="32"/>
        </w:rPr>
        <w:t>医诊疗</w:t>
      </w:r>
      <w:r>
        <w:rPr>
          <w:rFonts w:hint="default" w:ascii="Times New Roman" w:hAnsi="Times New Roman" w:eastAsia="仿宋_GB2312" w:cs="Times New Roman"/>
          <w:snapToGrid/>
          <w:spacing w:val="0"/>
          <w:sz w:val="32"/>
          <w:szCs w:val="32"/>
          <w:lang w:val="en-US" w:eastAsia="zh-CN"/>
        </w:rPr>
        <w:t>各类疾病的</w:t>
      </w:r>
      <w:r>
        <w:rPr>
          <w:rFonts w:hint="default" w:ascii="Times New Roman" w:hAnsi="Times New Roman" w:eastAsia="仿宋_GB2312" w:cs="Times New Roman"/>
          <w:snapToGrid/>
          <w:spacing w:val="0"/>
          <w:sz w:val="32"/>
          <w:szCs w:val="32"/>
        </w:rPr>
        <w:t>基础上实施</w:t>
      </w:r>
      <w:r>
        <w:rPr>
          <w:rFonts w:hint="default" w:ascii="Times New Roman" w:hAnsi="Times New Roman" w:eastAsia="仿宋_GB2312" w:cs="Times New Roman"/>
          <w:snapToGrid/>
          <w:spacing w:val="0"/>
          <w:sz w:val="32"/>
          <w:szCs w:val="32"/>
          <w:lang w:val="en-US" w:eastAsia="zh-CN"/>
        </w:rPr>
        <w:t>各类</w:t>
      </w:r>
      <w:r>
        <w:rPr>
          <w:rFonts w:hint="default" w:ascii="Times New Roman" w:hAnsi="Times New Roman" w:eastAsia="仿宋_GB2312" w:cs="Times New Roman"/>
          <w:snapToGrid/>
          <w:spacing w:val="0"/>
          <w:sz w:val="32"/>
          <w:szCs w:val="32"/>
        </w:rPr>
        <w:t>中医辨证施治，形成中西医结合并重的</w:t>
      </w:r>
      <w:r>
        <w:rPr>
          <w:rFonts w:hint="default" w:ascii="Times New Roman" w:hAnsi="Times New Roman" w:eastAsia="仿宋_GB2312" w:cs="Times New Roman"/>
          <w:snapToGrid/>
          <w:spacing w:val="0"/>
          <w:sz w:val="32"/>
          <w:szCs w:val="32"/>
          <w:lang w:val="en-US" w:eastAsia="zh-CN"/>
        </w:rPr>
        <w:t>特色诊疗服务模式</w:t>
      </w:r>
      <w:r>
        <w:rPr>
          <w:rFonts w:hint="default" w:ascii="Times New Roman" w:hAnsi="Times New Roman" w:eastAsia="仿宋_GB2312" w:cs="Times New Roman"/>
          <w:snapToGrid/>
          <w:spacing w:val="0"/>
          <w:sz w:val="32"/>
          <w:szCs w:val="32"/>
          <w:lang w:eastAsia="zh-CN"/>
        </w:rPr>
        <w:t>，</w:t>
      </w:r>
      <w:r>
        <w:rPr>
          <w:rFonts w:hint="default" w:ascii="Times New Roman" w:hAnsi="Times New Roman" w:eastAsia="仿宋_GB2312" w:cs="Times New Roman"/>
          <w:snapToGrid/>
          <w:spacing w:val="0"/>
          <w:sz w:val="32"/>
          <w:szCs w:val="32"/>
        </w:rPr>
        <w:t>是一所集医疗、急救、康复、教学、科研、预防保健为一体的</w:t>
      </w:r>
      <w:r>
        <w:rPr>
          <w:rFonts w:hint="default" w:ascii="Times New Roman" w:hAnsi="Times New Roman" w:eastAsia="仿宋_GB2312" w:cs="Times New Roman"/>
          <w:snapToGrid/>
          <w:spacing w:val="0"/>
          <w:sz w:val="32"/>
          <w:szCs w:val="32"/>
          <w:lang w:val="en-US" w:eastAsia="zh-CN"/>
        </w:rPr>
        <w:t>三级中西医结合</w:t>
      </w:r>
      <w:r>
        <w:rPr>
          <w:rFonts w:hint="default" w:ascii="Times New Roman" w:hAnsi="Times New Roman" w:eastAsia="仿宋_GB2312" w:cs="Times New Roman"/>
          <w:snapToGrid/>
          <w:spacing w:val="0"/>
          <w:sz w:val="32"/>
          <w:szCs w:val="32"/>
        </w:rPr>
        <w:t>医院。</w:t>
      </w:r>
      <w:r>
        <w:rPr>
          <w:rFonts w:hint="default" w:ascii="Times New Roman" w:hAnsi="Times New Roman" w:eastAsia="仿宋_GB2312" w:cs="Times New Roman"/>
          <w:snapToGrid/>
          <w:spacing w:val="0"/>
          <w:sz w:val="32"/>
          <w:szCs w:val="32"/>
        </w:rPr>
        <w:br w:type="textWrapping"/>
      </w:r>
      <w:r>
        <w:rPr>
          <w:rFonts w:hint="default" w:ascii="Times New Roman" w:hAnsi="Times New Roman" w:eastAsia="仿宋_GB2312" w:cs="Times New Roman"/>
          <w:snapToGrid/>
          <w:spacing w:val="0"/>
          <w:sz w:val="32"/>
          <w:szCs w:val="32"/>
          <w:lang w:val="en-US" w:eastAsia="zh-CN"/>
        </w:rPr>
        <w:t xml:space="preserve">    </w:t>
      </w: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14:paraId="670303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新疆维吾尔自治区第二济困医院（新疆维吾尔自治区第五人民医院）</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240</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153</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87</w:t>
      </w:r>
      <w:r>
        <w:rPr>
          <w:rFonts w:hint="default" w:ascii="Times New Roman" w:hAnsi="Times New Roman" w:eastAsia="仿宋_GB2312" w:cs="Times New Roman"/>
          <w:color w:val="auto"/>
          <w:sz w:val="32"/>
          <w:szCs w:val="32"/>
          <w:highlight w:val="none"/>
        </w:rPr>
        <w:t>人。</w:t>
      </w:r>
    </w:p>
    <w:p w14:paraId="0D57CB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单位无下属预算单位，下设</w:t>
      </w:r>
      <w:r>
        <w:rPr>
          <w:rFonts w:hint="default" w:ascii="Times New Roman" w:hAnsi="Times New Roman" w:eastAsia="仿宋_GB2312" w:cs="Times New Roman"/>
          <w:color w:val="auto"/>
          <w:sz w:val="32"/>
          <w:szCs w:val="32"/>
          <w:highlight w:val="none"/>
          <w:lang w:val="en-US" w:eastAsia="zh-CN"/>
        </w:rPr>
        <w:t>48</w:t>
      </w:r>
      <w:r>
        <w:rPr>
          <w:rFonts w:hint="default" w:ascii="Times New Roman" w:hAnsi="Times New Roman" w:eastAsia="仿宋_GB2312" w:cs="Times New Roman"/>
          <w:bCs/>
          <w:color w:val="auto"/>
          <w:kern w:val="0"/>
          <w:sz w:val="32"/>
          <w:szCs w:val="32"/>
          <w:highlight w:val="none"/>
        </w:rPr>
        <w:t>个</w:t>
      </w:r>
      <w:r>
        <w:rPr>
          <w:rFonts w:hint="default" w:ascii="Times New Roman" w:hAnsi="Times New Roman" w:eastAsia="仿宋_GB2312" w:cs="Times New Roman"/>
          <w:bCs/>
          <w:color w:val="auto"/>
          <w:kern w:val="0"/>
          <w:sz w:val="32"/>
          <w:szCs w:val="32"/>
          <w:highlight w:val="none"/>
          <w:lang w:eastAsia="zh-CN"/>
        </w:rPr>
        <w:t>科室</w:t>
      </w:r>
      <w:r>
        <w:rPr>
          <w:rFonts w:hint="default" w:ascii="Times New Roman" w:hAnsi="Times New Roman" w:eastAsia="仿宋_GB2312" w:cs="Times New Roman"/>
          <w:bCs/>
          <w:color w:val="auto"/>
          <w:kern w:val="0"/>
          <w:sz w:val="32"/>
          <w:szCs w:val="32"/>
          <w:highlight w:val="none"/>
        </w:rPr>
        <w:t>，分别是：呼吸（肺病）科、心血管病科、消化</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rPr>
        <w:t>脾胃病）科（内窥镜中心）、内分泌•肾病科、老年医学科、眼耳鼻喉科、皮肤科、骨科（骨伤科）</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rPr>
        <w:t>普外•泌尿•肛肠科、神经（脑病）科、妇产科、儿科、康复医学科、治未病中心、急诊科（发热门诊）、手术麻醉科、重症医学科、体检科、门诊部、口腔科、针灸推拿科（疼痛科）、感染科、检验科（病理科、输血科）、超声医学科（心功能科）、医学影像科、药剂科（营养科）、消毒供应室、党委办公室、行政办公室、组织人事科、纪检监察室、医务部（含病案室）、质量管理科、科教科、护理部、运营管理办公室、财务科（含审计</w:t>
      </w:r>
      <w:r>
        <w:rPr>
          <w:rFonts w:hint="default" w:ascii="Times New Roman" w:hAnsi="Times New Roman" w:eastAsia="仿宋_GB2312" w:cs="Times New Roman"/>
          <w:bCs/>
          <w:color w:val="auto"/>
          <w:kern w:val="0"/>
          <w:sz w:val="32"/>
          <w:szCs w:val="32"/>
          <w:highlight w:val="none"/>
          <w:lang w:eastAsia="zh-CN"/>
        </w:rPr>
        <w:t>）</w:t>
      </w:r>
      <w:r>
        <w:rPr>
          <w:rFonts w:hint="default" w:ascii="Times New Roman" w:hAnsi="Times New Roman" w:eastAsia="仿宋_GB2312" w:cs="Times New Roman"/>
          <w:bCs/>
          <w:color w:val="auto"/>
          <w:kern w:val="0"/>
          <w:sz w:val="32"/>
          <w:szCs w:val="32"/>
          <w:highlight w:val="none"/>
        </w:rPr>
        <w:t>、感染管理科、公共卫生管理科、医疗保险办公室、信息科、医学装备科、招标采购（项目管理）办公室、工会（退管办）、团委、总务保</w:t>
      </w:r>
      <w:bookmarkStart w:id="48" w:name="_GoBack"/>
      <w:bookmarkEnd w:id="48"/>
      <w:r>
        <w:rPr>
          <w:rFonts w:hint="default" w:ascii="Times New Roman" w:hAnsi="Times New Roman" w:eastAsia="仿宋_GB2312" w:cs="Times New Roman"/>
          <w:bCs/>
          <w:color w:val="auto"/>
          <w:kern w:val="0"/>
          <w:sz w:val="32"/>
          <w:szCs w:val="32"/>
          <w:highlight w:val="none"/>
        </w:rPr>
        <w:t>卫科、三工社区卫生服务中心、友谊路社区卫生服务中心。</w:t>
      </w:r>
    </w:p>
    <w:p w14:paraId="118C12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bCs/>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7F476D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3092"/>
      <w:bookmarkStart w:id="7" w:name="_Toc29374"/>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14:paraId="2917D0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14:paraId="7CE700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val="0"/>
          <w:bCs w:val="0"/>
          <w:color w:val="auto"/>
          <w:spacing w:val="0"/>
          <w:sz w:val="32"/>
          <w:szCs w:val="32"/>
          <w:highlight w:val="none"/>
          <w:lang w:eastAsia="zh-CN"/>
        </w:rPr>
      </w:pPr>
      <w:r>
        <w:rPr>
          <w:rFonts w:hint="default" w:ascii="Times New Roman" w:hAnsi="Times New Roman" w:eastAsia="仿宋_GB2312" w:cs="Times New Roman"/>
          <w:b w:val="0"/>
          <w:bCs w:val="0"/>
          <w:color w:val="auto"/>
          <w:spacing w:val="0"/>
          <w:sz w:val="32"/>
          <w:szCs w:val="32"/>
          <w:highlight w:val="none"/>
          <w:lang w:eastAsia="zh-CN"/>
        </w:rPr>
        <w:t>2023年度</w:t>
      </w:r>
      <w:r>
        <w:rPr>
          <w:rFonts w:hint="default" w:ascii="Times New Roman" w:hAnsi="Times New Roman" w:eastAsia="仿宋_GB2312" w:cs="Times New Roman"/>
          <w:b w:val="0"/>
          <w:bCs w:val="0"/>
          <w:color w:val="auto"/>
          <w:spacing w:val="0"/>
          <w:sz w:val="32"/>
          <w:szCs w:val="32"/>
          <w:highlight w:val="none"/>
          <w:lang w:val="en-US" w:eastAsia="zh-CN"/>
        </w:rPr>
        <w:t>收入总计19770.34</w:t>
      </w:r>
      <w:r>
        <w:rPr>
          <w:rFonts w:hint="default" w:ascii="Times New Roman" w:hAnsi="Times New Roman" w:eastAsia="仿宋_GB2312" w:cs="Times New Roman"/>
          <w:b w:val="0"/>
          <w:bCs w:val="0"/>
          <w:color w:val="auto"/>
          <w:spacing w:val="0"/>
          <w:sz w:val="32"/>
          <w:szCs w:val="32"/>
          <w:highlight w:val="none"/>
          <w:lang w:eastAsia="zh-CN"/>
        </w:rPr>
        <w:t>万元，</w:t>
      </w:r>
      <w:r>
        <w:rPr>
          <w:rFonts w:hint="default" w:ascii="Times New Roman" w:hAnsi="Times New Roman" w:eastAsia="仿宋_GB2312" w:cs="Times New Roman"/>
          <w:b w:val="0"/>
          <w:bCs w:val="0"/>
          <w:color w:val="auto"/>
          <w:spacing w:val="0"/>
          <w:sz w:val="32"/>
          <w:szCs w:val="32"/>
          <w:highlight w:val="none"/>
          <w:lang w:val="en-US" w:eastAsia="zh-CN"/>
        </w:rPr>
        <w:t>其中：本年收入合计19770.34</w:t>
      </w:r>
      <w:r>
        <w:rPr>
          <w:rFonts w:hint="default" w:ascii="Times New Roman" w:hAnsi="Times New Roman" w:eastAsia="仿宋_GB2312" w:cs="Times New Roman"/>
          <w:b w:val="0"/>
          <w:bCs w:val="0"/>
          <w:color w:val="auto"/>
          <w:spacing w:val="0"/>
          <w:sz w:val="32"/>
          <w:szCs w:val="32"/>
          <w:highlight w:val="none"/>
          <w:lang w:eastAsia="zh-CN"/>
        </w:rPr>
        <w:t>万元，使用非财政拨款结余</w:t>
      </w:r>
      <w:r>
        <w:rPr>
          <w:rFonts w:hint="default" w:ascii="Times New Roman" w:hAnsi="Times New Roman" w:eastAsia="仿宋_GB2312" w:cs="Times New Roman"/>
          <w:b w:val="0"/>
          <w:bCs w:val="0"/>
          <w:color w:val="auto"/>
          <w:spacing w:val="0"/>
          <w:sz w:val="32"/>
          <w:szCs w:val="32"/>
          <w:highlight w:val="none"/>
          <w:lang w:val="en-US" w:eastAsia="zh-CN"/>
        </w:rPr>
        <w:t>0.00</w:t>
      </w:r>
      <w:r>
        <w:rPr>
          <w:rFonts w:hint="default" w:ascii="Times New Roman" w:hAnsi="Times New Roman" w:eastAsia="仿宋_GB2312" w:cs="Times New Roman"/>
          <w:b w:val="0"/>
          <w:bCs w:val="0"/>
          <w:color w:val="auto"/>
          <w:spacing w:val="0"/>
          <w:sz w:val="32"/>
          <w:szCs w:val="32"/>
          <w:highlight w:val="none"/>
          <w:lang w:eastAsia="zh-CN"/>
        </w:rPr>
        <w:t>万元，年初结转和结余</w:t>
      </w:r>
      <w:r>
        <w:rPr>
          <w:rFonts w:hint="default" w:ascii="Times New Roman" w:hAnsi="Times New Roman" w:eastAsia="仿宋_GB2312" w:cs="Times New Roman"/>
          <w:b w:val="0"/>
          <w:bCs w:val="0"/>
          <w:color w:val="auto"/>
          <w:spacing w:val="0"/>
          <w:sz w:val="32"/>
          <w:szCs w:val="32"/>
          <w:highlight w:val="none"/>
          <w:lang w:val="en-US" w:eastAsia="zh-CN"/>
        </w:rPr>
        <w:t>0.00</w:t>
      </w:r>
      <w:r>
        <w:rPr>
          <w:rFonts w:hint="default" w:ascii="Times New Roman" w:hAnsi="Times New Roman" w:eastAsia="仿宋_GB2312" w:cs="Times New Roman"/>
          <w:b w:val="0"/>
          <w:bCs w:val="0"/>
          <w:color w:val="auto"/>
          <w:spacing w:val="0"/>
          <w:sz w:val="32"/>
          <w:szCs w:val="32"/>
          <w:highlight w:val="none"/>
          <w:lang w:eastAsia="zh-CN"/>
        </w:rPr>
        <w:t>万元。</w:t>
      </w:r>
    </w:p>
    <w:p w14:paraId="70DBCA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val="0"/>
          <w:bCs w:val="0"/>
          <w:color w:val="auto"/>
          <w:spacing w:val="0"/>
          <w:sz w:val="32"/>
          <w:szCs w:val="32"/>
          <w:highlight w:val="none"/>
          <w:lang w:eastAsia="zh-CN"/>
        </w:rPr>
      </w:pPr>
      <w:r>
        <w:rPr>
          <w:rFonts w:hint="default" w:ascii="Times New Roman" w:hAnsi="Times New Roman" w:eastAsia="仿宋_GB2312" w:cs="Times New Roman"/>
          <w:b w:val="0"/>
          <w:bCs w:val="0"/>
          <w:color w:val="auto"/>
          <w:spacing w:val="0"/>
          <w:sz w:val="32"/>
          <w:szCs w:val="32"/>
          <w:highlight w:val="none"/>
          <w:lang w:val="en-US" w:eastAsia="zh-CN"/>
        </w:rPr>
        <w:t>2023</w:t>
      </w:r>
      <w:r>
        <w:rPr>
          <w:rFonts w:hint="default" w:ascii="Times New Roman" w:hAnsi="Times New Roman" w:eastAsia="仿宋_GB2312" w:cs="Times New Roman"/>
          <w:b w:val="0"/>
          <w:bCs w:val="0"/>
          <w:color w:val="auto"/>
          <w:spacing w:val="0"/>
          <w:sz w:val="32"/>
          <w:szCs w:val="32"/>
          <w:highlight w:val="none"/>
          <w:lang w:eastAsia="zh-CN"/>
        </w:rPr>
        <w:t>年</w:t>
      </w:r>
      <w:r>
        <w:rPr>
          <w:rFonts w:hint="default" w:ascii="Times New Roman" w:hAnsi="Times New Roman" w:eastAsia="仿宋_GB2312" w:cs="Times New Roman"/>
          <w:b w:val="0"/>
          <w:bCs w:val="0"/>
          <w:color w:val="auto"/>
          <w:spacing w:val="0"/>
          <w:sz w:val="32"/>
          <w:szCs w:val="32"/>
          <w:highlight w:val="none"/>
          <w:lang w:val="en-US" w:eastAsia="zh-CN"/>
        </w:rPr>
        <w:t>度</w:t>
      </w:r>
      <w:r>
        <w:rPr>
          <w:rFonts w:hint="default" w:ascii="Times New Roman" w:hAnsi="Times New Roman" w:eastAsia="仿宋_GB2312" w:cs="Times New Roman"/>
          <w:b w:val="0"/>
          <w:bCs w:val="0"/>
          <w:color w:val="auto"/>
          <w:spacing w:val="0"/>
          <w:sz w:val="32"/>
          <w:szCs w:val="32"/>
          <w:highlight w:val="none"/>
          <w:lang w:eastAsia="zh-CN"/>
        </w:rPr>
        <w:t>支出</w:t>
      </w:r>
      <w:r>
        <w:rPr>
          <w:rFonts w:hint="default" w:ascii="Times New Roman" w:hAnsi="Times New Roman" w:eastAsia="仿宋_GB2312" w:cs="Times New Roman"/>
          <w:b w:val="0"/>
          <w:bCs w:val="0"/>
          <w:color w:val="auto"/>
          <w:spacing w:val="0"/>
          <w:sz w:val="32"/>
          <w:szCs w:val="32"/>
          <w:highlight w:val="none"/>
          <w:lang w:val="en-US" w:eastAsia="zh-CN"/>
        </w:rPr>
        <w:t>总计19770.34</w:t>
      </w:r>
      <w:r>
        <w:rPr>
          <w:rFonts w:hint="default" w:ascii="Times New Roman" w:hAnsi="Times New Roman" w:eastAsia="仿宋_GB2312" w:cs="Times New Roman"/>
          <w:b w:val="0"/>
          <w:bCs w:val="0"/>
          <w:color w:val="auto"/>
          <w:spacing w:val="0"/>
          <w:sz w:val="32"/>
          <w:szCs w:val="32"/>
          <w:highlight w:val="none"/>
          <w:lang w:eastAsia="zh-CN"/>
        </w:rPr>
        <w:t>万元，</w:t>
      </w:r>
      <w:r>
        <w:rPr>
          <w:rFonts w:hint="default" w:ascii="Times New Roman" w:hAnsi="Times New Roman" w:eastAsia="仿宋_GB2312" w:cs="Times New Roman"/>
          <w:b w:val="0"/>
          <w:bCs w:val="0"/>
          <w:color w:val="auto"/>
          <w:spacing w:val="0"/>
          <w:sz w:val="32"/>
          <w:szCs w:val="32"/>
          <w:highlight w:val="none"/>
          <w:lang w:val="en-US" w:eastAsia="zh-CN"/>
        </w:rPr>
        <w:t>其中：本年支出合计19087.01</w:t>
      </w:r>
      <w:r>
        <w:rPr>
          <w:rFonts w:hint="default" w:ascii="Times New Roman" w:hAnsi="Times New Roman" w:eastAsia="仿宋_GB2312" w:cs="Times New Roman"/>
          <w:b w:val="0"/>
          <w:bCs w:val="0"/>
          <w:color w:val="auto"/>
          <w:spacing w:val="0"/>
          <w:sz w:val="32"/>
          <w:szCs w:val="32"/>
          <w:highlight w:val="none"/>
          <w:lang w:eastAsia="zh-CN"/>
        </w:rPr>
        <w:t>万元，</w:t>
      </w:r>
      <w:r>
        <w:rPr>
          <w:rFonts w:hint="default" w:ascii="Times New Roman" w:hAnsi="Times New Roman" w:eastAsia="仿宋_GB2312" w:cs="Times New Roman"/>
          <w:b w:val="0"/>
          <w:bCs w:val="0"/>
          <w:color w:val="auto"/>
          <w:spacing w:val="0"/>
          <w:sz w:val="32"/>
          <w:szCs w:val="32"/>
          <w:highlight w:val="none"/>
          <w:lang w:val="en-US" w:eastAsia="zh-CN"/>
        </w:rPr>
        <w:t>结余分配683.33</w:t>
      </w:r>
      <w:r>
        <w:rPr>
          <w:rFonts w:hint="default" w:ascii="Times New Roman" w:hAnsi="Times New Roman" w:eastAsia="仿宋_GB2312" w:cs="Times New Roman"/>
          <w:b w:val="0"/>
          <w:bCs w:val="0"/>
          <w:color w:val="auto"/>
          <w:spacing w:val="0"/>
          <w:sz w:val="32"/>
          <w:szCs w:val="32"/>
          <w:highlight w:val="none"/>
          <w:lang w:eastAsia="zh-CN"/>
        </w:rPr>
        <w:t>万元，年末结转和结余0.00万元。</w:t>
      </w:r>
    </w:p>
    <w:p w14:paraId="5350E8E3">
      <w:pPr>
        <w:ind w:firstLine="640" w:firstLineChars="200"/>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color w:val="auto"/>
          <w:spacing w:val="0"/>
          <w:sz w:val="32"/>
          <w:szCs w:val="32"/>
          <w:highlight w:val="none"/>
          <w:lang w:val="en-US" w:eastAsia="zh-CN"/>
        </w:rPr>
        <w:t>收入支出总体与上年相比</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lang w:val="en-US" w:eastAsia="zh-CN"/>
        </w:rPr>
        <w:t>增加3,705.55</w:t>
      </w:r>
      <w:r>
        <w:rPr>
          <w:rFonts w:hint="default" w:ascii="Times New Roman" w:hAnsi="Times New Roman" w:eastAsia="仿宋_GB2312" w:cs="Times New Roman"/>
          <w:b w:val="0"/>
          <w:bCs w:val="0"/>
          <w:color w:val="auto"/>
          <w:spacing w:val="0"/>
          <w:sz w:val="32"/>
          <w:szCs w:val="32"/>
          <w:highlight w:val="none"/>
          <w:lang w:val="zh-CN" w:eastAsia="zh-CN"/>
        </w:rPr>
        <w:t>万元</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lang w:val="en-US" w:eastAsia="zh-CN"/>
        </w:rPr>
        <w:t>增长23.07%</w:t>
      </w:r>
      <w:r>
        <w:rPr>
          <w:rFonts w:hint="default" w:ascii="Times New Roman" w:hAnsi="Times New Roman" w:eastAsia="仿宋_GB2312" w:cs="Times New Roman"/>
          <w:b w:val="0"/>
          <w:bCs w:val="0"/>
          <w:color w:val="auto"/>
          <w:spacing w:val="0"/>
          <w:sz w:val="32"/>
          <w:szCs w:val="32"/>
          <w:highlight w:val="none"/>
          <w:lang w:eastAsia="zh-CN"/>
        </w:rPr>
        <w:t>，主要原因是：</w:t>
      </w:r>
      <w:r>
        <w:rPr>
          <w:rFonts w:hint="default" w:ascii="Times New Roman" w:hAnsi="Times New Roman" w:eastAsia="仿宋_GB2312" w:cs="Times New Roman"/>
          <w:sz w:val="32"/>
          <w:szCs w:val="32"/>
        </w:rPr>
        <w:t>门急诊人次和住院人次提升收入支出总体增加。</w:t>
      </w:r>
    </w:p>
    <w:p w14:paraId="305465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979"/>
      <w:bookmarkStart w:id="11" w:name="_Toc12142"/>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14:paraId="445563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val="0"/>
          <w:bCs w:val="0"/>
          <w:color w:val="auto"/>
          <w:sz w:val="32"/>
          <w:szCs w:val="32"/>
          <w:highlight w:val="none"/>
        </w:rPr>
        <w:t>本年收入</w:t>
      </w:r>
      <w:r>
        <w:rPr>
          <w:rFonts w:hint="default" w:ascii="Times New Roman" w:hAnsi="Times New Roman" w:eastAsia="仿宋_GB2312" w:cs="Times New Roman"/>
          <w:b w:val="0"/>
          <w:bCs w:val="0"/>
          <w:color w:val="auto"/>
          <w:sz w:val="32"/>
          <w:szCs w:val="32"/>
          <w:highlight w:val="none"/>
          <w:lang w:val="en-US" w:eastAsia="zh-CN"/>
        </w:rPr>
        <w:t>19770.34</w:t>
      </w:r>
      <w:r>
        <w:rPr>
          <w:rFonts w:hint="default" w:ascii="Times New Roman" w:hAnsi="Times New Roman" w:eastAsia="仿宋_GB2312" w:cs="Times New Roman"/>
          <w:b w:val="0"/>
          <w:bCs w:val="0"/>
          <w:color w:val="auto"/>
          <w:sz w:val="32"/>
          <w:szCs w:val="32"/>
          <w:highlight w:val="none"/>
        </w:rPr>
        <w:t>万元，其中：财政拨款收入</w:t>
      </w:r>
      <w:r>
        <w:rPr>
          <w:rFonts w:hint="default" w:ascii="Times New Roman" w:hAnsi="Times New Roman" w:eastAsia="仿宋_GB2312" w:cs="Times New Roman"/>
          <w:b w:val="0"/>
          <w:bCs w:val="0"/>
          <w:color w:val="auto"/>
          <w:sz w:val="32"/>
          <w:szCs w:val="32"/>
          <w:highlight w:val="none"/>
          <w:lang w:val="en-US" w:eastAsia="zh-CN"/>
        </w:rPr>
        <w:t>5742.69</w:t>
      </w:r>
      <w:r>
        <w:rPr>
          <w:rFonts w:hint="default" w:ascii="Times New Roman" w:hAnsi="Times New Roman" w:eastAsia="仿宋_GB2312" w:cs="Times New Roman"/>
          <w:b w:val="0"/>
          <w:bCs w:val="0"/>
          <w:color w:val="auto"/>
          <w:sz w:val="32"/>
          <w:szCs w:val="32"/>
          <w:highlight w:val="none"/>
        </w:rPr>
        <w:t>万元，占</w:t>
      </w:r>
      <w:r>
        <w:rPr>
          <w:rFonts w:hint="default" w:ascii="Times New Roman" w:hAnsi="Times New Roman" w:eastAsia="仿宋_GB2312" w:cs="Times New Roman"/>
          <w:b w:val="0"/>
          <w:bCs w:val="0"/>
          <w:color w:val="auto"/>
          <w:sz w:val="32"/>
          <w:szCs w:val="32"/>
          <w:highlight w:val="none"/>
          <w:lang w:val="en-US" w:eastAsia="zh-CN"/>
        </w:rPr>
        <w:t>29.05</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；上级补助收入</w:t>
      </w:r>
      <w:r>
        <w:rPr>
          <w:rFonts w:hint="default" w:ascii="Times New Roman" w:hAnsi="Times New Roman" w:eastAsia="仿宋_GB2312" w:cs="Times New Roman"/>
          <w:b w:val="0"/>
          <w:bCs w:val="0"/>
          <w:color w:val="auto"/>
          <w:sz w:val="32"/>
          <w:szCs w:val="32"/>
          <w:highlight w:val="none"/>
          <w:lang w:val="zh-CN"/>
        </w:rPr>
        <w:t>0.00</w:t>
      </w:r>
      <w:r>
        <w:rPr>
          <w:rFonts w:hint="default" w:ascii="Times New Roman" w:hAnsi="Times New Roman" w:eastAsia="仿宋_GB2312" w:cs="Times New Roman"/>
          <w:b w:val="0"/>
          <w:bCs w:val="0"/>
          <w:color w:val="auto"/>
          <w:sz w:val="32"/>
          <w:szCs w:val="32"/>
          <w:highlight w:val="none"/>
        </w:rPr>
        <w:t>万元，占</w:t>
      </w:r>
      <w:r>
        <w:rPr>
          <w:rFonts w:hint="default" w:ascii="Times New Roman" w:hAnsi="Times New Roman" w:eastAsia="仿宋_GB2312" w:cs="Times New Roman"/>
          <w:b w:val="0"/>
          <w:bCs w:val="0"/>
          <w:color w:val="auto"/>
          <w:sz w:val="32"/>
          <w:szCs w:val="32"/>
          <w:highlight w:val="none"/>
          <w:lang w:val="zh-CN"/>
        </w:rPr>
        <w:t>0.00</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；事业收入</w:t>
      </w:r>
      <w:r>
        <w:rPr>
          <w:rFonts w:hint="default" w:ascii="Times New Roman" w:hAnsi="Times New Roman" w:eastAsia="仿宋_GB2312" w:cs="Times New Roman"/>
          <w:b w:val="0"/>
          <w:bCs w:val="0"/>
          <w:color w:val="auto"/>
          <w:sz w:val="32"/>
          <w:szCs w:val="32"/>
          <w:highlight w:val="none"/>
          <w:lang w:val="en-US" w:eastAsia="zh-CN"/>
        </w:rPr>
        <w:t>13736.97</w:t>
      </w:r>
      <w:r>
        <w:rPr>
          <w:rFonts w:hint="default" w:ascii="Times New Roman" w:hAnsi="Times New Roman" w:eastAsia="仿宋_GB2312" w:cs="Times New Roman"/>
          <w:b w:val="0"/>
          <w:bCs w:val="0"/>
          <w:color w:val="auto"/>
          <w:sz w:val="32"/>
          <w:szCs w:val="32"/>
          <w:highlight w:val="none"/>
        </w:rPr>
        <w:t>万元，</w:t>
      </w:r>
      <w:r>
        <w:rPr>
          <w:rFonts w:hint="default" w:ascii="Times New Roman" w:hAnsi="Times New Roman" w:eastAsia="仿宋_GB2312" w:cs="Times New Roman"/>
          <w:color w:val="auto"/>
          <w:sz w:val="32"/>
          <w:szCs w:val="32"/>
          <w:highlight w:val="none"/>
        </w:rPr>
        <w:t>占</w:t>
      </w:r>
      <w:r>
        <w:rPr>
          <w:rFonts w:hint="default" w:ascii="Times New Roman" w:hAnsi="Times New Roman" w:eastAsia="仿宋_GB2312" w:cs="Times New Roman"/>
          <w:color w:val="auto"/>
          <w:sz w:val="32"/>
          <w:szCs w:val="32"/>
          <w:highlight w:val="none"/>
          <w:lang w:val="en-US" w:eastAsia="zh-CN"/>
        </w:rPr>
        <w:t>69.48</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en-US" w:eastAsia="zh-CN"/>
        </w:rPr>
        <w:t>290.67</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1.47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278731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14:paraId="770ADD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b w:val="0"/>
          <w:bCs w:val="0"/>
          <w:color w:val="auto"/>
          <w:sz w:val="32"/>
          <w:szCs w:val="32"/>
          <w:highlight w:val="none"/>
          <w:lang w:val="zh-CN" w:eastAsia="zh-CN"/>
        </w:rPr>
        <w:t>本年支出</w:t>
      </w:r>
      <w:r>
        <w:rPr>
          <w:rFonts w:hint="default" w:ascii="Times New Roman" w:hAnsi="Times New Roman" w:eastAsia="仿宋_GB2312" w:cs="Times New Roman"/>
          <w:b w:val="0"/>
          <w:bCs w:val="0"/>
          <w:color w:val="auto"/>
          <w:sz w:val="32"/>
          <w:szCs w:val="32"/>
          <w:highlight w:val="none"/>
          <w:lang w:val="en-US" w:eastAsia="zh-CN"/>
        </w:rPr>
        <w:t>19087.01</w:t>
      </w:r>
      <w:r>
        <w:rPr>
          <w:rFonts w:hint="default" w:ascii="Times New Roman" w:hAnsi="Times New Roman" w:eastAsia="仿宋_GB2312" w:cs="Times New Roman"/>
          <w:b w:val="0"/>
          <w:bCs w:val="0"/>
          <w:color w:val="auto"/>
          <w:sz w:val="32"/>
          <w:szCs w:val="32"/>
          <w:highlight w:val="none"/>
          <w:lang w:val="zh-CN" w:eastAsia="zh-CN"/>
        </w:rPr>
        <w:t>万元，其中：基本支出</w:t>
      </w:r>
      <w:r>
        <w:rPr>
          <w:rFonts w:hint="default" w:ascii="Times New Roman" w:hAnsi="Times New Roman" w:eastAsia="仿宋_GB2312" w:cs="Times New Roman"/>
          <w:b w:val="0"/>
          <w:bCs w:val="0"/>
          <w:color w:val="auto"/>
          <w:sz w:val="32"/>
          <w:szCs w:val="32"/>
          <w:highlight w:val="none"/>
          <w:lang w:val="en-US" w:eastAsia="zh-CN"/>
        </w:rPr>
        <w:t>16705.11</w:t>
      </w:r>
      <w:r>
        <w:rPr>
          <w:rFonts w:hint="default" w:ascii="Times New Roman" w:hAnsi="Times New Roman" w:eastAsia="仿宋_GB2312" w:cs="Times New Roman"/>
          <w:b w:val="0"/>
          <w:bCs w:val="0"/>
          <w:color w:val="auto"/>
          <w:sz w:val="32"/>
          <w:szCs w:val="32"/>
          <w:highlight w:val="none"/>
          <w:lang w:val="zh-CN" w:eastAsia="zh-CN"/>
        </w:rPr>
        <w:t>万元，占</w:t>
      </w:r>
      <w:r>
        <w:rPr>
          <w:rFonts w:hint="default" w:ascii="Times New Roman" w:hAnsi="Times New Roman" w:eastAsia="仿宋_GB2312" w:cs="Times New Roman"/>
          <w:b w:val="0"/>
          <w:bCs w:val="0"/>
          <w:color w:val="auto"/>
          <w:sz w:val="32"/>
          <w:szCs w:val="32"/>
          <w:highlight w:val="none"/>
          <w:lang w:val="en-US" w:eastAsia="zh-CN"/>
        </w:rPr>
        <w:t>87.52</w:t>
      </w:r>
      <w:r>
        <w:rPr>
          <w:rFonts w:hint="default" w:ascii="Times New Roman" w:hAnsi="Times New Roman" w:eastAsia="仿宋_GB2312" w:cs="Times New Roman"/>
          <w:b w:val="0"/>
          <w:bCs w:val="0"/>
          <w:color w:val="auto"/>
          <w:sz w:val="32"/>
          <w:szCs w:val="32"/>
          <w:highlight w:val="none"/>
          <w:lang w:val="zh-CN" w:eastAsia="zh-CN"/>
        </w:rPr>
        <w:t>%；项目支出</w:t>
      </w:r>
      <w:r>
        <w:rPr>
          <w:rFonts w:hint="default" w:ascii="Times New Roman" w:hAnsi="Times New Roman" w:eastAsia="仿宋_GB2312" w:cs="Times New Roman"/>
          <w:b w:val="0"/>
          <w:bCs w:val="0"/>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lang w:val="en-US" w:eastAsia="zh-CN"/>
        </w:rPr>
        <w:t>81.90</w:t>
      </w:r>
      <w:r>
        <w:rPr>
          <w:rFonts w:hint="default" w:ascii="Times New Roman" w:hAnsi="Times New Roman" w:eastAsia="仿宋_GB2312" w:cs="Times New Roman"/>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en-US" w:eastAsia="zh-CN"/>
        </w:rPr>
        <w:t>12.48</w:t>
      </w:r>
      <w:r>
        <w:rPr>
          <w:rFonts w:hint="default" w:ascii="Times New Roman" w:hAnsi="Times New Roman" w:eastAsia="仿宋_GB2312" w:cs="Times New Roman"/>
          <w:color w:val="auto"/>
          <w:sz w:val="32"/>
          <w:szCs w:val="32"/>
          <w:highlight w:val="none"/>
          <w:lang w:val="zh-CN" w:eastAsia="zh-CN"/>
        </w:rPr>
        <w:t>%；上缴上级支出0.00万元，占0.00%；经营支出0.00万元，占0.00%；对附属单位补助支出0.00万元，占0.00%。</w:t>
      </w:r>
    </w:p>
    <w:p w14:paraId="39A493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14:paraId="6AB793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val="0"/>
          <w:bCs w:val="0"/>
          <w:color w:val="auto"/>
          <w:spacing w:val="0"/>
          <w:sz w:val="32"/>
          <w:szCs w:val="32"/>
          <w:highlight w:val="none"/>
          <w:lang w:eastAsia="zh-CN"/>
        </w:rPr>
      </w:pPr>
      <w:r>
        <w:rPr>
          <w:rFonts w:hint="default" w:ascii="Times New Roman" w:hAnsi="Times New Roman" w:eastAsia="仿宋_GB2312" w:cs="Times New Roman"/>
          <w:b w:val="0"/>
          <w:bCs w:val="0"/>
          <w:color w:val="auto"/>
          <w:spacing w:val="0"/>
          <w:sz w:val="32"/>
          <w:szCs w:val="32"/>
          <w:highlight w:val="none"/>
          <w:lang w:eastAsia="zh-CN"/>
        </w:rPr>
        <w:t>2023年度财政拨款收入</w:t>
      </w:r>
      <w:r>
        <w:rPr>
          <w:rFonts w:hint="default" w:ascii="Times New Roman" w:hAnsi="Times New Roman" w:eastAsia="仿宋_GB2312" w:cs="Times New Roman"/>
          <w:b w:val="0"/>
          <w:bCs w:val="0"/>
          <w:color w:val="auto"/>
          <w:spacing w:val="0"/>
          <w:sz w:val="32"/>
          <w:szCs w:val="32"/>
          <w:highlight w:val="none"/>
          <w:lang w:val="en-US" w:eastAsia="zh-CN"/>
        </w:rPr>
        <w:t>总计5742.69</w:t>
      </w:r>
      <w:r>
        <w:rPr>
          <w:rFonts w:hint="default" w:ascii="Times New Roman" w:hAnsi="Times New Roman" w:eastAsia="仿宋_GB2312" w:cs="Times New Roman"/>
          <w:b w:val="0"/>
          <w:bCs w:val="0"/>
          <w:color w:val="auto"/>
          <w:spacing w:val="0"/>
          <w:sz w:val="32"/>
          <w:szCs w:val="32"/>
          <w:highlight w:val="none"/>
          <w:lang w:eastAsia="zh-CN"/>
        </w:rPr>
        <w:t>万元，</w:t>
      </w:r>
      <w:r>
        <w:rPr>
          <w:rFonts w:hint="default" w:ascii="Times New Roman" w:hAnsi="Times New Roman" w:eastAsia="仿宋_GB2312" w:cs="Times New Roman"/>
          <w:b w:val="0"/>
          <w:bCs w:val="0"/>
          <w:color w:val="auto"/>
          <w:spacing w:val="0"/>
          <w:sz w:val="32"/>
          <w:szCs w:val="32"/>
          <w:highlight w:val="none"/>
          <w:lang w:val="en-US" w:eastAsia="zh-CN"/>
        </w:rPr>
        <w:t>其中：年初财政拨款结转和结余0</w:t>
      </w:r>
      <w:r>
        <w:rPr>
          <w:rFonts w:hint="default" w:ascii="Times New Roman" w:hAnsi="Times New Roman" w:eastAsia="仿宋_GB2312" w:cs="Times New Roman"/>
          <w:b w:val="0"/>
          <w:bCs w:val="0"/>
          <w:color w:val="auto"/>
          <w:spacing w:val="0"/>
          <w:sz w:val="32"/>
          <w:szCs w:val="32"/>
          <w:highlight w:val="none"/>
          <w:lang w:eastAsia="zh-CN"/>
        </w:rPr>
        <w:t>万元，</w:t>
      </w:r>
      <w:r>
        <w:rPr>
          <w:rFonts w:hint="default" w:ascii="Times New Roman" w:hAnsi="Times New Roman" w:eastAsia="仿宋_GB2312" w:cs="Times New Roman"/>
          <w:b w:val="0"/>
          <w:bCs w:val="0"/>
          <w:color w:val="auto"/>
          <w:spacing w:val="0"/>
          <w:sz w:val="32"/>
          <w:szCs w:val="32"/>
          <w:highlight w:val="none"/>
          <w:lang w:val="en-US" w:eastAsia="zh-CN"/>
        </w:rPr>
        <w:t>本年财政拨款收入5742.69</w:t>
      </w:r>
      <w:r>
        <w:rPr>
          <w:rFonts w:hint="default" w:ascii="Times New Roman" w:hAnsi="Times New Roman" w:eastAsia="仿宋_GB2312" w:cs="Times New Roman"/>
          <w:b w:val="0"/>
          <w:bCs w:val="0"/>
          <w:color w:val="auto"/>
          <w:spacing w:val="0"/>
          <w:sz w:val="32"/>
          <w:szCs w:val="32"/>
          <w:highlight w:val="none"/>
          <w:lang w:eastAsia="zh-CN"/>
        </w:rPr>
        <w:t>万元。财政拨款支出</w:t>
      </w:r>
      <w:r>
        <w:rPr>
          <w:rFonts w:hint="default" w:ascii="Times New Roman" w:hAnsi="Times New Roman" w:eastAsia="仿宋_GB2312" w:cs="Times New Roman"/>
          <w:b w:val="0"/>
          <w:bCs w:val="0"/>
          <w:color w:val="auto"/>
          <w:spacing w:val="0"/>
          <w:sz w:val="32"/>
          <w:szCs w:val="32"/>
          <w:highlight w:val="none"/>
          <w:lang w:val="en-US" w:eastAsia="zh-CN"/>
        </w:rPr>
        <w:t>总计5742.69</w:t>
      </w:r>
      <w:r>
        <w:rPr>
          <w:rFonts w:hint="default" w:ascii="Times New Roman" w:hAnsi="Times New Roman" w:eastAsia="仿宋_GB2312" w:cs="Times New Roman"/>
          <w:b w:val="0"/>
          <w:bCs w:val="0"/>
          <w:color w:val="auto"/>
          <w:spacing w:val="0"/>
          <w:sz w:val="32"/>
          <w:szCs w:val="32"/>
          <w:highlight w:val="none"/>
          <w:lang w:eastAsia="zh-CN"/>
        </w:rPr>
        <w:t>万元，</w:t>
      </w:r>
      <w:r>
        <w:rPr>
          <w:rFonts w:hint="default" w:ascii="Times New Roman" w:hAnsi="Times New Roman" w:eastAsia="仿宋_GB2312" w:cs="Times New Roman"/>
          <w:b w:val="0"/>
          <w:bCs w:val="0"/>
          <w:color w:val="auto"/>
          <w:spacing w:val="0"/>
          <w:sz w:val="32"/>
          <w:szCs w:val="32"/>
          <w:highlight w:val="none"/>
          <w:lang w:val="en-US" w:eastAsia="zh-CN"/>
        </w:rPr>
        <w:t>其中：年末财政拨款结转和结余</w:t>
      </w:r>
      <w:r>
        <w:rPr>
          <w:rFonts w:hint="default" w:ascii="Times New Roman" w:hAnsi="Times New Roman" w:eastAsia="仿宋_GB2312" w:cs="Times New Roman"/>
          <w:b w:val="0"/>
          <w:bCs w:val="0"/>
          <w:color w:val="auto"/>
          <w:spacing w:val="0"/>
          <w:sz w:val="32"/>
          <w:szCs w:val="32"/>
          <w:highlight w:val="none"/>
          <w:lang w:val="zh-CN" w:eastAsia="zh-CN"/>
        </w:rPr>
        <w:t>0.00</w:t>
      </w:r>
      <w:r>
        <w:rPr>
          <w:rFonts w:hint="default" w:ascii="Times New Roman" w:hAnsi="Times New Roman" w:eastAsia="仿宋_GB2312" w:cs="Times New Roman"/>
          <w:b w:val="0"/>
          <w:bCs w:val="0"/>
          <w:color w:val="auto"/>
          <w:spacing w:val="0"/>
          <w:sz w:val="32"/>
          <w:szCs w:val="32"/>
          <w:highlight w:val="none"/>
          <w:lang w:eastAsia="zh-CN"/>
        </w:rPr>
        <w:t>万元，</w:t>
      </w:r>
      <w:r>
        <w:rPr>
          <w:rFonts w:hint="default" w:ascii="Times New Roman" w:hAnsi="Times New Roman" w:eastAsia="仿宋_GB2312" w:cs="Times New Roman"/>
          <w:b w:val="0"/>
          <w:bCs w:val="0"/>
          <w:color w:val="auto"/>
          <w:spacing w:val="0"/>
          <w:sz w:val="32"/>
          <w:szCs w:val="32"/>
          <w:highlight w:val="none"/>
          <w:lang w:val="en-US" w:eastAsia="zh-CN"/>
        </w:rPr>
        <w:t>本年财政拨款支出5742.69</w:t>
      </w:r>
      <w:r>
        <w:rPr>
          <w:rFonts w:hint="default" w:ascii="Times New Roman" w:hAnsi="Times New Roman" w:eastAsia="仿宋_GB2312" w:cs="Times New Roman"/>
          <w:b w:val="0"/>
          <w:bCs w:val="0"/>
          <w:color w:val="auto"/>
          <w:spacing w:val="0"/>
          <w:sz w:val="32"/>
          <w:szCs w:val="32"/>
          <w:highlight w:val="none"/>
          <w:lang w:eastAsia="zh-CN"/>
        </w:rPr>
        <w:t>万元。</w:t>
      </w:r>
    </w:p>
    <w:p w14:paraId="1057C2C8">
      <w:pPr>
        <w:spacing w:line="220" w:lineRule="atLeast"/>
        <w:ind w:firstLine="640" w:firstLineChars="200"/>
        <w:rPr>
          <w:rFonts w:hint="default" w:ascii="Times New Roman" w:hAnsi="Times New Roman" w:eastAsia="仿宋_GB2312" w:cs="Times New Roman"/>
          <w:b w:val="0"/>
          <w:bCs w:val="0"/>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eastAsia="zh-CN"/>
        </w:rPr>
        <w:t>财政拨款收入支出总体与上年相比</w:t>
      </w:r>
      <w:r>
        <w:rPr>
          <w:rFonts w:hint="default" w:ascii="Times New Roman" w:hAnsi="Times New Roman" w:eastAsia="仿宋_GB2312" w:cs="Times New Roman"/>
          <w:b w:val="0"/>
          <w:bCs w:val="0"/>
          <w:color w:val="auto"/>
          <w:spacing w:val="0"/>
          <w:sz w:val="32"/>
          <w:szCs w:val="32"/>
          <w:highlight w:val="none"/>
          <w:lang w:val="en-US" w:eastAsia="zh-CN"/>
        </w:rPr>
        <w:t>,增加1,548.31</w:t>
      </w:r>
      <w:r>
        <w:rPr>
          <w:rFonts w:hint="default" w:ascii="Times New Roman" w:hAnsi="Times New Roman" w:eastAsia="仿宋_GB2312" w:cs="Times New Roman"/>
          <w:b w:val="0"/>
          <w:bCs w:val="0"/>
          <w:color w:val="auto"/>
          <w:spacing w:val="0"/>
          <w:sz w:val="32"/>
          <w:szCs w:val="32"/>
          <w:highlight w:val="none"/>
          <w:lang w:val="zh-CN" w:eastAsia="zh-CN"/>
        </w:rPr>
        <w:t>万元</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lang w:val="en-US" w:eastAsia="zh-CN"/>
        </w:rPr>
        <w:t>增长36.91</w:t>
      </w:r>
      <w:r>
        <w:rPr>
          <w:rFonts w:hint="default" w:ascii="Times New Roman" w:hAnsi="Times New Roman" w:eastAsia="仿宋_GB2312" w:cs="Times New Roman"/>
          <w:b w:val="0"/>
          <w:bCs w:val="0"/>
          <w:color w:val="auto"/>
          <w:spacing w:val="0"/>
          <w:sz w:val="32"/>
          <w:szCs w:val="32"/>
          <w:highlight w:val="none"/>
          <w:lang w:val="zh-CN" w:eastAsia="zh-CN"/>
        </w:rPr>
        <w:t>%，</w:t>
      </w:r>
      <w:r>
        <w:rPr>
          <w:rFonts w:hint="default" w:ascii="Times New Roman" w:hAnsi="Times New Roman" w:eastAsia="仿宋_GB2312" w:cs="Times New Roman"/>
          <w:b w:val="0"/>
          <w:bCs w:val="0"/>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eastAsia="zh-CN"/>
        </w:rPr>
        <w:t>新增自治区第一批疫情防控补助（重症床位设备配置）</w:t>
      </w:r>
      <w:r>
        <w:rPr>
          <w:rFonts w:hint="default" w:ascii="Times New Roman" w:hAnsi="Times New Roman" w:eastAsia="仿宋_GB2312" w:cs="Times New Roman"/>
          <w:b w:val="0"/>
          <w:bCs w:val="0"/>
          <w:color w:val="auto"/>
          <w:spacing w:val="0"/>
          <w:sz w:val="32"/>
          <w:szCs w:val="32"/>
          <w:highlight w:val="none"/>
          <w:lang w:eastAsia="zh-CN"/>
        </w:rPr>
        <w:t>等</w:t>
      </w:r>
      <w:r>
        <w:rPr>
          <w:rFonts w:hint="default" w:ascii="Times New Roman" w:hAnsi="Times New Roman" w:eastAsia="仿宋_GB2312" w:cs="Times New Roman"/>
          <w:b w:val="0"/>
          <w:bCs w:val="0"/>
          <w:color w:val="auto"/>
          <w:spacing w:val="0"/>
          <w:sz w:val="32"/>
          <w:szCs w:val="32"/>
          <w:highlight w:val="none"/>
          <w:lang w:val="en-US" w:eastAsia="zh-CN"/>
        </w:rPr>
        <w:t>项目</w:t>
      </w:r>
      <w:r>
        <w:rPr>
          <w:rFonts w:hint="default" w:ascii="Times New Roman" w:hAnsi="Times New Roman" w:eastAsia="仿宋_GB2312" w:cs="Times New Roman"/>
          <w:b w:val="0"/>
          <w:bCs w:val="0"/>
          <w:color w:val="auto"/>
          <w:spacing w:val="0"/>
          <w:sz w:val="32"/>
          <w:szCs w:val="32"/>
          <w:highlight w:val="none"/>
          <w:lang w:eastAsia="zh-CN"/>
        </w:rPr>
        <w:t>资金</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lang w:eastAsia="zh-CN"/>
        </w:rPr>
        <w:t>与年初预算相比，年初预算数</w:t>
      </w:r>
      <w:r>
        <w:rPr>
          <w:rFonts w:hint="default" w:ascii="Times New Roman" w:hAnsi="Times New Roman" w:eastAsia="仿宋_GB2312" w:cs="Times New Roman"/>
          <w:b w:val="0"/>
          <w:bCs w:val="0"/>
          <w:color w:val="auto"/>
          <w:spacing w:val="0"/>
          <w:sz w:val="32"/>
          <w:szCs w:val="32"/>
          <w:highlight w:val="none"/>
          <w:lang w:val="zh-CN" w:eastAsia="zh-CN"/>
        </w:rPr>
        <w:t>4,302.95</w:t>
      </w:r>
      <w:r>
        <w:rPr>
          <w:rFonts w:hint="default" w:ascii="Times New Roman" w:hAnsi="Times New Roman" w:eastAsia="仿宋_GB2312" w:cs="Times New Roman"/>
          <w:b w:val="0"/>
          <w:bCs w:val="0"/>
          <w:color w:val="auto"/>
          <w:spacing w:val="0"/>
          <w:sz w:val="32"/>
          <w:szCs w:val="32"/>
          <w:highlight w:val="none"/>
          <w:lang w:eastAsia="zh-CN"/>
        </w:rPr>
        <w:t>万元，决算数</w:t>
      </w:r>
      <w:r>
        <w:rPr>
          <w:rFonts w:hint="default" w:ascii="Times New Roman" w:hAnsi="Times New Roman" w:eastAsia="仿宋_GB2312" w:cs="Times New Roman"/>
          <w:b w:val="0"/>
          <w:bCs w:val="0"/>
          <w:color w:val="auto"/>
          <w:spacing w:val="0"/>
          <w:sz w:val="32"/>
          <w:szCs w:val="32"/>
          <w:highlight w:val="none"/>
          <w:lang w:val="zh-CN" w:eastAsia="zh-CN"/>
        </w:rPr>
        <w:t>5,742.69</w:t>
      </w:r>
      <w:r>
        <w:rPr>
          <w:rFonts w:hint="default" w:ascii="Times New Roman" w:hAnsi="Times New Roman" w:eastAsia="仿宋_GB2312" w:cs="Times New Roman"/>
          <w:b w:val="0"/>
          <w:bCs w:val="0"/>
          <w:color w:val="auto"/>
          <w:spacing w:val="0"/>
          <w:sz w:val="32"/>
          <w:szCs w:val="32"/>
          <w:highlight w:val="none"/>
          <w:lang w:eastAsia="zh-CN"/>
        </w:rPr>
        <w:t>万元，预决算差异率33.46%，主要原因是：年中追加</w:t>
      </w:r>
      <w:r>
        <w:rPr>
          <w:rFonts w:hint="default" w:ascii="Times New Roman" w:hAnsi="Times New Roman" w:eastAsia="仿宋_GB2312" w:cs="Times New Roman"/>
          <w:color w:val="auto"/>
          <w:spacing w:val="0"/>
          <w:sz w:val="32"/>
          <w:szCs w:val="32"/>
          <w:highlight w:val="none"/>
          <w:lang w:eastAsia="zh-CN"/>
        </w:rPr>
        <w:t>自治区第一批疫情防控补助资金（重症床位设备配置）等</w:t>
      </w:r>
      <w:r>
        <w:rPr>
          <w:rFonts w:hint="default" w:ascii="Times New Roman" w:hAnsi="Times New Roman" w:eastAsia="仿宋_GB2312" w:cs="Times New Roman"/>
          <w:color w:val="auto"/>
          <w:spacing w:val="0"/>
          <w:sz w:val="32"/>
          <w:szCs w:val="32"/>
          <w:highlight w:val="none"/>
          <w:lang w:val="en-US" w:eastAsia="zh-CN"/>
        </w:rPr>
        <w:t>项目</w:t>
      </w:r>
      <w:r>
        <w:rPr>
          <w:rFonts w:hint="default" w:ascii="Times New Roman" w:hAnsi="Times New Roman" w:eastAsia="仿宋_GB2312" w:cs="Times New Roman"/>
          <w:b w:val="0"/>
          <w:bCs w:val="0"/>
          <w:color w:val="auto"/>
          <w:spacing w:val="0"/>
          <w:sz w:val="32"/>
          <w:szCs w:val="32"/>
          <w:highlight w:val="none"/>
          <w:lang w:val="en-US" w:eastAsia="zh-CN"/>
        </w:rPr>
        <w:t>资金。</w:t>
      </w:r>
    </w:p>
    <w:p w14:paraId="0899C0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14:paraId="117279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14:paraId="0532188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val="0"/>
          <w:bCs w:val="0"/>
          <w:color w:val="auto"/>
          <w:spacing w:val="0"/>
          <w:sz w:val="32"/>
          <w:szCs w:val="32"/>
          <w:highlight w:val="none"/>
          <w:lang w:eastAsia="zh-CN"/>
        </w:rPr>
        <w:t>2023年度一般公共预算财政拨款支出</w:t>
      </w:r>
      <w:r>
        <w:rPr>
          <w:rFonts w:hint="default" w:ascii="Times New Roman" w:hAnsi="Times New Roman" w:eastAsia="仿宋_GB2312" w:cs="Times New Roman"/>
          <w:b w:val="0"/>
          <w:bCs w:val="0"/>
          <w:color w:val="auto"/>
          <w:spacing w:val="0"/>
          <w:sz w:val="32"/>
          <w:szCs w:val="32"/>
          <w:highlight w:val="none"/>
          <w:lang w:val="en-US" w:eastAsia="zh-CN"/>
        </w:rPr>
        <w:t>5485.65</w:t>
      </w:r>
      <w:r>
        <w:rPr>
          <w:rFonts w:hint="default" w:ascii="Times New Roman" w:hAnsi="Times New Roman" w:eastAsia="仿宋_GB2312" w:cs="Times New Roman"/>
          <w:b w:val="0"/>
          <w:bCs w:val="0"/>
          <w:color w:val="auto"/>
          <w:spacing w:val="0"/>
          <w:sz w:val="32"/>
          <w:szCs w:val="32"/>
          <w:highlight w:val="none"/>
          <w:lang w:eastAsia="zh-CN"/>
        </w:rPr>
        <w:t>万元，占本年支出合计的</w:t>
      </w:r>
      <w:r>
        <w:rPr>
          <w:rFonts w:hint="default" w:ascii="Times New Roman" w:hAnsi="Times New Roman" w:eastAsia="仿宋_GB2312" w:cs="Times New Roman"/>
          <w:b w:val="0"/>
          <w:bCs w:val="0"/>
          <w:color w:val="auto"/>
          <w:spacing w:val="0"/>
          <w:sz w:val="32"/>
          <w:szCs w:val="32"/>
          <w:highlight w:val="none"/>
          <w:lang w:val="en-US" w:eastAsia="zh-CN"/>
        </w:rPr>
        <w:t>28.74</w:t>
      </w:r>
      <w:r>
        <w:rPr>
          <w:rFonts w:hint="default" w:ascii="Times New Roman" w:hAnsi="Times New Roman" w:eastAsia="仿宋_GB2312" w:cs="Times New Roman"/>
          <w:b w:val="0"/>
          <w:bCs w:val="0"/>
          <w:color w:val="auto"/>
          <w:spacing w:val="0"/>
          <w:sz w:val="32"/>
          <w:szCs w:val="32"/>
          <w:highlight w:val="none"/>
          <w:lang w:val="zh-CN" w:eastAsia="zh-CN"/>
        </w:rPr>
        <w:t>%</w:t>
      </w:r>
      <w:r>
        <w:rPr>
          <w:rFonts w:hint="default" w:ascii="Times New Roman" w:hAnsi="Times New Roman" w:eastAsia="仿宋_GB2312" w:cs="Times New Roman"/>
          <w:b w:val="0"/>
          <w:bCs w:val="0"/>
          <w:color w:val="auto"/>
          <w:spacing w:val="0"/>
          <w:sz w:val="32"/>
          <w:szCs w:val="32"/>
          <w:highlight w:val="none"/>
          <w:lang w:eastAsia="zh-CN"/>
        </w:rPr>
        <w:t>。与上年相比，</w:t>
      </w:r>
      <w:r>
        <w:rPr>
          <w:rFonts w:hint="default" w:ascii="Times New Roman" w:hAnsi="Times New Roman" w:eastAsia="仿宋_GB2312" w:cs="Times New Roman"/>
          <w:b w:val="0"/>
          <w:bCs w:val="0"/>
          <w:color w:val="auto"/>
          <w:spacing w:val="0"/>
          <w:sz w:val="32"/>
          <w:szCs w:val="32"/>
          <w:highlight w:val="none"/>
          <w:lang w:val="zh-CN" w:eastAsia="zh-CN"/>
        </w:rPr>
        <w:t>增加</w:t>
      </w:r>
      <w:r>
        <w:rPr>
          <w:rFonts w:hint="default" w:ascii="Times New Roman" w:hAnsi="Times New Roman" w:eastAsia="仿宋_GB2312" w:cs="Times New Roman"/>
          <w:b w:val="0"/>
          <w:bCs w:val="0"/>
          <w:color w:val="auto"/>
          <w:spacing w:val="0"/>
          <w:sz w:val="32"/>
          <w:szCs w:val="32"/>
          <w:highlight w:val="none"/>
          <w:lang w:val="en-US" w:eastAsia="zh-CN"/>
        </w:rPr>
        <w:t>1759.03</w:t>
      </w:r>
      <w:r>
        <w:rPr>
          <w:rFonts w:hint="default" w:ascii="Times New Roman" w:hAnsi="Times New Roman" w:eastAsia="仿宋_GB2312" w:cs="Times New Roman"/>
          <w:b w:val="0"/>
          <w:bCs w:val="0"/>
          <w:color w:val="auto"/>
          <w:spacing w:val="0"/>
          <w:sz w:val="32"/>
          <w:szCs w:val="32"/>
          <w:highlight w:val="none"/>
          <w:lang w:val="zh-CN" w:eastAsia="zh-CN"/>
        </w:rPr>
        <w:t>万元</w:t>
      </w:r>
      <w:r>
        <w:rPr>
          <w:rFonts w:hint="default" w:ascii="Times New Roman" w:hAnsi="Times New Roman" w:eastAsia="仿宋_GB2312" w:cs="Times New Roman"/>
          <w:b w:val="0"/>
          <w:bCs w:val="0"/>
          <w:color w:val="auto"/>
          <w:spacing w:val="0"/>
          <w:sz w:val="32"/>
          <w:szCs w:val="32"/>
          <w:highlight w:val="none"/>
          <w:lang w:eastAsia="zh-CN"/>
        </w:rPr>
        <w:t>，</w:t>
      </w:r>
      <w:r>
        <w:rPr>
          <w:rFonts w:hint="default" w:ascii="Times New Roman" w:hAnsi="Times New Roman" w:eastAsia="仿宋_GB2312" w:cs="Times New Roman"/>
          <w:b w:val="0"/>
          <w:bCs w:val="0"/>
          <w:color w:val="auto"/>
          <w:spacing w:val="0"/>
          <w:sz w:val="32"/>
          <w:szCs w:val="32"/>
          <w:highlight w:val="none"/>
          <w:lang w:val="zh-CN" w:eastAsia="zh-CN"/>
        </w:rPr>
        <w:t>增长</w:t>
      </w:r>
      <w:r>
        <w:rPr>
          <w:rFonts w:hint="default" w:ascii="Times New Roman" w:hAnsi="Times New Roman" w:eastAsia="仿宋_GB2312" w:cs="Times New Roman"/>
          <w:b w:val="0"/>
          <w:bCs w:val="0"/>
          <w:color w:val="auto"/>
          <w:spacing w:val="0"/>
          <w:sz w:val="32"/>
          <w:szCs w:val="32"/>
          <w:highlight w:val="none"/>
          <w:lang w:val="en-US" w:eastAsia="zh-CN"/>
        </w:rPr>
        <w:t>47.2</w:t>
      </w:r>
      <w:r>
        <w:rPr>
          <w:rFonts w:hint="default" w:ascii="Times New Roman" w:hAnsi="Times New Roman" w:eastAsia="仿宋_GB2312" w:cs="Times New Roman"/>
          <w:b w:val="0"/>
          <w:bCs w:val="0"/>
          <w:color w:val="auto"/>
          <w:spacing w:val="0"/>
          <w:sz w:val="32"/>
          <w:szCs w:val="32"/>
          <w:highlight w:val="none"/>
          <w:lang w:val="zh-CN" w:eastAsia="zh-CN"/>
        </w:rPr>
        <w:t>%，</w:t>
      </w:r>
      <w:r>
        <w:rPr>
          <w:rFonts w:hint="default" w:ascii="Times New Roman" w:hAnsi="Times New Roman" w:eastAsia="仿宋_GB2312" w:cs="Times New Roman"/>
          <w:b w:val="0"/>
          <w:bCs w:val="0"/>
          <w:color w:val="auto"/>
          <w:spacing w:val="0"/>
          <w:sz w:val="32"/>
          <w:szCs w:val="32"/>
          <w:highlight w:val="none"/>
          <w:lang w:eastAsia="zh-CN"/>
        </w:rPr>
        <w:t>主要原因</w:t>
      </w:r>
      <w:r>
        <w:rPr>
          <w:rFonts w:hint="default" w:ascii="Times New Roman" w:hAnsi="Times New Roman" w:eastAsia="仿宋_GB2312" w:cs="Times New Roman"/>
          <w:color w:val="auto"/>
          <w:spacing w:val="0"/>
          <w:sz w:val="32"/>
          <w:szCs w:val="32"/>
          <w:highlight w:val="none"/>
          <w:lang w:eastAsia="zh-CN"/>
        </w:rPr>
        <w:t>是：新增中央医疗服务与保障能力提升（公立医院综合改革）、</w:t>
      </w:r>
      <w:r>
        <w:rPr>
          <w:rFonts w:hint="default" w:ascii="Times New Roman" w:hAnsi="Times New Roman" w:eastAsia="仿宋_GB2312" w:cs="Times New Roman"/>
          <w:color w:val="auto"/>
          <w:spacing w:val="0"/>
          <w:sz w:val="32"/>
          <w:szCs w:val="32"/>
          <w:highlight w:val="none"/>
          <w:lang w:val="en-US" w:eastAsia="zh-CN"/>
        </w:rPr>
        <w:t>新型冠状病毒感染疫情应急救治能力提升项目中央基建投资</w:t>
      </w:r>
      <w:r>
        <w:rPr>
          <w:rFonts w:hint="default" w:ascii="Times New Roman" w:hAnsi="Times New Roman" w:eastAsia="仿宋_GB2312" w:cs="Times New Roman"/>
          <w:color w:val="auto"/>
          <w:spacing w:val="0"/>
          <w:sz w:val="32"/>
          <w:szCs w:val="32"/>
          <w:highlight w:val="none"/>
          <w:lang w:eastAsia="zh-CN"/>
        </w:rPr>
        <w:t>等</w:t>
      </w:r>
      <w:r>
        <w:rPr>
          <w:rFonts w:hint="default" w:ascii="Times New Roman" w:hAnsi="Times New Roman" w:eastAsia="仿宋_GB2312" w:cs="Times New Roman"/>
          <w:color w:val="auto"/>
          <w:spacing w:val="0"/>
          <w:sz w:val="32"/>
          <w:szCs w:val="32"/>
          <w:highlight w:val="none"/>
          <w:lang w:val="en-US" w:eastAsia="zh-CN"/>
        </w:rPr>
        <w:t>项目</w:t>
      </w:r>
      <w:r>
        <w:rPr>
          <w:rFonts w:hint="default" w:ascii="Times New Roman" w:hAnsi="Times New Roman" w:eastAsia="仿宋_GB2312" w:cs="Times New Roman"/>
          <w:color w:val="auto"/>
          <w:spacing w:val="0"/>
          <w:sz w:val="32"/>
          <w:szCs w:val="32"/>
          <w:highlight w:val="none"/>
          <w:lang w:eastAsia="zh-CN"/>
        </w:rPr>
        <w:t>资</w:t>
      </w:r>
      <w:r>
        <w:rPr>
          <w:rFonts w:hint="default" w:ascii="Times New Roman" w:hAnsi="Times New Roman" w:eastAsia="仿宋_GB2312" w:cs="Times New Roman"/>
          <w:color w:val="auto"/>
          <w:spacing w:val="0"/>
          <w:sz w:val="32"/>
          <w:szCs w:val="32"/>
          <w:highlight w:val="none"/>
          <w:lang w:val="en-US" w:eastAsia="zh-CN"/>
        </w:rPr>
        <w:t>金</w:t>
      </w:r>
      <w:r>
        <w:rPr>
          <w:rFonts w:hint="default" w:ascii="Times New Roman" w:hAnsi="Times New Roman" w:eastAsia="仿宋_GB2312" w:cs="Times New Roman"/>
          <w:b w:val="0"/>
          <w:bCs w:val="0"/>
          <w:color w:val="auto"/>
          <w:spacing w:val="0"/>
          <w:sz w:val="32"/>
          <w:szCs w:val="32"/>
          <w:highlight w:val="none"/>
          <w:lang w:eastAsia="zh-CN"/>
        </w:rPr>
        <w:t>。与年初预算相比，年初预算数</w:t>
      </w:r>
      <w:r>
        <w:rPr>
          <w:rFonts w:hint="default" w:ascii="Times New Roman" w:hAnsi="Times New Roman" w:eastAsia="仿宋_GB2312" w:cs="Times New Roman"/>
          <w:b w:val="0"/>
          <w:bCs w:val="0"/>
          <w:color w:val="auto"/>
          <w:spacing w:val="0"/>
          <w:sz w:val="32"/>
          <w:szCs w:val="32"/>
          <w:highlight w:val="none"/>
          <w:lang w:val="zh-CN" w:eastAsia="zh-CN"/>
        </w:rPr>
        <w:t>4,045.91</w:t>
      </w:r>
      <w:r>
        <w:rPr>
          <w:rFonts w:hint="default" w:ascii="Times New Roman" w:hAnsi="Times New Roman" w:eastAsia="仿宋_GB2312" w:cs="Times New Roman"/>
          <w:b w:val="0"/>
          <w:bCs w:val="0"/>
          <w:color w:val="auto"/>
          <w:spacing w:val="0"/>
          <w:sz w:val="32"/>
          <w:szCs w:val="32"/>
          <w:highlight w:val="none"/>
          <w:lang w:eastAsia="zh-CN"/>
        </w:rPr>
        <w:t>万元，决算数</w:t>
      </w:r>
      <w:r>
        <w:rPr>
          <w:rFonts w:hint="default" w:ascii="Times New Roman" w:hAnsi="Times New Roman" w:eastAsia="仿宋_GB2312" w:cs="Times New Roman"/>
          <w:b w:val="0"/>
          <w:bCs w:val="0"/>
          <w:color w:val="auto"/>
          <w:spacing w:val="0"/>
          <w:sz w:val="32"/>
          <w:szCs w:val="32"/>
          <w:highlight w:val="none"/>
          <w:lang w:val="zh-CN" w:eastAsia="zh-CN"/>
        </w:rPr>
        <w:t>5,485.65</w:t>
      </w:r>
      <w:r>
        <w:rPr>
          <w:rFonts w:hint="default" w:ascii="Times New Roman" w:hAnsi="Times New Roman" w:eastAsia="仿宋_GB2312" w:cs="Times New Roman"/>
          <w:b w:val="0"/>
          <w:bCs w:val="0"/>
          <w:color w:val="auto"/>
          <w:spacing w:val="0"/>
          <w:sz w:val="32"/>
          <w:szCs w:val="32"/>
          <w:highlight w:val="none"/>
          <w:lang w:eastAsia="zh-CN"/>
        </w:rPr>
        <w:t>万元，预决算差异率</w:t>
      </w:r>
      <w:r>
        <w:rPr>
          <w:rFonts w:hint="default" w:ascii="Times New Roman" w:hAnsi="Times New Roman" w:eastAsia="仿宋_GB2312" w:cs="Times New Roman"/>
          <w:b w:val="0"/>
          <w:bCs w:val="0"/>
          <w:color w:val="auto"/>
          <w:spacing w:val="0"/>
          <w:sz w:val="32"/>
          <w:szCs w:val="32"/>
          <w:highlight w:val="none"/>
          <w:lang w:val="zh-CN" w:eastAsia="zh-CN"/>
        </w:rPr>
        <w:t>35.58%</w:t>
      </w:r>
      <w:r>
        <w:rPr>
          <w:rFonts w:hint="default" w:ascii="Times New Roman" w:hAnsi="Times New Roman" w:eastAsia="仿宋_GB2312" w:cs="Times New Roman"/>
          <w:b w:val="0"/>
          <w:bCs w:val="0"/>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eastAsia="zh-CN"/>
        </w:rPr>
        <w:t>新增中央医疗服务与保障能力提升（公立医院综合改革）、</w:t>
      </w:r>
      <w:r>
        <w:rPr>
          <w:rFonts w:hint="default" w:ascii="Times New Roman" w:hAnsi="Times New Roman" w:eastAsia="仿宋_GB2312" w:cs="Times New Roman"/>
          <w:color w:val="auto"/>
          <w:spacing w:val="0"/>
          <w:sz w:val="32"/>
          <w:szCs w:val="32"/>
          <w:highlight w:val="none"/>
          <w:lang w:val="en-US" w:eastAsia="zh-CN"/>
        </w:rPr>
        <w:t>新型冠状病毒感染疫情应急救治能力提升项目中央基建投资</w:t>
      </w:r>
      <w:r>
        <w:rPr>
          <w:rFonts w:hint="default" w:ascii="Times New Roman" w:hAnsi="Times New Roman" w:eastAsia="仿宋_GB2312" w:cs="Times New Roman"/>
          <w:color w:val="auto"/>
          <w:spacing w:val="0"/>
          <w:sz w:val="32"/>
          <w:szCs w:val="32"/>
          <w:highlight w:val="none"/>
          <w:lang w:eastAsia="zh-CN"/>
        </w:rPr>
        <w:t>等</w:t>
      </w:r>
      <w:r>
        <w:rPr>
          <w:rFonts w:hint="default" w:ascii="Times New Roman" w:hAnsi="Times New Roman" w:eastAsia="仿宋_GB2312" w:cs="Times New Roman"/>
          <w:color w:val="auto"/>
          <w:spacing w:val="0"/>
          <w:sz w:val="32"/>
          <w:szCs w:val="32"/>
          <w:highlight w:val="none"/>
          <w:lang w:val="en-US" w:eastAsia="zh-CN"/>
        </w:rPr>
        <w:t>项目</w:t>
      </w:r>
      <w:r>
        <w:rPr>
          <w:rFonts w:hint="default" w:ascii="Times New Roman" w:hAnsi="Times New Roman" w:eastAsia="仿宋_GB2312" w:cs="Times New Roman"/>
          <w:color w:val="auto"/>
          <w:spacing w:val="0"/>
          <w:sz w:val="32"/>
          <w:szCs w:val="32"/>
          <w:highlight w:val="none"/>
          <w:lang w:eastAsia="zh-CN"/>
        </w:rPr>
        <w:t>资</w:t>
      </w:r>
      <w:r>
        <w:rPr>
          <w:rFonts w:hint="default" w:ascii="Times New Roman" w:hAnsi="Times New Roman" w:eastAsia="仿宋_GB2312" w:cs="Times New Roman"/>
          <w:color w:val="auto"/>
          <w:spacing w:val="0"/>
          <w:sz w:val="32"/>
          <w:szCs w:val="32"/>
          <w:highlight w:val="none"/>
          <w:lang w:val="en-US" w:eastAsia="zh-CN"/>
        </w:rPr>
        <w:t>金。</w:t>
      </w:r>
    </w:p>
    <w:p w14:paraId="7EB6586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14:paraId="4D8C025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社会保障和就业支出（类）391.98万元，占7.1</w:t>
      </w:r>
      <w:r>
        <w:rPr>
          <w:rFonts w:hint="default" w:ascii="Times New Roman" w:hAnsi="Times New Roman" w:eastAsia="仿宋_GB2312" w:cs="Times New Roman"/>
          <w:color w:val="auto"/>
          <w:spacing w:val="0"/>
          <w:kern w:val="2"/>
          <w:sz w:val="32"/>
          <w:szCs w:val="32"/>
          <w:highlight w:val="none"/>
          <w:lang w:val="en-US" w:eastAsia="zh-CN" w:bidi="ar-SA"/>
        </w:rPr>
        <w:t>4</w:t>
      </w:r>
      <w:r>
        <w:rPr>
          <w:rFonts w:hint="default" w:ascii="Times New Roman" w:hAnsi="Times New Roman" w:eastAsia="仿宋_GB2312" w:cs="Times New Roman"/>
          <w:color w:val="auto"/>
          <w:spacing w:val="0"/>
          <w:kern w:val="2"/>
          <w:sz w:val="32"/>
          <w:szCs w:val="32"/>
          <w:highlight w:val="none"/>
          <w:lang w:val="zh-CN" w:eastAsia="zh-CN" w:bidi="ar-SA"/>
        </w:rPr>
        <w:t>%；</w:t>
      </w:r>
    </w:p>
    <w:p w14:paraId="26C622E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卫生健康支出（类）4,868.41万元，占88.75%；</w:t>
      </w:r>
    </w:p>
    <w:p w14:paraId="5048233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住房保障支出（类）225.26万元，占4.11%。</w:t>
      </w:r>
    </w:p>
    <w:p w14:paraId="3866AE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14:paraId="3B7DCBE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社会保障和就业支出（类）行政事业单位养老支出（款）事业单位离退休（项）:支出决算数为327.56万元，比上年决算增加213.58万元，增长187.39%，主要原因是：预算口径调整，由机关事业单位基本养老保险缴费支出（项）调整至事业单位离退休（项），致事业单位离退休（项）增加。</w:t>
      </w:r>
    </w:p>
    <w:p w14:paraId="08BDF02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社会保障和就业支出（类）行政事业单位养老支出（款）机关事业单位基本养老保险缴费支出（项）:支出决算数为0.00万元，比上年决算减少245.53万元，下降100%，主要原因是：预算口径调整，由机关事业单位基本养老保险缴费支出（项）调整至事业单位离退休（项），致机关事业单位基本养老保险缴费支出（项）减少。</w:t>
      </w:r>
    </w:p>
    <w:p w14:paraId="38C726BD">
      <w:pPr>
        <w:pStyle w:val="13"/>
        <w:keepNext w:val="0"/>
        <w:keepLines w:val="0"/>
        <w:pageBreakBefore w:val="0"/>
        <w:widowControl w:val="0"/>
        <w:kinsoku/>
        <w:wordWrap/>
        <w:overflowPunct/>
        <w:topLinePunct w:val="0"/>
        <w:autoSpaceDE/>
        <w:autoSpaceDN/>
        <w:bidi w:val="0"/>
        <w:adjustRightInd/>
        <w:snapToGrid/>
        <w:ind w:left="638" w:leftChars="304" w:firstLine="0" w:firstLineChars="0"/>
        <w:jc w:val="both"/>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3.社会保障和就业支出（类）行政事业单位养老支出（款）</w:t>
      </w:r>
    </w:p>
    <w:p w14:paraId="7742A619">
      <w:pPr>
        <w:pStyle w:val="13"/>
        <w:keepNext w:val="0"/>
        <w:keepLines w:val="0"/>
        <w:pageBreakBefore w:val="0"/>
        <w:widowControl w:val="0"/>
        <w:kinsoku/>
        <w:wordWrap/>
        <w:overflowPunct/>
        <w:topLinePunct w:val="0"/>
        <w:autoSpaceDE/>
        <w:autoSpaceDN/>
        <w:bidi w:val="0"/>
        <w:adjustRightInd/>
        <w:snapToGrid/>
        <w:jc w:val="both"/>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机关事业单位职业年金缴费支出（项）:支出决算数为64.43万元，比上年决算增加64.43万元，增长100%，主要原因是：</w:t>
      </w:r>
      <w:r>
        <w:rPr>
          <w:rFonts w:hint="default" w:ascii="Times New Roman" w:hAnsi="Times New Roman" w:eastAsia="仿宋_GB2312" w:cs="Times New Roman"/>
          <w:color w:val="auto"/>
          <w:sz w:val="32"/>
          <w:szCs w:val="32"/>
          <w:lang w:val="en-US" w:eastAsia="zh-CN"/>
        </w:rPr>
        <w:t>退休人员增多，</w:t>
      </w:r>
      <w:r>
        <w:rPr>
          <w:rFonts w:hint="default" w:ascii="Times New Roman" w:hAnsi="Times New Roman" w:eastAsia="仿宋_GB2312" w:cs="Times New Roman"/>
          <w:color w:val="auto"/>
          <w:sz w:val="32"/>
          <w:szCs w:val="32"/>
          <w:highlight w:val="none"/>
          <w:lang w:val="en-US" w:eastAsia="zh-CN"/>
        </w:rPr>
        <w:t>职业年金缴费增加</w:t>
      </w:r>
      <w:r>
        <w:rPr>
          <w:rFonts w:hint="default" w:ascii="Times New Roman" w:hAnsi="Times New Roman" w:eastAsia="仿宋_GB2312" w:cs="Times New Roman"/>
          <w:color w:val="auto"/>
          <w:kern w:val="2"/>
          <w:sz w:val="32"/>
          <w:szCs w:val="32"/>
          <w:highlight w:val="none"/>
          <w:lang w:val="zh-CN" w:eastAsia="zh-CN" w:bidi="ar-SA"/>
        </w:rPr>
        <w:t>。</w:t>
      </w:r>
    </w:p>
    <w:p w14:paraId="076AAAD3">
      <w:pPr>
        <w:pStyle w:val="13"/>
        <w:keepNext w:val="0"/>
        <w:keepLines w:val="0"/>
        <w:pageBreakBefore w:val="0"/>
        <w:widowControl w:val="0"/>
        <w:kinsoku/>
        <w:wordWrap/>
        <w:overflowPunct/>
        <w:topLinePunct w:val="0"/>
        <w:autoSpaceDE/>
        <w:autoSpaceDN/>
        <w:bidi w:val="0"/>
        <w:adjustRightInd/>
        <w:snapToGrid/>
        <w:ind w:firstLine="640" w:firstLineChars="200"/>
        <w:jc w:val="both"/>
        <w:rPr>
          <w:rFonts w:hint="default" w:ascii="Times New Roman" w:hAnsi="Times New Roman" w:eastAsia="仿宋_GB2312" w:cs="Times New Roman"/>
          <w:color w:val="auto"/>
          <w:kern w:val="2"/>
          <w:sz w:val="32"/>
          <w:szCs w:val="32"/>
          <w:highlight w:val="yellow"/>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4.卫生健康支出（类）公立医院（款）综合医院（项）:支出决算数为2,943.36万元，比上年决算增加577.18万元，增长24.39%，主要原因是：在职及退休人员正常增资、社保基数调增，人员经费补助增加。</w:t>
      </w:r>
    </w:p>
    <w:p w14:paraId="548D1F4F">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5.卫生健康支出（类）公立医院（款）其他公立医院支出（项）:支出决算数为0.00万元，比上年决算减少51.00万元，下降100%，主要原因是：财政该项目资金未安排，较上一年度减少</w:t>
      </w:r>
      <w:r>
        <w:rPr>
          <w:rFonts w:hint="default" w:ascii="Times New Roman" w:hAnsi="Times New Roman" w:eastAsia="仿宋_GB2312" w:cs="Times New Roman"/>
          <w:color w:val="auto"/>
          <w:kern w:val="2"/>
          <w:sz w:val="32"/>
          <w:szCs w:val="32"/>
          <w:highlight w:val="none"/>
          <w:lang w:val="zh-CN" w:eastAsia="zh-CN" w:bidi="ar-SA"/>
        </w:rPr>
        <w:t>。</w:t>
      </w:r>
    </w:p>
    <w:p w14:paraId="6F04FAA4">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6.卫生健康支出（类）公共卫生（款）应急救治机构（项）:支出决算数为150.00万元，比上年决算增加150.00万元，增长100%，主要原因是：增加疫情防控专项补助资金</w:t>
      </w:r>
      <w:r>
        <w:rPr>
          <w:rFonts w:hint="default" w:ascii="Times New Roman" w:hAnsi="Times New Roman" w:eastAsia="仿宋_GB2312" w:cs="Times New Roman"/>
          <w:color w:val="auto"/>
          <w:kern w:val="2"/>
          <w:sz w:val="32"/>
          <w:szCs w:val="32"/>
          <w:highlight w:val="none"/>
          <w:lang w:val="zh-CN" w:eastAsia="zh-CN" w:bidi="ar-SA"/>
        </w:rPr>
        <w:t>。</w:t>
      </w:r>
    </w:p>
    <w:p w14:paraId="52CFB497">
      <w:pPr>
        <w:pStyle w:val="13"/>
        <w:keepNext w:val="0"/>
        <w:keepLines w:val="0"/>
        <w:pageBreakBefore w:val="0"/>
        <w:widowControl w:val="0"/>
        <w:kinsoku/>
        <w:wordWrap/>
        <w:overflowPunct/>
        <w:topLinePunct w:val="0"/>
        <w:autoSpaceDE/>
        <w:autoSpaceDN/>
        <w:bidi w:val="0"/>
        <w:adjustRightInd/>
        <w:snapToGrid/>
        <w:ind w:firstLine="640" w:firstLineChars="200"/>
        <w:jc w:val="both"/>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7.卫生健康支出（类）公共卫生（款）基本公共卫生服务（项）:支出决算数为130.38万元，比上年决算增加130.38万元，增长100%，主要原因是：新增</w:t>
      </w:r>
      <w:r>
        <w:rPr>
          <w:rFonts w:hint="default" w:ascii="Times New Roman" w:hAnsi="Times New Roman" w:eastAsia="仿宋_GB2312" w:cs="Times New Roman"/>
          <w:color w:val="auto"/>
          <w:kern w:val="2"/>
          <w:sz w:val="32"/>
          <w:szCs w:val="32"/>
          <w:highlight w:val="none"/>
          <w:lang w:val="zh-CN" w:eastAsia="zh-CN" w:bidi="ar-SA"/>
        </w:rPr>
        <w:t>中央基本公共卫生补助资金（第二批）</w:t>
      </w:r>
      <w:r>
        <w:rPr>
          <w:rFonts w:hint="default" w:ascii="Times New Roman" w:hAnsi="Times New Roman" w:eastAsia="仿宋_GB2312" w:cs="Times New Roman"/>
          <w:color w:val="auto"/>
          <w:kern w:val="2"/>
          <w:sz w:val="32"/>
          <w:szCs w:val="32"/>
          <w:highlight w:val="none"/>
          <w:lang w:val="en-US" w:eastAsia="zh-CN" w:bidi="ar-SA"/>
        </w:rPr>
        <w:t>项目</w:t>
      </w:r>
      <w:r>
        <w:rPr>
          <w:rFonts w:hint="default" w:ascii="Times New Roman" w:hAnsi="Times New Roman" w:eastAsia="仿宋_GB2312" w:cs="Times New Roman"/>
          <w:color w:val="auto"/>
          <w:kern w:val="2"/>
          <w:sz w:val="32"/>
          <w:szCs w:val="32"/>
          <w:highlight w:val="none"/>
          <w:lang w:val="zh-CN" w:eastAsia="zh-CN" w:bidi="ar-SA"/>
        </w:rPr>
        <w:t>。</w:t>
      </w:r>
    </w:p>
    <w:p w14:paraId="0DB91842">
      <w:pPr>
        <w:pStyle w:val="13"/>
        <w:keepNext w:val="0"/>
        <w:keepLines w:val="0"/>
        <w:pageBreakBefore w:val="0"/>
        <w:widowControl w:val="0"/>
        <w:kinsoku/>
        <w:wordWrap/>
        <w:overflowPunct/>
        <w:topLinePunct w:val="0"/>
        <w:autoSpaceDE/>
        <w:autoSpaceDN/>
        <w:bidi w:val="0"/>
        <w:adjustRightInd/>
        <w:snapToGrid/>
        <w:ind w:firstLine="640" w:firstLineChars="200"/>
        <w:jc w:val="both"/>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8.卫生健康支出（类）公共卫生（款）重大公共卫生服务（项）:支出决算数为0.00万元，比上年决算减少80.00万元，下降100%，主要原因是：未安排中央重大传染病防控经费</w:t>
      </w:r>
      <w:r>
        <w:rPr>
          <w:rFonts w:hint="default" w:ascii="Times New Roman" w:hAnsi="Times New Roman" w:eastAsia="仿宋_GB2312" w:cs="Times New Roman"/>
          <w:color w:val="auto"/>
          <w:kern w:val="2"/>
          <w:sz w:val="32"/>
          <w:szCs w:val="32"/>
          <w:highlight w:val="none"/>
          <w:lang w:val="zh-CN" w:eastAsia="zh-CN" w:bidi="ar-SA"/>
        </w:rPr>
        <w:t>。</w:t>
      </w:r>
    </w:p>
    <w:p w14:paraId="31124B48">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kern w:val="2"/>
          <w:sz w:val="32"/>
          <w:szCs w:val="32"/>
          <w:highlight w:val="none"/>
          <w:lang w:val="en-US" w:eastAsia="zh-CN" w:bidi="ar-SA"/>
        </w:rPr>
        <w:t>9.卫生健康支出（类）公共卫生（款）突发公共卫生事件应急处理（项）:支出决算数为974.48万元，比上年决算增加974.48万元，增长100%，主要原因是：</w:t>
      </w:r>
      <w:r>
        <w:rPr>
          <w:rFonts w:hint="default" w:ascii="Times New Roman" w:hAnsi="Times New Roman" w:eastAsia="仿宋_GB2312" w:cs="Times New Roman"/>
          <w:color w:val="auto"/>
          <w:sz w:val="32"/>
          <w:szCs w:val="32"/>
          <w:lang w:eastAsia="zh-CN"/>
        </w:rPr>
        <w:t>新增</w:t>
      </w:r>
      <w:r>
        <w:rPr>
          <w:rFonts w:hint="default" w:ascii="Times New Roman" w:hAnsi="Times New Roman" w:eastAsia="仿宋_GB2312" w:cs="Times New Roman"/>
          <w:color w:val="auto"/>
          <w:sz w:val="32"/>
          <w:szCs w:val="32"/>
          <w:lang w:val="en-US" w:eastAsia="zh-CN"/>
        </w:rPr>
        <w:t>自治区疫情防控补助资金（重症救治设备购置）、自治区医务人员临时性工作补助财政专项资金。</w:t>
      </w:r>
    </w:p>
    <w:p w14:paraId="054DA1A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kern w:val="2"/>
          <w:sz w:val="32"/>
          <w:szCs w:val="32"/>
          <w:highlight w:val="none"/>
          <w:lang w:val="en-US" w:eastAsia="zh-CN" w:bidi="ar-SA"/>
        </w:rPr>
        <w:t>卫生健康支出（类）公共卫生（款）其他公共卫生支出（项）:支出决算数为28.00万元，比上年决算增加28.00万元，增长100%，主要原因是：增加</w:t>
      </w:r>
      <w:r>
        <w:rPr>
          <w:rFonts w:hint="default" w:ascii="Times New Roman" w:hAnsi="Times New Roman" w:eastAsia="仿宋_GB2312" w:cs="Times New Roman"/>
          <w:color w:val="auto"/>
          <w:sz w:val="32"/>
          <w:szCs w:val="32"/>
        </w:rPr>
        <w:t>自治区公共卫生服务（地方公卫）补助资金</w:t>
      </w:r>
      <w:r>
        <w:rPr>
          <w:rFonts w:hint="default" w:ascii="Times New Roman" w:hAnsi="Times New Roman" w:eastAsia="仿宋_GB2312" w:cs="Times New Roman"/>
          <w:color w:val="auto"/>
          <w:sz w:val="32"/>
          <w:szCs w:val="32"/>
          <w:lang w:eastAsia="zh-CN"/>
        </w:rPr>
        <w:t>。</w:t>
      </w:r>
    </w:p>
    <w:p w14:paraId="65754150">
      <w:pPr>
        <w:pStyle w:val="13"/>
        <w:keepNext w:val="0"/>
        <w:keepLines w:val="0"/>
        <w:pageBreakBefore w:val="0"/>
        <w:widowControl w:val="0"/>
        <w:kinsoku/>
        <w:wordWrap/>
        <w:overflowPunct/>
        <w:topLinePunct w:val="0"/>
        <w:autoSpaceDE/>
        <w:autoSpaceDN/>
        <w:bidi w:val="0"/>
        <w:adjustRightInd/>
        <w:snapToGrid/>
        <w:ind w:firstLine="640" w:firstLineChars="200"/>
        <w:jc w:val="both"/>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sz w:val="32"/>
          <w:szCs w:val="32"/>
          <w:lang w:val="en-US" w:eastAsia="zh-CN"/>
        </w:rPr>
        <w:t>11.</w:t>
      </w:r>
      <w:r>
        <w:rPr>
          <w:rFonts w:hint="default" w:ascii="Times New Roman" w:hAnsi="Times New Roman" w:eastAsia="仿宋_GB2312" w:cs="Times New Roman"/>
          <w:color w:val="auto"/>
          <w:kern w:val="2"/>
          <w:sz w:val="32"/>
          <w:szCs w:val="32"/>
          <w:highlight w:val="none"/>
          <w:lang w:val="en-US" w:eastAsia="zh-CN" w:bidi="ar-SA"/>
        </w:rPr>
        <w:t>卫生健康支出（类）中医药（款）中医（民族医）药专项（项）:支出决算数为370.00万元，比上年决算减少80.00万元，下降17.78%，主要原因是：财政未安排</w:t>
      </w:r>
      <w:r>
        <w:rPr>
          <w:rFonts w:hint="default" w:ascii="Times New Roman" w:hAnsi="Times New Roman" w:eastAsia="仿宋_GB2312" w:cs="Times New Roman"/>
          <w:color w:val="auto"/>
          <w:kern w:val="2"/>
          <w:sz w:val="32"/>
          <w:szCs w:val="32"/>
          <w:highlight w:val="none"/>
          <w:lang w:val="zh-CN" w:eastAsia="zh-CN" w:bidi="ar-SA"/>
        </w:rPr>
        <w:t>自治区医疗服务能力提升（中医药传承与发展）</w:t>
      </w:r>
      <w:r>
        <w:rPr>
          <w:rFonts w:hint="default" w:ascii="Times New Roman" w:hAnsi="Times New Roman" w:eastAsia="仿宋_GB2312" w:cs="Times New Roman"/>
          <w:color w:val="auto"/>
          <w:kern w:val="2"/>
          <w:sz w:val="32"/>
          <w:szCs w:val="32"/>
          <w:highlight w:val="none"/>
          <w:lang w:val="en-US" w:eastAsia="zh-CN" w:bidi="ar-SA"/>
        </w:rPr>
        <w:t>项目资金。</w:t>
      </w:r>
    </w:p>
    <w:p w14:paraId="1148789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12.卫生健康支出（类）行政事业单位医疗（款）事业单位医疗（项）:支出决算数为140.79万元，比上年决算增加8.15万元，增长6.14%，主要原因是：在职人员工资基数调增，事业单位医疗缴费增加</w:t>
      </w:r>
      <w:r>
        <w:rPr>
          <w:rFonts w:hint="default" w:ascii="Times New Roman" w:hAnsi="Times New Roman" w:eastAsia="仿宋_GB2312" w:cs="Times New Roman"/>
          <w:color w:val="auto"/>
          <w:kern w:val="2"/>
          <w:sz w:val="32"/>
          <w:szCs w:val="32"/>
          <w:highlight w:val="none"/>
          <w:lang w:val="zh-CN" w:eastAsia="zh-CN" w:bidi="ar-SA"/>
        </w:rPr>
        <w:t>。</w:t>
      </w:r>
    </w:p>
    <w:p w14:paraId="380F691E">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13.卫生健康支出（类）行政事业单位医疗（款）公务员医疗补助（项）:支出决算数为131.40万元，比上年决算增加28.24万元，增长27.37%，主要原因是：在职人员工资基数调增，事业单位医疗补助缴费增加</w:t>
      </w:r>
      <w:r>
        <w:rPr>
          <w:rFonts w:hint="default" w:ascii="Times New Roman" w:hAnsi="Times New Roman" w:eastAsia="仿宋_GB2312" w:cs="Times New Roman"/>
          <w:color w:val="auto"/>
          <w:kern w:val="2"/>
          <w:sz w:val="32"/>
          <w:szCs w:val="32"/>
          <w:highlight w:val="none"/>
          <w:lang w:val="zh-CN" w:eastAsia="zh-CN" w:bidi="ar-SA"/>
        </w:rPr>
        <w:t>。</w:t>
      </w:r>
    </w:p>
    <w:p w14:paraId="0716C561">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14.住房保障支出（类）住房改革支出（款）住房公积金（项）:支出决算数为225.26万元，比上年决算增加41.11万元，增长22.33%，主要原因是：在职人员工资基数调增</w:t>
      </w:r>
      <w:r>
        <w:rPr>
          <w:rFonts w:hint="default" w:ascii="Times New Roman" w:hAnsi="Times New Roman" w:eastAsia="仿宋_GB2312" w:cs="Times New Roman"/>
          <w:color w:val="auto"/>
          <w:kern w:val="2"/>
          <w:sz w:val="32"/>
          <w:szCs w:val="32"/>
          <w:highlight w:val="none"/>
          <w:lang w:val="zh-CN" w:eastAsia="zh-CN" w:bidi="ar-SA"/>
        </w:rPr>
        <w:t>，</w:t>
      </w:r>
      <w:r>
        <w:rPr>
          <w:rFonts w:hint="default" w:ascii="Times New Roman" w:hAnsi="Times New Roman" w:eastAsia="仿宋_GB2312" w:cs="Times New Roman"/>
          <w:color w:val="auto"/>
          <w:kern w:val="2"/>
          <w:sz w:val="32"/>
          <w:szCs w:val="32"/>
          <w:highlight w:val="none"/>
          <w:lang w:val="en-US" w:eastAsia="zh-CN" w:bidi="ar-SA"/>
        </w:rPr>
        <w:t>住房公积金缴费增加</w:t>
      </w:r>
      <w:r>
        <w:rPr>
          <w:rFonts w:hint="default" w:ascii="Times New Roman" w:hAnsi="Times New Roman" w:eastAsia="仿宋_GB2312" w:cs="Times New Roman"/>
          <w:color w:val="auto"/>
          <w:kern w:val="2"/>
          <w:sz w:val="32"/>
          <w:szCs w:val="32"/>
          <w:highlight w:val="none"/>
          <w:lang w:val="zh-CN" w:eastAsia="zh-CN" w:bidi="ar-SA"/>
        </w:rPr>
        <w:t>。</w:t>
      </w:r>
    </w:p>
    <w:p w14:paraId="5518DA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14:paraId="3C57CA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val="en-US" w:eastAsia="zh-CN"/>
        </w:rPr>
        <w:t>3360.79</w:t>
      </w:r>
      <w:r>
        <w:rPr>
          <w:rFonts w:hint="default" w:ascii="Times New Roman" w:hAnsi="Times New Roman" w:eastAsia="仿宋_GB2312" w:cs="Times New Roman"/>
          <w:color w:val="auto"/>
          <w:sz w:val="32"/>
          <w:szCs w:val="32"/>
          <w:highlight w:val="none"/>
        </w:rPr>
        <w:t>万元，其中</w:t>
      </w:r>
      <w:r>
        <w:rPr>
          <w:rFonts w:hint="default" w:ascii="Times New Roman" w:hAnsi="Times New Roman" w:eastAsia="仿宋_GB2312" w:cs="Times New Roman"/>
          <w:b w:val="0"/>
          <w:bCs w:val="0"/>
          <w:color w:val="auto"/>
          <w:sz w:val="32"/>
          <w:szCs w:val="32"/>
          <w:highlight w:val="none"/>
        </w:rPr>
        <w:t>：人员经费</w:t>
      </w:r>
      <w:r>
        <w:rPr>
          <w:rFonts w:hint="default" w:ascii="Times New Roman" w:hAnsi="Times New Roman" w:eastAsia="仿宋_GB2312" w:cs="Times New Roman"/>
          <w:b w:val="0"/>
          <w:bCs w:val="0"/>
          <w:color w:val="auto"/>
          <w:sz w:val="32"/>
          <w:szCs w:val="32"/>
          <w:highlight w:val="none"/>
          <w:lang w:val="en-US" w:eastAsia="zh-CN"/>
        </w:rPr>
        <w:t>3095.31</w:t>
      </w:r>
      <w:r>
        <w:rPr>
          <w:rFonts w:hint="default" w:ascii="Times New Roman" w:hAnsi="Times New Roman" w:eastAsia="仿宋_GB2312" w:cs="Times New Roman"/>
          <w:b w:val="0"/>
          <w:bCs w:val="0"/>
          <w:color w:val="auto"/>
          <w:sz w:val="32"/>
          <w:szCs w:val="32"/>
          <w:highlight w:val="none"/>
        </w:rPr>
        <w:t>万元，包括：</w:t>
      </w:r>
      <w:r>
        <w:rPr>
          <w:rFonts w:hint="default" w:ascii="Times New Roman" w:hAnsi="Times New Roman" w:eastAsia="仿宋_GB2312" w:cs="Times New Roman"/>
          <w:b w:val="0"/>
          <w:bCs w:val="0"/>
          <w:color w:val="auto"/>
          <w:sz w:val="32"/>
          <w:szCs w:val="32"/>
          <w:highlight w:val="none"/>
          <w:lang w:eastAsia="zh-CN"/>
        </w:rPr>
        <w:t>基本工资、津贴补贴、奖金、绩效工资、职业年金缴费、职工基本医疗保险</w:t>
      </w:r>
      <w:r>
        <w:rPr>
          <w:rFonts w:hint="default" w:ascii="Times New Roman" w:hAnsi="Times New Roman" w:eastAsia="仿宋_GB2312" w:cs="Times New Roman"/>
          <w:b w:val="0"/>
          <w:bCs w:val="0"/>
          <w:color w:val="auto"/>
          <w:sz w:val="32"/>
          <w:szCs w:val="32"/>
          <w:highlight w:val="none"/>
          <w:lang w:val="en-US" w:eastAsia="zh-CN"/>
        </w:rPr>
        <w:t>费</w:t>
      </w:r>
      <w:r>
        <w:rPr>
          <w:rFonts w:hint="default" w:ascii="Times New Roman" w:hAnsi="Times New Roman" w:eastAsia="仿宋_GB2312" w:cs="Times New Roman"/>
          <w:b w:val="0"/>
          <w:bCs w:val="0"/>
          <w:color w:val="auto"/>
          <w:sz w:val="32"/>
          <w:szCs w:val="32"/>
          <w:highlight w:val="none"/>
          <w:lang w:eastAsia="zh-CN"/>
        </w:rPr>
        <w:t>、公务员医疗补助缴费、其他社会保障缴费、住房公积金、</w:t>
      </w:r>
      <w:r>
        <w:rPr>
          <w:rFonts w:hint="default" w:ascii="Times New Roman" w:hAnsi="Times New Roman" w:eastAsia="仿宋_GB2312" w:cs="Times New Roman"/>
          <w:b w:val="0"/>
          <w:bCs w:val="0"/>
          <w:color w:val="auto"/>
          <w:sz w:val="32"/>
          <w:szCs w:val="32"/>
          <w:highlight w:val="none"/>
          <w:lang w:val="en-US" w:eastAsia="zh-CN"/>
        </w:rPr>
        <w:t>其他工资福利支出、退休费、抚恤金、生活补助、医疗费补助。</w:t>
      </w:r>
    </w:p>
    <w:p w14:paraId="76DFC27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val="0"/>
          <w:bCs w:val="0"/>
          <w:color w:val="auto"/>
          <w:sz w:val="32"/>
          <w:szCs w:val="32"/>
          <w:highlight w:val="none"/>
        </w:rPr>
        <w:t>公用经费</w:t>
      </w:r>
      <w:r>
        <w:rPr>
          <w:rFonts w:hint="default" w:ascii="Times New Roman" w:hAnsi="Times New Roman" w:eastAsia="仿宋_GB2312" w:cs="Times New Roman"/>
          <w:b w:val="0"/>
          <w:bCs w:val="0"/>
          <w:color w:val="auto"/>
          <w:sz w:val="32"/>
          <w:szCs w:val="32"/>
          <w:highlight w:val="none"/>
          <w:lang w:val="en-US" w:eastAsia="zh-CN"/>
        </w:rPr>
        <w:t>265.48</w:t>
      </w:r>
      <w:r>
        <w:rPr>
          <w:rFonts w:hint="default" w:ascii="Times New Roman" w:hAnsi="Times New Roman" w:eastAsia="仿宋_GB2312" w:cs="Times New Roman"/>
          <w:b w:val="0"/>
          <w:bCs w:val="0"/>
          <w:color w:val="auto"/>
          <w:sz w:val="32"/>
          <w:szCs w:val="32"/>
          <w:highlight w:val="none"/>
        </w:rPr>
        <w:t>万元，包括</w:t>
      </w:r>
      <w:r>
        <w:rPr>
          <w:rFonts w:hint="default" w:ascii="Times New Roman" w:hAnsi="Times New Roman" w:eastAsia="仿宋_GB2312" w:cs="Times New Roman"/>
          <w:b w:val="0"/>
          <w:bCs w:val="0"/>
          <w:color w:val="auto"/>
          <w:sz w:val="32"/>
          <w:szCs w:val="32"/>
          <w:highlight w:val="none"/>
          <w:lang w:val="en-US" w:eastAsia="zh-CN"/>
        </w:rPr>
        <w:t>:办公费、水费、电费、邮电费、取暖费、物业管理费、工会经费、福利费、其他交通费用、其他商品和服务支出。</w:t>
      </w:r>
    </w:p>
    <w:p w14:paraId="353C3A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14:paraId="4432E9A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“三公”经费支出0.00万元，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增加0.00万元，增长0.00%，主要原因是：</w:t>
      </w:r>
      <w:r>
        <w:rPr>
          <w:rFonts w:hint="default" w:ascii="Times New Roman" w:hAnsi="Times New Roman" w:eastAsia="仿宋_GB2312" w:cs="Times New Roman"/>
          <w:color w:val="auto"/>
          <w:sz w:val="32"/>
          <w:szCs w:val="32"/>
          <w:highlight w:val="none"/>
          <w:lang w:val="en-US" w:eastAsia="zh-CN"/>
        </w:rPr>
        <w:t>未安排财政拨款“三公”经费金额</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。其中：因公出国（境）费支出0.00万元，占0.00%，比上年增加0.00万元，增长0.00%，主要原因是：</w:t>
      </w:r>
      <w:r>
        <w:rPr>
          <w:rFonts w:hint="default" w:ascii="Times New Roman" w:hAnsi="Times New Roman" w:eastAsia="仿宋_GB2312" w:cs="Times New Roman"/>
          <w:color w:val="auto"/>
          <w:sz w:val="32"/>
          <w:szCs w:val="32"/>
          <w:highlight w:val="none"/>
          <w:lang w:val="en-US" w:eastAsia="zh-CN"/>
        </w:rPr>
        <w:t>未安排财政拨款</w:t>
      </w:r>
      <w:r>
        <w:rPr>
          <w:rFonts w:hint="default" w:ascii="Times New Roman" w:hAnsi="Times New Roman" w:eastAsia="仿宋_GB2312" w:cs="Times New Roman"/>
          <w:color w:val="auto"/>
          <w:sz w:val="32"/>
          <w:szCs w:val="32"/>
          <w:highlight w:val="none"/>
          <w:lang w:val="zh-CN" w:eastAsia="zh-CN"/>
        </w:rPr>
        <w:t>因公出国（境）费；公务用车购置及运行维护费支出0.00万元，占0.00%，比上年增加0.00万元，增长0.00%，主要原因是：</w:t>
      </w:r>
      <w:r>
        <w:rPr>
          <w:rFonts w:hint="default" w:ascii="Times New Roman" w:hAnsi="Times New Roman" w:eastAsia="仿宋_GB2312" w:cs="Times New Roman"/>
          <w:color w:val="auto"/>
          <w:sz w:val="32"/>
          <w:szCs w:val="32"/>
          <w:highlight w:val="none"/>
          <w:lang w:val="en-US" w:eastAsia="zh-CN"/>
        </w:rPr>
        <w:t>未安排财政拨款</w:t>
      </w:r>
      <w:r>
        <w:rPr>
          <w:rFonts w:hint="default" w:ascii="Times New Roman" w:hAnsi="Times New Roman" w:eastAsia="仿宋_GB2312" w:cs="Times New Roman"/>
          <w:color w:val="auto"/>
          <w:sz w:val="32"/>
          <w:szCs w:val="32"/>
          <w:highlight w:val="none"/>
          <w:lang w:val="zh-CN" w:eastAsia="zh-CN"/>
        </w:rPr>
        <w:t>公务用车购置及运行维护费；公务接待费支出0.00万元，占0.00%，比上年增加0.00万元，增长0.00%，主要原因是：</w:t>
      </w:r>
      <w:r>
        <w:rPr>
          <w:rFonts w:hint="default" w:ascii="Times New Roman" w:hAnsi="Times New Roman" w:eastAsia="仿宋_GB2312" w:cs="Times New Roman"/>
          <w:color w:val="auto"/>
          <w:sz w:val="32"/>
          <w:szCs w:val="32"/>
          <w:highlight w:val="none"/>
          <w:lang w:eastAsia="zh-CN"/>
        </w:rPr>
        <w:t>未安排财政拨款</w:t>
      </w:r>
      <w:r>
        <w:rPr>
          <w:rFonts w:hint="default" w:ascii="Times New Roman" w:hAnsi="Times New Roman" w:eastAsia="仿宋_GB2312" w:cs="Times New Roman"/>
          <w:color w:val="auto"/>
          <w:sz w:val="32"/>
          <w:szCs w:val="32"/>
          <w:highlight w:val="none"/>
        </w:rPr>
        <w:t>公务接待</w:t>
      </w:r>
      <w:r>
        <w:rPr>
          <w:rFonts w:hint="default" w:ascii="Times New Roman" w:hAnsi="Times New Roman" w:eastAsia="仿宋_GB2312" w:cs="Times New Roman"/>
          <w:color w:val="auto"/>
          <w:sz w:val="32"/>
          <w:szCs w:val="32"/>
          <w:highlight w:val="none"/>
          <w:lang w:eastAsia="zh-CN"/>
        </w:rPr>
        <w:t>费</w:t>
      </w:r>
      <w:r>
        <w:rPr>
          <w:rFonts w:hint="default" w:ascii="Times New Roman" w:hAnsi="Times New Roman" w:eastAsia="仿宋_GB2312" w:cs="Times New Roman"/>
          <w:color w:val="auto"/>
          <w:sz w:val="32"/>
          <w:szCs w:val="32"/>
          <w:highlight w:val="none"/>
          <w:lang w:val="zh-CN" w:eastAsia="zh-CN"/>
        </w:rPr>
        <w:t>。</w:t>
      </w:r>
    </w:p>
    <w:p w14:paraId="5BC9417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具体情况如下：</w:t>
      </w:r>
    </w:p>
    <w:p w14:paraId="061B42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default" w:ascii="Times New Roman" w:hAnsi="Times New Roman" w:eastAsia="仿宋_GB2312" w:cs="Times New Roman"/>
          <w:color w:val="auto"/>
          <w:sz w:val="32"/>
          <w:szCs w:val="32"/>
          <w:highlight w:val="none"/>
          <w:lang w:val="en-US" w:eastAsia="zh-CN"/>
        </w:rPr>
        <w:t>本年度未发生</w:t>
      </w:r>
      <w:r>
        <w:rPr>
          <w:rFonts w:hint="default" w:ascii="Times New Roman" w:hAnsi="Times New Roman" w:eastAsia="仿宋_GB2312" w:cs="Times New Roman"/>
          <w:color w:val="auto"/>
          <w:sz w:val="32"/>
          <w:szCs w:val="32"/>
          <w:highlight w:val="none"/>
          <w:lang w:val="zh-CN" w:eastAsia="zh-CN"/>
        </w:rPr>
        <w:t>因公出国（境）费。单位全年安排的因公出国（境）团组0个，因公出国（境）0人次。</w:t>
      </w:r>
    </w:p>
    <w:p w14:paraId="77FB21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default" w:ascii="Times New Roman" w:hAnsi="Times New Roman" w:eastAsia="仿宋_GB2312" w:cs="Times New Roman"/>
          <w:color w:val="auto"/>
          <w:sz w:val="32"/>
          <w:szCs w:val="32"/>
          <w:highlight w:val="none"/>
        </w:rPr>
        <w:t>我单位无公务用车</w:t>
      </w:r>
      <w:r>
        <w:rPr>
          <w:rFonts w:hint="default" w:ascii="Times New Roman" w:hAnsi="Times New Roman" w:eastAsia="仿宋_GB2312" w:cs="Times New Roman"/>
          <w:color w:val="auto"/>
          <w:sz w:val="32"/>
          <w:szCs w:val="32"/>
          <w:highlight w:val="none"/>
          <w:lang w:val="zh-CN" w:eastAsia="zh-CN"/>
        </w:rPr>
        <w:t>运行维护费。公务用车购置数0辆，公务用车保有量</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zh-CN" w:eastAsia="zh-CN"/>
        </w:rPr>
        <w:t>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9辆，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原因是：我</w:t>
      </w:r>
      <w:r>
        <w:rPr>
          <w:rFonts w:hint="default" w:ascii="Times New Roman" w:hAnsi="Times New Roman" w:eastAsia="仿宋_GB2312" w:cs="Times New Roman"/>
          <w:color w:val="auto"/>
          <w:sz w:val="32"/>
          <w:szCs w:val="32"/>
          <w:highlight w:val="none"/>
          <w:lang w:val="en-US" w:eastAsia="zh-CN"/>
        </w:rPr>
        <w:t>单位9辆车均为一般业务工作用车，</w:t>
      </w:r>
      <w:r>
        <w:rPr>
          <w:rFonts w:hint="default" w:ascii="Times New Roman" w:hAnsi="Times New Roman" w:eastAsia="仿宋_GB2312" w:cs="Times New Roman"/>
          <w:sz w:val="32"/>
          <w:szCs w:val="32"/>
          <w:lang w:val="zh-CN"/>
        </w:rPr>
        <w:t>非公务用车。</w:t>
      </w:r>
    </w:p>
    <w:p w14:paraId="7E27BA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b w:val="0"/>
          <w:bCs w:val="0"/>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default" w:ascii="Times New Roman" w:hAnsi="Times New Roman" w:eastAsia="仿宋_GB2312" w:cs="Times New Roman"/>
          <w:color w:val="auto"/>
          <w:sz w:val="32"/>
          <w:szCs w:val="32"/>
          <w:highlight w:val="none"/>
          <w:lang w:val="en-US" w:eastAsia="zh-CN"/>
        </w:rPr>
        <w:t>我单位无</w:t>
      </w:r>
      <w:r>
        <w:rPr>
          <w:rFonts w:hint="default" w:ascii="Times New Roman" w:hAnsi="Times New Roman" w:eastAsia="仿宋_GB2312" w:cs="Times New Roman"/>
          <w:color w:val="auto"/>
          <w:sz w:val="32"/>
          <w:szCs w:val="32"/>
          <w:highlight w:val="none"/>
          <w:lang w:val="zh-CN" w:eastAsia="zh-CN"/>
        </w:rPr>
        <w:t>公务接待费支出</w:t>
      </w:r>
      <w:r>
        <w:rPr>
          <w:rFonts w:hint="default" w:ascii="Times New Roman" w:hAnsi="Times New Roman" w:eastAsia="仿宋_GB2312" w:cs="Times New Roman"/>
          <w:b w:val="0"/>
          <w:bCs w:val="0"/>
          <w:color w:val="auto"/>
          <w:sz w:val="32"/>
          <w:szCs w:val="32"/>
          <w:highlight w:val="none"/>
          <w:lang w:val="zh-CN" w:eastAsia="zh-CN"/>
        </w:rPr>
        <w:t>。单位全年安排的国内公务接待0批次，0人次。</w:t>
      </w:r>
    </w:p>
    <w:p w14:paraId="45231B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val="0"/>
          <w:bCs w:val="0"/>
          <w:color w:val="auto"/>
          <w:sz w:val="32"/>
          <w:szCs w:val="32"/>
          <w:highlight w:val="none"/>
          <w:lang w:val="zh-CN" w:eastAsia="zh-CN"/>
        </w:rPr>
        <w:t>与全年预算相比,财政拨</w:t>
      </w:r>
      <w:r>
        <w:rPr>
          <w:rFonts w:hint="default" w:ascii="Times New Roman" w:hAnsi="Times New Roman" w:eastAsia="仿宋_GB2312" w:cs="Times New Roman"/>
          <w:color w:val="auto"/>
          <w:sz w:val="32"/>
          <w:szCs w:val="32"/>
          <w:highlight w:val="none"/>
          <w:lang w:val="zh-CN" w:eastAsia="zh-CN"/>
        </w:rPr>
        <w:t>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lang w:eastAsia="zh-CN"/>
        </w:rPr>
        <w:t>未安排</w:t>
      </w:r>
      <w:r>
        <w:rPr>
          <w:rFonts w:hint="default" w:ascii="Times New Roman" w:hAnsi="Times New Roman" w:eastAsia="仿宋_GB2312" w:cs="Times New Roman"/>
          <w:color w:val="auto"/>
          <w:sz w:val="32"/>
          <w:szCs w:val="32"/>
        </w:rPr>
        <w:t>财政拨款“三公”经费支出</w:t>
      </w:r>
      <w:r>
        <w:rPr>
          <w:rFonts w:hint="default" w:ascii="Times New Roman" w:hAnsi="Times New Roman" w:eastAsia="仿宋_GB2312" w:cs="Times New Roman"/>
          <w:color w:val="auto"/>
          <w:sz w:val="32"/>
          <w:szCs w:val="32"/>
          <w:lang w:eastAsia="zh-CN"/>
        </w:rPr>
        <w:t>预算</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w:t>
      </w:r>
      <w:r>
        <w:rPr>
          <w:rFonts w:hint="default" w:ascii="Times New Roman" w:hAnsi="Times New Roman" w:eastAsia="仿宋_GB2312" w:cs="Times New Roman"/>
          <w:color w:val="auto"/>
          <w:sz w:val="32"/>
          <w:szCs w:val="32"/>
          <w:lang w:eastAsia="zh-CN"/>
        </w:rPr>
        <w:t>未安排财政拨款</w:t>
      </w:r>
      <w:r>
        <w:rPr>
          <w:rFonts w:hint="default" w:ascii="Times New Roman" w:hAnsi="Times New Roman" w:eastAsia="仿宋_GB2312" w:cs="Times New Roman"/>
          <w:color w:val="auto"/>
          <w:sz w:val="32"/>
          <w:szCs w:val="32"/>
        </w:rPr>
        <w:t>因公出国（境）费</w:t>
      </w:r>
      <w:r>
        <w:rPr>
          <w:rFonts w:hint="default" w:ascii="Times New Roman" w:hAnsi="Times New Roman" w:eastAsia="仿宋_GB2312" w:cs="Times New Roman"/>
          <w:color w:val="auto"/>
          <w:sz w:val="32"/>
          <w:szCs w:val="32"/>
          <w:lang w:eastAsia="zh-CN"/>
        </w:rPr>
        <w:t>预算</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highlight w:val="none"/>
          <w:lang w:val="en-US" w:eastAsia="zh-CN"/>
        </w:rPr>
        <w:t>未安排财政拨款</w:t>
      </w:r>
      <w:r>
        <w:rPr>
          <w:rFonts w:hint="default" w:ascii="Times New Roman" w:hAnsi="Times New Roman" w:eastAsia="仿宋_GB2312" w:cs="Times New Roman"/>
          <w:color w:val="auto"/>
          <w:sz w:val="32"/>
          <w:szCs w:val="32"/>
          <w:highlight w:val="none"/>
          <w:lang w:val="zh-CN" w:eastAsia="zh-CN"/>
        </w:rPr>
        <w:t>公务用车购置</w:t>
      </w:r>
      <w:r>
        <w:rPr>
          <w:rFonts w:hint="default" w:ascii="Times New Roman" w:hAnsi="Times New Roman" w:eastAsia="仿宋_GB2312" w:cs="Times New Roman"/>
          <w:color w:val="auto"/>
          <w:sz w:val="32"/>
          <w:szCs w:val="32"/>
          <w:highlight w:val="none"/>
          <w:lang w:val="en-US" w:eastAsia="zh-CN"/>
        </w:rPr>
        <w:t>费预算</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highlight w:val="none"/>
          <w:lang w:val="en-US" w:eastAsia="zh-CN"/>
        </w:rPr>
        <w:t>未安排财政拨款</w:t>
      </w:r>
      <w:r>
        <w:rPr>
          <w:rFonts w:hint="default" w:ascii="Times New Roman" w:hAnsi="Times New Roman" w:eastAsia="仿宋_GB2312" w:cs="Times New Roman"/>
          <w:color w:val="auto"/>
          <w:sz w:val="32"/>
          <w:szCs w:val="32"/>
          <w:highlight w:val="none"/>
          <w:lang w:val="zh-CN" w:eastAsia="zh-CN"/>
        </w:rPr>
        <w:t>公务用车运行维护费预算；公务接待费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highlight w:val="none"/>
          <w:lang w:val="en-US" w:eastAsia="zh-CN"/>
        </w:rPr>
        <w:t>未安排财政拨款公务接待费预算</w:t>
      </w:r>
      <w:r>
        <w:rPr>
          <w:rFonts w:hint="default" w:ascii="Times New Roman" w:hAnsi="Times New Roman" w:eastAsia="仿宋_GB2312" w:cs="Times New Roman"/>
          <w:color w:val="auto"/>
          <w:sz w:val="32"/>
          <w:szCs w:val="32"/>
          <w:highlight w:val="none"/>
          <w:lang w:val="zh-CN" w:eastAsia="zh-CN"/>
        </w:rPr>
        <w:t>。</w:t>
      </w:r>
    </w:p>
    <w:p w14:paraId="3B31BC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14:paraId="4906AF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2023年度政府性基金预算</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收入</w:t>
      </w:r>
      <w:r>
        <w:rPr>
          <w:rFonts w:hint="default" w:ascii="Times New Roman" w:hAnsi="Times New Roman" w:eastAsia="仿宋_GB2312" w:cs="Times New Roman"/>
          <w:color w:val="auto"/>
          <w:sz w:val="32"/>
          <w:szCs w:val="32"/>
          <w:highlight w:val="none"/>
          <w:lang w:val="en-US" w:eastAsia="zh-CN"/>
        </w:rPr>
        <w:t>总计257.04</w:t>
      </w:r>
      <w:r>
        <w:rPr>
          <w:rFonts w:hint="default" w:ascii="Times New Roman" w:hAnsi="Times New Roman" w:eastAsia="仿宋_GB2312" w:cs="Times New Roman"/>
          <w:color w:val="auto"/>
          <w:sz w:val="32"/>
          <w:szCs w:val="32"/>
          <w:highlight w:val="none"/>
          <w:lang w:val="zh-CN" w:eastAsia="zh-CN"/>
        </w:rPr>
        <w:t>万元，</w:t>
      </w:r>
      <w:r>
        <w:rPr>
          <w:rFonts w:hint="default" w:ascii="Times New Roman" w:hAnsi="Times New Roman" w:eastAsia="仿宋_GB2312" w:cs="Times New Roman"/>
          <w:color w:val="auto"/>
          <w:sz w:val="32"/>
          <w:szCs w:val="32"/>
          <w:highlight w:val="none"/>
          <w:lang w:val="en-US" w:eastAsia="zh-CN"/>
        </w:rPr>
        <w:t>其中：年初结转和结余0.00</w:t>
      </w:r>
      <w:r>
        <w:rPr>
          <w:rFonts w:hint="default" w:ascii="Times New Roman" w:hAnsi="Times New Roman" w:eastAsia="仿宋_GB2312" w:cs="Times New Roman"/>
          <w:color w:val="auto"/>
          <w:sz w:val="32"/>
          <w:szCs w:val="32"/>
          <w:highlight w:val="none"/>
          <w:lang w:val="zh-CN"/>
        </w:rPr>
        <w:t>万元</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本年收入257.04</w:t>
      </w:r>
      <w:r>
        <w:rPr>
          <w:rFonts w:hint="default" w:ascii="Times New Roman" w:hAnsi="Times New Roman" w:eastAsia="仿宋_GB2312" w:cs="Times New Roman"/>
          <w:color w:val="auto"/>
          <w:sz w:val="32"/>
          <w:szCs w:val="32"/>
          <w:highlight w:val="none"/>
          <w:lang w:val="zh-CN"/>
        </w:rPr>
        <w:t>万元</w:t>
      </w:r>
      <w:r>
        <w:rPr>
          <w:rFonts w:hint="default" w:ascii="Times New Roman" w:hAnsi="Times New Roman" w:eastAsia="仿宋_GB2312" w:cs="Times New Roman"/>
          <w:color w:val="auto"/>
          <w:sz w:val="32"/>
          <w:szCs w:val="32"/>
          <w:highlight w:val="none"/>
          <w:lang w:val="zh-CN" w:eastAsia="zh-CN"/>
        </w:rPr>
        <w:t>。政府性基金预算财政拨款支出总计257.04万元，</w:t>
      </w:r>
      <w:r>
        <w:rPr>
          <w:rFonts w:hint="default" w:ascii="Times New Roman" w:hAnsi="Times New Roman" w:eastAsia="仿宋_GB2312" w:cs="Times New Roman"/>
          <w:color w:val="auto"/>
          <w:sz w:val="32"/>
          <w:szCs w:val="32"/>
          <w:highlight w:val="none"/>
          <w:lang w:val="en-US" w:eastAsia="zh-CN"/>
        </w:rPr>
        <w:t>其中：年末结转和结余0.00</w:t>
      </w:r>
      <w:r>
        <w:rPr>
          <w:rFonts w:hint="default" w:ascii="Times New Roman" w:hAnsi="Times New Roman" w:eastAsia="仿宋_GB2312" w:cs="Times New Roman"/>
          <w:color w:val="auto"/>
          <w:sz w:val="32"/>
          <w:szCs w:val="32"/>
          <w:highlight w:val="none"/>
          <w:lang w:val="zh-CN" w:eastAsia="zh-CN"/>
        </w:rPr>
        <w:t>万元，</w:t>
      </w:r>
      <w:r>
        <w:rPr>
          <w:rFonts w:hint="default" w:ascii="Times New Roman" w:hAnsi="Times New Roman" w:eastAsia="仿宋_GB2312" w:cs="Times New Roman"/>
          <w:color w:val="auto"/>
          <w:sz w:val="32"/>
          <w:szCs w:val="32"/>
          <w:highlight w:val="none"/>
          <w:lang w:val="en-US" w:eastAsia="zh-CN"/>
        </w:rPr>
        <w:t>本年支出257.04</w:t>
      </w:r>
      <w:r>
        <w:rPr>
          <w:rFonts w:hint="default" w:ascii="Times New Roman" w:hAnsi="Times New Roman" w:eastAsia="仿宋_GB2312" w:cs="Times New Roman"/>
          <w:color w:val="auto"/>
          <w:sz w:val="32"/>
          <w:szCs w:val="32"/>
          <w:highlight w:val="none"/>
          <w:lang w:val="zh-CN" w:eastAsia="zh-CN"/>
        </w:rPr>
        <w:t>万元。</w:t>
      </w:r>
    </w:p>
    <w:p w14:paraId="4501AD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政府性基金预算财政拨款收入支出与上年相比，减少</w:t>
      </w:r>
      <w:r>
        <w:rPr>
          <w:rFonts w:hint="default" w:ascii="Times New Roman" w:hAnsi="Times New Roman" w:eastAsia="仿宋_GB2312" w:cs="Times New Roman"/>
          <w:color w:val="auto"/>
          <w:sz w:val="32"/>
          <w:szCs w:val="32"/>
          <w:highlight w:val="none"/>
          <w:lang w:val="en-US" w:eastAsia="zh-CN"/>
        </w:rPr>
        <w:t>210.72</w:t>
      </w:r>
      <w:r>
        <w:rPr>
          <w:rFonts w:hint="default" w:ascii="Times New Roman" w:hAnsi="Times New Roman" w:eastAsia="仿宋_GB2312" w:cs="Times New Roman"/>
          <w:color w:val="auto"/>
          <w:sz w:val="32"/>
          <w:szCs w:val="32"/>
          <w:highlight w:val="none"/>
          <w:lang w:val="zh-CN" w:eastAsia="zh-CN"/>
        </w:rPr>
        <w:t>万元，下降</w:t>
      </w:r>
      <w:r>
        <w:rPr>
          <w:rFonts w:hint="default" w:ascii="Times New Roman" w:hAnsi="Times New Roman" w:eastAsia="仿宋_GB2312" w:cs="Times New Roman"/>
          <w:color w:val="auto"/>
          <w:sz w:val="32"/>
          <w:szCs w:val="32"/>
          <w:highlight w:val="none"/>
          <w:lang w:val="en-US" w:eastAsia="zh-CN"/>
        </w:rPr>
        <w:t>45.05</w:t>
      </w:r>
      <w:r>
        <w:rPr>
          <w:rFonts w:hint="default"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en-US" w:eastAsia="zh-CN"/>
        </w:rPr>
        <w:t>本年</w:t>
      </w:r>
      <w:r>
        <w:rPr>
          <w:rFonts w:hint="default" w:ascii="Times New Roman" w:hAnsi="Times New Roman" w:eastAsia="仿宋_GB2312" w:cs="Times New Roman"/>
          <w:color w:val="auto"/>
          <w:sz w:val="32"/>
          <w:szCs w:val="32"/>
          <w:highlight w:val="none"/>
          <w:lang w:val="en-US" w:eastAsia="zh-CN"/>
        </w:rPr>
        <w:t>财政未安排</w:t>
      </w:r>
      <w:r>
        <w:rPr>
          <w:rFonts w:hint="default" w:ascii="Times New Roman" w:hAnsi="Times New Roman" w:eastAsia="仿宋_GB2312" w:cs="Times New Roman"/>
          <w:color w:val="auto"/>
          <w:sz w:val="32"/>
          <w:szCs w:val="32"/>
          <w:highlight w:val="none"/>
          <w:lang w:val="zh-CN" w:eastAsia="zh-CN"/>
        </w:rPr>
        <w:t>医疗服务与保障能力提升（社区医养结合）</w:t>
      </w:r>
      <w:r>
        <w:rPr>
          <w:rFonts w:hint="default"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zh-CN" w:eastAsia="zh-CN"/>
        </w:rPr>
        <w:t>与年初预算相比,年初预算数</w:t>
      </w:r>
      <w:r>
        <w:rPr>
          <w:rFonts w:hint="default" w:ascii="Times New Roman" w:hAnsi="Times New Roman" w:eastAsia="仿宋_GB2312" w:cs="Times New Roman"/>
          <w:color w:val="auto"/>
          <w:sz w:val="32"/>
          <w:szCs w:val="32"/>
          <w:highlight w:val="none"/>
          <w:lang w:val="en-US" w:eastAsia="zh-CN"/>
        </w:rPr>
        <w:t>257.04</w:t>
      </w:r>
      <w:r>
        <w:rPr>
          <w:rFonts w:hint="default" w:ascii="Times New Roman" w:hAnsi="Times New Roman" w:eastAsia="仿宋_GB2312" w:cs="Times New Roman"/>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en-US" w:eastAsia="zh-CN"/>
        </w:rPr>
        <w:t>257.04</w:t>
      </w:r>
      <w:r>
        <w:rPr>
          <w:rFonts w:hint="default" w:ascii="Times New Roman" w:hAnsi="Times New Roman" w:eastAsia="仿宋_GB2312" w:cs="Times New Roman"/>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，主要原因是：无预决算差异。</w:t>
      </w:r>
    </w:p>
    <w:p w14:paraId="204E4B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政府性基金预算财政拨款支出257.04万元。</w:t>
      </w:r>
    </w:p>
    <w:p w14:paraId="3721D411">
      <w:pPr>
        <w:keepNext w:val="0"/>
        <w:keepLines w:val="0"/>
        <w:pageBreakBefore w:val="0"/>
        <w:widowControl w:val="0"/>
        <w:numPr>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zh-CN"/>
        </w:rPr>
        <w:t>其他支出（类）彩票公益金安排的支出（款）用于社会福利的彩票公益金支出（项）:支出决算数为57.04</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zh-CN"/>
        </w:rPr>
        <w:t>，比上年决算</w:t>
      </w:r>
      <w:r>
        <w:rPr>
          <w:rFonts w:hint="default" w:ascii="Times New Roman" w:hAnsi="Times New Roman" w:eastAsia="仿宋_GB2312" w:cs="Times New Roman"/>
          <w:color w:val="auto"/>
          <w:sz w:val="32"/>
          <w:szCs w:val="32"/>
          <w:highlight w:val="none"/>
          <w:lang w:val="en-US" w:eastAsia="zh-CN"/>
        </w:rPr>
        <w:t>减少</w:t>
      </w:r>
      <w:r>
        <w:rPr>
          <w:rFonts w:hint="default" w:ascii="Times New Roman" w:hAnsi="Times New Roman" w:eastAsia="仿宋_GB2312" w:cs="Times New Roman"/>
          <w:color w:val="auto"/>
          <w:sz w:val="32"/>
          <w:szCs w:val="32"/>
          <w:highlight w:val="none"/>
          <w:lang w:val="zh-CN"/>
        </w:rPr>
        <w:t>85.72</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en-US" w:eastAsia="zh-CN"/>
        </w:rPr>
        <w:t>下降</w:t>
      </w:r>
      <w:r>
        <w:rPr>
          <w:rFonts w:hint="default" w:ascii="Times New Roman" w:hAnsi="Times New Roman" w:eastAsia="仿宋_GB2312" w:cs="Times New Roman"/>
          <w:color w:val="auto"/>
          <w:sz w:val="32"/>
          <w:szCs w:val="32"/>
          <w:highlight w:val="none"/>
          <w:lang w:val="zh-CN"/>
        </w:rPr>
        <w:t>60.04%，主要原因是：</w:t>
      </w:r>
      <w:r>
        <w:rPr>
          <w:rFonts w:hint="eastAsia" w:ascii="Times New Roman" w:hAnsi="Times New Roman" w:eastAsia="仿宋_GB2312" w:cs="Times New Roman"/>
          <w:color w:val="auto"/>
          <w:sz w:val="32"/>
          <w:szCs w:val="32"/>
          <w:highlight w:val="none"/>
          <w:lang w:val="en-US" w:eastAsia="zh-CN"/>
        </w:rPr>
        <w:t>本年</w:t>
      </w:r>
      <w:r>
        <w:rPr>
          <w:rFonts w:hint="default" w:ascii="Times New Roman" w:hAnsi="Times New Roman" w:eastAsia="仿宋_GB2312" w:cs="Times New Roman"/>
          <w:color w:val="auto"/>
          <w:sz w:val="32"/>
          <w:szCs w:val="32"/>
          <w:highlight w:val="none"/>
          <w:lang w:val="zh-CN" w:eastAsia="zh-CN"/>
        </w:rPr>
        <w:t>财政未安排</w:t>
      </w:r>
      <w:r>
        <w:rPr>
          <w:rFonts w:hint="default" w:ascii="Times New Roman" w:hAnsi="Times New Roman" w:eastAsia="仿宋_GB2312" w:cs="Times New Roman"/>
          <w:color w:val="auto"/>
          <w:sz w:val="32"/>
          <w:szCs w:val="32"/>
          <w:highlight w:val="none"/>
          <w:lang w:val="zh-CN"/>
        </w:rPr>
        <w:t>用于社会福利的彩票公益金支出专项资金。</w:t>
      </w:r>
    </w:p>
    <w:p w14:paraId="14E4E394">
      <w:pPr>
        <w:keepNext w:val="0"/>
        <w:keepLines w:val="0"/>
        <w:pageBreakBefore w:val="0"/>
        <w:widowControl w:val="0"/>
        <w:numPr>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rPr>
        <w:t>2.其他支出（类）彩票公益金安排的支出（款）用于其他社会公益事业的彩票公益金支出（项）:支出决算数为200.00</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zh-CN"/>
        </w:rPr>
        <w:t>，比上年决算</w:t>
      </w:r>
      <w:r>
        <w:rPr>
          <w:rFonts w:hint="default" w:ascii="Times New Roman" w:hAnsi="Times New Roman" w:eastAsia="仿宋_GB2312" w:cs="Times New Roman"/>
          <w:color w:val="auto"/>
          <w:sz w:val="32"/>
          <w:szCs w:val="32"/>
          <w:highlight w:val="none"/>
          <w:lang w:val="en-US" w:eastAsia="zh-CN"/>
        </w:rPr>
        <w:t>减少</w:t>
      </w:r>
      <w:r>
        <w:rPr>
          <w:rFonts w:hint="default" w:ascii="Times New Roman" w:hAnsi="Times New Roman" w:eastAsia="仿宋_GB2312" w:cs="Times New Roman"/>
          <w:color w:val="auto"/>
          <w:sz w:val="32"/>
          <w:szCs w:val="32"/>
          <w:highlight w:val="none"/>
          <w:lang w:val="zh-CN"/>
        </w:rPr>
        <w:t>125.00</w:t>
      </w:r>
      <w:r>
        <w:rPr>
          <w:rFonts w:hint="default" w:ascii="Times New Roman" w:hAnsi="Times New Roman" w:eastAsia="仿宋_GB2312" w:cs="Times New Roman"/>
          <w:color w:val="auto"/>
          <w:sz w:val="32"/>
          <w:szCs w:val="32"/>
          <w:highlight w:val="none"/>
          <w:lang w:val="en-US" w:eastAsia="zh-CN"/>
        </w:rPr>
        <w:t>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en-US" w:eastAsia="zh-CN"/>
        </w:rPr>
        <w:t>下降</w:t>
      </w:r>
      <w:r>
        <w:rPr>
          <w:rFonts w:hint="default" w:ascii="Times New Roman" w:hAnsi="Times New Roman" w:eastAsia="仿宋_GB2312" w:cs="Times New Roman"/>
          <w:color w:val="auto"/>
          <w:sz w:val="32"/>
          <w:szCs w:val="32"/>
          <w:highlight w:val="none"/>
          <w:lang w:val="zh-CN"/>
        </w:rPr>
        <w:t>38.46%，主要原因是：</w:t>
      </w:r>
      <w:r>
        <w:rPr>
          <w:rFonts w:hint="eastAsia" w:ascii="Times New Roman" w:hAnsi="Times New Roman" w:eastAsia="仿宋_GB2312" w:cs="Times New Roman"/>
          <w:color w:val="auto"/>
          <w:sz w:val="32"/>
          <w:szCs w:val="32"/>
          <w:highlight w:val="none"/>
          <w:lang w:val="en-US" w:eastAsia="zh-CN"/>
        </w:rPr>
        <w:t>本年</w:t>
      </w:r>
      <w:r>
        <w:rPr>
          <w:rFonts w:hint="default" w:ascii="Times New Roman" w:hAnsi="Times New Roman" w:eastAsia="仿宋_GB2312" w:cs="Times New Roman"/>
          <w:color w:val="auto"/>
          <w:sz w:val="32"/>
          <w:szCs w:val="32"/>
          <w:highlight w:val="none"/>
          <w:lang w:val="zh-CN"/>
        </w:rPr>
        <w:t>财政用于其他社会公益事业的彩票公益金支出专项资金减少。</w:t>
      </w:r>
    </w:p>
    <w:p w14:paraId="0FC9CB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14:paraId="1A6C4F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14:paraId="433CEB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7314"/>
      <w:bookmarkStart w:id="21" w:name="_Toc12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14:paraId="7E171D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4519"/>
      <w:bookmarkStart w:id="23" w:name="_Toc13105"/>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14:paraId="79A58D25">
      <w:pPr>
        <w:ind w:firstLine="640" w:firstLineChars="200"/>
        <w:rPr>
          <w:rFonts w:hint="default" w:ascii="Times New Roman" w:hAnsi="Times New Roman" w:eastAsia="仿宋_GB2312" w:cs="Times New Roman"/>
          <w:color w:val="auto"/>
          <w:sz w:val="32"/>
          <w:szCs w:val="32"/>
          <w:highlight w:val="yellow"/>
          <w:lang w:val="en-US"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新疆维吾尔自治区第二济困医院(新疆维吾尔自治区第五人民医院)</w:t>
      </w:r>
      <w:r>
        <w:rPr>
          <w:rFonts w:hint="default" w:ascii="Times New Roman" w:hAnsi="Times New Roman" w:eastAsia="仿宋_GB2312" w:cs="Times New Roman"/>
          <w:color w:val="auto"/>
          <w:sz w:val="32"/>
          <w:szCs w:val="32"/>
          <w:highlight w:val="none"/>
          <w:lang w:val="zh-CN" w:eastAsia="zh-CN"/>
        </w:rPr>
        <w:t>（事业单位）公用经费支出265.48万元，比上年增加42.03万元，增长18.81%，主要原因是：在职人员工资基数调增</w:t>
      </w:r>
      <w:r>
        <w:rPr>
          <w:rFonts w:hint="default" w:ascii="Times New Roman" w:hAnsi="Times New Roman" w:eastAsia="仿宋_GB2312" w:cs="Times New Roman"/>
          <w:color w:val="auto"/>
          <w:sz w:val="32"/>
          <w:szCs w:val="32"/>
          <w:highlight w:val="none"/>
          <w:lang w:val="en-US" w:eastAsia="zh-CN"/>
        </w:rPr>
        <w:t>致</w:t>
      </w:r>
      <w:r>
        <w:rPr>
          <w:rFonts w:hint="default" w:ascii="Times New Roman" w:hAnsi="Times New Roman" w:eastAsia="仿宋_GB2312" w:cs="Times New Roman"/>
          <w:color w:val="auto"/>
          <w:sz w:val="32"/>
          <w:szCs w:val="32"/>
          <w:highlight w:val="none"/>
          <w:lang w:val="zh-CN" w:eastAsia="zh-CN"/>
        </w:rPr>
        <w:t>工会经费、取暖费、物业管理费增加。</w:t>
      </w:r>
    </w:p>
    <w:p w14:paraId="728F8F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14:paraId="14220B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2,270.45万元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其中：政府采购货物支出1,631.46万元、政府采购工程支出296.18万元、政府采购服务支出342.81万元。</w:t>
      </w:r>
    </w:p>
    <w:p w14:paraId="796FBB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授予中小企业合同金额2,270.45万元，占政府采购支出总额的100.00%，其中：授予小微企业合同金额1,642.69万元，占政府采购支出总额的72.35%</w:t>
      </w:r>
      <w:r>
        <w:rPr>
          <w:rFonts w:hint="default" w:ascii="Times New Roman" w:hAnsi="Times New Roman" w:eastAsia="仿宋_GB2312" w:cs="Times New Roman"/>
          <w:color w:val="auto"/>
          <w:sz w:val="32"/>
          <w:szCs w:val="32"/>
          <w:highlight w:val="none"/>
          <w:lang w:val="en-US" w:eastAsia="zh-CN"/>
        </w:rPr>
        <w:t>。</w:t>
      </w:r>
    </w:p>
    <w:p w14:paraId="5E6C72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8391"/>
      <w:bookmarkStart w:id="27" w:name="_Toc45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14:paraId="6FCF6F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28,701.06</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屋33586.83平方米，价值15,554.97万元。车辆9辆，价值248.10万元，其中：副部（省）级及以上领导用车0辆、主要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用车0辆、机要通信用车0辆、应急保障用车0辆、执法执勤用车0辆、特种专业技术用车5辆、离退休干部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用车0辆、其他用车4辆，其他用车主要是：</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zh-CN" w:eastAsia="zh-CN"/>
        </w:rPr>
        <w:t>辆班车，</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zh-CN" w:eastAsia="zh-CN"/>
        </w:rPr>
        <w:t>辆轿车；单价100万元（含）以上设备（不含车辆）19</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14:paraId="2F44DC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14:paraId="0FE332C0">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kern w:val="0"/>
          <w:sz w:val="32"/>
          <w:szCs w:val="32"/>
          <w:highlight w:val="none"/>
          <w:lang w:val="en-US" w:eastAsia="zh-CN"/>
        </w:rPr>
        <w:t>，我单位整体支出绩效自评表由主管部门编报并公开。</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全年预算数18602</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全年执行数16930.39</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。预算绩效管理取得的成效：一是做严事前绩效评估，</w:t>
      </w:r>
      <w:r>
        <w:rPr>
          <w:rFonts w:hint="default" w:ascii="Times New Roman" w:hAnsi="Times New Roman" w:eastAsia="仿宋_GB2312" w:cs="Times New Roman"/>
          <w:sz w:val="32"/>
          <w:szCs w:val="32"/>
        </w:rPr>
        <w:t>提前做好项目规划</w:t>
      </w:r>
      <w:r>
        <w:rPr>
          <w:rFonts w:hint="default" w:ascii="Times New Roman" w:hAnsi="Times New Roman" w:eastAsia="仿宋_GB2312" w:cs="Times New Roman"/>
          <w:sz w:val="32"/>
          <w:szCs w:val="32"/>
          <w:lang w:eastAsia="zh-CN"/>
        </w:rPr>
        <w:t>；二是</w:t>
      </w:r>
      <w:r>
        <w:rPr>
          <w:rFonts w:hint="default" w:ascii="Times New Roman" w:hAnsi="Times New Roman" w:eastAsia="仿宋_GB2312" w:cs="Times New Roman"/>
          <w:color w:val="auto"/>
          <w:sz w:val="32"/>
          <w:szCs w:val="32"/>
          <w:highlight w:val="none"/>
          <w:lang w:eastAsia="zh-CN"/>
        </w:rPr>
        <w:t>强化“全方位、全过程、全覆盖”绩效管理，对预算资金执行情况进行监控预警，并及时反馈相关科室及时纠偏；三是推行</w:t>
      </w:r>
      <w:r>
        <w:rPr>
          <w:rFonts w:hint="default" w:ascii="Times New Roman" w:hAnsi="Times New Roman" w:eastAsia="仿宋_GB2312" w:cs="Times New Roman"/>
          <w:color w:val="auto"/>
          <w:sz w:val="32"/>
          <w:szCs w:val="32"/>
          <w:highlight w:val="none"/>
          <w:lang w:val="en-US" w:eastAsia="zh-CN"/>
        </w:rPr>
        <w:t>科室</w:t>
      </w:r>
      <w:r>
        <w:rPr>
          <w:rFonts w:hint="default" w:ascii="Times New Roman" w:hAnsi="Times New Roman" w:eastAsia="仿宋_GB2312" w:cs="Times New Roman"/>
          <w:color w:val="auto"/>
          <w:sz w:val="32"/>
          <w:szCs w:val="32"/>
          <w:highlight w:val="none"/>
          <w:lang w:eastAsia="zh-CN"/>
        </w:rPr>
        <w:t>支出自评、</w:t>
      </w:r>
      <w:r>
        <w:rPr>
          <w:rFonts w:hint="default" w:ascii="Times New Roman" w:hAnsi="Times New Roman" w:eastAsia="仿宋_GB2312" w:cs="Times New Roman"/>
          <w:color w:val="auto"/>
          <w:sz w:val="32"/>
          <w:szCs w:val="32"/>
          <w:highlight w:val="none"/>
          <w:lang w:val="en-US" w:eastAsia="zh-CN"/>
        </w:rPr>
        <w:t>采取</w:t>
      </w:r>
      <w:r>
        <w:rPr>
          <w:rFonts w:hint="default" w:ascii="Times New Roman" w:hAnsi="Times New Roman" w:eastAsia="仿宋_GB2312" w:cs="Times New Roman"/>
          <w:color w:val="auto"/>
          <w:sz w:val="32"/>
          <w:szCs w:val="32"/>
          <w:highlight w:val="none"/>
          <w:lang w:eastAsia="zh-CN"/>
        </w:rPr>
        <w:t>重点绩效</w:t>
      </w:r>
      <w:r>
        <w:rPr>
          <w:rFonts w:hint="default" w:ascii="Times New Roman" w:hAnsi="Times New Roman" w:eastAsia="仿宋_GB2312" w:cs="Times New Roman"/>
          <w:color w:val="auto"/>
          <w:sz w:val="32"/>
          <w:szCs w:val="32"/>
          <w:highlight w:val="none"/>
          <w:lang w:val="en-US" w:eastAsia="zh-CN"/>
        </w:rPr>
        <w:t>指标</w:t>
      </w:r>
      <w:r>
        <w:rPr>
          <w:rFonts w:hint="default" w:ascii="Times New Roman" w:hAnsi="Times New Roman" w:eastAsia="仿宋_GB2312" w:cs="Times New Roman"/>
          <w:color w:val="auto"/>
          <w:sz w:val="32"/>
          <w:szCs w:val="32"/>
          <w:highlight w:val="none"/>
          <w:lang w:eastAsia="zh-CN"/>
        </w:rPr>
        <w:t>评价相结合的评价方式，对各</w:t>
      </w:r>
      <w:r>
        <w:rPr>
          <w:rFonts w:hint="default" w:ascii="Times New Roman" w:hAnsi="Times New Roman" w:eastAsia="仿宋_GB2312" w:cs="Times New Roman"/>
          <w:color w:val="auto"/>
          <w:sz w:val="32"/>
          <w:szCs w:val="32"/>
          <w:highlight w:val="none"/>
          <w:lang w:val="en-US" w:eastAsia="zh-CN"/>
        </w:rPr>
        <w:t>科室</w:t>
      </w:r>
      <w:r>
        <w:rPr>
          <w:rFonts w:hint="default" w:ascii="Times New Roman" w:hAnsi="Times New Roman" w:eastAsia="仿宋_GB2312" w:cs="Times New Roman"/>
          <w:color w:val="auto"/>
          <w:sz w:val="32"/>
          <w:szCs w:val="32"/>
          <w:highlight w:val="none"/>
          <w:lang w:eastAsia="zh-CN"/>
        </w:rPr>
        <w:t>预算执行情况开展绩效评价。</w:t>
      </w:r>
      <w:r>
        <w:rPr>
          <w:rFonts w:hint="default" w:ascii="Times New Roman" w:hAnsi="Times New Roman" w:eastAsia="仿宋_GB2312" w:cs="Times New Roman"/>
          <w:sz w:val="32"/>
          <w:szCs w:val="32"/>
        </w:rPr>
        <w:t>发现的问题及原因：</w:t>
      </w:r>
      <w:r>
        <w:rPr>
          <w:rFonts w:hint="default" w:ascii="Times New Roman" w:hAnsi="Times New Roman" w:eastAsia="仿宋_GB2312" w:cs="Times New Roman"/>
          <w:sz w:val="32"/>
          <w:szCs w:val="32"/>
          <w:lang w:eastAsia="zh-CN"/>
        </w:rPr>
        <w:t>一是</w:t>
      </w:r>
      <w:r>
        <w:rPr>
          <w:rFonts w:hint="default" w:ascii="Times New Roman" w:hAnsi="Times New Roman" w:eastAsia="仿宋_GB2312" w:cs="Times New Roman"/>
          <w:color w:val="auto"/>
          <w:sz w:val="32"/>
          <w:szCs w:val="32"/>
          <w:highlight w:val="none"/>
          <w:lang w:eastAsia="zh-CN"/>
        </w:rPr>
        <w:t>绩效评价的“质”和“量”有待提高；二是评价结果运用不充分。</w:t>
      </w:r>
      <w:r>
        <w:rPr>
          <w:rFonts w:hint="default" w:ascii="Times New Roman" w:hAnsi="Times New Roman" w:eastAsia="仿宋_GB2312" w:cs="Times New Roman"/>
          <w:sz w:val="32"/>
          <w:szCs w:val="32"/>
        </w:rPr>
        <w:t>下一步改进措施：</w:t>
      </w:r>
      <w:r>
        <w:rPr>
          <w:rFonts w:hint="default" w:ascii="Times New Roman" w:hAnsi="Times New Roman" w:eastAsia="仿宋_GB2312" w:cs="Times New Roman"/>
          <w:color w:val="auto"/>
          <w:sz w:val="32"/>
          <w:szCs w:val="32"/>
          <w:highlight w:val="none"/>
          <w:lang w:eastAsia="zh-CN"/>
        </w:rPr>
        <w:t>一是优化绩效指标体系，科学设计部门整体支出和项目支出的绩效指标，确保指标与项目目标紧密相关，能够真实反映项目的绩效水平；二是突出结果导向，推进预算绩效管理过程中各个环节的落实措施和实际效果进行评价，做好绩效评价结果反馈和公开工作。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14:paraId="0B9631C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14:paraId="546C12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kern w:val="0"/>
          <w:sz w:val="32"/>
          <w:szCs w:val="32"/>
          <w:highlight w:val="none"/>
          <w:lang w:val="en-US" w:eastAsia="zh-CN"/>
        </w:rPr>
        <w:t>本单位无其他需说明事项</w:t>
      </w:r>
      <w:bookmarkStart w:id="30" w:name="_Toc24143"/>
      <w:bookmarkStart w:id="31" w:name="_Toc3250"/>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14:paraId="45B36B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14:paraId="257BC84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14:paraId="70C1198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14:paraId="3DBF25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14:paraId="35CE18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14:paraId="25E3536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14:paraId="302668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570C2E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7C8F2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14:paraId="2B520A2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14:paraId="1657F2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14:paraId="3168CC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14:paraId="60AA07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14:paraId="758CD8DB">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14:paraId="743EE2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14:paraId="43D7D5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6062"/>
      <w:bookmarkStart w:id="33" w:name="_Toc2183"/>
      <w:r>
        <w:rPr>
          <w:rFonts w:hint="default" w:ascii="Times New Roman" w:hAnsi="Times New Roman" w:eastAsia="仿宋_GB2312" w:cs="Times New Roman"/>
          <w:bCs/>
          <w:color w:val="auto"/>
          <w:kern w:val="0"/>
          <w:sz w:val="32"/>
          <w:szCs w:val="32"/>
          <w:highlight w:val="none"/>
        </w:rPr>
        <w:t>一、《收入支出决算总表》</w:t>
      </w:r>
      <w:bookmarkEnd w:id="32"/>
      <w:bookmarkEnd w:id="33"/>
    </w:p>
    <w:p w14:paraId="09668C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24532"/>
      <w:bookmarkStart w:id="35" w:name="_Toc30364"/>
      <w:r>
        <w:rPr>
          <w:rFonts w:hint="default" w:ascii="Times New Roman" w:hAnsi="Times New Roman" w:eastAsia="仿宋_GB2312" w:cs="Times New Roman"/>
          <w:bCs/>
          <w:color w:val="auto"/>
          <w:kern w:val="0"/>
          <w:sz w:val="32"/>
          <w:szCs w:val="32"/>
          <w:highlight w:val="none"/>
        </w:rPr>
        <w:t>二、《收入决算表》</w:t>
      </w:r>
      <w:bookmarkEnd w:id="34"/>
      <w:bookmarkEnd w:id="35"/>
    </w:p>
    <w:p w14:paraId="36F468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32434"/>
      <w:bookmarkStart w:id="37" w:name="_Toc21304"/>
      <w:r>
        <w:rPr>
          <w:rFonts w:hint="default" w:ascii="Times New Roman" w:hAnsi="Times New Roman" w:eastAsia="仿宋_GB2312" w:cs="Times New Roman"/>
          <w:bCs/>
          <w:color w:val="auto"/>
          <w:kern w:val="0"/>
          <w:sz w:val="32"/>
          <w:szCs w:val="32"/>
          <w:highlight w:val="none"/>
        </w:rPr>
        <w:t>三、《支出决算表》</w:t>
      </w:r>
      <w:bookmarkEnd w:id="36"/>
      <w:bookmarkEnd w:id="37"/>
    </w:p>
    <w:p w14:paraId="52D986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14:paraId="22565E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4869"/>
      <w:bookmarkStart w:id="41" w:name="_Toc10347"/>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14:paraId="61A042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14:paraId="70428A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29106"/>
      <w:bookmarkStart w:id="45" w:name="_Toc32663"/>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14:paraId="482D6B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7643"/>
      <w:bookmarkStart w:id="47" w:name="_Toc545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14:paraId="563718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14:paraId="5B38FC5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14:paraId="52D4A3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7C27F3-7CA9-41A1-ABE1-36ED59D888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2" w:fontKey="{9D3A7945-5C6B-4141-936E-8D4E826CBC16}"/>
  </w:font>
  <w:font w:name="仿宋_GB2312">
    <w:panose1 w:val="02010609030101010101"/>
    <w:charset w:val="86"/>
    <w:family w:val="modern"/>
    <w:pitch w:val="default"/>
    <w:sig w:usb0="00000001" w:usb1="080E0000" w:usb2="00000000" w:usb3="00000000" w:csb0="00040000" w:csb1="00000000"/>
    <w:embedRegular r:id="rId3" w:fontKey="{54E3CD90-2D76-4F8A-97A3-F611006542A7}"/>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BD5F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3E2F93">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03E2F93">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000000"/>
    <w:rsid w:val="00213C59"/>
    <w:rsid w:val="003210CE"/>
    <w:rsid w:val="00B70D59"/>
    <w:rsid w:val="00F52A8D"/>
    <w:rsid w:val="0151001E"/>
    <w:rsid w:val="019404F8"/>
    <w:rsid w:val="02BD3108"/>
    <w:rsid w:val="02F73D26"/>
    <w:rsid w:val="034D4FEF"/>
    <w:rsid w:val="035D1785"/>
    <w:rsid w:val="03831193"/>
    <w:rsid w:val="039F47CE"/>
    <w:rsid w:val="03E05CE8"/>
    <w:rsid w:val="03F973EE"/>
    <w:rsid w:val="043E5B56"/>
    <w:rsid w:val="04C04386"/>
    <w:rsid w:val="04FA68C4"/>
    <w:rsid w:val="053F5AE6"/>
    <w:rsid w:val="057C0B0F"/>
    <w:rsid w:val="05EF4B48"/>
    <w:rsid w:val="05F76ECA"/>
    <w:rsid w:val="06275BBD"/>
    <w:rsid w:val="06792773"/>
    <w:rsid w:val="07093795"/>
    <w:rsid w:val="07804730"/>
    <w:rsid w:val="079052BE"/>
    <w:rsid w:val="07ED14B6"/>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C71FF"/>
    <w:rsid w:val="0D4903E8"/>
    <w:rsid w:val="0D7A4A46"/>
    <w:rsid w:val="0E640559"/>
    <w:rsid w:val="0F1113DA"/>
    <w:rsid w:val="0F78534A"/>
    <w:rsid w:val="0F89358A"/>
    <w:rsid w:val="0F8C6D51"/>
    <w:rsid w:val="105B0B5E"/>
    <w:rsid w:val="10C10E96"/>
    <w:rsid w:val="11162AD3"/>
    <w:rsid w:val="11247F78"/>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7F42AA9"/>
    <w:rsid w:val="180059E9"/>
    <w:rsid w:val="184510FD"/>
    <w:rsid w:val="190648B0"/>
    <w:rsid w:val="19071D6C"/>
    <w:rsid w:val="19D26CD4"/>
    <w:rsid w:val="19E60D19"/>
    <w:rsid w:val="1A3E3450"/>
    <w:rsid w:val="1AD807E5"/>
    <w:rsid w:val="1B39345B"/>
    <w:rsid w:val="1B517B47"/>
    <w:rsid w:val="1BFB2A1F"/>
    <w:rsid w:val="1C015D4A"/>
    <w:rsid w:val="1C290ED5"/>
    <w:rsid w:val="1C317E4F"/>
    <w:rsid w:val="1C472464"/>
    <w:rsid w:val="1D22799A"/>
    <w:rsid w:val="1D2603E9"/>
    <w:rsid w:val="1D5C1A72"/>
    <w:rsid w:val="1DAF458D"/>
    <w:rsid w:val="1E014916"/>
    <w:rsid w:val="1E086ACE"/>
    <w:rsid w:val="1E62130A"/>
    <w:rsid w:val="1E97358B"/>
    <w:rsid w:val="1EAA4A5F"/>
    <w:rsid w:val="1EE869A7"/>
    <w:rsid w:val="1F416511"/>
    <w:rsid w:val="1FA15E62"/>
    <w:rsid w:val="1FED69B6"/>
    <w:rsid w:val="2064678E"/>
    <w:rsid w:val="20DC1AB9"/>
    <w:rsid w:val="20DD6197"/>
    <w:rsid w:val="212631E0"/>
    <w:rsid w:val="21A53757"/>
    <w:rsid w:val="221236C6"/>
    <w:rsid w:val="22D7662C"/>
    <w:rsid w:val="23326B7F"/>
    <w:rsid w:val="2380045B"/>
    <w:rsid w:val="23BC04D2"/>
    <w:rsid w:val="23EF1892"/>
    <w:rsid w:val="242D1856"/>
    <w:rsid w:val="2483647E"/>
    <w:rsid w:val="24A32D55"/>
    <w:rsid w:val="25292727"/>
    <w:rsid w:val="252E5CA9"/>
    <w:rsid w:val="256F7692"/>
    <w:rsid w:val="25BA2154"/>
    <w:rsid w:val="25C8773F"/>
    <w:rsid w:val="264A7253"/>
    <w:rsid w:val="26F0170C"/>
    <w:rsid w:val="27201D62"/>
    <w:rsid w:val="27286E73"/>
    <w:rsid w:val="27BF6CD8"/>
    <w:rsid w:val="27CF2642"/>
    <w:rsid w:val="27E777F5"/>
    <w:rsid w:val="27EA1D4C"/>
    <w:rsid w:val="27EA2E41"/>
    <w:rsid w:val="282459E2"/>
    <w:rsid w:val="283A7FE5"/>
    <w:rsid w:val="285F51FF"/>
    <w:rsid w:val="28DF2665"/>
    <w:rsid w:val="29072599"/>
    <w:rsid w:val="291029F3"/>
    <w:rsid w:val="29621E40"/>
    <w:rsid w:val="29CB58F0"/>
    <w:rsid w:val="2A053397"/>
    <w:rsid w:val="2A145E96"/>
    <w:rsid w:val="2AF5378F"/>
    <w:rsid w:val="2BB94DBF"/>
    <w:rsid w:val="2C6F314E"/>
    <w:rsid w:val="2CA302EA"/>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1958CF"/>
    <w:rsid w:val="32601BAD"/>
    <w:rsid w:val="329F6389"/>
    <w:rsid w:val="3389023A"/>
    <w:rsid w:val="33CB74FA"/>
    <w:rsid w:val="343642F2"/>
    <w:rsid w:val="343C41B7"/>
    <w:rsid w:val="343F3010"/>
    <w:rsid w:val="345D0A00"/>
    <w:rsid w:val="346F0564"/>
    <w:rsid w:val="34713BFD"/>
    <w:rsid w:val="34C13589"/>
    <w:rsid w:val="353369E3"/>
    <w:rsid w:val="35E00D72"/>
    <w:rsid w:val="367E3159"/>
    <w:rsid w:val="36965B9D"/>
    <w:rsid w:val="36C549FD"/>
    <w:rsid w:val="36EF17FA"/>
    <w:rsid w:val="37A755DD"/>
    <w:rsid w:val="37F94FA0"/>
    <w:rsid w:val="380D3381"/>
    <w:rsid w:val="38115B1F"/>
    <w:rsid w:val="384952C1"/>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7F17C0"/>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C17990"/>
    <w:rsid w:val="4AE12E67"/>
    <w:rsid w:val="4B4C0111"/>
    <w:rsid w:val="4B8553A9"/>
    <w:rsid w:val="4BDB3730"/>
    <w:rsid w:val="4C200F7A"/>
    <w:rsid w:val="4CDA2707"/>
    <w:rsid w:val="4CEE3180"/>
    <w:rsid w:val="4D0F4AF6"/>
    <w:rsid w:val="4DF94F37"/>
    <w:rsid w:val="4E0A1DD5"/>
    <w:rsid w:val="4E3160E5"/>
    <w:rsid w:val="4E4D37AF"/>
    <w:rsid w:val="4E8C6496"/>
    <w:rsid w:val="4ED43265"/>
    <w:rsid w:val="4EFD18DE"/>
    <w:rsid w:val="4F144236"/>
    <w:rsid w:val="4F663C87"/>
    <w:rsid w:val="4F7E29A8"/>
    <w:rsid w:val="4F9E1FFC"/>
    <w:rsid w:val="50447CC2"/>
    <w:rsid w:val="50874A7C"/>
    <w:rsid w:val="50895EE7"/>
    <w:rsid w:val="50921B9D"/>
    <w:rsid w:val="50D16158"/>
    <w:rsid w:val="50DB5F45"/>
    <w:rsid w:val="51025EB1"/>
    <w:rsid w:val="51141503"/>
    <w:rsid w:val="513240C1"/>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8D0EB5"/>
    <w:rsid w:val="58CD2491"/>
    <w:rsid w:val="591B41B2"/>
    <w:rsid w:val="59254A26"/>
    <w:rsid w:val="59326325"/>
    <w:rsid w:val="595C505B"/>
    <w:rsid w:val="595E55C3"/>
    <w:rsid w:val="59647484"/>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913453"/>
    <w:rsid w:val="5FA17648"/>
    <w:rsid w:val="5FE705CB"/>
    <w:rsid w:val="603D5080"/>
    <w:rsid w:val="605C55DB"/>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46878"/>
    <w:rsid w:val="66085536"/>
    <w:rsid w:val="66105BF7"/>
    <w:rsid w:val="66150023"/>
    <w:rsid w:val="6628010D"/>
    <w:rsid w:val="669B4528"/>
    <w:rsid w:val="66CC12D7"/>
    <w:rsid w:val="67134CEF"/>
    <w:rsid w:val="671F1ABD"/>
    <w:rsid w:val="67487CC5"/>
    <w:rsid w:val="67521A59"/>
    <w:rsid w:val="67C304AB"/>
    <w:rsid w:val="68225BD2"/>
    <w:rsid w:val="683F0658"/>
    <w:rsid w:val="689C6793"/>
    <w:rsid w:val="68DB0208"/>
    <w:rsid w:val="68FB170C"/>
    <w:rsid w:val="691B3D98"/>
    <w:rsid w:val="693748F0"/>
    <w:rsid w:val="69846A0E"/>
    <w:rsid w:val="69AD798C"/>
    <w:rsid w:val="69D005C0"/>
    <w:rsid w:val="69D80B96"/>
    <w:rsid w:val="6A241054"/>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B97CF4"/>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C92B24"/>
    <w:rsid w:val="79D57D57"/>
    <w:rsid w:val="79F00650"/>
    <w:rsid w:val="7A6242BF"/>
    <w:rsid w:val="7A794513"/>
    <w:rsid w:val="7AE952D2"/>
    <w:rsid w:val="7B1F708B"/>
    <w:rsid w:val="7C976D69"/>
    <w:rsid w:val="7CD752DA"/>
    <w:rsid w:val="7CDE40AB"/>
    <w:rsid w:val="7CF057E2"/>
    <w:rsid w:val="7D1548B5"/>
    <w:rsid w:val="7DF84014"/>
    <w:rsid w:val="7E207949"/>
    <w:rsid w:val="7E5C0A47"/>
    <w:rsid w:val="7E670C75"/>
    <w:rsid w:val="7E943A56"/>
    <w:rsid w:val="7EE24272"/>
    <w:rsid w:val="7EEA6053"/>
    <w:rsid w:val="7F1B71EC"/>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28"/>
      <w:szCs w:val="28"/>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UserStyle_0"/>
    <w:basedOn w:val="1"/>
    <w:qFormat/>
    <w:uiPriority w:val="0"/>
    <w:pPr>
      <w:spacing w:line="240" w:lineRule="auto"/>
      <w:jc w:val="left"/>
      <w:textAlignment w:val="baseline"/>
    </w:pPr>
    <w:rPr>
      <w:rFonts w:ascii="Calibri" w:hAnsi="Calibri"/>
      <w:kern w:val="2"/>
      <w:sz w:val="28"/>
      <w:szCs w:val="28"/>
      <w:lang w:val="en-US" w:eastAsia="zh-CN" w:bidi="ar-SA"/>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6801</Words>
  <Characters>7678</Characters>
  <Lines>0</Lines>
  <Paragraphs>0</Paragraphs>
  <TotalTime>33</TotalTime>
  <ScaleCrop>false</ScaleCrop>
  <LinksUpToDate>false</LinksUpToDate>
  <CharactersWithSpaces>7706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dcterms:modified xsi:type="dcterms:W3CDTF">2024-10-21T04:31:04Z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F51C7BF77D73420380842346709A3493_13</vt:lpwstr>
  </property>
</Properties>
</file>