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0558D">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09712C5A">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14:paraId="3A68D96E">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val="en-US" w:eastAsia="zh-CN"/>
        </w:rPr>
        <w:t>新疆维吾尔自治区第二济困医院(新疆维吾尔自治区第五人民医院)</w:t>
      </w:r>
      <w:r>
        <w:rPr>
          <w:rFonts w:hint="default" w:ascii="Times New Roman" w:hAnsi="Times New Roman" w:eastAsia="方正小标宋_GBK" w:cs="Times New Roman"/>
          <w:color w:val="auto"/>
          <w:sz w:val="44"/>
          <w:szCs w:val="44"/>
          <w:highlight w:val="none"/>
          <w:lang w:eastAsia="zh-CN"/>
        </w:rPr>
        <w:t>2023年度</w:t>
      </w:r>
      <w:r>
        <w:rPr>
          <w:rFonts w:hint="default" w:ascii="Times New Roman" w:hAnsi="Times New Roman" w:eastAsia="方正小标宋_GBK" w:cs="Times New Roman"/>
          <w:color w:val="auto"/>
          <w:sz w:val="44"/>
          <w:szCs w:val="44"/>
          <w:highlight w:val="none"/>
        </w:rPr>
        <w:t>部门决算</w:t>
      </w:r>
    </w:p>
    <w:p w14:paraId="6560F9BB">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14:paraId="5BF19846">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14:paraId="3199763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78B25B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015F569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454B963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72AC1F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435FE56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5311D9A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69705A0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1E50A2D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10D83B4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75B9F2A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1F25D0A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6449194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1BC96B3C">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24118CE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3797C673">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63F6D810">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032DCCA6">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3DA2B87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35B165C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7ABFF8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65CC660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0E6A3B3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2CE6B18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7DD3811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62EA3B4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050957A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66A4345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3031673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1837733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2C9BA99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72FBA250">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3637489B">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68D59E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6C2491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14:paraId="7B76411C">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医院是一所集医疗、急救、康复、教学、科研、预防保健为一体的二级甲等综合医院。</w:t>
      </w:r>
    </w:p>
    <w:p w14:paraId="67D256E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院配备1.5T超导核磁共振、64排螺旋CT、动态平板DR、飞利浦IEQ7全数字化超声波诊断仪、奥林巴斯电子胃镜、肠镜、支气管镜、大生化、全自动微生物鉴定系统等大中型医疗设备100余台。配备包含门急诊挂号系统、门诊（住院）收费、医生工作站、护理工作站等多个系统模块，以电子病历为核心的医院信息系统。</w:t>
      </w:r>
    </w:p>
    <w:p w14:paraId="55142D91">
      <w:pPr>
        <w:ind w:firstLine="640" w:firstLineChars="200"/>
        <w:rPr>
          <w:rFonts w:hint="default" w:ascii="Times New Roman" w:hAnsi="Times New Roman" w:eastAsia="黑体" w:cs="Times New Roman"/>
          <w:bCs/>
          <w:kern w:val="0"/>
          <w:sz w:val="32"/>
          <w:szCs w:val="32"/>
        </w:rPr>
      </w:pPr>
      <w:r>
        <w:rPr>
          <w:rFonts w:hint="default" w:ascii="Times New Roman" w:hAnsi="Times New Roman" w:eastAsia="仿宋_GB2312" w:cs="Times New Roman"/>
          <w:sz w:val="32"/>
          <w:szCs w:val="32"/>
        </w:rPr>
        <w:t>确定骨科（骨伤）·神经外科、妇产科为院内重点学科，康复医学科（疼痛科）、呼吸</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肺病</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科为特色培育学科，心血管科、消化（脾胃病）科及神经（脑病）科</w:t>
      </w:r>
      <w:r>
        <w:rPr>
          <w:rFonts w:hint="default" w:ascii="Times New Roman" w:hAnsi="Times New Roman" w:eastAsia="仿宋_GB2312" w:cs="Times New Roman"/>
          <w:sz w:val="32"/>
          <w:szCs w:val="32"/>
          <w:lang w:val="en-US" w:eastAsia="zh-CN"/>
        </w:rPr>
        <w:t>为</w:t>
      </w:r>
      <w:r>
        <w:rPr>
          <w:rFonts w:hint="default" w:ascii="Times New Roman" w:hAnsi="Times New Roman" w:eastAsia="仿宋_GB2312" w:cs="Times New Roman"/>
          <w:sz w:val="32"/>
          <w:szCs w:val="32"/>
        </w:rPr>
        <w:t>中西医结合试点科室，实施人工髋关节置换术、人工膝关节置换术、经皮穿刺椎间盘切除术、宫腔镜下子宫内膜切除术、腹腔镜下阑尾切除术、脾切除术、鼻内窥镜下鼻中隔矫正术、无痛胃肠镜、内镜下止血、息肉切除、EMR等三四级手术，开展中医拔罐、中药封包、雷火灸、中药熏洗、针灸、推拿、理疗等多项中医适宜技术。在原有的西医诊疗基础上，实施多种中医药特色诊疗手段，开展各类中医适宜技术疗法对专科疾病辨证施治，形成兼顾临床门诊中西医结合并重的学科模式。</w:t>
      </w:r>
    </w:p>
    <w:p w14:paraId="1A3ACD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4" w:name="_Toc31238"/>
      <w:bookmarkStart w:id="5" w:name="_Toc2151"/>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1F855B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新疆维吾尔自治区第二济困医院(新疆维吾尔自治区第五人民医院)</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240</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153</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87</w:t>
      </w:r>
      <w:r>
        <w:rPr>
          <w:rFonts w:hint="default" w:ascii="Times New Roman" w:hAnsi="Times New Roman" w:eastAsia="仿宋_GB2312" w:cs="Times New Roman"/>
          <w:color w:val="auto"/>
          <w:sz w:val="32"/>
          <w:szCs w:val="32"/>
          <w:highlight w:val="none"/>
        </w:rPr>
        <w:t>人。</w:t>
      </w:r>
    </w:p>
    <w:p w14:paraId="1A91F4B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单位无下属预算单位，下设</w:t>
      </w:r>
      <w:r>
        <w:rPr>
          <w:rFonts w:hint="default" w:ascii="Times New Roman" w:hAnsi="Times New Roman" w:eastAsia="仿宋_GB2312" w:cs="Times New Roman"/>
          <w:color w:val="auto"/>
          <w:sz w:val="32"/>
          <w:szCs w:val="32"/>
          <w:highlight w:val="none"/>
          <w:lang w:val="en-US" w:eastAsia="zh-CN"/>
        </w:rPr>
        <w:t>43</w:t>
      </w:r>
      <w:r>
        <w:rPr>
          <w:rFonts w:hint="default" w:ascii="Times New Roman" w:hAnsi="Times New Roman" w:eastAsia="仿宋_GB2312" w:cs="Times New Roman"/>
          <w:bCs/>
          <w:color w:val="auto"/>
          <w:kern w:val="0"/>
          <w:sz w:val="32"/>
          <w:szCs w:val="32"/>
          <w:highlight w:val="none"/>
        </w:rPr>
        <w:t>个处室，分别是：</w:t>
      </w:r>
      <w:r>
        <w:rPr>
          <w:rFonts w:hint="default" w:ascii="Times New Roman" w:hAnsi="Times New Roman" w:eastAsia="仿宋_GB2312" w:cs="Times New Roman"/>
          <w:color w:val="auto"/>
          <w:sz w:val="32"/>
          <w:szCs w:val="32"/>
        </w:rPr>
        <w:t>行政职能科室16个</w:t>
      </w:r>
      <w:r>
        <w:rPr>
          <w:rFonts w:hint="default" w:ascii="Times New Roman" w:hAnsi="Times New Roman" w:eastAsia="仿宋_GB2312" w:cs="Times New Roman"/>
          <w:color w:val="auto"/>
          <w:sz w:val="32"/>
          <w:szCs w:val="32"/>
          <w:lang w:eastAsia="zh-CN"/>
        </w:rPr>
        <w:t>：</w:t>
      </w:r>
      <w:r>
        <w:rPr>
          <w:rFonts w:hint="default" w:ascii="Times New Roman" w:hAnsi="Times New Roman" w:eastAsia="方正仿宋_GBK" w:cs="Times New Roman"/>
          <w:b w:val="0"/>
          <w:bCs w:val="0"/>
          <w:color w:val="auto"/>
          <w:kern w:val="0"/>
          <w:sz w:val="32"/>
          <w:szCs w:val="32"/>
          <w:lang w:val="en-US" w:eastAsia="zh-CN"/>
        </w:rPr>
        <w:t>党委办公室、行政办公室、组织人事科、纪检监察室、医务部（含病案室）、科教科、护理部、运营管理办公室、财务科（含审计）、感染管理科、公共卫生管理科、医疗保险办公室、信息科、医学装备科、招标采购（项目管理）办公室、总务保卫科；</w:t>
      </w:r>
      <w:r>
        <w:rPr>
          <w:rFonts w:hint="default" w:ascii="Times New Roman" w:hAnsi="Times New Roman" w:eastAsia="仿宋_GB2312" w:cs="Times New Roman"/>
          <w:color w:val="auto"/>
          <w:sz w:val="32"/>
          <w:szCs w:val="32"/>
        </w:rPr>
        <w:t>临床、医技科室</w:t>
      </w:r>
      <w:r>
        <w:rPr>
          <w:rFonts w:hint="default" w:ascii="Times New Roman" w:hAnsi="Times New Roman" w:eastAsia="仿宋_GB2312" w:cs="Times New Roman"/>
          <w:color w:val="auto"/>
          <w:sz w:val="32"/>
          <w:szCs w:val="32"/>
          <w:lang w:val="en-US" w:eastAsia="zh-CN"/>
        </w:rPr>
        <w:t>27</w:t>
      </w:r>
      <w:r>
        <w:rPr>
          <w:rFonts w:hint="default" w:ascii="Times New Roman" w:hAnsi="Times New Roman" w:eastAsia="仿宋_GB2312" w:cs="Times New Roman"/>
          <w:color w:val="auto"/>
          <w:sz w:val="32"/>
          <w:szCs w:val="32"/>
        </w:rPr>
        <w:t>个</w:t>
      </w:r>
      <w:r>
        <w:rPr>
          <w:rFonts w:hint="default" w:ascii="Times New Roman" w:hAnsi="Times New Roman" w:eastAsia="仿宋_GB2312" w:cs="Times New Roman"/>
          <w:color w:val="auto"/>
          <w:sz w:val="32"/>
          <w:szCs w:val="32"/>
          <w:lang w:eastAsia="zh-CN"/>
        </w:rPr>
        <w:t>：</w:t>
      </w:r>
      <w:r>
        <w:rPr>
          <w:rFonts w:hint="default" w:ascii="Times New Roman" w:hAnsi="Times New Roman" w:eastAsia="方正仿宋_GBK" w:cs="Times New Roman"/>
          <w:b w:val="0"/>
          <w:bCs w:val="0"/>
          <w:color w:val="auto"/>
          <w:kern w:val="0"/>
          <w:sz w:val="32"/>
          <w:szCs w:val="32"/>
          <w:lang w:val="en-US" w:eastAsia="zh-CN"/>
        </w:rPr>
        <w:t>呼吸（肺病）科、心血管病科、</w:t>
      </w:r>
      <w:r>
        <w:rPr>
          <w:rFonts w:hint="default" w:ascii="Times New Roman" w:hAnsi="Times New Roman" w:eastAsia="方正仿宋_GBK" w:cs="Times New Roman"/>
          <w:color w:val="auto"/>
          <w:sz w:val="32"/>
          <w:szCs w:val="32"/>
          <w:lang w:val="en-US" w:eastAsia="zh-CN"/>
        </w:rPr>
        <w:t>消化（脾胃病）科（</w:t>
      </w:r>
      <w:r>
        <w:rPr>
          <w:rFonts w:hint="default" w:ascii="Times New Roman" w:hAnsi="Times New Roman" w:eastAsia="方正仿宋_GBK" w:cs="Times New Roman"/>
          <w:b w:val="0"/>
          <w:bCs w:val="0"/>
          <w:color w:val="auto"/>
          <w:sz w:val="32"/>
          <w:szCs w:val="32"/>
          <w:lang w:val="en-US" w:eastAsia="zh-CN"/>
        </w:rPr>
        <w:t>内窥镜中心</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b w:val="0"/>
          <w:bCs w:val="0"/>
          <w:color w:val="auto"/>
          <w:kern w:val="0"/>
          <w:sz w:val="32"/>
          <w:szCs w:val="32"/>
          <w:lang w:val="en-US" w:eastAsia="zh-CN"/>
        </w:rPr>
        <w:t>、内分泌·肾病科、老年医学科、眼耳鼻喉科、皮肤科、骨科（骨伤科）、普外·泌尿·肛肠科、神经（脑病）科、妇产科、儿科、康复医学科、治未病中心、急诊科（发热门诊）、手术麻醉科、重症医学科、体检科、门诊部、口腔科、针灸推拿科（疼痛科）、感染科、检验科（病理科、输血科）、超声医学科（心功能科）、医学影像科、药剂科（营养科）、消毒供应室</w:t>
      </w:r>
      <w:r>
        <w:rPr>
          <w:rFonts w:hint="default" w:ascii="Times New Roman" w:hAnsi="Times New Roman" w:eastAsia="仿宋_GB2312" w:cs="Times New Roman"/>
          <w:color w:val="auto"/>
          <w:kern w:val="0"/>
          <w:sz w:val="32"/>
          <w:szCs w:val="32"/>
          <w:highlight w:val="none"/>
        </w:rPr>
        <w:t>。</w:t>
      </w:r>
    </w:p>
    <w:p w14:paraId="1FA1725B">
      <w:pPr>
        <w:pStyle w:val="2"/>
        <w:rPr>
          <w:rFonts w:hint="default" w:ascii="Times New Roman" w:hAnsi="Times New Roman" w:eastAsia="仿宋_GB2312" w:cs="Times New Roman"/>
          <w:color w:val="auto"/>
          <w:kern w:val="0"/>
          <w:sz w:val="32"/>
          <w:szCs w:val="32"/>
          <w:highlight w:val="none"/>
        </w:rPr>
      </w:pPr>
    </w:p>
    <w:p w14:paraId="2E35C862">
      <w:pPr>
        <w:pStyle w:val="2"/>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6442F4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071317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5B819B82">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w:t>
      </w:r>
      <w:r>
        <w:rPr>
          <w:rFonts w:hint="default" w:ascii="Times New Roman" w:hAnsi="Times New Roman" w:eastAsia="仿宋_GB2312" w:cs="Times New Roman"/>
          <w:b/>
          <w:bCs/>
          <w:color w:val="auto"/>
          <w:spacing w:val="0"/>
          <w:sz w:val="32"/>
          <w:szCs w:val="32"/>
          <w:highlight w:val="none"/>
          <w:lang w:val="en-US" w:eastAsia="zh-CN"/>
        </w:rPr>
        <w:t>收入总计19770.34</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b/>
          <w:bCs/>
          <w:color w:val="auto"/>
          <w:spacing w:val="0"/>
          <w:sz w:val="32"/>
          <w:szCs w:val="32"/>
          <w:highlight w:val="none"/>
          <w:lang w:val="en-US" w:eastAsia="zh-CN"/>
        </w:rPr>
        <w:t>19770.34</w:t>
      </w:r>
      <w:r>
        <w:rPr>
          <w:rFonts w:hint="default" w:ascii="Times New Roman" w:hAnsi="Times New Roman" w:eastAsia="仿宋_GB2312" w:cs="Times New Roman"/>
          <w:color w:val="auto"/>
          <w:spacing w:val="0"/>
          <w:sz w:val="32"/>
          <w:szCs w:val="32"/>
          <w:highlight w:val="none"/>
          <w:lang w:eastAsia="zh-CN"/>
        </w:rPr>
        <w:t>万元，使用非财政拨款结余</w:t>
      </w:r>
      <w:r>
        <w:rPr>
          <w:rFonts w:hint="default" w:ascii="Times New Roman" w:hAnsi="Times New Roman" w:eastAsia="仿宋_GB2312" w:cs="Times New Roman"/>
          <w:b/>
          <w:bCs/>
          <w:color w:val="auto"/>
          <w:spacing w:val="0"/>
          <w:sz w:val="32"/>
          <w:szCs w:val="32"/>
          <w:highlight w:val="none"/>
          <w:lang w:val="en-US" w:eastAsia="zh-CN"/>
        </w:rPr>
        <w:t>0.00</w:t>
      </w:r>
      <w:r>
        <w:rPr>
          <w:rFonts w:hint="default" w:ascii="Times New Roman" w:hAnsi="Times New Roman" w:eastAsia="仿宋_GB2312" w:cs="Times New Roman"/>
          <w:color w:val="auto"/>
          <w:spacing w:val="0"/>
          <w:sz w:val="32"/>
          <w:szCs w:val="32"/>
          <w:highlight w:val="none"/>
          <w:lang w:eastAsia="zh-CN"/>
        </w:rPr>
        <w:t>万元，年初结转和结余</w:t>
      </w:r>
      <w:r>
        <w:rPr>
          <w:rFonts w:hint="default" w:ascii="Times New Roman" w:hAnsi="Times New Roman" w:eastAsia="仿宋_GB2312" w:cs="Times New Roman"/>
          <w:color w:val="auto"/>
          <w:spacing w:val="0"/>
          <w:sz w:val="32"/>
          <w:szCs w:val="32"/>
          <w:highlight w:val="none"/>
          <w:lang w:val="en-US" w:eastAsia="zh-CN"/>
        </w:rPr>
        <w:t>0.00</w:t>
      </w:r>
      <w:r>
        <w:rPr>
          <w:rFonts w:hint="default" w:ascii="Times New Roman" w:hAnsi="Times New Roman" w:eastAsia="仿宋_GB2312" w:cs="Times New Roman"/>
          <w:color w:val="auto"/>
          <w:spacing w:val="0"/>
          <w:sz w:val="32"/>
          <w:szCs w:val="32"/>
          <w:highlight w:val="none"/>
          <w:lang w:eastAsia="zh-CN"/>
        </w:rPr>
        <w:t>万元。</w:t>
      </w:r>
    </w:p>
    <w:p w14:paraId="5F934C3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2023</w:t>
      </w:r>
      <w:r>
        <w:rPr>
          <w:rFonts w:hint="default" w:ascii="Times New Roman" w:hAnsi="Times New Roman" w:eastAsia="仿宋_GB2312" w:cs="Times New Roman"/>
          <w:b/>
          <w:bCs/>
          <w:color w:val="auto"/>
          <w:spacing w:val="0"/>
          <w:sz w:val="32"/>
          <w:szCs w:val="32"/>
          <w:highlight w:val="none"/>
          <w:lang w:eastAsia="zh-CN"/>
        </w:rPr>
        <w:t>年</w:t>
      </w:r>
      <w:r>
        <w:rPr>
          <w:rFonts w:hint="default" w:ascii="Times New Roman" w:hAnsi="Times New Roman" w:eastAsia="仿宋_GB2312" w:cs="Times New Roman"/>
          <w:b/>
          <w:bCs/>
          <w:color w:val="auto"/>
          <w:spacing w:val="0"/>
          <w:sz w:val="32"/>
          <w:szCs w:val="32"/>
          <w:highlight w:val="none"/>
          <w:lang w:val="en-US" w:eastAsia="zh-CN"/>
        </w:rPr>
        <w:t>度</w:t>
      </w:r>
      <w:r>
        <w:rPr>
          <w:rFonts w:hint="default" w:ascii="Times New Roman" w:hAnsi="Times New Roman" w:eastAsia="仿宋_GB2312" w:cs="Times New Roman"/>
          <w:b/>
          <w:bCs/>
          <w:color w:val="auto"/>
          <w:spacing w:val="0"/>
          <w:sz w:val="32"/>
          <w:szCs w:val="32"/>
          <w:highlight w:val="none"/>
          <w:lang w:eastAsia="zh-CN"/>
        </w:rPr>
        <w:t>支出</w:t>
      </w:r>
      <w:r>
        <w:rPr>
          <w:rFonts w:hint="default" w:ascii="Times New Roman" w:hAnsi="Times New Roman" w:eastAsia="仿宋_GB2312" w:cs="Times New Roman"/>
          <w:b/>
          <w:bCs/>
          <w:color w:val="auto"/>
          <w:spacing w:val="0"/>
          <w:sz w:val="32"/>
          <w:szCs w:val="32"/>
          <w:highlight w:val="none"/>
          <w:lang w:val="en-US" w:eastAsia="zh-CN"/>
        </w:rPr>
        <w:t>总计</w:t>
      </w:r>
      <w:r>
        <w:rPr>
          <w:rFonts w:hint="eastAsia" w:eastAsia="仿宋_GB2312" w:cs="Times New Roman"/>
          <w:b/>
          <w:bCs/>
          <w:color w:val="auto"/>
          <w:spacing w:val="0"/>
          <w:sz w:val="32"/>
          <w:szCs w:val="32"/>
          <w:highlight w:val="none"/>
          <w:lang w:val="en-US" w:eastAsia="zh-CN"/>
        </w:rPr>
        <w:t>19770.34</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b/>
          <w:bCs/>
          <w:color w:val="auto"/>
          <w:spacing w:val="0"/>
          <w:sz w:val="32"/>
          <w:szCs w:val="32"/>
          <w:highlight w:val="none"/>
          <w:lang w:val="en-US" w:eastAsia="zh-CN"/>
        </w:rPr>
        <w:t>19087.01</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结余分配683.33</w:t>
      </w:r>
      <w:r>
        <w:rPr>
          <w:rFonts w:hint="default" w:ascii="Times New Roman" w:hAnsi="Times New Roman" w:eastAsia="仿宋_GB2312" w:cs="Times New Roman"/>
          <w:color w:val="auto"/>
          <w:spacing w:val="0"/>
          <w:sz w:val="32"/>
          <w:szCs w:val="32"/>
          <w:highlight w:val="none"/>
          <w:lang w:eastAsia="zh-CN"/>
        </w:rPr>
        <w:t>万元，年末结转和结余0.00万元。</w:t>
      </w:r>
    </w:p>
    <w:p w14:paraId="7763B512">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cs="Times New Roman"/>
          <w:color w:val="auto"/>
          <w:lang w:val="en-US" w:eastAsia="zh-CN"/>
        </w:rPr>
      </w:pPr>
      <w:r>
        <w:rPr>
          <w:rFonts w:hint="default" w:ascii="Times New Roman" w:hAnsi="Times New Roman" w:eastAsia="仿宋_GB2312" w:cs="Times New Roman"/>
          <w:b/>
          <w:bCs/>
          <w:color w:val="auto"/>
          <w:spacing w:val="0"/>
          <w:sz w:val="32"/>
          <w:szCs w:val="32"/>
          <w:highlight w:val="none"/>
          <w:lang w:val="en-US" w:eastAsia="zh-CN"/>
        </w:rPr>
        <w:t>收入支出总体与上年相比</w:t>
      </w:r>
      <w:r>
        <w:rPr>
          <w:rFonts w:hint="default" w:ascii="Times New Roman" w:hAnsi="Times New Roman" w:eastAsia="仿宋_GB2312" w:cs="Times New Roman"/>
          <w:b/>
          <w:bCs/>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增加3,705.55</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增长23.07%</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医院受新冠肺炎疫情影响减弱，事业收入增加</w:t>
      </w:r>
      <w:r>
        <w:rPr>
          <w:rFonts w:hint="default" w:ascii="Times New Roman" w:hAnsi="Times New Roman" w:eastAsia="仿宋_GB2312" w:cs="Times New Roman"/>
          <w:color w:val="auto"/>
          <w:spacing w:val="0"/>
          <w:sz w:val="32"/>
          <w:szCs w:val="32"/>
          <w:highlight w:val="none"/>
          <w:lang w:eastAsia="zh-CN"/>
        </w:rPr>
        <w:t>。</w:t>
      </w:r>
    </w:p>
    <w:p w14:paraId="291593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979"/>
      <w:bookmarkStart w:id="11" w:name="_Toc12142"/>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2BDC1D65">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rPr>
        <w:t>本年收入</w:t>
      </w:r>
      <w:r>
        <w:rPr>
          <w:rFonts w:hint="default" w:ascii="Times New Roman" w:hAnsi="Times New Roman" w:eastAsia="仿宋_GB2312" w:cs="Times New Roman"/>
          <w:b/>
          <w:bCs/>
          <w:color w:val="auto"/>
          <w:sz w:val="32"/>
          <w:szCs w:val="32"/>
          <w:highlight w:val="none"/>
          <w:lang w:val="en-US" w:eastAsia="zh-CN"/>
        </w:rPr>
        <w:t>19770.34</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其中：财政拨款收入</w:t>
      </w:r>
      <w:r>
        <w:rPr>
          <w:rFonts w:hint="default" w:ascii="Times New Roman" w:hAnsi="Times New Roman" w:eastAsia="仿宋_GB2312" w:cs="Times New Roman"/>
          <w:color w:val="auto"/>
          <w:sz w:val="32"/>
          <w:szCs w:val="32"/>
          <w:highlight w:val="none"/>
          <w:lang w:val="en-US" w:eastAsia="zh-CN"/>
        </w:rPr>
        <w:t>5742.69</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29.05</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en-US" w:eastAsia="zh-CN"/>
        </w:rPr>
        <w:t>13736.97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69.48</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en-US" w:eastAsia="zh-CN"/>
        </w:rPr>
        <w:t>290.67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1.47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404E44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40D169B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b/>
          <w:bCs/>
          <w:color w:val="auto"/>
          <w:sz w:val="32"/>
          <w:szCs w:val="32"/>
          <w:highlight w:val="none"/>
          <w:lang w:val="zh-CN" w:eastAsia="zh-CN"/>
        </w:rPr>
        <w:t>本年支出</w:t>
      </w:r>
      <w:r>
        <w:rPr>
          <w:rFonts w:hint="default" w:ascii="Times New Roman" w:hAnsi="Times New Roman" w:eastAsia="仿宋_GB2312" w:cs="Times New Roman"/>
          <w:b/>
          <w:bCs/>
          <w:color w:val="auto"/>
          <w:sz w:val="32"/>
          <w:szCs w:val="32"/>
          <w:highlight w:val="none"/>
          <w:lang w:val="en-US" w:eastAsia="zh-CN"/>
        </w:rPr>
        <w:t>19087.01</w:t>
      </w:r>
      <w:r>
        <w:rPr>
          <w:rFonts w:hint="default" w:ascii="Times New Roman" w:hAnsi="Times New Roman" w:eastAsia="仿宋_GB2312" w:cs="Times New Roman"/>
          <w:b/>
          <w:bCs/>
          <w:color w:val="auto"/>
          <w:sz w:val="32"/>
          <w:szCs w:val="32"/>
          <w:highlight w:val="none"/>
          <w:lang w:val="zh-CN" w:eastAsia="zh-CN"/>
        </w:rPr>
        <w:t>万元</w:t>
      </w:r>
      <w:r>
        <w:rPr>
          <w:rFonts w:hint="default" w:ascii="Times New Roman" w:hAnsi="Times New Roman" w:eastAsia="仿宋_GB2312" w:cs="Times New Roman"/>
          <w:color w:val="auto"/>
          <w:sz w:val="32"/>
          <w:szCs w:val="32"/>
          <w:highlight w:val="none"/>
          <w:lang w:val="zh-CN" w:eastAsia="zh-CN"/>
        </w:rPr>
        <w:t>，其中：基本支出</w:t>
      </w:r>
      <w:r>
        <w:rPr>
          <w:rFonts w:hint="default" w:ascii="Times New Roman" w:hAnsi="Times New Roman" w:eastAsia="仿宋_GB2312" w:cs="Times New Roman"/>
          <w:color w:val="auto"/>
          <w:sz w:val="32"/>
          <w:szCs w:val="32"/>
          <w:highlight w:val="none"/>
          <w:lang w:val="en-US" w:eastAsia="zh-CN"/>
        </w:rPr>
        <w:t>16705.11</w:t>
      </w:r>
      <w:r>
        <w:rPr>
          <w:rFonts w:hint="default" w:ascii="Times New Roman" w:hAnsi="Times New Roman" w:eastAsia="仿宋_GB2312" w:cs="Times New Roman"/>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en-US" w:eastAsia="zh-CN"/>
        </w:rPr>
        <w:t>87.52</w:t>
      </w:r>
      <w:r>
        <w:rPr>
          <w:rFonts w:hint="default" w:ascii="Times New Roman" w:hAnsi="Times New Roman" w:eastAsia="仿宋_GB2312" w:cs="Times New Roman"/>
          <w:color w:val="auto"/>
          <w:sz w:val="32"/>
          <w:szCs w:val="32"/>
          <w:highlight w:val="none"/>
          <w:lang w:val="zh-CN" w:eastAsia="zh-CN"/>
        </w:rPr>
        <w:t>%；项目支出</w:t>
      </w:r>
      <w:r>
        <w:rPr>
          <w:rFonts w:hint="default" w:ascii="Times New Roman" w:hAnsi="Times New Roman" w:eastAsia="仿宋_GB2312" w:cs="Times New Roman"/>
          <w:color w:val="auto"/>
          <w:sz w:val="32"/>
          <w:szCs w:val="32"/>
          <w:highlight w:val="none"/>
          <w:lang w:val="en-US" w:eastAsia="zh-CN"/>
        </w:rPr>
        <w:t>2381.90</w:t>
      </w:r>
      <w:r>
        <w:rPr>
          <w:rFonts w:hint="default" w:ascii="Times New Roman" w:hAnsi="Times New Roman" w:eastAsia="仿宋_GB2312" w:cs="Times New Roman"/>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en-US" w:eastAsia="zh-CN"/>
        </w:rPr>
        <w:t>12.48</w:t>
      </w:r>
      <w:r>
        <w:rPr>
          <w:rFonts w:hint="default" w:ascii="Times New Roman" w:hAnsi="Times New Roman" w:eastAsia="仿宋_GB2312" w:cs="Times New Roman"/>
          <w:color w:val="auto"/>
          <w:sz w:val="32"/>
          <w:szCs w:val="32"/>
          <w:highlight w:val="none"/>
          <w:lang w:val="zh-CN" w:eastAsia="zh-CN"/>
        </w:rPr>
        <w:t>%；上缴上级支出0.00万元，占0.00%；经营支出0.00万元，占0.00%；对附属单位补助支出0.00万元，占0.00%。</w:t>
      </w:r>
    </w:p>
    <w:p w14:paraId="0AAB16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3DC5F6C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2023年度财政拨款收入</w:t>
      </w:r>
      <w:r>
        <w:rPr>
          <w:rFonts w:hint="default" w:ascii="Times New Roman" w:hAnsi="Times New Roman" w:eastAsia="仿宋_GB2312" w:cs="Times New Roman"/>
          <w:b/>
          <w:bCs/>
          <w:color w:val="auto"/>
          <w:spacing w:val="0"/>
          <w:sz w:val="32"/>
          <w:szCs w:val="32"/>
          <w:highlight w:val="none"/>
          <w:lang w:val="en-US" w:eastAsia="zh-CN"/>
        </w:rPr>
        <w:t>总计5742.69</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eastAsia" w:eastAsia="仿宋_GB2312" w:cs="Times New Roman"/>
          <w:color w:val="auto"/>
          <w:spacing w:val="0"/>
          <w:sz w:val="32"/>
          <w:szCs w:val="32"/>
          <w:highlight w:val="none"/>
          <w:lang w:val="en-US" w:eastAsia="zh-CN"/>
        </w:rPr>
        <w:t>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eastAsia" w:ascii="Times New Roman" w:hAnsi="Times New Roman" w:eastAsia="仿宋_GB2312" w:cs="Times New Roman"/>
          <w:b/>
          <w:bCs/>
          <w:color w:val="auto"/>
          <w:spacing w:val="0"/>
          <w:sz w:val="32"/>
          <w:szCs w:val="32"/>
          <w:highlight w:val="none"/>
          <w:lang w:val="en-US" w:eastAsia="zh-CN"/>
        </w:rPr>
        <w:t>5742.69</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b/>
          <w:bCs/>
          <w:color w:val="auto"/>
          <w:spacing w:val="0"/>
          <w:sz w:val="32"/>
          <w:szCs w:val="32"/>
          <w:highlight w:val="none"/>
          <w:lang w:eastAsia="zh-CN"/>
        </w:rPr>
        <w:t>财政拨款支出</w:t>
      </w:r>
      <w:r>
        <w:rPr>
          <w:rFonts w:hint="default" w:ascii="Times New Roman" w:hAnsi="Times New Roman" w:eastAsia="仿宋_GB2312" w:cs="Times New Roman"/>
          <w:b/>
          <w:bCs/>
          <w:color w:val="auto"/>
          <w:spacing w:val="0"/>
          <w:sz w:val="32"/>
          <w:szCs w:val="32"/>
          <w:highlight w:val="none"/>
          <w:lang w:val="en-US" w:eastAsia="zh-CN"/>
        </w:rPr>
        <w:t>总计5742.69</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本年财政拨款支出5742.69</w:t>
      </w:r>
      <w:r>
        <w:rPr>
          <w:rFonts w:hint="default" w:ascii="Times New Roman" w:hAnsi="Times New Roman" w:eastAsia="仿宋_GB2312" w:cs="Times New Roman"/>
          <w:color w:val="auto"/>
          <w:spacing w:val="0"/>
          <w:sz w:val="32"/>
          <w:szCs w:val="32"/>
          <w:highlight w:val="none"/>
          <w:lang w:eastAsia="zh-CN"/>
        </w:rPr>
        <w:t>万元。</w:t>
      </w:r>
    </w:p>
    <w:p w14:paraId="65760138">
      <w:pPr>
        <w:spacing w:line="220" w:lineRule="atLeast"/>
        <w:ind w:firstLine="643" w:firstLineChars="200"/>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财政拨款收入支出总体与上年相比</w:t>
      </w:r>
      <w:r>
        <w:rPr>
          <w:rFonts w:hint="default" w:ascii="Times New Roman" w:hAnsi="Times New Roman" w:eastAsia="仿宋_GB2312" w:cs="Times New Roman"/>
          <w:b/>
          <w:bCs/>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增加1,548.31</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增长36.91</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val="en-US" w:eastAsia="zh-CN"/>
        </w:rPr>
        <w:t>我区</w:t>
      </w:r>
      <w:r>
        <w:rPr>
          <w:rFonts w:hint="default" w:ascii="Times New Roman" w:hAnsi="Times New Roman" w:eastAsia="仿宋_GB2312" w:cs="Times New Roman"/>
          <w:color w:val="auto"/>
          <w:sz w:val="32"/>
          <w:szCs w:val="32"/>
          <w:lang w:eastAsia="zh-CN"/>
        </w:rPr>
        <w:t>全面</w:t>
      </w:r>
      <w:r>
        <w:rPr>
          <w:rFonts w:hint="default" w:ascii="Times New Roman" w:hAnsi="Times New Roman" w:eastAsia="仿宋_GB2312" w:cs="Times New Roman"/>
          <w:color w:val="auto"/>
          <w:sz w:val="32"/>
          <w:szCs w:val="32"/>
          <w:lang w:val="en-US" w:eastAsia="zh-CN"/>
        </w:rPr>
        <w:t>复工复产，前来医院就诊患者人数随之增多，因此财政</w:t>
      </w:r>
      <w:r>
        <w:rPr>
          <w:rFonts w:hint="default" w:ascii="Times New Roman" w:hAnsi="Times New Roman" w:eastAsia="仿宋_GB2312" w:cs="Times New Roman"/>
          <w:color w:val="auto"/>
          <w:sz w:val="32"/>
          <w:szCs w:val="32"/>
        </w:rPr>
        <w:t>项目拨款增加</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4,302.95</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5,742.69</w:t>
      </w:r>
      <w:r>
        <w:rPr>
          <w:rFonts w:hint="default" w:ascii="Times New Roman" w:hAnsi="Times New Roman" w:eastAsia="仿宋_GB2312" w:cs="Times New Roman"/>
          <w:color w:val="auto"/>
          <w:spacing w:val="0"/>
          <w:sz w:val="32"/>
          <w:szCs w:val="32"/>
          <w:highlight w:val="none"/>
          <w:lang w:eastAsia="zh-CN"/>
        </w:rPr>
        <w:t>万元，预决算差异率33.46%，主要原因是：</w:t>
      </w:r>
      <w:r>
        <w:rPr>
          <w:rFonts w:hint="default" w:ascii="Times New Roman" w:hAnsi="Times New Roman" w:eastAsia="仿宋_GB2312" w:cs="Times New Roman"/>
          <w:color w:val="auto"/>
          <w:spacing w:val="0"/>
          <w:sz w:val="32"/>
          <w:szCs w:val="32"/>
          <w:highlight w:val="none"/>
          <w:lang w:val="en-US" w:eastAsia="zh-CN"/>
        </w:rPr>
        <w:t>上级单位加大对我院的扶持力度。</w:t>
      </w:r>
    </w:p>
    <w:p w14:paraId="0626F3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3BF0DE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14E15FB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2023年度一般公共预算财政拨款支出</w:t>
      </w:r>
      <w:r>
        <w:rPr>
          <w:rFonts w:hint="default" w:ascii="Times New Roman" w:hAnsi="Times New Roman" w:eastAsia="仿宋_GB2312" w:cs="Times New Roman"/>
          <w:b/>
          <w:bCs/>
          <w:color w:val="auto"/>
          <w:spacing w:val="0"/>
          <w:sz w:val="32"/>
          <w:szCs w:val="32"/>
          <w:highlight w:val="none"/>
          <w:lang w:val="en-US" w:eastAsia="zh-CN"/>
        </w:rPr>
        <w:t>5485.65</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eastAsia="zh-CN"/>
        </w:rPr>
        <w:t>占本年支出合计的</w:t>
      </w:r>
      <w:r>
        <w:rPr>
          <w:rFonts w:hint="default" w:ascii="Times New Roman" w:hAnsi="Times New Roman" w:eastAsia="仿宋_GB2312" w:cs="Times New Roman"/>
          <w:color w:val="auto"/>
          <w:spacing w:val="0"/>
          <w:sz w:val="32"/>
          <w:szCs w:val="32"/>
          <w:highlight w:val="none"/>
          <w:lang w:val="en-US" w:eastAsia="zh-CN"/>
        </w:rPr>
        <w:t>2</w:t>
      </w:r>
      <w:r>
        <w:rPr>
          <w:rFonts w:hint="eastAsia" w:eastAsia="仿宋_GB2312" w:cs="Times New Roman"/>
          <w:color w:val="auto"/>
          <w:spacing w:val="0"/>
          <w:sz w:val="32"/>
          <w:szCs w:val="32"/>
          <w:highlight w:val="none"/>
          <w:lang w:val="en-US" w:eastAsia="zh-CN"/>
        </w:rPr>
        <w:t>8.74</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en-US" w:eastAsia="zh-CN"/>
        </w:rPr>
        <w:t>1759.03</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en-US" w:eastAsia="zh-CN"/>
        </w:rPr>
        <w:t>47.2</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eastAsia" w:ascii="Times New Roman" w:hAnsi="Times New Roman" w:eastAsia="仿宋_GB2312" w:cs="Times New Roman"/>
          <w:color w:val="auto"/>
          <w:spacing w:val="0"/>
          <w:sz w:val="32"/>
          <w:szCs w:val="32"/>
          <w:highlight w:val="none"/>
          <w:lang w:eastAsia="zh-CN"/>
        </w:rPr>
        <w:t>202</w:t>
      </w:r>
      <w:r>
        <w:rPr>
          <w:rFonts w:hint="eastAsia" w:ascii="Times New Roman" w:hAnsi="Times New Roman" w:eastAsia="仿宋_GB2312" w:cs="Times New Roman"/>
          <w:color w:val="auto"/>
          <w:spacing w:val="0"/>
          <w:sz w:val="32"/>
          <w:szCs w:val="32"/>
          <w:highlight w:val="none"/>
          <w:lang w:val="en-US" w:eastAsia="zh-CN"/>
        </w:rPr>
        <w:t>3</w:t>
      </w:r>
      <w:r>
        <w:rPr>
          <w:rFonts w:hint="eastAsia" w:ascii="Times New Roman" w:hAnsi="Times New Roman" w:eastAsia="仿宋_GB2312" w:cs="Times New Roman"/>
          <w:color w:val="auto"/>
          <w:spacing w:val="0"/>
          <w:sz w:val="32"/>
          <w:szCs w:val="32"/>
          <w:highlight w:val="none"/>
          <w:lang w:eastAsia="zh-CN"/>
        </w:rPr>
        <w:t>年因防控疫情原因项目拨款增加，其中自治区医疗服务与保障能力提升（公立医院综合改革）</w:t>
      </w:r>
      <w:r>
        <w:rPr>
          <w:rFonts w:hint="eastAsia" w:ascii="Times New Roman" w:hAnsi="Times New Roman" w:eastAsia="仿宋_GB2312" w:cs="Times New Roman"/>
          <w:color w:val="auto"/>
          <w:spacing w:val="0"/>
          <w:sz w:val="32"/>
          <w:szCs w:val="32"/>
          <w:highlight w:val="none"/>
          <w:lang w:val="en-US" w:eastAsia="zh-CN"/>
        </w:rPr>
        <w:t>21万元</w:t>
      </w:r>
      <w:r>
        <w:rPr>
          <w:rFonts w:hint="eastAsia" w:ascii="Times New Roman" w:hAnsi="Times New Roman" w:eastAsia="仿宋_GB2312" w:cs="Times New Roman"/>
          <w:color w:val="auto"/>
          <w:spacing w:val="0"/>
          <w:sz w:val="32"/>
          <w:szCs w:val="32"/>
          <w:highlight w:val="none"/>
          <w:lang w:eastAsia="zh-CN"/>
        </w:rPr>
        <w:t>；中央医疗服务与保障能力提升（公立医院综合改革）</w:t>
      </w:r>
      <w:r>
        <w:rPr>
          <w:rFonts w:hint="eastAsia" w:ascii="Times New Roman" w:hAnsi="Times New Roman" w:eastAsia="仿宋_GB2312" w:cs="Times New Roman"/>
          <w:color w:val="auto"/>
          <w:spacing w:val="0"/>
          <w:sz w:val="32"/>
          <w:szCs w:val="32"/>
          <w:highlight w:val="none"/>
          <w:lang w:val="en-US" w:eastAsia="zh-CN"/>
        </w:rPr>
        <w:t>24万元；</w:t>
      </w:r>
      <w:r>
        <w:rPr>
          <w:rFonts w:hint="eastAsia" w:ascii="Times New Roman" w:hAnsi="Times New Roman" w:eastAsia="仿宋_GB2312" w:cs="Times New Roman"/>
          <w:color w:val="auto"/>
          <w:spacing w:val="0"/>
          <w:sz w:val="32"/>
          <w:szCs w:val="32"/>
          <w:highlight w:val="none"/>
          <w:lang w:eastAsia="zh-CN"/>
        </w:rPr>
        <w:t>202</w:t>
      </w:r>
      <w:r>
        <w:rPr>
          <w:rFonts w:hint="eastAsia" w:ascii="Times New Roman" w:hAnsi="Times New Roman" w:eastAsia="仿宋_GB2312" w:cs="Times New Roman"/>
          <w:color w:val="auto"/>
          <w:spacing w:val="0"/>
          <w:sz w:val="32"/>
          <w:szCs w:val="32"/>
          <w:highlight w:val="none"/>
          <w:lang w:val="en-US" w:eastAsia="zh-CN"/>
        </w:rPr>
        <w:t>3</w:t>
      </w:r>
      <w:r>
        <w:rPr>
          <w:rFonts w:hint="eastAsia" w:ascii="Times New Roman" w:hAnsi="Times New Roman" w:eastAsia="仿宋_GB2312" w:cs="Times New Roman"/>
          <w:color w:val="auto"/>
          <w:spacing w:val="0"/>
          <w:sz w:val="32"/>
          <w:szCs w:val="32"/>
          <w:highlight w:val="none"/>
          <w:lang w:eastAsia="zh-CN"/>
        </w:rPr>
        <w:t>年自治区第一批疫情防控补助资金（重症床位设备配置）</w:t>
      </w:r>
      <w:r>
        <w:rPr>
          <w:rFonts w:hint="eastAsia" w:ascii="Times New Roman" w:hAnsi="Times New Roman" w:eastAsia="仿宋_GB2312" w:cs="Times New Roman"/>
          <w:color w:val="auto"/>
          <w:spacing w:val="0"/>
          <w:sz w:val="32"/>
          <w:szCs w:val="32"/>
          <w:highlight w:val="none"/>
          <w:lang w:val="en-US" w:eastAsia="zh-CN"/>
        </w:rPr>
        <w:t>870</w:t>
      </w:r>
      <w:r>
        <w:rPr>
          <w:rFonts w:hint="eastAsia" w:ascii="Times New Roman" w:hAnsi="Times New Roman" w:eastAsia="仿宋_GB2312" w:cs="Times New Roman"/>
          <w:color w:val="auto"/>
          <w:spacing w:val="0"/>
          <w:sz w:val="32"/>
          <w:szCs w:val="32"/>
          <w:highlight w:val="none"/>
          <w:lang w:eastAsia="zh-CN"/>
        </w:rPr>
        <w:t>万元；自治区医务人员临时性工作补助</w:t>
      </w:r>
      <w:r>
        <w:rPr>
          <w:rFonts w:hint="eastAsia" w:ascii="Times New Roman" w:hAnsi="Times New Roman" w:eastAsia="仿宋_GB2312" w:cs="Times New Roman"/>
          <w:color w:val="auto"/>
          <w:spacing w:val="0"/>
          <w:sz w:val="32"/>
          <w:szCs w:val="32"/>
          <w:highlight w:val="none"/>
          <w:lang w:val="en-US" w:eastAsia="zh-CN"/>
        </w:rPr>
        <w:t>104.18万元；2023年新型冠状病毒感染疫情应急救治能力提升项目中央基建投资150万元；</w:t>
      </w:r>
      <w:r>
        <w:rPr>
          <w:rFonts w:hint="eastAsia" w:ascii="Times New Roman" w:hAnsi="Times New Roman" w:eastAsia="仿宋_GB2312" w:cs="Times New Roman"/>
          <w:color w:val="auto"/>
          <w:spacing w:val="0"/>
          <w:sz w:val="32"/>
          <w:szCs w:val="32"/>
          <w:highlight w:val="none"/>
          <w:lang w:eastAsia="zh-CN"/>
        </w:rPr>
        <w:t>自治区公共卫生服务（地方公卫）补助资金</w:t>
      </w:r>
      <w:r>
        <w:rPr>
          <w:rFonts w:hint="eastAsia" w:ascii="Times New Roman" w:hAnsi="Times New Roman" w:eastAsia="仿宋_GB2312" w:cs="Times New Roman"/>
          <w:color w:val="auto"/>
          <w:spacing w:val="0"/>
          <w:sz w:val="32"/>
          <w:szCs w:val="32"/>
          <w:highlight w:val="none"/>
          <w:lang w:val="en-US" w:eastAsia="zh-CN"/>
        </w:rPr>
        <w:t>28万元；</w:t>
      </w:r>
      <w:r>
        <w:rPr>
          <w:rFonts w:hint="eastAsia" w:ascii="Times New Roman" w:hAnsi="Times New Roman" w:eastAsia="仿宋_GB2312" w:cs="Times New Roman"/>
          <w:color w:val="auto"/>
          <w:spacing w:val="0"/>
          <w:sz w:val="32"/>
          <w:szCs w:val="32"/>
          <w:highlight w:val="none"/>
          <w:lang w:eastAsia="zh-CN"/>
        </w:rPr>
        <w:t>2023年中央基本公共卫生服务补助资</w:t>
      </w:r>
      <w:r>
        <w:rPr>
          <w:rFonts w:hint="eastAsia" w:ascii="Times New Roman" w:hAnsi="Times New Roman" w:eastAsia="仿宋_GB2312" w:cs="Times New Roman"/>
          <w:color w:val="auto"/>
          <w:spacing w:val="0"/>
          <w:sz w:val="32"/>
          <w:szCs w:val="32"/>
          <w:highlight w:val="none"/>
          <w:lang w:val="en-US" w:eastAsia="zh-CN"/>
        </w:rPr>
        <w:t>130.38万元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4,045.91</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5,485.65</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35.58%</w:t>
      </w:r>
      <w:r>
        <w:rPr>
          <w:rFonts w:hint="default" w:ascii="Times New Roman" w:hAnsi="Times New Roman" w:eastAsia="仿宋_GB2312" w:cs="Times New Roman"/>
          <w:color w:val="auto"/>
          <w:spacing w:val="0"/>
          <w:sz w:val="32"/>
          <w:szCs w:val="32"/>
          <w:highlight w:val="none"/>
          <w:lang w:eastAsia="zh-CN"/>
        </w:rPr>
        <w:t>，主要原因是：</w:t>
      </w:r>
      <w:r>
        <w:rPr>
          <w:rFonts w:hint="eastAsia" w:ascii="Times New Roman" w:hAnsi="Times New Roman" w:eastAsia="仿宋_GB2312" w:cs="Times New Roman"/>
          <w:color w:val="auto"/>
          <w:spacing w:val="0"/>
          <w:sz w:val="32"/>
          <w:szCs w:val="32"/>
          <w:highlight w:val="none"/>
          <w:lang w:eastAsia="zh-CN"/>
        </w:rPr>
        <w:t>202</w:t>
      </w:r>
      <w:r>
        <w:rPr>
          <w:rFonts w:hint="eastAsia" w:ascii="Times New Roman" w:hAnsi="Times New Roman" w:eastAsia="仿宋_GB2312" w:cs="Times New Roman"/>
          <w:color w:val="auto"/>
          <w:spacing w:val="0"/>
          <w:sz w:val="32"/>
          <w:szCs w:val="32"/>
          <w:highlight w:val="none"/>
          <w:lang w:val="en-US" w:eastAsia="zh-CN"/>
        </w:rPr>
        <w:t>3</w:t>
      </w:r>
      <w:r>
        <w:rPr>
          <w:rFonts w:hint="eastAsia" w:ascii="Times New Roman" w:hAnsi="Times New Roman" w:eastAsia="仿宋_GB2312" w:cs="Times New Roman"/>
          <w:color w:val="auto"/>
          <w:spacing w:val="0"/>
          <w:sz w:val="32"/>
          <w:szCs w:val="32"/>
          <w:highlight w:val="none"/>
          <w:lang w:eastAsia="zh-CN"/>
        </w:rPr>
        <w:t>年</w:t>
      </w:r>
      <w:r>
        <w:rPr>
          <w:rFonts w:hint="eastAsia" w:eastAsia="仿宋_GB2312" w:cs="Times New Roman"/>
          <w:color w:val="auto"/>
          <w:spacing w:val="0"/>
          <w:sz w:val="32"/>
          <w:szCs w:val="32"/>
          <w:highlight w:val="none"/>
          <w:lang w:val="en-US" w:eastAsia="zh-CN"/>
        </w:rPr>
        <w:t>年中执行中</w:t>
      </w:r>
      <w:r>
        <w:rPr>
          <w:rFonts w:hint="eastAsia" w:eastAsia="仿宋_GB2312" w:cs="Times New Roman"/>
          <w:color w:val="auto"/>
          <w:spacing w:val="0"/>
          <w:sz w:val="32"/>
          <w:szCs w:val="32"/>
          <w:highlight w:val="none"/>
          <w:lang w:eastAsia="zh-CN"/>
        </w:rPr>
        <w:t>增加了</w:t>
      </w:r>
      <w:r>
        <w:rPr>
          <w:rFonts w:hint="eastAsia" w:ascii="Times New Roman" w:hAnsi="Times New Roman" w:eastAsia="仿宋_GB2312" w:cs="Times New Roman"/>
          <w:color w:val="auto"/>
          <w:spacing w:val="0"/>
          <w:sz w:val="32"/>
          <w:szCs w:val="32"/>
          <w:highlight w:val="none"/>
          <w:lang w:eastAsia="zh-CN"/>
        </w:rPr>
        <w:t>自治区第一批疫情防控补助资金（重症床位设备配置）</w:t>
      </w:r>
      <w:r>
        <w:rPr>
          <w:rFonts w:hint="eastAsia" w:eastAsia="仿宋_GB2312" w:cs="Times New Roman"/>
          <w:color w:val="auto"/>
          <w:spacing w:val="0"/>
          <w:sz w:val="32"/>
          <w:szCs w:val="32"/>
          <w:highlight w:val="none"/>
          <w:lang w:val="en-US" w:eastAsia="zh-CN"/>
        </w:rPr>
        <w:t>、</w:t>
      </w:r>
      <w:r>
        <w:rPr>
          <w:rFonts w:hint="eastAsia" w:ascii="Times New Roman" w:hAnsi="Times New Roman" w:eastAsia="仿宋_GB2312" w:cs="Times New Roman"/>
          <w:color w:val="auto"/>
          <w:spacing w:val="0"/>
          <w:sz w:val="32"/>
          <w:szCs w:val="32"/>
          <w:highlight w:val="none"/>
          <w:lang w:eastAsia="zh-CN"/>
        </w:rPr>
        <w:t>自治区医务人员临时性工作补助</w:t>
      </w:r>
      <w:r>
        <w:rPr>
          <w:rFonts w:hint="eastAsia" w:eastAsia="仿宋_GB2312" w:cs="Times New Roman"/>
          <w:color w:val="auto"/>
          <w:spacing w:val="0"/>
          <w:sz w:val="32"/>
          <w:szCs w:val="32"/>
          <w:highlight w:val="none"/>
          <w:lang w:val="en-US" w:eastAsia="zh-CN"/>
        </w:rPr>
        <w:t>、</w:t>
      </w:r>
      <w:r>
        <w:rPr>
          <w:rFonts w:hint="eastAsia" w:ascii="Times New Roman" w:hAnsi="Times New Roman" w:eastAsia="仿宋_GB2312" w:cs="Times New Roman"/>
          <w:color w:val="auto"/>
          <w:spacing w:val="0"/>
          <w:sz w:val="32"/>
          <w:szCs w:val="32"/>
          <w:highlight w:val="none"/>
          <w:lang w:val="en-US" w:eastAsia="zh-CN"/>
        </w:rPr>
        <w:t>2023年新型冠状病毒感染疫情应急救治能力提升项目中央基建投资</w:t>
      </w:r>
      <w:r>
        <w:rPr>
          <w:rFonts w:hint="eastAsia" w:eastAsia="仿宋_GB2312" w:cs="Times New Roman"/>
          <w:color w:val="auto"/>
          <w:spacing w:val="0"/>
          <w:sz w:val="32"/>
          <w:szCs w:val="32"/>
          <w:highlight w:val="none"/>
          <w:lang w:val="en-US" w:eastAsia="zh-CN"/>
        </w:rPr>
        <w:t>和</w:t>
      </w:r>
      <w:r>
        <w:rPr>
          <w:rFonts w:hint="eastAsia" w:ascii="Times New Roman" w:hAnsi="Times New Roman" w:eastAsia="仿宋_GB2312" w:cs="Times New Roman"/>
          <w:color w:val="auto"/>
          <w:spacing w:val="0"/>
          <w:sz w:val="32"/>
          <w:szCs w:val="32"/>
          <w:highlight w:val="none"/>
          <w:lang w:eastAsia="zh-CN"/>
        </w:rPr>
        <w:t>2023年中央基本公共卫生服务补助</w:t>
      </w:r>
      <w:r>
        <w:rPr>
          <w:rFonts w:hint="eastAsia" w:eastAsia="仿宋_GB2312" w:cs="Times New Roman"/>
          <w:color w:val="auto"/>
          <w:spacing w:val="0"/>
          <w:sz w:val="32"/>
          <w:szCs w:val="32"/>
          <w:highlight w:val="none"/>
          <w:lang w:val="en-US" w:eastAsia="zh-CN"/>
        </w:rPr>
        <w:t>资金项目</w:t>
      </w:r>
      <w:r>
        <w:rPr>
          <w:rFonts w:hint="eastAsia" w:ascii="Times New Roman" w:hAnsi="Times New Roman" w:eastAsia="仿宋_GB2312" w:cs="Times New Roman"/>
          <w:color w:val="auto"/>
          <w:spacing w:val="0"/>
          <w:sz w:val="32"/>
          <w:szCs w:val="32"/>
          <w:highlight w:val="none"/>
          <w:lang w:eastAsia="zh-CN"/>
        </w:rPr>
        <w:t>。</w:t>
      </w:r>
    </w:p>
    <w:p w14:paraId="4682289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3859B4B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社会保障和就业支出（类）391.98万元，占7.1</w:t>
      </w:r>
      <w:r>
        <w:rPr>
          <w:rFonts w:hint="default" w:ascii="Times New Roman" w:hAnsi="Times New Roman" w:eastAsia="仿宋_GB2312" w:cs="Times New Roman"/>
          <w:color w:val="auto"/>
          <w:spacing w:val="0"/>
          <w:kern w:val="2"/>
          <w:sz w:val="32"/>
          <w:szCs w:val="32"/>
          <w:highlight w:val="none"/>
          <w:lang w:val="en-US" w:eastAsia="zh-CN" w:bidi="ar-SA"/>
        </w:rPr>
        <w:t>4</w:t>
      </w:r>
      <w:r>
        <w:rPr>
          <w:rFonts w:hint="default" w:ascii="Times New Roman" w:hAnsi="Times New Roman" w:eastAsia="仿宋_GB2312" w:cs="Times New Roman"/>
          <w:color w:val="auto"/>
          <w:spacing w:val="0"/>
          <w:kern w:val="2"/>
          <w:sz w:val="32"/>
          <w:szCs w:val="32"/>
          <w:highlight w:val="none"/>
          <w:lang w:val="zh-CN" w:eastAsia="zh-CN" w:bidi="ar-SA"/>
        </w:rPr>
        <w:t>%；</w:t>
      </w:r>
    </w:p>
    <w:p w14:paraId="75A4352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卫生健康支出（类）4,868.41万元，占88.75%；</w:t>
      </w:r>
    </w:p>
    <w:p w14:paraId="5C31121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住房保障支出（类）225.26万元，占4.11%。</w:t>
      </w:r>
    </w:p>
    <w:p w14:paraId="5DE1C2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036CB95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1.社会保障和就业支出（类）行政事业单位养老支出（款）事业单位离退休（项）:支出决算数为327.56万元，比上年决算增加213.58万元，增长187.39%，主要原因是：退休人员增加了医疗补助费用</w:t>
      </w:r>
      <w:r>
        <w:rPr>
          <w:rFonts w:hint="default" w:ascii="Times New Roman" w:hAnsi="Times New Roman" w:eastAsia="仿宋_GB2312" w:cs="Times New Roman"/>
          <w:color w:val="auto"/>
          <w:kern w:val="2"/>
          <w:sz w:val="32"/>
          <w:szCs w:val="32"/>
          <w:highlight w:val="none"/>
          <w:lang w:val="zh-CN" w:eastAsia="zh-CN" w:bidi="ar-SA"/>
        </w:rPr>
        <w:t>。</w:t>
      </w:r>
    </w:p>
    <w:p w14:paraId="2523C9FE">
      <w:pPr>
        <w:pStyle w:val="2"/>
        <w:ind w:firstLine="640" w:firstLineChars="200"/>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社会保障和就业支出（类）行政事业单位养老支出（款）机关事业单位基本养老保险缴费支出（项）:支出决算数为0.00万元，比上年决算减少245.53万元，下降100%，主要原因是：本年度与医疗保险补助合并，计入医疗补助费用中</w:t>
      </w:r>
      <w:r>
        <w:rPr>
          <w:rFonts w:hint="default" w:ascii="Times New Roman" w:hAnsi="Times New Roman" w:eastAsia="仿宋_GB2312" w:cs="Times New Roman"/>
          <w:color w:val="auto"/>
          <w:kern w:val="2"/>
          <w:sz w:val="32"/>
          <w:szCs w:val="32"/>
          <w:highlight w:val="none"/>
          <w:lang w:val="zh-CN" w:eastAsia="zh-CN" w:bidi="ar-SA"/>
        </w:rPr>
        <w:t>。</w:t>
      </w:r>
    </w:p>
    <w:p w14:paraId="09AB89DA">
      <w:pPr>
        <w:pStyle w:val="2"/>
        <w:ind w:firstLine="640" w:firstLineChars="200"/>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3.社会保障和就业支出（类）行政事业单位养老支出（款）机关事业单位职业年金缴费支出（项）:支出决算数为64.43万元，比上年决算增加64.43万元，增长100%，主要原因是：</w:t>
      </w:r>
      <w:r>
        <w:rPr>
          <w:rFonts w:hint="default" w:ascii="Times New Roman" w:hAnsi="Times New Roman" w:eastAsia="仿宋_GB2312" w:cs="Times New Roman"/>
          <w:color w:val="auto"/>
          <w:sz w:val="32"/>
          <w:szCs w:val="32"/>
          <w:lang w:val="en-US" w:eastAsia="zh-CN"/>
        </w:rPr>
        <w:t>本年度退休人员增多</w:t>
      </w:r>
      <w:r>
        <w:rPr>
          <w:rFonts w:hint="default" w:ascii="Times New Roman" w:hAnsi="Times New Roman" w:eastAsia="仿宋_GB2312" w:cs="Times New Roman"/>
          <w:color w:val="auto"/>
          <w:kern w:val="2"/>
          <w:sz w:val="32"/>
          <w:szCs w:val="32"/>
          <w:highlight w:val="none"/>
          <w:lang w:val="zh-CN" w:eastAsia="zh-CN" w:bidi="ar-SA"/>
        </w:rPr>
        <w:t>。</w:t>
      </w:r>
    </w:p>
    <w:p w14:paraId="08D0D4A2">
      <w:pPr>
        <w:pStyle w:val="2"/>
        <w:ind w:firstLine="640" w:firstLineChars="200"/>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4.卫生健康支出（类）公立医院（款）综合医院（项）:支出决算数为2,943.36万元，比上年决算增加577.18万元，增长24.39%，主要原因是：</w:t>
      </w:r>
      <w:r>
        <w:rPr>
          <w:rFonts w:hint="default" w:ascii="Times New Roman" w:hAnsi="Times New Roman" w:eastAsia="仿宋_GB2312" w:cs="Times New Roman"/>
          <w:color w:val="auto"/>
          <w:kern w:val="2"/>
          <w:sz w:val="32"/>
          <w:szCs w:val="32"/>
          <w:highlight w:val="none"/>
          <w:lang w:val="zh-CN" w:eastAsia="zh-CN" w:bidi="ar-SA"/>
        </w:rPr>
        <w:t>由于工资基数调整，相应增加了人员经费和公用经费。</w:t>
      </w:r>
    </w:p>
    <w:p w14:paraId="072F31D7">
      <w:pPr>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5.卫生健康支出（类）公立医院（款）其他公立医院支出（项）:支出决算数为0.00万元，比上年决算减少51.00万元，下降100%，主要原因是：2023年计入卫生健康支出（类）公立医院（款）综合医院（项）中</w:t>
      </w:r>
      <w:r>
        <w:rPr>
          <w:rFonts w:hint="default" w:ascii="Times New Roman" w:hAnsi="Times New Roman" w:eastAsia="仿宋_GB2312" w:cs="Times New Roman"/>
          <w:color w:val="auto"/>
          <w:kern w:val="2"/>
          <w:sz w:val="32"/>
          <w:szCs w:val="32"/>
          <w:highlight w:val="none"/>
          <w:lang w:val="zh-CN" w:eastAsia="zh-CN" w:bidi="ar-SA"/>
        </w:rPr>
        <w:t>。</w:t>
      </w:r>
    </w:p>
    <w:p w14:paraId="26C46F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6.卫生健康支出（类）公共卫生（款）应急救治机构（项）:支出决算数为150.00万元，比上年决算增加150.00万元，增长100%，主要原因是：本年度增加疫情防控专项补助资金</w:t>
      </w:r>
      <w:r>
        <w:rPr>
          <w:rFonts w:hint="default" w:ascii="Times New Roman" w:hAnsi="Times New Roman" w:eastAsia="仿宋_GB2312" w:cs="Times New Roman"/>
          <w:color w:val="auto"/>
          <w:kern w:val="2"/>
          <w:sz w:val="32"/>
          <w:szCs w:val="32"/>
          <w:highlight w:val="none"/>
          <w:lang w:val="zh-CN" w:eastAsia="zh-CN" w:bidi="ar-SA"/>
        </w:rPr>
        <w:t>。</w:t>
      </w:r>
    </w:p>
    <w:p w14:paraId="4F06A42D">
      <w:pPr>
        <w:pStyle w:val="2"/>
        <w:ind w:firstLine="640" w:firstLineChars="200"/>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7.卫生健康支出（类）公共卫生（款）基本公共卫生服务（项）:支出决算数为130.38万元，比上年决算增加130.38万元，增长100%，主要原因是：</w:t>
      </w:r>
      <w:r>
        <w:rPr>
          <w:rFonts w:hint="default" w:ascii="Times New Roman" w:hAnsi="Times New Roman" w:eastAsia="仿宋_GB2312" w:cs="Times New Roman"/>
          <w:color w:val="auto"/>
          <w:sz w:val="32"/>
          <w:szCs w:val="32"/>
        </w:rPr>
        <w:t>财政扶持力度增加</w:t>
      </w:r>
      <w:r>
        <w:rPr>
          <w:rFonts w:hint="default" w:ascii="Times New Roman" w:hAnsi="Times New Roman" w:eastAsia="仿宋_GB2312" w:cs="Times New Roman"/>
          <w:color w:val="auto"/>
          <w:kern w:val="2"/>
          <w:sz w:val="32"/>
          <w:szCs w:val="32"/>
          <w:highlight w:val="none"/>
          <w:lang w:val="zh-CN" w:eastAsia="zh-CN" w:bidi="ar-SA"/>
        </w:rPr>
        <w:t>。</w:t>
      </w:r>
    </w:p>
    <w:p w14:paraId="1A4191A0">
      <w:pPr>
        <w:pStyle w:val="2"/>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8.卫生健康支出（类）公共卫生（款）重大公共卫生服务（项）:支出决算数为0.00万元，比上年决算减少80.00万元，下降100%，主要原因是：本年度没有下拨中央重大传染病防控经费。</w:t>
      </w:r>
    </w:p>
    <w:p w14:paraId="770DA5D5">
      <w:pPr>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kern w:val="2"/>
          <w:sz w:val="32"/>
          <w:szCs w:val="32"/>
          <w:highlight w:val="none"/>
          <w:lang w:val="en-US" w:eastAsia="zh-CN" w:bidi="ar-SA"/>
        </w:rPr>
        <w:t>9.卫生健康支出（类）公共卫生（款）突发公共卫生事件应急处理（项）:支出决算数为974.48万元，比上年决算增加974.48万元，增长100%，主要原因是：本年度</w:t>
      </w:r>
      <w:r>
        <w:rPr>
          <w:rFonts w:hint="default" w:ascii="Times New Roman" w:hAnsi="Times New Roman" w:eastAsia="仿宋_GB2312" w:cs="Times New Roman"/>
          <w:color w:val="auto"/>
          <w:sz w:val="32"/>
          <w:szCs w:val="32"/>
        </w:rPr>
        <w:t>财政扶持力度增加</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该款用于医务人员临时补助和医疗设备款。</w:t>
      </w:r>
    </w:p>
    <w:p w14:paraId="09B2CA8E">
      <w:pPr>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kern w:val="2"/>
          <w:sz w:val="32"/>
          <w:szCs w:val="32"/>
          <w:highlight w:val="none"/>
          <w:lang w:val="en-US" w:eastAsia="zh-CN" w:bidi="ar-SA"/>
        </w:rPr>
        <w:t>卫生健康支出（类）公共卫生（款）其他公共卫生支出（项）:支出决算数为28.00万元，比上年决算增加28.00万元，增长100%，主要原因是：本年度增加</w:t>
      </w:r>
      <w:r>
        <w:rPr>
          <w:rFonts w:hint="default" w:ascii="Times New Roman" w:hAnsi="Times New Roman" w:eastAsia="仿宋_GB2312" w:cs="Times New Roman"/>
          <w:color w:val="auto"/>
          <w:sz w:val="32"/>
          <w:szCs w:val="32"/>
        </w:rPr>
        <w:t>自治区公共卫生服务（地方公卫）补助资金</w:t>
      </w:r>
      <w:r>
        <w:rPr>
          <w:rFonts w:hint="default" w:ascii="Times New Roman" w:hAnsi="Times New Roman" w:eastAsia="仿宋_GB2312" w:cs="Times New Roman"/>
          <w:color w:val="auto"/>
          <w:sz w:val="32"/>
          <w:szCs w:val="32"/>
          <w:lang w:eastAsia="zh-CN"/>
        </w:rPr>
        <w:t>。</w:t>
      </w:r>
    </w:p>
    <w:p w14:paraId="4517F410">
      <w:pPr>
        <w:pStyle w:val="2"/>
        <w:ind w:firstLine="640" w:firstLineChars="200"/>
        <w:rPr>
          <w:rFonts w:hint="default" w:ascii="Times New Roman" w:hAnsi="Times New Roman" w:cs="Times New Roman"/>
          <w:color w:val="auto"/>
          <w:lang w:val="en-US" w:eastAsia="zh-CN"/>
        </w:rPr>
      </w:pPr>
      <w:r>
        <w:rPr>
          <w:rFonts w:hint="default" w:ascii="Times New Roman" w:hAnsi="Times New Roman" w:eastAsia="仿宋_GB2312" w:cs="Times New Roman"/>
          <w:color w:val="auto"/>
          <w:sz w:val="32"/>
          <w:szCs w:val="32"/>
          <w:lang w:val="en-US" w:eastAsia="zh-CN"/>
        </w:rPr>
        <w:t>11.</w:t>
      </w:r>
      <w:r>
        <w:rPr>
          <w:rFonts w:hint="default" w:ascii="Times New Roman" w:hAnsi="Times New Roman" w:eastAsia="仿宋_GB2312" w:cs="Times New Roman"/>
          <w:color w:val="auto"/>
          <w:kern w:val="2"/>
          <w:sz w:val="32"/>
          <w:szCs w:val="32"/>
          <w:highlight w:val="none"/>
          <w:lang w:val="en-US" w:eastAsia="zh-CN" w:bidi="ar-SA"/>
        </w:rPr>
        <w:t>卫生健康支出（类）中医药（款）中医（民族医）药专项（项）:支出决算数为370.00万元，比上年决算减少80.00万元，下降17.78%，主要原因是：本年度</w:t>
      </w:r>
      <w:r>
        <w:rPr>
          <w:rFonts w:hint="default" w:ascii="Times New Roman" w:hAnsi="Times New Roman" w:eastAsia="仿宋_GB2312" w:cs="Times New Roman"/>
          <w:color w:val="auto"/>
          <w:kern w:val="2"/>
          <w:sz w:val="32"/>
          <w:szCs w:val="32"/>
          <w:highlight w:val="none"/>
          <w:lang w:val="zh-CN" w:eastAsia="zh-CN" w:bidi="ar-SA"/>
        </w:rPr>
        <w:t>自治区医疗服务能力提升（中医药传承与发展）</w:t>
      </w:r>
      <w:r>
        <w:rPr>
          <w:rFonts w:hint="default" w:ascii="Times New Roman" w:hAnsi="Times New Roman" w:eastAsia="仿宋_GB2312" w:cs="Times New Roman"/>
          <w:color w:val="auto"/>
          <w:kern w:val="2"/>
          <w:sz w:val="32"/>
          <w:szCs w:val="32"/>
          <w:highlight w:val="none"/>
          <w:lang w:val="en-US" w:eastAsia="zh-CN" w:bidi="ar-SA"/>
        </w:rPr>
        <w:t>项目资金减少。</w:t>
      </w:r>
    </w:p>
    <w:p w14:paraId="6D275A3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12.卫生健康支出（类）行政事业单位医疗（款）事业单位医疗（项）:支出决算数为140.79万元，比上年决算增加8.15万元，增长6.14%，主要原因是：本年度工资基数调增</w:t>
      </w:r>
      <w:r>
        <w:rPr>
          <w:rFonts w:hint="default" w:ascii="Times New Roman" w:hAnsi="Times New Roman" w:eastAsia="仿宋_GB2312" w:cs="Times New Roman"/>
          <w:color w:val="auto"/>
          <w:kern w:val="2"/>
          <w:sz w:val="32"/>
          <w:szCs w:val="32"/>
          <w:highlight w:val="none"/>
          <w:lang w:val="zh-CN" w:eastAsia="zh-CN" w:bidi="ar-SA"/>
        </w:rPr>
        <w:t>。</w:t>
      </w:r>
    </w:p>
    <w:p w14:paraId="3C2BD4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13.卫生健康支出（类）行政事业单位医疗（款）公务员医疗补助（项）:支出决算数为131.40万元，比上年决算增加28.24万元，增长27.37%，主要原因是：本年度工资基数调增</w:t>
      </w:r>
      <w:r>
        <w:rPr>
          <w:rFonts w:hint="default" w:ascii="Times New Roman" w:hAnsi="Times New Roman" w:eastAsia="仿宋_GB2312" w:cs="Times New Roman"/>
          <w:color w:val="auto"/>
          <w:kern w:val="2"/>
          <w:sz w:val="32"/>
          <w:szCs w:val="32"/>
          <w:highlight w:val="none"/>
          <w:lang w:val="zh-CN" w:eastAsia="zh-CN" w:bidi="ar-SA"/>
        </w:rPr>
        <w:t>。</w:t>
      </w:r>
    </w:p>
    <w:p w14:paraId="718360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14.住房保障支出（类）住房改革支出（款）住房公积金（项）:支出决算数为225.26万元，比上年决算增加41.11万元，增长22.33%，主要原因是：本年度工资基数调增</w:t>
      </w:r>
      <w:r>
        <w:rPr>
          <w:rFonts w:hint="default" w:ascii="Times New Roman" w:hAnsi="Times New Roman" w:eastAsia="仿宋_GB2312" w:cs="Times New Roman"/>
          <w:color w:val="auto"/>
          <w:kern w:val="2"/>
          <w:sz w:val="32"/>
          <w:szCs w:val="32"/>
          <w:highlight w:val="none"/>
          <w:lang w:val="zh-CN" w:eastAsia="zh-CN" w:bidi="ar-SA"/>
        </w:rPr>
        <w:t>。</w:t>
      </w:r>
    </w:p>
    <w:p w14:paraId="2D64C5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3018E57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val="en-US" w:eastAsia="zh-CN"/>
        </w:rPr>
        <w:t>3360.79</w:t>
      </w:r>
      <w:r>
        <w:rPr>
          <w:rFonts w:hint="default" w:ascii="Times New Roman" w:hAnsi="Times New Roman" w:eastAsia="仿宋_GB2312" w:cs="Times New Roman"/>
          <w:color w:val="auto"/>
          <w:sz w:val="32"/>
          <w:szCs w:val="32"/>
          <w:highlight w:val="none"/>
        </w:rPr>
        <w:t>万元，其中：</w:t>
      </w:r>
      <w:r>
        <w:rPr>
          <w:rFonts w:hint="default" w:ascii="Times New Roman" w:hAnsi="Times New Roman" w:eastAsia="仿宋_GB2312" w:cs="Times New Roman"/>
          <w:b/>
          <w:bCs/>
          <w:color w:val="auto"/>
          <w:sz w:val="32"/>
          <w:szCs w:val="32"/>
          <w:highlight w:val="none"/>
        </w:rPr>
        <w:t>人员经费</w:t>
      </w:r>
      <w:r>
        <w:rPr>
          <w:rFonts w:hint="default" w:ascii="Times New Roman" w:hAnsi="Times New Roman" w:eastAsia="仿宋_GB2312" w:cs="Times New Roman"/>
          <w:b/>
          <w:bCs/>
          <w:color w:val="auto"/>
          <w:sz w:val="32"/>
          <w:szCs w:val="32"/>
          <w:highlight w:val="none"/>
          <w:lang w:val="en-US" w:eastAsia="zh-CN"/>
        </w:rPr>
        <w:t>3095.31</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eastAsia="zh-CN"/>
        </w:rPr>
        <w:t>基本工资、津贴补贴、奖金、绩效工资、职业年金缴费、职工基本医疗保险</w:t>
      </w:r>
      <w:r>
        <w:rPr>
          <w:rFonts w:hint="default" w:ascii="Times New Roman" w:hAnsi="Times New Roman" w:eastAsia="仿宋_GB2312" w:cs="Times New Roman"/>
          <w:color w:val="auto"/>
          <w:sz w:val="32"/>
          <w:szCs w:val="32"/>
          <w:highlight w:val="none"/>
          <w:lang w:val="en-US" w:eastAsia="zh-CN"/>
        </w:rPr>
        <w:t>费</w:t>
      </w:r>
      <w:r>
        <w:rPr>
          <w:rFonts w:hint="default" w:ascii="Times New Roman" w:hAnsi="Times New Roman" w:eastAsia="仿宋_GB2312" w:cs="Times New Roman"/>
          <w:color w:val="auto"/>
          <w:sz w:val="32"/>
          <w:szCs w:val="32"/>
          <w:highlight w:val="none"/>
          <w:lang w:eastAsia="zh-CN"/>
        </w:rPr>
        <w:t>、公务员医疗补助缴费、其他社会保障缴费、住房公积金、</w:t>
      </w:r>
      <w:r>
        <w:rPr>
          <w:rFonts w:hint="default" w:ascii="Times New Roman" w:hAnsi="Times New Roman" w:eastAsia="仿宋_GB2312" w:cs="Times New Roman"/>
          <w:color w:val="auto"/>
          <w:sz w:val="32"/>
          <w:szCs w:val="32"/>
          <w:highlight w:val="none"/>
          <w:lang w:val="en-US" w:eastAsia="zh-CN"/>
        </w:rPr>
        <w:t>其他工资福利支出、退休费、抚恤金、生活补助、医疗费补助。</w:t>
      </w:r>
    </w:p>
    <w:p w14:paraId="09FC505F">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bCs/>
          <w:color w:val="auto"/>
          <w:sz w:val="32"/>
          <w:szCs w:val="32"/>
          <w:highlight w:val="none"/>
        </w:rPr>
        <w:t>公用经费</w:t>
      </w:r>
      <w:r>
        <w:rPr>
          <w:rFonts w:hint="default" w:ascii="Times New Roman" w:hAnsi="Times New Roman" w:eastAsia="仿宋_GB2312" w:cs="Times New Roman"/>
          <w:b/>
          <w:bCs/>
          <w:color w:val="auto"/>
          <w:sz w:val="32"/>
          <w:szCs w:val="32"/>
          <w:highlight w:val="none"/>
          <w:lang w:val="en-US" w:eastAsia="zh-CN"/>
        </w:rPr>
        <w:t>265.48</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:办公费、水费、电费、邮电费、取暖费、物业管理费、工会经费、福利费、其他交通费用、其他商品和服务支出。</w:t>
      </w:r>
    </w:p>
    <w:p w14:paraId="0C877F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47FE4BF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黑体" w:cs="Times New Roman"/>
          <w:bCs/>
          <w:color w:val="auto"/>
          <w:kern w:val="0"/>
          <w:sz w:val="32"/>
          <w:szCs w:val="32"/>
          <w:highlight w:val="none"/>
          <w:lang w:val="zh-CN" w:eastAsia="zh-CN"/>
        </w:rPr>
        <w:t>2023年度</w:t>
      </w:r>
      <w:r>
        <w:rPr>
          <w:rFonts w:hint="default" w:ascii="Times New Roman" w:hAnsi="Times New Roman" w:eastAsia="黑体" w:cs="Times New Roman"/>
          <w:bCs/>
          <w:color w:val="auto"/>
          <w:kern w:val="0"/>
          <w:sz w:val="32"/>
          <w:szCs w:val="32"/>
          <w:highlight w:val="none"/>
          <w:lang w:val="en-US" w:eastAsia="zh-CN"/>
        </w:rPr>
        <w:t>财政拨款</w:t>
      </w:r>
      <w:r>
        <w:rPr>
          <w:rFonts w:hint="default" w:ascii="Times New Roman" w:hAnsi="Times New Roman" w:eastAsia="黑体" w:cs="Times New Roman"/>
          <w:bCs/>
          <w:color w:val="auto"/>
          <w:kern w:val="0"/>
          <w:sz w:val="32"/>
          <w:szCs w:val="32"/>
          <w:highlight w:val="none"/>
          <w:lang w:val="zh-CN" w:eastAsia="zh-CN"/>
        </w:rPr>
        <w:t>“三公”经费支出0.00万元</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增加0.00万元，增长0.00%，主要原因是：</w:t>
      </w:r>
      <w:r>
        <w:rPr>
          <w:rFonts w:hint="default" w:ascii="Times New Roman" w:hAnsi="Times New Roman" w:eastAsia="仿宋_GB2312" w:cs="Times New Roman"/>
          <w:color w:val="auto"/>
          <w:sz w:val="32"/>
          <w:szCs w:val="32"/>
          <w:highlight w:val="none"/>
          <w:lang w:val="en-US" w:eastAsia="zh-CN"/>
        </w:rPr>
        <w:t>本年度未发生财政拨款“三公”经费金额</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。其中：因公出国（境）费支出0.00万元，占0.00%，比上年增加0.00万元，增长0.00%，主要原因是：</w:t>
      </w:r>
      <w:r>
        <w:rPr>
          <w:rFonts w:hint="default" w:ascii="Times New Roman" w:hAnsi="Times New Roman" w:eastAsia="仿宋_GB2312" w:cs="Times New Roman"/>
          <w:color w:val="auto"/>
          <w:sz w:val="32"/>
          <w:szCs w:val="32"/>
          <w:highlight w:val="none"/>
          <w:lang w:val="en-US" w:eastAsia="zh-CN"/>
        </w:rPr>
        <w:t>本年度未发生</w:t>
      </w:r>
      <w:r>
        <w:rPr>
          <w:rFonts w:hint="default" w:ascii="Times New Roman" w:hAnsi="Times New Roman" w:eastAsia="仿宋_GB2312" w:cs="Times New Roman"/>
          <w:color w:val="auto"/>
          <w:sz w:val="32"/>
          <w:szCs w:val="32"/>
          <w:highlight w:val="none"/>
          <w:lang w:val="zh-CN" w:eastAsia="zh-CN"/>
        </w:rPr>
        <w:t>因公出国（境）费；公务用车购置及运行维护费支出0.00万元，占0.00%，比上年增加0.00万元，增长0.00%，主要原因是：</w:t>
      </w:r>
      <w:r>
        <w:rPr>
          <w:rFonts w:hint="default" w:ascii="Times New Roman" w:hAnsi="Times New Roman" w:eastAsia="仿宋_GB2312" w:cs="Times New Roman"/>
          <w:color w:val="auto"/>
          <w:sz w:val="32"/>
          <w:szCs w:val="32"/>
          <w:highlight w:val="none"/>
          <w:lang w:val="en-US" w:eastAsia="zh-CN"/>
        </w:rPr>
        <w:t>本年度未使用财政拨款支付</w:t>
      </w:r>
      <w:r>
        <w:rPr>
          <w:rFonts w:hint="default" w:ascii="Times New Roman" w:hAnsi="Times New Roman" w:eastAsia="仿宋_GB2312" w:cs="Times New Roman"/>
          <w:color w:val="auto"/>
          <w:sz w:val="32"/>
          <w:szCs w:val="32"/>
          <w:highlight w:val="none"/>
          <w:lang w:val="zh-CN" w:eastAsia="zh-CN"/>
        </w:rPr>
        <w:t>公务用车购置及运行维护费；公务接待费支出0.00万元，占0.00%，比上年增加0.00万元，增长0.00%，主要原因是：</w:t>
      </w:r>
      <w:r>
        <w:rPr>
          <w:rFonts w:hint="default" w:ascii="Times New Roman" w:hAnsi="Times New Roman" w:eastAsia="仿宋_GB2312" w:cs="Times New Roman"/>
          <w:color w:val="auto"/>
          <w:sz w:val="32"/>
          <w:szCs w:val="32"/>
        </w:rPr>
        <w:t>我单位</w:t>
      </w:r>
      <w:r>
        <w:rPr>
          <w:rFonts w:hint="default" w:ascii="Times New Roman" w:hAnsi="Times New Roman" w:eastAsia="仿宋_GB2312" w:cs="Times New Roman"/>
          <w:color w:val="auto"/>
          <w:sz w:val="32"/>
          <w:szCs w:val="32"/>
          <w:lang w:val="en-US" w:eastAsia="zh-CN"/>
        </w:rPr>
        <w:t>未发生</w:t>
      </w:r>
      <w:r>
        <w:rPr>
          <w:rFonts w:hint="default" w:ascii="Times New Roman" w:hAnsi="Times New Roman" w:eastAsia="仿宋_GB2312" w:cs="Times New Roman"/>
          <w:color w:val="auto"/>
          <w:sz w:val="32"/>
          <w:szCs w:val="32"/>
        </w:rPr>
        <w:t>公务接待费</w:t>
      </w:r>
      <w:r>
        <w:rPr>
          <w:rFonts w:hint="default" w:ascii="Times New Roman" w:hAnsi="Times New Roman" w:eastAsia="仿宋_GB2312" w:cs="Times New Roman"/>
          <w:color w:val="auto"/>
          <w:sz w:val="32"/>
          <w:szCs w:val="32"/>
          <w:highlight w:val="none"/>
          <w:lang w:val="zh-CN" w:eastAsia="zh-CN"/>
        </w:rPr>
        <w:t>。</w:t>
      </w:r>
    </w:p>
    <w:p w14:paraId="4ACED1D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val="zh-CN" w:eastAsia="zh-CN"/>
        </w:rPr>
      </w:pPr>
      <w:r>
        <w:rPr>
          <w:rFonts w:hint="default" w:ascii="Times New Roman" w:hAnsi="Times New Roman" w:eastAsia="黑体" w:cs="Times New Roman"/>
          <w:bCs/>
          <w:color w:val="auto"/>
          <w:kern w:val="0"/>
          <w:sz w:val="32"/>
          <w:szCs w:val="32"/>
          <w:highlight w:val="none"/>
          <w:lang w:val="zh-CN" w:eastAsia="zh-CN"/>
        </w:rPr>
        <w:t>具体情况如下：</w:t>
      </w:r>
    </w:p>
    <w:p w14:paraId="4C90EDF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color w:val="auto"/>
          <w:sz w:val="32"/>
          <w:szCs w:val="32"/>
          <w:highlight w:val="none"/>
          <w:lang w:val="en-US" w:eastAsia="zh-CN"/>
        </w:rPr>
        <w:t>本年度未发生</w:t>
      </w:r>
      <w:r>
        <w:rPr>
          <w:rFonts w:hint="default" w:ascii="Times New Roman" w:hAnsi="Times New Roman" w:eastAsia="仿宋_GB2312" w:cs="Times New Roman"/>
          <w:color w:val="auto"/>
          <w:sz w:val="32"/>
          <w:szCs w:val="32"/>
          <w:highlight w:val="none"/>
          <w:lang w:val="zh-CN" w:eastAsia="zh-CN"/>
        </w:rPr>
        <w:t>因公出国（境）费。单位全年安排的因公出国（境）团组0个，因公出国（境）0人次。</w:t>
      </w:r>
    </w:p>
    <w:p w14:paraId="7D62B8E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default" w:ascii="Times New Roman" w:hAnsi="Times New Roman" w:eastAsia="仿宋_GB2312" w:cs="Times New Roman"/>
          <w:color w:val="auto"/>
          <w:sz w:val="32"/>
          <w:szCs w:val="32"/>
          <w:highlight w:val="none"/>
          <w:lang w:val="en-US" w:eastAsia="zh-CN"/>
        </w:rPr>
        <w:t>本年度未使用财政拨款支付</w:t>
      </w:r>
      <w:r>
        <w:rPr>
          <w:rFonts w:hint="default" w:ascii="Times New Roman" w:hAnsi="Times New Roman" w:eastAsia="仿宋_GB2312" w:cs="Times New Roman"/>
          <w:color w:val="auto"/>
          <w:sz w:val="32"/>
          <w:szCs w:val="32"/>
          <w:highlight w:val="none"/>
          <w:lang w:val="zh-CN" w:eastAsia="zh-CN"/>
        </w:rPr>
        <w:t>公务用车运行维护费。公务用车购置数0辆，公务用车保有量</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zh-CN" w:eastAsia="zh-CN"/>
        </w:rPr>
        <w:t>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9辆，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val="zh-CN" w:eastAsia="zh-CN"/>
        </w:rPr>
        <w:t>一般公共预算财政安排的基本支出仅包含人员经费</w:t>
      </w:r>
      <w:r>
        <w:rPr>
          <w:rFonts w:hint="eastAsia" w:ascii="Times New Roman" w:hAnsi="Times New Roman" w:eastAsia="仿宋_GB2312" w:cs="Times New Roman"/>
          <w:color w:val="auto"/>
          <w:sz w:val="32"/>
          <w:szCs w:val="32"/>
          <w:highlight w:val="none"/>
          <w:lang w:val="zh-CN" w:eastAsia="zh-CN"/>
        </w:rPr>
        <w:t>和</w:t>
      </w:r>
      <w:r>
        <w:rPr>
          <w:rFonts w:hint="default" w:ascii="Times New Roman" w:hAnsi="Times New Roman" w:eastAsia="仿宋_GB2312" w:cs="Times New Roman"/>
          <w:color w:val="auto"/>
          <w:sz w:val="32"/>
          <w:szCs w:val="32"/>
          <w:highlight w:val="none"/>
          <w:lang w:val="zh-CN" w:eastAsia="zh-CN"/>
        </w:rPr>
        <w:t>为保障机构正常运转的公用经费支出，公务用车购置及运行维护</w:t>
      </w:r>
      <w:r>
        <w:rPr>
          <w:rFonts w:hint="default" w:ascii="Times New Roman" w:hAnsi="Times New Roman" w:eastAsia="仿宋_GB2312" w:cs="Times New Roman"/>
          <w:color w:val="auto"/>
          <w:sz w:val="32"/>
          <w:szCs w:val="32"/>
          <w:highlight w:val="none"/>
          <w:lang w:val="en-US" w:eastAsia="zh-CN"/>
        </w:rPr>
        <w:t>实行经费自理</w:t>
      </w:r>
      <w:r>
        <w:rPr>
          <w:rFonts w:hint="default" w:ascii="Times New Roman" w:hAnsi="Times New Roman" w:eastAsia="仿宋_GB2312" w:cs="Times New Roman"/>
          <w:color w:val="auto"/>
          <w:sz w:val="32"/>
          <w:szCs w:val="32"/>
          <w:highlight w:val="none"/>
          <w:lang w:val="zh-CN" w:eastAsia="zh-CN"/>
        </w:rPr>
        <w:t>。</w:t>
      </w:r>
    </w:p>
    <w:p w14:paraId="23A512A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default" w:ascii="Times New Roman" w:hAnsi="Times New Roman" w:eastAsia="仿宋_GB2312" w:cs="Times New Roman"/>
          <w:color w:val="auto"/>
          <w:sz w:val="32"/>
          <w:szCs w:val="32"/>
        </w:rPr>
        <w:t>我单位</w:t>
      </w:r>
      <w:r>
        <w:rPr>
          <w:rFonts w:hint="default" w:ascii="Times New Roman" w:hAnsi="Times New Roman" w:eastAsia="仿宋_GB2312" w:cs="Times New Roman"/>
          <w:color w:val="auto"/>
          <w:sz w:val="32"/>
          <w:szCs w:val="32"/>
          <w:lang w:val="en-US" w:eastAsia="zh-CN"/>
        </w:rPr>
        <w:t>未发生</w:t>
      </w:r>
      <w:r>
        <w:rPr>
          <w:rFonts w:hint="default" w:ascii="Times New Roman" w:hAnsi="Times New Roman" w:eastAsia="仿宋_GB2312" w:cs="Times New Roman"/>
          <w:color w:val="auto"/>
          <w:sz w:val="32"/>
          <w:szCs w:val="32"/>
        </w:rPr>
        <w:t>公务接待费</w:t>
      </w:r>
      <w:r>
        <w:rPr>
          <w:rFonts w:hint="default" w:ascii="Times New Roman" w:hAnsi="Times New Roman" w:eastAsia="仿宋_GB2312" w:cs="Times New Roman"/>
          <w:color w:val="auto"/>
          <w:sz w:val="32"/>
          <w:szCs w:val="32"/>
          <w:highlight w:val="none"/>
          <w:lang w:val="zh-CN" w:eastAsia="zh-CN"/>
        </w:rPr>
        <w:t>。单位全年安排的国内公务接待0批次，0人次。</w:t>
      </w:r>
    </w:p>
    <w:p w14:paraId="271C285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黑体" w:cs="Times New Roman"/>
          <w:bCs/>
          <w:color w:val="auto"/>
          <w:kern w:val="0"/>
          <w:sz w:val="32"/>
          <w:szCs w:val="32"/>
          <w:highlight w:val="none"/>
          <w:lang w:val="zh-CN" w:eastAsia="zh-CN"/>
        </w:rPr>
        <w:t>与全年预算相比,</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rPr>
        <w:t>我单位无财政拨款“三公”经费支出。</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default" w:ascii="Times New Roman" w:hAnsi="Times New Roman" w:eastAsia="仿宋_GB2312" w:cs="Times New Roman"/>
          <w:color w:val="auto"/>
          <w:sz w:val="32"/>
          <w:szCs w:val="32"/>
        </w:rPr>
        <w:t>我单位无因公出国（境）费</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本年度未发生</w:t>
      </w:r>
      <w:r>
        <w:rPr>
          <w:rFonts w:hint="default" w:ascii="Times New Roman" w:hAnsi="Times New Roman" w:eastAsia="仿宋_GB2312" w:cs="Times New Roman"/>
          <w:color w:val="auto"/>
          <w:sz w:val="32"/>
          <w:szCs w:val="32"/>
          <w:highlight w:val="none"/>
          <w:lang w:val="zh-CN" w:eastAsia="zh-CN"/>
        </w:rPr>
        <w:t>公务用车购置</w:t>
      </w:r>
      <w:r>
        <w:rPr>
          <w:rFonts w:hint="default" w:ascii="Times New Roman" w:hAnsi="Times New Roman" w:eastAsia="仿宋_GB2312" w:cs="Times New Roman"/>
          <w:color w:val="auto"/>
          <w:sz w:val="32"/>
          <w:szCs w:val="32"/>
          <w:highlight w:val="none"/>
          <w:lang w:val="en-US" w:eastAsia="zh-CN"/>
        </w:rPr>
        <w:t>费</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本年度未使用财政拨款支付</w:t>
      </w:r>
      <w:r>
        <w:rPr>
          <w:rFonts w:hint="default" w:ascii="Times New Roman" w:hAnsi="Times New Roman" w:eastAsia="仿宋_GB2312" w:cs="Times New Roman"/>
          <w:color w:val="auto"/>
          <w:sz w:val="32"/>
          <w:szCs w:val="32"/>
          <w:highlight w:val="none"/>
          <w:lang w:val="zh-CN" w:eastAsia="zh-CN"/>
        </w:rPr>
        <w:t>公务用车运行维护费；公务接待费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本年度未发生公务接待费</w:t>
      </w:r>
      <w:r>
        <w:rPr>
          <w:rFonts w:hint="default" w:ascii="Times New Roman" w:hAnsi="Times New Roman" w:eastAsia="仿宋_GB2312" w:cs="Times New Roman"/>
          <w:color w:val="auto"/>
          <w:sz w:val="32"/>
          <w:szCs w:val="32"/>
          <w:highlight w:val="none"/>
          <w:lang w:val="zh-CN" w:eastAsia="zh-CN"/>
        </w:rPr>
        <w:t>。</w:t>
      </w:r>
    </w:p>
    <w:p w14:paraId="48A86A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5F5E63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黑体" w:cs="Times New Roman"/>
          <w:bCs/>
          <w:color w:val="auto"/>
          <w:kern w:val="0"/>
          <w:sz w:val="32"/>
          <w:szCs w:val="32"/>
          <w:highlight w:val="none"/>
          <w:lang w:val="zh-CN" w:eastAsia="zh-CN"/>
        </w:rPr>
        <w:t>2023年度</w:t>
      </w:r>
      <w:r>
        <w:rPr>
          <w:rFonts w:hint="default" w:ascii="Times New Roman" w:hAnsi="Times New Roman" w:eastAsia="黑体" w:cs="Times New Roman"/>
          <w:bCs/>
          <w:color w:val="auto"/>
          <w:kern w:val="0"/>
          <w:sz w:val="32"/>
          <w:szCs w:val="32"/>
          <w:highlight w:val="none"/>
          <w:lang w:val="zh-CN"/>
        </w:rPr>
        <w:t>政府性基金预算</w:t>
      </w:r>
      <w:r>
        <w:rPr>
          <w:rFonts w:hint="default" w:ascii="Times New Roman" w:hAnsi="Times New Roman" w:eastAsia="黑体" w:cs="Times New Roman"/>
          <w:bCs/>
          <w:color w:val="auto"/>
          <w:kern w:val="0"/>
          <w:sz w:val="32"/>
          <w:szCs w:val="32"/>
          <w:highlight w:val="none"/>
          <w:lang w:val="en-US" w:eastAsia="zh-CN"/>
        </w:rPr>
        <w:t>财政拨款</w:t>
      </w:r>
      <w:r>
        <w:rPr>
          <w:rFonts w:hint="default" w:ascii="Times New Roman" w:hAnsi="Times New Roman" w:eastAsia="黑体" w:cs="Times New Roman"/>
          <w:bCs/>
          <w:color w:val="auto"/>
          <w:kern w:val="0"/>
          <w:sz w:val="32"/>
          <w:szCs w:val="32"/>
          <w:highlight w:val="none"/>
          <w:lang w:val="zh-CN"/>
        </w:rPr>
        <w:t>收入</w:t>
      </w:r>
      <w:r>
        <w:rPr>
          <w:rFonts w:hint="default" w:ascii="Times New Roman" w:hAnsi="Times New Roman" w:eastAsia="黑体" w:cs="Times New Roman"/>
          <w:bCs/>
          <w:color w:val="auto"/>
          <w:kern w:val="0"/>
          <w:sz w:val="32"/>
          <w:szCs w:val="32"/>
          <w:highlight w:val="none"/>
          <w:lang w:val="en-US" w:eastAsia="zh-CN"/>
        </w:rPr>
        <w:t>总计257.04</w:t>
      </w:r>
      <w:r>
        <w:rPr>
          <w:rFonts w:hint="default" w:ascii="Times New Roman" w:hAnsi="Times New Roman" w:eastAsia="黑体" w:cs="Times New Roman"/>
          <w:bCs/>
          <w:color w:val="auto"/>
          <w:kern w:val="0"/>
          <w:sz w:val="32"/>
          <w:szCs w:val="32"/>
          <w:highlight w:val="none"/>
          <w:lang w:val="zh-CN"/>
        </w:rPr>
        <w:t>万元，</w:t>
      </w:r>
      <w:r>
        <w:rPr>
          <w:rFonts w:hint="default" w:ascii="Times New Roman" w:hAnsi="Times New Roman" w:eastAsia="仿宋_GB2312" w:cs="Times New Roman"/>
          <w:color w:val="auto"/>
          <w:sz w:val="32"/>
          <w:szCs w:val="32"/>
          <w:highlight w:val="none"/>
          <w:lang w:val="en-US" w:eastAsia="zh-CN"/>
        </w:rPr>
        <w:t>其中：年初结转和结余0.00</w:t>
      </w:r>
      <w:r>
        <w:rPr>
          <w:rFonts w:hint="default" w:ascii="Times New Roman" w:hAnsi="Times New Roman" w:eastAsia="仿宋_GB2312" w:cs="Times New Roman"/>
          <w:color w:val="auto"/>
          <w:sz w:val="32"/>
          <w:szCs w:val="32"/>
          <w:highlight w:val="none"/>
          <w:lang w:val="zh-CN"/>
        </w:rPr>
        <w:t>万元</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本年收入257.04</w:t>
      </w:r>
      <w:r>
        <w:rPr>
          <w:rFonts w:hint="default" w:ascii="Times New Roman" w:hAnsi="Times New Roman" w:eastAsia="仿宋_GB2312" w:cs="Times New Roman"/>
          <w:color w:val="auto"/>
          <w:sz w:val="32"/>
          <w:szCs w:val="32"/>
          <w:highlight w:val="none"/>
          <w:lang w:val="zh-CN"/>
        </w:rPr>
        <w:t>万元</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黑体" w:cs="Times New Roman"/>
          <w:bCs/>
          <w:color w:val="auto"/>
          <w:kern w:val="0"/>
          <w:sz w:val="32"/>
          <w:szCs w:val="32"/>
          <w:highlight w:val="none"/>
          <w:lang w:val="zh-CN"/>
        </w:rPr>
        <w:t>政府性基金预算财政拨款支出</w:t>
      </w:r>
      <w:r>
        <w:rPr>
          <w:rFonts w:hint="default" w:ascii="Times New Roman" w:hAnsi="Times New Roman" w:eastAsia="黑体" w:cs="Times New Roman"/>
          <w:bCs/>
          <w:color w:val="auto"/>
          <w:kern w:val="0"/>
          <w:sz w:val="32"/>
          <w:szCs w:val="32"/>
          <w:highlight w:val="none"/>
          <w:lang w:val="zh-CN" w:eastAsia="zh-CN"/>
        </w:rPr>
        <w:t>总计257.04</w:t>
      </w:r>
      <w:r>
        <w:rPr>
          <w:rFonts w:hint="default" w:ascii="Times New Roman" w:hAnsi="Times New Roman" w:eastAsia="黑体" w:cs="Times New Roman"/>
          <w:bCs/>
          <w:color w:val="auto"/>
          <w:kern w:val="0"/>
          <w:sz w:val="32"/>
          <w:szCs w:val="32"/>
          <w:highlight w:val="none"/>
          <w:lang w:val="zh-CN"/>
        </w:rPr>
        <w:t>万元，</w:t>
      </w:r>
      <w:r>
        <w:rPr>
          <w:rFonts w:hint="default" w:ascii="Times New Roman" w:hAnsi="Times New Roman" w:eastAsia="仿宋_GB2312" w:cs="Times New Roman"/>
          <w:color w:val="auto"/>
          <w:sz w:val="32"/>
          <w:szCs w:val="32"/>
          <w:highlight w:val="none"/>
          <w:lang w:val="en-US" w:eastAsia="zh-CN"/>
        </w:rPr>
        <w:t>其中：年末结转和结余0.00</w:t>
      </w:r>
      <w:r>
        <w:rPr>
          <w:rFonts w:hint="default" w:ascii="Times New Roman" w:hAnsi="Times New Roman" w:eastAsia="仿宋_GB2312" w:cs="Times New Roman"/>
          <w:color w:val="auto"/>
          <w:sz w:val="32"/>
          <w:szCs w:val="32"/>
          <w:highlight w:val="none"/>
          <w:lang w:val="zh-CN"/>
        </w:rPr>
        <w:t>万元</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本年支出257.04</w:t>
      </w:r>
      <w:r>
        <w:rPr>
          <w:rFonts w:hint="default" w:ascii="Times New Roman" w:hAnsi="Times New Roman" w:eastAsia="仿宋_GB2312" w:cs="Times New Roman"/>
          <w:color w:val="auto"/>
          <w:sz w:val="32"/>
          <w:szCs w:val="32"/>
          <w:highlight w:val="none"/>
          <w:lang w:val="zh-CN"/>
        </w:rPr>
        <w:t>万元</w:t>
      </w:r>
      <w:r>
        <w:rPr>
          <w:rFonts w:hint="default" w:ascii="Times New Roman" w:hAnsi="Times New Roman" w:eastAsia="仿宋_GB2312" w:cs="Times New Roman"/>
          <w:color w:val="auto"/>
          <w:sz w:val="32"/>
          <w:szCs w:val="32"/>
          <w:highlight w:val="none"/>
          <w:lang w:val="zh-CN" w:eastAsia="zh-CN"/>
        </w:rPr>
        <w:t>。</w:t>
      </w:r>
    </w:p>
    <w:p w14:paraId="3AD9629A">
      <w:pPr>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bCs/>
          <w:color w:val="auto"/>
          <w:kern w:val="0"/>
          <w:sz w:val="32"/>
          <w:szCs w:val="32"/>
          <w:highlight w:val="none"/>
          <w:lang w:val="zh-CN"/>
        </w:rPr>
        <w:t>政府性基金预算财政拨款</w:t>
      </w:r>
      <w:r>
        <w:rPr>
          <w:rFonts w:hint="default" w:ascii="Times New Roman" w:hAnsi="Times New Roman" w:eastAsia="黑体" w:cs="Times New Roman"/>
          <w:bCs/>
          <w:color w:val="auto"/>
          <w:kern w:val="0"/>
          <w:sz w:val="32"/>
          <w:szCs w:val="32"/>
          <w:highlight w:val="none"/>
          <w:lang w:val="zh-CN" w:eastAsia="zh-CN"/>
        </w:rPr>
        <w:t>收入支出</w:t>
      </w:r>
      <w:r>
        <w:rPr>
          <w:rFonts w:hint="default" w:ascii="Times New Roman" w:hAnsi="Times New Roman" w:eastAsia="黑体" w:cs="Times New Roman"/>
          <w:bCs/>
          <w:color w:val="auto"/>
          <w:kern w:val="0"/>
          <w:sz w:val="32"/>
          <w:szCs w:val="32"/>
          <w:highlight w:val="none"/>
          <w:lang w:val="zh-CN"/>
        </w:rPr>
        <w:t>与上年相比</w:t>
      </w:r>
      <w:r>
        <w:rPr>
          <w:rFonts w:hint="default" w:ascii="Times New Roman" w:hAnsi="Times New Roman" w:eastAsia="仿宋_GB2312" w:cs="Times New Roman"/>
          <w:color w:val="auto"/>
          <w:sz w:val="32"/>
          <w:szCs w:val="32"/>
          <w:highlight w:val="none"/>
          <w:lang w:val="zh-CN"/>
        </w:rPr>
        <w:t>，减少</w:t>
      </w:r>
      <w:r>
        <w:rPr>
          <w:rFonts w:hint="default" w:ascii="Times New Roman" w:hAnsi="Times New Roman" w:eastAsia="仿宋_GB2312" w:cs="Times New Roman"/>
          <w:color w:val="auto"/>
          <w:sz w:val="32"/>
          <w:szCs w:val="32"/>
          <w:highlight w:val="none"/>
          <w:lang w:val="en-US" w:eastAsia="zh-CN"/>
        </w:rPr>
        <w:t>210.72</w:t>
      </w:r>
      <w:r>
        <w:rPr>
          <w:rFonts w:hint="default" w:ascii="Times New Roman" w:hAnsi="Times New Roman" w:eastAsia="仿宋_GB2312" w:cs="Times New Roman"/>
          <w:color w:val="auto"/>
          <w:sz w:val="32"/>
          <w:szCs w:val="32"/>
          <w:highlight w:val="none"/>
          <w:lang w:val="zh-CN"/>
        </w:rPr>
        <w:t>万元，下降</w:t>
      </w:r>
      <w:r>
        <w:rPr>
          <w:rFonts w:hint="default" w:ascii="Times New Roman" w:hAnsi="Times New Roman" w:eastAsia="仿宋_GB2312" w:cs="Times New Roman"/>
          <w:color w:val="auto"/>
          <w:sz w:val="32"/>
          <w:szCs w:val="32"/>
          <w:highlight w:val="none"/>
          <w:lang w:val="en-US" w:eastAsia="zh-CN"/>
        </w:rPr>
        <w:t>45.05</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en-US" w:eastAsia="zh-CN"/>
        </w:rPr>
        <w:t>本年度未下拨</w:t>
      </w:r>
      <w:r>
        <w:rPr>
          <w:rFonts w:hint="default" w:ascii="Times New Roman" w:hAnsi="Times New Roman" w:eastAsia="仿宋_GB2312" w:cs="Times New Roman"/>
          <w:color w:val="auto"/>
          <w:sz w:val="32"/>
          <w:szCs w:val="32"/>
          <w:highlight w:val="none"/>
          <w:lang w:val="zh-CN"/>
        </w:rPr>
        <w:t>自治区医疗服务与保障能力提升（社区医养结合）</w:t>
      </w:r>
      <w:r>
        <w:rPr>
          <w:rFonts w:hint="default" w:ascii="Times New Roman" w:hAnsi="Times New Roman" w:eastAsia="仿宋_GB2312" w:cs="Times New Roman"/>
          <w:color w:val="auto"/>
          <w:sz w:val="32"/>
          <w:szCs w:val="32"/>
          <w:highlight w:val="none"/>
          <w:lang w:val="en-US" w:eastAsia="zh-CN"/>
        </w:rPr>
        <w:t>项目资金。</w:t>
      </w:r>
    </w:p>
    <w:p w14:paraId="2E4673AA">
      <w:pPr>
        <w:ind w:firstLine="0" w:firstLineChars="0"/>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黑体" w:cs="Times New Roman"/>
          <w:bCs/>
          <w:color w:val="auto"/>
          <w:kern w:val="0"/>
          <w:sz w:val="32"/>
          <w:szCs w:val="32"/>
          <w:highlight w:val="none"/>
          <w:lang w:val="zh-CN"/>
        </w:rPr>
        <w:t>与</w:t>
      </w:r>
      <w:r>
        <w:rPr>
          <w:rFonts w:hint="default" w:ascii="Times New Roman" w:hAnsi="Times New Roman" w:eastAsia="黑体" w:cs="Times New Roman"/>
          <w:bCs/>
          <w:color w:val="auto"/>
          <w:kern w:val="0"/>
          <w:sz w:val="32"/>
          <w:szCs w:val="32"/>
          <w:highlight w:val="none"/>
          <w:lang w:val="zh-CN" w:eastAsia="zh-CN"/>
        </w:rPr>
        <w:t>年初预算</w:t>
      </w:r>
      <w:r>
        <w:rPr>
          <w:rFonts w:hint="default" w:ascii="Times New Roman" w:hAnsi="Times New Roman" w:eastAsia="黑体" w:cs="Times New Roman"/>
          <w:bCs/>
          <w:color w:val="auto"/>
          <w:kern w:val="0"/>
          <w:sz w:val="32"/>
          <w:szCs w:val="32"/>
          <w:highlight w:val="none"/>
          <w:lang w:val="zh-CN"/>
        </w:rPr>
        <w:t>相比</w:t>
      </w:r>
      <w:r>
        <w:rPr>
          <w:rFonts w:hint="default" w:ascii="Times New Roman" w:hAnsi="Times New Roman" w:eastAsia="黑体" w:cs="Times New Roman"/>
          <w:bCs/>
          <w:color w:val="auto"/>
          <w:kern w:val="0"/>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年初预算数</w:t>
      </w:r>
      <w:r>
        <w:rPr>
          <w:rFonts w:hint="eastAsia" w:eastAsia="仿宋_GB2312" w:cs="Times New Roman"/>
          <w:color w:val="auto"/>
          <w:sz w:val="32"/>
          <w:szCs w:val="32"/>
          <w:highlight w:val="none"/>
          <w:lang w:val="en-US" w:eastAsia="zh-CN"/>
        </w:rPr>
        <w:t>257.04</w:t>
      </w:r>
      <w:r>
        <w:rPr>
          <w:rFonts w:hint="default" w:ascii="Times New Roman" w:hAnsi="Times New Roman" w:eastAsia="仿宋_GB2312" w:cs="Times New Roman"/>
          <w:color w:val="auto"/>
          <w:sz w:val="32"/>
          <w:szCs w:val="32"/>
          <w:highlight w:val="none"/>
          <w:lang w:val="zh-CN"/>
        </w:rPr>
        <w:t>万元，决算数</w:t>
      </w:r>
      <w:r>
        <w:rPr>
          <w:rFonts w:hint="default" w:ascii="Times New Roman" w:hAnsi="Times New Roman" w:eastAsia="仿宋_GB2312" w:cs="Times New Roman"/>
          <w:color w:val="auto"/>
          <w:sz w:val="32"/>
          <w:szCs w:val="32"/>
          <w:highlight w:val="none"/>
          <w:lang w:val="en-US" w:eastAsia="zh-CN"/>
        </w:rPr>
        <w:t>257.04</w:t>
      </w:r>
      <w:r>
        <w:rPr>
          <w:rFonts w:hint="default" w:ascii="Times New Roman" w:hAnsi="Times New Roman" w:eastAsia="仿宋_GB2312" w:cs="Times New Roman"/>
          <w:color w:val="auto"/>
          <w:sz w:val="32"/>
          <w:szCs w:val="32"/>
          <w:highlight w:val="none"/>
          <w:lang w:val="zh-CN"/>
        </w:rPr>
        <w:t>万元，预决算差异率</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lang w:val="zh-CN"/>
        </w:rPr>
        <w:t>本年度无差异。</w:t>
      </w:r>
      <w:bookmarkStart w:id="48" w:name="_GoBack"/>
      <w:bookmarkEnd w:id="48"/>
    </w:p>
    <w:p w14:paraId="4DA2055D">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zh-CN"/>
        </w:rPr>
        <w:t>政府性基金预算财政拨款支出</w:t>
      </w:r>
      <w:r>
        <w:rPr>
          <w:rFonts w:hint="default" w:ascii="Times New Roman" w:hAnsi="Times New Roman" w:eastAsia="仿宋_GB2312" w:cs="Times New Roman"/>
          <w:b/>
          <w:bCs/>
          <w:color w:val="auto"/>
          <w:sz w:val="32"/>
          <w:szCs w:val="32"/>
          <w:highlight w:val="none"/>
          <w:lang w:val="zh-CN" w:eastAsia="zh-CN"/>
        </w:rPr>
        <w:t>257.04</w:t>
      </w:r>
      <w:r>
        <w:rPr>
          <w:rFonts w:hint="default" w:ascii="Times New Roman" w:hAnsi="Times New Roman" w:eastAsia="仿宋_GB2312" w:cs="Times New Roman"/>
          <w:b/>
          <w:bCs/>
          <w:color w:val="auto"/>
          <w:sz w:val="32"/>
          <w:szCs w:val="32"/>
          <w:highlight w:val="none"/>
          <w:lang w:val="zh-CN"/>
        </w:rPr>
        <w:t>万元。</w:t>
      </w:r>
    </w:p>
    <w:p w14:paraId="6B632B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rPr>
        <w:t>1.其他支出（类）彩票公益金安排的支出（款）用于社会福利的彩票公益金支出（项）:支出决算数为57.04</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zh-CN"/>
        </w:rPr>
        <w:t>，比上年决算</w:t>
      </w:r>
      <w:r>
        <w:rPr>
          <w:rFonts w:hint="default" w:ascii="Times New Roman" w:hAnsi="Times New Roman" w:eastAsia="仿宋_GB2312" w:cs="Times New Roman"/>
          <w:color w:val="auto"/>
          <w:sz w:val="32"/>
          <w:szCs w:val="32"/>
          <w:highlight w:val="none"/>
          <w:lang w:val="en-US" w:eastAsia="zh-CN"/>
        </w:rPr>
        <w:t>减少</w:t>
      </w:r>
      <w:r>
        <w:rPr>
          <w:rFonts w:hint="default" w:ascii="Times New Roman" w:hAnsi="Times New Roman" w:eastAsia="仿宋_GB2312" w:cs="Times New Roman"/>
          <w:color w:val="auto"/>
          <w:sz w:val="32"/>
          <w:szCs w:val="32"/>
          <w:highlight w:val="none"/>
          <w:lang w:val="zh-CN"/>
        </w:rPr>
        <w:t>85.72</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en-US" w:eastAsia="zh-CN"/>
        </w:rPr>
        <w:t>下降</w:t>
      </w:r>
      <w:r>
        <w:rPr>
          <w:rFonts w:hint="default" w:ascii="Times New Roman" w:hAnsi="Times New Roman" w:eastAsia="仿宋_GB2312" w:cs="Times New Roman"/>
          <w:color w:val="auto"/>
          <w:sz w:val="32"/>
          <w:szCs w:val="32"/>
          <w:highlight w:val="none"/>
          <w:lang w:val="zh-CN"/>
        </w:rPr>
        <w:t>60.04%，主要原因是：</w:t>
      </w:r>
      <w:r>
        <w:rPr>
          <w:rFonts w:hint="default" w:ascii="Times New Roman" w:hAnsi="Times New Roman" w:eastAsia="仿宋_GB2312" w:cs="Times New Roman"/>
          <w:color w:val="auto"/>
          <w:sz w:val="32"/>
          <w:szCs w:val="32"/>
          <w:highlight w:val="none"/>
          <w:lang w:val="zh-CN" w:eastAsia="zh-CN"/>
        </w:rPr>
        <w:t>压</w:t>
      </w:r>
      <w:r>
        <w:rPr>
          <w:rFonts w:hint="default" w:ascii="Times New Roman" w:hAnsi="Times New Roman" w:eastAsia="仿宋_GB2312" w:cs="Times New Roman"/>
          <w:color w:val="auto"/>
          <w:sz w:val="32"/>
          <w:szCs w:val="32"/>
          <w:highlight w:val="none"/>
          <w:lang w:val="zh-CN"/>
        </w:rPr>
        <w:t>减了专用设备购置拨款。</w:t>
      </w:r>
    </w:p>
    <w:p w14:paraId="1C40A2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rPr>
        <w:t>2.其他支出（类）彩票公益金安排的支出（款）用于其他社会公益事业的彩票公益金支出（项）:支出决算数为200.00</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zh-CN"/>
        </w:rPr>
        <w:t>，比上年决算</w:t>
      </w:r>
      <w:r>
        <w:rPr>
          <w:rFonts w:hint="default" w:ascii="Times New Roman" w:hAnsi="Times New Roman" w:eastAsia="仿宋_GB2312" w:cs="Times New Roman"/>
          <w:color w:val="auto"/>
          <w:sz w:val="32"/>
          <w:szCs w:val="32"/>
          <w:highlight w:val="none"/>
          <w:lang w:val="en-US" w:eastAsia="zh-CN"/>
        </w:rPr>
        <w:t>减少</w:t>
      </w:r>
      <w:r>
        <w:rPr>
          <w:rFonts w:hint="default" w:ascii="Times New Roman" w:hAnsi="Times New Roman" w:eastAsia="仿宋_GB2312" w:cs="Times New Roman"/>
          <w:color w:val="auto"/>
          <w:sz w:val="32"/>
          <w:szCs w:val="32"/>
          <w:highlight w:val="none"/>
          <w:lang w:val="zh-CN"/>
        </w:rPr>
        <w:t>125.00</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en-US" w:eastAsia="zh-CN"/>
        </w:rPr>
        <w:t>下降</w:t>
      </w:r>
      <w:r>
        <w:rPr>
          <w:rFonts w:hint="default" w:ascii="Times New Roman" w:hAnsi="Times New Roman" w:eastAsia="仿宋_GB2312" w:cs="Times New Roman"/>
          <w:color w:val="auto"/>
          <w:sz w:val="32"/>
          <w:szCs w:val="32"/>
          <w:highlight w:val="none"/>
          <w:lang w:val="zh-CN"/>
        </w:rPr>
        <w:t>38.46%，主要原因是：压减了专用设备购置和大型修缮</w:t>
      </w:r>
      <w:r>
        <w:rPr>
          <w:rFonts w:hint="default" w:ascii="Times New Roman" w:hAnsi="Times New Roman" w:eastAsia="仿宋_GB2312" w:cs="Times New Roman"/>
          <w:color w:val="auto"/>
          <w:sz w:val="32"/>
          <w:szCs w:val="32"/>
          <w:highlight w:val="none"/>
          <w:lang w:val="zh-CN" w:eastAsia="zh-CN"/>
        </w:rPr>
        <w:t>拨款</w:t>
      </w:r>
      <w:r>
        <w:rPr>
          <w:rFonts w:hint="default" w:ascii="Times New Roman" w:hAnsi="Times New Roman" w:eastAsia="仿宋_GB2312" w:cs="Times New Roman"/>
          <w:color w:val="auto"/>
          <w:sz w:val="32"/>
          <w:szCs w:val="32"/>
          <w:highlight w:val="none"/>
          <w:lang w:val="zh-CN"/>
        </w:rPr>
        <w:t>。</w:t>
      </w:r>
    </w:p>
    <w:p w14:paraId="372CD0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260806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322E6F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6CD637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428992ED">
      <w:pPr>
        <w:ind w:firstLine="640" w:firstLineChars="200"/>
        <w:rPr>
          <w:rFonts w:hint="default" w:ascii="Times New Roman" w:hAnsi="Times New Roman" w:eastAsia="仿宋_GB2312" w:cs="Times New Roman"/>
          <w:color w:val="auto"/>
          <w:sz w:val="32"/>
          <w:szCs w:val="32"/>
          <w:highlight w:val="none"/>
          <w:lang w:val="zh-CN"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新疆维吾尔自治区第二济困医院(新疆维吾尔自治区第五人民医院)</w:t>
      </w:r>
      <w:r>
        <w:rPr>
          <w:rFonts w:hint="default" w:ascii="Times New Roman" w:hAnsi="Times New Roman" w:eastAsia="仿宋_GB2312" w:cs="Times New Roman"/>
          <w:color w:val="auto"/>
          <w:sz w:val="32"/>
          <w:szCs w:val="32"/>
          <w:highlight w:val="none"/>
          <w:lang w:val="zh-CN" w:eastAsia="zh-CN"/>
        </w:rPr>
        <w:t>（事业单位）公用经费支出265.48万元，比上年增加42.03万元，增长18.81%，主要原因是：</w:t>
      </w:r>
      <w:r>
        <w:rPr>
          <w:rFonts w:hint="default" w:ascii="Times New Roman" w:hAnsi="Times New Roman" w:eastAsia="仿宋_GB2312" w:cs="Times New Roman"/>
          <w:color w:val="auto"/>
          <w:sz w:val="32"/>
          <w:szCs w:val="32"/>
          <w:highlight w:val="none"/>
          <w:lang w:val="en-US" w:eastAsia="zh-CN"/>
        </w:rPr>
        <w:t>本年物业管理费和福利费增多</w:t>
      </w:r>
      <w:r>
        <w:rPr>
          <w:rFonts w:hint="default" w:ascii="Times New Roman" w:hAnsi="Times New Roman" w:eastAsia="仿宋_GB2312" w:cs="Times New Roman"/>
          <w:color w:val="auto"/>
          <w:sz w:val="32"/>
          <w:szCs w:val="32"/>
          <w:highlight w:val="none"/>
          <w:lang w:val="zh-CN" w:eastAsia="zh-CN"/>
        </w:rPr>
        <w:t>。</w:t>
      </w:r>
    </w:p>
    <w:p w14:paraId="3D3832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14:paraId="6E86BA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2,270.45万元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其中：政府采购货物支出1,631.46万元、政府采购工程支出296.18万元、政府采购服务支出342.81万元。</w:t>
      </w:r>
    </w:p>
    <w:p w14:paraId="0FF157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授予中小企业合同金额2,270.45万元，占政府采购支出总额的100.00%，其中：授予小微企业合同金额1,642.69万元，占政府采购支出总额的72.35%</w:t>
      </w:r>
      <w:r>
        <w:rPr>
          <w:rFonts w:hint="default" w:ascii="Times New Roman" w:hAnsi="Times New Roman" w:eastAsia="仿宋_GB2312" w:cs="Times New Roman"/>
          <w:color w:val="auto"/>
          <w:sz w:val="32"/>
          <w:szCs w:val="32"/>
          <w:highlight w:val="none"/>
          <w:lang w:val="en-US" w:eastAsia="zh-CN"/>
        </w:rPr>
        <w:t>。</w:t>
      </w:r>
    </w:p>
    <w:p w14:paraId="3FE6AD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8391"/>
      <w:bookmarkStart w:id="27" w:name="_Toc45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14:paraId="0B8FBA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28,701.06</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屋33586.83平方米，价值15,554.97万元。车辆9辆，价值248.10万元，其中：副部（省）级及以上领导用车0辆、主要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用车0辆、机要通信用车0辆、应急保障用车0辆、执法执勤用车0辆、特种专业技术用车5辆、离退休干部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用车0辆、其他用车4辆，其他用车主要是：</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zh-CN" w:eastAsia="zh-CN"/>
        </w:rPr>
        <w:t>辆班车，</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zh-CN" w:eastAsia="zh-CN"/>
        </w:rPr>
        <w:t>辆轿车；单价100万元（含）以上设备（不含车辆）19</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631E89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28276551">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实际执行总额0</w:t>
      </w:r>
      <w:r>
        <w:rPr>
          <w:rFonts w:hint="default" w:ascii="Times New Roman" w:hAnsi="Times New Roman" w:eastAsia="仿宋_GB2312" w:cs="Times New Roman"/>
          <w:color w:val="auto"/>
          <w:sz w:val="32"/>
          <w:szCs w:val="32"/>
          <w:highlight w:val="none"/>
        </w:rPr>
        <w:t>万元</w:t>
      </w:r>
      <w:r>
        <w:rPr>
          <w:rFonts w:hint="eastAsia"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全年预算数18602</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全年执行数16930.39</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。预算绩效管理取得的成效：一是做严事前绩效评估，</w:t>
      </w:r>
      <w:r>
        <w:rPr>
          <w:rFonts w:hint="default" w:ascii="Times New Roman" w:hAnsi="Times New Roman" w:eastAsia="仿宋_GB2312" w:cs="Times New Roman"/>
          <w:sz w:val="32"/>
          <w:szCs w:val="32"/>
        </w:rPr>
        <w:t>提前做好项目规划</w:t>
      </w:r>
      <w:r>
        <w:rPr>
          <w:rFonts w:hint="default" w:ascii="Times New Roman" w:hAnsi="Times New Roman" w:eastAsia="仿宋_GB2312" w:cs="Times New Roman"/>
          <w:sz w:val="32"/>
          <w:szCs w:val="32"/>
          <w:lang w:eastAsia="zh-CN"/>
        </w:rPr>
        <w:t>；二是</w:t>
      </w:r>
      <w:r>
        <w:rPr>
          <w:rFonts w:hint="default" w:ascii="Times New Roman" w:hAnsi="Times New Roman" w:eastAsia="仿宋_GB2312" w:cs="Times New Roman"/>
          <w:color w:val="auto"/>
          <w:sz w:val="32"/>
          <w:szCs w:val="32"/>
          <w:highlight w:val="none"/>
          <w:lang w:eastAsia="zh-CN"/>
        </w:rPr>
        <w:t>强化“全方位、全过程、全覆盖”绩效管理，对预算资金执行情况进行监控预警，并及时反馈相关科室及时纠偏；三是推行</w:t>
      </w:r>
      <w:r>
        <w:rPr>
          <w:rFonts w:hint="default" w:ascii="Times New Roman" w:hAnsi="Times New Roman" w:eastAsia="仿宋_GB2312" w:cs="Times New Roman"/>
          <w:color w:val="auto"/>
          <w:sz w:val="32"/>
          <w:szCs w:val="32"/>
          <w:highlight w:val="none"/>
          <w:lang w:val="en-US" w:eastAsia="zh-CN"/>
        </w:rPr>
        <w:t>科室</w:t>
      </w:r>
      <w:r>
        <w:rPr>
          <w:rFonts w:hint="default" w:ascii="Times New Roman" w:hAnsi="Times New Roman" w:eastAsia="仿宋_GB2312" w:cs="Times New Roman"/>
          <w:color w:val="auto"/>
          <w:sz w:val="32"/>
          <w:szCs w:val="32"/>
          <w:highlight w:val="none"/>
          <w:lang w:eastAsia="zh-CN"/>
        </w:rPr>
        <w:t>支出自评、</w:t>
      </w:r>
      <w:r>
        <w:rPr>
          <w:rFonts w:hint="default" w:ascii="Times New Roman" w:hAnsi="Times New Roman" w:eastAsia="仿宋_GB2312" w:cs="Times New Roman"/>
          <w:color w:val="auto"/>
          <w:sz w:val="32"/>
          <w:szCs w:val="32"/>
          <w:highlight w:val="none"/>
          <w:lang w:val="en-US" w:eastAsia="zh-CN"/>
        </w:rPr>
        <w:t>采取</w:t>
      </w:r>
      <w:r>
        <w:rPr>
          <w:rFonts w:hint="default" w:ascii="Times New Roman" w:hAnsi="Times New Roman" w:eastAsia="仿宋_GB2312" w:cs="Times New Roman"/>
          <w:color w:val="auto"/>
          <w:sz w:val="32"/>
          <w:szCs w:val="32"/>
          <w:highlight w:val="none"/>
          <w:lang w:eastAsia="zh-CN"/>
        </w:rPr>
        <w:t>重点绩效</w:t>
      </w:r>
      <w:r>
        <w:rPr>
          <w:rFonts w:hint="default" w:ascii="Times New Roman" w:hAnsi="Times New Roman" w:eastAsia="仿宋_GB2312" w:cs="Times New Roman"/>
          <w:color w:val="auto"/>
          <w:sz w:val="32"/>
          <w:szCs w:val="32"/>
          <w:highlight w:val="none"/>
          <w:lang w:val="en-US" w:eastAsia="zh-CN"/>
        </w:rPr>
        <w:t>指标</w:t>
      </w:r>
      <w:r>
        <w:rPr>
          <w:rFonts w:hint="default" w:ascii="Times New Roman" w:hAnsi="Times New Roman" w:eastAsia="仿宋_GB2312" w:cs="Times New Roman"/>
          <w:color w:val="auto"/>
          <w:sz w:val="32"/>
          <w:szCs w:val="32"/>
          <w:highlight w:val="none"/>
          <w:lang w:eastAsia="zh-CN"/>
        </w:rPr>
        <w:t>评价相结合的评价方式，对各</w:t>
      </w:r>
      <w:r>
        <w:rPr>
          <w:rFonts w:hint="default" w:ascii="Times New Roman" w:hAnsi="Times New Roman" w:eastAsia="仿宋_GB2312" w:cs="Times New Roman"/>
          <w:color w:val="auto"/>
          <w:sz w:val="32"/>
          <w:szCs w:val="32"/>
          <w:highlight w:val="none"/>
          <w:lang w:val="en-US" w:eastAsia="zh-CN"/>
        </w:rPr>
        <w:t>科室</w:t>
      </w:r>
      <w:r>
        <w:rPr>
          <w:rFonts w:hint="default" w:ascii="Times New Roman" w:hAnsi="Times New Roman" w:eastAsia="仿宋_GB2312" w:cs="Times New Roman"/>
          <w:color w:val="auto"/>
          <w:sz w:val="32"/>
          <w:szCs w:val="32"/>
          <w:highlight w:val="none"/>
          <w:lang w:eastAsia="zh-CN"/>
        </w:rPr>
        <w:t>预算执行情况开展绩效评价。</w:t>
      </w:r>
      <w:r>
        <w:rPr>
          <w:rFonts w:hint="default" w:ascii="Times New Roman" w:hAnsi="Times New Roman" w:eastAsia="仿宋_GB2312" w:cs="Times New Roman"/>
          <w:sz w:val="32"/>
          <w:szCs w:val="32"/>
        </w:rPr>
        <w:t>发现的问题及原因：</w:t>
      </w:r>
      <w:r>
        <w:rPr>
          <w:rFonts w:hint="default" w:ascii="Times New Roman" w:hAnsi="Times New Roman" w:eastAsia="仿宋_GB2312" w:cs="Times New Roman"/>
          <w:sz w:val="32"/>
          <w:szCs w:val="32"/>
          <w:lang w:eastAsia="zh-CN"/>
        </w:rPr>
        <w:t>一是</w:t>
      </w:r>
      <w:r>
        <w:rPr>
          <w:rFonts w:hint="default" w:ascii="Times New Roman" w:hAnsi="Times New Roman" w:eastAsia="仿宋_GB2312" w:cs="Times New Roman"/>
          <w:color w:val="auto"/>
          <w:sz w:val="32"/>
          <w:szCs w:val="32"/>
          <w:highlight w:val="none"/>
          <w:lang w:eastAsia="zh-CN"/>
        </w:rPr>
        <w:t>绩效评价的“质”和“量”有待提高；二是评价结果运用不充分。</w:t>
      </w:r>
      <w:r>
        <w:rPr>
          <w:rFonts w:hint="default" w:ascii="Times New Roman" w:hAnsi="Times New Roman" w:eastAsia="仿宋_GB2312" w:cs="Times New Roman"/>
          <w:sz w:val="32"/>
          <w:szCs w:val="32"/>
        </w:rPr>
        <w:t>下一步改进措施：</w:t>
      </w:r>
      <w:r>
        <w:rPr>
          <w:rFonts w:hint="default" w:ascii="Times New Roman" w:hAnsi="Times New Roman" w:eastAsia="仿宋_GB2312" w:cs="Times New Roman"/>
          <w:color w:val="auto"/>
          <w:sz w:val="32"/>
          <w:szCs w:val="32"/>
          <w:highlight w:val="none"/>
          <w:lang w:eastAsia="zh-CN"/>
        </w:rPr>
        <w:t>一是优化绩效指标体系，科学设计部门整体支出和项目支出的绩效指标，确保指标与项目目标紧密相关，能够真实反映项目的绩效水平；二是突出结果导向，推进预算绩效管理过程中各个环节的落实措施和实际效果进行评价，做好绩效评价结果反馈和公开工作。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08CAB64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0295F6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kern w:val="0"/>
          <w:sz w:val="32"/>
          <w:szCs w:val="32"/>
          <w:highlight w:val="none"/>
          <w:lang w:val="en-US" w:eastAsia="zh-CN"/>
        </w:rPr>
        <w:t>本单位无其他需说明事项</w:t>
      </w:r>
      <w:bookmarkStart w:id="30" w:name="_Toc24143"/>
      <w:bookmarkStart w:id="31" w:name="_Toc3250"/>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2383BA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531C9DD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300ADC7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6E0C8F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3846074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746D32D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1057FA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62B40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CA58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0C59848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00A7D97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636340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1190451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17CD6FC3">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43453F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13A4BB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02509A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1CB8AA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32434"/>
      <w:bookmarkStart w:id="37" w:name="_Toc21304"/>
      <w:r>
        <w:rPr>
          <w:rFonts w:hint="default" w:ascii="Times New Roman" w:hAnsi="Times New Roman" w:eastAsia="仿宋_GB2312" w:cs="Times New Roman"/>
          <w:bCs/>
          <w:color w:val="auto"/>
          <w:kern w:val="0"/>
          <w:sz w:val="32"/>
          <w:szCs w:val="32"/>
          <w:highlight w:val="none"/>
        </w:rPr>
        <w:t>三、《支出决算表》</w:t>
      </w:r>
      <w:bookmarkEnd w:id="36"/>
      <w:bookmarkEnd w:id="37"/>
    </w:p>
    <w:p w14:paraId="1D51F0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01527B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0347"/>
      <w:bookmarkStart w:id="41" w:name="_Toc14869"/>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13F1E2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2AC078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783750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7643"/>
      <w:bookmarkStart w:id="47" w:name="_Toc545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657184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75AD7CA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2F08D3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A160D1-A2DA-4DDE-A617-5AC6CE4486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C4AA239-6D46-41B1-B555-9C2555605CDE}"/>
  </w:font>
  <w:font w:name="仿宋_GB2312">
    <w:panose1 w:val="02010609030101010101"/>
    <w:charset w:val="86"/>
    <w:family w:val="modern"/>
    <w:pitch w:val="default"/>
    <w:sig w:usb0="00000001" w:usb1="080E0000" w:usb2="00000000" w:usb3="00000000" w:csb0="00040000" w:csb1="00000000"/>
    <w:embedRegular r:id="rId3" w:fontKey="{14D107B9-9EB3-48BC-B1CE-20E007C1E552}"/>
  </w:font>
  <w:font w:name="方正仿宋_GBK">
    <w:panose1 w:val="02000000000000000000"/>
    <w:charset w:val="86"/>
    <w:family w:val="auto"/>
    <w:pitch w:val="default"/>
    <w:sig w:usb0="A00002BF" w:usb1="38CF7CFA" w:usb2="00082016" w:usb3="00000000" w:csb0="00040001" w:csb1="00000000"/>
    <w:embedRegular r:id="rId4" w:fontKey="{599B29CE-7A53-45B0-8075-6110D0F288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1CC9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3EF692">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C3EF692">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mJjMmNjMjIyMGZmNjNjMGUwZTQxZDYwYTNkYmU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831193"/>
    <w:rsid w:val="039F47CE"/>
    <w:rsid w:val="03E05CE8"/>
    <w:rsid w:val="03F973EE"/>
    <w:rsid w:val="043E5B56"/>
    <w:rsid w:val="04C04386"/>
    <w:rsid w:val="04FA68C4"/>
    <w:rsid w:val="053F5AE6"/>
    <w:rsid w:val="057C0B0F"/>
    <w:rsid w:val="05EF4B48"/>
    <w:rsid w:val="05F76ECA"/>
    <w:rsid w:val="06792773"/>
    <w:rsid w:val="07093795"/>
    <w:rsid w:val="07804730"/>
    <w:rsid w:val="079052BE"/>
    <w:rsid w:val="07ED14B6"/>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C10E96"/>
    <w:rsid w:val="11162AD3"/>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517B47"/>
    <w:rsid w:val="1BFB2A1F"/>
    <w:rsid w:val="1C015D4A"/>
    <w:rsid w:val="1C290ED5"/>
    <w:rsid w:val="1C317E4F"/>
    <w:rsid w:val="1C472464"/>
    <w:rsid w:val="1D22799A"/>
    <w:rsid w:val="1D2603E9"/>
    <w:rsid w:val="1D5C1A72"/>
    <w:rsid w:val="1DAF458D"/>
    <w:rsid w:val="1E014916"/>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2D1856"/>
    <w:rsid w:val="2483647E"/>
    <w:rsid w:val="24A32D55"/>
    <w:rsid w:val="25292727"/>
    <w:rsid w:val="252E5CA9"/>
    <w:rsid w:val="256F7692"/>
    <w:rsid w:val="25BA2154"/>
    <w:rsid w:val="25C8773F"/>
    <w:rsid w:val="264A7253"/>
    <w:rsid w:val="26F0170C"/>
    <w:rsid w:val="27201D62"/>
    <w:rsid w:val="27286E73"/>
    <w:rsid w:val="27BF6CD8"/>
    <w:rsid w:val="27CF2642"/>
    <w:rsid w:val="27E777F5"/>
    <w:rsid w:val="27EA1D4C"/>
    <w:rsid w:val="27EA2E41"/>
    <w:rsid w:val="282459E2"/>
    <w:rsid w:val="283A7FE5"/>
    <w:rsid w:val="285F51FF"/>
    <w:rsid w:val="28DF2665"/>
    <w:rsid w:val="29072599"/>
    <w:rsid w:val="291029F3"/>
    <w:rsid w:val="29621E40"/>
    <w:rsid w:val="29CB58F0"/>
    <w:rsid w:val="2A053397"/>
    <w:rsid w:val="2A145E96"/>
    <w:rsid w:val="2AF5378F"/>
    <w:rsid w:val="2BB94DBF"/>
    <w:rsid w:val="2C6F314E"/>
    <w:rsid w:val="2CA302EA"/>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1958CF"/>
    <w:rsid w:val="32601BAD"/>
    <w:rsid w:val="329F6389"/>
    <w:rsid w:val="3389023A"/>
    <w:rsid w:val="33CB74FA"/>
    <w:rsid w:val="343642F2"/>
    <w:rsid w:val="343C41B7"/>
    <w:rsid w:val="343F3010"/>
    <w:rsid w:val="345D0A00"/>
    <w:rsid w:val="346F0564"/>
    <w:rsid w:val="34713BFD"/>
    <w:rsid w:val="34C13589"/>
    <w:rsid w:val="353369E3"/>
    <w:rsid w:val="35E00D72"/>
    <w:rsid w:val="36965B9D"/>
    <w:rsid w:val="36C549FD"/>
    <w:rsid w:val="36EF17FA"/>
    <w:rsid w:val="37A755DD"/>
    <w:rsid w:val="37F94FA0"/>
    <w:rsid w:val="380D3381"/>
    <w:rsid w:val="38115B1F"/>
    <w:rsid w:val="384952C1"/>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7F17C0"/>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C17990"/>
    <w:rsid w:val="4AE12E67"/>
    <w:rsid w:val="4B4C0111"/>
    <w:rsid w:val="4B8553A9"/>
    <w:rsid w:val="4BDB3730"/>
    <w:rsid w:val="4C200F7A"/>
    <w:rsid w:val="4CDA2707"/>
    <w:rsid w:val="4CE5628C"/>
    <w:rsid w:val="4CEE3180"/>
    <w:rsid w:val="4D0F4AF6"/>
    <w:rsid w:val="4DF94F37"/>
    <w:rsid w:val="4E0A1DD5"/>
    <w:rsid w:val="4E3160E5"/>
    <w:rsid w:val="4E4D37AF"/>
    <w:rsid w:val="4E8C6496"/>
    <w:rsid w:val="4ED43265"/>
    <w:rsid w:val="4EFD18DE"/>
    <w:rsid w:val="4F144236"/>
    <w:rsid w:val="4F663C87"/>
    <w:rsid w:val="4F7E29A8"/>
    <w:rsid w:val="4F9E1FFC"/>
    <w:rsid w:val="50447CC2"/>
    <w:rsid w:val="50874A7C"/>
    <w:rsid w:val="50895EE7"/>
    <w:rsid w:val="50921B9D"/>
    <w:rsid w:val="50D16158"/>
    <w:rsid w:val="50DB5F45"/>
    <w:rsid w:val="51025EB1"/>
    <w:rsid w:val="51141503"/>
    <w:rsid w:val="513240C1"/>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47484"/>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913453"/>
    <w:rsid w:val="5FA17648"/>
    <w:rsid w:val="5FE705CB"/>
    <w:rsid w:val="603D5080"/>
    <w:rsid w:val="605C55DB"/>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487CC5"/>
    <w:rsid w:val="67521A59"/>
    <w:rsid w:val="67C304AB"/>
    <w:rsid w:val="68225BD2"/>
    <w:rsid w:val="683F0658"/>
    <w:rsid w:val="689C6793"/>
    <w:rsid w:val="68DB0208"/>
    <w:rsid w:val="68FB170C"/>
    <w:rsid w:val="691B3D98"/>
    <w:rsid w:val="693748F0"/>
    <w:rsid w:val="69846A0E"/>
    <w:rsid w:val="69AD798C"/>
    <w:rsid w:val="69D005C0"/>
    <w:rsid w:val="69D80B96"/>
    <w:rsid w:val="6A24105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B97CF4"/>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1F708B"/>
    <w:rsid w:val="7C976D69"/>
    <w:rsid w:val="7CD752DA"/>
    <w:rsid w:val="7CDE40AB"/>
    <w:rsid w:val="7CF057E2"/>
    <w:rsid w:val="7D1548B5"/>
    <w:rsid w:val="7DF84014"/>
    <w:rsid w:val="7E207949"/>
    <w:rsid w:val="7E5C0A47"/>
    <w:rsid w:val="7E670C75"/>
    <w:rsid w:val="7E943A56"/>
    <w:rsid w:val="7EE24272"/>
    <w:rsid w:val="7EEA6053"/>
    <w:rsid w:val="7F1B71EC"/>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UserStyle_0"/>
    <w:basedOn w:val="1"/>
    <w:qFormat/>
    <w:uiPriority w:val="0"/>
    <w:pPr>
      <w:spacing w:line="240" w:lineRule="auto"/>
      <w:jc w:val="left"/>
      <w:textAlignment w:val="baseline"/>
    </w:pPr>
    <w:rPr>
      <w:rFonts w:ascii="Calibri" w:hAnsi="Calibri"/>
      <w:kern w:val="2"/>
      <w:sz w:val="28"/>
      <w:szCs w:val="28"/>
      <w:lang w:val="en-US" w:eastAsia="zh-CN" w:bidi="ar-SA"/>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7045</Words>
  <Characters>7982</Characters>
  <Lines>0</Lines>
  <Paragraphs>0</Paragraphs>
  <TotalTime>4</TotalTime>
  <ScaleCrop>false</ScaleCrop>
  <LinksUpToDate>false</LinksUpToDate>
  <CharactersWithSpaces>8006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dcterms:modified xsi:type="dcterms:W3CDTF">2024-09-04T06:20:43Z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