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A6520">
      <w:pPr>
        <w:spacing w:line="540" w:lineRule="exact"/>
        <w:jc w:val="center"/>
        <w:rPr>
          <w:rFonts w:eastAsia="华文中宋"/>
          <w:b/>
          <w:kern w:val="0"/>
          <w:sz w:val="52"/>
          <w:szCs w:val="52"/>
          <w:highlight w:val="none"/>
        </w:rPr>
      </w:pPr>
    </w:p>
    <w:p w14:paraId="758B3264">
      <w:pPr>
        <w:spacing w:line="540" w:lineRule="exact"/>
        <w:rPr>
          <w:rFonts w:eastAsia="华文中宋"/>
          <w:b/>
          <w:kern w:val="0"/>
          <w:sz w:val="52"/>
          <w:szCs w:val="52"/>
          <w:highlight w:val="none"/>
        </w:rPr>
      </w:pPr>
    </w:p>
    <w:p w14:paraId="0EA1A3FC">
      <w:pPr>
        <w:spacing w:line="540" w:lineRule="exact"/>
        <w:jc w:val="center"/>
        <w:rPr>
          <w:rFonts w:eastAsia="华文中宋"/>
          <w:b/>
          <w:kern w:val="0"/>
          <w:sz w:val="52"/>
          <w:szCs w:val="52"/>
          <w:highlight w:val="none"/>
        </w:rPr>
      </w:pPr>
    </w:p>
    <w:p w14:paraId="49E3A160">
      <w:pPr>
        <w:spacing w:line="540" w:lineRule="exact"/>
        <w:jc w:val="center"/>
        <w:rPr>
          <w:rFonts w:eastAsia="华文中宋"/>
          <w:b/>
          <w:kern w:val="0"/>
          <w:sz w:val="52"/>
          <w:szCs w:val="52"/>
          <w:highlight w:val="none"/>
        </w:rPr>
      </w:pPr>
    </w:p>
    <w:p w14:paraId="29BEC8A9">
      <w:pPr>
        <w:spacing w:line="540" w:lineRule="exact"/>
        <w:jc w:val="center"/>
        <w:rPr>
          <w:rFonts w:eastAsia="方正小标宋_GBK"/>
          <w:kern w:val="0"/>
          <w:sz w:val="48"/>
          <w:szCs w:val="48"/>
          <w:highlight w:val="none"/>
        </w:rPr>
      </w:pPr>
      <w:r>
        <w:rPr>
          <w:rFonts w:hint="eastAsia" w:eastAsia="方正小标宋_GBK"/>
          <w:kern w:val="0"/>
          <w:sz w:val="48"/>
          <w:szCs w:val="48"/>
          <w:highlight w:val="none"/>
        </w:rPr>
        <w:t>职业病</w:t>
      </w:r>
      <w:r>
        <w:rPr>
          <w:rFonts w:hint="eastAsia" w:eastAsia="方正小标宋_GBK"/>
          <w:kern w:val="0"/>
          <w:sz w:val="48"/>
          <w:szCs w:val="48"/>
          <w:highlight w:val="none"/>
          <w:lang w:val="en-US" w:eastAsia="zh-CN"/>
        </w:rPr>
        <w:t>防治</w:t>
      </w:r>
      <w:r>
        <w:rPr>
          <w:rFonts w:hint="eastAsia" w:eastAsia="方正小标宋_GBK"/>
          <w:kern w:val="0"/>
          <w:sz w:val="48"/>
          <w:szCs w:val="48"/>
          <w:highlight w:val="none"/>
        </w:rPr>
        <w:t>工作专项业务费</w:t>
      </w:r>
      <w:r>
        <w:rPr>
          <w:rFonts w:eastAsia="方正小标宋_GBK"/>
          <w:kern w:val="0"/>
          <w:sz w:val="48"/>
          <w:szCs w:val="48"/>
          <w:highlight w:val="none"/>
        </w:rPr>
        <w:t>资金项</w:t>
      </w:r>
    </w:p>
    <w:p w14:paraId="23BB9FCC">
      <w:pPr>
        <w:spacing w:line="540" w:lineRule="exact"/>
        <w:jc w:val="center"/>
        <w:rPr>
          <w:rFonts w:eastAsia="方正小标宋_GBK"/>
          <w:kern w:val="0"/>
          <w:sz w:val="48"/>
          <w:szCs w:val="48"/>
          <w:highlight w:val="none"/>
        </w:rPr>
      </w:pPr>
      <w:r>
        <w:rPr>
          <w:rFonts w:eastAsia="方正小标宋_GBK"/>
          <w:kern w:val="0"/>
          <w:sz w:val="48"/>
          <w:szCs w:val="48"/>
          <w:highlight w:val="none"/>
        </w:rPr>
        <w:t>支出绩效评价报告</w:t>
      </w:r>
    </w:p>
    <w:p w14:paraId="274EA2B3">
      <w:pPr>
        <w:spacing w:line="540" w:lineRule="exact"/>
        <w:jc w:val="center"/>
        <w:rPr>
          <w:rFonts w:eastAsia="华文中宋"/>
          <w:b/>
          <w:kern w:val="0"/>
          <w:sz w:val="52"/>
          <w:szCs w:val="52"/>
          <w:highlight w:val="none"/>
        </w:rPr>
      </w:pPr>
    </w:p>
    <w:p w14:paraId="530663A7">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1810AF9D">
      <w:pPr>
        <w:spacing w:line="540" w:lineRule="exact"/>
        <w:jc w:val="center"/>
        <w:rPr>
          <w:rFonts w:eastAsia="仿宋_GB2312"/>
          <w:kern w:val="0"/>
          <w:sz w:val="30"/>
          <w:szCs w:val="30"/>
          <w:highlight w:val="none"/>
        </w:rPr>
      </w:pPr>
    </w:p>
    <w:p w14:paraId="6BC63D63">
      <w:pPr>
        <w:spacing w:line="540" w:lineRule="exact"/>
        <w:jc w:val="center"/>
        <w:rPr>
          <w:rFonts w:eastAsia="仿宋_GB2312"/>
          <w:kern w:val="0"/>
          <w:sz w:val="30"/>
          <w:szCs w:val="30"/>
          <w:highlight w:val="none"/>
        </w:rPr>
      </w:pPr>
    </w:p>
    <w:p w14:paraId="429FE871">
      <w:pPr>
        <w:spacing w:line="540" w:lineRule="exact"/>
        <w:jc w:val="center"/>
        <w:rPr>
          <w:rFonts w:eastAsia="仿宋_GB2312"/>
          <w:kern w:val="0"/>
          <w:sz w:val="30"/>
          <w:szCs w:val="30"/>
          <w:highlight w:val="none"/>
        </w:rPr>
      </w:pPr>
    </w:p>
    <w:p w14:paraId="38EE2C16">
      <w:pPr>
        <w:spacing w:line="540" w:lineRule="exact"/>
        <w:jc w:val="center"/>
        <w:rPr>
          <w:rFonts w:eastAsia="仿宋_GB2312"/>
          <w:kern w:val="0"/>
          <w:sz w:val="30"/>
          <w:szCs w:val="30"/>
          <w:highlight w:val="none"/>
        </w:rPr>
      </w:pPr>
    </w:p>
    <w:p w14:paraId="2CB32F4A">
      <w:pPr>
        <w:spacing w:line="540" w:lineRule="exact"/>
        <w:rPr>
          <w:rFonts w:eastAsia="仿宋_GB2312"/>
          <w:kern w:val="0"/>
          <w:sz w:val="30"/>
          <w:szCs w:val="30"/>
          <w:highlight w:val="none"/>
        </w:rPr>
      </w:pPr>
    </w:p>
    <w:p w14:paraId="350FBAAC">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项目名称：</w:t>
      </w:r>
      <w:r>
        <w:rPr>
          <w:rFonts w:hint="eastAsia" w:eastAsia="仿宋_GB2312"/>
          <w:kern w:val="0"/>
          <w:sz w:val="36"/>
          <w:szCs w:val="36"/>
          <w:highlight w:val="none"/>
        </w:rPr>
        <w:t>职业病防治工作专项业务费</w:t>
      </w:r>
    </w:p>
    <w:p w14:paraId="47F7D5B2">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实施单位（公章）：</w:t>
      </w:r>
      <w:r>
        <w:rPr>
          <w:rFonts w:hint="eastAsia" w:eastAsia="仿宋_GB2312"/>
          <w:kern w:val="0"/>
          <w:sz w:val="36"/>
          <w:szCs w:val="36"/>
          <w:highlight w:val="none"/>
        </w:rPr>
        <w:t>新疆维吾尔自治区第三人民医院</w:t>
      </w:r>
    </w:p>
    <w:p w14:paraId="4B415BCC">
      <w:pPr>
        <w:spacing w:line="700" w:lineRule="exact"/>
        <w:ind w:firstLine="1440" w:firstLineChars="400"/>
        <w:jc w:val="left"/>
        <w:rPr>
          <w:rFonts w:hint="eastAsia" w:eastAsia="仿宋_GB2312"/>
          <w:kern w:val="0"/>
          <w:sz w:val="36"/>
          <w:szCs w:val="36"/>
          <w:highlight w:val="none"/>
        </w:rPr>
      </w:pPr>
      <w:r>
        <w:rPr>
          <w:rFonts w:eastAsia="仿宋_GB2312"/>
          <w:kern w:val="0"/>
          <w:sz w:val="36"/>
          <w:szCs w:val="36"/>
          <w:highlight w:val="none"/>
        </w:rPr>
        <w:t>主管部门（公章）：</w:t>
      </w:r>
      <w:r>
        <w:rPr>
          <w:rFonts w:hint="eastAsia" w:eastAsia="仿宋_GB2312"/>
          <w:kern w:val="0"/>
          <w:sz w:val="36"/>
          <w:szCs w:val="36"/>
          <w:highlight w:val="none"/>
        </w:rPr>
        <w:t>新疆维吾尔自治区卫生健康委员会</w:t>
      </w:r>
    </w:p>
    <w:p w14:paraId="19F01922">
      <w:pPr>
        <w:spacing w:line="700" w:lineRule="exact"/>
        <w:ind w:firstLine="1440" w:firstLineChars="400"/>
        <w:jc w:val="left"/>
        <w:rPr>
          <w:rFonts w:hint="eastAsia" w:eastAsia="仿宋_GB2312"/>
          <w:kern w:val="0"/>
          <w:sz w:val="36"/>
          <w:szCs w:val="36"/>
          <w:highlight w:val="none"/>
          <w:lang w:val="en-US"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何平</w:t>
      </w:r>
    </w:p>
    <w:p w14:paraId="0D87ADEC">
      <w:pPr>
        <w:spacing w:line="700" w:lineRule="exact"/>
        <w:ind w:firstLine="1440" w:firstLineChars="4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8</w:t>
      </w:r>
      <w:r>
        <w:rPr>
          <w:rFonts w:eastAsia="仿宋_GB2312"/>
          <w:kern w:val="0"/>
          <w:sz w:val="36"/>
          <w:szCs w:val="36"/>
          <w:highlight w:val="none"/>
        </w:rPr>
        <w:t>日</w:t>
      </w:r>
    </w:p>
    <w:p w14:paraId="3FC749D9">
      <w:pPr>
        <w:spacing w:line="540" w:lineRule="exact"/>
        <w:jc w:val="center"/>
        <w:rPr>
          <w:rFonts w:eastAsia="仿宋_GB2312"/>
          <w:kern w:val="0"/>
          <w:sz w:val="30"/>
          <w:szCs w:val="30"/>
          <w:highlight w:val="none"/>
        </w:rPr>
      </w:pPr>
    </w:p>
    <w:p w14:paraId="422F8245">
      <w:pPr>
        <w:spacing w:line="600" w:lineRule="exact"/>
        <w:rPr>
          <w:rFonts w:eastAsia="黑体"/>
          <w:bCs/>
          <w:sz w:val="32"/>
          <w:szCs w:val="32"/>
          <w:highlight w:val="none"/>
        </w:rPr>
      </w:pPr>
    </w:p>
    <w:p w14:paraId="3741F683">
      <w:pPr>
        <w:spacing w:line="560" w:lineRule="exact"/>
        <w:ind w:firstLine="640" w:firstLineChars="200"/>
        <w:rPr>
          <w:rFonts w:eastAsia="黑体"/>
          <w:bCs/>
          <w:sz w:val="32"/>
          <w:szCs w:val="32"/>
          <w:highlight w:val="none"/>
        </w:rPr>
      </w:pPr>
    </w:p>
    <w:p w14:paraId="5768C971">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2AE659AF">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01CD6379">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1B87BA75">
      <w:pPr>
        <w:pStyle w:val="2"/>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根据《国家卫生健康委关于加强职业病防治技术支撑体系建设的指导意见》（国卫职健发〔2020〕5号）、国家职业病防治规划（2021—2025年）及《“健康中国2030”规划纲要》要求，开展作业场所职业危害因素检测，建设项目职业危害评价，职业健康监护，预防和减少职业病发生的因素。面向全疆各级职业卫生技术服务机构、职业病防治机构、企业管理层、产业工人等各阶层开展职业病预防、治疗、职业防治法和职业卫生专业技术宣传指导，进一步加强职业病防治工作。</w:t>
      </w:r>
    </w:p>
    <w:p w14:paraId="7284D3A5">
      <w:pPr>
        <w:spacing w:line="560" w:lineRule="exact"/>
        <w:ind w:firstLine="643" w:firstLineChars="200"/>
        <w:rPr>
          <w:rFonts w:ascii="Times New Roman" w:hAnsi="Times New Roman" w:eastAsia="仿宋_GB2312" w:cs="Times New Roman"/>
          <w:b/>
          <w:bCs/>
          <w:sz w:val="32"/>
          <w:szCs w:val="32"/>
          <w:highlight w:val="none"/>
        </w:rPr>
      </w:pPr>
      <w:r>
        <w:rPr>
          <w:rFonts w:hint="eastAsia" w:ascii="Times New Roman" w:hAnsi="Times New Roman" w:eastAsia="仿宋_GB2312" w:cs="Times New Roman"/>
          <w:b/>
          <w:bCs/>
          <w:sz w:val="32"/>
          <w:szCs w:val="32"/>
          <w:highlight w:val="none"/>
          <w:lang w:val="en-US" w:eastAsia="zh-CN"/>
        </w:rPr>
        <w:t>2、</w:t>
      </w:r>
      <w:r>
        <w:rPr>
          <w:rFonts w:ascii="Times New Roman" w:hAnsi="Times New Roman" w:eastAsia="仿宋_GB2312" w:cs="Times New Roman"/>
          <w:b/>
          <w:bCs/>
          <w:sz w:val="32"/>
          <w:szCs w:val="32"/>
          <w:highlight w:val="none"/>
        </w:rPr>
        <w:t>项目主要内容</w:t>
      </w:r>
    </w:p>
    <w:p w14:paraId="4565ABA5">
      <w:pPr>
        <w:spacing w:line="560" w:lineRule="exact"/>
        <w:ind w:firstLine="640" w:firstLineChars="200"/>
        <w:rPr>
          <w:rFonts w:hint="eastAsia" w:eastAsia="仿宋_GB2312"/>
          <w:sz w:val="32"/>
          <w:szCs w:val="32"/>
          <w:highlight w:val="none"/>
          <w:lang w:val="en-US" w:eastAsia="zh-CN"/>
        </w:rPr>
      </w:pPr>
      <w:r>
        <w:rPr>
          <w:rFonts w:hint="eastAsia" w:eastAsia="仿宋_GB2312"/>
          <w:sz w:val="32"/>
          <w:szCs w:val="32"/>
          <w:highlight w:val="none"/>
          <w:lang w:val="en-US" w:eastAsia="zh-CN"/>
        </w:rPr>
        <w:t>项目主要内容：</w:t>
      </w:r>
      <w:r>
        <w:rPr>
          <w:rFonts w:hint="eastAsia" w:eastAsia="仿宋_GB2312"/>
          <w:sz w:val="32"/>
          <w:szCs w:val="32"/>
          <w:highlight w:val="none"/>
        </w:rPr>
        <w:t>1.为被检测企业提供全面准确的职业病危害检测及评价报告、建立健全企业全面落实职业健康意识，帮助企业完善职业健康体系，从而促进健康企业乃至健康中国工作推进进度</w:t>
      </w:r>
      <w:r>
        <w:rPr>
          <w:rFonts w:hint="eastAsia" w:eastAsia="仿宋_GB2312"/>
          <w:sz w:val="32"/>
          <w:szCs w:val="32"/>
          <w:highlight w:val="none"/>
          <w:lang w:eastAsia="zh-CN"/>
        </w:rPr>
        <w:t>；</w:t>
      </w:r>
      <w:r>
        <w:rPr>
          <w:rFonts w:hint="eastAsia" w:eastAsia="仿宋_GB2312"/>
          <w:sz w:val="32"/>
          <w:szCs w:val="32"/>
          <w:highlight w:val="none"/>
        </w:rPr>
        <w:t>2.开展生物样品中二氯甲烷、三甲基氯化锡、苯酚、甲醇等检测项目</w:t>
      </w:r>
      <w:r>
        <w:rPr>
          <w:rFonts w:hint="eastAsia" w:eastAsia="仿宋_GB2312"/>
          <w:sz w:val="32"/>
          <w:szCs w:val="32"/>
          <w:highlight w:val="none"/>
          <w:lang w:eastAsia="zh-CN"/>
        </w:rPr>
        <w:t>；</w:t>
      </w:r>
      <w:r>
        <w:rPr>
          <w:rFonts w:hint="eastAsia" w:eastAsia="仿宋_GB2312"/>
          <w:sz w:val="32"/>
          <w:szCs w:val="32"/>
          <w:highlight w:val="none"/>
        </w:rPr>
        <w:t>3.开展职业病预防、治疗、职业防治法和职业卫生专业技术宣传指导，降低固有职业病危害和新发职业病</w:t>
      </w:r>
      <w:r>
        <w:rPr>
          <w:rFonts w:hint="eastAsia" w:eastAsia="仿宋_GB2312"/>
          <w:sz w:val="32"/>
          <w:szCs w:val="32"/>
          <w:highlight w:val="none"/>
          <w:lang w:eastAsia="zh-CN"/>
        </w:rPr>
        <w:t>。</w:t>
      </w:r>
    </w:p>
    <w:p w14:paraId="0518FE50">
      <w:pPr>
        <w:spacing w:line="560" w:lineRule="exact"/>
        <w:ind w:firstLine="640" w:firstLineChars="200"/>
        <w:rPr>
          <w:highlight w:val="none"/>
        </w:rPr>
      </w:pPr>
      <w:r>
        <w:rPr>
          <w:rFonts w:eastAsia="仿宋_GB2312"/>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4C80DF6F">
      <w:pPr>
        <w:spacing w:line="560" w:lineRule="exact"/>
        <w:ind w:firstLine="640" w:firstLineChars="200"/>
        <w:rPr>
          <w:rFonts w:eastAsia="仿宋_GB2312"/>
          <w:sz w:val="32"/>
          <w:szCs w:val="32"/>
          <w:highlight w:val="none"/>
        </w:rPr>
      </w:pPr>
    </w:p>
    <w:p w14:paraId="04EA5106">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5907C017">
      <w:pPr>
        <w:spacing w:line="560" w:lineRule="exact"/>
        <w:ind w:firstLine="640" w:firstLineChars="200"/>
        <w:rPr>
          <w:rFonts w:hint="eastAsia" w:eastAsia="仿宋_GB2312"/>
          <w:sz w:val="20"/>
          <w:szCs w:val="20"/>
          <w:highlight w:val="none"/>
          <w:lang w:eastAsia="zh-CN"/>
        </w:rPr>
      </w:pPr>
      <w:r>
        <w:rPr>
          <w:rFonts w:eastAsia="仿宋_GB2312"/>
          <w:sz w:val="32"/>
          <w:szCs w:val="32"/>
          <w:highlight w:val="none"/>
        </w:rPr>
        <w:t>（1）资金</w:t>
      </w:r>
      <w:r>
        <w:rPr>
          <w:rFonts w:hint="eastAsia" w:eastAsia="仿宋_GB2312"/>
          <w:sz w:val="32"/>
          <w:szCs w:val="32"/>
          <w:highlight w:val="none"/>
          <w:lang w:val="en-US" w:eastAsia="zh-CN"/>
        </w:rPr>
        <w:t>投入情况</w:t>
      </w:r>
    </w:p>
    <w:p w14:paraId="03C14B2F">
      <w:pPr>
        <w:spacing w:line="560" w:lineRule="exact"/>
        <w:ind w:firstLine="640" w:firstLineChars="200"/>
        <w:rPr>
          <w:rFonts w:eastAsia="仿宋_GB2312"/>
          <w:sz w:val="32"/>
          <w:szCs w:val="32"/>
          <w:highlight w:val="none"/>
        </w:rPr>
      </w:pPr>
      <w:r>
        <w:rPr>
          <w:rFonts w:eastAsia="仿宋_GB2312"/>
          <w:sz w:val="32"/>
          <w:szCs w:val="32"/>
          <w:highlight w:val="none"/>
        </w:rPr>
        <w:t>项目</w:t>
      </w:r>
      <w:r>
        <w:rPr>
          <w:rFonts w:hint="eastAsia" w:eastAsia="仿宋_GB2312"/>
          <w:sz w:val="32"/>
          <w:szCs w:val="32"/>
          <w:highlight w:val="none"/>
          <w:lang w:val="en-US" w:eastAsia="zh-CN"/>
        </w:rPr>
        <w:t>年初安排预算120万元，全年预算数120</w:t>
      </w:r>
      <w:r>
        <w:rPr>
          <w:rFonts w:eastAsia="仿宋_GB2312"/>
          <w:sz w:val="32"/>
          <w:szCs w:val="32"/>
          <w:highlight w:val="none"/>
        </w:rPr>
        <w:t>万元，</w:t>
      </w:r>
      <w:r>
        <w:rPr>
          <w:rFonts w:ascii="Times New Roman" w:hAnsi="Times New Roman" w:eastAsia="仿宋_GB2312" w:cs="Times New Roman"/>
          <w:sz w:val="32"/>
          <w:szCs w:val="32"/>
          <w:highlight w:val="none"/>
        </w:rPr>
        <w:t>其中：财政</w:t>
      </w:r>
      <w:r>
        <w:rPr>
          <w:rFonts w:hint="eastAsia" w:ascii="Times New Roman" w:hAnsi="Times New Roman" w:eastAsia="仿宋_GB2312" w:cs="Times New Roman"/>
          <w:sz w:val="32"/>
          <w:szCs w:val="32"/>
          <w:highlight w:val="none"/>
        </w:rPr>
        <w:t>拨款</w:t>
      </w:r>
      <w:r>
        <w:rPr>
          <w:rFonts w:ascii="Times New Roman" w:hAnsi="Times New Roman" w:eastAsia="仿宋_GB2312" w:cs="Times New Roman"/>
          <w:sz w:val="32"/>
          <w:szCs w:val="32"/>
          <w:highlight w:val="none"/>
        </w:rPr>
        <w:t>资金</w:t>
      </w:r>
      <w:r>
        <w:rPr>
          <w:rFonts w:hint="eastAsia" w:ascii="Times New Roman" w:hAnsi="Times New Roman" w:eastAsia="仿宋_GB2312" w:cs="Times New Roman"/>
          <w:sz w:val="32"/>
          <w:szCs w:val="32"/>
          <w:highlight w:val="none"/>
          <w:lang w:val="en-US" w:eastAsia="zh-CN"/>
        </w:rPr>
        <w:t>120</w:t>
      </w:r>
      <w:r>
        <w:rPr>
          <w:rFonts w:ascii="Times New Roman" w:hAnsi="Times New Roman" w:eastAsia="仿宋_GB2312" w:cs="Times New Roman"/>
          <w:sz w:val="32"/>
          <w:szCs w:val="32"/>
          <w:highlight w:val="none"/>
        </w:rPr>
        <w:t>万元。</w:t>
      </w:r>
      <w:r>
        <w:rPr>
          <w:rFonts w:hint="eastAsia" w:ascii="Times New Roman" w:hAnsi="Times New Roman" w:eastAsia="仿宋_GB2312" w:cs="Times New Roman"/>
          <w:sz w:val="32"/>
          <w:szCs w:val="32"/>
          <w:highlight w:val="none"/>
        </w:rPr>
        <w:t>其他资金</w:t>
      </w:r>
      <w:r>
        <w:rPr>
          <w:rFonts w:hint="eastAsia" w:ascii="Times New Roman" w:hAnsi="Times New Roman" w:eastAsia="仿宋_GB2312" w:cs="Times New Roman"/>
          <w:sz w:val="32"/>
          <w:szCs w:val="32"/>
          <w:highlight w:val="none"/>
          <w:lang w:val="en-US" w:eastAsia="zh-CN"/>
        </w:rPr>
        <w:t>0</w:t>
      </w:r>
      <w:r>
        <w:rPr>
          <w:rFonts w:hint="eastAsia" w:ascii="Times New Roman" w:hAnsi="Times New Roman" w:eastAsia="仿宋_GB2312" w:cs="Times New Roman"/>
          <w:sz w:val="32"/>
          <w:szCs w:val="32"/>
          <w:highlight w:val="none"/>
        </w:rPr>
        <w:t>万元。</w:t>
      </w:r>
      <w:r>
        <w:rPr>
          <w:rFonts w:hint="eastAsia" w:eastAsia="仿宋_GB2312" w:cs="Times New Roman"/>
          <w:sz w:val="32"/>
          <w:szCs w:val="32"/>
          <w:highlight w:val="none"/>
          <w:lang w:val="en-US" w:eastAsia="zh-CN"/>
        </w:rPr>
        <w:t>项目资金到位120万元，资金到位率100%。</w:t>
      </w:r>
    </w:p>
    <w:p w14:paraId="237ACC9C">
      <w:pPr>
        <w:spacing w:line="560" w:lineRule="exact"/>
        <w:ind w:firstLine="640" w:firstLineChars="200"/>
        <w:rPr>
          <w:rFonts w:eastAsia="仿宋_GB2312"/>
          <w:sz w:val="32"/>
          <w:szCs w:val="32"/>
          <w:highlight w:val="none"/>
        </w:rPr>
      </w:pPr>
      <w:r>
        <w:rPr>
          <w:rFonts w:eastAsia="仿宋_GB2312"/>
          <w:sz w:val="32"/>
          <w:szCs w:val="32"/>
          <w:highlight w:val="none"/>
        </w:rPr>
        <w:t>（2）</w:t>
      </w:r>
      <w:bookmarkStart w:id="0" w:name="page10"/>
      <w:bookmarkEnd w:id="0"/>
      <w:r>
        <w:rPr>
          <w:rFonts w:hint="eastAsia" w:ascii="仿宋_GB2312" w:hAnsi="仿宋_GB2312" w:eastAsia="仿宋_GB2312" w:cs="仿宋_GB2312"/>
          <w:sz w:val="32"/>
          <w:szCs w:val="32"/>
          <w:highlight w:val="none"/>
          <w:lang w:val="en-US" w:eastAsia="zh-CN"/>
        </w:rPr>
        <w:t>资金使用情况</w:t>
      </w:r>
    </w:p>
    <w:p w14:paraId="4F61C88F">
      <w:pPr>
        <w:pStyle w:val="2"/>
        <w:spacing w:before="0" w:after="0" w:line="560" w:lineRule="exact"/>
        <w:ind w:firstLine="640" w:firstLineChars="200"/>
        <w:jc w:val="both"/>
        <w:rPr>
          <w:rFonts w:hint="eastAsia"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截至2023年</w:t>
      </w:r>
      <w:r>
        <w:rPr>
          <w:rFonts w:hint="eastAsia" w:ascii="Times New Roman" w:hAnsi="Times New Roman" w:eastAsia="仿宋_GB2312"/>
          <w:b w:val="0"/>
          <w:bCs w:val="0"/>
          <w:kern w:val="2"/>
          <w:highlight w:val="none"/>
        </w:rPr>
        <w:t>12月31日，该项目全年预算数</w:t>
      </w:r>
      <w:r>
        <w:rPr>
          <w:rFonts w:hint="eastAsia" w:ascii="Times New Roman" w:hAnsi="Times New Roman" w:eastAsia="仿宋_GB2312"/>
          <w:b w:val="0"/>
          <w:bCs w:val="0"/>
          <w:kern w:val="2"/>
          <w:highlight w:val="none"/>
          <w:lang w:val="en-US" w:eastAsia="zh-CN"/>
        </w:rPr>
        <w:t>120</w:t>
      </w:r>
      <w:r>
        <w:rPr>
          <w:rFonts w:hint="eastAsia" w:ascii="Times New Roman" w:hAnsi="Times New Roman" w:eastAsia="仿宋_GB2312"/>
          <w:b w:val="0"/>
          <w:bCs w:val="0"/>
          <w:kern w:val="2"/>
          <w:highlight w:val="none"/>
        </w:rPr>
        <w:t>万元，全年执行数</w:t>
      </w:r>
      <w:r>
        <w:rPr>
          <w:rFonts w:hint="eastAsia" w:ascii="Times New Roman" w:hAnsi="Times New Roman" w:eastAsia="仿宋_GB2312"/>
          <w:b w:val="0"/>
          <w:bCs w:val="0"/>
          <w:kern w:val="2"/>
          <w:highlight w:val="none"/>
          <w:lang w:val="en-US" w:eastAsia="zh-CN"/>
        </w:rPr>
        <w:t>120</w:t>
      </w:r>
      <w:r>
        <w:rPr>
          <w:rFonts w:hint="eastAsia" w:ascii="Times New Roman" w:hAnsi="Times New Roman" w:eastAsia="仿宋_GB2312"/>
          <w:b w:val="0"/>
          <w:bCs w:val="0"/>
          <w:kern w:val="2"/>
          <w:highlight w:val="none"/>
        </w:rPr>
        <w:t>万元，预算执行率</w:t>
      </w:r>
      <w:r>
        <w:rPr>
          <w:rFonts w:hint="eastAsia" w:ascii="Times New Roman" w:hAnsi="Times New Roman" w:eastAsia="仿宋_GB2312"/>
          <w:b w:val="0"/>
          <w:bCs w:val="0"/>
          <w:kern w:val="2"/>
          <w:highlight w:val="none"/>
          <w:lang w:val="en-US" w:eastAsia="zh-CN"/>
        </w:rPr>
        <w:t>100</w:t>
      </w:r>
      <w:r>
        <w:rPr>
          <w:rFonts w:hint="eastAsia"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val="en-US" w:eastAsia="zh-CN"/>
        </w:rPr>
        <w:t>主要</w:t>
      </w:r>
      <w:r>
        <w:rPr>
          <w:rFonts w:hint="eastAsia" w:ascii="Times New Roman" w:hAnsi="Times New Roman" w:eastAsia="仿宋_GB2312"/>
          <w:b w:val="0"/>
          <w:bCs w:val="0"/>
          <w:kern w:val="2"/>
          <w:highlight w:val="none"/>
        </w:rPr>
        <w:t>用于支付项目实施进程中的各项费用。按照单位财务制度等相关规定，资金支出符合职业病防治工作专项业务费</w:t>
      </w:r>
      <w:r>
        <w:rPr>
          <w:rFonts w:hint="eastAsia" w:ascii="Times New Roman" w:hAnsi="Times New Roman" w:eastAsia="仿宋_GB2312"/>
          <w:b w:val="0"/>
          <w:bCs w:val="0"/>
          <w:kern w:val="2"/>
          <w:highlight w:val="none"/>
          <w:lang w:eastAsia="zh-Hans"/>
        </w:rPr>
        <w:t>项目</w:t>
      </w:r>
      <w:r>
        <w:rPr>
          <w:rFonts w:hint="eastAsia" w:ascii="Times New Roman" w:hAnsi="Times New Roman" w:eastAsia="仿宋_GB2312"/>
          <w:b w:val="0"/>
          <w:bCs w:val="0"/>
          <w:kern w:val="2"/>
          <w:highlight w:val="none"/>
        </w:rPr>
        <w:t>资金费用范围，做到了专款专用。在项目资金拨付和使用过程中，为确保项目资金的安全性，提高项目资金使用效率，严格遵循职业病防治工作专项业务费</w:t>
      </w:r>
      <w:r>
        <w:rPr>
          <w:rFonts w:hint="eastAsia" w:ascii="Times New Roman" w:hAnsi="Times New Roman" w:eastAsia="仿宋_GB2312"/>
          <w:b w:val="0"/>
          <w:bCs w:val="0"/>
          <w:kern w:val="2"/>
          <w:highlight w:val="none"/>
          <w:lang w:eastAsia="zh-Hans"/>
        </w:rPr>
        <w:t>项目</w:t>
      </w:r>
      <w:r>
        <w:rPr>
          <w:rFonts w:hint="eastAsia" w:ascii="Times New Roman" w:hAnsi="Times New Roman" w:eastAsia="仿宋_GB2312"/>
          <w:b w:val="0"/>
          <w:bCs w:val="0"/>
          <w:kern w:val="2"/>
          <w:highlight w:val="none"/>
        </w:rPr>
        <w:t>资金的拨付程序，认真审核项目实施各阶段的相关材料和手续，根据项目实施进展情况拨付资金。</w:t>
      </w:r>
    </w:p>
    <w:p w14:paraId="3B7CFCB7">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0D5103AD">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6160B0C7">
      <w:pPr>
        <w:pStyle w:val="2"/>
        <w:numPr>
          <w:ilvl w:val="0"/>
          <w:numId w:val="0"/>
        </w:numPr>
        <w:spacing w:before="0" w:after="0" w:line="560" w:lineRule="exact"/>
        <w:ind w:firstLine="640" w:firstLineChars="200"/>
        <w:jc w:val="both"/>
        <w:rPr>
          <w:rFonts w:hint="eastAsia"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开展作业场所职业危害因素检测，建设项目职业危害评价，职业健康监护，预防和减少职业病发生的因素。面向全疆各级职业卫生技术服务机构、职业病防治机构、企业管理层、产业工人等各阶层开展职业病预防、治疗、职业防治法和职业卫生专业技术宣传指导。</w:t>
      </w:r>
    </w:p>
    <w:p w14:paraId="12BC4836">
      <w:pPr>
        <w:spacing w:line="560" w:lineRule="exact"/>
        <w:ind w:firstLine="640" w:firstLineChars="200"/>
        <w:rPr>
          <w:highlight w:val="none"/>
        </w:rPr>
      </w:pPr>
      <w:r>
        <w:rPr>
          <w:rFonts w:eastAsia="仿宋_GB2312"/>
          <w:sz w:val="32"/>
          <w:szCs w:val="32"/>
          <w:highlight w:val="none"/>
        </w:rPr>
        <w:t>2、阶段性目标</w:t>
      </w:r>
    </w:p>
    <w:p w14:paraId="1CB663A2">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1.2023年开展作业场所职业危害因素</w:t>
      </w:r>
      <w:r>
        <w:rPr>
          <w:rFonts w:hint="eastAsia" w:eastAsia="仿宋_GB2312"/>
          <w:sz w:val="32"/>
          <w:szCs w:val="32"/>
          <w:highlight w:val="none"/>
          <w:lang w:eastAsia="zh-CN"/>
        </w:rPr>
        <w:t>监测</w:t>
      </w:r>
      <w:r>
        <w:rPr>
          <w:rFonts w:hint="eastAsia" w:eastAsia="仿宋_GB2312"/>
          <w:sz w:val="32"/>
          <w:szCs w:val="32"/>
          <w:highlight w:val="none"/>
        </w:rPr>
        <w:t>及职业健康监护，预防和减少职业病发生。为被检测企业提供全面准确的职业病危害检测及评价报告、建立健全企业全面落实职业健康意识，帮助企业完善职业健康体系，从而促进健康企业乃至健康中国工作推进进度。</w:t>
      </w:r>
    </w:p>
    <w:p w14:paraId="1B0BC5C3">
      <w:pPr>
        <w:spacing w:line="560" w:lineRule="exact"/>
        <w:ind w:firstLine="640" w:firstLineChars="200"/>
        <w:rPr>
          <w:rFonts w:hint="eastAsia" w:eastAsia="仿宋_GB2312"/>
          <w:sz w:val="32"/>
          <w:szCs w:val="32"/>
          <w:highlight w:val="none"/>
        </w:rPr>
      </w:pPr>
      <w:r>
        <w:rPr>
          <w:rFonts w:hint="eastAsia" w:eastAsia="仿宋_GB2312"/>
          <w:sz w:val="32"/>
          <w:szCs w:val="32"/>
          <w:highlight w:val="none"/>
        </w:rPr>
        <w:t>2.开展生物样品中甲醇、丙酮、乙醇、异丙醇、正丙醇、正丁醇等检测项目。更好</w:t>
      </w:r>
      <w:r>
        <w:rPr>
          <w:rFonts w:hint="eastAsia" w:eastAsia="仿宋_GB2312"/>
          <w:sz w:val="32"/>
          <w:szCs w:val="32"/>
          <w:highlight w:val="none"/>
          <w:lang w:eastAsia="zh-CN"/>
        </w:rPr>
        <w:t>地</w:t>
      </w:r>
      <w:r>
        <w:rPr>
          <w:rFonts w:hint="eastAsia" w:eastAsia="仿宋_GB2312"/>
          <w:sz w:val="32"/>
          <w:szCs w:val="32"/>
          <w:highlight w:val="none"/>
        </w:rPr>
        <w:t>实现职防院在全疆的技术引领，扩大职业病防治能力的覆盖面。</w:t>
      </w:r>
    </w:p>
    <w:p w14:paraId="60A2A9F2">
      <w:pPr>
        <w:spacing w:line="560" w:lineRule="exact"/>
        <w:ind w:firstLine="640" w:firstLineChars="200"/>
        <w:rPr>
          <w:rFonts w:eastAsia="仿宋_GB2312"/>
          <w:sz w:val="32"/>
          <w:szCs w:val="32"/>
          <w:highlight w:val="none"/>
        </w:rPr>
      </w:pPr>
      <w:r>
        <w:rPr>
          <w:rFonts w:hint="eastAsia" w:eastAsia="仿宋_GB2312"/>
          <w:sz w:val="32"/>
          <w:szCs w:val="32"/>
          <w:highlight w:val="none"/>
        </w:rPr>
        <w:t>3.2023年面向自治区职业健康检查机构和职业病诊疗机构多次开展职业病诊断医师培训及职业病诊疗康复医师培训，开展中小微企业职业健康帮扶企业。指导督促28家企业申报自治区健康企业，指导督促143人申报“职业健康达人”，进一步加强职业病防治工作。</w:t>
      </w:r>
      <w:r>
        <w:rPr>
          <w:rFonts w:hint="eastAsia" w:eastAsia="仿宋_GB2312"/>
          <w:sz w:val="32"/>
          <w:szCs w:val="32"/>
          <w:highlight w:val="none"/>
        </w:rPr>
        <w:tab/>
      </w:r>
      <w:r>
        <w:rPr>
          <w:rFonts w:hint="eastAsia" w:eastAsia="仿宋_GB2312"/>
          <w:sz w:val="32"/>
          <w:szCs w:val="32"/>
          <w:highlight w:val="none"/>
        </w:rPr>
        <w:tab/>
      </w:r>
      <w:r>
        <w:rPr>
          <w:rFonts w:hint="eastAsia" w:eastAsia="仿宋_GB2312"/>
          <w:sz w:val="32"/>
          <w:szCs w:val="32"/>
          <w:highlight w:val="none"/>
        </w:rPr>
        <w:tab/>
      </w:r>
      <w:r>
        <w:rPr>
          <w:rFonts w:hint="eastAsia" w:eastAsia="仿宋_GB2312"/>
          <w:sz w:val="32"/>
          <w:szCs w:val="32"/>
          <w:highlight w:val="none"/>
        </w:rPr>
        <w:tab/>
      </w:r>
      <w:r>
        <w:rPr>
          <w:rFonts w:hint="eastAsia" w:eastAsia="仿宋_GB2312"/>
          <w:sz w:val="32"/>
          <w:szCs w:val="32"/>
          <w:highlight w:val="none"/>
        </w:rPr>
        <w:tab/>
      </w:r>
    </w:p>
    <w:p w14:paraId="146B5879">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5DCEE47D">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11963988">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1、绩效评价的目的</w:t>
      </w:r>
    </w:p>
    <w:p w14:paraId="1C445045">
      <w:pPr>
        <w:spacing w:line="560" w:lineRule="exact"/>
        <w:ind w:firstLine="640" w:firstLineChars="200"/>
        <w:rPr>
          <w:rFonts w:eastAsia="仿宋_GB2312"/>
          <w:sz w:val="32"/>
          <w:szCs w:val="32"/>
          <w:highlight w:val="none"/>
        </w:rPr>
      </w:pPr>
      <w:r>
        <w:rPr>
          <w:rFonts w:eastAsia="仿宋_GB2312"/>
          <w:sz w:val="32"/>
          <w:szCs w:val="32"/>
          <w:highlight w:val="none"/>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143C43B">
      <w:pPr>
        <w:numPr>
          <w:ilvl w:val="0"/>
          <w:numId w:val="1"/>
        </w:numPr>
        <w:spacing w:line="560" w:lineRule="exact"/>
        <w:ind w:firstLine="640" w:firstLineChars="200"/>
        <w:rPr>
          <w:rFonts w:eastAsia="仿宋_GB2312"/>
          <w:sz w:val="32"/>
          <w:szCs w:val="32"/>
          <w:highlight w:val="none"/>
        </w:rPr>
      </w:pPr>
      <w:r>
        <w:rPr>
          <w:rFonts w:eastAsia="仿宋_GB2312"/>
          <w:sz w:val="32"/>
          <w:szCs w:val="32"/>
          <w:highlight w:val="none"/>
        </w:rPr>
        <w:t>项目在实施前向项目负责人提供财政支出绩效方面的资金管理信息，促进项目支出严格按照资金管理规定进行。</w:t>
      </w:r>
    </w:p>
    <w:p w14:paraId="7C075ACE">
      <w:pPr>
        <w:spacing w:line="560" w:lineRule="exact"/>
        <w:ind w:firstLine="640" w:firstLineChars="200"/>
        <w:rPr>
          <w:rFonts w:eastAsia="仿宋_GB2312"/>
          <w:sz w:val="32"/>
          <w:szCs w:val="32"/>
          <w:highlight w:val="none"/>
        </w:rPr>
      </w:pPr>
      <w:r>
        <w:rPr>
          <w:rFonts w:eastAsia="仿宋_GB2312"/>
          <w:sz w:val="32"/>
          <w:szCs w:val="32"/>
          <w:highlight w:val="none"/>
        </w:rPr>
        <w:t>（2）项目绩效管</w:t>
      </w:r>
      <w:r>
        <w:rPr>
          <w:rFonts w:hint="eastAsia" w:eastAsia="仿宋_GB2312"/>
          <w:sz w:val="32"/>
          <w:szCs w:val="32"/>
          <w:highlight w:val="none"/>
          <w:lang w:eastAsia="zh-CN"/>
        </w:rPr>
        <w:t>理为</w:t>
      </w:r>
      <w:r>
        <w:rPr>
          <w:rFonts w:eastAsia="仿宋_GB2312"/>
          <w:sz w:val="32"/>
          <w:szCs w:val="32"/>
          <w:highlight w:val="none"/>
        </w:rPr>
        <w:t>财政支出运行提供及时、有效的信息。</w:t>
      </w:r>
    </w:p>
    <w:p w14:paraId="327B2A02">
      <w:pPr>
        <w:pStyle w:val="17"/>
        <w:spacing w:line="560" w:lineRule="exact"/>
        <w:ind w:firstLine="640" w:firstLineChars="200"/>
        <w:rPr>
          <w:rFonts w:eastAsia="仿宋_GB2312"/>
          <w:sz w:val="32"/>
          <w:szCs w:val="32"/>
          <w:highlight w:val="none"/>
        </w:rPr>
      </w:pPr>
      <w:r>
        <w:rPr>
          <w:rFonts w:eastAsia="仿宋_GB2312"/>
          <w:sz w:val="32"/>
          <w:szCs w:val="32"/>
          <w:highlight w:val="none"/>
        </w:rPr>
        <w:t>综合来看，通过开展有效的财政支出绩效评价管理，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095BE380">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312FCEA3">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职业病防治工作专项业务费项目所包含的全部项目内容。</w:t>
      </w:r>
    </w:p>
    <w:p w14:paraId="2A0EC0B6">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1C78D738">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评价从项目决策（包括项目立项、绩效目标、资金投入）、项目过程（包括资金管理、组织实施）、项目产出（包括项目产出数量、产出质量、产出时效和产出成本）、项目效益（实施效益、满意度）四个维度对职业病防治工作专项业务费项目进行评价，评价核心为项目资金的支出完成情况和效果。</w:t>
      </w:r>
    </w:p>
    <w:p w14:paraId="4C89A20C">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4289FC6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087978E7">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2F413DB1">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05AC2E12">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64EEEBE">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69ADD9CF">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04030B5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198F7593">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DB719C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5AEA5460">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AFCC03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10B5CDB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698B32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EAEBAA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06F613F9">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7AA43B9B">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1063C54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65E7AE8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B20565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2C8EA0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400A540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4F967539">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59E6101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7C6DC352">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0388B45E">
      <w:pPr>
        <w:spacing w:line="560" w:lineRule="exact"/>
        <w:ind w:firstLine="708" w:firstLineChars="200"/>
        <w:rPr>
          <w:rFonts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000000"/>
          <w:spacing w:val="17"/>
          <w:sz w:val="32"/>
          <w:szCs w:val="32"/>
          <w:highlight w:val="none"/>
          <w:lang w:eastAsia="zh-CN"/>
        </w:rPr>
        <w:t>计划标准、历史标准、行业标准</w:t>
      </w:r>
      <w:r>
        <w:rPr>
          <w:rFonts w:hint="eastAsia" w:ascii="Times New Roman" w:hAnsi="Times New Roman" w:eastAsia="仿宋_GB2312" w:cs="Times New Roman"/>
          <w:color w:val="000000"/>
          <w:spacing w:val="17"/>
          <w:sz w:val="32"/>
          <w:szCs w:val="32"/>
          <w:highlight w:val="none"/>
        </w:rPr>
        <w:t>。</w:t>
      </w:r>
    </w:p>
    <w:p w14:paraId="0BEB0F5D">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1" w:name="_Toc17882"/>
      <w:bookmarkStart w:id="2" w:name="_Toc31464"/>
      <w:r>
        <w:rPr>
          <w:rFonts w:hint="eastAsia" w:ascii="Times New Roman" w:hAnsi="Times New Roman" w:eastAsia="仿宋_GB2312" w:cs="Times New Roman"/>
          <w:color w:val="000000"/>
          <w:spacing w:val="17"/>
          <w:sz w:val="32"/>
          <w:szCs w:val="32"/>
          <w:highlight w:val="none"/>
        </w:rPr>
        <w:t>计划标准：指以预先制定的目标、计划、预算、定额等作为评价标准。</w:t>
      </w:r>
      <w:bookmarkEnd w:id="1"/>
      <w:bookmarkEnd w:id="2"/>
    </w:p>
    <w:p w14:paraId="286AE04A">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3" w:name="_Toc5633"/>
      <w:bookmarkStart w:id="4" w:name="_Toc2318"/>
      <w:r>
        <w:rPr>
          <w:rFonts w:hint="eastAsia" w:ascii="Times New Roman" w:hAnsi="Times New Roman" w:eastAsia="仿宋_GB2312" w:cs="Times New Roman"/>
          <w:color w:val="000000"/>
          <w:spacing w:val="17"/>
          <w:sz w:val="32"/>
          <w:szCs w:val="32"/>
          <w:highlight w:val="none"/>
        </w:rPr>
        <w:t>行业标准：指参照国家公布的行业指标数据制定的评价标准。</w:t>
      </w:r>
      <w:bookmarkEnd w:id="3"/>
      <w:bookmarkEnd w:id="4"/>
    </w:p>
    <w:p w14:paraId="11506535">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5" w:name="_Toc430"/>
      <w:bookmarkStart w:id="6" w:name="_Toc16028"/>
      <w:r>
        <w:rPr>
          <w:rFonts w:hint="eastAsia" w:ascii="Times New Roman" w:hAnsi="Times New Roman" w:eastAsia="仿宋_GB2312" w:cs="Times New Roman"/>
          <w:color w:val="000000"/>
          <w:spacing w:val="17"/>
          <w:sz w:val="32"/>
          <w:szCs w:val="32"/>
          <w:highlight w:val="none"/>
        </w:rPr>
        <w:t>历史标准：指参照历史数据制定的评价标准，为体现绩效改进的原则，在可实现的条件下应当确定相对较高的评价标准。</w:t>
      </w:r>
      <w:bookmarkEnd w:id="5"/>
      <w:bookmarkEnd w:id="6"/>
    </w:p>
    <w:p w14:paraId="34572923">
      <w:pPr>
        <w:pStyle w:val="2"/>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05E06D37">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1B1157BA">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13202C3C">
      <w:pPr>
        <w:numPr>
          <w:ilvl w:val="0"/>
          <w:numId w:val="3"/>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2EBC4810">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389C3C0D">
      <w:pPr>
        <w:pStyle w:val="2"/>
        <w:widowControl w:val="0"/>
        <w:spacing w:before="0" w:after="0" w:line="560" w:lineRule="exact"/>
        <w:ind w:firstLine="643" w:firstLineChars="200"/>
        <w:jc w:val="both"/>
        <w:outlineLvl w:val="9"/>
        <w:rPr>
          <w:rFonts w:hint="eastAsia" w:ascii="楷体" w:hAnsi="楷体" w:eastAsia="楷体" w:cs="楷体"/>
          <w:b/>
          <w:bCs/>
          <w:highlight w:val="none"/>
        </w:rPr>
      </w:pPr>
      <w:r>
        <w:rPr>
          <w:rFonts w:hint="eastAsia" w:ascii="楷体" w:hAnsi="楷体" w:eastAsia="楷体" w:cs="楷体"/>
          <w:b/>
          <w:bCs/>
          <w:highlight w:val="none"/>
        </w:rPr>
        <w:t>（一）评价情况</w:t>
      </w:r>
    </w:p>
    <w:p w14:paraId="4F487607">
      <w:pPr>
        <w:pStyle w:val="2"/>
        <w:widowControl w:val="0"/>
        <w:spacing w:before="0" w:after="0" w:line="560" w:lineRule="exact"/>
        <w:ind w:firstLine="640" w:firstLineChars="200"/>
        <w:jc w:val="both"/>
        <w:outlineLvl w:val="9"/>
        <w:rPr>
          <w:rFonts w:hint="eastAsia" w:ascii="Times New Roman" w:hAnsi="Times New Roman" w:eastAsia="仿宋_GB2312"/>
          <w:b w:val="0"/>
          <w:bCs w:val="0"/>
          <w:highlight w:val="none"/>
        </w:rPr>
      </w:pPr>
      <w:r>
        <w:rPr>
          <w:rFonts w:hint="eastAsia" w:ascii="Times New Roman" w:hAnsi="Times New Roman" w:eastAsia="仿宋_GB2312"/>
          <w:b w:val="0"/>
          <w:bCs w:val="0"/>
          <w:highlight w:val="none"/>
        </w:rPr>
        <w:t>项目总体组织规范，在项目实施过</w:t>
      </w:r>
      <w:r>
        <w:rPr>
          <w:rFonts w:hint="eastAsia" w:ascii="Times New Roman" w:hAnsi="Times New Roman" w:eastAsia="仿宋_GB2312"/>
          <w:b w:val="0"/>
          <w:bCs w:val="0"/>
          <w:highlight w:val="none"/>
          <w:lang w:eastAsia="zh-CN"/>
        </w:rPr>
        <w:t>程中</w:t>
      </w:r>
      <w:r>
        <w:rPr>
          <w:rFonts w:hint="eastAsia" w:ascii="Times New Roman" w:hAnsi="Times New Roman" w:eastAsia="仿宋_GB2312"/>
          <w:b w:val="0"/>
          <w:bCs w:val="0"/>
          <w:highlight w:val="none"/>
        </w:rPr>
        <w:t>做到认真履职，监督到位。按照相关制度的要求，项目负责人对项目绩效监控执行情况进行跟踪监督，有效完成了本项目的工作目标，确保资金使用安全和最大效益</w:t>
      </w:r>
      <w:r>
        <w:rPr>
          <w:rFonts w:hint="eastAsia" w:ascii="Times New Roman" w:hAnsi="Times New Roman" w:eastAsia="仿宋_GB2312"/>
          <w:b w:val="0"/>
          <w:bCs w:val="0"/>
          <w:highlight w:val="none"/>
          <w:lang w:eastAsia="zh-CN"/>
        </w:rPr>
        <w:t>地</w:t>
      </w:r>
      <w:r>
        <w:rPr>
          <w:rFonts w:hint="eastAsia" w:ascii="Times New Roman" w:hAnsi="Times New Roman" w:eastAsia="仿宋_GB2312"/>
          <w:b w:val="0"/>
          <w:bCs w:val="0"/>
          <w:highlight w:val="none"/>
        </w:rPr>
        <w:t>发挥，保障项目如期按要求完成。规范了项目档案资料的整理。项目的实施达到项目预期效果。</w:t>
      </w:r>
    </w:p>
    <w:p w14:paraId="4672D035">
      <w:pPr>
        <w:pStyle w:val="2"/>
        <w:widowControl w:val="0"/>
        <w:spacing w:before="0" w:after="0" w:line="560" w:lineRule="exact"/>
        <w:ind w:firstLine="643" w:firstLineChars="200"/>
        <w:jc w:val="both"/>
        <w:outlineLvl w:val="9"/>
        <w:rPr>
          <w:rFonts w:hint="eastAsia" w:ascii="楷体" w:hAnsi="楷体" w:eastAsia="楷体" w:cs="楷体"/>
          <w:b/>
          <w:bCs/>
          <w:highlight w:val="none"/>
        </w:rPr>
      </w:pPr>
      <w:r>
        <w:rPr>
          <w:rFonts w:hint="eastAsia" w:ascii="楷体" w:hAnsi="楷体" w:eastAsia="楷体" w:cs="楷体"/>
          <w:b/>
          <w:bCs/>
          <w:highlight w:val="none"/>
        </w:rPr>
        <w:t>（二）评价结论</w:t>
      </w:r>
    </w:p>
    <w:p w14:paraId="0C8A4AF9">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rPr>
        <w:t>职业病防治工作专项业务费</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97.6</w:t>
      </w:r>
      <w:r>
        <w:rPr>
          <w:rFonts w:ascii="Times New Roman" w:hAnsi="Times New Roman" w:eastAsia="仿宋_GB2312"/>
          <w:b w:val="0"/>
          <w:bCs w:val="0"/>
          <w:highlight w:val="none"/>
        </w:rPr>
        <w:t>分</w:t>
      </w:r>
      <w:r>
        <w:rPr>
          <w:rFonts w:ascii="Times New Roman" w:hAnsi="Times New Roman" w:eastAsia="仿宋_GB2312" w:cs="Times New Roman"/>
          <w:b w:val="0"/>
          <w:bCs w:val="0"/>
          <w:highlight w:val="none"/>
        </w:rPr>
        <w:t>，属于“优”。其中</w:t>
      </w:r>
      <w:r>
        <w:rPr>
          <w:rFonts w:ascii="Times New Roman" w:hAnsi="Times New Roman" w:eastAsia="仿宋_GB2312"/>
          <w:b w:val="0"/>
          <w:bCs w:val="0"/>
          <w:highlight w:val="none"/>
        </w:rPr>
        <w:t>，项目决策类指标权重</w:t>
      </w:r>
      <w:r>
        <w:rPr>
          <w:rFonts w:ascii="Times New Roman" w:hAnsi="Times New Roman" w:eastAsia="仿宋_GB2312" w:cs="Times New Roman"/>
          <w:b w:val="0"/>
          <w:bCs w:val="0"/>
          <w:highlight w:val="none"/>
        </w:rPr>
        <w:t xml:space="preserve">为20分，得分为 </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37.6</w:t>
      </w:r>
      <w:r>
        <w:rPr>
          <w:rFonts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94</w:t>
      </w:r>
      <w:r>
        <w:rPr>
          <w:rFonts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ascii="Times New Roman" w:hAnsi="Times New Roman" w:eastAsia="仿宋_GB2312" w:cs="Times New Roman"/>
          <w:b w:val="0"/>
          <w:bCs w:val="0"/>
          <w:highlight w:val="none"/>
        </w:rPr>
        <w:t>%</w:t>
      </w:r>
      <w:r>
        <w:rPr>
          <w:rFonts w:ascii="Times New Roman" w:hAnsi="Times New Roman" w:eastAsia="仿宋_GB2312"/>
          <w:b w:val="0"/>
          <w:bCs w:val="0"/>
          <w:highlight w:val="none"/>
        </w:rPr>
        <w:t>。</w:t>
      </w:r>
    </w:p>
    <w:p w14:paraId="06B23842">
      <w:pPr>
        <w:pStyle w:val="2"/>
        <w:rPr>
          <w:highlight w:val="none"/>
        </w:rPr>
      </w:pPr>
      <w:r>
        <w:rPr>
          <w:rFonts w:ascii="Times New Roman" w:hAnsi="Times New Roman" w:eastAsia="仿宋_GB2312"/>
          <w:sz w:val="30"/>
          <w:szCs w:val="30"/>
          <w:highlight w:val="none"/>
        </w:rPr>
        <w:t>表1综合评分表</w:t>
      </w:r>
    </w:p>
    <w:tbl>
      <w:tblPr>
        <w:tblStyle w:val="12"/>
        <w:tblW w:w="8707"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97"/>
        <w:gridCol w:w="735"/>
        <w:gridCol w:w="1200"/>
        <w:gridCol w:w="1425"/>
        <w:gridCol w:w="735"/>
        <w:gridCol w:w="960"/>
        <w:gridCol w:w="945"/>
        <w:gridCol w:w="1140"/>
        <w:gridCol w:w="870"/>
      </w:tblGrid>
      <w:tr w14:paraId="46BAC0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4" w:hRule="atLeast"/>
          <w:tblHeader/>
        </w:trPr>
        <w:tc>
          <w:tcPr>
            <w:tcW w:w="697" w:type="dxa"/>
            <w:shd w:val="clear" w:color="auto" w:fill="BFBFBF"/>
            <w:vAlign w:val="center"/>
          </w:tcPr>
          <w:p w14:paraId="1B0AC527">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35" w:type="dxa"/>
            <w:shd w:val="clear" w:color="auto" w:fill="BFBFBF"/>
            <w:vAlign w:val="center"/>
          </w:tcPr>
          <w:p w14:paraId="13C5C7F0">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1200" w:type="dxa"/>
            <w:shd w:val="clear" w:color="auto" w:fill="BFBFBF"/>
            <w:vAlign w:val="center"/>
          </w:tcPr>
          <w:p w14:paraId="706754D1">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1425" w:type="dxa"/>
            <w:shd w:val="clear" w:color="auto" w:fill="BFBFBF"/>
            <w:vAlign w:val="center"/>
          </w:tcPr>
          <w:p w14:paraId="5548EC90">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735" w:type="dxa"/>
            <w:shd w:val="clear" w:color="auto" w:fill="BFBFBF"/>
            <w:vAlign w:val="center"/>
          </w:tcPr>
          <w:p w14:paraId="26405731">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960" w:type="dxa"/>
            <w:shd w:val="clear" w:color="auto" w:fill="BFBFBF"/>
            <w:vAlign w:val="center"/>
          </w:tcPr>
          <w:p w14:paraId="05E51A6B">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945" w:type="dxa"/>
            <w:shd w:val="clear" w:color="auto" w:fill="BFBFBF"/>
            <w:vAlign w:val="center"/>
          </w:tcPr>
          <w:p w14:paraId="668640AE">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1140" w:type="dxa"/>
            <w:shd w:val="clear" w:color="auto" w:fill="BFBFBF"/>
            <w:vAlign w:val="center"/>
          </w:tcPr>
          <w:p w14:paraId="7072DEDF">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870" w:type="dxa"/>
            <w:shd w:val="clear" w:color="auto" w:fill="BFBFBF"/>
            <w:vAlign w:val="center"/>
          </w:tcPr>
          <w:p w14:paraId="4E942C71">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4E60E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restart"/>
            <w:shd w:val="clear" w:color="auto" w:fill="FFFFFF"/>
            <w:vAlign w:val="center"/>
          </w:tcPr>
          <w:p w14:paraId="43AB5E26">
            <w:pPr>
              <w:widowControl/>
              <w:spacing w:line="0" w:lineRule="atLeast"/>
              <w:jc w:val="center"/>
              <w:rPr>
                <w:color w:val="000000"/>
                <w:kern w:val="0"/>
                <w:sz w:val="22"/>
                <w:szCs w:val="22"/>
                <w:highlight w:val="none"/>
              </w:rPr>
            </w:pPr>
            <w:r>
              <w:rPr>
                <w:color w:val="000000"/>
                <w:kern w:val="0"/>
                <w:sz w:val="22"/>
                <w:szCs w:val="22"/>
                <w:highlight w:val="none"/>
              </w:rPr>
              <w:t>决策　</w:t>
            </w:r>
          </w:p>
          <w:p w14:paraId="1E0B503C">
            <w:pPr>
              <w:widowControl/>
              <w:spacing w:line="0" w:lineRule="atLeast"/>
              <w:jc w:val="center"/>
              <w:rPr>
                <w:color w:val="000000"/>
                <w:kern w:val="0"/>
                <w:sz w:val="22"/>
                <w:szCs w:val="22"/>
                <w:highlight w:val="none"/>
              </w:rPr>
            </w:pPr>
            <w:r>
              <w:rPr>
                <w:color w:val="000000"/>
                <w:kern w:val="0"/>
                <w:sz w:val="22"/>
                <w:szCs w:val="22"/>
                <w:highlight w:val="none"/>
              </w:rPr>
              <w:t>　</w:t>
            </w:r>
          </w:p>
          <w:p w14:paraId="68128138">
            <w:pPr>
              <w:spacing w:line="0" w:lineRule="atLeast"/>
              <w:jc w:val="center"/>
              <w:rPr>
                <w:color w:val="000000"/>
                <w:kern w:val="0"/>
                <w:sz w:val="22"/>
                <w:szCs w:val="22"/>
                <w:highlight w:val="none"/>
              </w:rPr>
            </w:pPr>
            <w:r>
              <w:rPr>
                <w:color w:val="000000"/>
                <w:kern w:val="0"/>
                <w:sz w:val="22"/>
                <w:szCs w:val="22"/>
                <w:highlight w:val="none"/>
              </w:rPr>
              <w:t>　</w:t>
            </w:r>
          </w:p>
          <w:p w14:paraId="0990747F">
            <w:pPr>
              <w:widowControl/>
              <w:spacing w:line="0" w:lineRule="atLeast"/>
              <w:jc w:val="center"/>
              <w:rPr>
                <w:color w:val="000000"/>
                <w:kern w:val="0"/>
                <w:sz w:val="22"/>
                <w:szCs w:val="22"/>
                <w:highlight w:val="none"/>
              </w:rPr>
            </w:pPr>
            <w:r>
              <w:rPr>
                <w:color w:val="000000"/>
                <w:kern w:val="0"/>
                <w:sz w:val="22"/>
                <w:szCs w:val="22"/>
                <w:highlight w:val="none"/>
              </w:rPr>
              <w:t>　</w:t>
            </w:r>
          </w:p>
        </w:tc>
        <w:tc>
          <w:tcPr>
            <w:tcW w:w="735" w:type="dxa"/>
            <w:vMerge w:val="restart"/>
            <w:shd w:val="clear" w:color="auto" w:fill="FFFFFF"/>
            <w:vAlign w:val="center"/>
          </w:tcPr>
          <w:p w14:paraId="3B5C0759">
            <w:pPr>
              <w:widowControl/>
              <w:spacing w:line="0" w:lineRule="atLeast"/>
              <w:jc w:val="center"/>
              <w:rPr>
                <w:color w:val="000000"/>
                <w:kern w:val="0"/>
                <w:sz w:val="22"/>
                <w:szCs w:val="22"/>
                <w:highlight w:val="none"/>
              </w:rPr>
            </w:pPr>
            <w:r>
              <w:rPr>
                <w:kern w:val="0"/>
                <w:sz w:val="22"/>
                <w:szCs w:val="22"/>
                <w:highlight w:val="none"/>
              </w:rPr>
              <w:t>20分</w:t>
            </w:r>
          </w:p>
        </w:tc>
        <w:tc>
          <w:tcPr>
            <w:tcW w:w="1200" w:type="dxa"/>
            <w:vMerge w:val="restart"/>
            <w:shd w:val="clear" w:color="auto" w:fill="FFFFFF"/>
            <w:vAlign w:val="center"/>
          </w:tcPr>
          <w:p w14:paraId="5B593332">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1425" w:type="dxa"/>
            <w:shd w:val="clear" w:color="auto" w:fill="FFFFFF"/>
            <w:vAlign w:val="center"/>
          </w:tcPr>
          <w:p w14:paraId="62F635AE">
            <w:pPr>
              <w:widowControl/>
              <w:spacing w:line="0" w:lineRule="atLeast"/>
              <w:jc w:val="center"/>
              <w:rPr>
                <w:color w:val="000000"/>
                <w:kern w:val="0"/>
                <w:sz w:val="22"/>
                <w:szCs w:val="22"/>
                <w:highlight w:val="none"/>
              </w:rPr>
            </w:pPr>
            <w:r>
              <w:rPr>
                <w:color w:val="000000"/>
                <w:kern w:val="0"/>
                <w:sz w:val="22"/>
                <w:szCs w:val="22"/>
                <w:highlight w:val="none"/>
              </w:rPr>
              <w:t>立项依据</w:t>
            </w:r>
          </w:p>
          <w:p w14:paraId="0CA40BAD">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735" w:type="dxa"/>
            <w:shd w:val="clear" w:color="auto" w:fill="FFFFFF"/>
            <w:vAlign w:val="center"/>
          </w:tcPr>
          <w:p w14:paraId="6E0A7385">
            <w:pPr>
              <w:widowControl/>
              <w:spacing w:line="0" w:lineRule="atLeast"/>
              <w:jc w:val="center"/>
              <w:rPr>
                <w:color w:val="000000"/>
                <w:kern w:val="0"/>
                <w:sz w:val="22"/>
                <w:szCs w:val="22"/>
                <w:highlight w:val="none"/>
              </w:rPr>
            </w:pPr>
            <w:r>
              <w:rPr>
                <w:color w:val="000000"/>
                <w:kern w:val="0"/>
                <w:sz w:val="22"/>
                <w:szCs w:val="22"/>
                <w:highlight w:val="none"/>
              </w:rPr>
              <w:t>3</w:t>
            </w:r>
          </w:p>
        </w:tc>
        <w:tc>
          <w:tcPr>
            <w:tcW w:w="960" w:type="dxa"/>
            <w:shd w:val="clear" w:color="auto" w:fill="FFFFFF"/>
            <w:vAlign w:val="center"/>
          </w:tcPr>
          <w:p w14:paraId="5A76F47E">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945" w:type="dxa"/>
            <w:shd w:val="clear" w:color="auto" w:fill="FFFFFF"/>
            <w:vAlign w:val="center"/>
          </w:tcPr>
          <w:p w14:paraId="044001D9">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1140" w:type="dxa"/>
            <w:shd w:val="clear" w:color="auto" w:fill="FFFFFF"/>
            <w:vAlign w:val="center"/>
          </w:tcPr>
          <w:p w14:paraId="32223BEF">
            <w:pPr>
              <w:widowControl/>
              <w:spacing w:line="0" w:lineRule="atLeast"/>
              <w:jc w:val="center"/>
              <w:rPr>
                <w:rFonts w:hint="default" w:eastAsia="宋体"/>
                <w:color w:val="000000"/>
                <w:kern w:val="0"/>
                <w:sz w:val="22"/>
                <w:szCs w:val="22"/>
                <w:highlight w:val="none"/>
                <w:lang w:val="en-US" w:eastAsia="zh-CN"/>
              </w:rPr>
            </w:pPr>
            <w:r>
              <w:rPr>
                <w:rFonts w:hint="eastAsia"/>
                <w:color w:val="auto"/>
                <w:kern w:val="0"/>
                <w:sz w:val="22"/>
                <w:szCs w:val="22"/>
                <w:highlight w:val="none"/>
                <w:lang w:val="en-US" w:eastAsia="zh-CN"/>
              </w:rPr>
              <w:t>100%</w:t>
            </w:r>
          </w:p>
        </w:tc>
        <w:tc>
          <w:tcPr>
            <w:tcW w:w="870" w:type="dxa"/>
            <w:shd w:val="clear" w:color="auto" w:fill="FFFFFF"/>
            <w:vAlign w:val="center"/>
          </w:tcPr>
          <w:p w14:paraId="22612569">
            <w:pPr>
              <w:widowControl/>
              <w:spacing w:line="0" w:lineRule="atLeast"/>
              <w:jc w:val="center"/>
              <w:rPr>
                <w:color w:val="000000"/>
                <w:kern w:val="0"/>
                <w:sz w:val="22"/>
                <w:szCs w:val="22"/>
                <w:highlight w:val="none"/>
              </w:rPr>
            </w:pPr>
            <w:r>
              <w:rPr>
                <w:color w:val="000000"/>
                <w:kern w:val="0"/>
                <w:sz w:val="22"/>
                <w:szCs w:val="22"/>
                <w:highlight w:val="none"/>
              </w:rPr>
              <w:t>3</w:t>
            </w:r>
          </w:p>
        </w:tc>
      </w:tr>
      <w:tr w14:paraId="60506C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7002D1D9">
            <w:pPr>
              <w:spacing w:line="0" w:lineRule="atLeast"/>
              <w:jc w:val="center"/>
              <w:rPr>
                <w:color w:val="000000"/>
                <w:kern w:val="0"/>
                <w:sz w:val="22"/>
                <w:szCs w:val="22"/>
                <w:highlight w:val="none"/>
              </w:rPr>
            </w:pPr>
          </w:p>
        </w:tc>
        <w:tc>
          <w:tcPr>
            <w:tcW w:w="735" w:type="dxa"/>
            <w:vMerge w:val="continue"/>
            <w:shd w:val="clear" w:color="auto" w:fill="FFFFFF"/>
            <w:vAlign w:val="center"/>
          </w:tcPr>
          <w:p w14:paraId="65294D86">
            <w:pPr>
              <w:widowControl/>
              <w:spacing w:line="0" w:lineRule="atLeast"/>
              <w:jc w:val="center"/>
              <w:rPr>
                <w:color w:val="000000"/>
                <w:kern w:val="0"/>
                <w:sz w:val="22"/>
                <w:szCs w:val="22"/>
                <w:highlight w:val="none"/>
              </w:rPr>
            </w:pPr>
          </w:p>
        </w:tc>
        <w:tc>
          <w:tcPr>
            <w:tcW w:w="1200" w:type="dxa"/>
            <w:vMerge w:val="continue"/>
            <w:shd w:val="clear" w:color="auto" w:fill="FFFFFF"/>
            <w:vAlign w:val="center"/>
          </w:tcPr>
          <w:p w14:paraId="3A04025D">
            <w:pPr>
              <w:widowControl/>
              <w:spacing w:line="0" w:lineRule="atLeast"/>
              <w:jc w:val="center"/>
              <w:rPr>
                <w:color w:val="000000"/>
                <w:kern w:val="0"/>
                <w:sz w:val="22"/>
                <w:szCs w:val="22"/>
                <w:highlight w:val="none"/>
              </w:rPr>
            </w:pPr>
          </w:p>
        </w:tc>
        <w:tc>
          <w:tcPr>
            <w:tcW w:w="1425" w:type="dxa"/>
            <w:shd w:val="clear" w:color="auto" w:fill="FFFFFF"/>
            <w:vAlign w:val="center"/>
          </w:tcPr>
          <w:p w14:paraId="04B95583">
            <w:pPr>
              <w:widowControl/>
              <w:spacing w:line="0" w:lineRule="atLeast"/>
              <w:jc w:val="center"/>
              <w:rPr>
                <w:color w:val="000000"/>
                <w:kern w:val="0"/>
                <w:sz w:val="22"/>
                <w:szCs w:val="22"/>
                <w:highlight w:val="none"/>
              </w:rPr>
            </w:pPr>
            <w:r>
              <w:rPr>
                <w:color w:val="000000"/>
                <w:kern w:val="0"/>
                <w:sz w:val="22"/>
                <w:szCs w:val="22"/>
                <w:highlight w:val="none"/>
              </w:rPr>
              <w:t>立项程序</w:t>
            </w:r>
          </w:p>
          <w:p w14:paraId="0B0323F9">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735" w:type="dxa"/>
            <w:shd w:val="clear" w:color="auto" w:fill="FFFFFF"/>
            <w:vAlign w:val="center"/>
          </w:tcPr>
          <w:p w14:paraId="3C0242AA">
            <w:pPr>
              <w:widowControl/>
              <w:spacing w:line="0" w:lineRule="atLeast"/>
              <w:jc w:val="center"/>
              <w:rPr>
                <w:color w:val="000000"/>
                <w:kern w:val="0"/>
                <w:sz w:val="22"/>
                <w:szCs w:val="22"/>
                <w:highlight w:val="none"/>
              </w:rPr>
            </w:pPr>
            <w:r>
              <w:rPr>
                <w:color w:val="000000"/>
                <w:kern w:val="0"/>
                <w:sz w:val="22"/>
                <w:szCs w:val="22"/>
                <w:highlight w:val="none"/>
              </w:rPr>
              <w:t>3</w:t>
            </w:r>
          </w:p>
        </w:tc>
        <w:tc>
          <w:tcPr>
            <w:tcW w:w="960" w:type="dxa"/>
            <w:shd w:val="clear" w:color="auto" w:fill="FFFFFF"/>
            <w:vAlign w:val="center"/>
          </w:tcPr>
          <w:p w14:paraId="4934DC14">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945" w:type="dxa"/>
            <w:shd w:val="clear" w:color="auto" w:fill="FFFFFF"/>
            <w:vAlign w:val="center"/>
          </w:tcPr>
          <w:p w14:paraId="54A5E41F">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1140" w:type="dxa"/>
            <w:shd w:val="clear" w:color="auto" w:fill="FFFFFF"/>
            <w:vAlign w:val="center"/>
          </w:tcPr>
          <w:p w14:paraId="0AF03301">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auto" w:fill="FFFFFF"/>
            <w:vAlign w:val="center"/>
          </w:tcPr>
          <w:p w14:paraId="3C5D244E">
            <w:pPr>
              <w:widowControl/>
              <w:spacing w:line="0" w:lineRule="atLeast"/>
              <w:jc w:val="center"/>
              <w:rPr>
                <w:color w:val="000000"/>
                <w:kern w:val="0"/>
                <w:sz w:val="22"/>
                <w:szCs w:val="22"/>
                <w:highlight w:val="none"/>
              </w:rPr>
            </w:pPr>
            <w:r>
              <w:rPr>
                <w:color w:val="000000"/>
                <w:kern w:val="0"/>
                <w:sz w:val="22"/>
                <w:szCs w:val="22"/>
                <w:highlight w:val="none"/>
              </w:rPr>
              <w:t>3</w:t>
            </w:r>
          </w:p>
        </w:tc>
      </w:tr>
      <w:tr w14:paraId="3A875D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5CE35E18">
            <w:pPr>
              <w:spacing w:line="0" w:lineRule="atLeast"/>
              <w:jc w:val="center"/>
              <w:rPr>
                <w:color w:val="000000"/>
                <w:kern w:val="0"/>
                <w:sz w:val="22"/>
                <w:szCs w:val="22"/>
                <w:highlight w:val="none"/>
              </w:rPr>
            </w:pPr>
          </w:p>
        </w:tc>
        <w:tc>
          <w:tcPr>
            <w:tcW w:w="735" w:type="dxa"/>
            <w:vMerge w:val="continue"/>
            <w:shd w:val="clear" w:color="auto" w:fill="FFFFFF"/>
            <w:vAlign w:val="center"/>
          </w:tcPr>
          <w:p w14:paraId="3B28C8A1">
            <w:pPr>
              <w:widowControl/>
              <w:spacing w:line="0" w:lineRule="atLeast"/>
              <w:jc w:val="center"/>
              <w:rPr>
                <w:color w:val="000000"/>
                <w:kern w:val="0"/>
                <w:sz w:val="22"/>
                <w:szCs w:val="22"/>
                <w:highlight w:val="none"/>
              </w:rPr>
            </w:pPr>
          </w:p>
        </w:tc>
        <w:tc>
          <w:tcPr>
            <w:tcW w:w="1200" w:type="dxa"/>
            <w:vMerge w:val="restart"/>
            <w:shd w:val="clear" w:color="auto" w:fill="FFFFFF"/>
            <w:vAlign w:val="center"/>
          </w:tcPr>
          <w:p w14:paraId="7C4DA77F">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1425" w:type="dxa"/>
            <w:shd w:val="clear" w:color="auto" w:fill="FFFFFF"/>
            <w:vAlign w:val="center"/>
          </w:tcPr>
          <w:p w14:paraId="767D8FA9">
            <w:pPr>
              <w:widowControl/>
              <w:spacing w:line="0" w:lineRule="atLeast"/>
              <w:jc w:val="center"/>
              <w:rPr>
                <w:color w:val="000000"/>
                <w:kern w:val="0"/>
                <w:sz w:val="22"/>
                <w:szCs w:val="22"/>
                <w:highlight w:val="none"/>
              </w:rPr>
            </w:pPr>
            <w:r>
              <w:rPr>
                <w:color w:val="000000"/>
                <w:kern w:val="0"/>
                <w:sz w:val="22"/>
                <w:szCs w:val="22"/>
                <w:highlight w:val="none"/>
              </w:rPr>
              <w:t>绩效目标</w:t>
            </w:r>
          </w:p>
          <w:p w14:paraId="7D79348D">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35" w:type="dxa"/>
            <w:shd w:val="clear" w:color="000000" w:fill="FFFFFF"/>
            <w:vAlign w:val="center"/>
          </w:tcPr>
          <w:p w14:paraId="1E698670">
            <w:pPr>
              <w:widowControl/>
              <w:spacing w:line="0" w:lineRule="atLeast"/>
              <w:jc w:val="center"/>
              <w:rPr>
                <w:color w:val="000000"/>
                <w:kern w:val="0"/>
                <w:sz w:val="22"/>
                <w:szCs w:val="22"/>
                <w:highlight w:val="none"/>
              </w:rPr>
            </w:pPr>
            <w:r>
              <w:rPr>
                <w:color w:val="000000"/>
                <w:kern w:val="0"/>
                <w:sz w:val="22"/>
                <w:szCs w:val="22"/>
                <w:highlight w:val="none"/>
              </w:rPr>
              <w:t>3</w:t>
            </w:r>
          </w:p>
        </w:tc>
        <w:tc>
          <w:tcPr>
            <w:tcW w:w="960" w:type="dxa"/>
            <w:shd w:val="clear" w:color="000000" w:fill="FFFFFF"/>
            <w:vAlign w:val="center"/>
          </w:tcPr>
          <w:p w14:paraId="459CA6F2">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45" w:type="dxa"/>
            <w:shd w:val="clear" w:color="000000" w:fill="FFFFFF"/>
            <w:vAlign w:val="center"/>
          </w:tcPr>
          <w:p w14:paraId="0D14C67B">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140" w:type="dxa"/>
            <w:shd w:val="clear" w:color="000000" w:fill="FFFFFF"/>
            <w:vAlign w:val="center"/>
          </w:tcPr>
          <w:p w14:paraId="16FBA35B">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1A1DD5CE">
            <w:pPr>
              <w:widowControl/>
              <w:spacing w:line="0" w:lineRule="atLeast"/>
              <w:jc w:val="center"/>
              <w:rPr>
                <w:color w:val="000000"/>
                <w:kern w:val="0"/>
                <w:sz w:val="22"/>
                <w:szCs w:val="22"/>
                <w:highlight w:val="none"/>
              </w:rPr>
            </w:pPr>
            <w:r>
              <w:rPr>
                <w:color w:val="000000"/>
                <w:kern w:val="0"/>
                <w:sz w:val="22"/>
                <w:szCs w:val="22"/>
                <w:highlight w:val="none"/>
              </w:rPr>
              <w:t>3</w:t>
            </w:r>
          </w:p>
        </w:tc>
      </w:tr>
      <w:tr w14:paraId="75CF3E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1D3401AE">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02B6910D">
            <w:pPr>
              <w:widowControl/>
              <w:spacing w:line="0" w:lineRule="atLeast"/>
              <w:jc w:val="center"/>
              <w:rPr>
                <w:color w:val="000000"/>
                <w:kern w:val="0"/>
                <w:sz w:val="22"/>
                <w:szCs w:val="22"/>
                <w:highlight w:val="none"/>
              </w:rPr>
            </w:pPr>
          </w:p>
        </w:tc>
        <w:tc>
          <w:tcPr>
            <w:tcW w:w="1200" w:type="dxa"/>
            <w:vMerge w:val="continue"/>
            <w:shd w:val="clear" w:color="auto" w:fill="FFFFFF"/>
            <w:vAlign w:val="center"/>
          </w:tcPr>
          <w:p w14:paraId="31C60F04">
            <w:pPr>
              <w:widowControl/>
              <w:spacing w:line="0" w:lineRule="atLeast"/>
              <w:jc w:val="center"/>
              <w:rPr>
                <w:color w:val="000000"/>
                <w:kern w:val="0"/>
                <w:sz w:val="22"/>
                <w:szCs w:val="22"/>
                <w:highlight w:val="none"/>
              </w:rPr>
            </w:pPr>
          </w:p>
        </w:tc>
        <w:tc>
          <w:tcPr>
            <w:tcW w:w="1425" w:type="dxa"/>
            <w:shd w:val="clear" w:color="auto" w:fill="FFFFFF"/>
            <w:vAlign w:val="center"/>
          </w:tcPr>
          <w:p w14:paraId="7BF2C81A">
            <w:pPr>
              <w:widowControl/>
              <w:spacing w:line="0" w:lineRule="atLeast"/>
              <w:jc w:val="center"/>
              <w:rPr>
                <w:color w:val="000000"/>
                <w:kern w:val="0"/>
                <w:sz w:val="22"/>
                <w:szCs w:val="22"/>
                <w:highlight w:val="none"/>
              </w:rPr>
            </w:pPr>
            <w:r>
              <w:rPr>
                <w:color w:val="000000"/>
                <w:kern w:val="0"/>
                <w:sz w:val="22"/>
                <w:szCs w:val="22"/>
                <w:highlight w:val="none"/>
              </w:rPr>
              <w:t>绩效指标</w:t>
            </w:r>
          </w:p>
          <w:p w14:paraId="783DD680">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735" w:type="dxa"/>
            <w:shd w:val="clear" w:color="000000" w:fill="FFFFFF"/>
            <w:vAlign w:val="center"/>
          </w:tcPr>
          <w:p w14:paraId="4B7A0853">
            <w:pPr>
              <w:widowControl/>
              <w:spacing w:line="0" w:lineRule="atLeast"/>
              <w:jc w:val="center"/>
              <w:rPr>
                <w:color w:val="000000"/>
                <w:kern w:val="0"/>
                <w:sz w:val="22"/>
                <w:szCs w:val="22"/>
                <w:highlight w:val="none"/>
              </w:rPr>
            </w:pPr>
            <w:r>
              <w:rPr>
                <w:color w:val="000000"/>
                <w:kern w:val="0"/>
                <w:sz w:val="22"/>
                <w:szCs w:val="22"/>
                <w:highlight w:val="none"/>
              </w:rPr>
              <w:t>3</w:t>
            </w:r>
          </w:p>
        </w:tc>
        <w:tc>
          <w:tcPr>
            <w:tcW w:w="960" w:type="dxa"/>
            <w:shd w:val="clear" w:color="000000" w:fill="FFFFFF"/>
            <w:vAlign w:val="center"/>
          </w:tcPr>
          <w:p w14:paraId="2B2806EA">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945" w:type="dxa"/>
            <w:shd w:val="clear" w:color="000000" w:fill="FFFFFF"/>
            <w:vAlign w:val="center"/>
          </w:tcPr>
          <w:p w14:paraId="1B1CAA93">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1140" w:type="dxa"/>
            <w:shd w:val="clear" w:color="000000" w:fill="FFFFFF"/>
            <w:vAlign w:val="center"/>
          </w:tcPr>
          <w:p w14:paraId="2012455E">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5E2A8E80">
            <w:pPr>
              <w:widowControl/>
              <w:spacing w:line="0" w:lineRule="atLeast"/>
              <w:jc w:val="center"/>
              <w:rPr>
                <w:color w:val="000000"/>
                <w:kern w:val="0"/>
                <w:sz w:val="22"/>
                <w:szCs w:val="22"/>
                <w:highlight w:val="none"/>
              </w:rPr>
            </w:pPr>
            <w:r>
              <w:rPr>
                <w:color w:val="000000"/>
                <w:kern w:val="0"/>
                <w:sz w:val="22"/>
                <w:szCs w:val="22"/>
                <w:highlight w:val="none"/>
              </w:rPr>
              <w:t>3</w:t>
            </w:r>
          </w:p>
        </w:tc>
      </w:tr>
      <w:tr w14:paraId="79FD7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5642EE1A">
            <w:pPr>
              <w:spacing w:line="0" w:lineRule="atLeast"/>
              <w:jc w:val="center"/>
              <w:rPr>
                <w:color w:val="000000"/>
                <w:kern w:val="0"/>
                <w:sz w:val="22"/>
                <w:szCs w:val="22"/>
                <w:highlight w:val="none"/>
              </w:rPr>
            </w:pPr>
          </w:p>
        </w:tc>
        <w:tc>
          <w:tcPr>
            <w:tcW w:w="735" w:type="dxa"/>
            <w:vMerge w:val="continue"/>
            <w:shd w:val="clear" w:color="auto" w:fill="FFFFFF"/>
            <w:vAlign w:val="center"/>
          </w:tcPr>
          <w:p w14:paraId="337C4F95">
            <w:pPr>
              <w:spacing w:line="0" w:lineRule="atLeast"/>
              <w:jc w:val="center"/>
              <w:rPr>
                <w:color w:val="000000"/>
                <w:kern w:val="0"/>
                <w:sz w:val="22"/>
                <w:szCs w:val="22"/>
                <w:highlight w:val="none"/>
              </w:rPr>
            </w:pPr>
          </w:p>
        </w:tc>
        <w:tc>
          <w:tcPr>
            <w:tcW w:w="1200" w:type="dxa"/>
            <w:vMerge w:val="restart"/>
            <w:shd w:val="clear" w:color="auto" w:fill="FFFFFF"/>
            <w:vAlign w:val="center"/>
          </w:tcPr>
          <w:p w14:paraId="01486600">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1425" w:type="dxa"/>
            <w:shd w:val="clear" w:color="auto" w:fill="FFFFFF"/>
            <w:vAlign w:val="center"/>
          </w:tcPr>
          <w:p w14:paraId="255C3A38">
            <w:pPr>
              <w:widowControl/>
              <w:spacing w:line="0" w:lineRule="atLeast"/>
              <w:jc w:val="center"/>
              <w:rPr>
                <w:color w:val="000000"/>
                <w:kern w:val="0"/>
                <w:sz w:val="22"/>
                <w:szCs w:val="22"/>
                <w:highlight w:val="none"/>
              </w:rPr>
            </w:pPr>
            <w:r>
              <w:rPr>
                <w:color w:val="000000"/>
                <w:kern w:val="0"/>
                <w:sz w:val="22"/>
                <w:szCs w:val="22"/>
                <w:highlight w:val="none"/>
              </w:rPr>
              <w:t>预算编制</w:t>
            </w:r>
          </w:p>
          <w:p w14:paraId="0E4971AA">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735" w:type="dxa"/>
            <w:shd w:val="clear" w:color="auto" w:fill="FFFFFF"/>
            <w:vAlign w:val="center"/>
          </w:tcPr>
          <w:p w14:paraId="4640F681">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auto" w:fill="FFFFFF"/>
            <w:vAlign w:val="center"/>
          </w:tcPr>
          <w:p w14:paraId="41DF738B">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945" w:type="dxa"/>
            <w:shd w:val="clear" w:color="auto" w:fill="FFFFFF"/>
            <w:vAlign w:val="center"/>
          </w:tcPr>
          <w:p w14:paraId="18C0BA8F">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1140" w:type="dxa"/>
            <w:shd w:val="clear" w:color="auto" w:fill="FFFFFF"/>
            <w:vAlign w:val="center"/>
          </w:tcPr>
          <w:p w14:paraId="310AD4D7">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auto" w:fill="FFFFFF"/>
            <w:vAlign w:val="center"/>
          </w:tcPr>
          <w:p w14:paraId="60BCF4A9">
            <w:pPr>
              <w:widowControl/>
              <w:spacing w:line="0" w:lineRule="atLeast"/>
              <w:jc w:val="center"/>
              <w:rPr>
                <w:color w:val="000000"/>
                <w:kern w:val="0"/>
                <w:sz w:val="22"/>
                <w:szCs w:val="22"/>
                <w:highlight w:val="none"/>
              </w:rPr>
            </w:pPr>
            <w:r>
              <w:rPr>
                <w:color w:val="000000"/>
                <w:kern w:val="0"/>
                <w:sz w:val="22"/>
                <w:szCs w:val="22"/>
                <w:highlight w:val="none"/>
              </w:rPr>
              <w:t>4</w:t>
            </w:r>
          </w:p>
        </w:tc>
      </w:tr>
      <w:tr w14:paraId="32E73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4B5D42B1">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1D9628DF">
            <w:pPr>
              <w:widowControl/>
              <w:spacing w:line="0" w:lineRule="atLeast"/>
              <w:jc w:val="center"/>
              <w:rPr>
                <w:color w:val="000000"/>
                <w:kern w:val="0"/>
                <w:sz w:val="22"/>
                <w:szCs w:val="22"/>
                <w:highlight w:val="none"/>
              </w:rPr>
            </w:pPr>
          </w:p>
        </w:tc>
        <w:tc>
          <w:tcPr>
            <w:tcW w:w="1200" w:type="dxa"/>
            <w:vMerge w:val="continue"/>
            <w:shd w:val="clear" w:color="auto" w:fill="FFFFFF"/>
            <w:vAlign w:val="center"/>
          </w:tcPr>
          <w:p w14:paraId="6FB3AD86">
            <w:pPr>
              <w:widowControl/>
              <w:spacing w:line="0" w:lineRule="atLeast"/>
              <w:jc w:val="center"/>
              <w:rPr>
                <w:color w:val="000000"/>
                <w:kern w:val="0"/>
                <w:sz w:val="22"/>
                <w:szCs w:val="22"/>
                <w:highlight w:val="none"/>
              </w:rPr>
            </w:pPr>
          </w:p>
        </w:tc>
        <w:tc>
          <w:tcPr>
            <w:tcW w:w="1425" w:type="dxa"/>
            <w:shd w:val="clear" w:color="auto" w:fill="FFFFFF"/>
            <w:vAlign w:val="center"/>
          </w:tcPr>
          <w:p w14:paraId="34992D80">
            <w:pPr>
              <w:widowControl/>
              <w:spacing w:line="0" w:lineRule="atLeast"/>
              <w:jc w:val="center"/>
              <w:rPr>
                <w:color w:val="000000"/>
                <w:kern w:val="0"/>
                <w:sz w:val="22"/>
                <w:szCs w:val="22"/>
                <w:highlight w:val="none"/>
              </w:rPr>
            </w:pPr>
            <w:r>
              <w:rPr>
                <w:color w:val="000000"/>
                <w:kern w:val="0"/>
                <w:sz w:val="22"/>
                <w:szCs w:val="22"/>
                <w:highlight w:val="none"/>
              </w:rPr>
              <w:t>资金分配</w:t>
            </w:r>
          </w:p>
          <w:p w14:paraId="7C712C3A">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735" w:type="dxa"/>
            <w:shd w:val="clear" w:color="auto" w:fill="FFFFFF"/>
            <w:vAlign w:val="center"/>
          </w:tcPr>
          <w:p w14:paraId="30225581">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auto" w:fill="FFFFFF"/>
            <w:vAlign w:val="center"/>
          </w:tcPr>
          <w:p w14:paraId="38BBFAE0">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945" w:type="dxa"/>
            <w:shd w:val="clear" w:color="auto" w:fill="FFFFFF"/>
            <w:vAlign w:val="center"/>
          </w:tcPr>
          <w:p w14:paraId="6EB58A42">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1140" w:type="dxa"/>
            <w:shd w:val="clear" w:color="auto" w:fill="FFFFFF"/>
            <w:vAlign w:val="center"/>
          </w:tcPr>
          <w:p w14:paraId="311F7F35">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auto" w:fill="FFFFFF"/>
            <w:vAlign w:val="center"/>
          </w:tcPr>
          <w:p w14:paraId="76F1A614">
            <w:pPr>
              <w:widowControl/>
              <w:spacing w:line="0" w:lineRule="atLeast"/>
              <w:jc w:val="center"/>
              <w:rPr>
                <w:color w:val="000000"/>
                <w:kern w:val="0"/>
                <w:sz w:val="22"/>
                <w:szCs w:val="22"/>
                <w:highlight w:val="none"/>
              </w:rPr>
            </w:pPr>
            <w:r>
              <w:rPr>
                <w:color w:val="000000"/>
                <w:kern w:val="0"/>
                <w:sz w:val="22"/>
                <w:szCs w:val="22"/>
                <w:highlight w:val="none"/>
              </w:rPr>
              <w:t>4</w:t>
            </w:r>
          </w:p>
        </w:tc>
      </w:tr>
      <w:tr w14:paraId="2CCD5E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restart"/>
            <w:shd w:val="clear" w:color="auto" w:fill="FFFFFF"/>
            <w:vAlign w:val="center"/>
          </w:tcPr>
          <w:p w14:paraId="4A56AA97">
            <w:pPr>
              <w:spacing w:line="0" w:lineRule="atLeast"/>
              <w:jc w:val="center"/>
              <w:rPr>
                <w:color w:val="000000"/>
                <w:kern w:val="0"/>
                <w:sz w:val="22"/>
                <w:szCs w:val="22"/>
                <w:highlight w:val="none"/>
              </w:rPr>
            </w:pPr>
            <w:r>
              <w:rPr>
                <w:color w:val="000000"/>
                <w:kern w:val="0"/>
                <w:sz w:val="22"/>
                <w:szCs w:val="22"/>
                <w:highlight w:val="none"/>
              </w:rPr>
              <w:t>过程</w:t>
            </w:r>
          </w:p>
          <w:p w14:paraId="3A4C354D">
            <w:pPr>
              <w:spacing w:line="0" w:lineRule="atLeast"/>
              <w:jc w:val="center"/>
              <w:rPr>
                <w:color w:val="000000"/>
                <w:kern w:val="0"/>
                <w:sz w:val="22"/>
                <w:szCs w:val="22"/>
                <w:highlight w:val="none"/>
              </w:rPr>
            </w:pPr>
            <w:r>
              <w:rPr>
                <w:color w:val="000000"/>
                <w:kern w:val="0"/>
                <w:sz w:val="22"/>
                <w:szCs w:val="22"/>
                <w:highlight w:val="none"/>
              </w:rPr>
              <w:t>　</w:t>
            </w:r>
          </w:p>
        </w:tc>
        <w:tc>
          <w:tcPr>
            <w:tcW w:w="735" w:type="dxa"/>
            <w:vMerge w:val="restart"/>
            <w:shd w:val="clear" w:color="auto" w:fill="FFFFFF"/>
            <w:vAlign w:val="center"/>
          </w:tcPr>
          <w:p w14:paraId="5AAFBE6F">
            <w:pPr>
              <w:widowControl/>
              <w:spacing w:line="0" w:lineRule="atLeast"/>
              <w:jc w:val="center"/>
              <w:rPr>
                <w:color w:val="000000"/>
                <w:kern w:val="0"/>
                <w:sz w:val="22"/>
                <w:szCs w:val="22"/>
                <w:highlight w:val="none"/>
              </w:rPr>
            </w:pPr>
            <w:r>
              <w:rPr>
                <w:kern w:val="0"/>
                <w:sz w:val="22"/>
                <w:szCs w:val="22"/>
                <w:highlight w:val="none"/>
              </w:rPr>
              <w:t>20分</w:t>
            </w:r>
          </w:p>
        </w:tc>
        <w:tc>
          <w:tcPr>
            <w:tcW w:w="1200" w:type="dxa"/>
            <w:vMerge w:val="restart"/>
            <w:shd w:val="clear" w:color="auto" w:fill="FFFFFF"/>
            <w:vAlign w:val="center"/>
          </w:tcPr>
          <w:p w14:paraId="2C27A8DD">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425" w:type="dxa"/>
            <w:shd w:val="clear" w:color="auto" w:fill="FFFFFF"/>
            <w:vAlign w:val="center"/>
          </w:tcPr>
          <w:p w14:paraId="5B27B59B">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735" w:type="dxa"/>
            <w:shd w:val="clear" w:color="000000" w:fill="FFFFFF"/>
            <w:vAlign w:val="center"/>
          </w:tcPr>
          <w:p w14:paraId="18425012">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000000" w:fill="FFFFFF"/>
            <w:vAlign w:val="center"/>
          </w:tcPr>
          <w:p w14:paraId="35791FB4">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45" w:type="dxa"/>
            <w:shd w:val="clear" w:color="000000" w:fill="FFFFFF"/>
            <w:vAlign w:val="center"/>
          </w:tcPr>
          <w:p w14:paraId="366D615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140" w:type="dxa"/>
            <w:shd w:val="clear" w:color="000000" w:fill="FFFFFF"/>
            <w:vAlign w:val="center"/>
          </w:tcPr>
          <w:p w14:paraId="6F57B49D">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49DDC2CB">
            <w:pPr>
              <w:widowControl/>
              <w:spacing w:line="0" w:lineRule="atLeast"/>
              <w:jc w:val="center"/>
              <w:rPr>
                <w:color w:val="000000"/>
                <w:kern w:val="0"/>
                <w:sz w:val="22"/>
                <w:szCs w:val="22"/>
                <w:highlight w:val="none"/>
              </w:rPr>
            </w:pPr>
            <w:r>
              <w:rPr>
                <w:color w:val="000000"/>
                <w:kern w:val="0"/>
                <w:sz w:val="22"/>
                <w:szCs w:val="22"/>
                <w:highlight w:val="none"/>
              </w:rPr>
              <w:t>4</w:t>
            </w:r>
          </w:p>
        </w:tc>
      </w:tr>
      <w:tr w14:paraId="744B7D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5E5F0EF4">
            <w:pPr>
              <w:spacing w:line="0" w:lineRule="atLeast"/>
              <w:jc w:val="center"/>
              <w:rPr>
                <w:color w:val="000000"/>
                <w:kern w:val="0"/>
                <w:sz w:val="22"/>
                <w:szCs w:val="22"/>
                <w:highlight w:val="none"/>
              </w:rPr>
            </w:pPr>
          </w:p>
        </w:tc>
        <w:tc>
          <w:tcPr>
            <w:tcW w:w="735" w:type="dxa"/>
            <w:vMerge w:val="continue"/>
            <w:shd w:val="clear" w:color="auto" w:fill="FFFFFF"/>
            <w:vAlign w:val="center"/>
          </w:tcPr>
          <w:p w14:paraId="574F484B">
            <w:pPr>
              <w:spacing w:line="0" w:lineRule="atLeast"/>
              <w:jc w:val="center"/>
              <w:rPr>
                <w:color w:val="000000"/>
                <w:kern w:val="0"/>
                <w:sz w:val="22"/>
                <w:szCs w:val="22"/>
                <w:highlight w:val="none"/>
              </w:rPr>
            </w:pPr>
          </w:p>
        </w:tc>
        <w:tc>
          <w:tcPr>
            <w:tcW w:w="1200" w:type="dxa"/>
            <w:vMerge w:val="continue"/>
            <w:shd w:val="clear" w:color="auto" w:fill="FFFFFF"/>
            <w:vAlign w:val="center"/>
          </w:tcPr>
          <w:p w14:paraId="0E6CCE4E">
            <w:pPr>
              <w:spacing w:line="0" w:lineRule="atLeast"/>
              <w:jc w:val="center"/>
              <w:rPr>
                <w:color w:val="000000"/>
                <w:kern w:val="0"/>
                <w:sz w:val="22"/>
                <w:szCs w:val="22"/>
                <w:highlight w:val="none"/>
              </w:rPr>
            </w:pPr>
          </w:p>
        </w:tc>
        <w:tc>
          <w:tcPr>
            <w:tcW w:w="1425" w:type="dxa"/>
            <w:shd w:val="clear" w:color="auto" w:fill="FFFFFF"/>
            <w:vAlign w:val="center"/>
          </w:tcPr>
          <w:p w14:paraId="070BA75B">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735" w:type="dxa"/>
            <w:shd w:val="clear" w:color="auto" w:fill="FFFFFF"/>
            <w:vAlign w:val="center"/>
          </w:tcPr>
          <w:p w14:paraId="02796CD5">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auto" w:fill="FFFFFF"/>
            <w:vAlign w:val="center"/>
          </w:tcPr>
          <w:p w14:paraId="49319D9D">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45" w:type="dxa"/>
            <w:shd w:val="clear" w:color="auto" w:fill="FFFFFF"/>
            <w:vAlign w:val="center"/>
          </w:tcPr>
          <w:p w14:paraId="1461884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140" w:type="dxa"/>
            <w:shd w:val="clear" w:color="auto" w:fill="FFFFFF"/>
            <w:vAlign w:val="center"/>
          </w:tcPr>
          <w:p w14:paraId="7804CA97">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auto" w:fill="FFFFFF"/>
            <w:vAlign w:val="center"/>
          </w:tcPr>
          <w:p w14:paraId="157D73D8">
            <w:pPr>
              <w:widowControl/>
              <w:spacing w:line="0" w:lineRule="atLeast"/>
              <w:jc w:val="center"/>
              <w:rPr>
                <w:color w:val="000000"/>
                <w:kern w:val="0"/>
                <w:sz w:val="22"/>
                <w:szCs w:val="22"/>
                <w:highlight w:val="none"/>
              </w:rPr>
            </w:pPr>
            <w:r>
              <w:rPr>
                <w:color w:val="000000"/>
                <w:kern w:val="0"/>
                <w:sz w:val="22"/>
                <w:szCs w:val="22"/>
                <w:highlight w:val="none"/>
              </w:rPr>
              <w:t>4</w:t>
            </w:r>
          </w:p>
        </w:tc>
      </w:tr>
      <w:tr w14:paraId="47A5D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2018C019">
            <w:pPr>
              <w:spacing w:line="0" w:lineRule="atLeast"/>
              <w:jc w:val="center"/>
              <w:rPr>
                <w:color w:val="000000"/>
                <w:kern w:val="0"/>
                <w:sz w:val="22"/>
                <w:szCs w:val="22"/>
                <w:highlight w:val="none"/>
              </w:rPr>
            </w:pPr>
          </w:p>
        </w:tc>
        <w:tc>
          <w:tcPr>
            <w:tcW w:w="735" w:type="dxa"/>
            <w:vMerge w:val="continue"/>
            <w:shd w:val="clear" w:color="auto" w:fill="FFFFFF"/>
            <w:vAlign w:val="center"/>
          </w:tcPr>
          <w:p w14:paraId="313ABE98">
            <w:pPr>
              <w:widowControl/>
              <w:spacing w:line="0" w:lineRule="atLeast"/>
              <w:jc w:val="center"/>
              <w:rPr>
                <w:color w:val="000000"/>
                <w:kern w:val="0"/>
                <w:sz w:val="22"/>
                <w:szCs w:val="22"/>
                <w:highlight w:val="none"/>
              </w:rPr>
            </w:pPr>
          </w:p>
        </w:tc>
        <w:tc>
          <w:tcPr>
            <w:tcW w:w="1200" w:type="dxa"/>
            <w:shd w:val="clear" w:color="auto" w:fill="FFFFFF"/>
            <w:vAlign w:val="center"/>
          </w:tcPr>
          <w:p w14:paraId="6A374363">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1425" w:type="dxa"/>
            <w:shd w:val="clear" w:color="auto" w:fill="FFFFFF"/>
            <w:vAlign w:val="center"/>
          </w:tcPr>
          <w:p w14:paraId="5BCE6F75">
            <w:pPr>
              <w:widowControl/>
              <w:spacing w:line="0" w:lineRule="atLeast"/>
              <w:jc w:val="center"/>
              <w:rPr>
                <w:color w:val="000000"/>
                <w:kern w:val="0"/>
                <w:sz w:val="22"/>
                <w:szCs w:val="22"/>
                <w:highlight w:val="none"/>
              </w:rPr>
            </w:pPr>
            <w:r>
              <w:rPr>
                <w:color w:val="000000"/>
                <w:kern w:val="0"/>
                <w:sz w:val="22"/>
                <w:szCs w:val="22"/>
                <w:highlight w:val="none"/>
              </w:rPr>
              <w:t>资金使用</w:t>
            </w:r>
          </w:p>
          <w:p w14:paraId="2EE399A7">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735" w:type="dxa"/>
            <w:shd w:val="clear" w:color="000000" w:fill="FFFFFF"/>
            <w:vAlign w:val="center"/>
          </w:tcPr>
          <w:p w14:paraId="040D83A8">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000000" w:fill="FFFFFF"/>
            <w:vAlign w:val="center"/>
          </w:tcPr>
          <w:p w14:paraId="7BF5650B">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945" w:type="dxa"/>
            <w:shd w:val="clear" w:color="000000" w:fill="FFFFFF"/>
            <w:vAlign w:val="center"/>
          </w:tcPr>
          <w:p w14:paraId="09FD87AF">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1140" w:type="dxa"/>
            <w:shd w:val="clear" w:color="000000" w:fill="FFFFFF"/>
            <w:vAlign w:val="center"/>
          </w:tcPr>
          <w:p w14:paraId="056EDE33">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64AA3B08">
            <w:pPr>
              <w:widowControl/>
              <w:spacing w:line="0" w:lineRule="atLeast"/>
              <w:jc w:val="center"/>
              <w:rPr>
                <w:color w:val="000000"/>
                <w:kern w:val="0"/>
                <w:sz w:val="22"/>
                <w:szCs w:val="22"/>
                <w:highlight w:val="none"/>
              </w:rPr>
            </w:pPr>
            <w:r>
              <w:rPr>
                <w:color w:val="000000"/>
                <w:kern w:val="0"/>
                <w:sz w:val="22"/>
                <w:szCs w:val="22"/>
                <w:highlight w:val="none"/>
              </w:rPr>
              <w:t>4</w:t>
            </w:r>
          </w:p>
        </w:tc>
      </w:tr>
      <w:tr w14:paraId="1D3133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24BC90E8">
            <w:pPr>
              <w:spacing w:line="0" w:lineRule="atLeast"/>
              <w:jc w:val="center"/>
              <w:rPr>
                <w:color w:val="000000"/>
                <w:kern w:val="0"/>
                <w:sz w:val="22"/>
                <w:szCs w:val="22"/>
                <w:highlight w:val="none"/>
              </w:rPr>
            </w:pPr>
          </w:p>
        </w:tc>
        <w:tc>
          <w:tcPr>
            <w:tcW w:w="735" w:type="dxa"/>
            <w:vMerge w:val="continue"/>
            <w:shd w:val="clear" w:color="auto" w:fill="FFFFFF"/>
            <w:vAlign w:val="center"/>
          </w:tcPr>
          <w:p w14:paraId="237D08EE">
            <w:pPr>
              <w:spacing w:line="0" w:lineRule="atLeast"/>
              <w:jc w:val="center"/>
              <w:rPr>
                <w:color w:val="000000"/>
                <w:kern w:val="0"/>
                <w:sz w:val="22"/>
                <w:szCs w:val="22"/>
                <w:highlight w:val="none"/>
              </w:rPr>
            </w:pPr>
          </w:p>
        </w:tc>
        <w:tc>
          <w:tcPr>
            <w:tcW w:w="1200" w:type="dxa"/>
            <w:vMerge w:val="restart"/>
            <w:shd w:val="clear" w:color="auto" w:fill="FFFFFF"/>
            <w:vAlign w:val="center"/>
          </w:tcPr>
          <w:p w14:paraId="78571785">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1425" w:type="dxa"/>
            <w:shd w:val="clear" w:color="auto" w:fill="FFFFFF"/>
            <w:vAlign w:val="center"/>
          </w:tcPr>
          <w:p w14:paraId="7E036FD8">
            <w:pPr>
              <w:widowControl/>
              <w:spacing w:line="0" w:lineRule="atLeast"/>
              <w:jc w:val="center"/>
              <w:rPr>
                <w:color w:val="000000"/>
                <w:kern w:val="0"/>
                <w:sz w:val="22"/>
                <w:szCs w:val="22"/>
                <w:highlight w:val="none"/>
              </w:rPr>
            </w:pPr>
            <w:r>
              <w:rPr>
                <w:color w:val="000000"/>
                <w:kern w:val="0"/>
                <w:sz w:val="22"/>
                <w:szCs w:val="22"/>
                <w:highlight w:val="none"/>
              </w:rPr>
              <w:t>管理制度</w:t>
            </w:r>
          </w:p>
          <w:p w14:paraId="7DB1B565">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735" w:type="dxa"/>
            <w:shd w:val="clear" w:color="000000" w:fill="FFFFFF"/>
            <w:vAlign w:val="center"/>
          </w:tcPr>
          <w:p w14:paraId="0EA9BAB9">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000000" w:fill="FFFFFF"/>
            <w:vAlign w:val="center"/>
          </w:tcPr>
          <w:p w14:paraId="02C94A70">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945" w:type="dxa"/>
            <w:shd w:val="clear" w:color="000000" w:fill="FFFFFF"/>
            <w:vAlign w:val="center"/>
          </w:tcPr>
          <w:p w14:paraId="224FC63E">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1140" w:type="dxa"/>
            <w:shd w:val="clear" w:color="000000" w:fill="FFFFFF"/>
            <w:vAlign w:val="center"/>
          </w:tcPr>
          <w:p w14:paraId="53B379C1">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35E44A5C">
            <w:pPr>
              <w:widowControl/>
              <w:spacing w:line="0" w:lineRule="atLeast"/>
              <w:jc w:val="center"/>
              <w:rPr>
                <w:color w:val="000000"/>
                <w:kern w:val="0"/>
                <w:sz w:val="22"/>
                <w:szCs w:val="22"/>
                <w:highlight w:val="none"/>
              </w:rPr>
            </w:pPr>
            <w:r>
              <w:rPr>
                <w:color w:val="000000"/>
                <w:kern w:val="0"/>
                <w:sz w:val="22"/>
                <w:szCs w:val="22"/>
                <w:highlight w:val="none"/>
              </w:rPr>
              <w:t>4</w:t>
            </w:r>
          </w:p>
        </w:tc>
      </w:tr>
      <w:tr w14:paraId="1A5CC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01B2A8A7">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264CB60D">
            <w:pPr>
              <w:widowControl/>
              <w:spacing w:line="0" w:lineRule="atLeast"/>
              <w:jc w:val="center"/>
              <w:rPr>
                <w:color w:val="000000"/>
                <w:kern w:val="0"/>
                <w:sz w:val="22"/>
                <w:szCs w:val="22"/>
                <w:highlight w:val="none"/>
              </w:rPr>
            </w:pPr>
          </w:p>
        </w:tc>
        <w:tc>
          <w:tcPr>
            <w:tcW w:w="1200" w:type="dxa"/>
            <w:vMerge w:val="continue"/>
            <w:shd w:val="clear" w:color="auto" w:fill="FFFFFF"/>
            <w:vAlign w:val="center"/>
          </w:tcPr>
          <w:p w14:paraId="606187F6">
            <w:pPr>
              <w:widowControl/>
              <w:spacing w:line="0" w:lineRule="atLeast"/>
              <w:jc w:val="center"/>
              <w:rPr>
                <w:color w:val="000000"/>
                <w:kern w:val="0"/>
                <w:sz w:val="22"/>
                <w:szCs w:val="22"/>
                <w:highlight w:val="none"/>
              </w:rPr>
            </w:pPr>
          </w:p>
        </w:tc>
        <w:tc>
          <w:tcPr>
            <w:tcW w:w="1425" w:type="dxa"/>
            <w:shd w:val="clear" w:color="auto" w:fill="FFFFFF"/>
            <w:vAlign w:val="center"/>
          </w:tcPr>
          <w:p w14:paraId="0384E3BF">
            <w:pPr>
              <w:widowControl/>
              <w:spacing w:line="0" w:lineRule="atLeast"/>
              <w:jc w:val="center"/>
              <w:rPr>
                <w:color w:val="000000"/>
                <w:kern w:val="0"/>
                <w:sz w:val="22"/>
                <w:szCs w:val="22"/>
                <w:highlight w:val="none"/>
              </w:rPr>
            </w:pPr>
            <w:r>
              <w:rPr>
                <w:color w:val="000000"/>
                <w:kern w:val="0"/>
                <w:sz w:val="22"/>
                <w:szCs w:val="22"/>
                <w:highlight w:val="none"/>
              </w:rPr>
              <w:t>制度执行</w:t>
            </w:r>
          </w:p>
          <w:p w14:paraId="653A44B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735" w:type="dxa"/>
            <w:shd w:val="clear" w:color="000000" w:fill="FFFFFF"/>
            <w:vAlign w:val="center"/>
          </w:tcPr>
          <w:p w14:paraId="2B191256">
            <w:pPr>
              <w:widowControl/>
              <w:spacing w:line="0" w:lineRule="atLeast"/>
              <w:jc w:val="center"/>
              <w:rPr>
                <w:color w:val="000000"/>
                <w:kern w:val="0"/>
                <w:sz w:val="22"/>
                <w:szCs w:val="22"/>
                <w:highlight w:val="none"/>
              </w:rPr>
            </w:pPr>
            <w:r>
              <w:rPr>
                <w:color w:val="000000"/>
                <w:kern w:val="0"/>
                <w:sz w:val="22"/>
                <w:szCs w:val="22"/>
                <w:highlight w:val="none"/>
              </w:rPr>
              <w:t>4</w:t>
            </w:r>
          </w:p>
        </w:tc>
        <w:tc>
          <w:tcPr>
            <w:tcW w:w="960" w:type="dxa"/>
            <w:shd w:val="clear" w:color="000000" w:fill="FFFFFF"/>
            <w:vAlign w:val="center"/>
          </w:tcPr>
          <w:p w14:paraId="090F0D17">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45" w:type="dxa"/>
            <w:shd w:val="clear" w:color="000000" w:fill="FFFFFF"/>
            <w:vAlign w:val="center"/>
          </w:tcPr>
          <w:p w14:paraId="1FF61BA1">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140" w:type="dxa"/>
            <w:shd w:val="clear" w:color="000000" w:fill="FFFFFF"/>
            <w:vAlign w:val="center"/>
          </w:tcPr>
          <w:p w14:paraId="58E976CB">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4D8DE553">
            <w:pPr>
              <w:widowControl/>
              <w:spacing w:line="0" w:lineRule="atLeast"/>
              <w:jc w:val="center"/>
              <w:rPr>
                <w:color w:val="000000"/>
                <w:kern w:val="0"/>
                <w:sz w:val="22"/>
                <w:szCs w:val="22"/>
                <w:highlight w:val="none"/>
              </w:rPr>
            </w:pPr>
            <w:r>
              <w:rPr>
                <w:color w:val="000000"/>
                <w:kern w:val="0"/>
                <w:sz w:val="22"/>
                <w:szCs w:val="22"/>
                <w:highlight w:val="none"/>
              </w:rPr>
              <w:t>4</w:t>
            </w:r>
          </w:p>
        </w:tc>
      </w:tr>
      <w:tr w14:paraId="3A0481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restart"/>
            <w:shd w:val="clear" w:color="auto" w:fill="FFFFFF"/>
            <w:vAlign w:val="center"/>
          </w:tcPr>
          <w:p w14:paraId="03C5CD66">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35" w:type="dxa"/>
            <w:vMerge w:val="restart"/>
            <w:shd w:val="clear" w:color="auto" w:fill="FFFFFF"/>
            <w:vAlign w:val="center"/>
          </w:tcPr>
          <w:p w14:paraId="4FFF76AD">
            <w:pPr>
              <w:widowControl/>
              <w:spacing w:line="0" w:lineRule="atLeast"/>
              <w:jc w:val="center"/>
              <w:rPr>
                <w:color w:val="000000"/>
                <w:kern w:val="0"/>
                <w:sz w:val="22"/>
                <w:szCs w:val="22"/>
                <w:highlight w:val="none"/>
              </w:rPr>
            </w:pPr>
            <w:r>
              <w:rPr>
                <w:kern w:val="0"/>
                <w:sz w:val="22"/>
                <w:szCs w:val="22"/>
                <w:highlight w:val="none"/>
              </w:rPr>
              <w:t>40分</w:t>
            </w:r>
          </w:p>
        </w:tc>
        <w:tc>
          <w:tcPr>
            <w:tcW w:w="1200" w:type="dxa"/>
            <w:shd w:val="clear" w:color="auto" w:fill="FFFFFF"/>
            <w:vAlign w:val="center"/>
          </w:tcPr>
          <w:p w14:paraId="5B6D4F50">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1425" w:type="dxa"/>
            <w:shd w:val="clear" w:color="auto" w:fill="FFFFFF"/>
            <w:vAlign w:val="center"/>
          </w:tcPr>
          <w:p w14:paraId="54D945B1">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735" w:type="dxa"/>
            <w:shd w:val="clear" w:color="000000" w:fill="FFFFFF"/>
            <w:vAlign w:val="center"/>
          </w:tcPr>
          <w:p w14:paraId="55BA7C98">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000000" w:fill="FFFFFF"/>
            <w:vAlign w:val="center"/>
          </w:tcPr>
          <w:p w14:paraId="6F0F374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45" w:type="dxa"/>
            <w:shd w:val="clear" w:color="000000" w:fill="FFFFFF"/>
            <w:vAlign w:val="center"/>
          </w:tcPr>
          <w:p w14:paraId="3276B39E">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76</w:t>
            </w:r>
            <w:r>
              <w:rPr>
                <w:color w:val="000000"/>
                <w:kern w:val="0"/>
                <w:sz w:val="22"/>
                <w:szCs w:val="22"/>
                <w:highlight w:val="none"/>
              </w:rPr>
              <w:t>%</w:t>
            </w:r>
          </w:p>
        </w:tc>
        <w:tc>
          <w:tcPr>
            <w:tcW w:w="1140" w:type="dxa"/>
            <w:shd w:val="clear" w:color="000000" w:fill="FFFFFF"/>
            <w:vAlign w:val="center"/>
          </w:tcPr>
          <w:p w14:paraId="5C7872AA">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76%</w:t>
            </w:r>
          </w:p>
        </w:tc>
        <w:tc>
          <w:tcPr>
            <w:tcW w:w="870" w:type="dxa"/>
            <w:shd w:val="clear" w:color="000000" w:fill="FFFFFF"/>
            <w:vAlign w:val="center"/>
          </w:tcPr>
          <w:p w14:paraId="0DC8E917">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7.6</w:t>
            </w:r>
          </w:p>
        </w:tc>
      </w:tr>
      <w:tr w14:paraId="30AD16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32D02A3C">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1F5EAC5B">
            <w:pPr>
              <w:widowControl/>
              <w:spacing w:line="0" w:lineRule="atLeast"/>
              <w:jc w:val="center"/>
              <w:rPr>
                <w:color w:val="000000"/>
                <w:kern w:val="0"/>
                <w:sz w:val="22"/>
                <w:szCs w:val="22"/>
                <w:highlight w:val="none"/>
              </w:rPr>
            </w:pPr>
          </w:p>
        </w:tc>
        <w:tc>
          <w:tcPr>
            <w:tcW w:w="1200" w:type="dxa"/>
            <w:shd w:val="clear" w:color="auto" w:fill="FFFFFF"/>
            <w:vAlign w:val="center"/>
          </w:tcPr>
          <w:p w14:paraId="3DA6821F">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1425" w:type="dxa"/>
            <w:shd w:val="clear" w:color="auto" w:fill="FFFFFF"/>
            <w:vAlign w:val="center"/>
          </w:tcPr>
          <w:p w14:paraId="2030E36A">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735" w:type="dxa"/>
            <w:shd w:val="clear" w:color="000000" w:fill="FFFFFF"/>
            <w:vAlign w:val="center"/>
          </w:tcPr>
          <w:p w14:paraId="2ADA70D5">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000000" w:fill="FFFFFF"/>
            <w:vAlign w:val="center"/>
          </w:tcPr>
          <w:p w14:paraId="715B91E1">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45" w:type="dxa"/>
            <w:shd w:val="clear" w:color="000000" w:fill="FFFFFF"/>
            <w:vAlign w:val="center"/>
          </w:tcPr>
          <w:p w14:paraId="0B523CB8">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1140" w:type="dxa"/>
            <w:shd w:val="clear" w:color="000000" w:fill="FFFFFF"/>
            <w:vAlign w:val="center"/>
          </w:tcPr>
          <w:p w14:paraId="56CAC6B7">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6E432F65">
            <w:pPr>
              <w:widowControl/>
              <w:spacing w:line="0" w:lineRule="atLeast"/>
              <w:jc w:val="center"/>
              <w:rPr>
                <w:color w:val="000000"/>
                <w:kern w:val="0"/>
                <w:sz w:val="22"/>
                <w:szCs w:val="22"/>
                <w:highlight w:val="none"/>
              </w:rPr>
            </w:pPr>
            <w:r>
              <w:rPr>
                <w:color w:val="000000"/>
                <w:kern w:val="0"/>
                <w:sz w:val="22"/>
                <w:szCs w:val="22"/>
                <w:highlight w:val="none"/>
              </w:rPr>
              <w:t>10</w:t>
            </w:r>
          </w:p>
        </w:tc>
      </w:tr>
      <w:tr w14:paraId="56CF6A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0CCFDFBC">
            <w:pPr>
              <w:spacing w:line="0" w:lineRule="atLeast"/>
              <w:jc w:val="center"/>
              <w:rPr>
                <w:color w:val="000000"/>
                <w:kern w:val="0"/>
                <w:sz w:val="22"/>
                <w:szCs w:val="22"/>
                <w:highlight w:val="none"/>
              </w:rPr>
            </w:pPr>
          </w:p>
        </w:tc>
        <w:tc>
          <w:tcPr>
            <w:tcW w:w="735" w:type="dxa"/>
            <w:vMerge w:val="continue"/>
            <w:shd w:val="clear" w:color="auto" w:fill="FFFFFF"/>
            <w:vAlign w:val="center"/>
          </w:tcPr>
          <w:p w14:paraId="700F95C0">
            <w:pPr>
              <w:spacing w:line="0" w:lineRule="atLeast"/>
              <w:jc w:val="center"/>
              <w:rPr>
                <w:color w:val="000000"/>
                <w:kern w:val="0"/>
                <w:sz w:val="22"/>
                <w:szCs w:val="22"/>
                <w:highlight w:val="none"/>
              </w:rPr>
            </w:pPr>
          </w:p>
        </w:tc>
        <w:tc>
          <w:tcPr>
            <w:tcW w:w="1200" w:type="dxa"/>
            <w:shd w:val="clear" w:color="auto" w:fill="FFFFFF"/>
            <w:vAlign w:val="center"/>
          </w:tcPr>
          <w:p w14:paraId="10765D36">
            <w:pPr>
              <w:spacing w:line="0" w:lineRule="atLeast"/>
              <w:jc w:val="center"/>
              <w:rPr>
                <w:color w:val="000000"/>
                <w:kern w:val="0"/>
                <w:sz w:val="22"/>
                <w:szCs w:val="22"/>
                <w:highlight w:val="none"/>
              </w:rPr>
            </w:pPr>
            <w:r>
              <w:rPr>
                <w:color w:val="000000"/>
                <w:kern w:val="0"/>
                <w:sz w:val="22"/>
                <w:szCs w:val="22"/>
                <w:highlight w:val="none"/>
              </w:rPr>
              <w:t>产出时效</w:t>
            </w:r>
          </w:p>
        </w:tc>
        <w:tc>
          <w:tcPr>
            <w:tcW w:w="1425" w:type="dxa"/>
            <w:shd w:val="clear" w:color="auto" w:fill="FFFFFF"/>
            <w:vAlign w:val="center"/>
          </w:tcPr>
          <w:p w14:paraId="185302D7">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735" w:type="dxa"/>
            <w:shd w:val="clear" w:color="000000" w:fill="FFFFFF"/>
            <w:vAlign w:val="center"/>
          </w:tcPr>
          <w:p w14:paraId="3E60DEA2">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000000" w:fill="FFFFFF"/>
            <w:vAlign w:val="center"/>
          </w:tcPr>
          <w:p w14:paraId="264D54B3">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945" w:type="dxa"/>
            <w:shd w:val="clear" w:color="000000" w:fill="FFFFFF"/>
            <w:vAlign w:val="center"/>
          </w:tcPr>
          <w:p w14:paraId="7DFC771F">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1140" w:type="dxa"/>
            <w:shd w:val="clear" w:color="000000" w:fill="FFFFFF"/>
            <w:vAlign w:val="center"/>
          </w:tcPr>
          <w:p w14:paraId="1DCD24E3">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1784292F">
            <w:pPr>
              <w:widowControl/>
              <w:spacing w:line="0" w:lineRule="atLeast"/>
              <w:jc w:val="center"/>
              <w:rPr>
                <w:color w:val="000000"/>
                <w:kern w:val="0"/>
                <w:sz w:val="22"/>
                <w:szCs w:val="22"/>
                <w:highlight w:val="none"/>
              </w:rPr>
            </w:pPr>
            <w:r>
              <w:rPr>
                <w:color w:val="000000"/>
                <w:kern w:val="0"/>
                <w:sz w:val="22"/>
                <w:szCs w:val="22"/>
                <w:highlight w:val="none"/>
              </w:rPr>
              <w:t>10</w:t>
            </w:r>
          </w:p>
        </w:tc>
      </w:tr>
      <w:tr w14:paraId="3B335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34549ACF">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4F4CE7A6">
            <w:pPr>
              <w:widowControl/>
              <w:spacing w:line="0" w:lineRule="atLeast"/>
              <w:jc w:val="center"/>
              <w:rPr>
                <w:color w:val="000000"/>
                <w:kern w:val="0"/>
                <w:sz w:val="22"/>
                <w:szCs w:val="22"/>
                <w:highlight w:val="none"/>
              </w:rPr>
            </w:pPr>
          </w:p>
        </w:tc>
        <w:tc>
          <w:tcPr>
            <w:tcW w:w="1200" w:type="dxa"/>
            <w:shd w:val="clear" w:color="auto" w:fill="FFFFFF"/>
            <w:vAlign w:val="center"/>
          </w:tcPr>
          <w:p w14:paraId="5E288159">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1425" w:type="dxa"/>
            <w:shd w:val="clear" w:color="auto" w:fill="FFFFFF"/>
            <w:vAlign w:val="center"/>
          </w:tcPr>
          <w:p w14:paraId="4097B07E">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735" w:type="dxa"/>
            <w:shd w:val="clear" w:color="000000" w:fill="FFFFFF"/>
            <w:vAlign w:val="center"/>
          </w:tcPr>
          <w:p w14:paraId="77B481A9">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000000" w:fill="FFFFFF"/>
            <w:vAlign w:val="center"/>
          </w:tcPr>
          <w:p w14:paraId="33A251F9">
            <w:pPr>
              <w:widowControl/>
              <w:spacing w:line="0" w:lineRule="atLeast"/>
              <w:jc w:val="center"/>
              <w:rPr>
                <w:color w:val="000000"/>
                <w:kern w:val="0"/>
                <w:sz w:val="22"/>
                <w:szCs w:val="22"/>
                <w:highlight w:val="none"/>
              </w:rPr>
            </w:pPr>
            <w:r>
              <w:rPr>
                <w:color w:val="000000"/>
                <w:kern w:val="0"/>
                <w:sz w:val="22"/>
                <w:szCs w:val="22"/>
                <w:highlight w:val="none"/>
              </w:rPr>
              <w:t>100%</w:t>
            </w:r>
          </w:p>
        </w:tc>
        <w:tc>
          <w:tcPr>
            <w:tcW w:w="945" w:type="dxa"/>
            <w:shd w:val="clear" w:color="000000" w:fill="FFFFFF"/>
            <w:vAlign w:val="center"/>
          </w:tcPr>
          <w:p w14:paraId="1B505D72">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1140" w:type="dxa"/>
            <w:shd w:val="clear" w:color="000000" w:fill="FFFFFF"/>
            <w:vAlign w:val="center"/>
          </w:tcPr>
          <w:p w14:paraId="08D90E22">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463D4CA1">
            <w:pPr>
              <w:widowControl/>
              <w:spacing w:line="0" w:lineRule="atLeast"/>
              <w:jc w:val="center"/>
              <w:rPr>
                <w:color w:val="000000"/>
                <w:kern w:val="0"/>
                <w:sz w:val="22"/>
                <w:szCs w:val="22"/>
                <w:highlight w:val="none"/>
              </w:rPr>
            </w:pPr>
            <w:r>
              <w:rPr>
                <w:color w:val="000000"/>
                <w:kern w:val="0"/>
                <w:sz w:val="22"/>
                <w:szCs w:val="22"/>
                <w:highlight w:val="none"/>
              </w:rPr>
              <w:t>10</w:t>
            </w:r>
          </w:p>
        </w:tc>
      </w:tr>
      <w:tr w14:paraId="183C6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restart"/>
            <w:shd w:val="clear" w:color="auto" w:fill="FFFFFF"/>
            <w:vAlign w:val="center"/>
          </w:tcPr>
          <w:p w14:paraId="3D8A181B">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35" w:type="dxa"/>
            <w:vMerge w:val="restart"/>
            <w:shd w:val="clear" w:color="auto" w:fill="FFFFFF"/>
            <w:vAlign w:val="center"/>
          </w:tcPr>
          <w:p w14:paraId="0FA97E80">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1200" w:type="dxa"/>
            <w:vMerge w:val="restart"/>
            <w:shd w:val="clear" w:color="auto" w:fill="FFFFFF"/>
            <w:vAlign w:val="center"/>
          </w:tcPr>
          <w:p w14:paraId="329FDC04">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1425" w:type="dxa"/>
            <w:shd w:val="clear" w:color="auto" w:fill="FFFFFF"/>
            <w:vAlign w:val="center"/>
          </w:tcPr>
          <w:p w14:paraId="1B68CF55">
            <w:pPr>
              <w:widowControl/>
              <w:spacing w:line="0" w:lineRule="atLeast"/>
              <w:jc w:val="center"/>
              <w:rPr>
                <w:color w:val="000000"/>
                <w:kern w:val="0"/>
                <w:sz w:val="22"/>
                <w:szCs w:val="22"/>
                <w:highlight w:val="none"/>
              </w:rPr>
            </w:pPr>
            <w:r>
              <w:rPr>
                <w:color w:val="000000"/>
                <w:kern w:val="0"/>
                <w:sz w:val="22"/>
                <w:szCs w:val="22"/>
                <w:highlight w:val="none"/>
              </w:rPr>
              <w:t>实施效益</w:t>
            </w:r>
          </w:p>
          <w:p w14:paraId="5DBD8458">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735" w:type="dxa"/>
            <w:shd w:val="clear" w:color="auto" w:fill="FFFFFF"/>
            <w:vAlign w:val="center"/>
          </w:tcPr>
          <w:p w14:paraId="65FE33F1">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auto" w:fill="FFFFFF"/>
            <w:vAlign w:val="center"/>
          </w:tcPr>
          <w:p w14:paraId="190C27D4">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945" w:type="dxa"/>
            <w:shd w:val="clear" w:color="auto" w:fill="FFFFFF"/>
            <w:vAlign w:val="center"/>
          </w:tcPr>
          <w:p w14:paraId="073C97FD">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1140" w:type="dxa"/>
            <w:shd w:val="clear" w:color="auto" w:fill="FFFFFF"/>
            <w:vAlign w:val="center"/>
          </w:tcPr>
          <w:p w14:paraId="0C68EF9E">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auto" w:fill="FFFFFF"/>
            <w:vAlign w:val="center"/>
          </w:tcPr>
          <w:p w14:paraId="162B8277">
            <w:pPr>
              <w:widowControl/>
              <w:spacing w:line="0" w:lineRule="atLeast"/>
              <w:jc w:val="center"/>
              <w:rPr>
                <w:color w:val="000000"/>
                <w:kern w:val="0"/>
                <w:sz w:val="22"/>
                <w:szCs w:val="22"/>
                <w:highlight w:val="none"/>
              </w:rPr>
            </w:pPr>
            <w:r>
              <w:rPr>
                <w:color w:val="000000"/>
                <w:kern w:val="0"/>
                <w:sz w:val="22"/>
                <w:szCs w:val="22"/>
                <w:highlight w:val="none"/>
              </w:rPr>
              <w:t>10</w:t>
            </w:r>
          </w:p>
        </w:tc>
      </w:tr>
      <w:tr w14:paraId="02D31E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697" w:type="dxa"/>
            <w:vMerge w:val="continue"/>
            <w:shd w:val="clear" w:color="auto" w:fill="FFFFFF"/>
            <w:vAlign w:val="center"/>
          </w:tcPr>
          <w:p w14:paraId="3728D900">
            <w:pPr>
              <w:widowControl/>
              <w:spacing w:line="0" w:lineRule="atLeast"/>
              <w:jc w:val="center"/>
              <w:rPr>
                <w:color w:val="000000"/>
                <w:kern w:val="0"/>
                <w:sz w:val="22"/>
                <w:szCs w:val="22"/>
                <w:highlight w:val="none"/>
              </w:rPr>
            </w:pPr>
          </w:p>
        </w:tc>
        <w:tc>
          <w:tcPr>
            <w:tcW w:w="735" w:type="dxa"/>
            <w:vMerge w:val="continue"/>
            <w:shd w:val="clear" w:color="auto" w:fill="FFFFFF"/>
            <w:vAlign w:val="center"/>
          </w:tcPr>
          <w:p w14:paraId="6B9ED776">
            <w:pPr>
              <w:widowControl/>
              <w:spacing w:line="0" w:lineRule="atLeast"/>
              <w:jc w:val="center"/>
              <w:rPr>
                <w:color w:val="000000"/>
                <w:kern w:val="0"/>
                <w:sz w:val="22"/>
                <w:szCs w:val="22"/>
                <w:highlight w:val="none"/>
              </w:rPr>
            </w:pPr>
          </w:p>
        </w:tc>
        <w:tc>
          <w:tcPr>
            <w:tcW w:w="1200" w:type="dxa"/>
            <w:vMerge w:val="continue"/>
            <w:shd w:val="clear" w:color="auto" w:fill="FFFFFF"/>
            <w:vAlign w:val="center"/>
          </w:tcPr>
          <w:p w14:paraId="1127A775">
            <w:pPr>
              <w:widowControl/>
              <w:spacing w:line="0" w:lineRule="atLeast"/>
              <w:jc w:val="center"/>
              <w:rPr>
                <w:color w:val="000000"/>
                <w:kern w:val="0"/>
                <w:sz w:val="22"/>
                <w:szCs w:val="22"/>
                <w:highlight w:val="none"/>
              </w:rPr>
            </w:pPr>
          </w:p>
        </w:tc>
        <w:tc>
          <w:tcPr>
            <w:tcW w:w="1425" w:type="dxa"/>
            <w:shd w:val="clear" w:color="auto" w:fill="FFFFFF"/>
            <w:vAlign w:val="center"/>
          </w:tcPr>
          <w:p w14:paraId="44446F1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735" w:type="dxa"/>
            <w:shd w:val="clear" w:color="000000" w:fill="FFFFFF"/>
            <w:vAlign w:val="center"/>
          </w:tcPr>
          <w:p w14:paraId="29BFD1F6">
            <w:pPr>
              <w:widowControl/>
              <w:spacing w:line="0" w:lineRule="atLeast"/>
              <w:jc w:val="center"/>
              <w:rPr>
                <w:color w:val="000000"/>
                <w:kern w:val="0"/>
                <w:sz w:val="22"/>
                <w:szCs w:val="22"/>
                <w:highlight w:val="none"/>
              </w:rPr>
            </w:pPr>
            <w:r>
              <w:rPr>
                <w:color w:val="000000"/>
                <w:kern w:val="0"/>
                <w:sz w:val="22"/>
                <w:szCs w:val="22"/>
                <w:highlight w:val="none"/>
              </w:rPr>
              <w:t>10</w:t>
            </w:r>
          </w:p>
        </w:tc>
        <w:tc>
          <w:tcPr>
            <w:tcW w:w="960" w:type="dxa"/>
            <w:shd w:val="clear" w:color="000000" w:fill="FFFFFF"/>
            <w:vAlign w:val="center"/>
          </w:tcPr>
          <w:p w14:paraId="65A98965">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945" w:type="dxa"/>
            <w:shd w:val="clear" w:color="000000" w:fill="FFFFFF"/>
            <w:vAlign w:val="center"/>
          </w:tcPr>
          <w:p w14:paraId="10EAD471">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90</w:t>
            </w:r>
            <w:r>
              <w:rPr>
                <w:color w:val="000000"/>
                <w:kern w:val="0"/>
                <w:sz w:val="22"/>
                <w:szCs w:val="22"/>
                <w:highlight w:val="none"/>
              </w:rPr>
              <w:t>%</w:t>
            </w:r>
          </w:p>
        </w:tc>
        <w:tc>
          <w:tcPr>
            <w:tcW w:w="1140" w:type="dxa"/>
            <w:shd w:val="clear" w:color="000000" w:fill="FFFFFF"/>
            <w:vAlign w:val="center"/>
          </w:tcPr>
          <w:p w14:paraId="2F248C3F">
            <w:pPr>
              <w:widowControl/>
              <w:spacing w:line="0" w:lineRule="atLeast"/>
              <w:jc w:val="center"/>
              <w:rPr>
                <w:color w:val="000000"/>
                <w:kern w:val="0"/>
                <w:sz w:val="22"/>
                <w:szCs w:val="22"/>
                <w:highlight w:val="none"/>
              </w:rPr>
            </w:pPr>
            <w:r>
              <w:rPr>
                <w:rFonts w:hint="eastAsia"/>
                <w:color w:val="auto"/>
                <w:kern w:val="0"/>
                <w:sz w:val="22"/>
                <w:szCs w:val="22"/>
                <w:highlight w:val="none"/>
                <w:lang w:val="en-US" w:eastAsia="zh-CN"/>
              </w:rPr>
              <w:t>100%</w:t>
            </w:r>
          </w:p>
        </w:tc>
        <w:tc>
          <w:tcPr>
            <w:tcW w:w="870" w:type="dxa"/>
            <w:shd w:val="clear" w:color="000000" w:fill="FFFFFF"/>
            <w:vAlign w:val="center"/>
          </w:tcPr>
          <w:p w14:paraId="4F423405">
            <w:pPr>
              <w:widowControl/>
              <w:spacing w:line="0" w:lineRule="atLeast"/>
              <w:jc w:val="center"/>
              <w:rPr>
                <w:color w:val="000000"/>
                <w:kern w:val="0"/>
                <w:sz w:val="22"/>
                <w:szCs w:val="22"/>
                <w:highlight w:val="none"/>
              </w:rPr>
            </w:pPr>
            <w:r>
              <w:rPr>
                <w:color w:val="000000"/>
                <w:kern w:val="0"/>
                <w:sz w:val="22"/>
                <w:szCs w:val="22"/>
                <w:highlight w:val="none"/>
              </w:rPr>
              <w:t>10</w:t>
            </w:r>
          </w:p>
        </w:tc>
      </w:tr>
      <w:tr w14:paraId="77D15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4057" w:type="dxa"/>
            <w:gridSpan w:val="4"/>
            <w:shd w:val="clear" w:color="auto" w:fill="FFFFFF"/>
            <w:vAlign w:val="center"/>
          </w:tcPr>
          <w:p w14:paraId="25175F76">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合计</w:t>
            </w:r>
          </w:p>
        </w:tc>
        <w:tc>
          <w:tcPr>
            <w:tcW w:w="735" w:type="dxa"/>
            <w:shd w:val="clear" w:color="000000" w:fill="FFFFFF"/>
            <w:vAlign w:val="center"/>
          </w:tcPr>
          <w:p w14:paraId="69A56ED3">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100</w:t>
            </w:r>
          </w:p>
        </w:tc>
        <w:tc>
          <w:tcPr>
            <w:tcW w:w="960" w:type="dxa"/>
            <w:shd w:val="clear" w:color="000000" w:fill="FFFFFF"/>
            <w:vAlign w:val="center"/>
          </w:tcPr>
          <w:p w14:paraId="2D9FAE53">
            <w:pPr>
              <w:widowControl/>
              <w:spacing w:line="0" w:lineRule="atLeast"/>
              <w:jc w:val="center"/>
              <w:rPr>
                <w:rFonts w:hint="eastAsia"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w:t>
            </w:r>
          </w:p>
        </w:tc>
        <w:tc>
          <w:tcPr>
            <w:tcW w:w="945" w:type="dxa"/>
            <w:shd w:val="clear" w:color="000000" w:fill="FFFFFF"/>
            <w:vAlign w:val="center"/>
          </w:tcPr>
          <w:p w14:paraId="619BEE11">
            <w:pPr>
              <w:widowControl/>
              <w:spacing w:line="0" w:lineRule="atLeast"/>
              <w:jc w:val="center"/>
              <w:rPr>
                <w:rFonts w:hint="default"/>
                <w:b/>
                <w:bCs/>
                <w:color w:val="000000"/>
                <w:kern w:val="0"/>
                <w:sz w:val="22"/>
                <w:szCs w:val="22"/>
                <w:highlight w:val="none"/>
                <w:lang w:val="en-US" w:eastAsia="zh-CN"/>
              </w:rPr>
            </w:pPr>
            <w:r>
              <w:rPr>
                <w:rFonts w:hint="eastAsia"/>
                <w:b/>
                <w:bCs/>
                <w:color w:val="000000"/>
                <w:kern w:val="0"/>
                <w:sz w:val="22"/>
                <w:szCs w:val="22"/>
                <w:highlight w:val="none"/>
                <w:lang w:val="en-US" w:eastAsia="zh-CN"/>
              </w:rPr>
              <w:t>-</w:t>
            </w:r>
          </w:p>
        </w:tc>
        <w:tc>
          <w:tcPr>
            <w:tcW w:w="1140" w:type="dxa"/>
            <w:shd w:val="clear" w:color="000000" w:fill="FFFFFF"/>
            <w:vAlign w:val="center"/>
          </w:tcPr>
          <w:p w14:paraId="28D53341">
            <w:pPr>
              <w:widowControl/>
              <w:spacing w:line="0" w:lineRule="atLeast"/>
              <w:jc w:val="center"/>
              <w:rPr>
                <w:rFonts w:hint="default"/>
                <w:b/>
                <w:bCs/>
                <w:color w:val="auto"/>
                <w:kern w:val="0"/>
                <w:sz w:val="22"/>
                <w:szCs w:val="22"/>
                <w:highlight w:val="none"/>
                <w:lang w:val="en-US" w:eastAsia="zh-CN"/>
              </w:rPr>
            </w:pPr>
            <w:r>
              <w:rPr>
                <w:rFonts w:hint="eastAsia"/>
                <w:b/>
                <w:bCs/>
                <w:color w:val="auto"/>
                <w:kern w:val="0"/>
                <w:sz w:val="22"/>
                <w:szCs w:val="22"/>
                <w:highlight w:val="none"/>
                <w:lang w:val="en-US" w:eastAsia="zh-CN"/>
              </w:rPr>
              <w:t>-</w:t>
            </w:r>
          </w:p>
        </w:tc>
        <w:tc>
          <w:tcPr>
            <w:tcW w:w="870" w:type="dxa"/>
            <w:shd w:val="clear" w:color="000000" w:fill="FFFFFF"/>
            <w:vAlign w:val="center"/>
          </w:tcPr>
          <w:p w14:paraId="43190263">
            <w:pPr>
              <w:widowControl/>
              <w:spacing w:line="0" w:lineRule="atLeast"/>
              <w:jc w:val="center"/>
              <w:rPr>
                <w:b/>
                <w:bCs/>
                <w:color w:val="000000"/>
                <w:kern w:val="0"/>
                <w:sz w:val="22"/>
                <w:szCs w:val="22"/>
                <w:highlight w:val="none"/>
              </w:rPr>
            </w:pPr>
            <w:r>
              <w:rPr>
                <w:b/>
                <w:bCs/>
                <w:color w:val="000000"/>
                <w:kern w:val="0"/>
                <w:sz w:val="22"/>
                <w:szCs w:val="22"/>
                <w:highlight w:val="none"/>
              </w:rPr>
              <w:fldChar w:fldCharType="begin"/>
            </w:r>
            <w:r>
              <w:rPr>
                <w:b/>
                <w:bCs/>
                <w:color w:val="000000"/>
                <w:kern w:val="0"/>
                <w:sz w:val="22"/>
                <w:szCs w:val="22"/>
                <w:highlight w:val="none"/>
              </w:rPr>
              <w:instrText xml:space="preserve"> = sum(I2:I18) \* MERGEFORMAT </w:instrText>
            </w:r>
            <w:r>
              <w:rPr>
                <w:b/>
                <w:bCs/>
                <w:color w:val="000000"/>
                <w:kern w:val="0"/>
                <w:sz w:val="22"/>
                <w:szCs w:val="22"/>
                <w:highlight w:val="none"/>
              </w:rPr>
              <w:fldChar w:fldCharType="separate"/>
            </w:r>
            <w:r>
              <w:rPr>
                <w:b/>
                <w:bCs/>
                <w:color w:val="000000"/>
                <w:kern w:val="0"/>
                <w:sz w:val="22"/>
                <w:szCs w:val="22"/>
                <w:highlight w:val="none"/>
              </w:rPr>
              <w:t>97.6</w:t>
            </w:r>
            <w:r>
              <w:rPr>
                <w:b/>
                <w:bCs/>
                <w:color w:val="000000"/>
                <w:kern w:val="0"/>
                <w:sz w:val="22"/>
                <w:szCs w:val="22"/>
                <w:highlight w:val="none"/>
              </w:rPr>
              <w:fldChar w:fldCharType="end"/>
            </w:r>
          </w:p>
        </w:tc>
      </w:tr>
    </w:tbl>
    <w:p w14:paraId="27FF4E23">
      <w:pPr>
        <w:spacing w:line="560" w:lineRule="exact"/>
        <w:ind w:firstLine="640" w:firstLineChars="200"/>
        <w:rPr>
          <w:rFonts w:eastAsia="黑体"/>
          <w:sz w:val="32"/>
          <w:szCs w:val="32"/>
          <w:highlight w:val="none"/>
        </w:rPr>
      </w:pPr>
      <w:r>
        <w:rPr>
          <w:rFonts w:eastAsia="黑体"/>
          <w:sz w:val="32"/>
          <w:szCs w:val="32"/>
          <w:highlight w:val="none"/>
        </w:rPr>
        <w:t>四、绩效评价指标分析</w:t>
      </w:r>
    </w:p>
    <w:p w14:paraId="08A7F7A5">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0AFCD957">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Style w:val="15"/>
          <w:sz w:val="32"/>
          <w:szCs w:val="32"/>
          <w:highlight w:val="none"/>
        </w:rPr>
      </w:pPr>
      <w:r>
        <w:rPr>
          <w:rFonts w:hint="eastAsia" w:eastAsia="仿宋_GB2312"/>
          <w:sz w:val="30"/>
          <w:highlight w:val="none"/>
        </w:rPr>
        <w:t>1</w:t>
      </w:r>
      <w:r>
        <w:rPr>
          <w:rFonts w:hint="eastAsia" w:eastAsia="仿宋_GB2312"/>
          <w:sz w:val="32"/>
          <w:szCs w:val="32"/>
          <w:highlight w:val="none"/>
        </w:rPr>
        <w:t>、立项依据充分性</w:t>
      </w:r>
    </w:p>
    <w:p w14:paraId="61EDF48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eastAsia="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w:t>
      </w:r>
      <w:r>
        <w:rPr>
          <w:rFonts w:hint="eastAsia" w:ascii="仿宋_GB2312" w:hAnsi="仿宋_GB2312" w:eastAsia="仿宋_GB2312" w:cs="仿宋_GB2312"/>
          <w:color w:val="auto"/>
          <w:sz w:val="32"/>
          <w:szCs w:val="32"/>
          <w:highlight w:val="none"/>
        </w:rPr>
        <w:t>国家卫生健康委关于加强职业病防治技术支撑体系建设的指导意见</w:t>
      </w:r>
      <w:r>
        <w:rPr>
          <w:rFonts w:hint="eastAsia" w:ascii="仿宋_GB2312" w:hAnsi="仿宋_GB2312" w:eastAsia="仿宋_GB2312" w:cs="仿宋_GB2312"/>
          <w:color w:val="auto"/>
          <w:sz w:val="32"/>
          <w:szCs w:val="32"/>
          <w:highlight w:val="none"/>
          <w:lang w:eastAsia="zh-CN"/>
        </w:rPr>
        <w:t>》（国卫职健发〔2020〕5号）、国家职业病防治规划（2021—2025年）及《“健康中国2030”规划纲要》要求，该</w:t>
      </w:r>
      <w:r>
        <w:rPr>
          <w:rFonts w:hint="eastAsia" w:ascii="仿宋_GB2312" w:hAnsi="仿宋_GB2312" w:eastAsia="仿宋_GB2312" w:cs="仿宋_GB2312"/>
          <w:color w:val="auto"/>
          <w:sz w:val="32"/>
          <w:szCs w:val="32"/>
          <w:highlight w:val="none"/>
        </w:rPr>
        <w:t>项目立项符合法律法规、相关政策及部门职责，能反映和考核项目立项依据情况，项目申请、设立过程符合相关要求</w:t>
      </w:r>
      <w:r>
        <w:rPr>
          <w:rFonts w:hint="eastAsia" w:eastAsia="仿宋_GB2312"/>
          <w:color w:val="auto"/>
          <w:sz w:val="32"/>
          <w:szCs w:val="32"/>
          <w:highlight w:val="none"/>
          <w:lang w:eastAsia="zh-CN"/>
        </w:rPr>
        <w:t>。</w:t>
      </w:r>
      <w:r>
        <w:rPr>
          <w:rFonts w:hint="eastAsia" w:eastAsia="仿宋_GB2312"/>
          <w:color w:val="auto"/>
          <w:sz w:val="32"/>
          <w:szCs w:val="32"/>
          <w:highlight w:val="none"/>
        </w:rPr>
        <w:t>项目立项符合国家法律法规、国民经济发展规划和相关政策；项目立项符合行业发展规划和政策要求；项目立项与部门职责范围相符，属于部门履职所需；项目属于公共财政支持范围，符合中央、地方事权支出责任划分原则；项目</w:t>
      </w:r>
      <w:r>
        <w:rPr>
          <w:rFonts w:hint="eastAsia" w:eastAsia="仿宋_GB2312"/>
          <w:color w:val="auto"/>
          <w:sz w:val="32"/>
          <w:szCs w:val="32"/>
          <w:highlight w:val="none"/>
          <w:lang w:eastAsia="zh-CN"/>
        </w:rPr>
        <w:t>未</w:t>
      </w:r>
      <w:r>
        <w:rPr>
          <w:rFonts w:hint="eastAsia" w:eastAsia="仿宋_GB2312"/>
          <w:color w:val="auto"/>
          <w:sz w:val="32"/>
          <w:szCs w:val="32"/>
          <w:highlight w:val="none"/>
        </w:rPr>
        <w:t>与相关部门同类项目或部门内部相关项目重复。</w:t>
      </w:r>
    </w:p>
    <w:p w14:paraId="0CF03EC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2、立项程序规范性</w:t>
      </w:r>
    </w:p>
    <w:p w14:paraId="2EFABFF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项目按照规定的程序申请设立；审批文件、材料符合相关要求；事前已经过必要的可行性研究、专家论证、风险评估、绩效评估、集体决策。</w:t>
      </w:r>
    </w:p>
    <w:p w14:paraId="74DC4D7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3、绩效目标合理性</w:t>
      </w:r>
    </w:p>
    <w:p w14:paraId="0124E5E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职业病防治工作专项业务费设立了项目绩效目标，与职业病防治工作专项业务费项目</w:t>
      </w:r>
      <w:r>
        <w:rPr>
          <w:rFonts w:hint="eastAsia" w:eastAsia="仿宋_GB2312"/>
          <w:color w:val="auto"/>
          <w:sz w:val="32"/>
          <w:szCs w:val="32"/>
          <w:highlight w:val="none"/>
          <w:lang w:eastAsia="zh-CN"/>
        </w:rPr>
        <w:t>工作内容</w:t>
      </w:r>
      <w:r>
        <w:rPr>
          <w:rFonts w:hint="eastAsia" w:eastAsia="仿宋_GB2312"/>
          <w:color w:val="auto"/>
          <w:sz w:val="32"/>
          <w:szCs w:val="32"/>
          <w:highlight w:val="none"/>
        </w:rPr>
        <w:t>具有相关性，项目的预期产出效益和效果也均能符合正常的业绩水平，并且与预算确定的项目投资额或资金量相匹配。</w:t>
      </w:r>
    </w:p>
    <w:p w14:paraId="10CEE3F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4、绩效指标明确性</w:t>
      </w:r>
    </w:p>
    <w:p w14:paraId="5B69DEB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bookmarkStart w:id="7" w:name="_Hlk68699917"/>
      <w:r>
        <w:rPr>
          <w:rFonts w:hint="eastAsia" w:eastAsia="仿宋_GB2312"/>
          <w:color w:val="auto"/>
          <w:sz w:val="32"/>
          <w:szCs w:val="32"/>
          <w:highlight w:val="none"/>
        </w:rPr>
        <w:t>职业病防治工作专项业务费将项目绩效目标细化分解为具体的绩效指标，一级指标共</w:t>
      </w:r>
      <w:r>
        <w:rPr>
          <w:rFonts w:hint="eastAsia" w:eastAsia="仿宋_GB2312"/>
          <w:color w:val="auto"/>
          <w:sz w:val="32"/>
          <w:szCs w:val="32"/>
          <w:highlight w:val="none"/>
          <w:lang w:val="en-US" w:eastAsia="zh-CN"/>
        </w:rPr>
        <w:t>4</w:t>
      </w:r>
      <w:r>
        <w:rPr>
          <w:rFonts w:hint="eastAsia" w:eastAsia="仿宋_GB2312"/>
          <w:color w:val="auto"/>
          <w:sz w:val="32"/>
          <w:szCs w:val="32"/>
          <w:highlight w:val="none"/>
        </w:rPr>
        <w:t>条，二级指标共</w:t>
      </w:r>
      <w:r>
        <w:rPr>
          <w:rFonts w:hint="eastAsia" w:eastAsia="仿宋_GB2312"/>
          <w:color w:val="auto"/>
          <w:sz w:val="32"/>
          <w:szCs w:val="32"/>
          <w:highlight w:val="none"/>
          <w:lang w:val="en-US" w:eastAsia="zh-CN"/>
        </w:rPr>
        <w:t>6</w:t>
      </w:r>
      <w:r>
        <w:rPr>
          <w:rFonts w:hint="eastAsia" w:eastAsia="仿宋_GB2312"/>
          <w:color w:val="auto"/>
          <w:sz w:val="32"/>
          <w:szCs w:val="32"/>
          <w:highlight w:val="none"/>
        </w:rPr>
        <w:t>条，三级指标共</w:t>
      </w:r>
      <w:r>
        <w:rPr>
          <w:rFonts w:hint="eastAsia" w:eastAsia="仿宋_GB2312"/>
          <w:color w:val="auto"/>
          <w:sz w:val="32"/>
          <w:szCs w:val="32"/>
          <w:highlight w:val="none"/>
          <w:lang w:val="en-US" w:eastAsia="zh-CN"/>
        </w:rPr>
        <w:t>16</w:t>
      </w:r>
      <w:r>
        <w:rPr>
          <w:rFonts w:hint="eastAsia" w:eastAsia="仿宋_GB2312"/>
          <w:color w:val="auto"/>
          <w:sz w:val="32"/>
          <w:szCs w:val="32"/>
          <w:highlight w:val="none"/>
        </w:rPr>
        <w:t>条，其中量化指标条数共</w:t>
      </w:r>
      <w:r>
        <w:rPr>
          <w:rFonts w:hint="eastAsia" w:eastAsia="仿宋_GB2312"/>
          <w:color w:val="auto"/>
          <w:sz w:val="32"/>
          <w:szCs w:val="32"/>
          <w:highlight w:val="none"/>
          <w:lang w:val="en-US" w:eastAsia="zh-CN"/>
        </w:rPr>
        <w:t>15</w:t>
      </w:r>
      <w:r>
        <w:rPr>
          <w:rFonts w:hint="eastAsia" w:eastAsia="仿宋_GB2312"/>
          <w:color w:val="auto"/>
          <w:sz w:val="32"/>
          <w:szCs w:val="32"/>
          <w:highlight w:val="none"/>
        </w:rPr>
        <w:t>条，所有绩效指标均通过清晰、可衡量的指标值予以体现，并且做到了与项目目标任务数或计划数相对应。</w:t>
      </w:r>
      <w:bookmarkEnd w:id="7"/>
    </w:p>
    <w:p w14:paraId="22B8F3A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5、预算编制科学性</w:t>
      </w:r>
    </w:p>
    <w:p w14:paraId="1270136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预算编制经过科学论证；预算内容与项目内容匹配；预算额度测算依据充分，按照标准编制；预算确定的项目投资额或资金量与工作任务相匹配。</w:t>
      </w:r>
    </w:p>
    <w:p w14:paraId="6888C9E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6、资金分配合理性</w:t>
      </w:r>
    </w:p>
    <w:p w14:paraId="2F8BED2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预算资金分配依据充分；资金分配额度合理，与项目单位或地方实际相适应。</w:t>
      </w:r>
    </w:p>
    <w:p w14:paraId="377610D1">
      <w:pPr>
        <w:pStyle w:val="2"/>
        <w:numPr>
          <w:ilvl w:val="0"/>
          <w:numId w:val="5"/>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14:paraId="6546F981">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0"/>
          <w:highlight w:val="none"/>
        </w:rPr>
        <w:t>1</w:t>
      </w:r>
      <w:r>
        <w:rPr>
          <w:rFonts w:hint="eastAsia" w:ascii="Times New Roman" w:hAnsi="Times New Roman" w:eastAsia="仿宋_GB2312" w:cs="Times New Roman"/>
          <w:color w:val="auto"/>
          <w:sz w:val="32"/>
          <w:szCs w:val="32"/>
          <w:highlight w:val="none"/>
        </w:rPr>
        <w:t>、资金到位率</w:t>
      </w:r>
    </w:p>
    <w:p w14:paraId="018C76F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预算资金</w:t>
      </w:r>
      <w:r>
        <w:rPr>
          <w:rFonts w:hint="eastAsia" w:ascii="Times New Roman" w:hAnsi="Times New Roman" w:eastAsia="仿宋_GB2312" w:cs="Times New Roman"/>
          <w:color w:val="auto"/>
          <w:sz w:val="32"/>
          <w:szCs w:val="32"/>
          <w:highlight w:val="none"/>
          <w:lang w:val="en-US" w:eastAsia="zh-CN"/>
        </w:rPr>
        <w:t>120</w:t>
      </w:r>
      <w:r>
        <w:rPr>
          <w:rFonts w:hint="eastAsia" w:ascii="Times New Roman" w:hAnsi="Times New Roman" w:eastAsia="仿宋_GB2312" w:cs="Times New Roman"/>
          <w:color w:val="auto"/>
          <w:sz w:val="32"/>
          <w:szCs w:val="32"/>
          <w:highlight w:val="none"/>
        </w:rPr>
        <w:t>万元，实际到位资金</w:t>
      </w:r>
      <w:r>
        <w:rPr>
          <w:rFonts w:hint="eastAsia" w:ascii="Times New Roman" w:hAnsi="Times New Roman" w:eastAsia="仿宋_GB2312" w:cs="Times New Roman"/>
          <w:color w:val="auto"/>
          <w:sz w:val="32"/>
          <w:szCs w:val="32"/>
          <w:highlight w:val="none"/>
          <w:lang w:val="en-US" w:eastAsia="zh-CN"/>
        </w:rPr>
        <w:t>120</w:t>
      </w:r>
      <w:r>
        <w:rPr>
          <w:rFonts w:hint="eastAsia" w:ascii="Times New Roman" w:hAnsi="Times New Roman" w:eastAsia="仿宋_GB2312" w:cs="Times New Roman"/>
          <w:color w:val="auto"/>
          <w:sz w:val="32"/>
          <w:szCs w:val="32"/>
          <w:highlight w:val="none"/>
        </w:rPr>
        <w:t>万元，资金到位率</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4548BA3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rPr>
        <w:t>2、预算执行率</w:t>
      </w:r>
    </w:p>
    <w:p w14:paraId="32C5B12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rPr>
        <w:t>年初预算数</w:t>
      </w:r>
      <w:r>
        <w:rPr>
          <w:rFonts w:hint="eastAsia" w:ascii="Times New Roman" w:hAnsi="Times New Roman" w:eastAsia="仿宋_GB2312" w:cs="Times New Roman"/>
          <w:color w:val="auto"/>
          <w:sz w:val="32"/>
          <w:szCs w:val="32"/>
          <w:highlight w:val="none"/>
          <w:lang w:val="en-US" w:eastAsia="zh-CN"/>
        </w:rPr>
        <w:t>120</w:t>
      </w:r>
      <w:r>
        <w:rPr>
          <w:rFonts w:hint="eastAsia" w:ascii="Times New Roman" w:hAnsi="Times New Roman" w:eastAsia="仿宋_GB2312" w:cs="Times New Roman"/>
          <w:color w:val="auto"/>
          <w:sz w:val="32"/>
          <w:szCs w:val="32"/>
          <w:highlight w:val="none"/>
        </w:rPr>
        <w:t>万元，全年预算数</w:t>
      </w:r>
      <w:r>
        <w:rPr>
          <w:rFonts w:hint="eastAsia" w:ascii="Times New Roman" w:hAnsi="Times New Roman" w:eastAsia="仿宋_GB2312" w:cs="Times New Roman"/>
          <w:color w:val="auto"/>
          <w:sz w:val="32"/>
          <w:szCs w:val="32"/>
          <w:highlight w:val="none"/>
          <w:lang w:val="en-US" w:eastAsia="zh-CN"/>
        </w:rPr>
        <w:t>120</w:t>
      </w:r>
      <w:r>
        <w:rPr>
          <w:rFonts w:hint="eastAsia" w:ascii="Times New Roman" w:hAnsi="Times New Roman" w:eastAsia="仿宋_GB2312" w:cs="Times New Roman"/>
          <w:color w:val="auto"/>
          <w:sz w:val="32"/>
          <w:szCs w:val="32"/>
          <w:highlight w:val="none"/>
        </w:rPr>
        <w:t>万元，全年执行数</w:t>
      </w:r>
      <w:r>
        <w:rPr>
          <w:rFonts w:hint="eastAsia" w:ascii="Times New Roman" w:hAnsi="Times New Roman" w:eastAsia="仿宋_GB2312" w:cs="Times New Roman"/>
          <w:color w:val="auto"/>
          <w:sz w:val="32"/>
          <w:szCs w:val="32"/>
          <w:highlight w:val="none"/>
          <w:lang w:val="en-US" w:eastAsia="zh-CN"/>
        </w:rPr>
        <w:t>120</w:t>
      </w:r>
      <w:r>
        <w:rPr>
          <w:rFonts w:hint="eastAsia" w:ascii="Times New Roman" w:hAnsi="Times New Roman" w:eastAsia="仿宋_GB2312" w:cs="Times New Roman"/>
          <w:color w:val="auto"/>
          <w:sz w:val="32"/>
          <w:szCs w:val="32"/>
          <w:highlight w:val="none"/>
        </w:rPr>
        <w:t>万元，预算执行率为</w:t>
      </w:r>
      <w:r>
        <w:rPr>
          <w:rFonts w:hint="eastAsia" w:ascii="Times New Roman" w:hAnsi="Times New Roman" w:eastAsia="仿宋_GB2312" w:cs="Times New Roman"/>
          <w:color w:val="auto"/>
          <w:sz w:val="32"/>
          <w:szCs w:val="32"/>
          <w:highlight w:val="none"/>
          <w:lang w:val="en-US" w:eastAsia="zh-CN"/>
        </w:rPr>
        <w:t>100</w:t>
      </w:r>
      <w:r>
        <w:rPr>
          <w:rFonts w:hint="eastAsia"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6559A2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3、资金使用合规性</w:t>
      </w:r>
    </w:p>
    <w:p w14:paraId="05FC947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olor w:val="auto"/>
          <w:sz w:val="32"/>
          <w:szCs w:val="32"/>
          <w:highlight w:val="none"/>
          <w:lang w:eastAsia="zh-CN"/>
        </w:rPr>
      </w:pPr>
      <w:r>
        <w:rPr>
          <w:rFonts w:hint="eastAsia" w:ascii="Times New Roman" w:hAnsi="Times New Roman" w:eastAsia="仿宋_GB2312" w:cs="Times New Roman"/>
          <w:sz w:val="32"/>
          <w:szCs w:val="32"/>
          <w:highlight w:val="none"/>
        </w:rPr>
        <w:t>项目严格按照预期绩效目标执行预算资金。制定了相关的制度和管理规定，对项目经费使用进行规范管理，财务制度健全、执行严格。资金使用符合国家财经法规和财务管理制度以及有关专项资金管理办法的规定，符合项目预算批复或合同规定的用途，不存在截留、挤占、挪用、虚列支出等情况</w:t>
      </w:r>
      <w:r>
        <w:rPr>
          <w:rFonts w:hint="eastAsia" w:eastAsia="仿宋_GB2312" w:cs="Times New Roman"/>
          <w:sz w:val="32"/>
          <w:szCs w:val="32"/>
          <w:highlight w:val="none"/>
          <w:lang w:eastAsia="zh-CN"/>
        </w:rPr>
        <w:t>。</w:t>
      </w:r>
    </w:p>
    <w:p w14:paraId="51078191">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4、管理制度健全性</w:t>
      </w:r>
    </w:p>
    <w:p w14:paraId="546A29C9">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具有相应的财务和业务管理制度</w:t>
      </w:r>
      <w:r>
        <w:rPr>
          <w:rFonts w:hint="eastAsia" w:eastAsia="仿宋_GB2312"/>
          <w:color w:val="auto"/>
          <w:sz w:val="32"/>
          <w:szCs w:val="32"/>
          <w:highlight w:val="none"/>
          <w:lang w:eastAsia="zh-CN"/>
        </w:rPr>
        <w:t>，</w:t>
      </w:r>
      <w:r>
        <w:rPr>
          <w:rFonts w:hint="eastAsia" w:ascii="仿宋_GB2312" w:hAnsi="仿宋_GB2312" w:eastAsia="仿宋_GB2312" w:cs="仿宋_GB2312"/>
          <w:sz w:val="32"/>
          <w:szCs w:val="32"/>
          <w:highlight w:val="none"/>
          <w:lang w:val="en-US" w:eastAsia="zh-CN"/>
        </w:rPr>
        <w:t>对财政资金进行严格管理，做到专款专用，项目资金使用符合相关的财务管理制度规定，能够反映和考核项目资金的规范运行情况</w:t>
      </w:r>
      <w:r>
        <w:rPr>
          <w:rFonts w:hint="eastAsia" w:eastAsia="仿宋_GB2312"/>
          <w:color w:val="auto"/>
          <w:sz w:val="32"/>
          <w:szCs w:val="32"/>
          <w:highlight w:val="none"/>
        </w:rPr>
        <w:t>财务和业务管理制度合法、合规、完整。</w:t>
      </w:r>
    </w:p>
    <w:p w14:paraId="0D7C151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olor w:val="auto"/>
          <w:sz w:val="32"/>
          <w:szCs w:val="32"/>
          <w:highlight w:val="none"/>
        </w:rPr>
      </w:pPr>
    </w:p>
    <w:p w14:paraId="37D3EF95">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5、制度执行有效性</w:t>
      </w:r>
    </w:p>
    <w:p w14:paraId="25E0C862">
      <w:pPr>
        <w:keepNext w:val="0"/>
        <w:keepLines w:val="0"/>
        <w:pageBreakBefore w:val="0"/>
        <w:widowControl w:val="0"/>
        <w:kinsoku/>
        <w:wordWrap/>
        <w:overflowPunct/>
        <w:topLinePunct w:val="0"/>
        <w:autoSpaceDE/>
        <w:autoSpaceDN/>
        <w:bidi w:val="0"/>
        <w:adjustRightInd/>
        <w:snapToGrid/>
        <w:ind w:firstLine="640" w:firstLineChars="200"/>
        <w:textAlignment w:val="auto"/>
        <w:rPr>
          <w:rFonts w:eastAsia="仿宋_GB2312"/>
          <w:color w:val="auto"/>
          <w:sz w:val="32"/>
          <w:szCs w:val="32"/>
          <w:highlight w:val="none"/>
        </w:rPr>
      </w:pPr>
      <w:r>
        <w:rPr>
          <w:rFonts w:hint="eastAsia" w:eastAsia="仿宋_GB2312"/>
          <w:color w:val="auto"/>
          <w:sz w:val="32"/>
          <w:szCs w:val="32"/>
          <w:highlight w:val="none"/>
        </w:rPr>
        <w:t>遵守相关法律法规和相关管理规定；项目调整及支出调整手续完备；项目合同书、验收报告、技术鉴定等资料齐全并及时归档；项目实施的人员条件、场地设备、信息支撑等落实到位。</w:t>
      </w:r>
    </w:p>
    <w:p w14:paraId="0B650059">
      <w:pPr>
        <w:pStyle w:val="10"/>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项目产出</w:t>
      </w:r>
    </w:p>
    <w:p w14:paraId="4EA2B751">
      <w:pPr>
        <w:snapToGrid w:val="0"/>
        <w:spacing w:line="560" w:lineRule="exact"/>
        <w:ind w:firstLine="624" w:firstLineChars="200"/>
        <w:rPr>
          <w:rStyle w:val="14"/>
          <w:rFonts w:eastAsia="仿宋_GB2312"/>
          <w:b w:val="0"/>
          <w:bCs/>
          <w:spacing w:val="-4"/>
          <w:sz w:val="32"/>
          <w:szCs w:val="32"/>
          <w:highlight w:val="none"/>
        </w:rPr>
      </w:pPr>
      <w:r>
        <w:rPr>
          <w:rStyle w:val="14"/>
          <w:rFonts w:hint="eastAsia" w:eastAsia="仿宋_GB2312"/>
          <w:b w:val="0"/>
          <w:bCs/>
          <w:spacing w:val="-4"/>
          <w:sz w:val="32"/>
          <w:szCs w:val="32"/>
          <w:highlight w:val="none"/>
          <w:lang w:val="en-US" w:eastAsia="zh-CN"/>
        </w:rPr>
        <w:t>1、</w:t>
      </w:r>
      <w:r>
        <w:rPr>
          <w:rStyle w:val="14"/>
          <w:rFonts w:eastAsia="仿宋_GB2312"/>
          <w:b w:val="0"/>
          <w:bCs/>
          <w:spacing w:val="-4"/>
          <w:sz w:val="32"/>
          <w:szCs w:val="32"/>
          <w:highlight w:val="none"/>
        </w:rPr>
        <w:t>数量指标方面：</w:t>
      </w:r>
    </w:p>
    <w:p w14:paraId="466916A6">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指标1</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工作场所职业病危害因素</w:t>
      </w:r>
      <w:r>
        <w:rPr>
          <w:rStyle w:val="14"/>
          <w:rFonts w:hint="eastAsia" w:eastAsia="仿宋_GB2312"/>
          <w:b w:val="0"/>
          <w:bCs/>
          <w:spacing w:val="-4"/>
          <w:sz w:val="32"/>
          <w:szCs w:val="32"/>
          <w:highlight w:val="none"/>
          <w:lang w:eastAsia="zh-CN"/>
        </w:rPr>
        <w:t>监测</w:t>
      </w:r>
      <w:r>
        <w:rPr>
          <w:rStyle w:val="14"/>
          <w:rFonts w:hint="eastAsia" w:eastAsia="仿宋_GB2312"/>
          <w:b w:val="0"/>
          <w:bCs/>
          <w:spacing w:val="-4"/>
          <w:sz w:val="32"/>
          <w:szCs w:val="32"/>
          <w:highlight w:val="none"/>
        </w:rPr>
        <w:t>企业数</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≥42家单位</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rPr>
        <w:t>46</w:t>
      </w:r>
      <w:r>
        <w:rPr>
          <w:rStyle w:val="14"/>
          <w:rFonts w:hint="eastAsia" w:eastAsia="仿宋_GB2312"/>
          <w:b w:val="0"/>
          <w:bCs/>
          <w:spacing w:val="-4"/>
          <w:sz w:val="32"/>
          <w:szCs w:val="32"/>
          <w:highlight w:val="none"/>
          <w:lang w:eastAsia="zh-CN"/>
        </w:rPr>
        <w:t>家单位</w:t>
      </w:r>
      <w:r>
        <w:rPr>
          <w:rStyle w:val="14"/>
          <w:rFonts w:eastAsia="仿宋_GB2312"/>
          <w:b w:val="0"/>
          <w:bCs/>
          <w:spacing w:val="-4"/>
          <w:sz w:val="32"/>
          <w:szCs w:val="32"/>
          <w:highlight w:val="none"/>
        </w:rPr>
        <w:t>，指标完成率</w:t>
      </w:r>
      <w:r>
        <w:rPr>
          <w:rStyle w:val="14"/>
          <w:rFonts w:hint="eastAsia" w:eastAsia="仿宋_GB2312"/>
          <w:b w:val="0"/>
          <w:bCs/>
          <w:spacing w:val="-4"/>
          <w:sz w:val="32"/>
          <w:szCs w:val="32"/>
          <w:highlight w:val="none"/>
          <w:lang w:val="en-US" w:eastAsia="zh-CN"/>
        </w:rPr>
        <w:t>109.52</w:t>
      </w:r>
      <w:r>
        <w:rPr>
          <w:rStyle w:val="14"/>
          <w:rFonts w:eastAsia="仿宋_GB2312"/>
          <w:b w:val="0"/>
          <w:bCs/>
          <w:spacing w:val="-4"/>
          <w:sz w:val="32"/>
          <w:szCs w:val="32"/>
          <w:highlight w:val="none"/>
        </w:rPr>
        <w:t>%；</w:t>
      </w:r>
    </w:p>
    <w:p w14:paraId="35E6243A">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2</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放射性职业病危害因素</w:t>
      </w:r>
      <w:r>
        <w:rPr>
          <w:rStyle w:val="14"/>
          <w:rFonts w:hint="eastAsia" w:eastAsia="仿宋_GB2312"/>
          <w:b w:val="0"/>
          <w:bCs/>
          <w:spacing w:val="-4"/>
          <w:sz w:val="32"/>
          <w:szCs w:val="32"/>
          <w:highlight w:val="none"/>
          <w:lang w:eastAsia="zh-CN"/>
        </w:rPr>
        <w:t>监测</w:t>
      </w:r>
      <w:r>
        <w:rPr>
          <w:rStyle w:val="14"/>
          <w:rFonts w:hint="eastAsia" w:eastAsia="仿宋_GB2312"/>
          <w:b w:val="0"/>
          <w:bCs/>
          <w:spacing w:val="-4"/>
          <w:sz w:val="32"/>
          <w:szCs w:val="32"/>
          <w:highlight w:val="none"/>
        </w:rPr>
        <w:t>数</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≥65家单位</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lang w:val="en-US" w:eastAsia="zh-CN"/>
        </w:rPr>
        <w:t>67家</w:t>
      </w:r>
      <w:r>
        <w:rPr>
          <w:rStyle w:val="14"/>
          <w:rFonts w:eastAsia="仿宋_GB2312"/>
          <w:b w:val="0"/>
          <w:bCs/>
          <w:spacing w:val="-4"/>
          <w:sz w:val="32"/>
          <w:szCs w:val="32"/>
          <w:highlight w:val="none"/>
        </w:rPr>
        <w:t>，</w:t>
      </w:r>
      <w:r>
        <w:rPr>
          <w:rStyle w:val="14"/>
          <w:rFonts w:hint="eastAsia" w:eastAsia="仿宋_GB2312"/>
          <w:b w:val="0"/>
          <w:bCs/>
          <w:spacing w:val="-4"/>
          <w:sz w:val="32"/>
          <w:szCs w:val="32"/>
          <w:highlight w:val="none"/>
          <w:lang w:eastAsia="zh-CN"/>
        </w:rPr>
        <w:t>指标完成率10</w:t>
      </w:r>
      <w:r>
        <w:rPr>
          <w:rStyle w:val="14"/>
          <w:rFonts w:hint="eastAsia" w:eastAsia="仿宋_GB2312"/>
          <w:b w:val="0"/>
          <w:bCs/>
          <w:spacing w:val="-4"/>
          <w:sz w:val="32"/>
          <w:szCs w:val="32"/>
          <w:highlight w:val="none"/>
          <w:lang w:val="en-US" w:eastAsia="zh-CN"/>
        </w:rPr>
        <w:t>3.08</w:t>
      </w:r>
      <w:r>
        <w:rPr>
          <w:rStyle w:val="14"/>
          <w:rFonts w:hint="eastAsia" w:eastAsia="仿宋_GB2312"/>
          <w:b w:val="0"/>
          <w:bCs/>
          <w:spacing w:val="-4"/>
          <w:sz w:val="32"/>
          <w:szCs w:val="32"/>
          <w:highlight w:val="none"/>
          <w:lang w:eastAsia="zh-CN"/>
        </w:rPr>
        <w:t>%</w:t>
      </w:r>
      <w:r>
        <w:rPr>
          <w:rStyle w:val="14"/>
          <w:rFonts w:eastAsia="仿宋_GB2312"/>
          <w:b w:val="0"/>
          <w:bCs/>
          <w:spacing w:val="-4"/>
          <w:sz w:val="32"/>
          <w:szCs w:val="32"/>
          <w:highlight w:val="none"/>
        </w:rPr>
        <w:t>；</w:t>
      </w:r>
    </w:p>
    <w:p w14:paraId="6E249E70">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3</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差旅费补助人数</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≥30人次</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rPr>
        <w:t>46</w:t>
      </w:r>
      <w:r>
        <w:rPr>
          <w:rStyle w:val="14"/>
          <w:rFonts w:hint="eastAsia" w:eastAsia="仿宋_GB2312"/>
          <w:b w:val="0"/>
          <w:bCs/>
          <w:spacing w:val="-4"/>
          <w:sz w:val="32"/>
          <w:szCs w:val="32"/>
          <w:highlight w:val="none"/>
          <w:lang w:eastAsia="zh-CN"/>
        </w:rPr>
        <w:t>人次</w:t>
      </w:r>
      <w:r>
        <w:rPr>
          <w:rStyle w:val="14"/>
          <w:rFonts w:eastAsia="仿宋_GB2312"/>
          <w:b w:val="0"/>
          <w:bCs/>
          <w:spacing w:val="-4"/>
          <w:sz w:val="32"/>
          <w:szCs w:val="32"/>
          <w:highlight w:val="none"/>
        </w:rPr>
        <w:t>，</w:t>
      </w:r>
      <w:r>
        <w:rPr>
          <w:rStyle w:val="14"/>
          <w:rFonts w:hint="eastAsia" w:eastAsia="仿宋_GB2312"/>
          <w:b w:val="0"/>
          <w:bCs/>
          <w:spacing w:val="-4"/>
          <w:sz w:val="32"/>
          <w:szCs w:val="32"/>
          <w:highlight w:val="none"/>
          <w:lang w:eastAsia="zh-CN"/>
        </w:rPr>
        <w:t>指标完成率</w:t>
      </w:r>
      <w:r>
        <w:rPr>
          <w:rStyle w:val="14"/>
          <w:rFonts w:hint="eastAsia" w:eastAsia="仿宋_GB2312"/>
          <w:b w:val="0"/>
          <w:bCs/>
          <w:spacing w:val="-4"/>
          <w:sz w:val="32"/>
          <w:szCs w:val="32"/>
          <w:highlight w:val="none"/>
          <w:lang w:val="en-US" w:eastAsia="zh-CN"/>
        </w:rPr>
        <w:t>153.33</w:t>
      </w:r>
      <w:r>
        <w:rPr>
          <w:rStyle w:val="14"/>
          <w:rFonts w:hint="eastAsia" w:eastAsia="仿宋_GB2312"/>
          <w:b w:val="0"/>
          <w:bCs/>
          <w:spacing w:val="-4"/>
          <w:sz w:val="32"/>
          <w:szCs w:val="32"/>
          <w:highlight w:val="none"/>
          <w:lang w:eastAsia="zh-CN"/>
        </w:rPr>
        <w:t>%，偏差原因是2023年疫情结束，工作任务较集中，出差人次增加</w:t>
      </w:r>
      <w:r>
        <w:rPr>
          <w:rStyle w:val="14"/>
          <w:rFonts w:eastAsia="仿宋_GB2312"/>
          <w:b w:val="0"/>
          <w:bCs/>
          <w:spacing w:val="-4"/>
          <w:sz w:val="32"/>
          <w:szCs w:val="32"/>
          <w:highlight w:val="none"/>
        </w:rPr>
        <w:t>；</w:t>
      </w:r>
    </w:p>
    <w:p w14:paraId="64E9C5FF">
      <w:pPr>
        <w:snapToGrid w:val="0"/>
        <w:spacing w:line="560" w:lineRule="exact"/>
        <w:ind w:firstLine="624" w:firstLineChars="200"/>
        <w:rPr>
          <w:rStyle w:val="14"/>
          <w:rFonts w:hint="eastAsia" w:eastAsia="仿宋_GB2312"/>
          <w:b w:val="0"/>
          <w:bCs/>
          <w:spacing w:val="-4"/>
          <w:sz w:val="32"/>
          <w:szCs w:val="32"/>
          <w:highlight w:val="none"/>
          <w:lang w:eastAsia="zh-CN"/>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4</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评审劳务费聘请专家人数</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≥15人次</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lang w:val="en-US" w:eastAsia="zh-CN"/>
        </w:rPr>
        <w:t>17人次</w:t>
      </w:r>
      <w:r>
        <w:rPr>
          <w:rStyle w:val="14"/>
          <w:rFonts w:hint="eastAsia" w:eastAsia="仿宋_GB2312"/>
          <w:b w:val="0"/>
          <w:bCs/>
          <w:spacing w:val="-4"/>
          <w:sz w:val="32"/>
          <w:szCs w:val="32"/>
          <w:highlight w:val="none"/>
          <w:lang w:eastAsia="zh-CN"/>
        </w:rPr>
        <w:t>，指标完成率1</w:t>
      </w:r>
      <w:r>
        <w:rPr>
          <w:rStyle w:val="14"/>
          <w:rFonts w:hint="eastAsia" w:eastAsia="仿宋_GB2312"/>
          <w:b w:val="0"/>
          <w:bCs/>
          <w:spacing w:val="-4"/>
          <w:sz w:val="32"/>
          <w:szCs w:val="32"/>
          <w:highlight w:val="none"/>
          <w:lang w:val="en-US" w:eastAsia="zh-CN"/>
        </w:rPr>
        <w:t>13.33</w:t>
      </w:r>
      <w:r>
        <w:rPr>
          <w:rStyle w:val="14"/>
          <w:rFonts w:hint="eastAsia" w:eastAsia="仿宋_GB2312"/>
          <w:b w:val="0"/>
          <w:bCs/>
          <w:spacing w:val="-4"/>
          <w:sz w:val="32"/>
          <w:szCs w:val="32"/>
          <w:highlight w:val="none"/>
          <w:lang w:eastAsia="zh-CN"/>
        </w:rPr>
        <w:t>%；</w:t>
      </w:r>
    </w:p>
    <w:p w14:paraId="66B38D60">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5</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组织开展职业卫生管理人员、主要负责人及自主监测人员、职业病诊断医师和主检医师培训（单次培训人数≥100人）</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≥3次</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lang w:val="en-US" w:eastAsia="zh-CN"/>
        </w:rPr>
        <w:t>3次</w:t>
      </w:r>
      <w:r>
        <w:rPr>
          <w:rStyle w:val="14"/>
          <w:rFonts w:eastAsia="仿宋_GB2312"/>
          <w:b w:val="0"/>
          <w:bCs/>
          <w:spacing w:val="-4"/>
          <w:sz w:val="32"/>
          <w:szCs w:val="32"/>
          <w:highlight w:val="none"/>
        </w:rPr>
        <w:t>，</w:t>
      </w:r>
      <w:r>
        <w:rPr>
          <w:rStyle w:val="14"/>
          <w:rFonts w:hint="eastAsia" w:eastAsia="仿宋_GB2312"/>
          <w:b w:val="0"/>
          <w:bCs/>
          <w:spacing w:val="-4"/>
          <w:sz w:val="32"/>
          <w:szCs w:val="32"/>
          <w:highlight w:val="none"/>
          <w:lang w:eastAsia="zh-CN"/>
        </w:rPr>
        <w:t>指标完成率100%</w:t>
      </w:r>
      <w:r>
        <w:rPr>
          <w:rStyle w:val="14"/>
          <w:rFonts w:eastAsia="仿宋_GB2312"/>
          <w:b w:val="0"/>
          <w:bCs/>
          <w:spacing w:val="-4"/>
          <w:sz w:val="32"/>
          <w:szCs w:val="32"/>
          <w:highlight w:val="none"/>
        </w:rPr>
        <w:t>；</w:t>
      </w:r>
    </w:p>
    <w:p w14:paraId="59C9671F">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6</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科室专业技术人员培训、比对及进修</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≥4人次</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lang w:val="en-US" w:eastAsia="zh-CN"/>
        </w:rPr>
        <w:t>4人次</w:t>
      </w:r>
      <w:r>
        <w:rPr>
          <w:rStyle w:val="14"/>
          <w:rFonts w:eastAsia="仿宋_GB2312"/>
          <w:b w:val="0"/>
          <w:bCs/>
          <w:spacing w:val="-4"/>
          <w:sz w:val="32"/>
          <w:szCs w:val="32"/>
          <w:highlight w:val="none"/>
        </w:rPr>
        <w:t xml:space="preserve"> ，</w:t>
      </w:r>
      <w:r>
        <w:rPr>
          <w:rStyle w:val="14"/>
          <w:rFonts w:hint="eastAsia" w:eastAsia="仿宋_GB2312"/>
          <w:b w:val="0"/>
          <w:bCs/>
          <w:spacing w:val="-4"/>
          <w:sz w:val="32"/>
          <w:szCs w:val="32"/>
          <w:highlight w:val="none"/>
          <w:lang w:eastAsia="zh-CN"/>
        </w:rPr>
        <w:t>指标完成率100%</w:t>
      </w:r>
      <w:r>
        <w:rPr>
          <w:rStyle w:val="14"/>
          <w:rFonts w:eastAsia="仿宋_GB2312"/>
          <w:b w:val="0"/>
          <w:bCs/>
          <w:spacing w:val="-4"/>
          <w:sz w:val="32"/>
          <w:szCs w:val="32"/>
          <w:highlight w:val="none"/>
        </w:rPr>
        <w:t>；</w:t>
      </w:r>
    </w:p>
    <w:p w14:paraId="6C43B6E7">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7</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招标、邮寄、仪器鉴定及设备维修项目数</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≥25次</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rPr>
        <w:t>35</w:t>
      </w:r>
      <w:r>
        <w:rPr>
          <w:rStyle w:val="14"/>
          <w:rFonts w:hint="eastAsia" w:eastAsia="仿宋_GB2312"/>
          <w:b w:val="0"/>
          <w:bCs/>
          <w:spacing w:val="-4"/>
          <w:sz w:val="32"/>
          <w:szCs w:val="32"/>
          <w:highlight w:val="none"/>
          <w:lang w:eastAsia="zh-CN"/>
        </w:rPr>
        <w:t>次</w:t>
      </w:r>
      <w:r>
        <w:rPr>
          <w:rStyle w:val="14"/>
          <w:rFonts w:eastAsia="仿宋_GB2312"/>
          <w:b w:val="0"/>
          <w:bCs/>
          <w:spacing w:val="-4"/>
          <w:sz w:val="32"/>
          <w:szCs w:val="32"/>
          <w:highlight w:val="none"/>
        </w:rPr>
        <w:t>，</w:t>
      </w:r>
      <w:r>
        <w:rPr>
          <w:rStyle w:val="14"/>
          <w:rFonts w:hint="eastAsia" w:eastAsia="仿宋_GB2312"/>
          <w:b w:val="0"/>
          <w:bCs/>
          <w:spacing w:val="-4"/>
          <w:sz w:val="32"/>
          <w:szCs w:val="32"/>
          <w:highlight w:val="none"/>
          <w:lang w:eastAsia="zh-CN"/>
        </w:rPr>
        <w:t>指标完成率</w:t>
      </w:r>
      <w:r>
        <w:rPr>
          <w:rStyle w:val="14"/>
          <w:rFonts w:hint="eastAsia" w:eastAsia="仿宋_GB2312"/>
          <w:b w:val="0"/>
          <w:bCs/>
          <w:spacing w:val="-4"/>
          <w:sz w:val="32"/>
          <w:szCs w:val="32"/>
          <w:highlight w:val="none"/>
          <w:lang w:val="en-US" w:eastAsia="zh-CN"/>
        </w:rPr>
        <w:t>140</w:t>
      </w:r>
      <w:r>
        <w:rPr>
          <w:rStyle w:val="14"/>
          <w:rFonts w:hint="eastAsia" w:eastAsia="仿宋_GB2312"/>
          <w:b w:val="0"/>
          <w:bCs/>
          <w:spacing w:val="-4"/>
          <w:sz w:val="32"/>
          <w:szCs w:val="32"/>
          <w:highlight w:val="none"/>
          <w:lang w:eastAsia="zh-CN"/>
        </w:rPr>
        <w:t>%，偏差原因是因工作任务需要，增加了仪器鉴定数量</w:t>
      </w:r>
      <w:r>
        <w:rPr>
          <w:rStyle w:val="14"/>
          <w:rFonts w:eastAsia="仿宋_GB2312"/>
          <w:b w:val="0"/>
          <w:bCs/>
          <w:spacing w:val="-4"/>
          <w:sz w:val="32"/>
          <w:szCs w:val="32"/>
          <w:highlight w:val="none"/>
        </w:rPr>
        <w:t>；</w:t>
      </w:r>
    </w:p>
    <w:p w14:paraId="0B265405">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8</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仪器设备购置数量</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≥3台</w:t>
      </w:r>
      <w:r>
        <w:rPr>
          <w:rStyle w:val="14"/>
          <w:rFonts w:eastAsia="仿宋_GB2312"/>
          <w:b w:val="0"/>
          <w:bCs/>
          <w:spacing w:val="-4"/>
          <w:sz w:val="32"/>
          <w:szCs w:val="32"/>
          <w:highlight w:val="none"/>
        </w:rPr>
        <w:t xml:space="preserve"> ，实际完成值</w:t>
      </w:r>
      <w:r>
        <w:rPr>
          <w:rStyle w:val="14"/>
          <w:rFonts w:hint="eastAsia" w:eastAsia="仿宋_GB2312"/>
          <w:b w:val="0"/>
          <w:bCs/>
          <w:spacing w:val="-4"/>
          <w:sz w:val="32"/>
          <w:szCs w:val="32"/>
          <w:highlight w:val="none"/>
          <w:lang w:val="en-US" w:eastAsia="zh-CN"/>
        </w:rPr>
        <w:t>3台</w:t>
      </w:r>
      <w:r>
        <w:rPr>
          <w:rStyle w:val="14"/>
          <w:rFonts w:eastAsia="仿宋_GB2312"/>
          <w:b w:val="0"/>
          <w:bCs/>
          <w:spacing w:val="-4"/>
          <w:sz w:val="32"/>
          <w:szCs w:val="32"/>
          <w:highlight w:val="none"/>
        </w:rPr>
        <w:t>，</w:t>
      </w:r>
      <w:r>
        <w:rPr>
          <w:rStyle w:val="14"/>
          <w:rFonts w:hint="eastAsia" w:eastAsia="仿宋_GB2312"/>
          <w:b w:val="0"/>
          <w:bCs/>
          <w:spacing w:val="-4"/>
          <w:sz w:val="32"/>
          <w:szCs w:val="32"/>
          <w:highlight w:val="none"/>
          <w:lang w:eastAsia="zh-CN"/>
        </w:rPr>
        <w:t>指标完成率</w:t>
      </w:r>
      <w:r>
        <w:rPr>
          <w:rStyle w:val="14"/>
          <w:rFonts w:hint="eastAsia" w:eastAsia="仿宋_GB2312"/>
          <w:b w:val="0"/>
          <w:bCs/>
          <w:spacing w:val="-4"/>
          <w:sz w:val="32"/>
          <w:szCs w:val="32"/>
          <w:highlight w:val="none"/>
          <w:lang w:val="en-US" w:eastAsia="zh-CN"/>
        </w:rPr>
        <w:t>100</w:t>
      </w:r>
      <w:r>
        <w:rPr>
          <w:rStyle w:val="14"/>
          <w:rFonts w:hint="eastAsia" w:eastAsia="仿宋_GB2312"/>
          <w:b w:val="0"/>
          <w:bCs/>
          <w:spacing w:val="-4"/>
          <w:sz w:val="32"/>
          <w:szCs w:val="32"/>
          <w:highlight w:val="none"/>
          <w:lang w:eastAsia="zh-CN"/>
        </w:rPr>
        <w:t>%</w:t>
      </w:r>
      <w:r>
        <w:rPr>
          <w:rStyle w:val="14"/>
          <w:rFonts w:eastAsia="仿宋_GB2312"/>
          <w:b w:val="0"/>
          <w:bCs/>
          <w:spacing w:val="-4"/>
          <w:sz w:val="32"/>
          <w:szCs w:val="32"/>
          <w:highlight w:val="none"/>
        </w:rPr>
        <w:t>；</w:t>
      </w:r>
    </w:p>
    <w:p w14:paraId="1ACDF062">
      <w:pPr>
        <w:snapToGrid w:val="0"/>
        <w:spacing w:line="560" w:lineRule="exact"/>
        <w:ind w:firstLine="624" w:firstLineChars="200"/>
        <w:rPr>
          <w:rStyle w:val="14"/>
          <w:rFonts w:eastAsia="仿宋_GB2312"/>
          <w:b w:val="0"/>
          <w:bCs/>
          <w:spacing w:val="-4"/>
          <w:sz w:val="32"/>
          <w:szCs w:val="32"/>
          <w:highlight w:val="none"/>
        </w:rPr>
      </w:pPr>
      <w:r>
        <w:rPr>
          <w:rStyle w:val="14"/>
          <w:rFonts w:eastAsia="仿宋_GB2312"/>
          <w:b w:val="0"/>
          <w:bCs/>
          <w:spacing w:val="-4"/>
          <w:sz w:val="32"/>
          <w:szCs w:val="32"/>
          <w:highlight w:val="none"/>
        </w:rPr>
        <w:t>指标</w:t>
      </w:r>
      <w:r>
        <w:rPr>
          <w:rStyle w:val="14"/>
          <w:rFonts w:hint="eastAsia" w:eastAsia="仿宋_GB2312"/>
          <w:b w:val="0"/>
          <w:bCs/>
          <w:spacing w:val="-4"/>
          <w:sz w:val="32"/>
          <w:szCs w:val="32"/>
          <w:highlight w:val="none"/>
          <w:lang w:val="en-US" w:eastAsia="zh-CN"/>
        </w:rPr>
        <w:t>9</w:t>
      </w:r>
      <w:r>
        <w:rPr>
          <w:rStyle w:val="14"/>
          <w:rFonts w:hint="eastAsia" w:eastAsia="仿宋_GB2312"/>
          <w:b w:val="0"/>
          <w:bCs/>
          <w:spacing w:val="-4"/>
          <w:sz w:val="32"/>
          <w:szCs w:val="32"/>
          <w:highlight w:val="none"/>
          <w:lang w:eastAsia="zh-CN"/>
        </w:rPr>
        <w:t>：</w:t>
      </w:r>
      <w:r>
        <w:rPr>
          <w:rStyle w:val="14"/>
          <w:rFonts w:hint="eastAsia" w:eastAsia="仿宋_GB2312"/>
          <w:b w:val="0"/>
          <w:bCs/>
          <w:spacing w:val="-4"/>
          <w:sz w:val="32"/>
          <w:szCs w:val="32"/>
          <w:highlight w:val="none"/>
        </w:rPr>
        <w:t>标准方法确认数量</w:t>
      </w:r>
      <w:r>
        <w:rPr>
          <w:rStyle w:val="14"/>
          <w:rFonts w:eastAsia="仿宋_GB2312"/>
          <w:b w:val="0"/>
          <w:bCs/>
          <w:spacing w:val="-4"/>
          <w:sz w:val="32"/>
          <w:szCs w:val="32"/>
          <w:highlight w:val="none"/>
        </w:rPr>
        <w:t>，指标值</w:t>
      </w:r>
      <w:r>
        <w:rPr>
          <w:rStyle w:val="14"/>
          <w:rFonts w:hint="eastAsia" w:eastAsia="仿宋_GB2312"/>
          <w:b w:val="0"/>
          <w:bCs/>
          <w:spacing w:val="-4"/>
          <w:sz w:val="32"/>
          <w:szCs w:val="32"/>
          <w:highlight w:val="none"/>
        </w:rPr>
        <w:t>≥5项</w:t>
      </w:r>
      <w:r>
        <w:rPr>
          <w:rStyle w:val="14"/>
          <w:rFonts w:eastAsia="仿宋_GB2312"/>
          <w:b w:val="0"/>
          <w:bCs/>
          <w:spacing w:val="-4"/>
          <w:sz w:val="32"/>
          <w:szCs w:val="32"/>
          <w:highlight w:val="none"/>
        </w:rPr>
        <w:t>，实际完成值</w:t>
      </w:r>
      <w:r>
        <w:rPr>
          <w:rStyle w:val="14"/>
          <w:rFonts w:hint="eastAsia" w:eastAsia="仿宋_GB2312"/>
          <w:b w:val="0"/>
          <w:bCs/>
          <w:spacing w:val="-4"/>
          <w:sz w:val="32"/>
          <w:szCs w:val="32"/>
          <w:highlight w:val="none"/>
          <w:lang w:val="en-US" w:eastAsia="zh-CN"/>
        </w:rPr>
        <w:t>5项</w:t>
      </w:r>
      <w:r>
        <w:rPr>
          <w:rStyle w:val="14"/>
          <w:rFonts w:eastAsia="仿宋_GB2312"/>
          <w:b w:val="0"/>
          <w:bCs/>
          <w:spacing w:val="-4"/>
          <w:sz w:val="32"/>
          <w:szCs w:val="32"/>
          <w:highlight w:val="none"/>
        </w:rPr>
        <w:t xml:space="preserve"> ，</w:t>
      </w:r>
      <w:r>
        <w:rPr>
          <w:rStyle w:val="14"/>
          <w:rFonts w:hint="eastAsia" w:eastAsia="仿宋_GB2312"/>
          <w:b w:val="0"/>
          <w:bCs/>
          <w:spacing w:val="-4"/>
          <w:sz w:val="32"/>
          <w:szCs w:val="32"/>
          <w:highlight w:val="none"/>
          <w:lang w:eastAsia="zh-CN"/>
        </w:rPr>
        <w:t>指标完成率1</w:t>
      </w:r>
      <w:r>
        <w:rPr>
          <w:rStyle w:val="14"/>
          <w:rFonts w:hint="eastAsia" w:eastAsia="仿宋_GB2312"/>
          <w:b w:val="0"/>
          <w:bCs/>
          <w:spacing w:val="-4"/>
          <w:sz w:val="32"/>
          <w:szCs w:val="32"/>
          <w:highlight w:val="none"/>
          <w:lang w:val="en-US" w:eastAsia="zh-CN"/>
        </w:rPr>
        <w:t>00</w:t>
      </w:r>
      <w:r>
        <w:rPr>
          <w:rStyle w:val="14"/>
          <w:rFonts w:hint="eastAsia" w:eastAsia="仿宋_GB2312"/>
          <w:b w:val="0"/>
          <w:bCs/>
          <w:spacing w:val="-4"/>
          <w:sz w:val="32"/>
          <w:szCs w:val="32"/>
          <w:highlight w:val="none"/>
          <w:lang w:eastAsia="zh-CN"/>
        </w:rPr>
        <w:t>%</w:t>
      </w:r>
      <w:r>
        <w:rPr>
          <w:rStyle w:val="14"/>
          <w:rFonts w:eastAsia="仿宋_GB2312"/>
          <w:b w:val="0"/>
          <w:bCs/>
          <w:spacing w:val="-4"/>
          <w:sz w:val="32"/>
          <w:szCs w:val="32"/>
          <w:highlight w:val="none"/>
        </w:rPr>
        <w:t>；</w:t>
      </w:r>
    </w:p>
    <w:p w14:paraId="47C3907F">
      <w:pPr>
        <w:spacing w:line="560" w:lineRule="exact"/>
        <w:ind w:firstLine="640" w:firstLineChars="200"/>
        <w:rPr>
          <w:rStyle w:val="16"/>
          <w:rFonts w:ascii="Times New Roman" w:hAnsi="Times New Roman" w:cs="Times New Roman"/>
          <w:b w:val="0"/>
          <w:bCs w:val="0"/>
          <w:color w:val="auto"/>
          <w:highlight w:val="none"/>
        </w:rPr>
      </w:pPr>
      <w:r>
        <w:rPr>
          <w:rStyle w:val="16"/>
          <w:rFonts w:hint="default" w:ascii="Times New Roman" w:hAnsi="Times New Roman" w:eastAsia="仿宋_GB2312" w:cs="Times New Roman"/>
          <w:b w:val="0"/>
          <w:bCs w:val="0"/>
          <w:color w:val="auto"/>
          <w:highlight w:val="none"/>
          <w:lang w:val="en-US" w:eastAsia="zh-CN"/>
        </w:rPr>
        <w:t>2、</w:t>
      </w:r>
      <w:r>
        <w:rPr>
          <w:rStyle w:val="16"/>
          <w:rFonts w:hint="default" w:ascii="Times New Roman" w:hAnsi="Times New Roman" w:cs="Times New Roman"/>
          <w:b w:val="0"/>
          <w:bCs w:val="0"/>
          <w:color w:val="auto"/>
          <w:highlight w:val="none"/>
        </w:rPr>
        <w:t>质</w:t>
      </w:r>
      <w:r>
        <w:rPr>
          <w:rStyle w:val="16"/>
          <w:rFonts w:ascii="Times New Roman" w:hAnsi="Times New Roman" w:cs="Times New Roman"/>
          <w:b w:val="0"/>
          <w:bCs w:val="0"/>
          <w:color w:val="auto"/>
          <w:highlight w:val="none"/>
        </w:rPr>
        <w:t>量指标方面：</w:t>
      </w:r>
    </w:p>
    <w:p w14:paraId="16A7CAF8">
      <w:pPr>
        <w:snapToGrid w:val="0"/>
        <w:spacing w:line="560" w:lineRule="exact"/>
        <w:ind w:firstLine="624" w:firstLineChars="200"/>
        <w:rPr>
          <w:rStyle w:val="14"/>
          <w:rFonts w:eastAsia="仿宋_GB2312"/>
          <w:b w:val="0"/>
          <w:spacing w:val="-4"/>
          <w:sz w:val="32"/>
          <w:szCs w:val="32"/>
          <w:highlight w:val="none"/>
        </w:rPr>
      </w:pPr>
      <w:r>
        <w:rPr>
          <w:rStyle w:val="14"/>
          <w:rFonts w:eastAsia="仿宋_GB2312"/>
          <w:b w:val="0"/>
          <w:spacing w:val="-4"/>
          <w:sz w:val="32"/>
          <w:szCs w:val="32"/>
          <w:highlight w:val="none"/>
        </w:rPr>
        <w:t>指标1：</w:t>
      </w:r>
      <w:r>
        <w:rPr>
          <w:rStyle w:val="14"/>
          <w:rFonts w:hint="eastAsia" w:eastAsia="仿宋_GB2312"/>
          <w:b w:val="0"/>
          <w:spacing w:val="-4"/>
          <w:sz w:val="32"/>
          <w:szCs w:val="32"/>
          <w:highlight w:val="none"/>
        </w:rPr>
        <w:t>设备验收合格率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lang w:eastAsia="zh-CN"/>
        </w:rPr>
        <w:t>指标完成率100%</w:t>
      </w:r>
      <w:r>
        <w:rPr>
          <w:rStyle w:val="14"/>
          <w:rFonts w:eastAsia="仿宋_GB2312"/>
          <w:b w:val="0"/>
          <w:spacing w:val="-4"/>
          <w:sz w:val="32"/>
          <w:szCs w:val="32"/>
          <w:highlight w:val="none"/>
        </w:rPr>
        <w:t>；</w:t>
      </w:r>
    </w:p>
    <w:p w14:paraId="2809E139">
      <w:pPr>
        <w:snapToGrid w:val="0"/>
        <w:spacing w:line="560" w:lineRule="exact"/>
        <w:ind w:firstLine="624" w:firstLineChars="200"/>
        <w:rPr>
          <w:rStyle w:val="14"/>
          <w:rFonts w:hint="eastAsia" w:eastAsia="仿宋_GB2312"/>
          <w:b w:val="0"/>
          <w:spacing w:val="-4"/>
          <w:sz w:val="32"/>
          <w:szCs w:val="32"/>
          <w:highlight w:val="none"/>
          <w:lang w:eastAsia="zh-CN"/>
        </w:rPr>
      </w:pPr>
      <w:r>
        <w:rPr>
          <w:rStyle w:val="14"/>
          <w:rFonts w:eastAsia="仿宋_GB2312"/>
          <w:b w:val="0"/>
          <w:spacing w:val="-4"/>
          <w:sz w:val="32"/>
          <w:szCs w:val="32"/>
          <w:highlight w:val="none"/>
        </w:rPr>
        <w:t>指标</w:t>
      </w:r>
      <w:r>
        <w:rPr>
          <w:rStyle w:val="14"/>
          <w:rFonts w:hint="eastAsia" w:eastAsia="仿宋_GB2312"/>
          <w:b w:val="0"/>
          <w:spacing w:val="-4"/>
          <w:sz w:val="32"/>
          <w:szCs w:val="32"/>
          <w:highlight w:val="none"/>
          <w:lang w:val="en-US" w:eastAsia="zh-CN"/>
        </w:rPr>
        <w:t>2</w:t>
      </w:r>
      <w:r>
        <w:rPr>
          <w:rStyle w:val="14"/>
          <w:rFonts w:eastAsia="仿宋_GB2312"/>
          <w:b w:val="0"/>
          <w:spacing w:val="-4"/>
          <w:sz w:val="32"/>
          <w:szCs w:val="32"/>
          <w:highlight w:val="none"/>
        </w:rPr>
        <w:t>：</w:t>
      </w:r>
      <w:r>
        <w:rPr>
          <w:rStyle w:val="14"/>
          <w:rFonts w:hint="eastAsia" w:eastAsia="仿宋_GB2312"/>
          <w:b w:val="0"/>
          <w:spacing w:val="-4"/>
          <w:sz w:val="32"/>
          <w:szCs w:val="32"/>
          <w:highlight w:val="none"/>
        </w:rPr>
        <w:t>人员防治培训开展率</w:t>
      </w:r>
      <w:r>
        <w:rPr>
          <w:rStyle w:val="14"/>
          <w:rFonts w:eastAsia="仿宋_GB2312"/>
          <w:b w:val="0"/>
          <w:spacing w:val="-4"/>
          <w:sz w:val="32"/>
          <w:szCs w:val="32"/>
          <w:highlight w:val="none"/>
        </w:rPr>
        <w:t>，指标值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，实际完成值</w:t>
      </w:r>
      <w:r>
        <w:rPr>
          <w:rStyle w:val="14"/>
          <w:rFonts w:hint="eastAsia" w:eastAsia="仿宋_GB2312"/>
          <w:b w:val="0"/>
          <w:spacing w:val="-4"/>
          <w:sz w:val="32"/>
          <w:szCs w:val="32"/>
          <w:highlight w:val="none"/>
        </w:rPr>
        <w:t>=100%</w:t>
      </w:r>
      <w:r>
        <w:rPr>
          <w:rStyle w:val="14"/>
          <w:rFonts w:eastAsia="仿宋_GB2312"/>
          <w:b w:val="0"/>
          <w:spacing w:val="-4"/>
          <w:sz w:val="32"/>
          <w:szCs w:val="32"/>
          <w:highlight w:val="none"/>
        </w:rPr>
        <w:t>，</w:t>
      </w:r>
      <w:r>
        <w:rPr>
          <w:rStyle w:val="14"/>
          <w:rFonts w:hint="eastAsia" w:eastAsia="仿宋_GB2312"/>
          <w:b w:val="0"/>
          <w:spacing w:val="-4"/>
          <w:sz w:val="32"/>
          <w:szCs w:val="32"/>
          <w:highlight w:val="none"/>
          <w:lang w:eastAsia="zh-CN"/>
        </w:rPr>
        <w:t>指标完成率100%；</w:t>
      </w:r>
    </w:p>
    <w:p w14:paraId="0291636F">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eastAsia="zh-CN"/>
        </w:rPr>
      </w:pPr>
      <w:r>
        <w:rPr>
          <w:rStyle w:val="14"/>
          <w:rFonts w:hint="eastAsia" w:eastAsia="仿宋_GB2312" w:cs="Times New Roman"/>
          <w:b w:val="0"/>
          <w:bCs/>
          <w:spacing w:val="-4"/>
          <w:sz w:val="32"/>
          <w:szCs w:val="32"/>
          <w:highlight w:val="none"/>
          <w:lang w:val="en-US" w:eastAsia="zh-CN"/>
        </w:rPr>
        <w:t>3、</w:t>
      </w:r>
      <w:r>
        <w:rPr>
          <w:rStyle w:val="14"/>
          <w:rFonts w:hint="eastAsia" w:ascii="Times New Roman" w:hAnsi="Times New Roman" w:eastAsia="仿宋_GB2312" w:cs="Times New Roman"/>
          <w:b w:val="0"/>
          <w:bCs/>
          <w:spacing w:val="-4"/>
          <w:sz w:val="32"/>
          <w:szCs w:val="32"/>
          <w:highlight w:val="none"/>
          <w:lang w:eastAsia="zh-CN"/>
        </w:rPr>
        <w:t>时效指标方面：</w:t>
      </w:r>
    </w:p>
    <w:p w14:paraId="11137D35">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eastAsia="zh-CN"/>
        </w:rPr>
      </w:pPr>
      <w:r>
        <w:rPr>
          <w:rStyle w:val="14"/>
          <w:rFonts w:hint="eastAsia" w:ascii="Times New Roman" w:hAnsi="Times New Roman" w:eastAsia="仿宋_GB2312" w:cs="Times New Roman"/>
          <w:b w:val="0"/>
          <w:bCs/>
          <w:spacing w:val="-4"/>
          <w:sz w:val="32"/>
          <w:szCs w:val="32"/>
          <w:highlight w:val="none"/>
          <w:lang w:eastAsia="zh-CN"/>
        </w:rPr>
        <w:t>指标1</w:t>
      </w:r>
      <w:r>
        <w:rPr>
          <w:rStyle w:val="14"/>
          <w:rFonts w:hint="eastAsia" w:eastAsia="仿宋_GB2312" w:cs="Times New Roman"/>
          <w:b w:val="0"/>
          <w:bCs/>
          <w:spacing w:val="-4"/>
          <w:sz w:val="32"/>
          <w:szCs w:val="32"/>
          <w:highlight w:val="none"/>
          <w:lang w:eastAsia="zh-CN"/>
        </w:rPr>
        <w:t>：</w:t>
      </w:r>
      <w:r>
        <w:rPr>
          <w:rStyle w:val="14"/>
          <w:rFonts w:hint="eastAsia" w:ascii="Times New Roman" w:hAnsi="Times New Roman" w:eastAsia="仿宋_GB2312" w:cs="Times New Roman"/>
          <w:b w:val="0"/>
          <w:bCs/>
          <w:spacing w:val="-4"/>
          <w:sz w:val="32"/>
          <w:szCs w:val="32"/>
          <w:highlight w:val="none"/>
          <w:lang w:eastAsia="zh-CN"/>
        </w:rPr>
        <w:t>培训完成时间，指标值≤12个月，实际完成值</w:t>
      </w:r>
      <w:r>
        <w:rPr>
          <w:rStyle w:val="14"/>
          <w:rFonts w:hint="eastAsia" w:ascii="Times New Roman" w:hAnsi="Times New Roman" w:eastAsia="仿宋_GB2312" w:cs="Times New Roman"/>
          <w:b w:val="0"/>
          <w:bCs/>
          <w:spacing w:val="-4"/>
          <w:sz w:val="32"/>
          <w:szCs w:val="32"/>
          <w:highlight w:val="none"/>
          <w:lang w:val="en-US" w:eastAsia="zh-CN"/>
        </w:rPr>
        <w:t>12个月</w:t>
      </w:r>
      <w:r>
        <w:rPr>
          <w:rStyle w:val="14"/>
          <w:rFonts w:hint="eastAsia" w:ascii="Times New Roman" w:hAnsi="Times New Roman" w:eastAsia="仿宋_GB2312" w:cs="Times New Roman"/>
          <w:b w:val="0"/>
          <w:bCs/>
          <w:spacing w:val="-4"/>
          <w:sz w:val="32"/>
          <w:szCs w:val="32"/>
          <w:highlight w:val="none"/>
          <w:lang w:eastAsia="zh-CN"/>
        </w:rPr>
        <w:t>，指标完成率100%；</w:t>
      </w:r>
    </w:p>
    <w:p w14:paraId="5384C938">
      <w:pPr>
        <w:pStyle w:val="2"/>
        <w:spacing w:before="0" w:after="0" w:line="560" w:lineRule="exact"/>
        <w:ind w:firstLine="624" w:firstLineChars="200"/>
        <w:jc w:val="both"/>
        <w:rPr>
          <w:rStyle w:val="14"/>
          <w:rFonts w:hint="eastAsia" w:ascii="Times New Roman" w:hAnsi="Times New Roman" w:eastAsia="仿宋_GB2312" w:cs="Times New Roman"/>
          <w:b w:val="0"/>
          <w:bCs/>
          <w:spacing w:val="-4"/>
          <w:kern w:val="2"/>
          <w:sz w:val="32"/>
          <w:szCs w:val="32"/>
          <w:highlight w:val="none"/>
          <w:lang w:val="en-US" w:eastAsia="zh-CN" w:bidi="ar-SA"/>
        </w:rPr>
      </w:pPr>
      <w:r>
        <w:rPr>
          <w:rStyle w:val="14"/>
          <w:rFonts w:hint="eastAsia" w:ascii="Times New Roman" w:hAnsi="Times New Roman" w:eastAsia="仿宋_GB2312" w:cs="Times New Roman"/>
          <w:b w:val="0"/>
          <w:bCs/>
          <w:spacing w:val="-4"/>
          <w:kern w:val="2"/>
          <w:sz w:val="32"/>
          <w:szCs w:val="32"/>
          <w:highlight w:val="none"/>
          <w:lang w:val="en-US" w:eastAsia="zh-CN" w:bidi="ar-SA"/>
        </w:rPr>
        <w:t>4、成本指标方面：</w:t>
      </w:r>
    </w:p>
    <w:p w14:paraId="5488D9BF">
      <w:pPr>
        <w:snapToGrid w:val="0"/>
        <w:spacing w:line="560" w:lineRule="exact"/>
        <w:ind w:firstLine="624" w:firstLineChars="200"/>
        <w:rPr>
          <w:rFonts w:hint="eastAsia"/>
          <w:highlight w:val="none"/>
          <w:lang w:eastAsia="zh-CN"/>
        </w:rPr>
      </w:pPr>
      <w:r>
        <w:rPr>
          <w:rStyle w:val="14"/>
          <w:rFonts w:hint="eastAsia" w:ascii="Times New Roman" w:hAnsi="Times New Roman" w:eastAsia="仿宋_GB2312" w:cs="Times New Roman"/>
          <w:b w:val="0"/>
          <w:spacing w:val="-4"/>
          <w:kern w:val="2"/>
          <w:sz w:val="32"/>
          <w:szCs w:val="32"/>
          <w:highlight w:val="none"/>
          <w:lang w:val="en-US" w:eastAsia="zh-CN" w:bidi="ar-SA"/>
        </w:rPr>
        <w:t>指标1：职业病防治工作专项业务费，指标值</w:t>
      </w:r>
      <w:r>
        <w:rPr>
          <w:rStyle w:val="14"/>
          <w:rFonts w:hint="eastAsia" w:eastAsia="仿宋_GB2312" w:cs="Times New Roman"/>
          <w:b w:val="0"/>
          <w:spacing w:val="-4"/>
          <w:kern w:val="2"/>
          <w:sz w:val="32"/>
          <w:szCs w:val="32"/>
          <w:highlight w:val="none"/>
          <w:lang w:val="en-US" w:eastAsia="zh-CN" w:bidi="ar-SA"/>
        </w:rPr>
        <w:t>=</w:t>
      </w:r>
      <w:r>
        <w:rPr>
          <w:rStyle w:val="14"/>
          <w:rFonts w:hint="eastAsia" w:ascii="Times New Roman" w:hAnsi="Times New Roman" w:eastAsia="仿宋_GB2312" w:cs="Times New Roman"/>
          <w:b w:val="0"/>
          <w:spacing w:val="-4"/>
          <w:kern w:val="2"/>
          <w:sz w:val="32"/>
          <w:szCs w:val="32"/>
          <w:highlight w:val="none"/>
          <w:lang w:val="en-US" w:eastAsia="zh-CN" w:bidi="ar-SA"/>
        </w:rPr>
        <w:t>120万元，实际完成值120万元，指标完成率100%</w:t>
      </w:r>
      <w:r>
        <w:rPr>
          <w:rStyle w:val="14"/>
          <w:rFonts w:hint="eastAsia" w:eastAsia="仿宋_GB2312" w:cs="Times New Roman"/>
          <w:b w:val="0"/>
          <w:spacing w:val="-4"/>
          <w:kern w:val="2"/>
          <w:sz w:val="32"/>
          <w:szCs w:val="32"/>
          <w:highlight w:val="none"/>
          <w:lang w:val="en-US" w:eastAsia="zh-CN" w:bidi="ar-SA"/>
        </w:rPr>
        <w:t>。</w:t>
      </w:r>
    </w:p>
    <w:p w14:paraId="7DC017C2">
      <w:pPr>
        <w:pStyle w:val="10"/>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效益情况</w:t>
      </w:r>
    </w:p>
    <w:p w14:paraId="742B4181">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eastAsia="zh-CN"/>
        </w:rPr>
      </w:pPr>
      <w:r>
        <w:rPr>
          <w:rStyle w:val="14"/>
          <w:rFonts w:hint="eastAsia" w:eastAsia="仿宋_GB2312" w:cs="Times New Roman"/>
          <w:b w:val="0"/>
          <w:bCs/>
          <w:spacing w:val="-4"/>
          <w:sz w:val="32"/>
          <w:szCs w:val="32"/>
          <w:highlight w:val="none"/>
          <w:lang w:val="en-US" w:eastAsia="zh-CN"/>
        </w:rPr>
        <w:t>1、</w:t>
      </w:r>
      <w:r>
        <w:rPr>
          <w:rStyle w:val="14"/>
          <w:rFonts w:hint="eastAsia" w:ascii="Times New Roman" w:hAnsi="Times New Roman" w:eastAsia="仿宋_GB2312" w:cs="Times New Roman"/>
          <w:b w:val="0"/>
          <w:bCs/>
          <w:spacing w:val="-4"/>
          <w:sz w:val="32"/>
          <w:szCs w:val="32"/>
          <w:highlight w:val="none"/>
          <w:lang w:eastAsia="zh-CN"/>
        </w:rPr>
        <w:t>社会效益指标方面：</w:t>
      </w:r>
    </w:p>
    <w:p w14:paraId="6DE5D1D5">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eastAsia="zh-CN"/>
        </w:rPr>
      </w:pPr>
      <w:r>
        <w:rPr>
          <w:rStyle w:val="14"/>
          <w:rFonts w:hint="eastAsia" w:ascii="Times New Roman" w:hAnsi="Times New Roman" w:eastAsia="仿宋_GB2312" w:cs="Times New Roman"/>
          <w:b w:val="0"/>
          <w:bCs/>
          <w:spacing w:val="-4"/>
          <w:sz w:val="32"/>
          <w:szCs w:val="32"/>
          <w:highlight w:val="none"/>
          <w:lang w:eastAsia="zh-CN"/>
        </w:rPr>
        <w:t>指标1：职业病防治能力，指标值有效提升，实际完成值有效提升，指标完成率100%；</w:t>
      </w:r>
    </w:p>
    <w:p w14:paraId="241D5610">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val="en-US" w:eastAsia="zh-CN"/>
        </w:rPr>
      </w:pPr>
      <w:r>
        <w:rPr>
          <w:rStyle w:val="14"/>
          <w:rFonts w:hint="eastAsia" w:ascii="Times New Roman" w:hAnsi="Times New Roman" w:eastAsia="仿宋_GB2312" w:cs="Times New Roman"/>
          <w:b w:val="0"/>
          <w:bCs/>
          <w:spacing w:val="-4"/>
          <w:sz w:val="32"/>
          <w:szCs w:val="32"/>
          <w:highlight w:val="none"/>
          <w:lang w:val="en-US" w:eastAsia="zh-CN"/>
        </w:rPr>
        <w:t>2、满意度指标方面：</w:t>
      </w:r>
    </w:p>
    <w:p w14:paraId="4F5FB3E1">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eastAsia="zh-CN"/>
        </w:rPr>
      </w:pPr>
      <w:r>
        <w:rPr>
          <w:rStyle w:val="14"/>
          <w:rFonts w:hint="eastAsia" w:ascii="Times New Roman" w:hAnsi="Times New Roman" w:eastAsia="仿宋_GB2312" w:cs="Times New Roman"/>
          <w:b w:val="0"/>
          <w:bCs/>
          <w:spacing w:val="-4"/>
          <w:sz w:val="32"/>
          <w:szCs w:val="32"/>
          <w:highlight w:val="none"/>
          <w:lang w:eastAsia="zh-CN"/>
        </w:rPr>
        <w:t>指标1：被培训人员满意度，指标值≥90%，实际完成值</w:t>
      </w:r>
      <w:r>
        <w:rPr>
          <w:rStyle w:val="14"/>
          <w:rFonts w:hint="eastAsia" w:eastAsia="仿宋_GB2312" w:cs="Times New Roman"/>
          <w:b w:val="0"/>
          <w:bCs/>
          <w:spacing w:val="-4"/>
          <w:sz w:val="32"/>
          <w:szCs w:val="32"/>
          <w:highlight w:val="none"/>
          <w:lang w:val="en-US" w:eastAsia="zh-CN"/>
        </w:rPr>
        <w:t>100</w:t>
      </w:r>
      <w:r>
        <w:rPr>
          <w:rStyle w:val="14"/>
          <w:rFonts w:hint="eastAsia" w:ascii="Times New Roman" w:hAnsi="Times New Roman" w:eastAsia="仿宋_GB2312" w:cs="Times New Roman"/>
          <w:b w:val="0"/>
          <w:bCs/>
          <w:spacing w:val="-4"/>
          <w:sz w:val="32"/>
          <w:szCs w:val="32"/>
          <w:highlight w:val="none"/>
          <w:lang w:eastAsia="zh-CN"/>
        </w:rPr>
        <w:t>%，指标完成率</w:t>
      </w:r>
      <w:r>
        <w:rPr>
          <w:rStyle w:val="14"/>
          <w:rFonts w:hint="eastAsia" w:eastAsia="仿宋_GB2312" w:cs="Times New Roman"/>
          <w:b w:val="0"/>
          <w:bCs/>
          <w:spacing w:val="-4"/>
          <w:sz w:val="32"/>
          <w:szCs w:val="32"/>
          <w:highlight w:val="none"/>
          <w:lang w:val="en-US" w:eastAsia="zh-CN"/>
        </w:rPr>
        <w:t>111.11</w:t>
      </w:r>
      <w:r>
        <w:rPr>
          <w:rStyle w:val="14"/>
          <w:rFonts w:hint="eastAsia" w:ascii="Times New Roman" w:hAnsi="Times New Roman" w:eastAsia="仿宋_GB2312" w:cs="Times New Roman"/>
          <w:b w:val="0"/>
          <w:bCs/>
          <w:spacing w:val="-4"/>
          <w:sz w:val="32"/>
          <w:szCs w:val="32"/>
          <w:highlight w:val="none"/>
          <w:lang w:eastAsia="zh-CN"/>
        </w:rPr>
        <w:t>%；</w:t>
      </w:r>
    </w:p>
    <w:p w14:paraId="7F03C8C6">
      <w:pPr>
        <w:snapToGrid w:val="0"/>
        <w:spacing w:line="560" w:lineRule="exact"/>
        <w:ind w:firstLine="624" w:firstLineChars="200"/>
        <w:rPr>
          <w:rStyle w:val="14"/>
          <w:rFonts w:hint="eastAsia" w:ascii="Times New Roman" w:hAnsi="Times New Roman" w:eastAsia="仿宋_GB2312" w:cs="Times New Roman"/>
          <w:b w:val="0"/>
          <w:bCs/>
          <w:spacing w:val="-4"/>
          <w:sz w:val="32"/>
          <w:szCs w:val="32"/>
          <w:highlight w:val="none"/>
          <w:lang w:val="en-US" w:eastAsia="zh-CN"/>
        </w:rPr>
      </w:pPr>
      <w:r>
        <w:rPr>
          <w:rStyle w:val="14"/>
          <w:rFonts w:hint="eastAsia" w:ascii="Times New Roman" w:hAnsi="Times New Roman" w:eastAsia="仿宋_GB2312" w:cs="Times New Roman"/>
          <w:b w:val="0"/>
          <w:bCs/>
          <w:spacing w:val="-4"/>
          <w:sz w:val="32"/>
          <w:szCs w:val="32"/>
          <w:highlight w:val="none"/>
          <w:lang w:eastAsia="zh-CN"/>
        </w:rPr>
        <w:t>指标</w:t>
      </w:r>
      <w:r>
        <w:rPr>
          <w:rStyle w:val="14"/>
          <w:rFonts w:hint="eastAsia" w:ascii="Times New Roman" w:hAnsi="Times New Roman" w:eastAsia="仿宋_GB2312" w:cs="Times New Roman"/>
          <w:b w:val="0"/>
          <w:bCs/>
          <w:spacing w:val="-4"/>
          <w:sz w:val="32"/>
          <w:szCs w:val="32"/>
          <w:highlight w:val="none"/>
          <w:lang w:val="en-US" w:eastAsia="zh-CN"/>
        </w:rPr>
        <w:t>2</w:t>
      </w:r>
      <w:r>
        <w:rPr>
          <w:rStyle w:val="14"/>
          <w:rFonts w:hint="eastAsia" w:ascii="Times New Roman" w:hAnsi="Times New Roman" w:eastAsia="仿宋_GB2312" w:cs="Times New Roman"/>
          <w:b w:val="0"/>
          <w:bCs/>
          <w:spacing w:val="-4"/>
          <w:sz w:val="32"/>
          <w:szCs w:val="32"/>
          <w:highlight w:val="none"/>
          <w:lang w:eastAsia="zh-CN"/>
        </w:rPr>
        <w:t>：服务企业满意度，指标值≥90%，实际完成值</w:t>
      </w:r>
      <w:r>
        <w:rPr>
          <w:rStyle w:val="14"/>
          <w:rFonts w:hint="eastAsia" w:eastAsia="仿宋_GB2312" w:cs="Times New Roman"/>
          <w:b w:val="0"/>
          <w:bCs/>
          <w:spacing w:val="-4"/>
          <w:sz w:val="32"/>
          <w:szCs w:val="32"/>
          <w:highlight w:val="none"/>
          <w:lang w:val="en-US" w:eastAsia="zh-CN"/>
        </w:rPr>
        <w:t>100</w:t>
      </w:r>
      <w:r>
        <w:rPr>
          <w:rStyle w:val="14"/>
          <w:rFonts w:hint="eastAsia" w:ascii="Times New Roman" w:hAnsi="Times New Roman" w:eastAsia="仿宋_GB2312" w:cs="Times New Roman"/>
          <w:b w:val="0"/>
          <w:bCs/>
          <w:spacing w:val="-4"/>
          <w:sz w:val="32"/>
          <w:szCs w:val="32"/>
          <w:highlight w:val="none"/>
          <w:lang w:eastAsia="zh-CN"/>
        </w:rPr>
        <w:t>%，指标完成率</w:t>
      </w:r>
      <w:r>
        <w:rPr>
          <w:rStyle w:val="14"/>
          <w:rFonts w:hint="eastAsia" w:eastAsia="仿宋_GB2312" w:cs="Times New Roman"/>
          <w:b w:val="0"/>
          <w:bCs/>
          <w:spacing w:val="-4"/>
          <w:sz w:val="32"/>
          <w:szCs w:val="32"/>
          <w:highlight w:val="none"/>
          <w:lang w:val="en-US" w:eastAsia="zh-CN"/>
        </w:rPr>
        <w:t>111.11</w:t>
      </w:r>
      <w:r>
        <w:rPr>
          <w:rStyle w:val="14"/>
          <w:rFonts w:hint="eastAsia" w:ascii="Times New Roman" w:hAnsi="Times New Roman" w:eastAsia="仿宋_GB2312" w:cs="Times New Roman"/>
          <w:b w:val="0"/>
          <w:bCs/>
          <w:spacing w:val="-4"/>
          <w:sz w:val="32"/>
          <w:szCs w:val="32"/>
          <w:highlight w:val="none"/>
          <w:lang w:eastAsia="zh-CN"/>
        </w:rPr>
        <w:t>%</w:t>
      </w:r>
      <w:r>
        <w:rPr>
          <w:rStyle w:val="14"/>
          <w:rFonts w:hint="eastAsia" w:eastAsia="仿宋_GB2312" w:cs="Times New Roman"/>
          <w:b w:val="0"/>
          <w:bCs/>
          <w:spacing w:val="-4"/>
          <w:sz w:val="32"/>
          <w:szCs w:val="32"/>
          <w:highlight w:val="none"/>
          <w:lang w:eastAsia="zh-CN"/>
        </w:rPr>
        <w:t>。</w:t>
      </w:r>
    </w:p>
    <w:p w14:paraId="4913125D">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250EB4D4">
      <w:pPr>
        <w:pStyle w:val="17"/>
        <w:spacing w:line="560" w:lineRule="exact"/>
        <w:ind w:firstLine="640"/>
        <w:rPr>
          <w:rStyle w:val="14"/>
          <w:rFonts w:hint="eastAsia" w:ascii="Times New Roman" w:hAnsi="Times New Roman" w:eastAsia="仿宋_GB2312" w:cs="Times New Roman"/>
          <w:b w:val="0"/>
          <w:bCs/>
          <w:spacing w:val="-4"/>
          <w:sz w:val="32"/>
          <w:szCs w:val="32"/>
          <w:highlight w:val="none"/>
          <w:lang w:eastAsia="zh-CN"/>
        </w:rPr>
      </w:pPr>
      <w:r>
        <w:rPr>
          <w:rFonts w:hint="eastAsia" w:eastAsia="仿宋_GB2312"/>
          <w:color w:val="auto"/>
          <w:sz w:val="32"/>
          <w:szCs w:val="32"/>
          <w:highlight w:val="none"/>
        </w:rPr>
        <w:t>职业病防治工作专项业务费</w:t>
      </w:r>
      <w:r>
        <w:rPr>
          <w:rStyle w:val="14"/>
          <w:rFonts w:hint="eastAsia" w:ascii="Times New Roman" w:hAnsi="Times New Roman" w:eastAsia="仿宋_GB2312" w:cs="Times New Roman"/>
          <w:b w:val="0"/>
          <w:bCs/>
          <w:spacing w:val="-4"/>
          <w:sz w:val="32"/>
          <w:szCs w:val="32"/>
          <w:highlight w:val="none"/>
          <w:lang w:eastAsia="zh-CN"/>
        </w:rPr>
        <w:t>项目预算</w:t>
      </w:r>
      <w:r>
        <w:rPr>
          <w:rStyle w:val="14"/>
          <w:rFonts w:hint="eastAsia" w:ascii="Times New Roman" w:hAnsi="Times New Roman" w:eastAsia="仿宋_GB2312" w:cs="Times New Roman"/>
          <w:b w:val="0"/>
          <w:bCs/>
          <w:spacing w:val="-4"/>
          <w:sz w:val="32"/>
          <w:szCs w:val="32"/>
          <w:highlight w:val="none"/>
          <w:lang w:val="en-US" w:eastAsia="zh-CN"/>
        </w:rPr>
        <w:t>120</w:t>
      </w:r>
      <w:r>
        <w:rPr>
          <w:rStyle w:val="14"/>
          <w:rFonts w:hint="eastAsia" w:ascii="Times New Roman" w:hAnsi="Times New Roman" w:eastAsia="仿宋_GB2312" w:cs="Times New Roman"/>
          <w:b w:val="0"/>
          <w:bCs/>
          <w:spacing w:val="-4"/>
          <w:sz w:val="32"/>
          <w:szCs w:val="32"/>
          <w:highlight w:val="none"/>
          <w:lang w:eastAsia="zh-CN"/>
        </w:rPr>
        <w:t>万元，到位</w:t>
      </w:r>
      <w:r>
        <w:rPr>
          <w:rStyle w:val="14"/>
          <w:rFonts w:hint="eastAsia" w:ascii="Times New Roman" w:hAnsi="Times New Roman" w:eastAsia="仿宋_GB2312" w:cs="Times New Roman"/>
          <w:b w:val="0"/>
          <w:bCs/>
          <w:spacing w:val="-4"/>
          <w:sz w:val="32"/>
          <w:szCs w:val="32"/>
          <w:highlight w:val="none"/>
          <w:lang w:val="en-US" w:eastAsia="zh-CN"/>
        </w:rPr>
        <w:t>120</w:t>
      </w:r>
      <w:r>
        <w:rPr>
          <w:rStyle w:val="14"/>
          <w:rFonts w:hint="eastAsia" w:ascii="Times New Roman" w:hAnsi="Times New Roman" w:eastAsia="仿宋_GB2312" w:cs="Times New Roman"/>
          <w:b w:val="0"/>
          <w:bCs/>
          <w:spacing w:val="-4"/>
          <w:sz w:val="32"/>
          <w:szCs w:val="32"/>
          <w:highlight w:val="none"/>
          <w:lang w:eastAsia="zh-CN"/>
        </w:rPr>
        <w:t>万元，实际支出</w:t>
      </w:r>
      <w:r>
        <w:rPr>
          <w:rStyle w:val="14"/>
          <w:rFonts w:hint="eastAsia" w:ascii="Times New Roman" w:hAnsi="Times New Roman" w:eastAsia="仿宋_GB2312" w:cs="Times New Roman"/>
          <w:b w:val="0"/>
          <w:bCs/>
          <w:spacing w:val="-4"/>
          <w:sz w:val="32"/>
          <w:szCs w:val="32"/>
          <w:highlight w:val="none"/>
          <w:lang w:val="en-US" w:eastAsia="zh-CN"/>
        </w:rPr>
        <w:t>120</w:t>
      </w:r>
      <w:r>
        <w:rPr>
          <w:rStyle w:val="14"/>
          <w:rFonts w:hint="eastAsia" w:ascii="Times New Roman" w:hAnsi="Times New Roman" w:eastAsia="仿宋_GB2312" w:cs="Times New Roman"/>
          <w:b w:val="0"/>
          <w:bCs/>
          <w:spacing w:val="-4"/>
          <w:sz w:val="32"/>
          <w:szCs w:val="32"/>
          <w:highlight w:val="none"/>
          <w:lang w:eastAsia="zh-CN"/>
        </w:rPr>
        <w:t>万元，预算执行率为</w:t>
      </w:r>
      <w:r>
        <w:rPr>
          <w:rStyle w:val="14"/>
          <w:rFonts w:hint="eastAsia" w:ascii="Times New Roman" w:hAnsi="Times New Roman" w:eastAsia="仿宋_GB2312" w:cs="Times New Roman"/>
          <w:b w:val="0"/>
          <w:bCs/>
          <w:spacing w:val="-4"/>
          <w:sz w:val="32"/>
          <w:szCs w:val="32"/>
          <w:highlight w:val="none"/>
          <w:lang w:val="en-US" w:eastAsia="zh-CN"/>
        </w:rPr>
        <w:t>100</w:t>
      </w:r>
      <w:r>
        <w:rPr>
          <w:rStyle w:val="14"/>
          <w:rFonts w:hint="eastAsia" w:ascii="Times New Roman" w:hAnsi="Times New Roman" w:eastAsia="仿宋_GB2312" w:cs="Times New Roman"/>
          <w:b w:val="0"/>
          <w:bCs/>
          <w:spacing w:val="-4"/>
          <w:sz w:val="32"/>
          <w:szCs w:val="32"/>
          <w:highlight w:val="none"/>
          <w:lang w:eastAsia="zh-CN"/>
        </w:rPr>
        <w:t>%，项目绩效指标总体完成率为</w:t>
      </w:r>
      <w:r>
        <w:rPr>
          <w:rStyle w:val="14"/>
          <w:rFonts w:hint="eastAsia" w:eastAsia="仿宋_GB2312" w:cs="Times New Roman"/>
          <w:b w:val="0"/>
          <w:bCs/>
          <w:spacing w:val="-4"/>
          <w:sz w:val="32"/>
          <w:szCs w:val="32"/>
          <w:highlight w:val="none"/>
          <w:lang w:val="en-US" w:eastAsia="zh-CN"/>
        </w:rPr>
        <w:t>108.84</w:t>
      </w:r>
      <w:r>
        <w:rPr>
          <w:rStyle w:val="14"/>
          <w:rFonts w:hint="eastAsia" w:ascii="Times New Roman" w:hAnsi="Times New Roman" w:eastAsia="仿宋_GB2312" w:cs="Times New Roman"/>
          <w:b w:val="0"/>
          <w:bCs/>
          <w:spacing w:val="-4"/>
          <w:sz w:val="32"/>
          <w:szCs w:val="32"/>
          <w:highlight w:val="none"/>
          <w:lang w:eastAsia="zh-CN"/>
        </w:rPr>
        <w:t>%，</w:t>
      </w:r>
      <w:r>
        <w:rPr>
          <w:rStyle w:val="14"/>
          <w:rFonts w:hint="eastAsia" w:ascii="Times New Roman" w:hAnsi="Times New Roman" w:eastAsia="仿宋_GB2312" w:cs="Times New Roman"/>
          <w:b w:val="0"/>
          <w:bCs/>
          <w:spacing w:val="-4"/>
          <w:sz w:val="32"/>
          <w:szCs w:val="32"/>
          <w:highlight w:val="none"/>
          <w:lang w:eastAsia="zh-Hans"/>
        </w:rPr>
        <w:t>总体</w:t>
      </w:r>
      <w:r>
        <w:rPr>
          <w:rStyle w:val="14"/>
          <w:rFonts w:hint="eastAsia" w:ascii="Times New Roman" w:hAnsi="Times New Roman" w:eastAsia="仿宋_GB2312" w:cs="Times New Roman"/>
          <w:b w:val="0"/>
          <w:bCs/>
          <w:spacing w:val="-4"/>
          <w:sz w:val="32"/>
          <w:szCs w:val="32"/>
          <w:highlight w:val="none"/>
          <w:lang w:eastAsia="zh-CN"/>
        </w:rPr>
        <w:t>偏差率为</w:t>
      </w:r>
      <w:r>
        <w:rPr>
          <w:rStyle w:val="14"/>
          <w:rFonts w:hint="eastAsia" w:eastAsia="仿宋_GB2312" w:cs="Times New Roman"/>
          <w:b w:val="0"/>
          <w:bCs/>
          <w:spacing w:val="-4"/>
          <w:sz w:val="32"/>
          <w:szCs w:val="32"/>
          <w:highlight w:val="none"/>
          <w:lang w:val="en-US" w:eastAsia="zh-CN"/>
        </w:rPr>
        <w:t>8.84</w:t>
      </w:r>
      <w:r>
        <w:rPr>
          <w:rStyle w:val="14"/>
          <w:rFonts w:hint="eastAsia" w:ascii="Times New Roman" w:hAnsi="Times New Roman" w:eastAsia="仿宋_GB2312" w:cs="Times New Roman"/>
          <w:b w:val="0"/>
          <w:bCs/>
          <w:spacing w:val="-4"/>
          <w:sz w:val="32"/>
          <w:szCs w:val="32"/>
          <w:highlight w:val="none"/>
          <w:lang w:eastAsia="zh-CN"/>
        </w:rPr>
        <w:t>%，</w:t>
      </w:r>
      <w:r>
        <w:rPr>
          <w:rFonts w:hint="eastAsia" w:ascii="Times New Roman" w:hAnsi="Times New Roman" w:eastAsia="仿宋_GB2312" w:cs="Times New Roman"/>
          <w:kern w:val="2"/>
          <w:sz w:val="32"/>
          <w:szCs w:val="32"/>
          <w:highlight w:val="none"/>
          <w:lang w:val="en-US" w:eastAsia="zh-Hans" w:bidi="ar-SA"/>
        </w:rPr>
        <w:t>偏差</w:t>
      </w:r>
      <w:r>
        <w:rPr>
          <w:rFonts w:hint="eastAsia" w:ascii="Times New Roman" w:hAnsi="Times New Roman" w:eastAsia="仿宋_GB2312" w:cs="Times New Roman"/>
          <w:kern w:val="2"/>
          <w:sz w:val="32"/>
          <w:szCs w:val="32"/>
          <w:highlight w:val="none"/>
          <w:lang w:val="en-US" w:eastAsia="zh-CN" w:bidi="ar-SA"/>
        </w:rPr>
        <w:t>原因是</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偏差率在标准范围内</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Hans" w:bidi="ar-SA"/>
        </w:rPr>
        <w:t>改进</w:t>
      </w:r>
      <w:r>
        <w:rPr>
          <w:rFonts w:hint="eastAsia" w:ascii="Times New Roman" w:hAnsi="Times New Roman" w:eastAsia="仿宋_GB2312" w:cs="Times New Roman"/>
          <w:kern w:val="2"/>
          <w:sz w:val="32"/>
          <w:szCs w:val="32"/>
          <w:highlight w:val="none"/>
          <w:lang w:val="en-US" w:eastAsia="zh-CN" w:bidi="ar-SA"/>
        </w:rPr>
        <w:t>措施</w:t>
      </w:r>
      <w:r>
        <w:rPr>
          <w:rFonts w:hint="eastAsia"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进一步加强预算管理工作。</w:t>
      </w:r>
    </w:p>
    <w:p w14:paraId="1CE253D3">
      <w:pPr>
        <w:spacing w:line="560" w:lineRule="exact"/>
        <w:ind w:firstLine="640" w:firstLineChars="200"/>
        <w:rPr>
          <w:rStyle w:val="16"/>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71C71561">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682EDCE6">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1972DFF">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DF0B700">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36B8DCE4">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14:paraId="076B6DB3">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37713FD3">
      <w:pPr>
        <w:spacing w:line="56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094CC97B">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8" w:name="page8"/>
      <w:bookmarkEnd w:id="8"/>
      <w:r>
        <w:rPr>
          <w:rFonts w:eastAsia="黑体"/>
          <w:sz w:val="32"/>
          <w:szCs w:val="32"/>
          <w:highlight w:val="none"/>
        </w:rPr>
        <w:t>明的问题</w:t>
      </w:r>
    </w:p>
    <w:p w14:paraId="65E72A26">
      <w:pPr>
        <w:pStyle w:val="11"/>
        <w:spacing w:after="0" w:line="560" w:lineRule="exact"/>
        <w:ind w:left="0" w:leftChars="0" w:firstLine="64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Hans"/>
        </w:rPr>
        <w:t>本项目无其他需说明的问题。</w:t>
      </w:r>
    </w:p>
    <w:p w14:paraId="261A9BAD">
      <w:pPr>
        <w:pStyle w:val="11"/>
        <w:spacing w:after="0" w:line="560" w:lineRule="exact"/>
        <w:ind w:left="0" w:leftChars="0" w:firstLine="0" w:firstLineChars="0"/>
        <w:rPr>
          <w:rFonts w:ascii="仿宋_GB2312" w:hAnsi="仿宋_GB2312" w:eastAsia="仿宋_GB2312" w:cs="仿宋_GB2312"/>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p w14:paraId="2DC5D223">
      <w:pPr>
        <w:pStyle w:val="11"/>
        <w:spacing w:after="0" w:line="560" w:lineRule="exact"/>
        <w:ind w:left="0" w:leftChars="0" w:firstLine="0" w:firstLineChars="0"/>
        <w:jc w:val="center"/>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项目支出绩效自评表</w: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4D65C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090F15DD">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cs="宋体"/>
                <w:i w:val="0"/>
                <w:iCs w:val="0"/>
                <w:color w:val="000000"/>
                <w:kern w:val="0"/>
                <w:sz w:val="22"/>
                <w:szCs w:val="22"/>
                <w:highlight w:val="none"/>
                <w:u w:val="none"/>
                <w:lang w:val="en-US" w:eastAsia="zh-CN" w:bidi="ar"/>
              </w:rPr>
              <w:t>（</w:t>
            </w:r>
            <w:r>
              <w:rPr>
                <w:rFonts w:hint="eastAsia" w:ascii="宋体" w:hAnsi="宋体" w:eastAsia="宋体" w:cs="宋体"/>
                <w:i w:val="0"/>
                <w:iCs w:val="0"/>
                <w:color w:val="000000"/>
                <w:kern w:val="0"/>
                <w:sz w:val="22"/>
                <w:szCs w:val="22"/>
                <w:highlight w:val="none"/>
                <w:u w:val="none"/>
                <w:lang w:val="en-US" w:eastAsia="zh-CN" w:bidi="ar"/>
              </w:rPr>
              <w:t>2023年度</w:t>
            </w:r>
            <w:r>
              <w:rPr>
                <w:rFonts w:hint="eastAsia" w:ascii="宋体" w:hAnsi="宋体" w:cs="宋体"/>
                <w:i w:val="0"/>
                <w:iCs w:val="0"/>
                <w:color w:val="000000"/>
                <w:kern w:val="0"/>
                <w:sz w:val="22"/>
                <w:szCs w:val="22"/>
                <w:highlight w:val="none"/>
                <w:u w:val="none"/>
                <w:lang w:val="en-US" w:eastAsia="zh-CN" w:bidi="ar"/>
              </w:rPr>
              <w:t>）</w:t>
            </w:r>
          </w:p>
        </w:tc>
      </w:tr>
      <w:tr w14:paraId="1F6D3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DF12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056B72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职业病防治工作专项业务费</w:t>
            </w:r>
          </w:p>
        </w:tc>
      </w:tr>
      <w:tr w14:paraId="56D4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115E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93F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新疆维吾尔自治区第三人民医院</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8D8C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实施单位</w:t>
            </w:r>
          </w:p>
        </w:tc>
        <w:tc>
          <w:tcPr>
            <w:tcW w:w="224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DC71C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新疆维吾尔自治区第三人民医院</w:t>
            </w:r>
          </w:p>
        </w:tc>
      </w:tr>
      <w:tr w14:paraId="002BC3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71B0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w:t>
            </w:r>
            <w:r>
              <w:rPr>
                <w:rFonts w:hint="eastAsia" w:ascii="宋体" w:hAnsi="宋体" w:eastAsia="宋体" w:cs="宋体"/>
                <w:b/>
                <w:bCs/>
                <w:i w:val="0"/>
                <w:iCs w:val="0"/>
                <w:color w:val="000000"/>
                <w:kern w:val="0"/>
                <w:sz w:val="18"/>
                <w:szCs w:val="18"/>
                <w:highlight w:val="none"/>
                <w:u w:val="none"/>
                <w:lang w:val="en-US" w:eastAsia="zh-CN" w:bidi="ar"/>
              </w:rPr>
              <w:br w:type="textWrapping"/>
            </w:r>
            <w:r>
              <w:rPr>
                <w:rFonts w:hint="eastAsia" w:ascii="宋体" w:hAnsi="宋体" w:eastAsia="宋体" w:cs="宋体"/>
                <w:b/>
                <w:bCs/>
                <w:i w:val="0"/>
                <w:iCs w:val="0"/>
                <w:color w:val="000000"/>
                <w:kern w:val="0"/>
                <w:sz w:val="18"/>
                <w:szCs w:val="18"/>
                <w:highlight w:val="none"/>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084CCB">
            <w:pPr>
              <w:jc w:val="center"/>
              <w:rPr>
                <w:rFonts w:hint="eastAsia" w:ascii="宋体" w:hAnsi="宋体" w:eastAsia="宋体" w:cs="宋体"/>
                <w:b/>
                <w:bCs/>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325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年初预算数</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C092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0E45A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E16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1C11F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执行率</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286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得分</w:t>
            </w:r>
          </w:p>
        </w:tc>
      </w:tr>
      <w:tr w14:paraId="07519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5D11C0">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FC64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119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120.00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D15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EA6F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E77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989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100.00%</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7BB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10.00分</w:t>
            </w:r>
          </w:p>
        </w:tc>
      </w:tr>
      <w:tr w14:paraId="7BCA2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C04244">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893C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3C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EEC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B943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1D0D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19AB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44D6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58473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A9131">
            <w:pPr>
              <w:jc w:val="center"/>
              <w:rPr>
                <w:rFonts w:hint="eastAsia" w:ascii="宋体" w:hAnsi="宋体" w:eastAsia="宋体" w:cs="宋体"/>
                <w:b/>
                <w:bCs/>
                <w:i w:val="0"/>
                <w:iCs w:val="0"/>
                <w:color w:val="000000"/>
                <w:sz w:val="18"/>
                <w:szCs w:val="18"/>
                <w:highlight w:val="none"/>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5835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078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66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B82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3E69F1">
            <w:pPr>
              <w:jc w:val="center"/>
              <w:rPr>
                <w:rFonts w:hint="eastAsia" w:ascii="宋体" w:hAnsi="宋体" w:eastAsia="宋体" w:cs="宋体"/>
                <w:i w:val="0"/>
                <w:iCs w:val="0"/>
                <w:color w:val="000000"/>
                <w:sz w:val="18"/>
                <w:szCs w:val="18"/>
                <w:highlight w:val="none"/>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FE4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B727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42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w:t>
            </w:r>
          </w:p>
        </w:tc>
      </w:tr>
      <w:tr w14:paraId="4D787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43553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6D99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预期目标</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F91B52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实际完成情况</w:t>
            </w:r>
          </w:p>
        </w:tc>
      </w:tr>
      <w:tr w14:paraId="02F5E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B994C">
            <w:pPr>
              <w:jc w:val="center"/>
              <w:rPr>
                <w:rFonts w:hint="eastAsia" w:ascii="宋体" w:hAnsi="宋体" w:eastAsia="宋体" w:cs="宋体"/>
                <w:b/>
                <w:bCs/>
                <w:i w:val="0"/>
                <w:iCs w:val="0"/>
                <w:color w:val="000000"/>
                <w:sz w:val="18"/>
                <w:szCs w:val="18"/>
                <w:highlight w:val="none"/>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19DFD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1.开展作业场所职业危害因素</w:t>
            </w:r>
            <w:r>
              <w:rPr>
                <w:rFonts w:hint="eastAsia" w:ascii="宋体" w:hAnsi="宋体" w:cs="宋体"/>
                <w:i w:val="0"/>
                <w:iCs w:val="0"/>
                <w:color w:val="000000"/>
                <w:kern w:val="0"/>
                <w:sz w:val="18"/>
                <w:szCs w:val="18"/>
                <w:highlight w:val="none"/>
                <w:u w:val="none"/>
                <w:lang w:val="en-US" w:eastAsia="zh-CN" w:bidi="ar"/>
              </w:rPr>
              <w:t>监测</w:t>
            </w:r>
            <w:r>
              <w:rPr>
                <w:rFonts w:hint="eastAsia" w:ascii="宋体" w:hAnsi="宋体" w:eastAsia="宋体" w:cs="宋体"/>
                <w:i w:val="0"/>
                <w:iCs w:val="0"/>
                <w:color w:val="000000"/>
                <w:kern w:val="0"/>
                <w:sz w:val="18"/>
                <w:szCs w:val="18"/>
                <w:highlight w:val="none"/>
                <w:u w:val="none"/>
                <w:lang w:val="en-US" w:eastAsia="zh-CN" w:bidi="ar"/>
              </w:rPr>
              <w:t>，建设项目职业危害评价，职业健康监护，预防和减少职业病发生的因素。为被检测企业提供全面准确的职业病危害检测及评价报告、建立健全企业全面落实职业健康意识，帮助企业完善职业健康体系，从而促进健康企业乃至健康中国工作推进进度。2.开展生物样品中二氯甲烷、三甲基氯化锡、苯酚、甲醇等检测项目。更好</w:t>
            </w:r>
            <w:r>
              <w:rPr>
                <w:rFonts w:hint="eastAsia" w:ascii="宋体" w:hAnsi="宋体" w:cs="宋体"/>
                <w:i w:val="0"/>
                <w:iCs w:val="0"/>
                <w:color w:val="000000"/>
                <w:kern w:val="0"/>
                <w:sz w:val="18"/>
                <w:szCs w:val="18"/>
                <w:highlight w:val="none"/>
                <w:u w:val="none"/>
                <w:lang w:val="en-US" w:eastAsia="zh-CN" w:bidi="ar"/>
              </w:rPr>
              <w:t>地</w:t>
            </w:r>
            <w:r>
              <w:rPr>
                <w:rFonts w:hint="eastAsia" w:ascii="宋体" w:hAnsi="宋体" w:eastAsia="宋体" w:cs="宋体"/>
                <w:i w:val="0"/>
                <w:iCs w:val="0"/>
                <w:color w:val="000000"/>
                <w:kern w:val="0"/>
                <w:sz w:val="18"/>
                <w:szCs w:val="18"/>
                <w:highlight w:val="none"/>
                <w:u w:val="none"/>
                <w:lang w:val="en-US" w:eastAsia="zh-CN" w:bidi="ar"/>
              </w:rPr>
              <w:t>实现职防院在全疆的技术引领，扩大职业病防治能力的覆盖面。3.面向全疆各级职业卫生技术服务机构、职业病防治机构、企业管理层、产业工人等各阶层开展职业病预防、治疗、职业防治法和职业卫生专业技术宣传指导，降低固有职业病危害和新发职业病，指导督促健康企业申报和健康达人申报，进一步加强职业病防治工作。</w:t>
            </w:r>
          </w:p>
        </w:tc>
        <w:tc>
          <w:tcPr>
            <w:tcW w:w="290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C4D6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1.2023年开展作业场所职业危害因素</w:t>
            </w:r>
            <w:r>
              <w:rPr>
                <w:rFonts w:hint="eastAsia" w:ascii="宋体" w:hAnsi="宋体" w:cs="宋体"/>
                <w:i w:val="0"/>
                <w:iCs w:val="0"/>
                <w:color w:val="000000"/>
                <w:kern w:val="0"/>
                <w:sz w:val="18"/>
                <w:szCs w:val="18"/>
                <w:highlight w:val="none"/>
                <w:u w:val="none"/>
                <w:lang w:val="en-US" w:eastAsia="zh-CN" w:bidi="ar"/>
              </w:rPr>
              <w:t>监测</w:t>
            </w:r>
            <w:r>
              <w:rPr>
                <w:rFonts w:hint="eastAsia" w:ascii="宋体" w:hAnsi="宋体" w:eastAsia="宋体" w:cs="宋体"/>
                <w:i w:val="0"/>
                <w:iCs w:val="0"/>
                <w:color w:val="000000"/>
                <w:kern w:val="0"/>
                <w:sz w:val="18"/>
                <w:szCs w:val="18"/>
                <w:highlight w:val="none"/>
                <w:u w:val="none"/>
                <w:lang w:val="en-US" w:eastAsia="zh-CN" w:bidi="ar"/>
              </w:rPr>
              <w:t>及职业健康监护，预防和减少职业病发生。为被检测企业提供全面准确的职业病危害检测及评价报告、建立健全企业全面落实职业健康意识，帮助企业完善职业健康体系，从而促进健康企业乃至健康中国工作推进进度。</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2.开展生物样品中甲醇、丙酮、乙醇、异丙醇、正丙醇、正丁醇等检测项目。更好</w:t>
            </w:r>
            <w:r>
              <w:rPr>
                <w:rFonts w:hint="eastAsia" w:ascii="宋体" w:hAnsi="宋体" w:cs="宋体"/>
                <w:i w:val="0"/>
                <w:iCs w:val="0"/>
                <w:color w:val="000000"/>
                <w:kern w:val="0"/>
                <w:sz w:val="18"/>
                <w:szCs w:val="18"/>
                <w:highlight w:val="none"/>
                <w:u w:val="none"/>
                <w:lang w:val="en-US" w:eastAsia="zh-CN" w:bidi="ar"/>
              </w:rPr>
              <w:t>地</w:t>
            </w:r>
            <w:r>
              <w:rPr>
                <w:rFonts w:hint="eastAsia" w:ascii="宋体" w:hAnsi="宋体" w:eastAsia="宋体" w:cs="宋体"/>
                <w:i w:val="0"/>
                <w:iCs w:val="0"/>
                <w:color w:val="000000"/>
                <w:kern w:val="0"/>
                <w:sz w:val="18"/>
                <w:szCs w:val="18"/>
                <w:highlight w:val="none"/>
                <w:u w:val="none"/>
                <w:lang w:val="en-US" w:eastAsia="zh-CN" w:bidi="ar"/>
              </w:rPr>
              <w:t>实现职防院在全疆的技术引领，扩大职业病防治能力的覆盖面。</w:t>
            </w:r>
            <w:r>
              <w:rPr>
                <w:rFonts w:hint="eastAsia" w:ascii="宋体" w:hAnsi="宋体" w:eastAsia="宋体" w:cs="宋体"/>
                <w:i w:val="0"/>
                <w:iCs w:val="0"/>
                <w:color w:val="000000"/>
                <w:kern w:val="0"/>
                <w:sz w:val="18"/>
                <w:szCs w:val="18"/>
                <w:highlight w:val="none"/>
                <w:u w:val="none"/>
                <w:lang w:val="en-US" w:eastAsia="zh-CN" w:bidi="ar"/>
              </w:rPr>
              <w:br w:type="textWrapping"/>
            </w:r>
            <w:r>
              <w:rPr>
                <w:rFonts w:hint="eastAsia" w:ascii="宋体" w:hAnsi="宋体" w:eastAsia="宋体" w:cs="宋体"/>
                <w:i w:val="0"/>
                <w:iCs w:val="0"/>
                <w:color w:val="000000"/>
                <w:kern w:val="0"/>
                <w:sz w:val="18"/>
                <w:szCs w:val="18"/>
                <w:highlight w:val="none"/>
                <w:u w:val="none"/>
                <w:lang w:val="en-US" w:eastAsia="zh-CN" w:bidi="ar"/>
              </w:rPr>
              <w:t xml:space="preserve">3.2023年面向自治区职业健康检查机构和职业病诊疗机构多次开展职业病诊断医师培训及职业病诊疗康复医师培训，开展中小微企业职业健康帮扶企业。指导督促28家企业申报自治区健康企业，指导督促143人申报“职业健康达人”，进一步加强职业病防治工作。      </w:t>
            </w:r>
          </w:p>
        </w:tc>
      </w:tr>
      <w:tr w14:paraId="753CD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E5716">
            <w:pPr>
              <w:jc w:val="center"/>
              <w:rPr>
                <w:rFonts w:hint="eastAsia" w:ascii="宋体" w:hAnsi="宋体" w:eastAsia="宋体" w:cs="宋体"/>
                <w:i w:val="0"/>
                <w:iCs w:val="0"/>
                <w:color w:val="000000"/>
                <w:sz w:val="18"/>
                <w:szCs w:val="18"/>
                <w:highlight w:val="none"/>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6235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64F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34F8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D5B63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74F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目标值</w:t>
            </w:r>
          </w:p>
        </w:tc>
        <w:tc>
          <w:tcPr>
            <w:tcW w:w="33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6BC5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83B0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0AFCA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9CF2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ED70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EA0A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A778E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c>
          <w:tcPr>
            <w:tcW w:w="8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F62CD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偏差原因分析及改进措施</w:t>
            </w:r>
          </w:p>
        </w:tc>
      </w:tr>
      <w:tr w14:paraId="37EAE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F9C41">
            <w:pPr>
              <w:jc w:val="center"/>
              <w:rPr>
                <w:rFonts w:hint="eastAsia" w:ascii="宋体" w:hAnsi="宋体" w:eastAsia="宋体" w:cs="宋体"/>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EC684">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334B7F">
            <w:pPr>
              <w:jc w:val="center"/>
              <w:rPr>
                <w:rFonts w:hint="eastAsia" w:ascii="宋体" w:hAnsi="宋体" w:eastAsia="宋体" w:cs="宋体"/>
                <w:b/>
                <w:bCs/>
                <w:i w:val="0"/>
                <w:iCs w:val="0"/>
                <w:color w:val="000000"/>
                <w:sz w:val="18"/>
                <w:szCs w:val="18"/>
                <w:highlight w:val="none"/>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66821">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BA957E">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AF4D0">
            <w:pPr>
              <w:jc w:val="center"/>
              <w:rPr>
                <w:rFonts w:hint="eastAsia" w:ascii="宋体" w:hAnsi="宋体" w:eastAsia="宋体" w:cs="宋体"/>
                <w:b/>
                <w:bCs/>
                <w:i w:val="0"/>
                <w:iCs w:val="0"/>
                <w:color w:val="000000"/>
                <w:sz w:val="18"/>
                <w:szCs w:val="18"/>
                <w:highlight w:val="none"/>
                <w:u w:val="none"/>
              </w:rPr>
            </w:pPr>
          </w:p>
        </w:tc>
        <w:tc>
          <w:tcPr>
            <w:tcW w:w="33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C18F30">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3F6FE">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F424B">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50487">
            <w:pPr>
              <w:jc w:val="center"/>
              <w:rPr>
                <w:rFonts w:hint="eastAsia" w:ascii="宋体" w:hAnsi="宋体" w:eastAsia="宋体" w:cs="宋体"/>
                <w:b/>
                <w:bCs/>
                <w:i w:val="0"/>
                <w:iCs w:val="0"/>
                <w:color w:val="000000"/>
                <w:sz w:val="18"/>
                <w:szCs w:val="18"/>
                <w:highlight w:val="none"/>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61C75">
            <w:pPr>
              <w:jc w:val="center"/>
              <w:rPr>
                <w:rFonts w:hint="eastAsia" w:ascii="宋体" w:hAnsi="宋体" w:eastAsia="宋体" w:cs="宋体"/>
                <w:b/>
                <w:bCs/>
                <w:i w:val="0"/>
                <w:iCs w:val="0"/>
                <w:color w:val="000000"/>
                <w:sz w:val="18"/>
                <w:szCs w:val="18"/>
                <w:highlight w:val="none"/>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8027F3">
            <w:pPr>
              <w:jc w:val="center"/>
              <w:rPr>
                <w:rFonts w:hint="eastAsia" w:ascii="宋体" w:hAnsi="宋体" w:eastAsia="宋体" w:cs="宋体"/>
                <w:b/>
                <w:bCs/>
                <w:i w:val="0"/>
                <w:iCs w:val="0"/>
                <w:color w:val="000000"/>
                <w:sz w:val="18"/>
                <w:szCs w:val="18"/>
                <w:highlight w:val="none"/>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3F73C">
            <w:pPr>
              <w:jc w:val="center"/>
              <w:rPr>
                <w:rFonts w:hint="eastAsia" w:ascii="宋体" w:hAnsi="宋体" w:eastAsia="宋体" w:cs="宋体"/>
                <w:b/>
                <w:bCs/>
                <w:i w:val="0"/>
                <w:iCs w:val="0"/>
                <w:color w:val="000000"/>
                <w:sz w:val="18"/>
                <w:szCs w:val="18"/>
                <w:highlight w:val="none"/>
                <w:u w:val="none"/>
              </w:rPr>
            </w:pPr>
          </w:p>
        </w:tc>
        <w:tc>
          <w:tcPr>
            <w:tcW w:w="8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FAEBE">
            <w:pPr>
              <w:jc w:val="center"/>
              <w:rPr>
                <w:rFonts w:hint="eastAsia" w:ascii="宋体" w:hAnsi="宋体" w:eastAsia="宋体" w:cs="宋体"/>
                <w:b/>
                <w:bCs/>
                <w:i w:val="0"/>
                <w:iCs w:val="0"/>
                <w:color w:val="000000"/>
                <w:sz w:val="18"/>
                <w:szCs w:val="18"/>
                <w:highlight w:val="none"/>
                <w:u w:val="none"/>
              </w:rPr>
            </w:pPr>
          </w:p>
        </w:tc>
      </w:tr>
      <w:tr w14:paraId="58898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E135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94D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D26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0A8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工作场所职业病危害因素</w:t>
            </w:r>
            <w:r>
              <w:rPr>
                <w:rFonts w:hint="eastAsia" w:ascii="宋体" w:hAnsi="宋体" w:cs="宋体"/>
                <w:i w:val="0"/>
                <w:iCs w:val="0"/>
                <w:color w:val="000000"/>
                <w:kern w:val="0"/>
                <w:sz w:val="18"/>
                <w:szCs w:val="18"/>
                <w:highlight w:val="none"/>
                <w:u w:val="none"/>
                <w:lang w:val="en-US" w:eastAsia="zh-CN" w:bidi="ar"/>
              </w:rPr>
              <w:t>监测</w:t>
            </w:r>
            <w:r>
              <w:rPr>
                <w:rFonts w:hint="eastAsia" w:ascii="宋体" w:hAnsi="宋体" w:eastAsia="宋体" w:cs="宋体"/>
                <w:i w:val="0"/>
                <w:iCs w:val="0"/>
                <w:color w:val="000000"/>
                <w:kern w:val="0"/>
                <w:sz w:val="18"/>
                <w:szCs w:val="18"/>
                <w:highlight w:val="none"/>
                <w:u w:val="none"/>
                <w:lang w:val="en-US" w:eastAsia="zh-CN" w:bidi="ar"/>
              </w:rPr>
              <w:t>企业数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4AD1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170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&gt;=42家单位</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FC4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=46家单位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00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109.52%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D0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2.71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AC0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104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42家单位</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6FE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9476B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03A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62333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8CAAC">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98009">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996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8F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放射性职业病危害因素检测数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6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833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=65家单位</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874B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=67家单位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95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103.08%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9CB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2.91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6CC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7AF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65家单位</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348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83A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正式材料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03D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58B04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D4FAC">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9C7BC">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892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CF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差旅费补助人数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8C8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3C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=30人次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F5A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=46人次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37F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153.33%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0D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AFE0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8A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28人次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39A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869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85D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2023年疫情结束，工作任务较集中，出差人次增加；</w:t>
            </w:r>
          </w:p>
        </w:tc>
      </w:tr>
      <w:tr w14:paraId="30FDC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0FF82">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E2078">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826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A7A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评审劳务费聘请专家人数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BC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5CD1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=15人次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74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=17人次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12A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113.33%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39C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C6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7A5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15人次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9FD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B91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F22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49BCB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E982C">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1F117">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5A4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1F8F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组织开展职业卫生管理人员、主要负责人及自主监测人员、职业病诊断医师和主检医师培训（单次培训人数</w:t>
            </w:r>
            <w:r>
              <w:rPr>
                <w:rFonts w:hint="eastAsia" w:ascii="宋体" w:hAnsi="宋体" w:cs="宋体"/>
                <w:i w:val="0"/>
                <w:iCs w:val="0"/>
                <w:color w:val="000000"/>
                <w:kern w:val="0"/>
                <w:sz w:val="18"/>
                <w:szCs w:val="18"/>
                <w:highlight w:val="none"/>
                <w:u w:val="none"/>
                <w:lang w:val="en-US" w:eastAsia="zh-CN" w:bidi="ar"/>
              </w:rPr>
              <w:t>〉</w:t>
            </w:r>
            <w:r>
              <w:rPr>
                <w:rFonts w:hint="eastAsia" w:ascii="宋体" w:hAnsi="宋体" w:eastAsia="宋体" w:cs="宋体"/>
                <w:i w:val="0"/>
                <w:iCs w:val="0"/>
                <w:color w:val="000000"/>
                <w:kern w:val="0"/>
                <w:sz w:val="18"/>
                <w:szCs w:val="18"/>
                <w:highlight w:val="none"/>
                <w:u w:val="none"/>
                <w:lang w:val="en-US" w:eastAsia="zh-CN" w:bidi="ar"/>
              </w:rPr>
              <w:t>=100人）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9DB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ECB2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AFF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D4D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02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1E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8CE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47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929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C3B11">
            <w:pPr>
              <w:jc w:val="center"/>
              <w:rPr>
                <w:rFonts w:hint="eastAsia" w:ascii="宋体" w:hAnsi="宋体" w:eastAsia="宋体" w:cs="宋体"/>
                <w:i w:val="0"/>
                <w:iCs w:val="0"/>
                <w:color w:val="000000"/>
                <w:sz w:val="18"/>
                <w:szCs w:val="18"/>
                <w:highlight w:val="none"/>
                <w:u w:val="none"/>
              </w:rPr>
            </w:pPr>
          </w:p>
        </w:tc>
      </w:tr>
      <w:tr w14:paraId="3F67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0FFAC">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E3C7DB">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46C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DB3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科室专业技术人员培训、比对及进修</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8E7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DD0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=4人次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8E03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=4人次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DA0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799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3A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1C00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0人次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4B90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05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4888B">
            <w:pPr>
              <w:jc w:val="center"/>
              <w:rPr>
                <w:rFonts w:hint="eastAsia" w:ascii="宋体" w:hAnsi="宋体" w:eastAsia="宋体" w:cs="宋体"/>
                <w:i w:val="0"/>
                <w:iCs w:val="0"/>
                <w:color w:val="000000"/>
                <w:sz w:val="18"/>
                <w:szCs w:val="18"/>
                <w:highlight w:val="none"/>
                <w:u w:val="none"/>
              </w:rPr>
            </w:pPr>
          </w:p>
        </w:tc>
      </w:tr>
      <w:tr w14:paraId="2CCB4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8FBA2">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C7619">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85CB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F3E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招标、邮寄、仪器鉴定及设备维修项目数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209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49F9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=25次</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D9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=35次</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4A3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605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1.8</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53A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3B7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20次</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9539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396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07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因工作任务需要，增加了仪器鉴定数量；</w:t>
            </w:r>
          </w:p>
        </w:tc>
      </w:tr>
      <w:tr w14:paraId="1D26F1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B7B48">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BFD80">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F51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B5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仪器设备购置数量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E10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D7F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=3台</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B3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FB1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2C1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CBB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096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845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BF2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9AA0">
            <w:pPr>
              <w:jc w:val="center"/>
              <w:rPr>
                <w:rFonts w:hint="eastAsia" w:ascii="宋体" w:hAnsi="宋体" w:eastAsia="宋体" w:cs="宋体"/>
                <w:i w:val="0"/>
                <w:iCs w:val="0"/>
                <w:color w:val="000000"/>
                <w:sz w:val="18"/>
                <w:szCs w:val="18"/>
                <w:highlight w:val="none"/>
                <w:u w:val="none"/>
              </w:rPr>
            </w:pPr>
          </w:p>
        </w:tc>
      </w:tr>
      <w:tr w14:paraId="2F483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199011">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98B42">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90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008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标准方法确认数量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0562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469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=5项</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1C2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FC4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547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719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行业标准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4CC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29D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EC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D1881">
            <w:pPr>
              <w:jc w:val="center"/>
              <w:rPr>
                <w:rFonts w:hint="eastAsia" w:ascii="宋体" w:hAnsi="宋体" w:eastAsia="宋体" w:cs="宋体"/>
                <w:i w:val="0"/>
                <w:iCs w:val="0"/>
                <w:color w:val="000000"/>
                <w:sz w:val="18"/>
                <w:szCs w:val="18"/>
                <w:highlight w:val="none"/>
                <w:u w:val="none"/>
              </w:rPr>
            </w:pPr>
            <w:bookmarkStart w:id="11" w:name="_GoBack"/>
            <w:bookmarkEnd w:id="11"/>
          </w:p>
        </w:tc>
      </w:tr>
      <w:tr w14:paraId="6BC2D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05C6DA">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F5921">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92D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68BE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B23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F06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164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7B2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05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810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DFBC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F0B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264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E212DA">
            <w:pPr>
              <w:jc w:val="center"/>
              <w:rPr>
                <w:rFonts w:hint="eastAsia" w:ascii="宋体" w:hAnsi="宋体" w:eastAsia="宋体" w:cs="宋体"/>
                <w:i w:val="0"/>
                <w:iCs w:val="0"/>
                <w:color w:val="000000"/>
                <w:sz w:val="18"/>
                <w:szCs w:val="18"/>
                <w:highlight w:val="none"/>
                <w:u w:val="none"/>
              </w:rPr>
            </w:pPr>
          </w:p>
        </w:tc>
      </w:tr>
      <w:tr w14:paraId="60E0E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99AF9">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7FD1E">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77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DC1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人员防治培训开展率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39A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5B7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4D8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F16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A970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3A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EF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E3C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D69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2C849">
            <w:pPr>
              <w:jc w:val="center"/>
              <w:rPr>
                <w:rFonts w:hint="eastAsia" w:ascii="宋体" w:hAnsi="宋体" w:eastAsia="宋体" w:cs="宋体"/>
                <w:i w:val="0"/>
                <w:iCs w:val="0"/>
                <w:color w:val="000000"/>
                <w:sz w:val="18"/>
                <w:szCs w:val="18"/>
                <w:highlight w:val="none"/>
                <w:u w:val="none"/>
              </w:rPr>
            </w:pPr>
          </w:p>
        </w:tc>
      </w:tr>
      <w:tr w14:paraId="6D62E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240033">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E48E9">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BE2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8BE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培训完成时间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BD5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6CC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&lt;=12个月</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3C8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=12个月</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7FBF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9F3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1F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275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F1B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FC6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9043E">
            <w:pPr>
              <w:jc w:val="center"/>
              <w:rPr>
                <w:rFonts w:hint="eastAsia" w:ascii="宋体" w:hAnsi="宋体" w:eastAsia="宋体" w:cs="宋体"/>
                <w:i w:val="0"/>
                <w:iCs w:val="0"/>
                <w:color w:val="000000"/>
                <w:sz w:val="18"/>
                <w:szCs w:val="18"/>
                <w:highlight w:val="none"/>
                <w:u w:val="none"/>
              </w:rPr>
            </w:pPr>
          </w:p>
        </w:tc>
      </w:tr>
      <w:tr w14:paraId="0AA1B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67383">
            <w:pPr>
              <w:jc w:val="center"/>
              <w:rPr>
                <w:rFonts w:hint="eastAsia" w:ascii="宋体" w:hAnsi="宋体" w:eastAsia="宋体" w:cs="宋体"/>
                <w:b/>
                <w:bCs/>
                <w:i w:val="0"/>
                <w:iCs w:val="0"/>
                <w:color w:val="000000"/>
                <w:sz w:val="18"/>
                <w:szCs w:val="18"/>
                <w:highlight w:val="none"/>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8263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947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FF1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职业病防治工作专项业务费</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EAA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788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=120万元</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925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=120万元</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688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EBC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70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预算支出标准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464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034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FE4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原始凭证</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2921">
            <w:pPr>
              <w:jc w:val="center"/>
              <w:rPr>
                <w:rFonts w:hint="eastAsia" w:ascii="宋体" w:hAnsi="宋体" w:eastAsia="宋体" w:cs="宋体"/>
                <w:i w:val="0"/>
                <w:iCs w:val="0"/>
                <w:color w:val="000000"/>
                <w:sz w:val="18"/>
                <w:szCs w:val="18"/>
                <w:highlight w:val="none"/>
                <w:u w:val="none"/>
              </w:rPr>
            </w:pPr>
          </w:p>
        </w:tc>
      </w:tr>
      <w:tr w14:paraId="1A82A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6F991B">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48D1D">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AD74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B80A0">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51AB1">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FB3F">
            <w:pPr>
              <w:jc w:val="center"/>
              <w:rPr>
                <w:rFonts w:hint="eastAsia" w:ascii="宋体" w:hAnsi="宋体" w:eastAsia="宋体" w:cs="宋体"/>
                <w:i w:val="0"/>
                <w:iCs w:val="0"/>
                <w:color w:val="000000"/>
                <w:sz w:val="18"/>
                <w:szCs w:val="18"/>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B6F13">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6E5BC">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20D5C">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BBAE9">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D3049">
            <w:pPr>
              <w:jc w:val="center"/>
              <w:rPr>
                <w:rFonts w:hint="eastAsia" w:ascii="宋体" w:hAnsi="宋体" w:eastAsia="宋体" w:cs="宋体"/>
                <w:i w:val="0"/>
                <w:iCs w:val="0"/>
                <w:color w:val="000000"/>
                <w:sz w:val="18"/>
                <w:szCs w:val="18"/>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48678">
            <w:pPr>
              <w:jc w:val="center"/>
              <w:rPr>
                <w:rFonts w:hint="eastAsia" w:ascii="宋体" w:hAnsi="宋体" w:eastAsia="宋体" w:cs="宋体"/>
                <w:i w:val="0"/>
                <w:iCs w:val="0"/>
                <w:color w:val="000000"/>
                <w:sz w:val="18"/>
                <w:szCs w:val="18"/>
                <w:highlight w:val="none"/>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7ABB9">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14F22">
            <w:pPr>
              <w:jc w:val="center"/>
              <w:rPr>
                <w:rFonts w:hint="eastAsia" w:ascii="宋体" w:hAnsi="宋体" w:eastAsia="宋体" w:cs="宋体"/>
                <w:i w:val="0"/>
                <w:iCs w:val="0"/>
                <w:color w:val="000000"/>
                <w:sz w:val="18"/>
                <w:szCs w:val="18"/>
                <w:highlight w:val="none"/>
                <w:u w:val="none"/>
              </w:rPr>
            </w:pPr>
          </w:p>
        </w:tc>
      </w:tr>
      <w:tr w14:paraId="2E1E5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DFCF9">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359E6D">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86D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生态环境成本指标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95C236">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4A8A5">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57682">
            <w:pPr>
              <w:jc w:val="center"/>
              <w:rPr>
                <w:rFonts w:hint="eastAsia" w:ascii="宋体" w:hAnsi="宋体" w:eastAsia="宋体" w:cs="宋体"/>
                <w:i w:val="0"/>
                <w:iCs w:val="0"/>
                <w:color w:val="000000"/>
                <w:sz w:val="18"/>
                <w:szCs w:val="18"/>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7F8794">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C9B3F">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7DC03">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BE9F">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9D3B6">
            <w:pPr>
              <w:jc w:val="center"/>
              <w:rPr>
                <w:rFonts w:hint="eastAsia" w:ascii="宋体" w:hAnsi="宋体" w:eastAsia="宋体" w:cs="宋体"/>
                <w:i w:val="0"/>
                <w:iCs w:val="0"/>
                <w:color w:val="000000"/>
                <w:sz w:val="18"/>
                <w:szCs w:val="18"/>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07940">
            <w:pPr>
              <w:jc w:val="center"/>
              <w:rPr>
                <w:rFonts w:hint="eastAsia" w:ascii="宋体" w:hAnsi="宋体" w:eastAsia="宋体" w:cs="宋体"/>
                <w:i w:val="0"/>
                <w:iCs w:val="0"/>
                <w:color w:val="000000"/>
                <w:sz w:val="18"/>
                <w:szCs w:val="18"/>
                <w:highlight w:val="none"/>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2F6C6">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A0A4A">
            <w:pPr>
              <w:jc w:val="center"/>
              <w:rPr>
                <w:rFonts w:hint="eastAsia" w:ascii="宋体" w:hAnsi="宋体" w:eastAsia="宋体" w:cs="宋体"/>
                <w:i w:val="0"/>
                <w:iCs w:val="0"/>
                <w:color w:val="000000"/>
                <w:sz w:val="18"/>
                <w:szCs w:val="18"/>
                <w:highlight w:val="none"/>
                <w:u w:val="none"/>
              </w:rPr>
            </w:pPr>
          </w:p>
        </w:tc>
      </w:tr>
      <w:tr w14:paraId="39E6E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EFAD9E">
            <w:pPr>
              <w:jc w:val="center"/>
              <w:rPr>
                <w:rFonts w:hint="eastAsia" w:ascii="宋体" w:hAnsi="宋体" w:eastAsia="宋体" w:cs="宋体"/>
                <w:b/>
                <w:bCs/>
                <w:i w:val="0"/>
                <w:iCs w:val="0"/>
                <w:color w:val="000000"/>
                <w:sz w:val="18"/>
                <w:szCs w:val="18"/>
                <w:highlight w:val="none"/>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AEB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1DB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0CADAE">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018">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6F16">
            <w:pPr>
              <w:jc w:val="center"/>
              <w:rPr>
                <w:rFonts w:hint="eastAsia" w:ascii="宋体" w:hAnsi="宋体" w:eastAsia="宋体" w:cs="宋体"/>
                <w:i w:val="0"/>
                <w:iCs w:val="0"/>
                <w:color w:val="000000"/>
                <w:sz w:val="18"/>
                <w:szCs w:val="18"/>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469B5">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9F579">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3BA975">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7367F">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778ED">
            <w:pPr>
              <w:jc w:val="center"/>
              <w:rPr>
                <w:rFonts w:hint="eastAsia" w:ascii="宋体" w:hAnsi="宋体" w:eastAsia="宋体" w:cs="宋体"/>
                <w:i w:val="0"/>
                <w:iCs w:val="0"/>
                <w:color w:val="000000"/>
                <w:sz w:val="18"/>
                <w:szCs w:val="18"/>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EF95F">
            <w:pPr>
              <w:jc w:val="center"/>
              <w:rPr>
                <w:rFonts w:hint="eastAsia" w:ascii="宋体" w:hAnsi="宋体" w:eastAsia="宋体" w:cs="宋体"/>
                <w:i w:val="0"/>
                <w:iCs w:val="0"/>
                <w:color w:val="000000"/>
                <w:sz w:val="18"/>
                <w:szCs w:val="18"/>
                <w:highlight w:val="none"/>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6AC68">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FA334">
            <w:pPr>
              <w:jc w:val="center"/>
              <w:rPr>
                <w:rFonts w:hint="eastAsia" w:ascii="宋体" w:hAnsi="宋体" w:eastAsia="宋体" w:cs="宋体"/>
                <w:i w:val="0"/>
                <w:iCs w:val="0"/>
                <w:color w:val="000000"/>
                <w:sz w:val="18"/>
                <w:szCs w:val="18"/>
                <w:highlight w:val="none"/>
                <w:u w:val="none"/>
              </w:rPr>
            </w:pPr>
          </w:p>
        </w:tc>
      </w:tr>
      <w:tr w14:paraId="5E879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3FC391">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CBD67">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F97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A27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职业病防治能力</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CF3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90F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63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454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BC2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46D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2D0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有效提升</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5E9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按评判等级赋分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E83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说明材料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A9E96">
            <w:pPr>
              <w:jc w:val="center"/>
              <w:rPr>
                <w:rFonts w:hint="eastAsia" w:ascii="宋体" w:hAnsi="宋体" w:eastAsia="宋体" w:cs="宋体"/>
                <w:i w:val="0"/>
                <w:iCs w:val="0"/>
                <w:color w:val="000000"/>
                <w:sz w:val="18"/>
                <w:szCs w:val="18"/>
                <w:highlight w:val="none"/>
                <w:u w:val="none"/>
              </w:rPr>
            </w:pPr>
          </w:p>
        </w:tc>
      </w:tr>
      <w:tr w14:paraId="6F620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667BA0">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F28BFA">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A7C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生态效益指标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9E955">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8A803E">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026DA">
            <w:pPr>
              <w:jc w:val="center"/>
              <w:rPr>
                <w:rFonts w:hint="eastAsia" w:ascii="宋体" w:hAnsi="宋体" w:eastAsia="宋体" w:cs="宋体"/>
                <w:i w:val="0"/>
                <w:iCs w:val="0"/>
                <w:color w:val="000000"/>
                <w:sz w:val="18"/>
                <w:szCs w:val="18"/>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440F3">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4FD9E">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9D6889">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545F01">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E0917">
            <w:pPr>
              <w:jc w:val="center"/>
              <w:rPr>
                <w:rFonts w:hint="eastAsia" w:ascii="宋体" w:hAnsi="宋体" w:eastAsia="宋体" w:cs="宋体"/>
                <w:i w:val="0"/>
                <w:iCs w:val="0"/>
                <w:color w:val="000000"/>
                <w:sz w:val="18"/>
                <w:szCs w:val="18"/>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A4D1">
            <w:pPr>
              <w:jc w:val="center"/>
              <w:rPr>
                <w:rFonts w:hint="eastAsia" w:ascii="宋体" w:hAnsi="宋体" w:eastAsia="宋体" w:cs="宋体"/>
                <w:i w:val="0"/>
                <w:iCs w:val="0"/>
                <w:color w:val="000000"/>
                <w:sz w:val="18"/>
                <w:szCs w:val="18"/>
                <w:highlight w:val="none"/>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C04AC">
            <w:pPr>
              <w:jc w:val="cente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8A0E7">
            <w:pPr>
              <w:jc w:val="center"/>
              <w:rPr>
                <w:rFonts w:hint="eastAsia" w:ascii="宋体" w:hAnsi="宋体" w:eastAsia="宋体" w:cs="宋体"/>
                <w:i w:val="0"/>
                <w:iCs w:val="0"/>
                <w:color w:val="000000"/>
                <w:sz w:val="18"/>
                <w:szCs w:val="18"/>
                <w:highlight w:val="none"/>
                <w:u w:val="none"/>
              </w:rPr>
            </w:pPr>
          </w:p>
        </w:tc>
      </w:tr>
      <w:tr w14:paraId="4B96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D396A">
            <w:pPr>
              <w:jc w:val="center"/>
              <w:rPr>
                <w:rFonts w:hint="eastAsia" w:ascii="宋体" w:hAnsi="宋体" w:eastAsia="宋体" w:cs="宋体"/>
                <w:b/>
                <w:bCs/>
                <w:i w:val="0"/>
                <w:iCs w:val="0"/>
                <w:color w:val="000000"/>
                <w:sz w:val="18"/>
                <w:szCs w:val="18"/>
                <w:highlight w:val="none"/>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EC8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2DF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5F3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被培训人员满意度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6BC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979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79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1E7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111.11%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689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C49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F28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77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74A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工作资料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EC9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39EF2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107058">
            <w:pPr>
              <w:jc w:val="center"/>
              <w:rPr>
                <w:rFonts w:hint="eastAsia" w:ascii="宋体" w:hAnsi="宋体" w:eastAsia="宋体" w:cs="宋体"/>
                <w:b/>
                <w:bCs/>
                <w:i w:val="0"/>
                <w:iCs w:val="0"/>
                <w:color w:val="000000"/>
                <w:sz w:val="18"/>
                <w:szCs w:val="18"/>
                <w:highlight w:val="none"/>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63176">
            <w:pPr>
              <w:jc w:val="center"/>
              <w:rPr>
                <w:rFonts w:hint="eastAsia" w:ascii="宋体" w:hAnsi="宋体" w:eastAsia="宋体" w:cs="宋体"/>
                <w:i w:val="0"/>
                <w:iCs w:val="0"/>
                <w:color w:val="000000"/>
                <w:sz w:val="18"/>
                <w:szCs w:val="18"/>
                <w:highlight w:val="none"/>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0CC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E2A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服务企业满意度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37D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18D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&gt;=90%</w:t>
            </w: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42B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D37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111.11%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44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03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历史标准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0BC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95C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40E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正式材料</w:t>
            </w: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D00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偏差率在标准范围内；</w:t>
            </w:r>
          </w:p>
        </w:tc>
      </w:tr>
      <w:tr w14:paraId="288BA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60ABF8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F63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08ADD843">
            <w:pPr>
              <w:rPr>
                <w:rFonts w:hint="eastAsia" w:ascii="宋体" w:hAnsi="宋体" w:eastAsia="宋体" w:cs="宋体"/>
                <w:b/>
                <w:bCs/>
                <w:i w:val="0"/>
                <w:iCs w:val="0"/>
                <w:color w:val="000000"/>
                <w:sz w:val="18"/>
                <w:szCs w:val="18"/>
                <w:highlight w:val="none"/>
                <w:u w:val="none"/>
              </w:rPr>
            </w:pPr>
          </w:p>
        </w:tc>
        <w:tc>
          <w:tcPr>
            <w:tcW w:w="3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98A3D">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79AE3D">
            <w:pPr>
              <w:jc w:val="cente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7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96.42分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184E0">
            <w:pPr>
              <w:rPr>
                <w:rFonts w:hint="eastAsia" w:ascii="宋体" w:hAnsi="宋体" w:eastAsia="宋体" w:cs="宋体"/>
                <w:i w:val="0"/>
                <w:iCs w:val="0"/>
                <w:color w:val="000000"/>
                <w:sz w:val="18"/>
                <w:szCs w:val="18"/>
                <w:highlight w:val="none"/>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488DE">
            <w:pPr>
              <w:rPr>
                <w:rFonts w:hint="eastAsia" w:ascii="宋体" w:hAnsi="宋体" w:eastAsia="宋体" w:cs="宋体"/>
                <w:i w:val="0"/>
                <w:iCs w:val="0"/>
                <w:color w:val="000000"/>
                <w:sz w:val="18"/>
                <w:szCs w:val="18"/>
                <w:highlight w:val="none"/>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F6A66">
            <w:pPr>
              <w:rPr>
                <w:rFonts w:hint="eastAsia" w:ascii="宋体" w:hAnsi="宋体" w:eastAsia="宋体" w:cs="宋体"/>
                <w:i w:val="0"/>
                <w:iCs w:val="0"/>
                <w:color w:val="000000"/>
                <w:sz w:val="18"/>
                <w:szCs w:val="18"/>
                <w:highlight w:val="none"/>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B842E">
            <w:pPr>
              <w:rPr>
                <w:rFonts w:hint="eastAsia" w:ascii="宋体" w:hAnsi="宋体" w:eastAsia="宋体" w:cs="宋体"/>
                <w:i w:val="0"/>
                <w:iCs w:val="0"/>
                <w:color w:val="000000"/>
                <w:sz w:val="18"/>
                <w:szCs w:val="18"/>
                <w:highlight w:val="none"/>
                <w:u w:val="none"/>
              </w:rPr>
            </w:pPr>
          </w:p>
        </w:tc>
        <w:tc>
          <w:tcPr>
            <w:tcW w:w="8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7B393">
            <w:pPr>
              <w:rPr>
                <w:rFonts w:hint="eastAsia" w:ascii="宋体" w:hAnsi="宋体" w:eastAsia="宋体" w:cs="宋体"/>
                <w:i w:val="0"/>
                <w:iCs w:val="0"/>
                <w:color w:val="000000"/>
                <w:sz w:val="18"/>
                <w:szCs w:val="18"/>
                <w:highlight w:val="none"/>
                <w:u w:val="none"/>
              </w:rPr>
            </w:pPr>
          </w:p>
        </w:tc>
      </w:tr>
    </w:tbl>
    <w:p w14:paraId="1D76C29B">
      <w:pPr>
        <w:pStyle w:val="2"/>
        <w:jc w:val="both"/>
        <w:rPr>
          <w:rFonts w:ascii="Times New Roman" w:hAnsi="Times New Roman" w:eastAsia="黑体"/>
          <w:b w:val="0"/>
          <w:bCs w:val="0"/>
          <w:highlight w:val="none"/>
        </w:rPr>
      </w:pPr>
    </w:p>
    <w:p w14:paraId="1A600CD6">
      <w:pPr>
        <w:pStyle w:val="2"/>
        <w:rPr>
          <w:rFonts w:ascii="Times New Roman" w:hAnsi="Times New Roman" w:eastAsia="黑体"/>
          <w:b w:val="0"/>
          <w:bCs w:val="0"/>
          <w:highlight w:val="none"/>
        </w:rPr>
      </w:pPr>
    </w:p>
    <w:p w14:paraId="291E4718">
      <w:pPr>
        <w:pStyle w:val="2"/>
        <w:jc w:val="both"/>
        <w:rPr>
          <w:rFonts w:ascii="Times New Roman" w:hAnsi="Times New Roman"/>
          <w:highlight w:val="none"/>
        </w:rPr>
        <w:sectPr>
          <w:pgSz w:w="16838" w:h="11906" w:orient="landscape"/>
          <w:pgMar w:top="1800" w:right="1440" w:bottom="1558" w:left="1440" w:header="851" w:footer="992" w:gutter="0"/>
          <w:cols w:space="425" w:num="1"/>
          <w:docGrid w:type="lines" w:linePitch="312" w:charSpace="0"/>
        </w:sectPr>
      </w:pPr>
    </w:p>
    <w:p w14:paraId="35DD82F9">
      <w:pPr>
        <w:spacing w:line="600" w:lineRule="exact"/>
        <w:rPr>
          <w:bCs/>
          <w:sz w:val="32"/>
          <w:szCs w:val="32"/>
          <w:highlight w:val="none"/>
        </w:rPr>
      </w:pPr>
      <w:r>
        <w:rPr>
          <w:bCs/>
          <w:sz w:val="32"/>
          <w:szCs w:val="32"/>
          <w:highlight w:val="none"/>
        </w:rPr>
        <w:t>附件1</w:t>
      </w:r>
    </w:p>
    <w:p w14:paraId="14469EF8">
      <w:pPr>
        <w:pStyle w:val="17"/>
        <w:ind w:firstLine="562"/>
        <w:jc w:val="center"/>
        <w:rPr>
          <w:highlight w:val="none"/>
        </w:rPr>
      </w:pPr>
      <w:bookmarkStart w:id="9" w:name="_Toc30064_WPSOffice_Level1"/>
      <w:bookmarkStart w:id="10" w:name="_Toc26499_WPSOffice_Level2"/>
      <w:r>
        <w:rPr>
          <w:rFonts w:hint="eastAsia"/>
          <w:b/>
          <w:bCs/>
          <w:sz w:val="28"/>
          <w:szCs w:val="40"/>
          <w:highlight w:val="none"/>
        </w:rPr>
        <w:t>职业病防治工作专项业务费</w:t>
      </w:r>
      <w:r>
        <w:rPr>
          <w:rFonts w:hint="eastAsia"/>
          <w:b/>
          <w:bCs/>
          <w:sz w:val="28"/>
          <w:szCs w:val="40"/>
          <w:highlight w:val="none"/>
          <w:lang w:val="en-US" w:eastAsia="zh-CN"/>
        </w:rPr>
        <w:t>项目</w:t>
      </w:r>
      <w:r>
        <w:rPr>
          <w:rFonts w:hint="eastAsia"/>
          <w:b/>
          <w:bCs/>
          <w:sz w:val="28"/>
          <w:szCs w:val="40"/>
          <w:highlight w:val="none"/>
        </w:rPr>
        <w:t>绩效评价指标体系综合评分表</w:t>
      </w:r>
      <w:bookmarkEnd w:id="9"/>
      <w:bookmarkEnd w:id="10"/>
    </w:p>
    <w:tbl>
      <w:tblPr>
        <w:tblStyle w:val="12"/>
        <w:tblW w:w="4998"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27"/>
        <w:gridCol w:w="853"/>
        <w:gridCol w:w="975"/>
        <w:gridCol w:w="2627"/>
        <w:gridCol w:w="5816"/>
        <w:gridCol w:w="1451"/>
        <w:gridCol w:w="1519"/>
      </w:tblGrid>
      <w:tr w14:paraId="4714C2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27" w:type="pct"/>
            <w:shd w:val="clear" w:color="auto" w:fill="FFFFFF"/>
            <w:vAlign w:val="center"/>
          </w:tcPr>
          <w:p w14:paraId="2E2DBD02">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1" w:type="pct"/>
            <w:shd w:val="clear" w:color="auto" w:fill="FFFFFF"/>
            <w:vAlign w:val="center"/>
          </w:tcPr>
          <w:p w14:paraId="1973C98F">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3BD145F5">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7FCB1BB2">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51" w:type="pct"/>
            <w:shd w:val="clear" w:color="auto" w:fill="FFFFFF"/>
            <w:vAlign w:val="center"/>
          </w:tcPr>
          <w:p w14:paraId="23067D3C">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02E2CBEB">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6" w:type="pct"/>
            <w:shd w:val="clear" w:color="auto" w:fill="FFFFFF"/>
            <w:vAlign w:val="center"/>
          </w:tcPr>
          <w:p w14:paraId="4023DC32">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1CC0E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27" w:type="pct"/>
            <w:vMerge w:val="restart"/>
            <w:shd w:val="clear" w:color="auto" w:fill="FFFFFF"/>
            <w:vAlign w:val="center"/>
          </w:tcPr>
          <w:p w14:paraId="06D83EA4">
            <w:pPr>
              <w:widowControl/>
              <w:spacing w:line="0" w:lineRule="atLeast"/>
              <w:jc w:val="center"/>
              <w:rPr>
                <w:color w:val="000000"/>
                <w:kern w:val="0"/>
                <w:sz w:val="22"/>
                <w:szCs w:val="22"/>
                <w:highlight w:val="none"/>
              </w:rPr>
            </w:pPr>
            <w:r>
              <w:rPr>
                <w:color w:val="000000"/>
                <w:kern w:val="0"/>
                <w:sz w:val="22"/>
                <w:szCs w:val="22"/>
                <w:highlight w:val="none"/>
              </w:rPr>
              <w:t>决策　</w:t>
            </w:r>
          </w:p>
          <w:p w14:paraId="1F4AD54F">
            <w:pPr>
              <w:widowControl/>
              <w:spacing w:line="0" w:lineRule="atLeast"/>
              <w:jc w:val="center"/>
              <w:rPr>
                <w:color w:val="000000"/>
                <w:kern w:val="0"/>
                <w:sz w:val="22"/>
                <w:szCs w:val="22"/>
                <w:highlight w:val="none"/>
              </w:rPr>
            </w:pPr>
            <w:r>
              <w:rPr>
                <w:color w:val="000000"/>
                <w:kern w:val="0"/>
                <w:sz w:val="22"/>
                <w:szCs w:val="22"/>
                <w:highlight w:val="none"/>
              </w:rPr>
              <w:t>　</w:t>
            </w:r>
          </w:p>
          <w:p w14:paraId="4E1D435D">
            <w:pPr>
              <w:spacing w:line="0" w:lineRule="atLeast"/>
              <w:jc w:val="center"/>
              <w:rPr>
                <w:color w:val="000000"/>
                <w:kern w:val="0"/>
                <w:sz w:val="22"/>
                <w:szCs w:val="22"/>
                <w:highlight w:val="none"/>
              </w:rPr>
            </w:pPr>
            <w:r>
              <w:rPr>
                <w:color w:val="000000"/>
                <w:kern w:val="0"/>
                <w:sz w:val="22"/>
                <w:szCs w:val="22"/>
                <w:highlight w:val="none"/>
              </w:rPr>
              <w:t>　</w:t>
            </w:r>
          </w:p>
        </w:tc>
        <w:tc>
          <w:tcPr>
            <w:tcW w:w="301" w:type="pct"/>
            <w:vMerge w:val="restart"/>
            <w:shd w:val="clear" w:color="auto" w:fill="FFFFFF"/>
            <w:vAlign w:val="center"/>
          </w:tcPr>
          <w:p w14:paraId="3E8CC6E6">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259581DD">
            <w:pPr>
              <w:widowControl/>
              <w:spacing w:line="0" w:lineRule="atLeast"/>
              <w:jc w:val="center"/>
              <w:rPr>
                <w:color w:val="000000"/>
                <w:kern w:val="0"/>
                <w:sz w:val="22"/>
                <w:szCs w:val="22"/>
                <w:highlight w:val="none"/>
              </w:rPr>
            </w:pPr>
            <w:r>
              <w:rPr>
                <w:color w:val="000000"/>
                <w:kern w:val="0"/>
                <w:sz w:val="22"/>
                <w:szCs w:val="22"/>
                <w:highlight w:val="none"/>
              </w:rPr>
              <w:t>立项依据</w:t>
            </w:r>
          </w:p>
          <w:p w14:paraId="711B13C8">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5FC384C9">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51" w:type="pct"/>
            <w:shd w:val="clear" w:color="auto" w:fill="FFFFFF"/>
            <w:vAlign w:val="center"/>
          </w:tcPr>
          <w:p w14:paraId="67530384">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50BA498E">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6" w:type="pct"/>
            <w:shd w:val="clear" w:color="auto" w:fill="FFFFFF"/>
            <w:vAlign w:val="center"/>
          </w:tcPr>
          <w:p w14:paraId="26C5A994">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40F57C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27" w:type="pct"/>
            <w:vMerge w:val="continue"/>
            <w:shd w:val="clear" w:color="auto" w:fill="FFFFFF"/>
            <w:vAlign w:val="center"/>
          </w:tcPr>
          <w:p w14:paraId="09A8FBAB">
            <w:pPr>
              <w:spacing w:line="0" w:lineRule="atLeast"/>
              <w:jc w:val="center"/>
              <w:rPr>
                <w:color w:val="000000"/>
                <w:kern w:val="0"/>
                <w:sz w:val="22"/>
                <w:szCs w:val="22"/>
                <w:highlight w:val="none"/>
              </w:rPr>
            </w:pPr>
          </w:p>
        </w:tc>
        <w:tc>
          <w:tcPr>
            <w:tcW w:w="301" w:type="pct"/>
            <w:vMerge w:val="continue"/>
            <w:shd w:val="clear" w:color="auto" w:fill="FFFFFF"/>
            <w:vAlign w:val="center"/>
          </w:tcPr>
          <w:p w14:paraId="5D831310">
            <w:pPr>
              <w:widowControl/>
              <w:spacing w:line="0" w:lineRule="atLeast"/>
              <w:jc w:val="center"/>
              <w:rPr>
                <w:color w:val="000000"/>
                <w:kern w:val="0"/>
                <w:sz w:val="22"/>
                <w:szCs w:val="22"/>
                <w:highlight w:val="none"/>
              </w:rPr>
            </w:pPr>
          </w:p>
        </w:tc>
        <w:tc>
          <w:tcPr>
            <w:tcW w:w="344" w:type="pct"/>
            <w:shd w:val="clear" w:color="auto" w:fill="FFFFFF"/>
            <w:vAlign w:val="center"/>
          </w:tcPr>
          <w:p w14:paraId="4C383DDC">
            <w:pPr>
              <w:widowControl/>
              <w:spacing w:line="0" w:lineRule="atLeast"/>
              <w:jc w:val="center"/>
              <w:rPr>
                <w:color w:val="000000"/>
                <w:kern w:val="0"/>
                <w:sz w:val="22"/>
                <w:szCs w:val="22"/>
                <w:highlight w:val="none"/>
              </w:rPr>
            </w:pPr>
            <w:r>
              <w:rPr>
                <w:color w:val="000000"/>
                <w:kern w:val="0"/>
                <w:sz w:val="22"/>
                <w:szCs w:val="22"/>
                <w:highlight w:val="none"/>
              </w:rPr>
              <w:t>立项程序</w:t>
            </w:r>
          </w:p>
          <w:p w14:paraId="169962FE">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5E4433F2">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51" w:type="pct"/>
            <w:shd w:val="clear" w:color="auto" w:fill="FFFFFF"/>
            <w:vAlign w:val="center"/>
          </w:tcPr>
          <w:p w14:paraId="64410575">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393C821C">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6" w:type="pct"/>
            <w:shd w:val="clear" w:color="auto" w:fill="FFFFFF"/>
            <w:vAlign w:val="center"/>
          </w:tcPr>
          <w:p w14:paraId="31FC5426">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58446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27" w:type="pct"/>
            <w:vMerge w:val="continue"/>
            <w:shd w:val="clear" w:color="auto" w:fill="FFFFFF"/>
            <w:vAlign w:val="center"/>
          </w:tcPr>
          <w:p w14:paraId="729D9C6F">
            <w:pPr>
              <w:spacing w:line="0" w:lineRule="atLeast"/>
              <w:jc w:val="center"/>
              <w:rPr>
                <w:color w:val="000000"/>
                <w:kern w:val="0"/>
                <w:sz w:val="22"/>
                <w:szCs w:val="22"/>
                <w:highlight w:val="none"/>
              </w:rPr>
            </w:pPr>
          </w:p>
        </w:tc>
        <w:tc>
          <w:tcPr>
            <w:tcW w:w="301" w:type="pct"/>
            <w:shd w:val="clear" w:color="auto" w:fill="FFFFFF"/>
            <w:vAlign w:val="center"/>
          </w:tcPr>
          <w:p w14:paraId="7E75A827">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33114C77">
            <w:pPr>
              <w:widowControl/>
              <w:spacing w:line="0" w:lineRule="atLeast"/>
              <w:jc w:val="center"/>
              <w:rPr>
                <w:color w:val="000000"/>
                <w:kern w:val="0"/>
                <w:sz w:val="22"/>
                <w:szCs w:val="22"/>
                <w:highlight w:val="none"/>
              </w:rPr>
            </w:pPr>
            <w:r>
              <w:rPr>
                <w:color w:val="000000"/>
                <w:kern w:val="0"/>
                <w:sz w:val="22"/>
                <w:szCs w:val="22"/>
                <w:highlight w:val="none"/>
              </w:rPr>
              <w:t>绩效目标</w:t>
            </w:r>
          </w:p>
          <w:p w14:paraId="30EBF88E">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4453A16D">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51" w:type="pct"/>
            <w:shd w:val="clear" w:color="000000" w:fill="FFFFFF"/>
            <w:vAlign w:val="center"/>
          </w:tcPr>
          <w:p w14:paraId="6BBF2789">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71A26375">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047D9E28">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6" w:type="pct"/>
            <w:shd w:val="clear" w:color="000000" w:fill="FFFFFF"/>
            <w:vAlign w:val="center"/>
          </w:tcPr>
          <w:p w14:paraId="09630AA3">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756B4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27" w:type="pct"/>
            <w:vMerge w:val="restart"/>
            <w:shd w:val="clear" w:color="auto" w:fill="FFFFFF"/>
            <w:vAlign w:val="center"/>
          </w:tcPr>
          <w:p w14:paraId="6F5A00D5">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1" w:type="pct"/>
            <w:shd w:val="clear" w:color="auto" w:fill="FFFFFF"/>
            <w:vAlign w:val="center"/>
          </w:tcPr>
          <w:p w14:paraId="47E7B070">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18F9ADB4">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F788339">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064CCF01">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51" w:type="pct"/>
            <w:shd w:val="clear" w:color="000000" w:fill="FFFFFF"/>
            <w:vAlign w:val="center"/>
          </w:tcPr>
          <w:p w14:paraId="16AB402E">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14:paraId="6B163DB7">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536" w:type="pct"/>
            <w:shd w:val="clear" w:color="000000" w:fill="FFFFFF"/>
            <w:vAlign w:val="center"/>
          </w:tcPr>
          <w:p w14:paraId="1D311869">
            <w:pPr>
              <w:widowControl/>
              <w:spacing w:line="0" w:lineRule="atLeast"/>
              <w:jc w:val="center"/>
              <w:rPr>
                <w:b/>
                <w:bCs/>
                <w:color w:val="000000"/>
                <w:kern w:val="0"/>
                <w:sz w:val="22"/>
                <w:szCs w:val="22"/>
                <w:highlight w:val="none"/>
              </w:rPr>
            </w:pPr>
            <w:r>
              <w:rPr>
                <w:b/>
                <w:bCs/>
                <w:color w:val="000000"/>
                <w:kern w:val="0"/>
                <w:sz w:val="22"/>
                <w:szCs w:val="22"/>
                <w:highlight w:val="none"/>
              </w:rPr>
              <w:t>3</w:t>
            </w:r>
          </w:p>
        </w:tc>
      </w:tr>
      <w:tr w14:paraId="525DFE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27" w:type="pct"/>
            <w:vMerge w:val="continue"/>
            <w:shd w:val="clear" w:color="auto" w:fill="FFFFFF"/>
            <w:vAlign w:val="center"/>
          </w:tcPr>
          <w:p w14:paraId="7DF4DCFE">
            <w:pPr>
              <w:spacing w:line="0" w:lineRule="atLeast"/>
              <w:jc w:val="center"/>
              <w:rPr>
                <w:color w:val="000000"/>
                <w:kern w:val="0"/>
                <w:sz w:val="22"/>
                <w:szCs w:val="22"/>
                <w:highlight w:val="none"/>
              </w:rPr>
            </w:pPr>
          </w:p>
        </w:tc>
        <w:tc>
          <w:tcPr>
            <w:tcW w:w="301" w:type="pct"/>
            <w:vMerge w:val="restart"/>
            <w:shd w:val="clear" w:color="auto" w:fill="FFFFFF"/>
            <w:vAlign w:val="center"/>
          </w:tcPr>
          <w:p w14:paraId="2623C5A6">
            <w:pPr>
              <w:widowControl/>
              <w:spacing w:line="0" w:lineRule="atLeast"/>
              <w:jc w:val="center"/>
              <w:rPr>
                <w:color w:val="000000"/>
                <w:kern w:val="0"/>
                <w:sz w:val="22"/>
                <w:szCs w:val="22"/>
                <w:highlight w:val="none"/>
              </w:rPr>
            </w:pPr>
            <w:r>
              <w:rPr>
                <w:color w:val="000000"/>
                <w:kern w:val="0"/>
                <w:sz w:val="22"/>
                <w:szCs w:val="22"/>
                <w:highlight w:val="none"/>
              </w:rPr>
              <w:t>资金投入</w:t>
            </w:r>
          </w:p>
          <w:p w14:paraId="1208F226">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3AC9D799">
            <w:pPr>
              <w:widowControl/>
              <w:spacing w:line="0" w:lineRule="atLeast"/>
              <w:jc w:val="center"/>
              <w:rPr>
                <w:color w:val="000000"/>
                <w:kern w:val="0"/>
                <w:sz w:val="22"/>
                <w:szCs w:val="22"/>
                <w:highlight w:val="none"/>
              </w:rPr>
            </w:pPr>
            <w:r>
              <w:rPr>
                <w:color w:val="000000"/>
                <w:kern w:val="0"/>
                <w:sz w:val="22"/>
                <w:szCs w:val="22"/>
                <w:highlight w:val="none"/>
              </w:rPr>
              <w:t>预算编制</w:t>
            </w:r>
          </w:p>
          <w:p w14:paraId="47A4A324">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72A7D83A">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51" w:type="pct"/>
            <w:shd w:val="clear" w:color="auto" w:fill="FFFFFF"/>
            <w:vAlign w:val="center"/>
          </w:tcPr>
          <w:p w14:paraId="0C8F591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762C6DE1">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auto" w:fill="FFFFFF"/>
            <w:vAlign w:val="center"/>
          </w:tcPr>
          <w:p w14:paraId="6814764F">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35C36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27" w:type="pct"/>
            <w:vMerge w:val="continue"/>
            <w:shd w:val="clear" w:color="auto" w:fill="FFFFFF"/>
            <w:vAlign w:val="center"/>
          </w:tcPr>
          <w:p w14:paraId="0706AAA0">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2AF281AF">
            <w:pPr>
              <w:widowControl/>
              <w:spacing w:line="0" w:lineRule="atLeast"/>
              <w:jc w:val="center"/>
              <w:rPr>
                <w:color w:val="000000"/>
                <w:kern w:val="0"/>
                <w:sz w:val="22"/>
                <w:szCs w:val="22"/>
                <w:highlight w:val="none"/>
              </w:rPr>
            </w:pPr>
          </w:p>
        </w:tc>
        <w:tc>
          <w:tcPr>
            <w:tcW w:w="344" w:type="pct"/>
            <w:shd w:val="clear" w:color="auto" w:fill="FFFFFF"/>
            <w:vAlign w:val="center"/>
          </w:tcPr>
          <w:p w14:paraId="5A9B3590">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FABE684">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1AF9FFF9">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51" w:type="pct"/>
            <w:shd w:val="clear" w:color="auto" w:fill="FFFFFF"/>
            <w:vAlign w:val="center"/>
          </w:tcPr>
          <w:p w14:paraId="564E5B2D">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0CE1D53B">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auto" w:fill="FFFFFF"/>
            <w:vAlign w:val="center"/>
          </w:tcPr>
          <w:p w14:paraId="4A6A0C88">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B2DC6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27" w:type="pct"/>
            <w:vMerge w:val="restart"/>
            <w:shd w:val="clear" w:color="auto" w:fill="FFFFFF"/>
            <w:vAlign w:val="center"/>
          </w:tcPr>
          <w:p w14:paraId="55D41EE9">
            <w:pPr>
              <w:spacing w:line="0" w:lineRule="atLeast"/>
              <w:jc w:val="center"/>
              <w:rPr>
                <w:color w:val="000000"/>
                <w:kern w:val="0"/>
                <w:sz w:val="22"/>
                <w:szCs w:val="22"/>
                <w:highlight w:val="none"/>
              </w:rPr>
            </w:pPr>
            <w:r>
              <w:rPr>
                <w:color w:val="000000"/>
                <w:kern w:val="0"/>
                <w:sz w:val="22"/>
                <w:szCs w:val="22"/>
                <w:highlight w:val="none"/>
              </w:rPr>
              <w:t>过程</w:t>
            </w:r>
          </w:p>
        </w:tc>
        <w:tc>
          <w:tcPr>
            <w:tcW w:w="301" w:type="pct"/>
            <w:vMerge w:val="restart"/>
            <w:shd w:val="clear" w:color="auto" w:fill="FFFFFF"/>
            <w:vAlign w:val="center"/>
          </w:tcPr>
          <w:p w14:paraId="7D4AE60F">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42306915">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67A390B6">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51" w:type="pct"/>
            <w:shd w:val="clear" w:color="000000" w:fill="FFFFFF"/>
            <w:vAlign w:val="center"/>
          </w:tcPr>
          <w:p w14:paraId="18A7A4FD">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731A6ABD">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2AE9ED7B">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2C2C445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000000" w:fill="FFFFFF"/>
            <w:vAlign w:val="center"/>
          </w:tcPr>
          <w:p w14:paraId="69619871">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744B85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27" w:type="pct"/>
            <w:vMerge w:val="continue"/>
            <w:shd w:val="clear" w:color="auto" w:fill="FFFFFF"/>
            <w:vAlign w:val="center"/>
          </w:tcPr>
          <w:p w14:paraId="1865826C">
            <w:pPr>
              <w:spacing w:line="0" w:lineRule="atLeast"/>
              <w:jc w:val="center"/>
              <w:rPr>
                <w:color w:val="000000"/>
                <w:kern w:val="0"/>
                <w:sz w:val="22"/>
                <w:szCs w:val="22"/>
                <w:highlight w:val="none"/>
              </w:rPr>
            </w:pPr>
          </w:p>
        </w:tc>
        <w:tc>
          <w:tcPr>
            <w:tcW w:w="301" w:type="pct"/>
            <w:vMerge w:val="continue"/>
            <w:shd w:val="clear" w:color="auto" w:fill="FFFFFF"/>
            <w:vAlign w:val="center"/>
          </w:tcPr>
          <w:p w14:paraId="6829057C">
            <w:pPr>
              <w:spacing w:line="0" w:lineRule="atLeast"/>
              <w:jc w:val="center"/>
              <w:rPr>
                <w:color w:val="000000"/>
                <w:kern w:val="0"/>
                <w:sz w:val="22"/>
                <w:szCs w:val="22"/>
                <w:highlight w:val="none"/>
              </w:rPr>
            </w:pPr>
          </w:p>
        </w:tc>
        <w:tc>
          <w:tcPr>
            <w:tcW w:w="344" w:type="pct"/>
            <w:shd w:val="clear" w:color="auto" w:fill="FFFFFF"/>
            <w:vAlign w:val="center"/>
          </w:tcPr>
          <w:p w14:paraId="62129641">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7302B072">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51" w:type="pct"/>
            <w:shd w:val="clear" w:color="auto" w:fill="FFFFFF"/>
            <w:vAlign w:val="center"/>
          </w:tcPr>
          <w:p w14:paraId="6A9AD685">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0DDD839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auto" w:fill="FFFFFF"/>
            <w:vAlign w:val="center"/>
          </w:tcPr>
          <w:p w14:paraId="78968A26">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453D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7" w:type="pct"/>
            <w:vMerge w:val="restart"/>
            <w:shd w:val="clear" w:color="auto" w:fill="FFFFFF"/>
            <w:vAlign w:val="center"/>
          </w:tcPr>
          <w:p w14:paraId="2B337A86">
            <w:pPr>
              <w:widowControl/>
              <w:spacing w:line="0" w:lineRule="atLeast"/>
              <w:jc w:val="center"/>
              <w:rPr>
                <w:color w:val="000000"/>
                <w:kern w:val="0"/>
                <w:sz w:val="22"/>
                <w:szCs w:val="22"/>
                <w:highlight w:val="none"/>
              </w:rPr>
            </w:pPr>
            <w:r>
              <w:rPr>
                <w:color w:val="000000"/>
                <w:kern w:val="0"/>
                <w:sz w:val="22"/>
                <w:szCs w:val="22"/>
                <w:highlight w:val="none"/>
              </w:rPr>
              <w:t>　</w:t>
            </w:r>
          </w:p>
          <w:p w14:paraId="327CE3E6">
            <w:pPr>
              <w:spacing w:line="0" w:lineRule="atLeast"/>
              <w:jc w:val="center"/>
              <w:rPr>
                <w:color w:val="000000"/>
                <w:kern w:val="0"/>
                <w:sz w:val="22"/>
                <w:szCs w:val="22"/>
                <w:highlight w:val="none"/>
              </w:rPr>
            </w:pPr>
            <w:r>
              <w:rPr>
                <w:color w:val="000000"/>
                <w:kern w:val="0"/>
                <w:sz w:val="22"/>
                <w:szCs w:val="22"/>
                <w:highlight w:val="none"/>
              </w:rPr>
              <w:t>过程　</w:t>
            </w:r>
          </w:p>
        </w:tc>
        <w:tc>
          <w:tcPr>
            <w:tcW w:w="301" w:type="pct"/>
            <w:shd w:val="clear" w:color="auto" w:fill="FFFFFF"/>
            <w:vAlign w:val="center"/>
          </w:tcPr>
          <w:p w14:paraId="6A52B1B6">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3DBDF0A8">
            <w:pPr>
              <w:widowControl/>
              <w:spacing w:line="0" w:lineRule="atLeast"/>
              <w:jc w:val="center"/>
              <w:rPr>
                <w:color w:val="000000"/>
                <w:kern w:val="0"/>
                <w:sz w:val="22"/>
                <w:szCs w:val="22"/>
                <w:highlight w:val="none"/>
              </w:rPr>
            </w:pPr>
            <w:r>
              <w:rPr>
                <w:color w:val="000000"/>
                <w:kern w:val="0"/>
                <w:sz w:val="22"/>
                <w:szCs w:val="22"/>
                <w:highlight w:val="none"/>
              </w:rPr>
              <w:t>资金使用</w:t>
            </w:r>
          </w:p>
          <w:p w14:paraId="7D51D1F5">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6596035E">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51" w:type="pct"/>
            <w:shd w:val="clear" w:color="000000" w:fill="FFFFFF"/>
            <w:vAlign w:val="center"/>
          </w:tcPr>
          <w:p w14:paraId="46F3EA3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14:paraId="6EE44A7D">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000000" w:fill="FFFFFF"/>
            <w:vAlign w:val="center"/>
          </w:tcPr>
          <w:p w14:paraId="3D137534">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50A9FE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27" w:type="pct"/>
            <w:vMerge w:val="continue"/>
            <w:shd w:val="clear" w:color="auto" w:fill="FFFFFF"/>
            <w:vAlign w:val="center"/>
          </w:tcPr>
          <w:p w14:paraId="68EFEA51">
            <w:pPr>
              <w:spacing w:line="0" w:lineRule="atLeast"/>
              <w:jc w:val="center"/>
              <w:rPr>
                <w:color w:val="000000"/>
                <w:kern w:val="0"/>
                <w:sz w:val="22"/>
                <w:szCs w:val="22"/>
                <w:highlight w:val="none"/>
              </w:rPr>
            </w:pPr>
          </w:p>
        </w:tc>
        <w:tc>
          <w:tcPr>
            <w:tcW w:w="301" w:type="pct"/>
            <w:vMerge w:val="restart"/>
            <w:shd w:val="clear" w:color="auto" w:fill="FFFFFF"/>
            <w:vAlign w:val="center"/>
          </w:tcPr>
          <w:p w14:paraId="76D18CEB">
            <w:pPr>
              <w:widowControl/>
              <w:spacing w:line="0" w:lineRule="atLeast"/>
              <w:jc w:val="center"/>
              <w:rPr>
                <w:color w:val="000000"/>
                <w:kern w:val="0"/>
                <w:sz w:val="22"/>
                <w:szCs w:val="22"/>
                <w:highlight w:val="none"/>
              </w:rPr>
            </w:pPr>
            <w:r>
              <w:rPr>
                <w:color w:val="000000"/>
                <w:kern w:val="0"/>
                <w:sz w:val="22"/>
                <w:szCs w:val="22"/>
                <w:highlight w:val="none"/>
              </w:rPr>
              <w:t>组织实施</w:t>
            </w:r>
          </w:p>
          <w:p w14:paraId="5408510D">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01982491">
            <w:pPr>
              <w:widowControl/>
              <w:spacing w:line="0" w:lineRule="atLeast"/>
              <w:jc w:val="center"/>
              <w:rPr>
                <w:color w:val="000000"/>
                <w:kern w:val="0"/>
                <w:sz w:val="22"/>
                <w:szCs w:val="22"/>
                <w:highlight w:val="none"/>
              </w:rPr>
            </w:pPr>
            <w:r>
              <w:rPr>
                <w:color w:val="000000"/>
                <w:kern w:val="0"/>
                <w:sz w:val="22"/>
                <w:szCs w:val="22"/>
                <w:highlight w:val="none"/>
              </w:rPr>
              <w:t>管理制度</w:t>
            </w:r>
          </w:p>
          <w:p w14:paraId="27E2BC7B">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71BC8EE0">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51" w:type="pct"/>
            <w:shd w:val="clear" w:color="000000" w:fill="FFFFFF"/>
            <w:vAlign w:val="center"/>
          </w:tcPr>
          <w:p w14:paraId="4CEA3037">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14:paraId="61DFEA35">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000000" w:fill="FFFFFF"/>
            <w:vAlign w:val="center"/>
          </w:tcPr>
          <w:p w14:paraId="76456001">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05A974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27" w:type="pct"/>
            <w:vMerge w:val="continue"/>
            <w:shd w:val="clear" w:color="auto" w:fill="FFFFFF"/>
            <w:vAlign w:val="center"/>
          </w:tcPr>
          <w:p w14:paraId="1A76C35A">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61680A51">
            <w:pPr>
              <w:widowControl/>
              <w:spacing w:line="0" w:lineRule="atLeast"/>
              <w:jc w:val="center"/>
              <w:rPr>
                <w:color w:val="000000"/>
                <w:kern w:val="0"/>
                <w:sz w:val="22"/>
                <w:szCs w:val="22"/>
                <w:highlight w:val="none"/>
              </w:rPr>
            </w:pPr>
          </w:p>
        </w:tc>
        <w:tc>
          <w:tcPr>
            <w:tcW w:w="344" w:type="pct"/>
            <w:shd w:val="clear" w:color="auto" w:fill="FFFFFF"/>
            <w:vAlign w:val="center"/>
          </w:tcPr>
          <w:p w14:paraId="06D53454">
            <w:pPr>
              <w:widowControl/>
              <w:spacing w:line="0" w:lineRule="atLeast"/>
              <w:jc w:val="center"/>
              <w:rPr>
                <w:color w:val="000000"/>
                <w:kern w:val="0"/>
                <w:sz w:val="22"/>
                <w:szCs w:val="22"/>
                <w:highlight w:val="none"/>
              </w:rPr>
            </w:pPr>
            <w:r>
              <w:rPr>
                <w:color w:val="000000"/>
                <w:kern w:val="0"/>
                <w:sz w:val="22"/>
                <w:szCs w:val="22"/>
                <w:highlight w:val="none"/>
              </w:rPr>
              <w:t>制度执行</w:t>
            </w:r>
          </w:p>
          <w:p w14:paraId="7DC762DC">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08B24683">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51" w:type="pct"/>
            <w:shd w:val="clear" w:color="000000" w:fill="FFFFFF"/>
            <w:vAlign w:val="center"/>
          </w:tcPr>
          <w:p w14:paraId="1D1B7C73">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1CF4365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536" w:type="pct"/>
            <w:shd w:val="clear" w:color="000000" w:fill="FFFFFF"/>
            <w:vAlign w:val="center"/>
          </w:tcPr>
          <w:p w14:paraId="7EAEEFF5">
            <w:pPr>
              <w:widowControl/>
              <w:spacing w:line="0" w:lineRule="atLeast"/>
              <w:jc w:val="center"/>
              <w:rPr>
                <w:b/>
                <w:bCs/>
                <w:color w:val="000000"/>
                <w:kern w:val="0"/>
                <w:sz w:val="22"/>
                <w:szCs w:val="22"/>
                <w:highlight w:val="none"/>
              </w:rPr>
            </w:pPr>
            <w:r>
              <w:rPr>
                <w:b/>
                <w:bCs/>
                <w:color w:val="000000"/>
                <w:kern w:val="0"/>
                <w:sz w:val="22"/>
                <w:szCs w:val="22"/>
                <w:highlight w:val="none"/>
              </w:rPr>
              <w:t>4</w:t>
            </w:r>
          </w:p>
        </w:tc>
      </w:tr>
      <w:tr w14:paraId="4BF6FF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27" w:type="pct"/>
            <w:vMerge w:val="restart"/>
            <w:shd w:val="clear" w:color="auto" w:fill="FFFFFF"/>
            <w:vAlign w:val="center"/>
          </w:tcPr>
          <w:p w14:paraId="674AFA8F">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1" w:type="pct"/>
            <w:shd w:val="clear" w:color="auto" w:fill="FFFFFF"/>
            <w:vAlign w:val="center"/>
          </w:tcPr>
          <w:p w14:paraId="7AFB6545">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0795B9C0">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241765EB">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51" w:type="pct"/>
            <w:shd w:val="clear" w:color="000000" w:fill="FFFFFF"/>
            <w:vAlign w:val="center"/>
          </w:tcPr>
          <w:p w14:paraId="061D791D">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659F1BA8">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000000" w:fill="FFFFFF"/>
            <w:vAlign w:val="center"/>
          </w:tcPr>
          <w:p w14:paraId="045F99D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7.6</w:t>
            </w:r>
          </w:p>
        </w:tc>
      </w:tr>
      <w:tr w14:paraId="2F29C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27" w:type="pct"/>
            <w:vMerge w:val="continue"/>
            <w:shd w:val="clear" w:color="auto" w:fill="FFFFFF"/>
            <w:vAlign w:val="center"/>
          </w:tcPr>
          <w:p w14:paraId="4842541B">
            <w:pPr>
              <w:widowControl/>
              <w:spacing w:line="0" w:lineRule="atLeast"/>
              <w:jc w:val="center"/>
              <w:rPr>
                <w:color w:val="000000"/>
                <w:kern w:val="0"/>
                <w:sz w:val="22"/>
                <w:szCs w:val="22"/>
                <w:highlight w:val="none"/>
              </w:rPr>
            </w:pPr>
          </w:p>
        </w:tc>
        <w:tc>
          <w:tcPr>
            <w:tcW w:w="301" w:type="pct"/>
            <w:shd w:val="clear" w:color="auto" w:fill="FFFFFF"/>
            <w:vAlign w:val="center"/>
          </w:tcPr>
          <w:p w14:paraId="3CC633BB">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0FB0A72A">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22CD6FC0">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51" w:type="pct"/>
            <w:shd w:val="clear" w:color="000000" w:fill="FFFFFF"/>
            <w:vAlign w:val="center"/>
          </w:tcPr>
          <w:p w14:paraId="4FE84D88">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5E04954A">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1337DDB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000000" w:fill="FFFFFF"/>
            <w:vAlign w:val="center"/>
          </w:tcPr>
          <w:p w14:paraId="7E3A3E9D">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7363A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27" w:type="pct"/>
            <w:vMerge w:val="continue"/>
            <w:shd w:val="clear" w:color="auto" w:fill="FFFFFF"/>
            <w:vAlign w:val="center"/>
          </w:tcPr>
          <w:p w14:paraId="27BC4D0A">
            <w:pPr>
              <w:spacing w:line="0" w:lineRule="atLeast"/>
              <w:jc w:val="center"/>
              <w:rPr>
                <w:color w:val="000000"/>
                <w:kern w:val="0"/>
                <w:sz w:val="22"/>
                <w:szCs w:val="22"/>
                <w:highlight w:val="none"/>
              </w:rPr>
            </w:pPr>
          </w:p>
        </w:tc>
        <w:tc>
          <w:tcPr>
            <w:tcW w:w="301" w:type="pct"/>
            <w:shd w:val="clear" w:color="auto" w:fill="FFFFFF"/>
            <w:vAlign w:val="center"/>
          </w:tcPr>
          <w:p w14:paraId="3A22A738">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799CA49F">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031A16B5">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51" w:type="pct"/>
            <w:shd w:val="clear" w:color="000000" w:fill="FFFFFF"/>
            <w:vAlign w:val="center"/>
          </w:tcPr>
          <w:p w14:paraId="5640D3DF">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36D40FBC">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000000" w:fill="FFFFFF"/>
            <w:vAlign w:val="center"/>
          </w:tcPr>
          <w:p w14:paraId="269BCDF5">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548EE5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27" w:type="pct"/>
            <w:vMerge w:val="continue"/>
            <w:shd w:val="clear" w:color="auto" w:fill="FFFFFF"/>
            <w:vAlign w:val="center"/>
          </w:tcPr>
          <w:p w14:paraId="35493878">
            <w:pPr>
              <w:widowControl/>
              <w:spacing w:line="0" w:lineRule="atLeast"/>
              <w:jc w:val="center"/>
              <w:rPr>
                <w:color w:val="000000"/>
                <w:kern w:val="0"/>
                <w:sz w:val="22"/>
                <w:szCs w:val="22"/>
                <w:highlight w:val="none"/>
              </w:rPr>
            </w:pPr>
          </w:p>
        </w:tc>
        <w:tc>
          <w:tcPr>
            <w:tcW w:w="301" w:type="pct"/>
            <w:shd w:val="clear" w:color="auto" w:fill="FFFFFF"/>
            <w:vAlign w:val="center"/>
          </w:tcPr>
          <w:p w14:paraId="6D2D3770">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082A6335">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49246586">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51" w:type="pct"/>
            <w:shd w:val="clear" w:color="000000" w:fill="FFFFFF"/>
            <w:vAlign w:val="center"/>
          </w:tcPr>
          <w:p w14:paraId="50061313">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047B94C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000000" w:fill="FFFFFF"/>
            <w:vAlign w:val="center"/>
          </w:tcPr>
          <w:p w14:paraId="7806C661">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3E6A6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27" w:type="pct"/>
            <w:vMerge w:val="restart"/>
            <w:shd w:val="clear" w:color="auto" w:fill="FFFFFF"/>
            <w:vAlign w:val="center"/>
          </w:tcPr>
          <w:p w14:paraId="14739C40">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1" w:type="pct"/>
            <w:vMerge w:val="restart"/>
            <w:shd w:val="clear" w:color="auto" w:fill="FFFFFF"/>
            <w:vAlign w:val="center"/>
          </w:tcPr>
          <w:p w14:paraId="32D65712">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53B6B2C1">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41ADDFAE">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51" w:type="pct"/>
            <w:shd w:val="clear" w:color="auto" w:fill="FFFFFF"/>
            <w:vAlign w:val="center"/>
          </w:tcPr>
          <w:p w14:paraId="29FB4DB5">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79763FD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auto" w:fill="FFFFFF"/>
            <w:vAlign w:val="center"/>
          </w:tcPr>
          <w:p w14:paraId="5EFBD04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6556A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27" w:type="pct"/>
            <w:vMerge w:val="continue"/>
            <w:shd w:val="clear" w:color="auto" w:fill="FFFFFF"/>
            <w:vAlign w:val="center"/>
          </w:tcPr>
          <w:p w14:paraId="56413316">
            <w:pPr>
              <w:widowControl/>
              <w:spacing w:line="0" w:lineRule="atLeast"/>
              <w:jc w:val="center"/>
              <w:rPr>
                <w:color w:val="000000"/>
                <w:kern w:val="0"/>
                <w:sz w:val="22"/>
                <w:szCs w:val="22"/>
                <w:highlight w:val="none"/>
              </w:rPr>
            </w:pPr>
          </w:p>
        </w:tc>
        <w:tc>
          <w:tcPr>
            <w:tcW w:w="301" w:type="pct"/>
            <w:vMerge w:val="continue"/>
            <w:shd w:val="clear" w:color="auto" w:fill="FFFFFF"/>
            <w:vAlign w:val="center"/>
          </w:tcPr>
          <w:p w14:paraId="3E911596">
            <w:pPr>
              <w:widowControl/>
              <w:spacing w:line="0" w:lineRule="atLeast"/>
              <w:jc w:val="center"/>
              <w:rPr>
                <w:color w:val="000000"/>
                <w:kern w:val="0"/>
                <w:sz w:val="22"/>
                <w:szCs w:val="22"/>
                <w:highlight w:val="none"/>
              </w:rPr>
            </w:pPr>
          </w:p>
        </w:tc>
        <w:tc>
          <w:tcPr>
            <w:tcW w:w="344" w:type="pct"/>
            <w:shd w:val="clear" w:color="auto" w:fill="FFFFFF"/>
            <w:vAlign w:val="center"/>
          </w:tcPr>
          <w:p w14:paraId="76754DBB">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305F177F">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51" w:type="pct"/>
            <w:shd w:val="clear" w:color="000000" w:fill="FFFFFF"/>
            <w:vAlign w:val="center"/>
          </w:tcPr>
          <w:p w14:paraId="0C24AC51">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33B14F0C">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6" w:type="pct"/>
            <w:shd w:val="clear" w:color="000000" w:fill="FFFFFF"/>
            <w:vAlign w:val="center"/>
          </w:tcPr>
          <w:p w14:paraId="7F2D5C8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r>
      <w:tr w14:paraId="1429E4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2" w:hRule="atLeast"/>
          <w:jc w:val="center"/>
        </w:trPr>
        <w:tc>
          <w:tcPr>
            <w:tcW w:w="3951" w:type="pct"/>
            <w:gridSpan w:val="5"/>
            <w:shd w:val="clear" w:color="auto" w:fill="FFFFFF"/>
            <w:vAlign w:val="center"/>
          </w:tcPr>
          <w:p w14:paraId="65926629">
            <w:pPr>
              <w:widowControl/>
              <w:spacing w:line="0" w:lineRule="atLeast"/>
              <w:jc w:val="center"/>
              <w:rPr>
                <w:rFonts w:hint="eastAsia" w:eastAsia="宋体"/>
                <w:color w:val="000000"/>
                <w:kern w:val="0"/>
                <w:sz w:val="22"/>
                <w:szCs w:val="22"/>
                <w:highlight w:val="none"/>
                <w:lang w:val="en-US" w:eastAsia="zh-CN"/>
              </w:rPr>
            </w:pPr>
            <w:r>
              <w:rPr>
                <w:rFonts w:hint="eastAsia"/>
                <w:b/>
                <w:bCs/>
                <w:color w:val="000000"/>
                <w:kern w:val="0"/>
                <w:sz w:val="22"/>
                <w:szCs w:val="22"/>
                <w:highlight w:val="none"/>
                <w:lang w:val="en-US" w:eastAsia="zh-CN"/>
              </w:rPr>
              <w:t>合计</w:t>
            </w:r>
          </w:p>
        </w:tc>
        <w:tc>
          <w:tcPr>
            <w:tcW w:w="512" w:type="pct"/>
            <w:shd w:val="clear" w:color="000000" w:fill="FFFFFF"/>
            <w:vAlign w:val="center"/>
          </w:tcPr>
          <w:p w14:paraId="5F5F5B2E">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100</w:t>
            </w:r>
          </w:p>
        </w:tc>
        <w:tc>
          <w:tcPr>
            <w:tcW w:w="536" w:type="pct"/>
            <w:shd w:val="clear" w:color="000000" w:fill="FFFFFF"/>
            <w:vAlign w:val="center"/>
          </w:tcPr>
          <w:p w14:paraId="35B76C97">
            <w:pPr>
              <w:widowControl/>
              <w:spacing w:line="0" w:lineRule="atLeast"/>
              <w:jc w:val="center"/>
              <w:rPr>
                <w:b/>
                <w:bCs/>
                <w:color w:val="000000"/>
                <w:kern w:val="0"/>
                <w:sz w:val="22"/>
                <w:szCs w:val="22"/>
                <w:highlight w:val="none"/>
              </w:rPr>
            </w:pPr>
            <w:r>
              <w:rPr>
                <w:b/>
                <w:bCs/>
                <w:color w:val="000000"/>
                <w:kern w:val="0"/>
                <w:sz w:val="22"/>
                <w:szCs w:val="22"/>
                <w:highlight w:val="none"/>
              </w:rPr>
              <w:fldChar w:fldCharType="begin"/>
            </w:r>
            <w:r>
              <w:rPr>
                <w:b/>
                <w:bCs/>
                <w:color w:val="000000"/>
                <w:kern w:val="0"/>
                <w:sz w:val="22"/>
                <w:szCs w:val="22"/>
                <w:highlight w:val="none"/>
              </w:rPr>
              <w:instrText xml:space="preserve"> = sum(G2:G18) \* MERGEFORMAT </w:instrText>
            </w:r>
            <w:r>
              <w:rPr>
                <w:b/>
                <w:bCs/>
                <w:color w:val="000000"/>
                <w:kern w:val="0"/>
                <w:sz w:val="22"/>
                <w:szCs w:val="22"/>
                <w:highlight w:val="none"/>
              </w:rPr>
              <w:fldChar w:fldCharType="separate"/>
            </w:r>
            <w:r>
              <w:rPr>
                <w:b/>
                <w:bCs/>
                <w:color w:val="000000"/>
                <w:kern w:val="0"/>
                <w:sz w:val="22"/>
                <w:szCs w:val="22"/>
                <w:highlight w:val="none"/>
              </w:rPr>
              <w:t>97.6</w:t>
            </w:r>
            <w:r>
              <w:rPr>
                <w:b/>
                <w:bCs/>
                <w:color w:val="000000"/>
                <w:kern w:val="0"/>
                <w:sz w:val="22"/>
                <w:szCs w:val="22"/>
                <w:highlight w:val="none"/>
              </w:rPr>
              <w:fldChar w:fldCharType="end"/>
            </w:r>
          </w:p>
        </w:tc>
      </w:tr>
    </w:tbl>
    <w:p w14:paraId="342185A9">
      <w:pPr>
        <w:spacing w:line="540" w:lineRule="exact"/>
        <w:ind w:firstLine="640"/>
        <w:rPr>
          <w:rStyle w:val="14"/>
          <w:rFonts w:eastAsia="黑体"/>
          <w:bCs w:val="0"/>
          <w:spacing w:val="-4"/>
          <w:sz w:val="32"/>
          <w:szCs w:val="32"/>
          <w:highlight w:val="none"/>
        </w:rPr>
      </w:pPr>
    </w:p>
    <w:p w14:paraId="3543C121">
      <w:pPr>
        <w:spacing w:line="540" w:lineRule="exact"/>
        <w:ind w:firstLine="640"/>
        <w:rPr>
          <w:rStyle w:val="14"/>
          <w:rFonts w:eastAsia="黑体"/>
          <w:bCs w:val="0"/>
          <w:spacing w:val="-4"/>
          <w:sz w:val="32"/>
          <w:szCs w:val="32"/>
          <w:highlight w:val="none"/>
        </w:rPr>
      </w:pPr>
    </w:p>
    <w:p w14:paraId="4F1ED8AD">
      <w:pPr>
        <w:spacing w:line="540" w:lineRule="exact"/>
        <w:rPr>
          <w:rStyle w:val="14"/>
          <w:rFonts w:eastAsia="仿宋"/>
          <w:b w:val="0"/>
          <w:spacing w:val="-4"/>
          <w:sz w:val="32"/>
          <w:szCs w:val="32"/>
          <w:highlight w:val="none"/>
        </w:rPr>
      </w:pPr>
    </w:p>
    <w:p w14:paraId="256B4F35">
      <w:pPr>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29FFF4-CE12-492F-8CD4-CB136F9E28D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E249CC9-80BA-4A09-8C7A-D538590D6BF5}"/>
  </w:font>
  <w:font w:name="华文中宋">
    <w:panose1 w:val="02010600040101010101"/>
    <w:charset w:val="86"/>
    <w:family w:val="auto"/>
    <w:pitch w:val="default"/>
    <w:sig w:usb0="00000287" w:usb1="080F0000" w:usb2="00000000" w:usb3="00000000" w:csb0="0004009F" w:csb1="DFD70000"/>
    <w:embedRegular r:id="rId3" w:fontKey="{25CC88D4-F98E-4F75-8E04-269A947C2059}"/>
  </w:font>
  <w:font w:name="方正小标宋_GBK">
    <w:panose1 w:val="02000000000000000000"/>
    <w:charset w:val="86"/>
    <w:family w:val="script"/>
    <w:pitch w:val="default"/>
    <w:sig w:usb0="A00002BF" w:usb1="38CF7CFA" w:usb2="00082016" w:usb3="00000000" w:csb0="00040001" w:csb1="00000000"/>
    <w:embedRegular r:id="rId4" w:fontKey="{C0D2A294-8ADE-4F16-BE0B-63AA1FEB682C}"/>
  </w:font>
  <w:font w:name="楷体_GB2312">
    <w:panose1 w:val="02010609030101010101"/>
    <w:charset w:val="86"/>
    <w:family w:val="auto"/>
    <w:pitch w:val="default"/>
    <w:sig w:usb0="00000001" w:usb1="080E0000" w:usb2="00000000" w:usb3="00000000" w:csb0="00040000" w:csb1="00000000"/>
    <w:embedRegular r:id="rId5" w:fontKey="{0430FC7A-9096-45A5-AC55-6CC7A0AFB923}"/>
  </w:font>
  <w:font w:name="楷体">
    <w:panose1 w:val="02010609060101010101"/>
    <w:charset w:val="86"/>
    <w:family w:val="modern"/>
    <w:pitch w:val="default"/>
    <w:sig w:usb0="800002BF" w:usb1="38CF7CFA" w:usb2="00000016" w:usb3="00000000" w:csb0="00040001" w:csb1="00000000"/>
    <w:embedRegular r:id="rId6" w:fontKey="{ECB3DA23-609D-4698-A2AB-F31D754E8252}"/>
  </w:font>
  <w:font w:name="仿宋">
    <w:panose1 w:val="02010609060101010101"/>
    <w:charset w:val="86"/>
    <w:family w:val="modern"/>
    <w:pitch w:val="default"/>
    <w:sig w:usb0="800002BF" w:usb1="38CF7CFA" w:usb2="00000016" w:usb3="00000000" w:csb0="00040001" w:csb1="00000000"/>
    <w:embedRegular r:id="rId7" w:fontKey="{8F883878-1B66-480C-9108-CCBF025AD40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4D43F60">
        <w:pPr>
          <w:pStyle w:val="7"/>
          <w:jc w:val="center"/>
        </w:pPr>
        <w:r>
          <w:fldChar w:fldCharType="begin"/>
        </w:r>
        <w:r>
          <w:instrText xml:space="preserve">PAGE   \* MERGEFORMAT</w:instrText>
        </w:r>
        <w:r>
          <w:fldChar w:fldCharType="separate"/>
        </w:r>
        <w:r>
          <w:rPr>
            <w:lang w:val="zh-CN"/>
          </w:rPr>
          <w:t>1</w:t>
        </w:r>
        <w:r>
          <w:fldChar w:fldCharType="end"/>
        </w:r>
      </w:p>
    </w:sdtContent>
  </w:sdt>
  <w:p w14:paraId="3DEB1F2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4712B7"/>
    <w:rsid w:val="00714727"/>
    <w:rsid w:val="00FC7F82"/>
    <w:rsid w:val="00FD3DF8"/>
    <w:rsid w:val="02B349AE"/>
    <w:rsid w:val="03012F09"/>
    <w:rsid w:val="05753953"/>
    <w:rsid w:val="0604512A"/>
    <w:rsid w:val="08323AAE"/>
    <w:rsid w:val="08757CAF"/>
    <w:rsid w:val="0A714528"/>
    <w:rsid w:val="0B5A1250"/>
    <w:rsid w:val="0B901D30"/>
    <w:rsid w:val="0D42705A"/>
    <w:rsid w:val="0DB42355"/>
    <w:rsid w:val="0E950205"/>
    <w:rsid w:val="138717F3"/>
    <w:rsid w:val="13B90F01"/>
    <w:rsid w:val="156C55BC"/>
    <w:rsid w:val="15DF55F1"/>
    <w:rsid w:val="164E6A70"/>
    <w:rsid w:val="170D692B"/>
    <w:rsid w:val="17A32DEB"/>
    <w:rsid w:val="18EF0066"/>
    <w:rsid w:val="199A1AD8"/>
    <w:rsid w:val="1C671E73"/>
    <w:rsid w:val="1C7B6306"/>
    <w:rsid w:val="1F170346"/>
    <w:rsid w:val="1F591DBF"/>
    <w:rsid w:val="1F5D0F05"/>
    <w:rsid w:val="20FE4972"/>
    <w:rsid w:val="21696E53"/>
    <w:rsid w:val="2EC05773"/>
    <w:rsid w:val="2F4C56AD"/>
    <w:rsid w:val="2F677110"/>
    <w:rsid w:val="2FF40230"/>
    <w:rsid w:val="395F2B56"/>
    <w:rsid w:val="3BECE841"/>
    <w:rsid w:val="3FF7797D"/>
    <w:rsid w:val="447D0476"/>
    <w:rsid w:val="46D57730"/>
    <w:rsid w:val="48844E8B"/>
    <w:rsid w:val="498325F5"/>
    <w:rsid w:val="4A746B40"/>
    <w:rsid w:val="4B0A04B0"/>
    <w:rsid w:val="4B0C61BF"/>
    <w:rsid w:val="4BCA00BB"/>
    <w:rsid w:val="4D0553D3"/>
    <w:rsid w:val="4DF307D4"/>
    <w:rsid w:val="4EBC1832"/>
    <w:rsid w:val="50316B86"/>
    <w:rsid w:val="53513120"/>
    <w:rsid w:val="53B54D12"/>
    <w:rsid w:val="549678B5"/>
    <w:rsid w:val="54CE6E16"/>
    <w:rsid w:val="5664316A"/>
    <w:rsid w:val="568E01E7"/>
    <w:rsid w:val="58823D7B"/>
    <w:rsid w:val="5BFF6039"/>
    <w:rsid w:val="5D0B07E3"/>
    <w:rsid w:val="5D76A616"/>
    <w:rsid w:val="5D7C0856"/>
    <w:rsid w:val="5D7F20B9"/>
    <w:rsid w:val="5DAC7D0E"/>
    <w:rsid w:val="5F4B4EC7"/>
    <w:rsid w:val="5FFE8511"/>
    <w:rsid w:val="5FFEACE2"/>
    <w:rsid w:val="60E163EF"/>
    <w:rsid w:val="61AD1E69"/>
    <w:rsid w:val="643EE26D"/>
    <w:rsid w:val="65A43583"/>
    <w:rsid w:val="66C0619B"/>
    <w:rsid w:val="6784366C"/>
    <w:rsid w:val="67FC30CE"/>
    <w:rsid w:val="691E189E"/>
    <w:rsid w:val="6E3F3E55"/>
    <w:rsid w:val="6FAF6C78"/>
    <w:rsid w:val="70FC0717"/>
    <w:rsid w:val="7294672D"/>
    <w:rsid w:val="7317C656"/>
    <w:rsid w:val="74153036"/>
    <w:rsid w:val="755D72AA"/>
    <w:rsid w:val="76F40AA2"/>
    <w:rsid w:val="77194E98"/>
    <w:rsid w:val="77B75398"/>
    <w:rsid w:val="77FD8BE9"/>
    <w:rsid w:val="78CE4895"/>
    <w:rsid w:val="79A9BD3F"/>
    <w:rsid w:val="7BFFFDD0"/>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3">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0"/>
    <w:autoRedefine/>
    <w:qFormat/>
    <w:uiPriority w:val="99"/>
    <w:pPr>
      <w:jc w:val="left"/>
    </w:pPr>
  </w:style>
  <w:style w:type="paragraph" w:styleId="5">
    <w:name w:val="Body Text"/>
    <w:basedOn w:val="1"/>
    <w:autoRedefine/>
    <w:qFormat/>
    <w:uiPriority w:val="0"/>
    <w:pPr>
      <w:spacing w:after="120"/>
    </w:pPr>
  </w:style>
  <w:style w:type="paragraph" w:styleId="6">
    <w:name w:val="Body Text Indent"/>
    <w:basedOn w:val="1"/>
    <w:autoRedefine/>
    <w:qFormat/>
    <w:uiPriority w:val="0"/>
    <w:pPr>
      <w:spacing w:after="120"/>
      <w:ind w:left="420" w:leftChars="200"/>
    </w:pPr>
    <w:rPr>
      <w:rFonts w:ascii="Calibri" w:hAnsi="Calibri"/>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9"/>
    <w:autoRedefine/>
    <w:qFormat/>
    <w:uiPriority w:val="0"/>
    <w:pPr>
      <w:tabs>
        <w:tab w:val="center" w:pos="4153"/>
        <w:tab w:val="right" w:pos="8306"/>
      </w:tabs>
      <w:snapToGrid w:val="0"/>
      <w:jc w:val="center"/>
    </w:pPr>
    <w:rPr>
      <w:sz w:val="18"/>
      <w:szCs w:val="18"/>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w:basedOn w:val="5"/>
    <w:autoRedefine/>
    <w:qFormat/>
    <w:uiPriority w:val="0"/>
    <w:pPr>
      <w:spacing w:after="0"/>
      <w:ind w:firstLine="200" w:firstLineChars="200"/>
    </w:pPr>
  </w:style>
  <w:style w:type="paragraph" w:styleId="11">
    <w:name w:val="Body Text First Indent 2"/>
    <w:basedOn w:val="6"/>
    <w:autoRedefine/>
    <w:qFormat/>
    <w:uiPriority w:val="0"/>
    <w:pPr>
      <w:ind w:firstLine="420" w:firstLineChars="200"/>
    </w:pPr>
  </w:style>
  <w:style w:type="character" w:styleId="14">
    <w:name w:val="Strong"/>
    <w:basedOn w:val="13"/>
    <w:autoRedefine/>
    <w:qFormat/>
    <w:uiPriority w:val="0"/>
    <w:rPr>
      <w:b/>
      <w:bCs/>
    </w:rPr>
  </w:style>
  <w:style w:type="character" w:styleId="15">
    <w:name w:val="annotation reference"/>
    <w:basedOn w:val="13"/>
    <w:autoRedefine/>
    <w:qFormat/>
    <w:uiPriority w:val="99"/>
    <w:rPr>
      <w:sz w:val="21"/>
      <w:szCs w:val="21"/>
    </w:rPr>
  </w:style>
  <w:style w:type="character" w:customStyle="1" w:styleId="16">
    <w:name w:val="fontstyle01"/>
    <w:autoRedefine/>
    <w:qFormat/>
    <w:uiPriority w:val="0"/>
    <w:rPr>
      <w:rFonts w:ascii="仿宋_GB2312" w:hAnsi="仿宋_GB2312" w:eastAsia="仿宋_GB2312" w:cs="仿宋_GB2312"/>
      <w:color w:val="000000"/>
      <w:sz w:val="32"/>
      <w:szCs w:val="32"/>
    </w:rPr>
  </w:style>
  <w:style w:type="paragraph" w:customStyle="1" w:styleId="17">
    <w:name w:val="闻政-正文段落文字"/>
    <w:basedOn w:val="1"/>
    <w:autoRedefine/>
    <w:qFormat/>
    <w:uiPriority w:val="3"/>
    <w:pPr>
      <w:spacing w:line="500" w:lineRule="exact"/>
      <w:ind w:firstLine="200"/>
    </w:pPr>
    <w:rPr>
      <w:kern w:val="0"/>
      <w:szCs w:val="28"/>
    </w:rPr>
  </w:style>
  <w:style w:type="paragraph" w:customStyle="1" w:styleId="18">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眉 字符"/>
    <w:basedOn w:val="13"/>
    <w:link w:val="8"/>
    <w:autoRedefine/>
    <w:qFormat/>
    <w:uiPriority w:val="0"/>
    <w:rPr>
      <w:rFonts w:ascii="Times New Roman" w:hAnsi="Times New Roman" w:eastAsia="宋体" w:cs="Times New Roman"/>
      <w:kern w:val="2"/>
      <w:sz w:val="18"/>
      <w:szCs w:val="18"/>
    </w:rPr>
  </w:style>
  <w:style w:type="character" w:customStyle="1" w:styleId="20">
    <w:name w:val="批注文字 字符"/>
    <w:basedOn w:val="13"/>
    <w:link w:val="4"/>
    <w:autoRedefine/>
    <w:qFormat/>
    <w:uiPriority w:val="99"/>
    <w:rPr>
      <w:rFonts w:ascii="Times New Roman" w:hAnsi="Times New Roman" w:eastAsia="宋体" w:cs="Times New Roman"/>
      <w:kern w:val="2"/>
      <w:sz w:val="21"/>
      <w:szCs w:val="24"/>
    </w:rPr>
  </w:style>
  <w:style w:type="paragraph" w:styleId="21">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25</Pages>
  <Words>10557</Words>
  <Characters>11201</Characters>
  <Lines>63</Lines>
  <Paragraphs>17</Paragraphs>
  <TotalTime>0</TotalTime>
  <ScaleCrop>false</ScaleCrop>
  <LinksUpToDate>false</LinksUpToDate>
  <CharactersWithSpaces>11244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薛俊璇</cp:lastModifiedBy>
  <cp:lastPrinted>2024-03-08T16:02:00Z</cp:lastPrinted>
  <dcterms:modified xsi:type="dcterms:W3CDTF">2024-08-27T11:06:58Z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