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C7F5C">
      <w:pPr>
        <w:spacing w:line="540" w:lineRule="exact"/>
        <w:jc w:val="center"/>
        <w:rPr>
          <w:rFonts w:eastAsia="华文中宋"/>
          <w:b/>
          <w:kern w:val="0"/>
          <w:sz w:val="52"/>
          <w:szCs w:val="52"/>
          <w:highlight w:val="none"/>
        </w:rPr>
      </w:pPr>
    </w:p>
    <w:p w14:paraId="44DE63E7">
      <w:pPr>
        <w:spacing w:line="540" w:lineRule="exact"/>
        <w:rPr>
          <w:rFonts w:eastAsia="华文中宋"/>
          <w:b/>
          <w:kern w:val="0"/>
          <w:sz w:val="52"/>
          <w:szCs w:val="52"/>
          <w:highlight w:val="none"/>
        </w:rPr>
      </w:pPr>
    </w:p>
    <w:p w14:paraId="2B49D8FA">
      <w:pPr>
        <w:spacing w:line="540" w:lineRule="exact"/>
        <w:jc w:val="center"/>
        <w:rPr>
          <w:rFonts w:eastAsia="华文中宋"/>
          <w:b/>
          <w:kern w:val="0"/>
          <w:sz w:val="52"/>
          <w:szCs w:val="52"/>
          <w:highlight w:val="none"/>
        </w:rPr>
      </w:pPr>
    </w:p>
    <w:p w14:paraId="24F18002">
      <w:pPr>
        <w:spacing w:line="540" w:lineRule="exact"/>
        <w:jc w:val="center"/>
        <w:rPr>
          <w:rFonts w:eastAsia="华文中宋"/>
          <w:b/>
          <w:kern w:val="0"/>
          <w:sz w:val="52"/>
          <w:szCs w:val="52"/>
          <w:highlight w:val="none"/>
        </w:rPr>
      </w:pPr>
    </w:p>
    <w:p w14:paraId="3DCE3ED7">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医院政府采购</w:t>
      </w:r>
      <w:r>
        <w:rPr>
          <w:rFonts w:eastAsia="方正小标宋_GBK"/>
          <w:kern w:val="0"/>
          <w:sz w:val="48"/>
          <w:szCs w:val="48"/>
          <w:highlight w:val="none"/>
        </w:rPr>
        <w:t>资金项目支出绩效评价</w:t>
      </w:r>
    </w:p>
    <w:p w14:paraId="753BD183">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14:paraId="7547B58F">
      <w:pPr>
        <w:spacing w:line="540" w:lineRule="exact"/>
        <w:jc w:val="center"/>
        <w:rPr>
          <w:rFonts w:eastAsia="华文中宋"/>
          <w:b/>
          <w:kern w:val="0"/>
          <w:sz w:val="52"/>
          <w:szCs w:val="52"/>
          <w:highlight w:val="none"/>
        </w:rPr>
      </w:pPr>
    </w:p>
    <w:p w14:paraId="632A9C41">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457D5FE6">
      <w:pPr>
        <w:spacing w:line="540" w:lineRule="exact"/>
        <w:jc w:val="center"/>
        <w:rPr>
          <w:rFonts w:eastAsia="仿宋_GB2312"/>
          <w:kern w:val="0"/>
          <w:sz w:val="30"/>
          <w:szCs w:val="30"/>
          <w:highlight w:val="none"/>
        </w:rPr>
      </w:pPr>
    </w:p>
    <w:p w14:paraId="42570EBD">
      <w:pPr>
        <w:spacing w:line="540" w:lineRule="exact"/>
        <w:jc w:val="center"/>
        <w:rPr>
          <w:rFonts w:eastAsia="仿宋_GB2312"/>
          <w:kern w:val="0"/>
          <w:sz w:val="30"/>
          <w:szCs w:val="30"/>
          <w:highlight w:val="none"/>
        </w:rPr>
      </w:pPr>
    </w:p>
    <w:p w14:paraId="6A986249">
      <w:pPr>
        <w:spacing w:line="540" w:lineRule="exact"/>
        <w:jc w:val="center"/>
        <w:rPr>
          <w:rFonts w:eastAsia="仿宋_GB2312"/>
          <w:kern w:val="0"/>
          <w:sz w:val="30"/>
          <w:szCs w:val="30"/>
          <w:highlight w:val="none"/>
        </w:rPr>
      </w:pPr>
    </w:p>
    <w:p w14:paraId="44CBA4AA">
      <w:pPr>
        <w:spacing w:line="540" w:lineRule="exact"/>
        <w:jc w:val="center"/>
        <w:rPr>
          <w:rFonts w:eastAsia="仿宋_GB2312"/>
          <w:kern w:val="0"/>
          <w:sz w:val="30"/>
          <w:szCs w:val="30"/>
          <w:highlight w:val="none"/>
        </w:rPr>
      </w:pPr>
    </w:p>
    <w:p w14:paraId="69EED2AD">
      <w:pPr>
        <w:spacing w:line="540" w:lineRule="exact"/>
        <w:rPr>
          <w:rFonts w:eastAsia="仿宋_GB2312"/>
          <w:kern w:val="0"/>
          <w:sz w:val="30"/>
          <w:szCs w:val="30"/>
          <w:highlight w:val="none"/>
        </w:rPr>
      </w:pPr>
    </w:p>
    <w:p w14:paraId="7264994E">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医院政府采购项目</w:t>
      </w:r>
    </w:p>
    <w:p w14:paraId="32C517BC">
      <w:pPr>
        <w:spacing w:line="700" w:lineRule="exact"/>
        <w:ind w:firstLine="1440" w:firstLineChars="400"/>
        <w:jc w:val="left"/>
        <w:rPr>
          <w:rFonts w:hint="eastAsia" w:eastAsia="仿宋_GB2312"/>
          <w:kern w:val="0"/>
          <w:sz w:val="36"/>
          <w:szCs w:val="36"/>
          <w:highlight w:val="none"/>
          <w:lang w:val="en-US" w:eastAsia="zh-CN"/>
        </w:rPr>
      </w:pPr>
      <w:r>
        <w:rPr>
          <w:rFonts w:eastAsia="仿宋_GB2312"/>
          <w:kern w:val="0"/>
          <w:sz w:val="36"/>
          <w:szCs w:val="36"/>
          <w:highlight w:val="none"/>
        </w:rPr>
        <w:t>实施单位（公章）：</w:t>
      </w:r>
      <w:r>
        <w:rPr>
          <w:rFonts w:hint="eastAsia" w:eastAsia="仿宋_GB2312"/>
          <w:kern w:val="0"/>
          <w:sz w:val="36"/>
          <w:szCs w:val="36"/>
          <w:highlight w:val="none"/>
          <w:lang w:eastAsia="zh-CN"/>
        </w:rPr>
        <w:t>新疆维吾尔自治区第三人民医院</w:t>
      </w:r>
    </w:p>
    <w:p w14:paraId="6E54A3F2">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主管部门（公章）：</w:t>
      </w:r>
      <w:r>
        <w:rPr>
          <w:rFonts w:hint="eastAsia" w:eastAsia="仿宋_GB2312"/>
          <w:kern w:val="0"/>
          <w:sz w:val="36"/>
          <w:szCs w:val="36"/>
          <w:highlight w:val="none"/>
          <w:lang w:eastAsia="zh-CN"/>
        </w:rPr>
        <w:t>新疆维吾尔自治区卫生健康委员会</w:t>
      </w:r>
    </w:p>
    <w:p w14:paraId="22628189">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王萍</w:t>
      </w:r>
    </w:p>
    <w:p w14:paraId="6A5CFC68">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8</w:t>
      </w:r>
      <w:r>
        <w:rPr>
          <w:rFonts w:eastAsia="仿宋_GB2312"/>
          <w:kern w:val="0"/>
          <w:sz w:val="36"/>
          <w:szCs w:val="36"/>
          <w:highlight w:val="none"/>
        </w:rPr>
        <w:t>日</w:t>
      </w:r>
    </w:p>
    <w:p w14:paraId="72C7B507">
      <w:pPr>
        <w:spacing w:line="540" w:lineRule="exact"/>
        <w:jc w:val="center"/>
        <w:rPr>
          <w:rFonts w:eastAsia="仿宋_GB2312"/>
          <w:kern w:val="0"/>
          <w:sz w:val="30"/>
          <w:szCs w:val="30"/>
          <w:highlight w:val="none"/>
        </w:rPr>
      </w:pPr>
    </w:p>
    <w:p w14:paraId="29CABBAB">
      <w:pPr>
        <w:spacing w:line="540" w:lineRule="exact"/>
        <w:rPr>
          <w:rStyle w:val="13"/>
          <w:rFonts w:eastAsia="黑体"/>
          <w:b w:val="0"/>
          <w:spacing w:val="-4"/>
          <w:sz w:val="32"/>
          <w:szCs w:val="32"/>
          <w:highlight w:val="none"/>
        </w:rPr>
      </w:pPr>
    </w:p>
    <w:p w14:paraId="505335DD">
      <w:pPr>
        <w:spacing w:line="600" w:lineRule="exact"/>
        <w:rPr>
          <w:rFonts w:eastAsia="黑体"/>
          <w:bCs/>
          <w:sz w:val="32"/>
          <w:szCs w:val="32"/>
          <w:highlight w:val="none"/>
        </w:rPr>
      </w:pPr>
    </w:p>
    <w:p w14:paraId="3EF613D8">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5C637F83">
      <w:pPr>
        <w:spacing w:line="560" w:lineRule="exact"/>
        <w:ind w:firstLine="641" w:firstLineChars="200"/>
        <w:rPr>
          <w:rFonts w:eastAsia="楷体_GB2312"/>
          <w:b/>
          <w:bCs/>
          <w:sz w:val="32"/>
          <w:szCs w:val="32"/>
          <w:highlight w:val="none"/>
        </w:rPr>
      </w:pPr>
      <w:r>
        <w:rPr>
          <w:rFonts w:eastAsia="楷体_GB2312"/>
          <w:b/>
          <w:bCs/>
          <w:sz w:val="32"/>
          <w:szCs w:val="32"/>
          <w:highlight w:val="none"/>
        </w:rPr>
        <w:t>（一）项目概况</w:t>
      </w:r>
    </w:p>
    <w:p w14:paraId="06198F2C">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53B82246">
      <w:pPr>
        <w:spacing w:line="540" w:lineRule="exact"/>
        <w:ind w:firstLine="640" w:firstLineChars="200"/>
        <w:rPr>
          <w:rStyle w:val="13"/>
          <w:rFonts w:hint="eastAsia" w:eastAsia="仿宋_GB2312"/>
          <w:bCs w:val="0"/>
          <w:spacing w:val="-4"/>
          <w:sz w:val="32"/>
          <w:szCs w:val="32"/>
          <w:highlight w:val="none"/>
          <w:lang w:eastAsia="zh-CN"/>
        </w:rPr>
      </w:pPr>
      <w:r>
        <w:rPr>
          <w:rFonts w:hint="eastAsia" w:eastAsia="仿宋_GB2312"/>
          <w:sz w:val="32"/>
          <w:szCs w:val="32"/>
          <w:highlight w:val="none"/>
        </w:rPr>
        <w:t>根据《中华人民共和国政府采购法》</w:t>
      </w:r>
      <w:r>
        <w:rPr>
          <w:rFonts w:hint="eastAsia" w:eastAsia="仿宋_GB2312"/>
          <w:sz w:val="32"/>
          <w:szCs w:val="32"/>
          <w:highlight w:val="none"/>
          <w:lang w:eastAsia="zh-CN"/>
        </w:rPr>
        <w:t>，为了规范政府采购行为，提高政府采购资金的使用效益，维护国家利益和社会公共利益，保护政府采购当事人的合法权益，促进廉政建设，各级国家机关、事业单位和团体组织，使用纳入预算管理的资金采购依法制定的集中采购目录以内或者采购限额标准以上的货物、工程和服务均实行政府采购，政府采购应当严格按照批准的预算执行。</w:t>
      </w:r>
    </w:p>
    <w:p w14:paraId="7FF2CD18">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13CA2B61">
      <w:pPr>
        <w:spacing w:line="560" w:lineRule="exact"/>
        <w:ind w:firstLine="640" w:firstLineChars="200"/>
        <w:rPr>
          <w:rFonts w:hint="eastAsia" w:eastAsia="仿宋_GB2312"/>
          <w:sz w:val="32"/>
          <w:szCs w:val="32"/>
          <w:highlight w:val="none"/>
        </w:rPr>
      </w:pPr>
      <w:r>
        <w:rPr>
          <w:rFonts w:eastAsia="仿宋_GB2312"/>
          <w:sz w:val="32"/>
          <w:szCs w:val="32"/>
          <w:highlight w:val="none"/>
        </w:rPr>
        <w:t>项目</w:t>
      </w:r>
      <w:r>
        <w:rPr>
          <w:rFonts w:hint="eastAsia" w:eastAsia="仿宋_GB2312"/>
          <w:sz w:val="32"/>
          <w:szCs w:val="32"/>
          <w:highlight w:val="none"/>
          <w:lang w:val="en-US" w:eastAsia="zh-CN"/>
        </w:rPr>
        <w:t>主要内容</w:t>
      </w:r>
      <w:r>
        <w:rPr>
          <w:rFonts w:eastAsia="仿宋_GB2312"/>
          <w:sz w:val="32"/>
          <w:szCs w:val="32"/>
          <w:highlight w:val="none"/>
        </w:rPr>
        <w:t>：</w:t>
      </w:r>
      <w:r>
        <w:rPr>
          <w:rFonts w:hint="eastAsia" w:eastAsia="仿宋_GB2312"/>
          <w:sz w:val="32"/>
          <w:szCs w:val="32"/>
          <w:highlight w:val="none"/>
          <w:lang w:eastAsia="zh-CN"/>
        </w:rPr>
        <w:t>该项目主要用于</w:t>
      </w:r>
      <w:r>
        <w:rPr>
          <w:rFonts w:hint="eastAsia" w:eastAsia="仿宋_GB2312"/>
          <w:sz w:val="32"/>
          <w:szCs w:val="32"/>
          <w:highlight w:val="none"/>
        </w:rPr>
        <w:t>改善老旧门诊楼布局不合理，就诊空间狭小等问题，满足患者良好的就医感受；更新医疗设备，用于学科发展需要，开展新技术新项目，不断提高医疗技术水平，满足人民群众健康需要；加强信息化建设，提升医院内涵建设及服务水平。</w:t>
      </w:r>
      <w:r>
        <w:rPr>
          <w:rFonts w:hint="eastAsia" w:eastAsia="仿宋_GB2312"/>
          <w:sz w:val="32"/>
          <w:szCs w:val="32"/>
          <w:highlight w:val="none"/>
        </w:rPr>
        <w:tab/>
      </w:r>
    </w:p>
    <w:p w14:paraId="58072669">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63316991">
      <w:pPr>
        <w:spacing w:line="56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rPr>
        <w:t>42250</w:t>
      </w:r>
      <w:r>
        <w:rPr>
          <w:rFonts w:eastAsia="仿宋_GB2312"/>
          <w:sz w:val="32"/>
          <w:szCs w:val="32"/>
          <w:highlight w:val="none"/>
        </w:rPr>
        <w:t>万元，其中：财政</w:t>
      </w:r>
      <w:r>
        <w:rPr>
          <w:rFonts w:hint="eastAsia" w:eastAsia="仿宋_GB2312"/>
          <w:sz w:val="32"/>
          <w:szCs w:val="32"/>
          <w:highlight w:val="none"/>
        </w:rPr>
        <w:t>拨款</w:t>
      </w:r>
      <w:r>
        <w:rPr>
          <w:rFonts w:eastAsia="仿宋_GB2312"/>
          <w:sz w:val="32"/>
          <w:szCs w:val="32"/>
          <w:highlight w:val="none"/>
        </w:rPr>
        <w:t>资金</w:t>
      </w:r>
      <w:r>
        <w:rPr>
          <w:rFonts w:hint="eastAsia" w:eastAsia="仿宋_GB2312"/>
          <w:sz w:val="32"/>
          <w:szCs w:val="32"/>
          <w:highlight w:val="none"/>
          <w:lang w:val="en-US" w:eastAsia="zh-CN"/>
        </w:rPr>
        <w:t>0</w:t>
      </w:r>
      <w:r>
        <w:rPr>
          <w:rFonts w:eastAsia="仿宋_GB2312"/>
          <w:sz w:val="32"/>
          <w:szCs w:val="32"/>
          <w:highlight w:val="none"/>
        </w:rPr>
        <w:t>万元。</w:t>
      </w:r>
      <w:r>
        <w:rPr>
          <w:rFonts w:hint="eastAsia" w:eastAsia="仿宋_GB2312"/>
          <w:sz w:val="32"/>
          <w:szCs w:val="32"/>
          <w:highlight w:val="none"/>
        </w:rPr>
        <w:t>其他资金</w:t>
      </w:r>
      <w:r>
        <w:rPr>
          <w:rFonts w:hint="eastAsia" w:eastAsia="仿宋_GB2312"/>
          <w:sz w:val="32"/>
          <w:szCs w:val="32"/>
          <w:highlight w:val="none"/>
          <w:lang w:val="en-US" w:eastAsia="zh-CN"/>
        </w:rPr>
        <w:t>42250</w:t>
      </w:r>
      <w:r>
        <w:rPr>
          <w:rFonts w:hint="eastAsia" w:eastAsia="仿宋_GB2312"/>
          <w:sz w:val="32"/>
          <w:szCs w:val="32"/>
          <w:highlight w:val="none"/>
        </w:rPr>
        <w:t>万元。</w:t>
      </w:r>
      <w:r>
        <w:rPr>
          <w:rFonts w:eastAsia="仿宋_GB2312"/>
          <w:sz w:val="32"/>
          <w:szCs w:val="32"/>
          <w:highlight w:val="none"/>
        </w:rPr>
        <w:t>项目实际支出</w:t>
      </w:r>
      <w:r>
        <w:rPr>
          <w:rFonts w:hint="eastAsia" w:eastAsia="仿宋_GB2312"/>
          <w:sz w:val="32"/>
          <w:szCs w:val="32"/>
          <w:highlight w:val="none"/>
          <w:lang w:val="en-US" w:eastAsia="zh-CN"/>
        </w:rPr>
        <w:t>50291.48</w:t>
      </w:r>
      <w:r>
        <w:rPr>
          <w:rFonts w:eastAsia="仿宋_GB2312"/>
          <w:sz w:val="32"/>
          <w:szCs w:val="32"/>
          <w:highlight w:val="none"/>
        </w:rPr>
        <w:t>万元，支出率为</w:t>
      </w:r>
      <w:r>
        <w:rPr>
          <w:rFonts w:hint="eastAsia" w:eastAsia="仿宋_GB2312"/>
          <w:sz w:val="32"/>
          <w:szCs w:val="32"/>
          <w:highlight w:val="none"/>
          <w:lang w:val="en-US" w:eastAsia="zh-CN"/>
        </w:rPr>
        <w:t>119.03</w:t>
      </w:r>
      <w:r>
        <w:rPr>
          <w:rFonts w:eastAsia="仿宋_GB2312"/>
          <w:sz w:val="32"/>
          <w:szCs w:val="32"/>
          <w:highlight w:val="none"/>
        </w:rPr>
        <w:t>%。</w:t>
      </w:r>
    </w:p>
    <w:p w14:paraId="2914A7BA">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48088485">
      <w:pPr>
        <w:spacing w:line="560" w:lineRule="exact"/>
        <w:ind w:firstLine="640" w:firstLineChars="200"/>
        <w:rPr>
          <w:rFonts w:hint="default" w:eastAsia="仿宋_GB2312"/>
          <w:sz w:val="20"/>
          <w:szCs w:val="20"/>
          <w:highlight w:val="none"/>
          <w:lang w:val="en-US" w:eastAsia="zh-CN"/>
        </w:rPr>
      </w:pPr>
      <w:r>
        <w:rPr>
          <w:rFonts w:eastAsia="仿宋_GB2312"/>
          <w:sz w:val="32"/>
          <w:szCs w:val="32"/>
          <w:highlight w:val="none"/>
        </w:rPr>
        <w:t>（1）资金</w:t>
      </w:r>
      <w:r>
        <w:rPr>
          <w:rFonts w:hint="eastAsia" w:eastAsia="仿宋_GB2312"/>
          <w:sz w:val="32"/>
          <w:szCs w:val="32"/>
          <w:highlight w:val="none"/>
          <w:lang w:val="en-US" w:eastAsia="zh-CN"/>
        </w:rPr>
        <w:t>投入情况</w:t>
      </w:r>
    </w:p>
    <w:p w14:paraId="3F7B7CE0">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项目年度总预算42250万元，其中：财政拨款资金0万元，其他资金42250万元。项目资金到位</w:t>
      </w:r>
      <w:r>
        <w:rPr>
          <w:rFonts w:hint="eastAsia" w:eastAsia="仿宋_GB2312"/>
          <w:sz w:val="32"/>
          <w:szCs w:val="32"/>
          <w:highlight w:val="none"/>
          <w:lang w:val="en-US" w:eastAsia="zh-CN"/>
        </w:rPr>
        <w:t>50291.48</w:t>
      </w:r>
      <w:r>
        <w:rPr>
          <w:rFonts w:hint="eastAsia" w:eastAsia="仿宋_GB2312"/>
          <w:sz w:val="32"/>
          <w:szCs w:val="32"/>
          <w:highlight w:val="none"/>
        </w:rPr>
        <w:t>万元，资金到位率</w:t>
      </w:r>
      <w:r>
        <w:rPr>
          <w:rFonts w:hint="eastAsia" w:eastAsia="仿宋_GB2312"/>
          <w:sz w:val="32"/>
          <w:szCs w:val="32"/>
          <w:highlight w:val="none"/>
          <w:lang w:val="en-US" w:eastAsia="zh-CN"/>
        </w:rPr>
        <w:t>119.03</w:t>
      </w:r>
      <w:r>
        <w:rPr>
          <w:rFonts w:eastAsia="仿宋_GB2312"/>
          <w:sz w:val="32"/>
          <w:szCs w:val="32"/>
          <w:highlight w:val="none"/>
        </w:rPr>
        <w:t>%</w:t>
      </w:r>
      <w:r>
        <w:rPr>
          <w:rFonts w:hint="eastAsia" w:eastAsia="仿宋_GB2312"/>
          <w:sz w:val="32"/>
          <w:szCs w:val="32"/>
          <w:highlight w:val="none"/>
        </w:rPr>
        <w:t>。资金来源于医院事业收入。</w:t>
      </w:r>
    </w:p>
    <w:p w14:paraId="3F24A45C">
      <w:pPr>
        <w:spacing w:line="560" w:lineRule="exact"/>
        <w:ind w:firstLine="640" w:firstLineChars="200"/>
        <w:rPr>
          <w:rFonts w:eastAsia="仿宋_GB2312"/>
          <w:sz w:val="32"/>
          <w:szCs w:val="32"/>
          <w:highlight w:val="none"/>
        </w:rPr>
      </w:pPr>
      <w:r>
        <w:rPr>
          <w:rFonts w:eastAsia="仿宋_GB2312"/>
          <w:sz w:val="32"/>
          <w:szCs w:val="32"/>
          <w:highlight w:val="none"/>
        </w:rPr>
        <w:t>（2）资金使用情况</w:t>
      </w:r>
      <w:bookmarkStart w:id="0" w:name="page10"/>
      <w:bookmarkEnd w:id="0"/>
    </w:p>
    <w:p w14:paraId="436A18FF">
      <w:pPr>
        <w:pStyle w:val="2"/>
        <w:spacing w:before="0" w:after="0" w:line="560" w:lineRule="exact"/>
        <w:ind w:firstLine="640" w:firstLineChars="200"/>
        <w:jc w:val="both"/>
        <w:rPr>
          <w:rFonts w:hint="eastAsia" w:ascii="Times New Roman" w:hAnsi="Times New Roman" w:eastAsia="仿宋_GB2312" w:cs="Times New Roman"/>
          <w:b w:val="0"/>
          <w:bCs w:val="0"/>
          <w:kern w:val="2"/>
          <w:highlight w:val="none"/>
          <w:lang w:eastAsia="zh-CN"/>
        </w:rPr>
      </w:pPr>
      <w:r>
        <w:rPr>
          <w:rFonts w:hint="eastAsia" w:ascii="Times New Roman" w:hAnsi="Times New Roman" w:eastAsia="仿宋_GB2312" w:cs="Times New Roman"/>
          <w:b w:val="0"/>
          <w:bCs w:val="0"/>
          <w:kern w:val="2"/>
          <w:highlight w:val="none"/>
          <w:lang w:eastAsia="zh-CN"/>
        </w:rPr>
        <w:t>截至2023年12月31日，该项目全年预算数42250万元，全年执行数</w:t>
      </w:r>
      <w:r>
        <w:rPr>
          <w:rFonts w:hint="eastAsia" w:ascii="Times New Roman" w:hAnsi="Times New Roman" w:eastAsia="仿宋_GB2312" w:cs="Times New Roman"/>
          <w:b w:val="0"/>
          <w:bCs w:val="0"/>
          <w:kern w:val="2"/>
          <w:highlight w:val="none"/>
          <w:lang w:val="en-US" w:eastAsia="zh-CN"/>
        </w:rPr>
        <w:t>50291.48</w:t>
      </w:r>
      <w:r>
        <w:rPr>
          <w:rFonts w:hint="eastAsia" w:ascii="Times New Roman" w:hAnsi="Times New Roman" w:eastAsia="仿宋_GB2312" w:cs="Times New Roman"/>
          <w:b w:val="0"/>
          <w:bCs w:val="0"/>
          <w:kern w:val="2"/>
          <w:highlight w:val="none"/>
          <w:lang w:eastAsia="zh-CN"/>
        </w:rPr>
        <w:t>万元，预算执行率</w:t>
      </w:r>
      <w:r>
        <w:rPr>
          <w:rFonts w:hint="eastAsia" w:ascii="Times New Roman" w:hAnsi="Times New Roman" w:eastAsia="仿宋_GB2312" w:cs="Times New Roman"/>
          <w:b w:val="0"/>
          <w:bCs w:val="0"/>
          <w:kern w:val="2"/>
          <w:highlight w:val="none"/>
          <w:lang w:val="en-US" w:eastAsia="zh-CN"/>
        </w:rPr>
        <w:t>119.03</w:t>
      </w:r>
      <w:r>
        <w:rPr>
          <w:rFonts w:hint="eastAsia" w:ascii="Times New Roman" w:hAnsi="Times New Roman" w:eastAsia="仿宋_GB2312" w:cs="Times New Roman"/>
          <w:b w:val="0"/>
          <w:bCs w:val="0"/>
          <w:kern w:val="2"/>
          <w:highlight w:val="none"/>
          <w:lang w:eastAsia="zh-CN"/>
        </w:rPr>
        <w:t>%。</w:t>
      </w:r>
      <w:r>
        <w:rPr>
          <w:rFonts w:hint="eastAsia" w:ascii="Times New Roman" w:hAnsi="Times New Roman" w:eastAsia="仿宋_GB2312" w:cs="Times New Roman"/>
          <w:b w:val="0"/>
          <w:bCs w:val="0"/>
          <w:kern w:val="2"/>
          <w:highlight w:val="none"/>
          <w:lang w:val="en-US" w:eastAsia="zh-CN"/>
        </w:rPr>
        <w:t>主要</w:t>
      </w:r>
      <w:r>
        <w:rPr>
          <w:rFonts w:ascii="Times New Roman" w:hAnsi="Times New Roman" w:eastAsia="仿宋_GB2312"/>
          <w:b w:val="0"/>
          <w:bCs w:val="0"/>
          <w:kern w:val="2"/>
          <w:highlight w:val="none"/>
        </w:rPr>
        <w:t>用于支付项目实施进程中的各项费用</w:t>
      </w:r>
      <w:r>
        <w:rPr>
          <w:rFonts w:hint="eastAsia" w:ascii="Times New Roman" w:hAnsi="Times New Roman" w:eastAsia="仿宋_GB2312" w:cs="Times New Roman"/>
          <w:b w:val="0"/>
          <w:bCs w:val="0"/>
          <w:kern w:val="2"/>
          <w:highlight w:val="none"/>
          <w:lang w:eastAsia="zh-CN"/>
        </w:rPr>
        <w:t>。按照单位财务制度等相关规定，资金支出符合医院政府采购</w:t>
      </w:r>
      <w:r>
        <w:rPr>
          <w:rFonts w:hint="eastAsia" w:ascii="Times New Roman" w:hAnsi="Times New Roman" w:eastAsia="仿宋_GB2312" w:cs="Times New Roman"/>
          <w:b w:val="0"/>
          <w:bCs w:val="0"/>
          <w:kern w:val="2"/>
          <w:highlight w:val="none"/>
          <w:lang w:eastAsia="zh-Hans"/>
        </w:rPr>
        <w:t>项目</w:t>
      </w:r>
      <w:r>
        <w:rPr>
          <w:rFonts w:hint="eastAsia" w:ascii="Times New Roman" w:hAnsi="Times New Roman" w:eastAsia="仿宋_GB2312" w:cs="Times New Roman"/>
          <w:b w:val="0"/>
          <w:bCs w:val="0"/>
          <w:kern w:val="2"/>
          <w:highlight w:val="none"/>
          <w:lang w:eastAsia="zh-CN"/>
        </w:rPr>
        <w:t>资金费用范围，做到了专款专用。在项目资金拨付和使用过程中，为确保项目资金的安全性，提高项目资金使用效率，严格遵循医院政府采购</w:t>
      </w:r>
      <w:r>
        <w:rPr>
          <w:rFonts w:hint="eastAsia" w:ascii="Times New Roman" w:hAnsi="Times New Roman" w:eastAsia="仿宋_GB2312" w:cs="Times New Roman"/>
          <w:b w:val="0"/>
          <w:bCs w:val="0"/>
          <w:kern w:val="2"/>
          <w:highlight w:val="none"/>
          <w:lang w:eastAsia="zh-Hans"/>
        </w:rPr>
        <w:t>项目</w:t>
      </w:r>
      <w:r>
        <w:rPr>
          <w:rFonts w:hint="eastAsia" w:ascii="Times New Roman" w:hAnsi="Times New Roman" w:eastAsia="仿宋_GB2312" w:cs="Times New Roman"/>
          <w:b w:val="0"/>
          <w:bCs w:val="0"/>
          <w:kern w:val="2"/>
          <w:highlight w:val="none"/>
          <w:lang w:eastAsia="zh-CN"/>
        </w:rPr>
        <w:t>资金的拨付程序，认真审核项目实施各阶段的相关材料和手续，根据项目实施进展情况拨付资金。</w:t>
      </w:r>
    </w:p>
    <w:p w14:paraId="3D69C864">
      <w:pPr>
        <w:spacing w:line="560" w:lineRule="exact"/>
        <w:ind w:firstLine="641" w:firstLineChars="200"/>
        <w:rPr>
          <w:rFonts w:eastAsia="楷体_GB2312"/>
          <w:b/>
          <w:bCs/>
          <w:sz w:val="32"/>
          <w:szCs w:val="32"/>
          <w:highlight w:val="none"/>
        </w:rPr>
      </w:pPr>
      <w:r>
        <w:rPr>
          <w:rFonts w:eastAsia="楷体_GB2312"/>
          <w:b/>
          <w:bCs/>
          <w:sz w:val="32"/>
          <w:szCs w:val="32"/>
          <w:highlight w:val="none"/>
        </w:rPr>
        <w:t>（二）项目绩效目标</w:t>
      </w:r>
    </w:p>
    <w:p w14:paraId="565DC384">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4402DCA1">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根据《中华人民共和国预算法</w:t>
      </w:r>
      <w:r>
        <w:rPr>
          <w:rFonts w:hint="eastAsia" w:eastAsia="仿宋_GB2312"/>
          <w:sz w:val="32"/>
          <w:szCs w:val="32"/>
          <w:highlight w:val="none"/>
          <w:lang w:eastAsia="zh-CN"/>
        </w:rPr>
        <w:t>》《</w:t>
      </w:r>
      <w:r>
        <w:rPr>
          <w:rFonts w:hint="eastAsia" w:eastAsia="仿宋_GB2312"/>
          <w:sz w:val="32"/>
          <w:szCs w:val="32"/>
          <w:highlight w:val="none"/>
        </w:rPr>
        <w:t>中华人民共和国政府采购法</w:t>
      </w:r>
      <w:r>
        <w:rPr>
          <w:rFonts w:hint="eastAsia" w:eastAsia="仿宋_GB2312"/>
          <w:sz w:val="32"/>
          <w:szCs w:val="32"/>
          <w:highlight w:val="none"/>
          <w:lang w:eastAsia="zh-CN"/>
        </w:rPr>
        <w:t>》《</w:t>
      </w:r>
      <w:r>
        <w:rPr>
          <w:rFonts w:hint="eastAsia" w:eastAsia="仿宋_GB2312"/>
          <w:sz w:val="32"/>
          <w:szCs w:val="32"/>
          <w:highlight w:val="none"/>
        </w:rPr>
        <w:t>中华人民共和国政府采购法实施条例（中华人民共和国国务院令 第658号）》，改善老旧门诊楼布局不合理，就诊空间狭小等问题，满足患者良好的就医感受；更新医疗设备，用于学科发展需要，开展新技术新项目，不断提高医疗技术水平，满足人民群众健康需要；加强信息化建设，提升医院内涵建设及服务水平。切实做好我院政府采购项目的实施工作，强化预算约束，加强对预算的管理，规范政府采购行为，提高采购资金的使用效益，确保项目实施取得实效。</w:t>
      </w:r>
      <w:r>
        <w:rPr>
          <w:rFonts w:hint="eastAsia" w:eastAsia="仿宋_GB2312"/>
          <w:sz w:val="32"/>
          <w:szCs w:val="32"/>
          <w:highlight w:val="none"/>
        </w:rPr>
        <w:tab/>
      </w:r>
      <w:r>
        <w:rPr>
          <w:rFonts w:hint="eastAsia" w:eastAsia="仿宋_GB2312"/>
          <w:sz w:val="32"/>
          <w:szCs w:val="32"/>
          <w:highlight w:val="none"/>
        </w:rPr>
        <w:tab/>
      </w:r>
    </w:p>
    <w:p w14:paraId="06528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eastAsia="仿宋_GB2312"/>
          <w:sz w:val="32"/>
          <w:szCs w:val="32"/>
          <w:highlight w:val="none"/>
        </w:rPr>
        <w:t>2、阶段性目标</w:t>
      </w:r>
    </w:p>
    <w:p w14:paraId="78CE35E7">
      <w:pPr>
        <w:spacing w:line="560" w:lineRule="exact"/>
        <w:ind w:firstLine="640" w:firstLineChars="200"/>
        <w:rPr>
          <w:rFonts w:eastAsia="仿宋_GB2312"/>
          <w:sz w:val="32"/>
          <w:szCs w:val="32"/>
          <w:highlight w:val="none"/>
        </w:rPr>
      </w:pPr>
      <w:r>
        <w:rPr>
          <w:rFonts w:hint="eastAsia" w:eastAsia="仿宋_GB2312"/>
          <w:sz w:val="32"/>
          <w:szCs w:val="32"/>
          <w:highlight w:val="none"/>
        </w:rPr>
        <w:t>本年度对老旧门诊楼进行了改造装修，满足患者良好的就医感受；配置了医疗设备和办公设备，用于学科发展需要，开展新技术新项目，不断提高医疗技术水平；加强信息化建设。切实做好我院政府采购项目的实施工作，强化预算约束，加强对预算的管理，规范政府采购行为，提高采购资金的使用效益，确保项目实施取得实效。</w:t>
      </w:r>
    </w:p>
    <w:p w14:paraId="227C49A5">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2B6D9795">
      <w:pPr>
        <w:spacing w:line="560" w:lineRule="exact"/>
        <w:ind w:firstLine="641" w:firstLineChars="200"/>
        <w:rPr>
          <w:rFonts w:eastAsia="楷体_GB2312"/>
          <w:b/>
          <w:bCs/>
          <w:sz w:val="32"/>
          <w:szCs w:val="32"/>
          <w:highlight w:val="none"/>
        </w:rPr>
      </w:pPr>
      <w:r>
        <w:rPr>
          <w:rFonts w:eastAsia="楷体_GB2312"/>
          <w:b/>
          <w:bCs/>
          <w:sz w:val="32"/>
          <w:szCs w:val="32"/>
          <w:highlight w:val="none"/>
        </w:rPr>
        <w:t>（一）绩效评价目的、对象和范围</w:t>
      </w:r>
    </w:p>
    <w:p w14:paraId="75C347E7">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5EF29D8A">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B4E113F">
      <w:pPr>
        <w:numPr>
          <w:ilvl w:val="0"/>
          <w:numId w:val="2"/>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66E87798">
      <w:pPr>
        <w:spacing w:line="560" w:lineRule="exact"/>
        <w:ind w:firstLine="640" w:firstLineChars="200"/>
        <w:rPr>
          <w:rFonts w:eastAsia="仿宋_GB2312"/>
          <w:sz w:val="32"/>
          <w:szCs w:val="32"/>
          <w:highlight w:val="none"/>
        </w:rPr>
      </w:pPr>
      <w:r>
        <w:rPr>
          <w:rFonts w:eastAsia="仿宋_GB2312"/>
          <w:sz w:val="32"/>
          <w:szCs w:val="32"/>
          <w:highlight w:val="none"/>
        </w:rPr>
        <w:t>（2）项目绩效管</w:t>
      </w:r>
      <w:r>
        <w:rPr>
          <w:rFonts w:hint="eastAsia" w:eastAsia="仿宋_GB2312"/>
          <w:sz w:val="32"/>
          <w:szCs w:val="32"/>
          <w:highlight w:val="none"/>
          <w:lang w:eastAsia="zh-CN"/>
        </w:rPr>
        <w:t>理为</w:t>
      </w:r>
      <w:r>
        <w:rPr>
          <w:rFonts w:eastAsia="仿宋_GB2312"/>
          <w:sz w:val="32"/>
          <w:szCs w:val="32"/>
          <w:highlight w:val="none"/>
        </w:rPr>
        <w:t>财政支出运行提供及时、有效的信息。</w:t>
      </w:r>
    </w:p>
    <w:p w14:paraId="579DC650">
      <w:pPr>
        <w:pStyle w:val="16"/>
        <w:spacing w:line="56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71BF3F46">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096B6A71">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医院政府采购</w:t>
      </w:r>
      <w:r>
        <w:rPr>
          <w:rFonts w:hint="eastAsia" w:ascii="仿宋_GB2312" w:hAnsi="仿宋_GB2312" w:eastAsia="仿宋_GB2312" w:cs="仿宋_GB2312"/>
          <w:sz w:val="32"/>
          <w:szCs w:val="32"/>
          <w:highlight w:val="none"/>
          <w:lang w:eastAsia="zh-CN"/>
        </w:rPr>
        <w:t>项目</w:t>
      </w:r>
      <w:r>
        <w:rPr>
          <w:rFonts w:hint="eastAsia" w:ascii="仿宋_GB2312" w:hAnsi="仿宋_GB2312" w:eastAsia="仿宋_GB2312" w:cs="仿宋_GB2312"/>
          <w:sz w:val="32"/>
          <w:szCs w:val="32"/>
          <w:highlight w:val="none"/>
        </w:rPr>
        <w:t>所包含的全部项目内容。</w:t>
      </w:r>
    </w:p>
    <w:p w14:paraId="3EA6C5D4">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6C032747">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项目立项、绩效目标、资金投入）、项目过程（包括资金管理、组织实施）、项目产出（包括项目产出数量、产出质量、产出时效和产出成本）、项目效益（实施效益、满意度）四个维度对医院政府采购项目进行评价，评价核心为项目资金的支出完成情况和效果。</w:t>
      </w:r>
    </w:p>
    <w:p w14:paraId="7492D90C">
      <w:pPr>
        <w:spacing w:line="560" w:lineRule="exact"/>
        <w:ind w:firstLine="641" w:firstLineChars="200"/>
        <w:rPr>
          <w:highlight w:val="none"/>
        </w:rPr>
      </w:pPr>
      <w:r>
        <w:rPr>
          <w:rFonts w:eastAsia="楷体_GB2312"/>
          <w:b/>
          <w:bCs/>
          <w:sz w:val="32"/>
          <w:szCs w:val="32"/>
          <w:highlight w:val="none"/>
        </w:rPr>
        <w:t>（二）绩效评价原则、评价指标体系（详情见表1）、评价方法、评价标准。</w:t>
      </w:r>
    </w:p>
    <w:p w14:paraId="1E49A5AF">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35095ED8">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54AE7106">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地</w:t>
      </w:r>
      <w:r>
        <w:rPr>
          <w:rFonts w:ascii="Times New Roman" w:hAnsi="Times New Roman" w:eastAsia="仿宋_GB2312"/>
          <w:b w:val="0"/>
          <w:bCs w:val="0"/>
          <w:highlight w:val="none"/>
        </w:rPr>
        <w:t>反映。</w:t>
      </w:r>
    </w:p>
    <w:p w14:paraId="2A20AB5E">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646173D">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7ACA0B99">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359083EC">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0AE7F3B9">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3FFF22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1CCB287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C9A969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4A666F5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697539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5A9625D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374C9C5">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18E637CC">
      <w:pPr>
        <w:pStyle w:val="2"/>
        <w:widowControl w:val="0"/>
        <w:spacing w:before="0" w:after="0" w:line="560" w:lineRule="exact"/>
        <w:ind w:firstLine="708" w:firstLineChars="200"/>
        <w:jc w:val="both"/>
        <w:outlineLvl w:val="9"/>
        <w:rPr>
          <w:rFonts w:hint="eastAsia" w:ascii="Times New Roman" w:hAnsi="Times New Roman" w:eastAsia="仿宋_GB2312"/>
          <w:b w:val="0"/>
          <w:bCs w:val="0"/>
          <w:color w:val="000000"/>
          <w:spacing w:val="17"/>
          <w:highlight w:val="none"/>
          <w:lang w:eastAsia="zh-CN"/>
        </w:rPr>
      </w:pPr>
      <w:r>
        <w:rPr>
          <w:rFonts w:ascii="Times New Roman" w:hAnsi="Times New Roman" w:eastAsia="仿宋_GB2312"/>
          <w:b w:val="0"/>
          <w:bCs w:val="0"/>
          <w:color w:val="000000"/>
          <w:spacing w:val="17"/>
          <w:highlight w:val="none"/>
        </w:rPr>
        <w:t>具体评价指标体系详情见附件1</w:t>
      </w:r>
      <w:r>
        <w:rPr>
          <w:rFonts w:hint="eastAsia" w:ascii="Times New Roman" w:hAnsi="Times New Roman" w:eastAsia="仿宋_GB2312"/>
          <w:b w:val="0"/>
          <w:bCs w:val="0"/>
          <w:color w:val="000000"/>
          <w:spacing w:val="17"/>
          <w:highlight w:val="none"/>
          <w:lang w:eastAsia="zh-CN"/>
        </w:rPr>
        <w:t>。</w:t>
      </w:r>
    </w:p>
    <w:p w14:paraId="590E7BCA">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049B2FD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1946D82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DD0EA9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0B96FEF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1C015F8C">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0D4C3C9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25C08AAC">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082EF8F2">
      <w:pPr>
        <w:spacing w:line="560" w:lineRule="exact"/>
        <w:ind w:firstLine="708" w:firstLineChars="200"/>
        <w:rPr>
          <w:rFonts w:hint="eastAsia"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w:t>
      </w:r>
      <w:bookmarkStart w:id="1" w:name="_Toc31464"/>
      <w:bookmarkStart w:id="2" w:name="_Toc17882"/>
      <w:r>
        <w:rPr>
          <w:rFonts w:hint="eastAsia" w:ascii="Times New Roman" w:hAnsi="Times New Roman" w:eastAsia="仿宋_GB2312" w:cs="Times New Roman"/>
          <w:color w:val="000000"/>
          <w:spacing w:val="17"/>
          <w:sz w:val="32"/>
          <w:szCs w:val="32"/>
          <w:highlight w:val="none"/>
        </w:rPr>
        <w:t>计划标准、行业标准、历史</w:t>
      </w:r>
      <w:r>
        <w:rPr>
          <w:rFonts w:hint="eastAsia" w:eastAsia="仿宋_GB2312" w:cs="Times New Roman"/>
          <w:color w:val="000000"/>
          <w:spacing w:val="17"/>
          <w:sz w:val="32"/>
          <w:szCs w:val="32"/>
          <w:highlight w:val="none"/>
          <w:lang w:eastAsia="zh-CN"/>
        </w:rPr>
        <w:t>标准</w:t>
      </w:r>
      <w:r>
        <w:rPr>
          <w:rFonts w:hint="eastAsia" w:ascii="Times New Roman" w:hAnsi="Times New Roman" w:eastAsia="仿宋_GB2312" w:cs="Times New Roman"/>
          <w:color w:val="000000"/>
          <w:spacing w:val="17"/>
          <w:sz w:val="32"/>
          <w:szCs w:val="32"/>
          <w:highlight w:val="none"/>
        </w:rPr>
        <w:t>。</w:t>
      </w:r>
    </w:p>
    <w:p w14:paraId="04CB3D2F">
      <w:pPr>
        <w:spacing w:line="560" w:lineRule="exact"/>
        <w:ind w:firstLine="708" w:firstLineChars="200"/>
        <w:rPr>
          <w:rFonts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rPr>
        <w:t>计划标准：指以预先制定的目标、计划、预算、定额等作为评价标准。</w:t>
      </w:r>
      <w:bookmarkEnd w:id="1"/>
      <w:bookmarkEnd w:id="2"/>
    </w:p>
    <w:p w14:paraId="4D308178">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3" w:name="_Toc2318"/>
      <w:bookmarkStart w:id="4" w:name="_Toc5633"/>
      <w:r>
        <w:rPr>
          <w:rFonts w:hint="eastAsia" w:ascii="Times New Roman" w:hAnsi="Times New Roman" w:eastAsia="仿宋_GB2312" w:cs="Times New Roman"/>
          <w:color w:val="000000"/>
          <w:spacing w:val="17"/>
          <w:sz w:val="32"/>
          <w:szCs w:val="32"/>
          <w:highlight w:val="none"/>
        </w:rPr>
        <w:t>行业标准：指参照国家公布的行业指标数据制定的评价标准。</w:t>
      </w:r>
      <w:bookmarkEnd w:id="3"/>
      <w:bookmarkEnd w:id="4"/>
    </w:p>
    <w:p w14:paraId="1276F964">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5" w:name="_Toc430"/>
      <w:bookmarkStart w:id="6" w:name="_Toc16028"/>
      <w:r>
        <w:rPr>
          <w:rFonts w:hint="eastAsia"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bookmarkEnd w:id="5"/>
      <w:bookmarkEnd w:id="6"/>
    </w:p>
    <w:p w14:paraId="110676EA">
      <w:pPr>
        <w:pStyle w:val="2"/>
        <w:numPr>
          <w:ilvl w:val="0"/>
          <w:numId w:val="3"/>
        </w:numPr>
        <w:spacing w:before="0" w:after="0" w:line="560" w:lineRule="exact"/>
        <w:ind w:firstLine="709"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1C3D0A2E">
      <w:pPr>
        <w:numPr>
          <w:ilvl w:val="0"/>
          <w:numId w:val="4"/>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492258AA">
      <w:pPr>
        <w:numPr>
          <w:ilvl w:val="0"/>
          <w:numId w:val="4"/>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1261C2E7">
      <w:pPr>
        <w:numPr>
          <w:ilvl w:val="0"/>
          <w:numId w:val="4"/>
        </w:numPr>
        <w:spacing w:line="560" w:lineRule="exact"/>
        <w:ind w:firstLine="640" w:firstLineChars="200"/>
        <w:rPr>
          <w:color w:val="auto"/>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w:t>
      </w:r>
      <w:r>
        <w:rPr>
          <w:rFonts w:hint="eastAsia" w:eastAsia="仿宋_GB2312"/>
          <w:bCs/>
          <w:color w:val="auto"/>
          <w:sz w:val="32"/>
          <w:szCs w:val="32"/>
          <w:highlight w:val="none"/>
        </w:rPr>
        <w:t>并形成绩效评价最终结果。</w:t>
      </w:r>
    </w:p>
    <w:p w14:paraId="3D7FB6E4">
      <w:pPr>
        <w:numPr>
          <w:ilvl w:val="0"/>
          <w:numId w:val="5"/>
        </w:numPr>
        <w:spacing w:line="56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14:paraId="196F65CE">
      <w:pPr>
        <w:pStyle w:val="2"/>
        <w:widowControl w:val="0"/>
        <w:spacing w:before="0" w:after="0" w:line="560" w:lineRule="exact"/>
        <w:ind w:firstLine="641" w:firstLineChars="200"/>
        <w:jc w:val="both"/>
        <w:outlineLvl w:val="9"/>
        <w:rPr>
          <w:rFonts w:hint="eastAsia" w:ascii="楷体" w:hAnsi="楷体" w:eastAsia="楷体" w:cs="楷体"/>
          <w:b/>
          <w:bCs/>
          <w:color w:val="auto"/>
          <w:highlight w:val="none"/>
        </w:rPr>
      </w:pPr>
      <w:r>
        <w:rPr>
          <w:rFonts w:hint="eastAsia" w:ascii="楷体" w:hAnsi="楷体" w:eastAsia="楷体" w:cs="楷体"/>
          <w:b/>
          <w:bCs/>
          <w:color w:val="auto"/>
          <w:highlight w:val="none"/>
        </w:rPr>
        <w:t>（一）评价情况</w:t>
      </w:r>
    </w:p>
    <w:p w14:paraId="3708864C">
      <w:pPr>
        <w:pStyle w:val="2"/>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项目总体组织规范，在项目实施过</w:t>
      </w:r>
      <w:r>
        <w:rPr>
          <w:rFonts w:hint="eastAsia" w:ascii="Times New Roman" w:hAnsi="Times New Roman" w:eastAsia="仿宋_GB2312"/>
          <w:b w:val="0"/>
          <w:bCs w:val="0"/>
          <w:color w:val="auto"/>
          <w:highlight w:val="none"/>
          <w:lang w:eastAsia="zh-CN"/>
        </w:rPr>
        <w:t>程中</w:t>
      </w:r>
      <w:r>
        <w:rPr>
          <w:rFonts w:hint="eastAsia" w:ascii="Times New Roman" w:hAnsi="Times New Roman" w:eastAsia="仿宋_GB2312"/>
          <w:b w:val="0"/>
          <w:bCs w:val="0"/>
          <w:color w:val="auto"/>
          <w:highlight w:val="none"/>
        </w:rPr>
        <w:t>做到认真履职，监督到位。按照相关制度的要求，项目负责人对项目绩效监控执行情况进行跟踪监督，有效完成了本项目的工作目标，确保资金使用安全和最大效益</w:t>
      </w:r>
      <w:r>
        <w:rPr>
          <w:rFonts w:hint="eastAsia" w:ascii="Times New Roman" w:hAnsi="Times New Roman" w:eastAsia="仿宋_GB2312"/>
          <w:b w:val="0"/>
          <w:bCs w:val="0"/>
          <w:color w:val="auto"/>
          <w:highlight w:val="none"/>
          <w:lang w:eastAsia="zh-CN"/>
        </w:rPr>
        <w:t>地</w:t>
      </w:r>
      <w:r>
        <w:rPr>
          <w:rFonts w:hint="eastAsia" w:ascii="Times New Roman" w:hAnsi="Times New Roman" w:eastAsia="仿宋_GB2312"/>
          <w:b w:val="0"/>
          <w:bCs w:val="0"/>
          <w:color w:val="auto"/>
          <w:highlight w:val="none"/>
        </w:rPr>
        <w:t>发挥，保障项目如期按要求完成。规范了项目档案资料的整理。项目的实施达到项目预期效果。</w:t>
      </w:r>
    </w:p>
    <w:p w14:paraId="355ACA62">
      <w:pPr>
        <w:pStyle w:val="2"/>
        <w:widowControl w:val="0"/>
        <w:spacing w:before="0" w:after="0" w:line="560" w:lineRule="exact"/>
        <w:ind w:firstLine="641" w:firstLineChars="200"/>
        <w:jc w:val="both"/>
        <w:outlineLvl w:val="9"/>
        <w:rPr>
          <w:rFonts w:hint="eastAsia" w:ascii="楷体" w:hAnsi="楷体" w:eastAsia="楷体" w:cs="楷体"/>
          <w:b/>
          <w:bCs/>
          <w:color w:val="auto"/>
          <w:highlight w:val="none"/>
        </w:rPr>
      </w:pPr>
      <w:r>
        <w:rPr>
          <w:rFonts w:hint="eastAsia" w:ascii="楷体" w:hAnsi="楷体" w:eastAsia="楷体" w:cs="楷体"/>
          <w:b/>
          <w:bCs/>
          <w:color w:val="auto"/>
          <w:highlight w:val="none"/>
        </w:rPr>
        <w:t>（二）评价结论</w:t>
      </w:r>
    </w:p>
    <w:p w14:paraId="53F875B7">
      <w:pPr>
        <w:pStyle w:val="2"/>
        <w:widowControl w:val="0"/>
        <w:spacing w:before="0" w:after="0" w:line="560" w:lineRule="exact"/>
        <w:ind w:firstLine="640" w:firstLineChars="200"/>
        <w:jc w:val="both"/>
        <w:outlineLvl w:val="9"/>
        <w:rPr>
          <w:rFonts w:ascii="Times New Roman" w:hAnsi="Times New Roman" w:eastAsia="仿宋_GB2312"/>
          <w:color w:val="auto"/>
          <w:sz w:val="30"/>
          <w:szCs w:val="30"/>
          <w:highlight w:val="none"/>
        </w:rPr>
      </w:pPr>
      <w:r>
        <w:rPr>
          <w:rFonts w:ascii="Times New Roman" w:hAnsi="Times New Roman" w:eastAsia="仿宋_GB2312"/>
          <w:b w:val="0"/>
          <w:bCs w:val="0"/>
          <w:color w:val="auto"/>
          <w:highlight w:val="none"/>
        </w:rPr>
        <w:t>对</w:t>
      </w:r>
      <w:r>
        <w:rPr>
          <w:rFonts w:hint="eastAsia" w:ascii="Times New Roman" w:hAnsi="Times New Roman" w:eastAsia="仿宋_GB2312"/>
          <w:b w:val="0"/>
          <w:bCs w:val="0"/>
          <w:color w:val="auto"/>
          <w:highlight w:val="none"/>
          <w:lang w:eastAsia="zh-CN"/>
        </w:rPr>
        <w:t>医院政府采购</w:t>
      </w:r>
      <w:r>
        <w:rPr>
          <w:rFonts w:ascii="Times New Roman" w:hAnsi="Times New Roman" w:eastAsia="仿宋_GB2312"/>
          <w:b w:val="0"/>
          <w:bCs w:val="0"/>
          <w:color w:val="auto"/>
          <w:highlight w:val="none"/>
        </w:rPr>
        <w:t>项目进行客观评价，最终评分结果：总得分为9</w:t>
      </w:r>
      <w:r>
        <w:rPr>
          <w:rFonts w:hint="eastAsia" w:ascii="Times New Roman" w:hAnsi="Times New Roman" w:eastAsia="仿宋_GB2312"/>
          <w:b w:val="0"/>
          <w:bCs w:val="0"/>
          <w:color w:val="auto"/>
          <w:highlight w:val="none"/>
          <w:lang w:val="en-US" w:eastAsia="zh-CN"/>
        </w:rPr>
        <w:t>8.94</w:t>
      </w:r>
      <w:r>
        <w:rPr>
          <w:rFonts w:ascii="Times New Roman" w:hAnsi="Times New Roman" w:eastAsia="仿宋_GB2312"/>
          <w:b w:val="0"/>
          <w:bCs w:val="0"/>
          <w:color w:val="auto"/>
          <w:highlight w:val="none"/>
        </w:rPr>
        <w:t>分，属于“优”。其中，项目决策类指标权重为20分，得分为20分，得分率为100%。项目过程类指标权重为20分，得分为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38.94</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97.35</w:t>
      </w:r>
      <w:r>
        <w:rPr>
          <w:rFonts w:ascii="Times New Roman" w:hAnsi="Times New Roman" w:eastAsia="仿宋_GB2312"/>
          <w:b w:val="0"/>
          <w:bCs w:val="0"/>
          <w:color w:val="auto"/>
          <w:highlight w:val="none"/>
        </w:rPr>
        <w:t>%。项目效益类指标权重为20分，得分为20分，得分率为100%。</w:t>
      </w:r>
    </w:p>
    <w:p w14:paraId="4696593C">
      <w:pPr>
        <w:pStyle w:val="2"/>
        <w:rPr>
          <w:color w:val="auto"/>
          <w:highlight w:val="none"/>
        </w:rPr>
      </w:pPr>
      <w:r>
        <w:rPr>
          <w:rFonts w:ascii="Times New Roman" w:hAnsi="Times New Roman" w:eastAsia="仿宋_GB2312"/>
          <w:color w:val="auto"/>
          <w:sz w:val="30"/>
          <w:szCs w:val="30"/>
          <w:highlight w:val="none"/>
        </w:rPr>
        <w:t>表1综合评分表</w:t>
      </w:r>
    </w:p>
    <w:tbl>
      <w:tblPr>
        <w:tblStyle w:val="11"/>
        <w:tblW w:w="88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9"/>
        <w:gridCol w:w="675"/>
        <w:gridCol w:w="1140"/>
        <w:gridCol w:w="1605"/>
        <w:gridCol w:w="855"/>
        <w:gridCol w:w="1125"/>
        <w:gridCol w:w="915"/>
        <w:gridCol w:w="1020"/>
        <w:gridCol w:w="810"/>
      </w:tblGrid>
      <w:tr w14:paraId="318435B4">
        <w:trPr>
          <w:trHeight w:val="324" w:hRule="atLeast"/>
          <w:tblHeader/>
        </w:trPr>
        <w:tc>
          <w:tcPr>
            <w:tcW w:w="729" w:type="dxa"/>
            <w:shd w:val="clear" w:color="auto" w:fill="BFBFBF"/>
            <w:vAlign w:val="center"/>
          </w:tcPr>
          <w:p w14:paraId="2F051F8D">
            <w:pPr>
              <w:widowControl/>
              <w:spacing w:line="0" w:lineRule="atLeast"/>
              <w:rPr>
                <w:b/>
                <w:bCs/>
                <w:color w:val="auto"/>
                <w:kern w:val="0"/>
                <w:sz w:val="22"/>
                <w:szCs w:val="22"/>
                <w:highlight w:val="none"/>
              </w:rPr>
            </w:pPr>
            <w:r>
              <w:rPr>
                <w:b/>
                <w:bCs/>
                <w:color w:val="auto"/>
                <w:kern w:val="0"/>
                <w:sz w:val="22"/>
                <w:szCs w:val="22"/>
                <w:highlight w:val="none"/>
              </w:rPr>
              <w:t>一级指标</w:t>
            </w:r>
          </w:p>
        </w:tc>
        <w:tc>
          <w:tcPr>
            <w:tcW w:w="675" w:type="dxa"/>
            <w:shd w:val="clear" w:color="auto" w:fill="BFBFBF"/>
            <w:vAlign w:val="center"/>
          </w:tcPr>
          <w:p w14:paraId="644972AF">
            <w:pPr>
              <w:widowControl/>
              <w:spacing w:line="0" w:lineRule="atLeast"/>
              <w:jc w:val="center"/>
              <w:rPr>
                <w:b/>
                <w:bCs/>
                <w:color w:val="auto"/>
                <w:kern w:val="0"/>
                <w:sz w:val="22"/>
                <w:szCs w:val="22"/>
                <w:highlight w:val="none"/>
              </w:rPr>
            </w:pPr>
            <w:r>
              <w:rPr>
                <w:b/>
                <w:bCs/>
                <w:color w:val="auto"/>
                <w:kern w:val="0"/>
                <w:sz w:val="22"/>
                <w:szCs w:val="22"/>
                <w:highlight w:val="none"/>
              </w:rPr>
              <w:t>分值</w:t>
            </w:r>
          </w:p>
        </w:tc>
        <w:tc>
          <w:tcPr>
            <w:tcW w:w="1140" w:type="dxa"/>
            <w:shd w:val="clear" w:color="auto" w:fill="BFBFBF"/>
            <w:vAlign w:val="center"/>
          </w:tcPr>
          <w:p w14:paraId="12EBB9EC">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1605" w:type="dxa"/>
            <w:shd w:val="clear" w:color="auto" w:fill="BFBFBF"/>
            <w:vAlign w:val="center"/>
          </w:tcPr>
          <w:p w14:paraId="394C2CCD">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855" w:type="dxa"/>
            <w:shd w:val="clear" w:color="auto" w:fill="BFBFBF"/>
            <w:vAlign w:val="center"/>
          </w:tcPr>
          <w:p w14:paraId="0A0DF0D1">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125" w:type="dxa"/>
            <w:shd w:val="clear" w:color="auto" w:fill="BFBFBF"/>
            <w:vAlign w:val="center"/>
          </w:tcPr>
          <w:p w14:paraId="102C055C">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目标值</w:t>
            </w:r>
          </w:p>
        </w:tc>
        <w:tc>
          <w:tcPr>
            <w:tcW w:w="915" w:type="dxa"/>
            <w:shd w:val="clear" w:color="auto" w:fill="BFBFBF"/>
            <w:vAlign w:val="center"/>
          </w:tcPr>
          <w:p w14:paraId="2253D287">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业绩值</w:t>
            </w:r>
          </w:p>
        </w:tc>
        <w:tc>
          <w:tcPr>
            <w:tcW w:w="1020" w:type="dxa"/>
            <w:shd w:val="clear" w:color="auto" w:fill="BFBFBF"/>
            <w:vAlign w:val="center"/>
          </w:tcPr>
          <w:p w14:paraId="1034143E">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得分率</w:t>
            </w:r>
          </w:p>
        </w:tc>
        <w:tc>
          <w:tcPr>
            <w:tcW w:w="810" w:type="dxa"/>
            <w:shd w:val="clear" w:color="auto" w:fill="BFBFBF"/>
            <w:vAlign w:val="center"/>
          </w:tcPr>
          <w:p w14:paraId="0AD340B1">
            <w:pPr>
              <w:widowControl/>
              <w:tabs>
                <w:tab w:val="left" w:pos="1333"/>
                <w:tab w:val="center" w:pos="3623"/>
              </w:tabs>
              <w:spacing w:line="0" w:lineRule="atLeast"/>
              <w:jc w:val="center"/>
              <w:rPr>
                <w:b/>
                <w:bCs/>
                <w:color w:val="auto"/>
                <w:kern w:val="0"/>
                <w:sz w:val="22"/>
                <w:szCs w:val="22"/>
                <w:highlight w:val="none"/>
              </w:rPr>
            </w:pPr>
            <w:r>
              <w:rPr>
                <w:b/>
                <w:bCs/>
                <w:color w:val="auto"/>
                <w:kern w:val="0"/>
                <w:sz w:val="22"/>
                <w:szCs w:val="22"/>
                <w:highlight w:val="none"/>
              </w:rPr>
              <w:t>得分</w:t>
            </w:r>
          </w:p>
        </w:tc>
      </w:tr>
      <w:tr w14:paraId="3C0F1A40">
        <w:trPr>
          <w:trHeight w:val="90" w:hRule="atLeast"/>
        </w:trPr>
        <w:tc>
          <w:tcPr>
            <w:tcW w:w="729" w:type="dxa"/>
            <w:vMerge w:val="restart"/>
            <w:shd w:val="clear" w:color="auto" w:fill="FFFFFF"/>
            <w:vAlign w:val="center"/>
          </w:tcPr>
          <w:p w14:paraId="5DE1B6FF">
            <w:pPr>
              <w:widowControl/>
              <w:spacing w:line="0" w:lineRule="atLeast"/>
              <w:jc w:val="center"/>
              <w:rPr>
                <w:color w:val="auto"/>
                <w:kern w:val="0"/>
                <w:sz w:val="22"/>
                <w:szCs w:val="22"/>
                <w:highlight w:val="none"/>
              </w:rPr>
            </w:pPr>
            <w:r>
              <w:rPr>
                <w:color w:val="auto"/>
                <w:kern w:val="0"/>
                <w:sz w:val="22"/>
                <w:szCs w:val="22"/>
                <w:highlight w:val="none"/>
              </w:rPr>
              <w:t>决策　</w:t>
            </w:r>
          </w:p>
          <w:p w14:paraId="06D997BF">
            <w:pPr>
              <w:widowControl/>
              <w:spacing w:line="0" w:lineRule="atLeast"/>
              <w:jc w:val="center"/>
              <w:rPr>
                <w:color w:val="auto"/>
                <w:kern w:val="0"/>
                <w:sz w:val="22"/>
                <w:szCs w:val="22"/>
                <w:highlight w:val="none"/>
              </w:rPr>
            </w:pPr>
            <w:r>
              <w:rPr>
                <w:color w:val="auto"/>
                <w:kern w:val="0"/>
                <w:sz w:val="22"/>
                <w:szCs w:val="22"/>
                <w:highlight w:val="none"/>
              </w:rPr>
              <w:t>　</w:t>
            </w:r>
          </w:p>
          <w:p w14:paraId="42C8C4AD">
            <w:pPr>
              <w:spacing w:line="0" w:lineRule="atLeast"/>
              <w:jc w:val="center"/>
              <w:rPr>
                <w:color w:val="auto"/>
                <w:kern w:val="0"/>
                <w:sz w:val="22"/>
                <w:szCs w:val="22"/>
                <w:highlight w:val="none"/>
              </w:rPr>
            </w:pPr>
            <w:r>
              <w:rPr>
                <w:color w:val="auto"/>
                <w:kern w:val="0"/>
                <w:sz w:val="22"/>
                <w:szCs w:val="22"/>
                <w:highlight w:val="none"/>
              </w:rPr>
              <w:t>　</w:t>
            </w:r>
          </w:p>
          <w:p w14:paraId="6DFBAC75">
            <w:pPr>
              <w:widowControl/>
              <w:spacing w:line="0" w:lineRule="atLeast"/>
              <w:jc w:val="center"/>
              <w:rPr>
                <w:color w:val="auto"/>
                <w:kern w:val="0"/>
                <w:sz w:val="22"/>
                <w:szCs w:val="22"/>
                <w:highlight w:val="none"/>
              </w:rPr>
            </w:pPr>
            <w:r>
              <w:rPr>
                <w:color w:val="auto"/>
                <w:kern w:val="0"/>
                <w:sz w:val="22"/>
                <w:szCs w:val="22"/>
                <w:highlight w:val="none"/>
              </w:rPr>
              <w:t>　</w:t>
            </w:r>
          </w:p>
        </w:tc>
        <w:tc>
          <w:tcPr>
            <w:tcW w:w="675" w:type="dxa"/>
            <w:vMerge w:val="restart"/>
            <w:shd w:val="clear" w:color="auto" w:fill="FFFFFF"/>
            <w:vAlign w:val="center"/>
          </w:tcPr>
          <w:p w14:paraId="0FF33D97">
            <w:pPr>
              <w:widowControl/>
              <w:spacing w:line="0" w:lineRule="atLeast"/>
              <w:jc w:val="center"/>
              <w:rPr>
                <w:color w:val="auto"/>
                <w:kern w:val="0"/>
                <w:sz w:val="22"/>
                <w:szCs w:val="22"/>
                <w:highlight w:val="none"/>
              </w:rPr>
            </w:pPr>
            <w:r>
              <w:rPr>
                <w:color w:val="auto"/>
                <w:kern w:val="0"/>
                <w:sz w:val="22"/>
                <w:szCs w:val="22"/>
                <w:highlight w:val="none"/>
              </w:rPr>
              <w:t>20分</w:t>
            </w:r>
          </w:p>
        </w:tc>
        <w:tc>
          <w:tcPr>
            <w:tcW w:w="1140" w:type="dxa"/>
            <w:vMerge w:val="restart"/>
            <w:shd w:val="clear" w:color="auto" w:fill="FFFFFF"/>
            <w:vAlign w:val="center"/>
          </w:tcPr>
          <w:p w14:paraId="3F5A838D">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1605" w:type="dxa"/>
            <w:shd w:val="clear" w:color="auto" w:fill="FFFFFF"/>
            <w:vAlign w:val="center"/>
          </w:tcPr>
          <w:p w14:paraId="39CF7BCA">
            <w:pPr>
              <w:widowControl/>
              <w:spacing w:line="0" w:lineRule="atLeast"/>
              <w:jc w:val="center"/>
              <w:rPr>
                <w:color w:val="auto"/>
                <w:kern w:val="0"/>
                <w:sz w:val="22"/>
                <w:szCs w:val="22"/>
                <w:highlight w:val="none"/>
              </w:rPr>
            </w:pPr>
            <w:r>
              <w:rPr>
                <w:color w:val="auto"/>
                <w:kern w:val="0"/>
                <w:sz w:val="22"/>
                <w:szCs w:val="22"/>
                <w:highlight w:val="none"/>
              </w:rPr>
              <w:t>立项依据</w:t>
            </w:r>
          </w:p>
          <w:p w14:paraId="4F256D12">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855" w:type="dxa"/>
            <w:shd w:val="clear" w:color="auto" w:fill="FFFFFF"/>
            <w:vAlign w:val="center"/>
          </w:tcPr>
          <w:p w14:paraId="2ED80F8F">
            <w:pPr>
              <w:widowControl/>
              <w:spacing w:line="0" w:lineRule="atLeast"/>
              <w:jc w:val="center"/>
              <w:rPr>
                <w:color w:val="auto"/>
                <w:kern w:val="0"/>
                <w:sz w:val="22"/>
                <w:szCs w:val="22"/>
                <w:highlight w:val="none"/>
              </w:rPr>
            </w:pPr>
            <w:r>
              <w:rPr>
                <w:color w:val="auto"/>
                <w:kern w:val="0"/>
                <w:sz w:val="22"/>
                <w:szCs w:val="22"/>
                <w:highlight w:val="none"/>
              </w:rPr>
              <w:t>3</w:t>
            </w:r>
          </w:p>
        </w:tc>
        <w:tc>
          <w:tcPr>
            <w:tcW w:w="1125" w:type="dxa"/>
            <w:shd w:val="clear" w:color="auto" w:fill="FFFFFF"/>
            <w:vAlign w:val="center"/>
          </w:tcPr>
          <w:p w14:paraId="2B95B701">
            <w:pPr>
              <w:widowControl/>
              <w:spacing w:line="0" w:lineRule="atLeast"/>
              <w:jc w:val="center"/>
              <w:rPr>
                <w:color w:val="auto"/>
                <w:kern w:val="0"/>
                <w:sz w:val="22"/>
                <w:szCs w:val="22"/>
                <w:highlight w:val="none"/>
              </w:rPr>
            </w:pPr>
            <w:r>
              <w:rPr>
                <w:color w:val="auto"/>
                <w:kern w:val="0"/>
                <w:sz w:val="22"/>
                <w:szCs w:val="22"/>
                <w:highlight w:val="none"/>
              </w:rPr>
              <w:t>充分</w:t>
            </w:r>
          </w:p>
        </w:tc>
        <w:tc>
          <w:tcPr>
            <w:tcW w:w="915" w:type="dxa"/>
            <w:shd w:val="clear" w:color="auto" w:fill="FFFFFF"/>
            <w:vAlign w:val="center"/>
          </w:tcPr>
          <w:p w14:paraId="1657D39A">
            <w:pPr>
              <w:widowControl/>
              <w:spacing w:line="0" w:lineRule="atLeast"/>
              <w:jc w:val="center"/>
              <w:rPr>
                <w:color w:val="auto"/>
                <w:kern w:val="0"/>
                <w:sz w:val="22"/>
                <w:szCs w:val="22"/>
                <w:highlight w:val="none"/>
              </w:rPr>
            </w:pPr>
            <w:r>
              <w:rPr>
                <w:color w:val="auto"/>
                <w:kern w:val="0"/>
                <w:sz w:val="22"/>
                <w:szCs w:val="22"/>
                <w:highlight w:val="none"/>
              </w:rPr>
              <w:t>充分</w:t>
            </w:r>
          </w:p>
        </w:tc>
        <w:tc>
          <w:tcPr>
            <w:tcW w:w="1020" w:type="dxa"/>
            <w:shd w:val="clear" w:color="auto" w:fill="FFFFFF"/>
            <w:vAlign w:val="center"/>
          </w:tcPr>
          <w:p w14:paraId="10BE9CA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3E648F23">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291E9854">
        <w:trPr>
          <w:trHeight w:val="567" w:hRule="atLeast"/>
        </w:trPr>
        <w:tc>
          <w:tcPr>
            <w:tcW w:w="729" w:type="dxa"/>
            <w:vMerge w:val="continue"/>
            <w:shd w:val="clear" w:color="auto" w:fill="FFFFFF"/>
            <w:vAlign w:val="center"/>
          </w:tcPr>
          <w:p w14:paraId="1FD6A51F">
            <w:pPr>
              <w:spacing w:line="0" w:lineRule="atLeast"/>
              <w:jc w:val="center"/>
              <w:rPr>
                <w:color w:val="auto"/>
                <w:kern w:val="0"/>
                <w:sz w:val="22"/>
                <w:szCs w:val="22"/>
                <w:highlight w:val="none"/>
              </w:rPr>
            </w:pPr>
          </w:p>
        </w:tc>
        <w:tc>
          <w:tcPr>
            <w:tcW w:w="675" w:type="dxa"/>
            <w:vMerge w:val="continue"/>
            <w:shd w:val="clear" w:color="auto" w:fill="FFFFFF"/>
            <w:vAlign w:val="center"/>
          </w:tcPr>
          <w:p w14:paraId="2193F0CA">
            <w:pPr>
              <w:widowControl/>
              <w:spacing w:line="0" w:lineRule="atLeast"/>
              <w:jc w:val="center"/>
              <w:rPr>
                <w:color w:val="auto"/>
                <w:kern w:val="0"/>
                <w:sz w:val="22"/>
                <w:szCs w:val="22"/>
                <w:highlight w:val="none"/>
              </w:rPr>
            </w:pPr>
          </w:p>
        </w:tc>
        <w:tc>
          <w:tcPr>
            <w:tcW w:w="1140" w:type="dxa"/>
            <w:vMerge w:val="continue"/>
            <w:shd w:val="clear" w:color="auto" w:fill="FFFFFF"/>
            <w:vAlign w:val="center"/>
          </w:tcPr>
          <w:p w14:paraId="29B749B0">
            <w:pPr>
              <w:widowControl/>
              <w:spacing w:line="0" w:lineRule="atLeast"/>
              <w:jc w:val="center"/>
              <w:rPr>
                <w:color w:val="auto"/>
                <w:kern w:val="0"/>
                <w:sz w:val="22"/>
                <w:szCs w:val="22"/>
                <w:highlight w:val="none"/>
              </w:rPr>
            </w:pPr>
          </w:p>
        </w:tc>
        <w:tc>
          <w:tcPr>
            <w:tcW w:w="1605" w:type="dxa"/>
            <w:shd w:val="clear" w:color="auto" w:fill="FFFFFF"/>
            <w:vAlign w:val="center"/>
          </w:tcPr>
          <w:p w14:paraId="65181066">
            <w:pPr>
              <w:widowControl/>
              <w:spacing w:line="0" w:lineRule="atLeast"/>
              <w:jc w:val="center"/>
              <w:rPr>
                <w:color w:val="auto"/>
                <w:kern w:val="0"/>
                <w:sz w:val="22"/>
                <w:szCs w:val="22"/>
                <w:highlight w:val="none"/>
              </w:rPr>
            </w:pPr>
            <w:r>
              <w:rPr>
                <w:color w:val="auto"/>
                <w:kern w:val="0"/>
                <w:sz w:val="22"/>
                <w:szCs w:val="22"/>
                <w:highlight w:val="none"/>
              </w:rPr>
              <w:t>立项程序</w:t>
            </w:r>
          </w:p>
          <w:p w14:paraId="66084710">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855" w:type="dxa"/>
            <w:shd w:val="clear" w:color="auto" w:fill="FFFFFF"/>
            <w:vAlign w:val="center"/>
          </w:tcPr>
          <w:p w14:paraId="5513E55A">
            <w:pPr>
              <w:widowControl/>
              <w:spacing w:line="0" w:lineRule="atLeast"/>
              <w:jc w:val="center"/>
              <w:rPr>
                <w:color w:val="auto"/>
                <w:kern w:val="0"/>
                <w:sz w:val="22"/>
                <w:szCs w:val="22"/>
                <w:highlight w:val="none"/>
              </w:rPr>
            </w:pPr>
            <w:r>
              <w:rPr>
                <w:color w:val="auto"/>
                <w:kern w:val="0"/>
                <w:sz w:val="22"/>
                <w:szCs w:val="22"/>
                <w:highlight w:val="none"/>
              </w:rPr>
              <w:t>3</w:t>
            </w:r>
          </w:p>
        </w:tc>
        <w:tc>
          <w:tcPr>
            <w:tcW w:w="1125" w:type="dxa"/>
            <w:shd w:val="clear" w:color="auto" w:fill="FFFFFF"/>
            <w:vAlign w:val="center"/>
          </w:tcPr>
          <w:p w14:paraId="010CB8EC">
            <w:pPr>
              <w:widowControl/>
              <w:spacing w:line="0" w:lineRule="atLeast"/>
              <w:jc w:val="center"/>
              <w:rPr>
                <w:color w:val="auto"/>
                <w:kern w:val="0"/>
                <w:sz w:val="22"/>
                <w:szCs w:val="22"/>
                <w:highlight w:val="none"/>
              </w:rPr>
            </w:pPr>
            <w:r>
              <w:rPr>
                <w:color w:val="auto"/>
                <w:kern w:val="0"/>
                <w:sz w:val="22"/>
                <w:szCs w:val="22"/>
                <w:highlight w:val="none"/>
              </w:rPr>
              <w:t>规范</w:t>
            </w:r>
          </w:p>
        </w:tc>
        <w:tc>
          <w:tcPr>
            <w:tcW w:w="915" w:type="dxa"/>
            <w:shd w:val="clear" w:color="auto" w:fill="FFFFFF"/>
            <w:vAlign w:val="center"/>
          </w:tcPr>
          <w:p w14:paraId="07EE7916">
            <w:pPr>
              <w:widowControl/>
              <w:spacing w:line="0" w:lineRule="atLeast"/>
              <w:jc w:val="center"/>
              <w:rPr>
                <w:color w:val="auto"/>
                <w:kern w:val="0"/>
                <w:sz w:val="22"/>
                <w:szCs w:val="22"/>
                <w:highlight w:val="none"/>
              </w:rPr>
            </w:pPr>
            <w:r>
              <w:rPr>
                <w:color w:val="auto"/>
                <w:kern w:val="0"/>
                <w:sz w:val="22"/>
                <w:szCs w:val="22"/>
                <w:highlight w:val="none"/>
              </w:rPr>
              <w:t>规范</w:t>
            </w:r>
          </w:p>
        </w:tc>
        <w:tc>
          <w:tcPr>
            <w:tcW w:w="1020" w:type="dxa"/>
            <w:shd w:val="clear" w:color="auto" w:fill="FFFFFF"/>
            <w:vAlign w:val="center"/>
          </w:tcPr>
          <w:p w14:paraId="604ADDD8">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0A6A2DD5">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18076531">
        <w:trPr>
          <w:trHeight w:val="567" w:hRule="atLeast"/>
        </w:trPr>
        <w:tc>
          <w:tcPr>
            <w:tcW w:w="729" w:type="dxa"/>
            <w:vMerge w:val="continue"/>
            <w:shd w:val="clear" w:color="auto" w:fill="FFFFFF"/>
            <w:vAlign w:val="center"/>
          </w:tcPr>
          <w:p w14:paraId="66F1712C">
            <w:pPr>
              <w:spacing w:line="0" w:lineRule="atLeast"/>
              <w:jc w:val="center"/>
              <w:rPr>
                <w:color w:val="auto"/>
                <w:kern w:val="0"/>
                <w:sz w:val="22"/>
                <w:szCs w:val="22"/>
                <w:highlight w:val="none"/>
              </w:rPr>
            </w:pPr>
          </w:p>
        </w:tc>
        <w:tc>
          <w:tcPr>
            <w:tcW w:w="675" w:type="dxa"/>
            <w:vMerge w:val="continue"/>
            <w:shd w:val="clear" w:color="auto" w:fill="FFFFFF"/>
            <w:vAlign w:val="center"/>
          </w:tcPr>
          <w:p w14:paraId="54FC24DF">
            <w:pPr>
              <w:widowControl/>
              <w:spacing w:line="0" w:lineRule="atLeast"/>
              <w:jc w:val="center"/>
              <w:rPr>
                <w:color w:val="auto"/>
                <w:kern w:val="0"/>
                <w:sz w:val="22"/>
                <w:szCs w:val="22"/>
                <w:highlight w:val="none"/>
              </w:rPr>
            </w:pPr>
          </w:p>
        </w:tc>
        <w:tc>
          <w:tcPr>
            <w:tcW w:w="1140" w:type="dxa"/>
            <w:vMerge w:val="restart"/>
            <w:shd w:val="clear" w:color="auto" w:fill="FFFFFF"/>
            <w:vAlign w:val="center"/>
          </w:tcPr>
          <w:p w14:paraId="03D172CA">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1605" w:type="dxa"/>
            <w:shd w:val="clear" w:color="auto" w:fill="FFFFFF"/>
            <w:vAlign w:val="center"/>
          </w:tcPr>
          <w:p w14:paraId="5B4772AA">
            <w:pPr>
              <w:widowControl/>
              <w:spacing w:line="0" w:lineRule="atLeast"/>
              <w:jc w:val="center"/>
              <w:rPr>
                <w:color w:val="auto"/>
                <w:kern w:val="0"/>
                <w:sz w:val="22"/>
                <w:szCs w:val="22"/>
                <w:highlight w:val="none"/>
              </w:rPr>
            </w:pPr>
            <w:r>
              <w:rPr>
                <w:color w:val="auto"/>
                <w:kern w:val="0"/>
                <w:sz w:val="22"/>
                <w:szCs w:val="22"/>
                <w:highlight w:val="none"/>
              </w:rPr>
              <w:t>绩效目标</w:t>
            </w:r>
          </w:p>
          <w:p w14:paraId="71177C8E">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855" w:type="dxa"/>
            <w:shd w:val="clear" w:color="000000" w:fill="FFFFFF"/>
            <w:vAlign w:val="center"/>
          </w:tcPr>
          <w:p w14:paraId="2727646D">
            <w:pPr>
              <w:widowControl/>
              <w:spacing w:line="0" w:lineRule="atLeast"/>
              <w:jc w:val="center"/>
              <w:rPr>
                <w:color w:val="auto"/>
                <w:kern w:val="0"/>
                <w:sz w:val="22"/>
                <w:szCs w:val="22"/>
                <w:highlight w:val="none"/>
              </w:rPr>
            </w:pPr>
            <w:r>
              <w:rPr>
                <w:color w:val="auto"/>
                <w:kern w:val="0"/>
                <w:sz w:val="22"/>
                <w:szCs w:val="22"/>
                <w:highlight w:val="none"/>
              </w:rPr>
              <w:t>3</w:t>
            </w:r>
          </w:p>
        </w:tc>
        <w:tc>
          <w:tcPr>
            <w:tcW w:w="1125" w:type="dxa"/>
            <w:shd w:val="clear" w:color="000000" w:fill="FFFFFF"/>
            <w:vAlign w:val="center"/>
          </w:tcPr>
          <w:p w14:paraId="24E0C94E">
            <w:pPr>
              <w:widowControl/>
              <w:spacing w:line="0" w:lineRule="atLeast"/>
              <w:jc w:val="center"/>
              <w:rPr>
                <w:color w:val="auto"/>
                <w:kern w:val="0"/>
                <w:sz w:val="22"/>
                <w:szCs w:val="22"/>
                <w:highlight w:val="none"/>
              </w:rPr>
            </w:pPr>
            <w:r>
              <w:rPr>
                <w:color w:val="auto"/>
                <w:kern w:val="0"/>
                <w:sz w:val="22"/>
                <w:szCs w:val="22"/>
                <w:highlight w:val="none"/>
              </w:rPr>
              <w:t>合理</w:t>
            </w:r>
          </w:p>
        </w:tc>
        <w:tc>
          <w:tcPr>
            <w:tcW w:w="915" w:type="dxa"/>
            <w:shd w:val="clear" w:color="000000" w:fill="FFFFFF"/>
            <w:vAlign w:val="center"/>
          </w:tcPr>
          <w:p w14:paraId="6B1955C1">
            <w:pPr>
              <w:widowControl/>
              <w:spacing w:line="0" w:lineRule="atLeast"/>
              <w:jc w:val="center"/>
              <w:rPr>
                <w:color w:val="auto"/>
                <w:kern w:val="0"/>
                <w:sz w:val="22"/>
                <w:szCs w:val="22"/>
                <w:highlight w:val="none"/>
              </w:rPr>
            </w:pPr>
            <w:r>
              <w:rPr>
                <w:color w:val="auto"/>
                <w:kern w:val="0"/>
                <w:sz w:val="22"/>
                <w:szCs w:val="22"/>
                <w:highlight w:val="none"/>
              </w:rPr>
              <w:t>合理</w:t>
            </w:r>
          </w:p>
        </w:tc>
        <w:tc>
          <w:tcPr>
            <w:tcW w:w="1020" w:type="dxa"/>
            <w:shd w:val="clear" w:color="000000" w:fill="FFFFFF"/>
            <w:vAlign w:val="center"/>
          </w:tcPr>
          <w:p w14:paraId="6FD70C97">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71A92FCE">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49A279CA">
        <w:trPr>
          <w:trHeight w:val="567" w:hRule="atLeast"/>
        </w:trPr>
        <w:tc>
          <w:tcPr>
            <w:tcW w:w="729" w:type="dxa"/>
            <w:vMerge w:val="continue"/>
            <w:shd w:val="clear" w:color="auto" w:fill="FFFFFF"/>
            <w:vAlign w:val="center"/>
          </w:tcPr>
          <w:p w14:paraId="3BAA20E4">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7D8682EF">
            <w:pPr>
              <w:widowControl/>
              <w:spacing w:line="0" w:lineRule="atLeast"/>
              <w:jc w:val="center"/>
              <w:rPr>
                <w:color w:val="auto"/>
                <w:kern w:val="0"/>
                <w:sz w:val="22"/>
                <w:szCs w:val="22"/>
                <w:highlight w:val="none"/>
              </w:rPr>
            </w:pPr>
          </w:p>
        </w:tc>
        <w:tc>
          <w:tcPr>
            <w:tcW w:w="1140" w:type="dxa"/>
            <w:vMerge w:val="continue"/>
            <w:shd w:val="clear" w:color="auto" w:fill="FFFFFF"/>
            <w:vAlign w:val="center"/>
          </w:tcPr>
          <w:p w14:paraId="560ECBAD">
            <w:pPr>
              <w:widowControl/>
              <w:spacing w:line="0" w:lineRule="atLeast"/>
              <w:jc w:val="center"/>
              <w:rPr>
                <w:color w:val="auto"/>
                <w:kern w:val="0"/>
                <w:sz w:val="22"/>
                <w:szCs w:val="22"/>
                <w:highlight w:val="none"/>
              </w:rPr>
            </w:pPr>
          </w:p>
        </w:tc>
        <w:tc>
          <w:tcPr>
            <w:tcW w:w="1605" w:type="dxa"/>
            <w:shd w:val="clear" w:color="auto" w:fill="FFFFFF"/>
            <w:vAlign w:val="center"/>
          </w:tcPr>
          <w:p w14:paraId="54D59E1F">
            <w:pPr>
              <w:widowControl/>
              <w:spacing w:line="0" w:lineRule="atLeast"/>
              <w:jc w:val="center"/>
              <w:rPr>
                <w:color w:val="auto"/>
                <w:kern w:val="0"/>
                <w:sz w:val="22"/>
                <w:szCs w:val="22"/>
                <w:highlight w:val="none"/>
              </w:rPr>
            </w:pPr>
            <w:r>
              <w:rPr>
                <w:color w:val="auto"/>
                <w:kern w:val="0"/>
                <w:sz w:val="22"/>
                <w:szCs w:val="22"/>
                <w:highlight w:val="none"/>
              </w:rPr>
              <w:t>绩效指标</w:t>
            </w:r>
          </w:p>
          <w:p w14:paraId="7E8A3CF4">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855" w:type="dxa"/>
            <w:shd w:val="clear" w:color="000000" w:fill="FFFFFF"/>
            <w:vAlign w:val="center"/>
          </w:tcPr>
          <w:p w14:paraId="70AE4843">
            <w:pPr>
              <w:widowControl/>
              <w:spacing w:line="0" w:lineRule="atLeast"/>
              <w:jc w:val="center"/>
              <w:rPr>
                <w:color w:val="auto"/>
                <w:kern w:val="0"/>
                <w:sz w:val="22"/>
                <w:szCs w:val="22"/>
                <w:highlight w:val="none"/>
              </w:rPr>
            </w:pPr>
            <w:r>
              <w:rPr>
                <w:color w:val="auto"/>
                <w:kern w:val="0"/>
                <w:sz w:val="22"/>
                <w:szCs w:val="22"/>
                <w:highlight w:val="none"/>
              </w:rPr>
              <w:t>3</w:t>
            </w:r>
          </w:p>
        </w:tc>
        <w:tc>
          <w:tcPr>
            <w:tcW w:w="1125" w:type="dxa"/>
            <w:shd w:val="clear" w:color="000000" w:fill="FFFFFF"/>
            <w:vAlign w:val="center"/>
          </w:tcPr>
          <w:p w14:paraId="2E20DEFF">
            <w:pPr>
              <w:widowControl/>
              <w:spacing w:line="0" w:lineRule="atLeast"/>
              <w:jc w:val="center"/>
              <w:rPr>
                <w:color w:val="auto"/>
                <w:kern w:val="0"/>
                <w:sz w:val="22"/>
                <w:szCs w:val="22"/>
                <w:highlight w:val="none"/>
              </w:rPr>
            </w:pPr>
            <w:r>
              <w:rPr>
                <w:color w:val="auto"/>
                <w:kern w:val="0"/>
                <w:sz w:val="22"/>
                <w:szCs w:val="22"/>
                <w:highlight w:val="none"/>
              </w:rPr>
              <w:t>明确</w:t>
            </w:r>
          </w:p>
        </w:tc>
        <w:tc>
          <w:tcPr>
            <w:tcW w:w="915" w:type="dxa"/>
            <w:shd w:val="clear" w:color="000000" w:fill="FFFFFF"/>
            <w:vAlign w:val="center"/>
          </w:tcPr>
          <w:p w14:paraId="6F698CAB">
            <w:pPr>
              <w:widowControl/>
              <w:spacing w:line="0" w:lineRule="atLeast"/>
              <w:jc w:val="center"/>
              <w:rPr>
                <w:color w:val="auto"/>
                <w:kern w:val="0"/>
                <w:sz w:val="22"/>
                <w:szCs w:val="22"/>
                <w:highlight w:val="none"/>
              </w:rPr>
            </w:pPr>
            <w:r>
              <w:rPr>
                <w:color w:val="auto"/>
                <w:kern w:val="0"/>
                <w:sz w:val="22"/>
                <w:szCs w:val="22"/>
                <w:highlight w:val="none"/>
              </w:rPr>
              <w:t>明确</w:t>
            </w:r>
          </w:p>
        </w:tc>
        <w:tc>
          <w:tcPr>
            <w:tcW w:w="1020" w:type="dxa"/>
            <w:shd w:val="clear" w:color="000000" w:fill="FFFFFF"/>
            <w:vAlign w:val="center"/>
          </w:tcPr>
          <w:p w14:paraId="133A27A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4E5C56B6">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3</w:t>
            </w:r>
          </w:p>
        </w:tc>
      </w:tr>
      <w:tr w14:paraId="7622ED52">
        <w:trPr>
          <w:trHeight w:val="567" w:hRule="atLeast"/>
        </w:trPr>
        <w:tc>
          <w:tcPr>
            <w:tcW w:w="729" w:type="dxa"/>
            <w:vMerge w:val="continue"/>
            <w:shd w:val="clear" w:color="auto" w:fill="FFFFFF"/>
            <w:vAlign w:val="center"/>
          </w:tcPr>
          <w:p w14:paraId="07E1CE1D">
            <w:pPr>
              <w:spacing w:line="0" w:lineRule="atLeast"/>
              <w:jc w:val="center"/>
              <w:rPr>
                <w:color w:val="auto"/>
                <w:kern w:val="0"/>
                <w:sz w:val="22"/>
                <w:szCs w:val="22"/>
                <w:highlight w:val="none"/>
              </w:rPr>
            </w:pPr>
          </w:p>
        </w:tc>
        <w:tc>
          <w:tcPr>
            <w:tcW w:w="675" w:type="dxa"/>
            <w:vMerge w:val="continue"/>
            <w:shd w:val="clear" w:color="auto" w:fill="FFFFFF"/>
            <w:vAlign w:val="center"/>
          </w:tcPr>
          <w:p w14:paraId="01D146AD">
            <w:pPr>
              <w:spacing w:line="0" w:lineRule="atLeast"/>
              <w:jc w:val="center"/>
              <w:rPr>
                <w:color w:val="auto"/>
                <w:kern w:val="0"/>
                <w:sz w:val="22"/>
                <w:szCs w:val="22"/>
                <w:highlight w:val="none"/>
              </w:rPr>
            </w:pPr>
          </w:p>
        </w:tc>
        <w:tc>
          <w:tcPr>
            <w:tcW w:w="1140" w:type="dxa"/>
            <w:vMerge w:val="restart"/>
            <w:shd w:val="clear" w:color="auto" w:fill="FFFFFF"/>
            <w:vAlign w:val="center"/>
          </w:tcPr>
          <w:p w14:paraId="3FF09798">
            <w:pPr>
              <w:widowControl/>
              <w:spacing w:line="0" w:lineRule="atLeast"/>
              <w:jc w:val="center"/>
              <w:rPr>
                <w:color w:val="auto"/>
                <w:kern w:val="0"/>
                <w:sz w:val="22"/>
                <w:szCs w:val="22"/>
                <w:highlight w:val="none"/>
              </w:rPr>
            </w:pPr>
            <w:r>
              <w:rPr>
                <w:color w:val="auto"/>
                <w:kern w:val="0"/>
                <w:sz w:val="22"/>
                <w:szCs w:val="22"/>
                <w:highlight w:val="none"/>
              </w:rPr>
              <w:t>资金投入</w:t>
            </w:r>
          </w:p>
        </w:tc>
        <w:tc>
          <w:tcPr>
            <w:tcW w:w="1605" w:type="dxa"/>
            <w:shd w:val="clear" w:color="auto" w:fill="FFFFFF"/>
            <w:vAlign w:val="center"/>
          </w:tcPr>
          <w:p w14:paraId="155C19C3">
            <w:pPr>
              <w:widowControl/>
              <w:spacing w:line="0" w:lineRule="atLeast"/>
              <w:jc w:val="center"/>
              <w:rPr>
                <w:color w:val="auto"/>
                <w:kern w:val="0"/>
                <w:sz w:val="22"/>
                <w:szCs w:val="22"/>
                <w:highlight w:val="none"/>
              </w:rPr>
            </w:pPr>
            <w:r>
              <w:rPr>
                <w:color w:val="auto"/>
                <w:kern w:val="0"/>
                <w:sz w:val="22"/>
                <w:szCs w:val="22"/>
                <w:highlight w:val="none"/>
              </w:rPr>
              <w:t>预算编制</w:t>
            </w:r>
          </w:p>
          <w:p w14:paraId="65C509A6">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855" w:type="dxa"/>
            <w:shd w:val="clear" w:color="auto" w:fill="FFFFFF"/>
            <w:vAlign w:val="center"/>
          </w:tcPr>
          <w:p w14:paraId="13CB8B08">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auto" w:fill="FFFFFF"/>
            <w:vAlign w:val="center"/>
          </w:tcPr>
          <w:p w14:paraId="1406B239">
            <w:pPr>
              <w:widowControl/>
              <w:spacing w:line="0" w:lineRule="atLeast"/>
              <w:jc w:val="center"/>
              <w:rPr>
                <w:color w:val="auto"/>
                <w:kern w:val="0"/>
                <w:sz w:val="22"/>
                <w:szCs w:val="22"/>
                <w:highlight w:val="none"/>
              </w:rPr>
            </w:pPr>
            <w:r>
              <w:rPr>
                <w:color w:val="auto"/>
                <w:kern w:val="0"/>
                <w:sz w:val="22"/>
                <w:szCs w:val="22"/>
                <w:highlight w:val="none"/>
              </w:rPr>
              <w:t>科学</w:t>
            </w:r>
          </w:p>
        </w:tc>
        <w:tc>
          <w:tcPr>
            <w:tcW w:w="915" w:type="dxa"/>
            <w:shd w:val="clear" w:color="auto" w:fill="FFFFFF"/>
            <w:vAlign w:val="center"/>
          </w:tcPr>
          <w:p w14:paraId="203057B5">
            <w:pPr>
              <w:widowControl/>
              <w:spacing w:line="0" w:lineRule="atLeast"/>
              <w:jc w:val="center"/>
              <w:rPr>
                <w:color w:val="auto"/>
                <w:kern w:val="0"/>
                <w:sz w:val="22"/>
                <w:szCs w:val="22"/>
                <w:highlight w:val="none"/>
              </w:rPr>
            </w:pPr>
            <w:r>
              <w:rPr>
                <w:color w:val="auto"/>
                <w:kern w:val="0"/>
                <w:sz w:val="22"/>
                <w:szCs w:val="22"/>
                <w:highlight w:val="none"/>
              </w:rPr>
              <w:t>科学</w:t>
            </w:r>
          </w:p>
        </w:tc>
        <w:tc>
          <w:tcPr>
            <w:tcW w:w="1020" w:type="dxa"/>
            <w:shd w:val="clear" w:color="auto" w:fill="FFFFFF"/>
            <w:vAlign w:val="center"/>
          </w:tcPr>
          <w:p w14:paraId="7E201BB9">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6F1A5AE8">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3469A369">
        <w:trPr>
          <w:trHeight w:val="567" w:hRule="atLeast"/>
        </w:trPr>
        <w:tc>
          <w:tcPr>
            <w:tcW w:w="729" w:type="dxa"/>
            <w:vMerge w:val="continue"/>
            <w:shd w:val="clear" w:color="auto" w:fill="FFFFFF"/>
            <w:vAlign w:val="center"/>
          </w:tcPr>
          <w:p w14:paraId="1A64F3CB">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05C0D91F">
            <w:pPr>
              <w:widowControl/>
              <w:spacing w:line="0" w:lineRule="atLeast"/>
              <w:jc w:val="center"/>
              <w:rPr>
                <w:color w:val="auto"/>
                <w:kern w:val="0"/>
                <w:sz w:val="22"/>
                <w:szCs w:val="22"/>
                <w:highlight w:val="none"/>
              </w:rPr>
            </w:pPr>
          </w:p>
        </w:tc>
        <w:tc>
          <w:tcPr>
            <w:tcW w:w="1140" w:type="dxa"/>
            <w:vMerge w:val="continue"/>
            <w:shd w:val="clear" w:color="auto" w:fill="FFFFFF"/>
            <w:vAlign w:val="center"/>
          </w:tcPr>
          <w:p w14:paraId="11BEEBB8">
            <w:pPr>
              <w:widowControl/>
              <w:spacing w:line="0" w:lineRule="atLeast"/>
              <w:jc w:val="center"/>
              <w:rPr>
                <w:color w:val="auto"/>
                <w:kern w:val="0"/>
                <w:sz w:val="22"/>
                <w:szCs w:val="22"/>
                <w:highlight w:val="none"/>
              </w:rPr>
            </w:pPr>
          </w:p>
        </w:tc>
        <w:tc>
          <w:tcPr>
            <w:tcW w:w="1605" w:type="dxa"/>
            <w:shd w:val="clear" w:color="auto" w:fill="FFFFFF"/>
            <w:vAlign w:val="center"/>
          </w:tcPr>
          <w:p w14:paraId="4BFFC3C8">
            <w:pPr>
              <w:widowControl/>
              <w:spacing w:line="0" w:lineRule="atLeast"/>
              <w:jc w:val="center"/>
              <w:rPr>
                <w:color w:val="auto"/>
                <w:kern w:val="0"/>
                <w:sz w:val="22"/>
                <w:szCs w:val="22"/>
                <w:highlight w:val="none"/>
              </w:rPr>
            </w:pPr>
            <w:r>
              <w:rPr>
                <w:color w:val="auto"/>
                <w:kern w:val="0"/>
                <w:sz w:val="22"/>
                <w:szCs w:val="22"/>
                <w:highlight w:val="none"/>
              </w:rPr>
              <w:t>资金分配</w:t>
            </w:r>
          </w:p>
          <w:p w14:paraId="249336C0">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855" w:type="dxa"/>
            <w:shd w:val="clear" w:color="auto" w:fill="FFFFFF"/>
            <w:vAlign w:val="center"/>
          </w:tcPr>
          <w:p w14:paraId="24C6EC99">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auto" w:fill="FFFFFF"/>
            <w:vAlign w:val="center"/>
          </w:tcPr>
          <w:p w14:paraId="7CB1D6ED">
            <w:pPr>
              <w:widowControl/>
              <w:spacing w:line="0" w:lineRule="atLeast"/>
              <w:jc w:val="center"/>
              <w:rPr>
                <w:color w:val="auto"/>
                <w:kern w:val="0"/>
                <w:sz w:val="22"/>
                <w:szCs w:val="22"/>
                <w:highlight w:val="none"/>
              </w:rPr>
            </w:pPr>
            <w:r>
              <w:rPr>
                <w:color w:val="auto"/>
                <w:kern w:val="0"/>
                <w:sz w:val="22"/>
                <w:szCs w:val="22"/>
                <w:highlight w:val="none"/>
              </w:rPr>
              <w:t>合理</w:t>
            </w:r>
          </w:p>
        </w:tc>
        <w:tc>
          <w:tcPr>
            <w:tcW w:w="915" w:type="dxa"/>
            <w:shd w:val="clear" w:color="auto" w:fill="FFFFFF"/>
            <w:vAlign w:val="center"/>
          </w:tcPr>
          <w:p w14:paraId="0594A53F">
            <w:pPr>
              <w:widowControl/>
              <w:spacing w:line="0" w:lineRule="atLeast"/>
              <w:jc w:val="center"/>
              <w:rPr>
                <w:color w:val="auto"/>
                <w:kern w:val="0"/>
                <w:sz w:val="22"/>
                <w:szCs w:val="22"/>
                <w:highlight w:val="none"/>
              </w:rPr>
            </w:pPr>
            <w:r>
              <w:rPr>
                <w:color w:val="auto"/>
                <w:kern w:val="0"/>
                <w:sz w:val="22"/>
                <w:szCs w:val="22"/>
                <w:highlight w:val="none"/>
              </w:rPr>
              <w:t>合理</w:t>
            </w:r>
          </w:p>
        </w:tc>
        <w:tc>
          <w:tcPr>
            <w:tcW w:w="1020" w:type="dxa"/>
            <w:shd w:val="clear" w:color="auto" w:fill="FFFFFF"/>
            <w:vAlign w:val="center"/>
          </w:tcPr>
          <w:p w14:paraId="4FA30C66">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7F086604">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28AAE67E">
        <w:trPr>
          <w:trHeight w:val="567" w:hRule="atLeast"/>
        </w:trPr>
        <w:tc>
          <w:tcPr>
            <w:tcW w:w="729" w:type="dxa"/>
            <w:vMerge w:val="restart"/>
            <w:shd w:val="clear" w:color="auto" w:fill="FFFFFF"/>
            <w:vAlign w:val="center"/>
          </w:tcPr>
          <w:p w14:paraId="2EA194A6">
            <w:pPr>
              <w:spacing w:line="0" w:lineRule="atLeast"/>
              <w:jc w:val="center"/>
              <w:rPr>
                <w:color w:val="auto"/>
                <w:kern w:val="0"/>
                <w:sz w:val="22"/>
                <w:szCs w:val="22"/>
                <w:highlight w:val="none"/>
              </w:rPr>
            </w:pPr>
            <w:r>
              <w:rPr>
                <w:color w:val="auto"/>
                <w:kern w:val="0"/>
                <w:sz w:val="22"/>
                <w:szCs w:val="22"/>
                <w:highlight w:val="none"/>
              </w:rPr>
              <w:t>过程</w:t>
            </w:r>
          </w:p>
          <w:p w14:paraId="605D8F90">
            <w:pPr>
              <w:spacing w:line="0" w:lineRule="atLeast"/>
              <w:jc w:val="center"/>
              <w:rPr>
                <w:color w:val="auto"/>
                <w:kern w:val="0"/>
                <w:sz w:val="22"/>
                <w:szCs w:val="22"/>
                <w:highlight w:val="none"/>
              </w:rPr>
            </w:pPr>
            <w:r>
              <w:rPr>
                <w:color w:val="auto"/>
                <w:kern w:val="0"/>
                <w:sz w:val="22"/>
                <w:szCs w:val="22"/>
                <w:highlight w:val="none"/>
              </w:rPr>
              <w:t>　</w:t>
            </w:r>
          </w:p>
        </w:tc>
        <w:tc>
          <w:tcPr>
            <w:tcW w:w="675" w:type="dxa"/>
            <w:vMerge w:val="restart"/>
            <w:shd w:val="clear" w:color="auto" w:fill="FFFFFF"/>
            <w:vAlign w:val="center"/>
          </w:tcPr>
          <w:p w14:paraId="1233E99F">
            <w:pPr>
              <w:widowControl/>
              <w:spacing w:line="0" w:lineRule="atLeast"/>
              <w:jc w:val="center"/>
              <w:rPr>
                <w:color w:val="auto"/>
                <w:kern w:val="0"/>
                <w:sz w:val="22"/>
                <w:szCs w:val="22"/>
                <w:highlight w:val="none"/>
              </w:rPr>
            </w:pPr>
            <w:r>
              <w:rPr>
                <w:color w:val="auto"/>
                <w:kern w:val="0"/>
                <w:sz w:val="22"/>
                <w:szCs w:val="22"/>
                <w:highlight w:val="none"/>
              </w:rPr>
              <w:t>20分</w:t>
            </w:r>
          </w:p>
        </w:tc>
        <w:tc>
          <w:tcPr>
            <w:tcW w:w="1140" w:type="dxa"/>
            <w:vMerge w:val="restart"/>
            <w:shd w:val="clear" w:color="auto" w:fill="FFFFFF"/>
            <w:vAlign w:val="center"/>
          </w:tcPr>
          <w:p w14:paraId="54D2BF81">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605" w:type="dxa"/>
            <w:shd w:val="clear" w:color="auto" w:fill="FFFFFF"/>
            <w:vAlign w:val="center"/>
          </w:tcPr>
          <w:p w14:paraId="6E3443D0">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855" w:type="dxa"/>
            <w:shd w:val="clear" w:color="000000" w:fill="FFFFFF"/>
            <w:vAlign w:val="center"/>
          </w:tcPr>
          <w:p w14:paraId="58F252F8">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000000" w:fill="FFFFFF"/>
            <w:vAlign w:val="center"/>
          </w:tcPr>
          <w:p w14:paraId="7C7B3760">
            <w:pPr>
              <w:widowControl/>
              <w:spacing w:line="0" w:lineRule="atLeast"/>
              <w:jc w:val="center"/>
              <w:rPr>
                <w:color w:val="auto"/>
                <w:kern w:val="0"/>
                <w:sz w:val="22"/>
                <w:szCs w:val="22"/>
                <w:highlight w:val="none"/>
              </w:rPr>
            </w:pPr>
            <w:r>
              <w:rPr>
                <w:color w:val="auto"/>
                <w:kern w:val="0"/>
                <w:sz w:val="22"/>
                <w:szCs w:val="22"/>
                <w:highlight w:val="none"/>
              </w:rPr>
              <w:t>100%</w:t>
            </w:r>
          </w:p>
        </w:tc>
        <w:tc>
          <w:tcPr>
            <w:tcW w:w="915" w:type="dxa"/>
            <w:shd w:val="clear" w:color="000000" w:fill="FFFFFF"/>
            <w:vAlign w:val="center"/>
          </w:tcPr>
          <w:p w14:paraId="56EE4643">
            <w:pPr>
              <w:widowControl/>
              <w:spacing w:line="0" w:lineRule="atLeast"/>
              <w:jc w:val="center"/>
              <w:rPr>
                <w:color w:val="auto"/>
                <w:kern w:val="0"/>
                <w:sz w:val="22"/>
                <w:szCs w:val="22"/>
                <w:highlight w:val="none"/>
              </w:rPr>
            </w:pPr>
            <w:r>
              <w:rPr>
                <w:rFonts w:hint="eastAsia"/>
                <w:color w:val="auto"/>
                <w:kern w:val="0"/>
                <w:sz w:val="22"/>
                <w:szCs w:val="22"/>
                <w:highlight w:val="none"/>
              </w:rPr>
              <w:t>1</w:t>
            </w:r>
            <w:r>
              <w:rPr>
                <w:rFonts w:hint="eastAsia"/>
                <w:color w:val="auto"/>
                <w:kern w:val="0"/>
                <w:sz w:val="22"/>
                <w:szCs w:val="22"/>
                <w:highlight w:val="none"/>
                <w:lang w:val="en-US" w:eastAsia="zh-CN"/>
              </w:rPr>
              <w:t>00</w:t>
            </w:r>
            <w:r>
              <w:rPr>
                <w:color w:val="auto"/>
                <w:kern w:val="0"/>
                <w:sz w:val="22"/>
                <w:szCs w:val="22"/>
                <w:highlight w:val="none"/>
              </w:rPr>
              <w:t>%</w:t>
            </w:r>
          </w:p>
        </w:tc>
        <w:tc>
          <w:tcPr>
            <w:tcW w:w="1020" w:type="dxa"/>
            <w:shd w:val="clear" w:color="000000" w:fill="FFFFFF"/>
            <w:vAlign w:val="center"/>
          </w:tcPr>
          <w:p w14:paraId="6E389124">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200F90C9">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4C9941A9">
        <w:trPr>
          <w:trHeight w:val="567" w:hRule="atLeast"/>
        </w:trPr>
        <w:tc>
          <w:tcPr>
            <w:tcW w:w="729" w:type="dxa"/>
            <w:vMerge w:val="continue"/>
            <w:shd w:val="clear" w:color="auto" w:fill="FFFFFF"/>
            <w:vAlign w:val="center"/>
          </w:tcPr>
          <w:p w14:paraId="7C5A5E01">
            <w:pPr>
              <w:spacing w:line="0" w:lineRule="atLeast"/>
              <w:jc w:val="center"/>
              <w:rPr>
                <w:color w:val="auto"/>
                <w:kern w:val="0"/>
                <w:sz w:val="22"/>
                <w:szCs w:val="22"/>
                <w:highlight w:val="none"/>
              </w:rPr>
            </w:pPr>
          </w:p>
        </w:tc>
        <w:tc>
          <w:tcPr>
            <w:tcW w:w="675" w:type="dxa"/>
            <w:vMerge w:val="continue"/>
            <w:shd w:val="clear" w:color="auto" w:fill="FFFFFF"/>
            <w:vAlign w:val="center"/>
          </w:tcPr>
          <w:p w14:paraId="16F361F5">
            <w:pPr>
              <w:spacing w:line="0" w:lineRule="atLeast"/>
              <w:jc w:val="center"/>
              <w:rPr>
                <w:color w:val="auto"/>
                <w:kern w:val="0"/>
                <w:sz w:val="22"/>
                <w:szCs w:val="22"/>
                <w:highlight w:val="none"/>
              </w:rPr>
            </w:pPr>
          </w:p>
        </w:tc>
        <w:tc>
          <w:tcPr>
            <w:tcW w:w="1140" w:type="dxa"/>
            <w:vMerge w:val="continue"/>
            <w:shd w:val="clear" w:color="auto" w:fill="FFFFFF"/>
            <w:vAlign w:val="center"/>
          </w:tcPr>
          <w:p w14:paraId="6F25D85B">
            <w:pPr>
              <w:spacing w:line="0" w:lineRule="atLeast"/>
              <w:jc w:val="center"/>
              <w:rPr>
                <w:color w:val="auto"/>
                <w:kern w:val="0"/>
                <w:sz w:val="22"/>
                <w:szCs w:val="22"/>
                <w:highlight w:val="none"/>
              </w:rPr>
            </w:pPr>
          </w:p>
        </w:tc>
        <w:tc>
          <w:tcPr>
            <w:tcW w:w="1605" w:type="dxa"/>
            <w:shd w:val="clear" w:color="auto" w:fill="FFFFFF"/>
            <w:vAlign w:val="center"/>
          </w:tcPr>
          <w:p w14:paraId="7A590B9B">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855" w:type="dxa"/>
            <w:shd w:val="clear" w:color="auto" w:fill="FFFFFF"/>
            <w:vAlign w:val="center"/>
          </w:tcPr>
          <w:p w14:paraId="7EDF7C4E">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auto" w:fill="FFFFFF"/>
            <w:vAlign w:val="center"/>
          </w:tcPr>
          <w:p w14:paraId="5D8B540C">
            <w:pPr>
              <w:widowControl/>
              <w:spacing w:line="0" w:lineRule="atLeast"/>
              <w:jc w:val="center"/>
              <w:rPr>
                <w:color w:val="auto"/>
                <w:kern w:val="0"/>
                <w:sz w:val="22"/>
                <w:szCs w:val="22"/>
                <w:highlight w:val="none"/>
              </w:rPr>
            </w:pPr>
            <w:r>
              <w:rPr>
                <w:color w:val="auto"/>
                <w:kern w:val="0"/>
                <w:sz w:val="22"/>
                <w:szCs w:val="22"/>
                <w:highlight w:val="none"/>
              </w:rPr>
              <w:t>100%</w:t>
            </w:r>
          </w:p>
        </w:tc>
        <w:tc>
          <w:tcPr>
            <w:tcW w:w="915" w:type="dxa"/>
            <w:shd w:val="clear" w:color="auto" w:fill="FFFFFF"/>
            <w:vAlign w:val="center"/>
          </w:tcPr>
          <w:p w14:paraId="3457CC75">
            <w:pPr>
              <w:widowControl/>
              <w:spacing w:line="0" w:lineRule="atLeast"/>
              <w:jc w:val="center"/>
              <w:rPr>
                <w:color w:val="auto"/>
                <w:kern w:val="0"/>
                <w:sz w:val="22"/>
                <w:szCs w:val="22"/>
                <w:highlight w:val="none"/>
              </w:rPr>
            </w:pPr>
            <w:r>
              <w:rPr>
                <w:rFonts w:hint="eastAsia"/>
                <w:color w:val="auto"/>
                <w:kern w:val="0"/>
                <w:sz w:val="22"/>
                <w:szCs w:val="22"/>
                <w:highlight w:val="none"/>
              </w:rPr>
              <w:t>119.03</w:t>
            </w:r>
            <w:r>
              <w:rPr>
                <w:color w:val="auto"/>
                <w:kern w:val="0"/>
                <w:sz w:val="22"/>
                <w:szCs w:val="22"/>
                <w:highlight w:val="none"/>
              </w:rPr>
              <w:t>%</w:t>
            </w:r>
          </w:p>
        </w:tc>
        <w:tc>
          <w:tcPr>
            <w:tcW w:w="1020" w:type="dxa"/>
            <w:shd w:val="clear" w:color="auto" w:fill="FFFFFF"/>
            <w:vAlign w:val="center"/>
          </w:tcPr>
          <w:p w14:paraId="2DDB437F">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26CBA8E2">
            <w:pPr>
              <w:widowControl/>
              <w:spacing w:line="0" w:lineRule="atLeast"/>
              <w:jc w:val="center"/>
              <w:rPr>
                <w:rFonts w:hint="default"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5B9C4609">
        <w:trPr>
          <w:trHeight w:val="567" w:hRule="atLeast"/>
        </w:trPr>
        <w:tc>
          <w:tcPr>
            <w:tcW w:w="729" w:type="dxa"/>
            <w:vMerge w:val="continue"/>
            <w:shd w:val="clear" w:color="auto" w:fill="FFFFFF"/>
            <w:vAlign w:val="center"/>
          </w:tcPr>
          <w:p w14:paraId="3B6F6E4D">
            <w:pPr>
              <w:spacing w:line="0" w:lineRule="atLeast"/>
              <w:jc w:val="center"/>
              <w:rPr>
                <w:color w:val="auto"/>
                <w:kern w:val="0"/>
                <w:sz w:val="22"/>
                <w:szCs w:val="22"/>
                <w:highlight w:val="none"/>
              </w:rPr>
            </w:pPr>
          </w:p>
        </w:tc>
        <w:tc>
          <w:tcPr>
            <w:tcW w:w="675" w:type="dxa"/>
            <w:vMerge w:val="continue"/>
            <w:shd w:val="clear" w:color="auto" w:fill="FFFFFF"/>
            <w:vAlign w:val="center"/>
          </w:tcPr>
          <w:p w14:paraId="1DCD270B">
            <w:pPr>
              <w:widowControl/>
              <w:spacing w:line="0" w:lineRule="atLeast"/>
              <w:jc w:val="center"/>
              <w:rPr>
                <w:color w:val="auto"/>
                <w:kern w:val="0"/>
                <w:sz w:val="22"/>
                <w:szCs w:val="22"/>
                <w:highlight w:val="none"/>
              </w:rPr>
            </w:pPr>
          </w:p>
        </w:tc>
        <w:tc>
          <w:tcPr>
            <w:tcW w:w="1140" w:type="dxa"/>
            <w:shd w:val="clear" w:color="auto" w:fill="FFFFFF"/>
            <w:vAlign w:val="center"/>
          </w:tcPr>
          <w:p w14:paraId="15C6E0A7">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1605" w:type="dxa"/>
            <w:shd w:val="clear" w:color="auto" w:fill="FFFFFF"/>
            <w:vAlign w:val="center"/>
          </w:tcPr>
          <w:p w14:paraId="0CC12C04">
            <w:pPr>
              <w:widowControl/>
              <w:spacing w:line="0" w:lineRule="atLeast"/>
              <w:jc w:val="center"/>
              <w:rPr>
                <w:color w:val="auto"/>
                <w:kern w:val="0"/>
                <w:sz w:val="22"/>
                <w:szCs w:val="22"/>
                <w:highlight w:val="none"/>
              </w:rPr>
            </w:pPr>
            <w:r>
              <w:rPr>
                <w:color w:val="auto"/>
                <w:kern w:val="0"/>
                <w:sz w:val="22"/>
                <w:szCs w:val="22"/>
                <w:highlight w:val="none"/>
              </w:rPr>
              <w:t>资金使用</w:t>
            </w:r>
          </w:p>
          <w:p w14:paraId="1251ADE4">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855" w:type="dxa"/>
            <w:shd w:val="clear" w:color="000000" w:fill="FFFFFF"/>
            <w:vAlign w:val="center"/>
          </w:tcPr>
          <w:p w14:paraId="32F93FBA">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000000" w:fill="FFFFFF"/>
            <w:vAlign w:val="center"/>
          </w:tcPr>
          <w:p w14:paraId="47344D74">
            <w:pPr>
              <w:widowControl/>
              <w:spacing w:line="0" w:lineRule="atLeast"/>
              <w:jc w:val="center"/>
              <w:rPr>
                <w:color w:val="auto"/>
                <w:kern w:val="0"/>
                <w:sz w:val="22"/>
                <w:szCs w:val="22"/>
                <w:highlight w:val="none"/>
              </w:rPr>
            </w:pPr>
            <w:r>
              <w:rPr>
                <w:color w:val="auto"/>
                <w:kern w:val="0"/>
                <w:sz w:val="22"/>
                <w:szCs w:val="22"/>
                <w:highlight w:val="none"/>
              </w:rPr>
              <w:t>合格</w:t>
            </w:r>
          </w:p>
        </w:tc>
        <w:tc>
          <w:tcPr>
            <w:tcW w:w="915" w:type="dxa"/>
            <w:shd w:val="clear" w:color="000000" w:fill="FFFFFF"/>
            <w:vAlign w:val="center"/>
          </w:tcPr>
          <w:p w14:paraId="1EDDB997">
            <w:pPr>
              <w:widowControl/>
              <w:spacing w:line="0" w:lineRule="atLeast"/>
              <w:jc w:val="center"/>
              <w:rPr>
                <w:color w:val="auto"/>
                <w:kern w:val="0"/>
                <w:sz w:val="22"/>
                <w:szCs w:val="22"/>
                <w:highlight w:val="none"/>
              </w:rPr>
            </w:pPr>
            <w:r>
              <w:rPr>
                <w:color w:val="auto"/>
                <w:kern w:val="0"/>
                <w:sz w:val="22"/>
                <w:szCs w:val="22"/>
                <w:highlight w:val="none"/>
              </w:rPr>
              <w:t>合格</w:t>
            </w:r>
          </w:p>
        </w:tc>
        <w:tc>
          <w:tcPr>
            <w:tcW w:w="1020" w:type="dxa"/>
            <w:shd w:val="clear" w:color="000000" w:fill="FFFFFF"/>
            <w:vAlign w:val="center"/>
          </w:tcPr>
          <w:p w14:paraId="27911911">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0D6295A3">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56AB4BF9">
        <w:trPr>
          <w:trHeight w:val="567" w:hRule="atLeast"/>
        </w:trPr>
        <w:tc>
          <w:tcPr>
            <w:tcW w:w="729" w:type="dxa"/>
            <w:vMerge w:val="continue"/>
            <w:shd w:val="clear" w:color="auto" w:fill="FFFFFF"/>
            <w:vAlign w:val="center"/>
          </w:tcPr>
          <w:p w14:paraId="63811438">
            <w:pPr>
              <w:spacing w:line="0" w:lineRule="atLeast"/>
              <w:jc w:val="center"/>
              <w:rPr>
                <w:color w:val="auto"/>
                <w:kern w:val="0"/>
                <w:sz w:val="22"/>
                <w:szCs w:val="22"/>
                <w:highlight w:val="none"/>
              </w:rPr>
            </w:pPr>
          </w:p>
        </w:tc>
        <w:tc>
          <w:tcPr>
            <w:tcW w:w="675" w:type="dxa"/>
            <w:vMerge w:val="continue"/>
            <w:shd w:val="clear" w:color="auto" w:fill="FFFFFF"/>
            <w:vAlign w:val="center"/>
          </w:tcPr>
          <w:p w14:paraId="08160353">
            <w:pPr>
              <w:spacing w:line="0" w:lineRule="atLeast"/>
              <w:jc w:val="center"/>
              <w:rPr>
                <w:color w:val="auto"/>
                <w:kern w:val="0"/>
                <w:sz w:val="22"/>
                <w:szCs w:val="22"/>
                <w:highlight w:val="none"/>
              </w:rPr>
            </w:pPr>
          </w:p>
        </w:tc>
        <w:tc>
          <w:tcPr>
            <w:tcW w:w="1140" w:type="dxa"/>
            <w:vMerge w:val="restart"/>
            <w:shd w:val="clear" w:color="auto" w:fill="FFFFFF"/>
            <w:vAlign w:val="center"/>
          </w:tcPr>
          <w:p w14:paraId="427E9A40">
            <w:pPr>
              <w:widowControl/>
              <w:spacing w:line="0" w:lineRule="atLeast"/>
              <w:jc w:val="center"/>
              <w:rPr>
                <w:color w:val="auto"/>
                <w:kern w:val="0"/>
                <w:sz w:val="22"/>
                <w:szCs w:val="22"/>
                <w:highlight w:val="none"/>
              </w:rPr>
            </w:pPr>
            <w:r>
              <w:rPr>
                <w:color w:val="auto"/>
                <w:kern w:val="0"/>
                <w:sz w:val="22"/>
                <w:szCs w:val="22"/>
                <w:highlight w:val="none"/>
              </w:rPr>
              <w:t>组织实施</w:t>
            </w:r>
          </w:p>
        </w:tc>
        <w:tc>
          <w:tcPr>
            <w:tcW w:w="1605" w:type="dxa"/>
            <w:shd w:val="clear" w:color="auto" w:fill="FFFFFF"/>
            <w:vAlign w:val="center"/>
          </w:tcPr>
          <w:p w14:paraId="2DCBC1B9">
            <w:pPr>
              <w:widowControl/>
              <w:spacing w:line="0" w:lineRule="atLeast"/>
              <w:jc w:val="center"/>
              <w:rPr>
                <w:color w:val="auto"/>
                <w:kern w:val="0"/>
                <w:sz w:val="22"/>
                <w:szCs w:val="22"/>
                <w:highlight w:val="none"/>
              </w:rPr>
            </w:pPr>
            <w:r>
              <w:rPr>
                <w:color w:val="auto"/>
                <w:kern w:val="0"/>
                <w:sz w:val="22"/>
                <w:szCs w:val="22"/>
                <w:highlight w:val="none"/>
              </w:rPr>
              <w:t>管理制度</w:t>
            </w:r>
          </w:p>
          <w:p w14:paraId="6BE82910">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855" w:type="dxa"/>
            <w:shd w:val="clear" w:color="000000" w:fill="FFFFFF"/>
            <w:vAlign w:val="center"/>
          </w:tcPr>
          <w:p w14:paraId="03055D59">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000000" w:fill="FFFFFF"/>
            <w:vAlign w:val="center"/>
          </w:tcPr>
          <w:p w14:paraId="0682BC73">
            <w:pPr>
              <w:widowControl/>
              <w:spacing w:line="0" w:lineRule="atLeast"/>
              <w:jc w:val="center"/>
              <w:rPr>
                <w:color w:val="auto"/>
                <w:kern w:val="0"/>
                <w:sz w:val="22"/>
                <w:szCs w:val="22"/>
                <w:highlight w:val="none"/>
              </w:rPr>
            </w:pPr>
            <w:r>
              <w:rPr>
                <w:color w:val="auto"/>
                <w:kern w:val="0"/>
                <w:sz w:val="22"/>
                <w:szCs w:val="22"/>
                <w:highlight w:val="none"/>
              </w:rPr>
              <w:t>健全</w:t>
            </w:r>
          </w:p>
        </w:tc>
        <w:tc>
          <w:tcPr>
            <w:tcW w:w="915" w:type="dxa"/>
            <w:shd w:val="clear" w:color="000000" w:fill="FFFFFF"/>
            <w:vAlign w:val="center"/>
          </w:tcPr>
          <w:p w14:paraId="61CF23E9">
            <w:pPr>
              <w:widowControl/>
              <w:spacing w:line="0" w:lineRule="atLeast"/>
              <w:jc w:val="center"/>
              <w:rPr>
                <w:color w:val="auto"/>
                <w:kern w:val="0"/>
                <w:sz w:val="22"/>
                <w:szCs w:val="22"/>
                <w:highlight w:val="none"/>
              </w:rPr>
            </w:pPr>
            <w:r>
              <w:rPr>
                <w:color w:val="auto"/>
                <w:kern w:val="0"/>
                <w:sz w:val="22"/>
                <w:szCs w:val="22"/>
                <w:highlight w:val="none"/>
              </w:rPr>
              <w:t>健全</w:t>
            </w:r>
          </w:p>
        </w:tc>
        <w:tc>
          <w:tcPr>
            <w:tcW w:w="1020" w:type="dxa"/>
            <w:shd w:val="clear" w:color="000000" w:fill="FFFFFF"/>
            <w:vAlign w:val="center"/>
          </w:tcPr>
          <w:p w14:paraId="760B5841">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16704391">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6F3CC813">
        <w:trPr>
          <w:trHeight w:val="567" w:hRule="atLeast"/>
        </w:trPr>
        <w:tc>
          <w:tcPr>
            <w:tcW w:w="729" w:type="dxa"/>
            <w:vMerge w:val="continue"/>
            <w:shd w:val="clear" w:color="auto" w:fill="FFFFFF"/>
            <w:vAlign w:val="center"/>
          </w:tcPr>
          <w:p w14:paraId="69359C54">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76CFC2C0">
            <w:pPr>
              <w:widowControl/>
              <w:spacing w:line="0" w:lineRule="atLeast"/>
              <w:jc w:val="center"/>
              <w:rPr>
                <w:color w:val="auto"/>
                <w:kern w:val="0"/>
                <w:sz w:val="22"/>
                <w:szCs w:val="22"/>
                <w:highlight w:val="none"/>
              </w:rPr>
            </w:pPr>
          </w:p>
        </w:tc>
        <w:tc>
          <w:tcPr>
            <w:tcW w:w="1140" w:type="dxa"/>
            <w:vMerge w:val="continue"/>
            <w:shd w:val="clear" w:color="auto" w:fill="FFFFFF"/>
            <w:vAlign w:val="center"/>
          </w:tcPr>
          <w:p w14:paraId="090E7631">
            <w:pPr>
              <w:widowControl/>
              <w:spacing w:line="0" w:lineRule="atLeast"/>
              <w:jc w:val="center"/>
              <w:rPr>
                <w:color w:val="auto"/>
                <w:kern w:val="0"/>
                <w:sz w:val="22"/>
                <w:szCs w:val="22"/>
                <w:highlight w:val="none"/>
              </w:rPr>
            </w:pPr>
          </w:p>
        </w:tc>
        <w:tc>
          <w:tcPr>
            <w:tcW w:w="1605" w:type="dxa"/>
            <w:shd w:val="clear" w:color="auto" w:fill="FFFFFF"/>
            <w:vAlign w:val="center"/>
          </w:tcPr>
          <w:p w14:paraId="4563E38C">
            <w:pPr>
              <w:widowControl/>
              <w:spacing w:line="0" w:lineRule="atLeast"/>
              <w:jc w:val="center"/>
              <w:rPr>
                <w:color w:val="auto"/>
                <w:kern w:val="0"/>
                <w:sz w:val="22"/>
                <w:szCs w:val="22"/>
                <w:highlight w:val="none"/>
              </w:rPr>
            </w:pPr>
            <w:r>
              <w:rPr>
                <w:color w:val="auto"/>
                <w:kern w:val="0"/>
                <w:sz w:val="22"/>
                <w:szCs w:val="22"/>
                <w:highlight w:val="none"/>
              </w:rPr>
              <w:t>制度执行</w:t>
            </w:r>
          </w:p>
          <w:p w14:paraId="15FE90C0">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855" w:type="dxa"/>
            <w:shd w:val="clear" w:color="000000" w:fill="FFFFFF"/>
            <w:vAlign w:val="center"/>
          </w:tcPr>
          <w:p w14:paraId="21EA680F">
            <w:pPr>
              <w:widowControl/>
              <w:spacing w:line="0" w:lineRule="atLeast"/>
              <w:jc w:val="center"/>
              <w:rPr>
                <w:color w:val="auto"/>
                <w:kern w:val="0"/>
                <w:sz w:val="22"/>
                <w:szCs w:val="22"/>
                <w:highlight w:val="none"/>
              </w:rPr>
            </w:pPr>
            <w:r>
              <w:rPr>
                <w:color w:val="auto"/>
                <w:kern w:val="0"/>
                <w:sz w:val="22"/>
                <w:szCs w:val="22"/>
                <w:highlight w:val="none"/>
              </w:rPr>
              <w:t>4</w:t>
            </w:r>
          </w:p>
        </w:tc>
        <w:tc>
          <w:tcPr>
            <w:tcW w:w="1125" w:type="dxa"/>
            <w:shd w:val="clear" w:color="000000" w:fill="FFFFFF"/>
            <w:vAlign w:val="center"/>
          </w:tcPr>
          <w:p w14:paraId="565E91B5">
            <w:pPr>
              <w:widowControl/>
              <w:spacing w:line="0" w:lineRule="atLeast"/>
              <w:jc w:val="center"/>
              <w:rPr>
                <w:color w:val="auto"/>
                <w:kern w:val="0"/>
                <w:sz w:val="22"/>
                <w:szCs w:val="22"/>
                <w:highlight w:val="none"/>
              </w:rPr>
            </w:pPr>
            <w:r>
              <w:rPr>
                <w:color w:val="auto"/>
                <w:kern w:val="0"/>
                <w:sz w:val="22"/>
                <w:szCs w:val="22"/>
                <w:highlight w:val="none"/>
              </w:rPr>
              <w:t>有效</w:t>
            </w:r>
          </w:p>
        </w:tc>
        <w:tc>
          <w:tcPr>
            <w:tcW w:w="915" w:type="dxa"/>
            <w:shd w:val="clear" w:color="000000" w:fill="FFFFFF"/>
            <w:vAlign w:val="center"/>
          </w:tcPr>
          <w:p w14:paraId="37D5ED64">
            <w:pPr>
              <w:widowControl/>
              <w:spacing w:line="0" w:lineRule="atLeast"/>
              <w:jc w:val="center"/>
              <w:rPr>
                <w:color w:val="auto"/>
                <w:kern w:val="0"/>
                <w:sz w:val="22"/>
                <w:szCs w:val="22"/>
                <w:highlight w:val="none"/>
              </w:rPr>
            </w:pPr>
            <w:r>
              <w:rPr>
                <w:color w:val="auto"/>
                <w:kern w:val="0"/>
                <w:sz w:val="22"/>
                <w:szCs w:val="22"/>
                <w:highlight w:val="none"/>
              </w:rPr>
              <w:t>有效</w:t>
            </w:r>
          </w:p>
        </w:tc>
        <w:tc>
          <w:tcPr>
            <w:tcW w:w="1020" w:type="dxa"/>
            <w:shd w:val="clear" w:color="000000" w:fill="FFFFFF"/>
            <w:vAlign w:val="center"/>
          </w:tcPr>
          <w:p w14:paraId="0D90789F">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3E894476">
            <w:pPr>
              <w:widowControl/>
              <w:spacing w:line="0" w:lineRule="atLeast"/>
              <w:jc w:val="center"/>
              <w:rPr>
                <w:rFonts w:hint="eastAsia" w:eastAsia="宋体"/>
                <w:color w:val="auto"/>
                <w:kern w:val="0"/>
                <w:sz w:val="22"/>
                <w:szCs w:val="22"/>
                <w:highlight w:val="none"/>
                <w:lang w:eastAsia="zh-CN"/>
              </w:rPr>
            </w:pPr>
            <w:r>
              <w:rPr>
                <w:rFonts w:hint="eastAsia"/>
                <w:color w:val="auto"/>
                <w:kern w:val="0"/>
                <w:sz w:val="22"/>
                <w:szCs w:val="22"/>
                <w:highlight w:val="none"/>
                <w:lang w:val="en-US" w:eastAsia="zh-CN"/>
              </w:rPr>
              <w:t>4</w:t>
            </w:r>
          </w:p>
        </w:tc>
      </w:tr>
      <w:tr w14:paraId="155B808A">
        <w:trPr>
          <w:trHeight w:val="567" w:hRule="atLeast"/>
        </w:trPr>
        <w:tc>
          <w:tcPr>
            <w:tcW w:w="729" w:type="dxa"/>
            <w:vMerge w:val="restart"/>
            <w:shd w:val="clear" w:color="auto" w:fill="FFFFFF"/>
            <w:vAlign w:val="center"/>
          </w:tcPr>
          <w:p w14:paraId="665FDF2C">
            <w:pPr>
              <w:widowControl/>
              <w:spacing w:line="0" w:lineRule="atLeast"/>
              <w:jc w:val="center"/>
              <w:rPr>
                <w:color w:val="auto"/>
                <w:kern w:val="0"/>
                <w:sz w:val="22"/>
                <w:szCs w:val="22"/>
                <w:highlight w:val="none"/>
              </w:rPr>
            </w:pPr>
            <w:r>
              <w:rPr>
                <w:color w:val="auto"/>
                <w:kern w:val="0"/>
                <w:sz w:val="22"/>
                <w:szCs w:val="22"/>
                <w:highlight w:val="none"/>
              </w:rPr>
              <w:t>产出</w:t>
            </w:r>
          </w:p>
        </w:tc>
        <w:tc>
          <w:tcPr>
            <w:tcW w:w="675" w:type="dxa"/>
            <w:vMerge w:val="restart"/>
            <w:shd w:val="clear" w:color="auto" w:fill="FFFFFF"/>
            <w:vAlign w:val="center"/>
          </w:tcPr>
          <w:p w14:paraId="0DEDE11E">
            <w:pPr>
              <w:widowControl/>
              <w:spacing w:line="0" w:lineRule="atLeast"/>
              <w:jc w:val="center"/>
              <w:rPr>
                <w:color w:val="auto"/>
                <w:kern w:val="0"/>
                <w:sz w:val="22"/>
                <w:szCs w:val="22"/>
                <w:highlight w:val="none"/>
              </w:rPr>
            </w:pPr>
            <w:r>
              <w:rPr>
                <w:color w:val="auto"/>
                <w:kern w:val="0"/>
                <w:sz w:val="22"/>
                <w:szCs w:val="22"/>
                <w:highlight w:val="none"/>
              </w:rPr>
              <w:t>40分</w:t>
            </w:r>
          </w:p>
        </w:tc>
        <w:tc>
          <w:tcPr>
            <w:tcW w:w="1140" w:type="dxa"/>
            <w:shd w:val="clear" w:color="auto" w:fill="FFFFFF"/>
            <w:vAlign w:val="center"/>
          </w:tcPr>
          <w:p w14:paraId="0033CE48">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1605" w:type="dxa"/>
            <w:shd w:val="clear" w:color="auto" w:fill="FFFFFF"/>
            <w:vAlign w:val="center"/>
          </w:tcPr>
          <w:p w14:paraId="434F1E24">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855" w:type="dxa"/>
            <w:shd w:val="clear" w:color="000000" w:fill="FFFFFF"/>
            <w:vAlign w:val="center"/>
          </w:tcPr>
          <w:p w14:paraId="7DDF3251">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000000" w:fill="FFFFFF"/>
            <w:vAlign w:val="center"/>
          </w:tcPr>
          <w:p w14:paraId="6B29D8F5">
            <w:pPr>
              <w:widowControl/>
              <w:spacing w:line="0" w:lineRule="atLeast"/>
              <w:jc w:val="center"/>
              <w:rPr>
                <w:color w:val="auto"/>
                <w:kern w:val="0"/>
                <w:sz w:val="22"/>
                <w:szCs w:val="22"/>
                <w:highlight w:val="none"/>
              </w:rPr>
            </w:pPr>
            <w:r>
              <w:rPr>
                <w:color w:val="auto"/>
                <w:kern w:val="0"/>
                <w:sz w:val="22"/>
                <w:szCs w:val="22"/>
                <w:highlight w:val="none"/>
              </w:rPr>
              <w:t>100%</w:t>
            </w:r>
          </w:p>
        </w:tc>
        <w:tc>
          <w:tcPr>
            <w:tcW w:w="915" w:type="dxa"/>
            <w:shd w:val="clear" w:color="000000" w:fill="FFFFFF"/>
            <w:vAlign w:val="center"/>
          </w:tcPr>
          <w:p w14:paraId="33D31B6A">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89.43</w:t>
            </w:r>
            <w:r>
              <w:rPr>
                <w:color w:val="auto"/>
                <w:kern w:val="0"/>
                <w:sz w:val="22"/>
                <w:szCs w:val="22"/>
                <w:highlight w:val="none"/>
              </w:rPr>
              <w:t>%</w:t>
            </w:r>
          </w:p>
        </w:tc>
        <w:tc>
          <w:tcPr>
            <w:tcW w:w="1020" w:type="dxa"/>
            <w:shd w:val="clear" w:color="000000" w:fill="FFFFFF"/>
            <w:vAlign w:val="center"/>
          </w:tcPr>
          <w:p w14:paraId="3D35CB60">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89.43%</w:t>
            </w:r>
          </w:p>
        </w:tc>
        <w:tc>
          <w:tcPr>
            <w:tcW w:w="810" w:type="dxa"/>
            <w:shd w:val="clear" w:color="000000" w:fill="FFFFFF"/>
            <w:vAlign w:val="center"/>
          </w:tcPr>
          <w:p w14:paraId="04C92019">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8.94</w:t>
            </w:r>
          </w:p>
        </w:tc>
      </w:tr>
      <w:tr w14:paraId="47468AEC">
        <w:trPr>
          <w:trHeight w:val="567" w:hRule="atLeast"/>
        </w:trPr>
        <w:tc>
          <w:tcPr>
            <w:tcW w:w="729" w:type="dxa"/>
            <w:vMerge w:val="continue"/>
            <w:shd w:val="clear" w:color="auto" w:fill="FFFFFF"/>
            <w:vAlign w:val="center"/>
          </w:tcPr>
          <w:p w14:paraId="33BB2C93">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43E443B9">
            <w:pPr>
              <w:widowControl/>
              <w:spacing w:line="0" w:lineRule="atLeast"/>
              <w:jc w:val="center"/>
              <w:rPr>
                <w:color w:val="auto"/>
                <w:kern w:val="0"/>
                <w:sz w:val="22"/>
                <w:szCs w:val="22"/>
                <w:highlight w:val="none"/>
              </w:rPr>
            </w:pPr>
          </w:p>
        </w:tc>
        <w:tc>
          <w:tcPr>
            <w:tcW w:w="1140" w:type="dxa"/>
            <w:shd w:val="clear" w:color="auto" w:fill="FFFFFF"/>
            <w:vAlign w:val="center"/>
          </w:tcPr>
          <w:p w14:paraId="349E2A92">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1605" w:type="dxa"/>
            <w:shd w:val="clear" w:color="auto" w:fill="FFFFFF"/>
            <w:vAlign w:val="center"/>
          </w:tcPr>
          <w:p w14:paraId="4C56F9A3">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855" w:type="dxa"/>
            <w:shd w:val="clear" w:color="000000" w:fill="FFFFFF"/>
            <w:vAlign w:val="center"/>
          </w:tcPr>
          <w:p w14:paraId="713E364F">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000000" w:fill="FFFFFF"/>
            <w:vAlign w:val="center"/>
          </w:tcPr>
          <w:p w14:paraId="4B6B7FA9">
            <w:pPr>
              <w:widowControl/>
              <w:spacing w:line="0" w:lineRule="atLeast"/>
              <w:jc w:val="center"/>
              <w:rPr>
                <w:color w:val="auto"/>
                <w:kern w:val="0"/>
                <w:sz w:val="22"/>
                <w:szCs w:val="22"/>
                <w:highlight w:val="none"/>
              </w:rPr>
            </w:pPr>
            <w:r>
              <w:rPr>
                <w:color w:val="auto"/>
                <w:kern w:val="0"/>
                <w:sz w:val="22"/>
                <w:szCs w:val="22"/>
                <w:highlight w:val="none"/>
              </w:rPr>
              <w:t>100%</w:t>
            </w:r>
          </w:p>
        </w:tc>
        <w:tc>
          <w:tcPr>
            <w:tcW w:w="915" w:type="dxa"/>
            <w:shd w:val="clear" w:color="000000" w:fill="FFFFFF"/>
            <w:vAlign w:val="center"/>
          </w:tcPr>
          <w:p w14:paraId="2E5A6F32">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020" w:type="dxa"/>
            <w:shd w:val="clear" w:color="000000" w:fill="FFFFFF"/>
            <w:vAlign w:val="center"/>
          </w:tcPr>
          <w:p w14:paraId="774288C8">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11691E92">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5B8B7D51">
        <w:trPr>
          <w:trHeight w:val="567" w:hRule="atLeast"/>
        </w:trPr>
        <w:tc>
          <w:tcPr>
            <w:tcW w:w="729" w:type="dxa"/>
            <w:vMerge w:val="continue"/>
            <w:shd w:val="clear" w:color="auto" w:fill="FFFFFF"/>
            <w:vAlign w:val="center"/>
          </w:tcPr>
          <w:p w14:paraId="203F04EF">
            <w:pPr>
              <w:spacing w:line="0" w:lineRule="atLeast"/>
              <w:jc w:val="center"/>
              <w:rPr>
                <w:color w:val="auto"/>
                <w:kern w:val="0"/>
                <w:sz w:val="22"/>
                <w:szCs w:val="22"/>
                <w:highlight w:val="none"/>
              </w:rPr>
            </w:pPr>
          </w:p>
        </w:tc>
        <w:tc>
          <w:tcPr>
            <w:tcW w:w="675" w:type="dxa"/>
            <w:vMerge w:val="continue"/>
            <w:shd w:val="clear" w:color="auto" w:fill="FFFFFF"/>
            <w:vAlign w:val="center"/>
          </w:tcPr>
          <w:p w14:paraId="0D88C4C9">
            <w:pPr>
              <w:spacing w:line="0" w:lineRule="atLeast"/>
              <w:jc w:val="center"/>
              <w:rPr>
                <w:color w:val="auto"/>
                <w:kern w:val="0"/>
                <w:sz w:val="22"/>
                <w:szCs w:val="22"/>
                <w:highlight w:val="none"/>
              </w:rPr>
            </w:pPr>
          </w:p>
        </w:tc>
        <w:tc>
          <w:tcPr>
            <w:tcW w:w="1140" w:type="dxa"/>
            <w:shd w:val="clear" w:color="auto" w:fill="FFFFFF"/>
            <w:vAlign w:val="center"/>
          </w:tcPr>
          <w:p w14:paraId="4727F2F9">
            <w:pPr>
              <w:spacing w:line="0" w:lineRule="atLeast"/>
              <w:jc w:val="center"/>
              <w:rPr>
                <w:color w:val="auto"/>
                <w:kern w:val="0"/>
                <w:sz w:val="22"/>
                <w:szCs w:val="22"/>
                <w:highlight w:val="none"/>
              </w:rPr>
            </w:pPr>
            <w:r>
              <w:rPr>
                <w:color w:val="auto"/>
                <w:kern w:val="0"/>
                <w:sz w:val="22"/>
                <w:szCs w:val="22"/>
                <w:highlight w:val="none"/>
              </w:rPr>
              <w:t>产出时效</w:t>
            </w:r>
          </w:p>
        </w:tc>
        <w:tc>
          <w:tcPr>
            <w:tcW w:w="1605" w:type="dxa"/>
            <w:shd w:val="clear" w:color="auto" w:fill="FFFFFF"/>
            <w:vAlign w:val="center"/>
          </w:tcPr>
          <w:p w14:paraId="70F52910">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855" w:type="dxa"/>
            <w:shd w:val="clear" w:color="000000" w:fill="FFFFFF"/>
            <w:vAlign w:val="center"/>
          </w:tcPr>
          <w:p w14:paraId="50A0BE3A">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000000" w:fill="FFFFFF"/>
            <w:vAlign w:val="center"/>
          </w:tcPr>
          <w:p w14:paraId="30A67303">
            <w:pPr>
              <w:widowControl/>
              <w:spacing w:line="0" w:lineRule="atLeast"/>
              <w:jc w:val="center"/>
              <w:rPr>
                <w:color w:val="auto"/>
                <w:kern w:val="0"/>
                <w:sz w:val="22"/>
                <w:szCs w:val="22"/>
                <w:highlight w:val="none"/>
              </w:rPr>
            </w:pPr>
            <w:r>
              <w:rPr>
                <w:color w:val="auto"/>
                <w:kern w:val="0"/>
                <w:sz w:val="22"/>
                <w:szCs w:val="22"/>
                <w:highlight w:val="none"/>
              </w:rPr>
              <w:t>及时</w:t>
            </w:r>
          </w:p>
        </w:tc>
        <w:tc>
          <w:tcPr>
            <w:tcW w:w="915" w:type="dxa"/>
            <w:shd w:val="clear" w:color="000000" w:fill="FFFFFF"/>
            <w:vAlign w:val="center"/>
          </w:tcPr>
          <w:p w14:paraId="7865EFD8">
            <w:pPr>
              <w:widowControl/>
              <w:spacing w:line="0" w:lineRule="atLeast"/>
              <w:jc w:val="center"/>
              <w:rPr>
                <w:color w:val="auto"/>
                <w:kern w:val="0"/>
                <w:sz w:val="22"/>
                <w:szCs w:val="22"/>
                <w:highlight w:val="none"/>
              </w:rPr>
            </w:pPr>
            <w:r>
              <w:rPr>
                <w:color w:val="auto"/>
                <w:kern w:val="0"/>
                <w:sz w:val="22"/>
                <w:szCs w:val="22"/>
                <w:highlight w:val="none"/>
              </w:rPr>
              <w:t>及时</w:t>
            </w:r>
          </w:p>
        </w:tc>
        <w:tc>
          <w:tcPr>
            <w:tcW w:w="1020" w:type="dxa"/>
            <w:shd w:val="clear" w:color="000000" w:fill="FFFFFF"/>
            <w:vAlign w:val="center"/>
          </w:tcPr>
          <w:p w14:paraId="7D154D9C">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3A529FF8">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23E2288F">
        <w:trPr>
          <w:trHeight w:val="567" w:hRule="atLeast"/>
        </w:trPr>
        <w:tc>
          <w:tcPr>
            <w:tcW w:w="729" w:type="dxa"/>
            <w:vMerge w:val="continue"/>
            <w:shd w:val="clear" w:color="auto" w:fill="FFFFFF"/>
            <w:vAlign w:val="center"/>
          </w:tcPr>
          <w:p w14:paraId="7D012978">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6499C4F4">
            <w:pPr>
              <w:widowControl/>
              <w:spacing w:line="0" w:lineRule="atLeast"/>
              <w:jc w:val="center"/>
              <w:rPr>
                <w:color w:val="auto"/>
                <w:kern w:val="0"/>
                <w:sz w:val="22"/>
                <w:szCs w:val="22"/>
                <w:highlight w:val="none"/>
              </w:rPr>
            </w:pPr>
          </w:p>
        </w:tc>
        <w:tc>
          <w:tcPr>
            <w:tcW w:w="1140" w:type="dxa"/>
            <w:shd w:val="clear" w:color="auto" w:fill="FFFFFF"/>
            <w:vAlign w:val="center"/>
          </w:tcPr>
          <w:p w14:paraId="46AF42E5">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1605" w:type="dxa"/>
            <w:shd w:val="clear" w:color="auto" w:fill="FFFFFF"/>
            <w:vAlign w:val="center"/>
          </w:tcPr>
          <w:p w14:paraId="1F1459B2">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855" w:type="dxa"/>
            <w:shd w:val="clear" w:color="000000" w:fill="FFFFFF"/>
            <w:vAlign w:val="center"/>
          </w:tcPr>
          <w:p w14:paraId="2F126E13">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000000" w:fill="FFFFFF"/>
            <w:vAlign w:val="center"/>
          </w:tcPr>
          <w:p w14:paraId="0F7F95CD">
            <w:pPr>
              <w:widowControl/>
              <w:spacing w:line="0" w:lineRule="atLeast"/>
              <w:jc w:val="center"/>
              <w:rPr>
                <w:color w:val="auto"/>
                <w:kern w:val="0"/>
                <w:sz w:val="22"/>
                <w:szCs w:val="22"/>
                <w:highlight w:val="none"/>
              </w:rPr>
            </w:pPr>
            <w:r>
              <w:rPr>
                <w:color w:val="auto"/>
                <w:kern w:val="0"/>
                <w:sz w:val="22"/>
                <w:szCs w:val="22"/>
                <w:highlight w:val="none"/>
              </w:rPr>
              <w:t>100%</w:t>
            </w:r>
          </w:p>
        </w:tc>
        <w:tc>
          <w:tcPr>
            <w:tcW w:w="915" w:type="dxa"/>
            <w:shd w:val="clear" w:color="000000" w:fill="FFFFFF"/>
            <w:vAlign w:val="center"/>
          </w:tcPr>
          <w:p w14:paraId="1C928DBC">
            <w:pPr>
              <w:widowControl/>
              <w:spacing w:line="0" w:lineRule="atLeast"/>
              <w:jc w:val="center"/>
              <w:rPr>
                <w:color w:val="auto"/>
                <w:kern w:val="0"/>
                <w:sz w:val="22"/>
                <w:szCs w:val="22"/>
                <w:highlight w:val="none"/>
              </w:rPr>
            </w:pPr>
            <w:r>
              <w:rPr>
                <w:rFonts w:hint="eastAsia"/>
                <w:color w:val="auto"/>
                <w:kern w:val="0"/>
                <w:sz w:val="22"/>
                <w:szCs w:val="22"/>
                <w:highlight w:val="none"/>
              </w:rPr>
              <w:t>100</w:t>
            </w:r>
            <w:r>
              <w:rPr>
                <w:color w:val="auto"/>
                <w:kern w:val="0"/>
                <w:sz w:val="22"/>
                <w:szCs w:val="22"/>
                <w:highlight w:val="none"/>
              </w:rPr>
              <w:t>%</w:t>
            </w:r>
          </w:p>
        </w:tc>
        <w:tc>
          <w:tcPr>
            <w:tcW w:w="1020" w:type="dxa"/>
            <w:shd w:val="clear" w:color="000000" w:fill="FFFFFF"/>
            <w:vAlign w:val="center"/>
          </w:tcPr>
          <w:p w14:paraId="452EC74F">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798C6C21">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5D417E1B">
        <w:trPr>
          <w:trHeight w:val="567" w:hRule="atLeast"/>
        </w:trPr>
        <w:tc>
          <w:tcPr>
            <w:tcW w:w="729" w:type="dxa"/>
            <w:vMerge w:val="restart"/>
            <w:shd w:val="clear" w:color="auto" w:fill="FFFFFF"/>
            <w:vAlign w:val="center"/>
          </w:tcPr>
          <w:p w14:paraId="20376186">
            <w:pPr>
              <w:widowControl/>
              <w:spacing w:line="0" w:lineRule="atLeast"/>
              <w:jc w:val="center"/>
              <w:rPr>
                <w:color w:val="auto"/>
                <w:kern w:val="0"/>
                <w:sz w:val="22"/>
                <w:szCs w:val="22"/>
                <w:highlight w:val="none"/>
              </w:rPr>
            </w:pPr>
            <w:r>
              <w:rPr>
                <w:color w:val="auto"/>
                <w:kern w:val="0"/>
                <w:sz w:val="22"/>
                <w:szCs w:val="22"/>
                <w:highlight w:val="none"/>
              </w:rPr>
              <w:t>效益　</w:t>
            </w:r>
          </w:p>
        </w:tc>
        <w:tc>
          <w:tcPr>
            <w:tcW w:w="675" w:type="dxa"/>
            <w:vMerge w:val="restart"/>
            <w:shd w:val="clear" w:color="auto" w:fill="FFFFFF"/>
            <w:vAlign w:val="center"/>
          </w:tcPr>
          <w:p w14:paraId="32170BCD">
            <w:pPr>
              <w:widowControl/>
              <w:spacing w:line="0" w:lineRule="atLeast"/>
              <w:jc w:val="center"/>
              <w:rPr>
                <w:color w:val="auto"/>
                <w:kern w:val="0"/>
                <w:sz w:val="22"/>
                <w:szCs w:val="22"/>
                <w:highlight w:val="none"/>
              </w:rPr>
            </w:pPr>
            <w:r>
              <w:rPr>
                <w:color w:val="auto"/>
                <w:kern w:val="0"/>
                <w:sz w:val="22"/>
                <w:szCs w:val="22"/>
                <w:highlight w:val="none"/>
              </w:rPr>
              <w:t>20分</w:t>
            </w:r>
          </w:p>
        </w:tc>
        <w:tc>
          <w:tcPr>
            <w:tcW w:w="1140" w:type="dxa"/>
            <w:vMerge w:val="restart"/>
            <w:shd w:val="clear" w:color="auto" w:fill="FFFFFF"/>
            <w:vAlign w:val="center"/>
          </w:tcPr>
          <w:p w14:paraId="681FCF78">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1605" w:type="dxa"/>
            <w:shd w:val="clear" w:color="auto" w:fill="FFFFFF"/>
            <w:vAlign w:val="center"/>
          </w:tcPr>
          <w:p w14:paraId="40373F57">
            <w:pPr>
              <w:widowControl/>
              <w:spacing w:line="0" w:lineRule="atLeast"/>
              <w:jc w:val="center"/>
              <w:rPr>
                <w:color w:val="auto"/>
                <w:kern w:val="0"/>
                <w:sz w:val="22"/>
                <w:szCs w:val="22"/>
                <w:highlight w:val="none"/>
              </w:rPr>
            </w:pPr>
            <w:r>
              <w:rPr>
                <w:color w:val="auto"/>
                <w:kern w:val="0"/>
                <w:sz w:val="22"/>
                <w:szCs w:val="22"/>
                <w:highlight w:val="none"/>
              </w:rPr>
              <w:t>实施效益</w:t>
            </w:r>
          </w:p>
          <w:p w14:paraId="093D1B69">
            <w:pPr>
              <w:widowControl/>
              <w:spacing w:line="0" w:lineRule="atLeast"/>
              <w:jc w:val="center"/>
              <w:rPr>
                <w:color w:val="auto"/>
                <w:kern w:val="0"/>
                <w:sz w:val="22"/>
                <w:szCs w:val="22"/>
                <w:highlight w:val="none"/>
              </w:rPr>
            </w:pPr>
            <w:r>
              <w:rPr>
                <w:color w:val="auto"/>
                <w:kern w:val="0"/>
                <w:sz w:val="22"/>
                <w:szCs w:val="22"/>
                <w:highlight w:val="none"/>
              </w:rPr>
              <w:t>（社会效益、经济效益、可持续效益）</w:t>
            </w:r>
          </w:p>
        </w:tc>
        <w:tc>
          <w:tcPr>
            <w:tcW w:w="855" w:type="dxa"/>
            <w:shd w:val="clear" w:color="auto" w:fill="FFFFFF"/>
            <w:vAlign w:val="center"/>
          </w:tcPr>
          <w:p w14:paraId="0DFBEF4E">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auto" w:fill="FFFFFF"/>
            <w:vAlign w:val="center"/>
          </w:tcPr>
          <w:p w14:paraId="11AD67AE">
            <w:pPr>
              <w:widowControl/>
              <w:spacing w:line="0" w:lineRule="atLeast"/>
              <w:jc w:val="center"/>
              <w:rPr>
                <w:color w:val="auto"/>
                <w:kern w:val="0"/>
                <w:sz w:val="22"/>
                <w:szCs w:val="22"/>
                <w:highlight w:val="none"/>
              </w:rPr>
            </w:pPr>
            <w:r>
              <w:rPr>
                <w:color w:val="auto"/>
                <w:kern w:val="0"/>
                <w:sz w:val="22"/>
                <w:szCs w:val="22"/>
                <w:highlight w:val="none"/>
              </w:rPr>
              <w:t>有效</w:t>
            </w:r>
          </w:p>
        </w:tc>
        <w:tc>
          <w:tcPr>
            <w:tcW w:w="915" w:type="dxa"/>
            <w:shd w:val="clear" w:color="auto" w:fill="FFFFFF"/>
            <w:vAlign w:val="center"/>
          </w:tcPr>
          <w:p w14:paraId="4E8B961A">
            <w:pPr>
              <w:widowControl/>
              <w:spacing w:line="0" w:lineRule="atLeast"/>
              <w:jc w:val="center"/>
              <w:rPr>
                <w:color w:val="auto"/>
                <w:kern w:val="0"/>
                <w:sz w:val="22"/>
                <w:szCs w:val="22"/>
                <w:highlight w:val="none"/>
              </w:rPr>
            </w:pPr>
            <w:r>
              <w:rPr>
                <w:color w:val="auto"/>
                <w:kern w:val="0"/>
                <w:sz w:val="22"/>
                <w:szCs w:val="22"/>
                <w:highlight w:val="none"/>
              </w:rPr>
              <w:t>有效</w:t>
            </w:r>
          </w:p>
        </w:tc>
        <w:tc>
          <w:tcPr>
            <w:tcW w:w="1020" w:type="dxa"/>
            <w:shd w:val="clear" w:color="auto" w:fill="FFFFFF"/>
            <w:vAlign w:val="center"/>
          </w:tcPr>
          <w:p w14:paraId="3C27C2BB">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auto" w:fill="FFFFFF"/>
            <w:vAlign w:val="center"/>
          </w:tcPr>
          <w:p w14:paraId="53674701">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527A6373">
        <w:trPr>
          <w:trHeight w:val="567" w:hRule="atLeast"/>
        </w:trPr>
        <w:tc>
          <w:tcPr>
            <w:tcW w:w="729" w:type="dxa"/>
            <w:vMerge w:val="continue"/>
            <w:shd w:val="clear" w:color="auto" w:fill="FFFFFF"/>
            <w:vAlign w:val="center"/>
          </w:tcPr>
          <w:p w14:paraId="48793709">
            <w:pPr>
              <w:widowControl/>
              <w:spacing w:line="0" w:lineRule="atLeast"/>
              <w:jc w:val="center"/>
              <w:rPr>
                <w:color w:val="auto"/>
                <w:kern w:val="0"/>
                <w:sz w:val="22"/>
                <w:szCs w:val="22"/>
                <w:highlight w:val="none"/>
              </w:rPr>
            </w:pPr>
          </w:p>
        </w:tc>
        <w:tc>
          <w:tcPr>
            <w:tcW w:w="675" w:type="dxa"/>
            <w:vMerge w:val="continue"/>
            <w:shd w:val="clear" w:color="auto" w:fill="FFFFFF"/>
            <w:vAlign w:val="center"/>
          </w:tcPr>
          <w:p w14:paraId="1A035169">
            <w:pPr>
              <w:widowControl/>
              <w:spacing w:line="0" w:lineRule="atLeast"/>
              <w:jc w:val="center"/>
              <w:rPr>
                <w:color w:val="auto"/>
                <w:kern w:val="0"/>
                <w:sz w:val="22"/>
                <w:szCs w:val="22"/>
                <w:highlight w:val="none"/>
              </w:rPr>
            </w:pPr>
          </w:p>
        </w:tc>
        <w:tc>
          <w:tcPr>
            <w:tcW w:w="1140" w:type="dxa"/>
            <w:vMerge w:val="continue"/>
            <w:shd w:val="clear" w:color="auto" w:fill="FFFFFF"/>
            <w:vAlign w:val="center"/>
          </w:tcPr>
          <w:p w14:paraId="02A7B52D">
            <w:pPr>
              <w:widowControl/>
              <w:spacing w:line="0" w:lineRule="atLeast"/>
              <w:jc w:val="center"/>
              <w:rPr>
                <w:color w:val="auto"/>
                <w:kern w:val="0"/>
                <w:sz w:val="22"/>
                <w:szCs w:val="22"/>
                <w:highlight w:val="none"/>
              </w:rPr>
            </w:pPr>
          </w:p>
        </w:tc>
        <w:tc>
          <w:tcPr>
            <w:tcW w:w="1605" w:type="dxa"/>
            <w:shd w:val="clear" w:color="auto" w:fill="FFFFFF"/>
            <w:vAlign w:val="center"/>
          </w:tcPr>
          <w:p w14:paraId="0E34BCF3">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855" w:type="dxa"/>
            <w:shd w:val="clear" w:color="000000" w:fill="FFFFFF"/>
            <w:vAlign w:val="center"/>
          </w:tcPr>
          <w:p w14:paraId="7DE3F442">
            <w:pPr>
              <w:widowControl/>
              <w:spacing w:line="0" w:lineRule="atLeast"/>
              <w:jc w:val="center"/>
              <w:rPr>
                <w:color w:val="auto"/>
                <w:kern w:val="0"/>
                <w:sz w:val="22"/>
                <w:szCs w:val="22"/>
                <w:highlight w:val="none"/>
              </w:rPr>
            </w:pPr>
            <w:r>
              <w:rPr>
                <w:color w:val="auto"/>
                <w:kern w:val="0"/>
                <w:sz w:val="22"/>
                <w:szCs w:val="22"/>
                <w:highlight w:val="none"/>
              </w:rPr>
              <w:t>10</w:t>
            </w:r>
          </w:p>
        </w:tc>
        <w:tc>
          <w:tcPr>
            <w:tcW w:w="1125" w:type="dxa"/>
            <w:shd w:val="clear" w:color="000000" w:fill="FFFFFF"/>
            <w:vAlign w:val="center"/>
          </w:tcPr>
          <w:p w14:paraId="10BE111A">
            <w:pPr>
              <w:widowControl/>
              <w:spacing w:line="0" w:lineRule="atLeast"/>
              <w:jc w:val="center"/>
              <w:rPr>
                <w:color w:val="auto"/>
                <w:kern w:val="0"/>
                <w:sz w:val="22"/>
                <w:szCs w:val="22"/>
                <w:highlight w:val="none"/>
              </w:rPr>
            </w:pPr>
            <w:r>
              <w:rPr>
                <w:color w:val="auto"/>
                <w:kern w:val="0"/>
                <w:sz w:val="22"/>
                <w:szCs w:val="22"/>
                <w:highlight w:val="none"/>
              </w:rPr>
              <w:t>≥</w:t>
            </w:r>
            <w:r>
              <w:rPr>
                <w:rFonts w:hint="eastAsia"/>
                <w:color w:val="auto"/>
                <w:kern w:val="0"/>
                <w:sz w:val="22"/>
                <w:szCs w:val="22"/>
                <w:highlight w:val="none"/>
                <w:lang w:val="en-US" w:eastAsia="zh-CN"/>
              </w:rPr>
              <w:t>90</w:t>
            </w:r>
            <w:r>
              <w:rPr>
                <w:color w:val="auto"/>
                <w:kern w:val="0"/>
                <w:sz w:val="22"/>
                <w:szCs w:val="22"/>
                <w:highlight w:val="none"/>
              </w:rPr>
              <w:t>%</w:t>
            </w:r>
          </w:p>
        </w:tc>
        <w:tc>
          <w:tcPr>
            <w:tcW w:w="915" w:type="dxa"/>
            <w:shd w:val="clear" w:color="000000" w:fill="FFFFFF"/>
            <w:vAlign w:val="center"/>
          </w:tcPr>
          <w:p w14:paraId="434E45AC">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90</w:t>
            </w:r>
            <w:r>
              <w:rPr>
                <w:color w:val="auto"/>
                <w:kern w:val="0"/>
                <w:sz w:val="22"/>
                <w:szCs w:val="22"/>
                <w:highlight w:val="none"/>
              </w:rPr>
              <w:t>%</w:t>
            </w:r>
          </w:p>
        </w:tc>
        <w:tc>
          <w:tcPr>
            <w:tcW w:w="1020" w:type="dxa"/>
            <w:shd w:val="clear" w:color="000000" w:fill="FFFFFF"/>
            <w:vAlign w:val="center"/>
          </w:tcPr>
          <w:p w14:paraId="04D25B3F">
            <w:pPr>
              <w:widowControl/>
              <w:spacing w:line="0" w:lineRule="atLeast"/>
              <w:jc w:val="center"/>
              <w:rPr>
                <w:color w:val="auto"/>
                <w:kern w:val="0"/>
                <w:sz w:val="22"/>
                <w:szCs w:val="22"/>
                <w:highlight w:val="none"/>
              </w:rPr>
            </w:pPr>
            <w:r>
              <w:rPr>
                <w:rFonts w:hint="eastAsia"/>
                <w:color w:val="auto"/>
                <w:kern w:val="0"/>
                <w:sz w:val="22"/>
                <w:szCs w:val="22"/>
                <w:highlight w:val="none"/>
                <w:lang w:val="en-US" w:eastAsia="zh-CN"/>
              </w:rPr>
              <w:t>100%</w:t>
            </w:r>
          </w:p>
        </w:tc>
        <w:tc>
          <w:tcPr>
            <w:tcW w:w="810" w:type="dxa"/>
            <w:shd w:val="clear" w:color="000000" w:fill="FFFFFF"/>
            <w:vAlign w:val="center"/>
          </w:tcPr>
          <w:p w14:paraId="04019488">
            <w:pPr>
              <w:widowControl/>
              <w:spacing w:line="0" w:lineRule="atLeast"/>
              <w:jc w:val="center"/>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14:paraId="3FDDD6C9">
        <w:trPr>
          <w:trHeight w:val="567" w:hRule="atLeast"/>
        </w:trPr>
        <w:tc>
          <w:tcPr>
            <w:tcW w:w="4149" w:type="dxa"/>
            <w:gridSpan w:val="4"/>
            <w:shd w:val="clear" w:color="auto" w:fill="FFFFFF"/>
            <w:vAlign w:val="center"/>
          </w:tcPr>
          <w:p w14:paraId="2C1B9A23">
            <w:pPr>
              <w:widowControl/>
              <w:spacing w:line="0" w:lineRule="atLeast"/>
              <w:jc w:val="center"/>
              <w:rPr>
                <w:b/>
                <w:bCs/>
                <w:color w:val="auto"/>
                <w:kern w:val="0"/>
                <w:sz w:val="22"/>
                <w:szCs w:val="22"/>
                <w:highlight w:val="none"/>
              </w:rPr>
            </w:pPr>
            <w:r>
              <w:rPr>
                <w:rFonts w:hint="eastAsia"/>
                <w:b/>
                <w:bCs/>
                <w:color w:val="auto"/>
                <w:kern w:val="0"/>
                <w:sz w:val="22"/>
                <w:szCs w:val="22"/>
                <w:highlight w:val="none"/>
                <w:lang w:val="en-US" w:eastAsia="zh-CN"/>
              </w:rPr>
              <w:t>合计</w:t>
            </w:r>
          </w:p>
        </w:tc>
        <w:tc>
          <w:tcPr>
            <w:tcW w:w="855" w:type="dxa"/>
            <w:shd w:val="clear" w:color="000000" w:fill="FFFFFF"/>
            <w:vAlign w:val="center"/>
          </w:tcPr>
          <w:p w14:paraId="07F97967">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100</w:t>
            </w:r>
          </w:p>
        </w:tc>
        <w:tc>
          <w:tcPr>
            <w:tcW w:w="1125" w:type="dxa"/>
            <w:shd w:val="clear" w:color="000000" w:fill="FFFFFF"/>
            <w:vAlign w:val="center"/>
          </w:tcPr>
          <w:p w14:paraId="45175226">
            <w:pPr>
              <w:widowControl/>
              <w:spacing w:line="0" w:lineRule="atLeast"/>
              <w:jc w:val="center"/>
              <w:rPr>
                <w:rFonts w:hint="eastAsia"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915" w:type="dxa"/>
            <w:shd w:val="clear" w:color="000000" w:fill="FFFFFF"/>
            <w:vAlign w:val="center"/>
          </w:tcPr>
          <w:p w14:paraId="48585A15">
            <w:pPr>
              <w:widowControl/>
              <w:spacing w:line="0" w:lineRule="atLeast"/>
              <w:jc w:val="center"/>
              <w:rPr>
                <w:rFonts w:hint="default"/>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1020" w:type="dxa"/>
            <w:shd w:val="clear" w:color="000000" w:fill="FFFFFF"/>
            <w:vAlign w:val="center"/>
          </w:tcPr>
          <w:p w14:paraId="39951B64">
            <w:pPr>
              <w:widowControl/>
              <w:spacing w:line="0" w:lineRule="atLeast"/>
              <w:jc w:val="center"/>
              <w:rPr>
                <w:rFonts w:hint="default"/>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810" w:type="dxa"/>
            <w:shd w:val="clear" w:color="000000" w:fill="FFFFFF"/>
            <w:vAlign w:val="center"/>
          </w:tcPr>
          <w:p w14:paraId="76935B55">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bidi="ar-SA"/>
              </w:rPr>
            </w:pPr>
            <w:r>
              <w:rPr>
                <w:rFonts w:hint="eastAsia" w:cs="Times New Roman"/>
                <w:b/>
                <w:bCs/>
                <w:color w:val="auto"/>
                <w:kern w:val="0"/>
                <w:sz w:val="22"/>
                <w:szCs w:val="22"/>
                <w:highlight w:val="none"/>
                <w:lang w:val="en-US" w:eastAsia="zh-CN" w:bidi="ar-SA"/>
              </w:rPr>
              <w:t>98.94</w:t>
            </w:r>
          </w:p>
        </w:tc>
      </w:tr>
    </w:tbl>
    <w:p w14:paraId="1EF20ADD">
      <w:pPr>
        <w:keepLines w:val="0"/>
        <w:pageBreakBefore w:val="0"/>
        <w:numPr>
          <w:ilvl w:val="0"/>
          <w:numId w:val="5"/>
        </w:numPr>
        <w:kinsoku/>
        <w:wordWrap/>
        <w:overflowPunct/>
        <w:topLinePunct w:val="0"/>
        <w:autoSpaceDE/>
        <w:autoSpaceDN/>
        <w:bidi w:val="0"/>
        <w:adjustRightInd/>
        <w:spacing w:line="560" w:lineRule="exact"/>
        <w:ind w:left="0" w:leftChars="0" w:firstLine="640" w:firstLineChars="200"/>
        <w:textAlignment w:val="auto"/>
        <w:rPr>
          <w:rFonts w:eastAsia="黑体"/>
          <w:color w:val="auto"/>
          <w:sz w:val="32"/>
          <w:szCs w:val="32"/>
          <w:highlight w:val="none"/>
        </w:rPr>
      </w:pPr>
      <w:r>
        <w:rPr>
          <w:rFonts w:eastAsia="黑体"/>
          <w:color w:val="auto"/>
          <w:sz w:val="32"/>
          <w:szCs w:val="32"/>
          <w:highlight w:val="none"/>
        </w:rPr>
        <w:t>绩效评价指标分析</w:t>
      </w:r>
    </w:p>
    <w:p w14:paraId="610781B5">
      <w:pPr>
        <w:pStyle w:val="2"/>
        <w:keepLines w:val="0"/>
        <w:pageBreakBefore w:val="0"/>
        <w:kinsoku/>
        <w:wordWrap/>
        <w:overflowPunct/>
        <w:topLinePunct w:val="0"/>
        <w:autoSpaceDE/>
        <w:autoSpaceDN/>
        <w:bidi w:val="0"/>
        <w:adjustRightInd/>
        <w:spacing w:before="0" w:after="0" w:line="560" w:lineRule="exact"/>
        <w:ind w:firstLine="641" w:firstLineChars="200"/>
        <w:jc w:val="both"/>
        <w:textAlignment w:val="auto"/>
        <w:rPr>
          <w:color w:val="auto"/>
          <w:highlight w:val="none"/>
        </w:rPr>
      </w:pPr>
      <w:r>
        <w:rPr>
          <w:rFonts w:ascii="Times New Roman" w:hAnsi="Times New Roman" w:eastAsia="楷体_GB2312"/>
          <w:color w:val="auto"/>
          <w:highlight w:val="none"/>
        </w:rPr>
        <w:t>（一）项目决策情况</w:t>
      </w:r>
    </w:p>
    <w:p w14:paraId="6C38A690">
      <w:pPr>
        <w:pStyle w:val="3"/>
        <w:keepNext/>
        <w:keepLines w:val="0"/>
        <w:pageBreakBefore w:val="0"/>
        <w:widowControl/>
        <w:numPr>
          <w:ilvl w:val="0"/>
          <w:numId w:val="6"/>
        </w:numPr>
        <w:kinsoku/>
        <w:wordWrap/>
        <w:overflowPunct/>
        <w:topLinePunct w:val="0"/>
        <w:autoSpaceDE/>
        <w:autoSpaceDN/>
        <w:bidi w:val="0"/>
        <w:adjustRightInd/>
        <w:snapToGrid/>
        <w:spacing w:before="0" w:after="0" w:line="560" w:lineRule="exact"/>
        <w:ind w:leftChars="0"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立项依据充分性</w:t>
      </w:r>
    </w:p>
    <w:p w14:paraId="102DD2E1">
      <w:pPr>
        <w:keepLines w:val="0"/>
        <w:pageBreakBefore w:val="0"/>
        <w:kinsoku/>
        <w:wordWrap/>
        <w:overflowPunct/>
        <w:topLinePunct w:val="0"/>
        <w:autoSpaceDE/>
        <w:autoSpaceDN/>
        <w:bidi w:val="0"/>
        <w:adjustRightInd/>
        <w:spacing w:line="54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根据《中华人民共和国预算法</w:t>
      </w:r>
      <w:r>
        <w:rPr>
          <w:rFonts w:hint="eastAsia" w:eastAsia="仿宋_GB2312"/>
          <w:color w:val="auto"/>
          <w:sz w:val="32"/>
          <w:szCs w:val="32"/>
          <w:highlight w:val="none"/>
          <w:lang w:eastAsia="zh-CN"/>
        </w:rPr>
        <w:t>》《</w:t>
      </w:r>
      <w:r>
        <w:rPr>
          <w:rFonts w:hint="eastAsia" w:eastAsia="仿宋_GB2312"/>
          <w:color w:val="auto"/>
          <w:sz w:val="32"/>
          <w:szCs w:val="32"/>
          <w:highlight w:val="none"/>
        </w:rPr>
        <w:t>中华人民共和国政府采购法</w:t>
      </w:r>
      <w:r>
        <w:rPr>
          <w:rFonts w:hint="eastAsia" w:eastAsia="仿宋_GB2312"/>
          <w:color w:val="auto"/>
          <w:sz w:val="32"/>
          <w:szCs w:val="32"/>
          <w:highlight w:val="none"/>
          <w:lang w:eastAsia="zh-CN"/>
        </w:rPr>
        <w:t>》《</w:t>
      </w:r>
      <w:r>
        <w:rPr>
          <w:rFonts w:hint="eastAsia" w:eastAsia="仿宋_GB2312"/>
          <w:color w:val="auto"/>
          <w:sz w:val="32"/>
          <w:szCs w:val="32"/>
          <w:highlight w:val="none"/>
        </w:rPr>
        <w:t>中华人民共和国政府采购法实施条例（中华人民共和国国务院令 第658号）》，</w:t>
      </w:r>
      <w:r>
        <w:rPr>
          <w:rFonts w:hint="eastAsia" w:ascii="仿宋_GB2312" w:hAnsi="仿宋_GB2312" w:eastAsia="仿宋_GB2312" w:cs="仿宋_GB2312"/>
          <w:color w:val="auto"/>
          <w:sz w:val="32"/>
          <w:szCs w:val="32"/>
          <w:highlight w:val="none"/>
        </w:rPr>
        <w:t>项目立项符合法律法规、相关政策及部门职责，能反映和考核项目立项依据情况，项目申请、设立过程符合相关要求</w:t>
      </w:r>
      <w:r>
        <w:rPr>
          <w:rFonts w:hint="eastAsia" w:eastAsia="仿宋_GB2312"/>
          <w:color w:val="auto"/>
          <w:sz w:val="32"/>
          <w:szCs w:val="32"/>
          <w:highlight w:val="none"/>
          <w:lang w:eastAsia="zh-CN"/>
        </w:rPr>
        <w:t>。</w:t>
      </w:r>
      <w:r>
        <w:rPr>
          <w:rFonts w:hint="eastAsia" w:eastAsia="仿宋_GB2312"/>
          <w:color w:val="auto"/>
          <w:sz w:val="32"/>
          <w:szCs w:val="32"/>
          <w:highlight w:val="none"/>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eastAsia="仿宋_GB2312"/>
          <w:color w:val="auto"/>
          <w:sz w:val="32"/>
          <w:szCs w:val="32"/>
          <w:highlight w:val="none"/>
          <w:lang w:eastAsia="zh-CN"/>
        </w:rPr>
        <w:t>未</w:t>
      </w:r>
      <w:r>
        <w:rPr>
          <w:rFonts w:hint="eastAsia" w:eastAsia="仿宋_GB2312"/>
          <w:color w:val="auto"/>
          <w:sz w:val="32"/>
          <w:szCs w:val="32"/>
          <w:highlight w:val="none"/>
        </w:rPr>
        <w:t>与相关部门同类项目或部门内部相关项目重复。</w:t>
      </w:r>
    </w:p>
    <w:p w14:paraId="12CB6948">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2、立项程序规范性</w:t>
      </w:r>
    </w:p>
    <w:p w14:paraId="419262D4">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项目按照规定的程序申请设立；审批文件、材料符合相关要求；事前已经过必要的可行性研究、专家论证、风险评估、绩效评估、集体决策</w:t>
      </w:r>
      <w:r>
        <w:rPr>
          <w:rFonts w:hint="eastAsia" w:eastAsia="仿宋_GB2312"/>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保障了程序的规范性。</w:t>
      </w:r>
    </w:p>
    <w:p w14:paraId="05B6852B">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3、绩效目标合理性</w:t>
      </w:r>
    </w:p>
    <w:p w14:paraId="2C1BC400">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lang w:eastAsia="zh-CN"/>
        </w:rPr>
        <w:t>医院政府采购</w:t>
      </w:r>
      <w:r>
        <w:rPr>
          <w:rFonts w:hint="eastAsia" w:eastAsia="仿宋_GB2312"/>
          <w:color w:val="auto"/>
          <w:sz w:val="32"/>
          <w:szCs w:val="32"/>
          <w:highlight w:val="none"/>
        </w:rPr>
        <w:t>项目设立了项目绩效目标，与</w:t>
      </w:r>
      <w:r>
        <w:rPr>
          <w:rFonts w:hint="eastAsia" w:eastAsia="仿宋_GB2312"/>
          <w:color w:val="auto"/>
          <w:sz w:val="32"/>
          <w:szCs w:val="32"/>
          <w:highlight w:val="none"/>
          <w:lang w:eastAsia="zh-CN"/>
        </w:rPr>
        <w:t>医院政府采购</w:t>
      </w:r>
      <w:r>
        <w:rPr>
          <w:rFonts w:hint="eastAsia" w:eastAsia="仿宋_GB2312"/>
          <w:color w:val="auto"/>
          <w:sz w:val="32"/>
          <w:szCs w:val="32"/>
          <w:highlight w:val="none"/>
        </w:rPr>
        <w:t>项目</w:t>
      </w:r>
      <w:r>
        <w:rPr>
          <w:rFonts w:hint="eastAsia" w:eastAsia="仿宋_GB2312"/>
          <w:color w:val="auto"/>
          <w:sz w:val="32"/>
          <w:szCs w:val="32"/>
          <w:highlight w:val="none"/>
          <w:lang w:eastAsia="zh-CN"/>
        </w:rPr>
        <w:t>工作内容</w:t>
      </w:r>
      <w:r>
        <w:rPr>
          <w:rFonts w:hint="eastAsia" w:eastAsia="仿宋_GB2312"/>
          <w:color w:val="auto"/>
          <w:sz w:val="32"/>
          <w:szCs w:val="32"/>
          <w:highlight w:val="none"/>
        </w:rPr>
        <w:t>具有相关性，项目的预期产出效益和效果也均能符合正常的业绩水平，并且与预算确定的项目投资额或资金量相匹配。</w:t>
      </w:r>
    </w:p>
    <w:p w14:paraId="0E8E62FF">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4、绩效指标明确性</w:t>
      </w:r>
    </w:p>
    <w:p w14:paraId="63B3828C">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bookmarkStart w:id="7" w:name="_Hlk68699917"/>
      <w:r>
        <w:rPr>
          <w:rFonts w:hint="eastAsia" w:eastAsia="仿宋_GB2312"/>
          <w:color w:val="auto"/>
          <w:sz w:val="32"/>
          <w:szCs w:val="32"/>
          <w:highlight w:val="none"/>
          <w:lang w:eastAsia="zh-CN"/>
        </w:rPr>
        <w:t>医院政府采购</w:t>
      </w:r>
      <w:r>
        <w:rPr>
          <w:rFonts w:hint="eastAsia" w:eastAsia="仿宋_GB2312"/>
          <w:color w:val="auto"/>
          <w:sz w:val="32"/>
          <w:szCs w:val="32"/>
          <w:highlight w:val="none"/>
        </w:rPr>
        <w:t>项目将项目绩效目标细化分解为具体的绩效指标，一级指标共</w:t>
      </w:r>
      <w:r>
        <w:rPr>
          <w:rFonts w:hint="eastAsia" w:eastAsia="仿宋_GB2312"/>
          <w:color w:val="auto"/>
          <w:sz w:val="32"/>
          <w:szCs w:val="32"/>
          <w:highlight w:val="none"/>
          <w:lang w:val="en-US" w:eastAsia="zh-CN"/>
        </w:rPr>
        <w:t>3</w:t>
      </w:r>
      <w:r>
        <w:rPr>
          <w:rFonts w:hint="eastAsia" w:eastAsia="仿宋_GB2312"/>
          <w:color w:val="auto"/>
          <w:sz w:val="32"/>
          <w:szCs w:val="32"/>
          <w:highlight w:val="none"/>
        </w:rPr>
        <w:t>条，二级指标共</w:t>
      </w:r>
      <w:r>
        <w:rPr>
          <w:rFonts w:hint="eastAsia" w:eastAsia="仿宋_GB2312"/>
          <w:color w:val="auto"/>
          <w:sz w:val="32"/>
          <w:szCs w:val="32"/>
          <w:highlight w:val="none"/>
          <w:lang w:val="en-US" w:eastAsia="zh-CN"/>
        </w:rPr>
        <w:t>6</w:t>
      </w:r>
      <w:r>
        <w:rPr>
          <w:rFonts w:hint="eastAsia" w:eastAsia="仿宋_GB2312"/>
          <w:color w:val="auto"/>
          <w:sz w:val="32"/>
          <w:szCs w:val="32"/>
          <w:highlight w:val="none"/>
        </w:rPr>
        <w:t>条，三级指标共</w:t>
      </w:r>
      <w:r>
        <w:rPr>
          <w:rFonts w:hint="eastAsia" w:eastAsia="仿宋_GB2312"/>
          <w:color w:val="auto"/>
          <w:sz w:val="32"/>
          <w:szCs w:val="32"/>
          <w:highlight w:val="none"/>
          <w:lang w:val="en-US" w:eastAsia="zh-CN"/>
        </w:rPr>
        <w:t>15</w:t>
      </w:r>
      <w:r>
        <w:rPr>
          <w:rFonts w:hint="eastAsia" w:eastAsia="仿宋_GB2312"/>
          <w:color w:val="auto"/>
          <w:sz w:val="32"/>
          <w:szCs w:val="32"/>
          <w:highlight w:val="none"/>
        </w:rPr>
        <w:t>条，其中量化指标条数共</w:t>
      </w:r>
      <w:r>
        <w:rPr>
          <w:rFonts w:hint="eastAsia" w:eastAsia="仿宋_GB2312"/>
          <w:color w:val="auto"/>
          <w:sz w:val="32"/>
          <w:szCs w:val="32"/>
          <w:highlight w:val="none"/>
          <w:lang w:val="en-US" w:eastAsia="zh-CN"/>
        </w:rPr>
        <w:t>14</w:t>
      </w:r>
      <w:r>
        <w:rPr>
          <w:rFonts w:hint="eastAsia" w:eastAsia="仿宋_GB2312"/>
          <w:color w:val="auto"/>
          <w:sz w:val="32"/>
          <w:szCs w:val="32"/>
          <w:highlight w:val="none"/>
        </w:rPr>
        <w:t>条，所有绩效指标均通过清晰、可衡量的指标值予以体现，并且做到了与项目目标任务数或计划数相对应。</w:t>
      </w:r>
      <w:bookmarkEnd w:id="7"/>
    </w:p>
    <w:p w14:paraId="26FFA7DB">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5、预算编制科学性</w:t>
      </w:r>
    </w:p>
    <w:p w14:paraId="20F679AE">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预算编制经过科学论证；预算内容与项目内容匹配；预算额度测算依据充分，按照标准编制；预算确定的项目投资额或资金量与工作任务相匹配。</w:t>
      </w:r>
    </w:p>
    <w:p w14:paraId="37739E55">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6、资金分配合理性</w:t>
      </w:r>
    </w:p>
    <w:p w14:paraId="35F4870F">
      <w:pPr>
        <w:keepLines w:val="0"/>
        <w:pageBreakBefore w:val="0"/>
        <w:kinsoku/>
        <w:wordWrap/>
        <w:overflowPunct/>
        <w:topLinePunct w:val="0"/>
        <w:autoSpaceDE/>
        <w:autoSpaceDN/>
        <w:bidi w:val="0"/>
        <w:adjustRightIn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预算资金分配依据充分；资金分配额度合理，与项目单位实际相适应。</w:t>
      </w:r>
    </w:p>
    <w:p w14:paraId="5AFEBFE6">
      <w:pPr>
        <w:pStyle w:val="2"/>
        <w:keepLines w:val="0"/>
        <w:pageBreakBefore w:val="0"/>
        <w:numPr>
          <w:ilvl w:val="0"/>
          <w:numId w:val="7"/>
        </w:numPr>
        <w:kinsoku/>
        <w:wordWrap/>
        <w:overflowPunct/>
        <w:topLinePunct w:val="0"/>
        <w:autoSpaceDE/>
        <w:autoSpaceDN/>
        <w:bidi w:val="0"/>
        <w:adjustRightInd/>
        <w:spacing w:before="0" w:after="0" w:line="560" w:lineRule="exact"/>
        <w:ind w:firstLine="641" w:firstLineChars="200"/>
        <w:jc w:val="both"/>
        <w:textAlignment w:val="auto"/>
        <w:rPr>
          <w:rFonts w:hint="eastAsia" w:ascii="楷体" w:hAnsi="楷体" w:eastAsia="楷体" w:cs="楷体"/>
          <w:color w:val="auto"/>
          <w:highlight w:val="none"/>
        </w:rPr>
      </w:pPr>
      <w:r>
        <w:rPr>
          <w:rFonts w:hint="eastAsia" w:ascii="楷体" w:hAnsi="楷体" w:eastAsia="楷体" w:cs="楷体"/>
          <w:color w:val="auto"/>
          <w:highlight w:val="none"/>
        </w:rPr>
        <w:t>项目过程情况</w:t>
      </w:r>
    </w:p>
    <w:p w14:paraId="6A5F3F12">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1、资金到位率：</w:t>
      </w:r>
    </w:p>
    <w:p w14:paraId="37520CEB">
      <w:pPr>
        <w:keepLines w:val="0"/>
        <w:pageBreakBefore w:val="0"/>
        <w:kinsoku/>
        <w:wordWrap/>
        <w:overflowPunct/>
        <w:topLinePunct w:val="0"/>
        <w:autoSpaceDE/>
        <w:autoSpaceDN/>
        <w:bidi w:val="0"/>
        <w:adjustRightInd/>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预算资金</w:t>
      </w:r>
      <w:r>
        <w:rPr>
          <w:rFonts w:hint="default" w:ascii="Times New Roman" w:hAnsi="Times New Roman" w:eastAsia="仿宋_GB2312" w:cs="Times New Roman"/>
          <w:color w:val="auto"/>
          <w:sz w:val="32"/>
          <w:szCs w:val="32"/>
          <w:highlight w:val="none"/>
          <w:lang w:val="en-US" w:eastAsia="zh-CN"/>
        </w:rPr>
        <w:t>42250</w:t>
      </w:r>
      <w:r>
        <w:rPr>
          <w:rFonts w:hint="default" w:ascii="Times New Roman" w:hAnsi="Times New Roman" w:eastAsia="仿宋_GB2312" w:cs="Times New Roman"/>
          <w:color w:val="auto"/>
          <w:sz w:val="32"/>
          <w:szCs w:val="32"/>
          <w:highlight w:val="none"/>
        </w:rPr>
        <w:t>万元，实际到位资金</w:t>
      </w:r>
      <w:r>
        <w:rPr>
          <w:rFonts w:hint="default" w:ascii="Times New Roman" w:hAnsi="Times New Roman" w:eastAsia="仿宋_GB2312" w:cs="Times New Roman"/>
          <w:color w:val="auto"/>
          <w:sz w:val="32"/>
          <w:szCs w:val="32"/>
          <w:highlight w:val="none"/>
          <w:lang w:val="en-US" w:eastAsia="zh-CN"/>
        </w:rPr>
        <w:t>50291.48</w:t>
      </w:r>
      <w:r>
        <w:rPr>
          <w:rFonts w:hint="default" w:ascii="Times New Roman" w:hAnsi="Times New Roman" w:eastAsia="仿宋_GB2312" w:cs="Times New Roman"/>
          <w:color w:val="auto"/>
          <w:sz w:val="32"/>
          <w:szCs w:val="32"/>
          <w:highlight w:val="none"/>
        </w:rPr>
        <w:t>万元，资金到位率</w:t>
      </w:r>
      <w:r>
        <w:rPr>
          <w:rFonts w:hint="default" w:ascii="Times New Roman" w:hAnsi="Times New Roman" w:eastAsia="仿宋_GB2312" w:cs="Times New Roman"/>
          <w:color w:val="auto"/>
          <w:sz w:val="32"/>
          <w:szCs w:val="32"/>
          <w:highlight w:val="none"/>
          <w:lang w:val="en-US" w:eastAsia="zh-CN"/>
        </w:rPr>
        <w:t>119.03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577B3094">
      <w:pPr>
        <w:keepLines w:val="0"/>
        <w:pageBreakBefore w:val="0"/>
        <w:kinsoku/>
        <w:wordWrap/>
        <w:overflowPunct/>
        <w:topLinePunct w:val="0"/>
        <w:autoSpaceDE/>
        <w:autoSpaceDN/>
        <w:bidi w:val="0"/>
        <w:adjustRightInd/>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2、预算执行率</w:t>
      </w:r>
    </w:p>
    <w:p w14:paraId="1926AC13">
      <w:pPr>
        <w:keepLines w:val="0"/>
        <w:pageBreakBefore w:val="0"/>
        <w:kinsoku/>
        <w:wordWrap/>
        <w:overflowPunct/>
        <w:topLinePunct w:val="0"/>
        <w:autoSpaceDE/>
        <w:autoSpaceDN/>
        <w:bidi w:val="0"/>
        <w:adjustRightInd/>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年初预算数</w:t>
      </w:r>
      <w:r>
        <w:rPr>
          <w:rFonts w:hint="default" w:ascii="Times New Roman" w:hAnsi="Times New Roman" w:eastAsia="仿宋_GB2312" w:cs="Times New Roman"/>
          <w:color w:val="auto"/>
          <w:sz w:val="32"/>
          <w:szCs w:val="32"/>
          <w:highlight w:val="none"/>
          <w:lang w:val="en-US" w:eastAsia="zh-CN"/>
        </w:rPr>
        <w:t>42250</w:t>
      </w:r>
      <w:r>
        <w:rPr>
          <w:rFonts w:hint="default" w:ascii="Times New Roman" w:hAnsi="Times New Roman" w:eastAsia="仿宋_GB2312" w:cs="Times New Roman"/>
          <w:color w:val="auto"/>
          <w:sz w:val="32"/>
          <w:szCs w:val="32"/>
          <w:highlight w:val="none"/>
        </w:rPr>
        <w:t>万元，全年预算数</w:t>
      </w:r>
      <w:r>
        <w:rPr>
          <w:rFonts w:hint="default" w:ascii="Times New Roman" w:hAnsi="Times New Roman" w:eastAsia="仿宋_GB2312" w:cs="Times New Roman"/>
          <w:color w:val="auto"/>
          <w:sz w:val="32"/>
          <w:szCs w:val="32"/>
          <w:highlight w:val="none"/>
          <w:lang w:val="en-US" w:eastAsia="zh-CN"/>
        </w:rPr>
        <w:t>42250</w:t>
      </w:r>
      <w:r>
        <w:rPr>
          <w:rFonts w:hint="default" w:ascii="Times New Roman" w:hAnsi="Times New Roman" w:eastAsia="仿宋_GB2312" w:cs="Times New Roman"/>
          <w:color w:val="auto"/>
          <w:sz w:val="32"/>
          <w:szCs w:val="32"/>
          <w:highlight w:val="none"/>
        </w:rPr>
        <w:t>万元，全年执行数</w:t>
      </w:r>
      <w:r>
        <w:rPr>
          <w:rFonts w:hint="default" w:ascii="Times New Roman" w:hAnsi="Times New Roman" w:eastAsia="仿宋_GB2312" w:cs="Times New Roman"/>
          <w:color w:val="auto"/>
          <w:sz w:val="32"/>
          <w:szCs w:val="32"/>
          <w:highlight w:val="none"/>
          <w:lang w:val="en-US" w:eastAsia="zh-CN"/>
        </w:rPr>
        <w:t>50291.48</w:t>
      </w:r>
      <w:r>
        <w:rPr>
          <w:rFonts w:hint="default" w:ascii="Times New Roman" w:hAnsi="Times New Roman" w:eastAsia="仿宋_GB2312" w:cs="Times New Roman"/>
          <w:color w:val="auto"/>
          <w:sz w:val="32"/>
          <w:szCs w:val="32"/>
          <w:highlight w:val="none"/>
        </w:rPr>
        <w:t>万元，预算执行率为</w:t>
      </w:r>
      <w:r>
        <w:rPr>
          <w:rFonts w:hint="default" w:ascii="Times New Roman" w:hAnsi="Times New Roman" w:eastAsia="仿宋_GB2312" w:cs="Times New Roman"/>
          <w:color w:val="auto"/>
          <w:sz w:val="32"/>
          <w:szCs w:val="32"/>
          <w:highlight w:val="none"/>
          <w:lang w:val="en-US" w:eastAsia="zh-CN"/>
        </w:rPr>
        <w:t>119.03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20AE25F7">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3、资金使用合规性</w:t>
      </w:r>
    </w:p>
    <w:p w14:paraId="7F681C30">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符合国家财经法规和财务管理制度以及有关专项资金管理办法的规定；资金的拨付有完整的审批程序和手续；符合项目预算批复或合同规定的用途；</w:t>
      </w:r>
      <w:r>
        <w:rPr>
          <w:rFonts w:hint="eastAsia" w:eastAsia="仿宋_GB2312"/>
          <w:color w:val="auto"/>
          <w:sz w:val="32"/>
          <w:szCs w:val="32"/>
          <w:highlight w:val="none"/>
          <w:lang w:eastAsia="zh-CN"/>
        </w:rPr>
        <w:t>不</w:t>
      </w:r>
      <w:r>
        <w:rPr>
          <w:rFonts w:hint="eastAsia" w:eastAsia="仿宋_GB2312"/>
          <w:color w:val="auto"/>
          <w:sz w:val="32"/>
          <w:szCs w:val="32"/>
          <w:highlight w:val="none"/>
        </w:rPr>
        <w:t>存在截留、挤占、挪用、虚列支出等情况。</w:t>
      </w:r>
    </w:p>
    <w:p w14:paraId="470835CF">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4、管理制度健全性</w:t>
      </w:r>
    </w:p>
    <w:p w14:paraId="309BC2C0">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已制定或具有相应的财务和业务管理制度；财务和业务管理制度合法、合规、完整。</w:t>
      </w:r>
    </w:p>
    <w:p w14:paraId="474F1360">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5、制度执行有效性</w:t>
      </w:r>
    </w:p>
    <w:p w14:paraId="1BB1B619">
      <w:pPr>
        <w:keepLines w:val="0"/>
        <w:pageBreakBefore w:val="0"/>
        <w:kinsoku/>
        <w:wordWrap/>
        <w:overflowPunct/>
        <w:topLinePunct w:val="0"/>
        <w:autoSpaceDE/>
        <w:autoSpaceDN/>
        <w:bidi w:val="0"/>
        <w:adjustRightIn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14:paraId="4DC97D20">
      <w:pPr>
        <w:pStyle w:val="9"/>
        <w:keepLines w:val="0"/>
        <w:pageBreakBefore w:val="0"/>
        <w:numPr>
          <w:ilvl w:val="0"/>
          <w:numId w:val="7"/>
        </w:numPr>
        <w:kinsoku/>
        <w:wordWrap/>
        <w:overflowPunct/>
        <w:topLinePunct w:val="0"/>
        <w:autoSpaceDE/>
        <w:autoSpaceDN/>
        <w:bidi w:val="0"/>
        <w:adjustRightInd/>
        <w:spacing w:line="560" w:lineRule="exact"/>
        <w:ind w:firstLine="641" w:firstLineChars="200"/>
        <w:textAlignment w:val="auto"/>
        <w:rPr>
          <w:rFonts w:eastAsia="楷体_GB2312"/>
          <w:b/>
          <w:bCs/>
          <w:color w:val="auto"/>
          <w:sz w:val="32"/>
          <w:szCs w:val="32"/>
          <w:highlight w:val="none"/>
        </w:rPr>
      </w:pPr>
      <w:r>
        <w:rPr>
          <w:rFonts w:eastAsia="楷体_GB2312"/>
          <w:b/>
          <w:bCs/>
          <w:color w:val="auto"/>
          <w:sz w:val="32"/>
          <w:szCs w:val="32"/>
          <w:highlight w:val="none"/>
        </w:rPr>
        <w:t>项目产出</w:t>
      </w:r>
      <w:r>
        <w:rPr>
          <w:rFonts w:hint="eastAsia" w:eastAsia="楷体_GB2312"/>
          <w:b/>
          <w:bCs/>
          <w:color w:val="auto"/>
          <w:sz w:val="32"/>
          <w:szCs w:val="32"/>
          <w:highlight w:val="none"/>
          <w:lang w:val="en-US" w:eastAsia="zh-CN"/>
        </w:rPr>
        <w:t>情况</w:t>
      </w:r>
    </w:p>
    <w:p w14:paraId="33648AE7">
      <w:pPr>
        <w:keepLines w:val="0"/>
        <w:pageBreakBefore w:val="0"/>
        <w:kinsoku/>
        <w:wordWrap/>
        <w:overflowPunct/>
        <w:topLinePunct w:val="0"/>
        <w:autoSpaceDE/>
        <w:autoSpaceDN/>
        <w:bidi w:val="0"/>
        <w:adjustRightInd/>
        <w:snapToGrid w:val="0"/>
        <w:spacing w:line="560" w:lineRule="exact"/>
        <w:ind w:firstLine="624" w:firstLineChars="200"/>
        <w:textAlignment w:val="auto"/>
        <w:rPr>
          <w:rStyle w:val="13"/>
          <w:rFonts w:eastAsia="仿宋_GB2312"/>
          <w:b w:val="0"/>
          <w:bCs/>
          <w:color w:val="auto"/>
          <w:spacing w:val="-4"/>
          <w:sz w:val="32"/>
          <w:szCs w:val="32"/>
          <w:highlight w:val="none"/>
        </w:rPr>
      </w:pPr>
      <w:r>
        <w:rPr>
          <w:rStyle w:val="13"/>
          <w:rFonts w:hint="eastAsia" w:eastAsia="仿宋_GB2312"/>
          <w:b w:val="0"/>
          <w:bCs/>
          <w:color w:val="auto"/>
          <w:spacing w:val="-4"/>
          <w:sz w:val="32"/>
          <w:szCs w:val="32"/>
          <w:highlight w:val="none"/>
          <w:lang w:val="en-US" w:eastAsia="zh-CN"/>
        </w:rPr>
        <w:t>1、</w:t>
      </w:r>
      <w:r>
        <w:rPr>
          <w:rStyle w:val="13"/>
          <w:rFonts w:eastAsia="仿宋_GB2312"/>
          <w:b w:val="0"/>
          <w:bCs/>
          <w:color w:val="auto"/>
          <w:spacing w:val="-4"/>
          <w:sz w:val="32"/>
          <w:szCs w:val="32"/>
          <w:highlight w:val="none"/>
        </w:rPr>
        <w:t>数量指标方面：</w:t>
      </w:r>
    </w:p>
    <w:p w14:paraId="3BB285D3">
      <w:pPr>
        <w:keepNext w:val="0"/>
        <w:keepLines w:val="0"/>
        <w:pageBreakBefore w:val="0"/>
        <w:kinsoku/>
        <w:wordWrap/>
        <w:overflowPunct/>
        <w:topLinePunct w:val="0"/>
        <w:autoSpaceDE/>
        <w:autoSpaceDN/>
        <w:bidi w:val="0"/>
        <w:adjustRightInd/>
        <w:snapToGrid w:val="0"/>
        <w:spacing w:line="560" w:lineRule="exact"/>
        <w:ind w:firstLine="624" w:firstLineChars="200"/>
        <w:textAlignment w:val="auto"/>
        <w:rPr>
          <w:rStyle w:val="13"/>
          <w:rFonts w:hint="default" w:ascii="Times New Roman" w:hAnsi="Times New Roman" w:eastAsia="仿宋_GB2312" w:cs="Times New Roman"/>
          <w:b w:val="0"/>
          <w:color w:val="auto"/>
          <w:spacing w:val="-4"/>
          <w:sz w:val="32"/>
          <w:szCs w:val="32"/>
          <w:highlight w:val="none"/>
        </w:rPr>
      </w:pPr>
      <w:r>
        <w:rPr>
          <w:rStyle w:val="13"/>
          <w:rFonts w:hint="default" w:ascii="Times New Roman" w:hAnsi="Times New Roman" w:eastAsia="仿宋_GB2312" w:cs="Times New Roman"/>
          <w:b w:val="0"/>
          <w:color w:val="auto"/>
          <w:spacing w:val="-4"/>
          <w:sz w:val="32"/>
          <w:szCs w:val="32"/>
          <w:highlight w:val="none"/>
        </w:rPr>
        <w:t>指标1：</w:t>
      </w:r>
      <w:r>
        <w:rPr>
          <w:rFonts w:hint="default" w:ascii="Times New Roman" w:hAnsi="Times New Roman" w:eastAsia="仿宋_GB2312" w:cs="Times New Roman"/>
          <w:b w:val="0"/>
          <w:bCs w:val="0"/>
          <w:color w:val="auto"/>
          <w:kern w:val="2"/>
          <w:sz w:val="32"/>
          <w:szCs w:val="32"/>
          <w:highlight w:val="none"/>
          <w:lang w:val="en-US" w:eastAsia="zh-CN" w:bidi="ar-SA"/>
        </w:rPr>
        <w:t>房屋改造面积指标，指标值为≥9000平方米，实际完成值9000平方米，指标完成率100%</w:t>
      </w:r>
      <w:r>
        <w:rPr>
          <w:rStyle w:val="13"/>
          <w:rFonts w:hint="default" w:ascii="Times New Roman" w:hAnsi="Times New Roman" w:eastAsia="仿宋_GB2312" w:cs="Times New Roman"/>
          <w:b w:val="0"/>
          <w:color w:val="auto"/>
          <w:spacing w:val="-4"/>
          <w:sz w:val="32"/>
          <w:szCs w:val="32"/>
          <w:highlight w:val="none"/>
        </w:rPr>
        <w:t>；</w:t>
      </w:r>
    </w:p>
    <w:p w14:paraId="614346E6">
      <w:pPr>
        <w:pStyle w:val="2"/>
        <w:keepNext w:val="0"/>
        <w:keepLines w:val="0"/>
        <w:pageBreakBefore w:val="0"/>
        <w:numPr>
          <w:ilvl w:val="0"/>
          <w:numId w:val="0"/>
        </w:numPr>
        <w:kinsoku/>
        <w:wordWrap/>
        <w:overflowPunct/>
        <w:topLinePunct w:val="0"/>
        <w:autoSpaceDE/>
        <w:autoSpaceDN/>
        <w:bidi w:val="0"/>
        <w:adjustRightIn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lang w:val="en-US" w:eastAsia="zh-CN"/>
        </w:rPr>
        <w:t>指标2：</w:t>
      </w:r>
      <w:r>
        <w:rPr>
          <w:rFonts w:hint="default" w:ascii="Times New Roman" w:hAnsi="Times New Roman" w:eastAsia="仿宋_GB2312" w:cs="Times New Roman"/>
          <w:b w:val="0"/>
          <w:bCs w:val="0"/>
          <w:color w:val="auto"/>
          <w:kern w:val="2"/>
          <w:sz w:val="32"/>
          <w:szCs w:val="32"/>
          <w:highlight w:val="none"/>
          <w:lang w:val="en-US" w:eastAsia="zh-CN" w:bidi="ar-SA"/>
        </w:rPr>
        <w:t>年门诊人次指标，指标值为≥40万人，实际完成值46.62万人，指标完成率116.55%；</w:t>
      </w:r>
    </w:p>
    <w:p w14:paraId="2D29B430">
      <w:pPr>
        <w:pStyle w:val="2"/>
        <w:keepNext w:val="0"/>
        <w:keepLines w:val="0"/>
        <w:pageBreakBefore w:val="0"/>
        <w:numPr>
          <w:ilvl w:val="0"/>
          <w:numId w:val="0"/>
        </w:numPr>
        <w:kinsoku/>
        <w:wordWrap/>
        <w:overflowPunct/>
        <w:topLinePunct w:val="0"/>
        <w:autoSpaceDE/>
        <w:autoSpaceDN/>
        <w:bidi w:val="0"/>
        <w:adjustRightIn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3：</w:t>
      </w:r>
      <w:r>
        <w:rPr>
          <w:rFonts w:hint="default" w:ascii="Times New Roman" w:hAnsi="Times New Roman" w:eastAsia="仿宋_GB2312" w:cs="Times New Roman"/>
          <w:b w:val="0"/>
          <w:bCs w:val="0"/>
          <w:color w:val="auto"/>
          <w:kern w:val="2"/>
          <w:sz w:val="32"/>
          <w:szCs w:val="32"/>
          <w:highlight w:val="none"/>
          <w:lang w:val="en-US" w:eastAsia="zh-CN" w:bidi="ar-SA"/>
        </w:rPr>
        <w:t>年住院人次指标，指标值为≥3.5万人，实际完成4.97万人，指标完成率142%，偏差原因是2023年呼吸类疾病高发，住院患者增加</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63687C78">
      <w:pPr>
        <w:pStyle w:val="2"/>
        <w:keepNext w:val="0"/>
        <w:keepLines w:val="0"/>
        <w:pageBreakBefore w:val="0"/>
        <w:numPr>
          <w:ilvl w:val="0"/>
          <w:numId w:val="0"/>
        </w:numPr>
        <w:kinsoku/>
        <w:wordWrap/>
        <w:overflowPunct/>
        <w:topLinePunct w:val="0"/>
        <w:autoSpaceDE/>
        <w:autoSpaceDN/>
        <w:bidi w:val="0"/>
        <w:adjustRightIn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4：</w:t>
      </w:r>
      <w:r>
        <w:rPr>
          <w:rFonts w:hint="default" w:ascii="Times New Roman" w:hAnsi="Times New Roman" w:eastAsia="仿宋_GB2312" w:cs="Times New Roman"/>
          <w:b w:val="0"/>
          <w:bCs w:val="0"/>
          <w:color w:val="auto"/>
          <w:kern w:val="2"/>
          <w:sz w:val="32"/>
          <w:szCs w:val="32"/>
          <w:highlight w:val="none"/>
          <w:lang w:val="en-US" w:eastAsia="zh-CN" w:bidi="ar-SA"/>
        </w:rPr>
        <w:t>设备购置数量指标，指标值为≥130个，实际完成值405个，指标完成率311.54%，偏差原因是为满足医疗需求，配置相关设备</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2C7FD569">
      <w:pPr>
        <w:pStyle w:val="2"/>
        <w:keepNext w:val="0"/>
        <w:keepLines w:val="0"/>
        <w:pageBreakBefore w:val="0"/>
        <w:numPr>
          <w:ilvl w:val="0"/>
          <w:numId w:val="0"/>
        </w:numPr>
        <w:kinsoku/>
        <w:wordWrap/>
        <w:overflowPunct/>
        <w:topLinePunct w:val="0"/>
        <w:autoSpaceDE/>
        <w:autoSpaceDN/>
        <w:bidi w:val="0"/>
        <w:adjustRightInd/>
        <w:spacing w:before="0" w:after="0" w:line="560" w:lineRule="exact"/>
        <w:ind w:firstLine="624" w:firstLineChars="200"/>
        <w:jc w:val="left"/>
        <w:textAlignment w:val="auto"/>
        <w:rPr>
          <w:rFonts w:hint="default" w:ascii="Times New Roman" w:hAnsi="Times New Roman" w:cs="Times New Roman"/>
          <w:highlight w:val="none"/>
          <w:lang w:val="en-US" w:eastAsia="zh-CN"/>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5：</w:t>
      </w:r>
      <w:r>
        <w:rPr>
          <w:rFonts w:hint="default" w:ascii="Times New Roman" w:hAnsi="Times New Roman" w:eastAsia="仿宋_GB2312" w:cs="Times New Roman"/>
          <w:b w:val="0"/>
          <w:bCs w:val="0"/>
          <w:color w:val="auto"/>
          <w:kern w:val="2"/>
          <w:sz w:val="32"/>
          <w:szCs w:val="32"/>
          <w:highlight w:val="none"/>
          <w:lang w:val="en-US" w:eastAsia="zh-CN" w:bidi="ar-SA"/>
        </w:rPr>
        <w:t>软件购置数量指标，指标值为≥2个，实际完成值2个，指标完成率100%;</w:t>
      </w:r>
    </w:p>
    <w:p w14:paraId="758FB2B5">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Style w:val="15"/>
          <w:rFonts w:hint="default" w:ascii="Times New Roman" w:hAnsi="Times New Roman" w:cs="Times New Roman"/>
          <w:b w:val="0"/>
          <w:bCs w:val="0"/>
          <w:color w:val="auto"/>
          <w:highlight w:val="none"/>
        </w:rPr>
      </w:pPr>
      <w:r>
        <w:rPr>
          <w:rStyle w:val="15"/>
          <w:rFonts w:hint="default" w:ascii="Times New Roman" w:hAnsi="Times New Roman" w:eastAsia="仿宋_GB2312" w:cs="Times New Roman"/>
          <w:b w:val="0"/>
          <w:bCs w:val="0"/>
          <w:color w:val="auto"/>
          <w:highlight w:val="none"/>
          <w:lang w:val="en-US" w:eastAsia="zh-CN"/>
        </w:rPr>
        <w:t>2、</w:t>
      </w:r>
      <w:r>
        <w:rPr>
          <w:rStyle w:val="15"/>
          <w:rFonts w:hint="default" w:ascii="Times New Roman" w:hAnsi="Times New Roman" w:cs="Times New Roman"/>
          <w:b w:val="0"/>
          <w:bCs w:val="0"/>
          <w:color w:val="auto"/>
          <w:highlight w:val="none"/>
        </w:rPr>
        <w:t>质量指标方面：</w:t>
      </w:r>
    </w:p>
    <w:p w14:paraId="293522F0">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指标1：</w:t>
      </w:r>
      <w:r>
        <w:rPr>
          <w:rFonts w:hint="default" w:ascii="Times New Roman" w:hAnsi="Times New Roman" w:eastAsia="仿宋_GB2312" w:cs="Times New Roman"/>
          <w:b w:val="0"/>
          <w:bCs w:val="0"/>
          <w:color w:val="auto"/>
          <w:kern w:val="2"/>
          <w:sz w:val="32"/>
          <w:szCs w:val="32"/>
          <w:highlight w:val="none"/>
          <w:lang w:val="en-US" w:eastAsia="zh-CN" w:bidi="ar-SA"/>
        </w:rPr>
        <w:t>工程验收合格率指标，指标值为=100%，实际完成值100%，指标完成率100%;</w:t>
      </w:r>
    </w:p>
    <w:p w14:paraId="59CAFACD">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2</w:t>
      </w:r>
      <w:r>
        <w:rPr>
          <w:rStyle w:val="13"/>
          <w:rFonts w:hint="default" w:ascii="Times New Roman" w:hAnsi="Times New Roman" w:eastAsia="仿宋_GB2312" w:cs="Times New Roman"/>
          <w:b w:val="0"/>
          <w:bCs/>
          <w:color w:val="auto"/>
          <w:spacing w:val="-4"/>
          <w:sz w:val="32"/>
          <w:szCs w:val="32"/>
          <w:highlight w:val="none"/>
        </w:rPr>
        <w:t>：设备维护合格率</w:t>
      </w:r>
      <w:r>
        <w:rPr>
          <w:rStyle w:val="13"/>
          <w:rFonts w:hint="default" w:ascii="Times New Roman" w:hAnsi="Times New Roman" w:eastAsia="仿宋_GB2312" w:cs="Times New Roman"/>
          <w:b w:val="0"/>
          <w:bCs/>
          <w:color w:val="auto"/>
          <w:spacing w:val="-4"/>
          <w:sz w:val="32"/>
          <w:szCs w:val="32"/>
          <w:highlight w:val="none"/>
          <w:lang w:eastAsia="zh-CN"/>
        </w:rPr>
        <w:t>指标，指标值为</w:t>
      </w:r>
      <w:r>
        <w:rPr>
          <w:rStyle w:val="13"/>
          <w:rFonts w:hint="eastAsia" w:ascii="Times New Roman" w:hAnsi="Times New Roman" w:eastAsia="仿宋_GB2312" w:cs="Times New Roman"/>
          <w:b w:val="0"/>
          <w:bCs/>
          <w:color w:val="auto"/>
          <w:spacing w:val="-4"/>
          <w:sz w:val="32"/>
          <w:szCs w:val="32"/>
          <w:highlight w:val="none"/>
          <w:lang w:eastAsia="zh-CN"/>
        </w:rPr>
        <w:t>〉</w:t>
      </w:r>
      <w:r>
        <w:rPr>
          <w:rStyle w:val="13"/>
          <w:rFonts w:hint="default" w:ascii="Times New Roman" w:hAnsi="Times New Roman" w:eastAsia="仿宋_GB2312" w:cs="Times New Roman"/>
          <w:b w:val="0"/>
          <w:bCs/>
          <w:color w:val="auto"/>
          <w:spacing w:val="-4"/>
          <w:sz w:val="32"/>
          <w:szCs w:val="32"/>
          <w:highlight w:val="none"/>
          <w:lang w:eastAsia="zh-CN"/>
        </w:rPr>
        <w:t>=95%，</w:t>
      </w:r>
      <w:r>
        <w:rPr>
          <w:rFonts w:hint="default" w:ascii="Times New Roman" w:hAnsi="Times New Roman" w:eastAsia="仿宋_GB2312" w:cs="Times New Roman"/>
          <w:b w:val="0"/>
          <w:bCs w:val="0"/>
          <w:color w:val="auto"/>
          <w:kern w:val="2"/>
          <w:sz w:val="32"/>
          <w:szCs w:val="32"/>
          <w:highlight w:val="none"/>
          <w:lang w:val="en-US" w:eastAsia="zh-CN" w:bidi="ar-SA"/>
        </w:rPr>
        <w:t>实际完成值100%，指标完成率100%;</w:t>
      </w:r>
    </w:p>
    <w:p w14:paraId="5E27B37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3</w:t>
      </w:r>
      <w:r>
        <w:rPr>
          <w:rStyle w:val="13"/>
          <w:rFonts w:hint="default" w:ascii="Times New Roman" w:hAnsi="Times New Roman" w:eastAsia="仿宋_GB2312" w:cs="Times New Roman"/>
          <w:b w:val="0"/>
          <w:bCs/>
          <w:color w:val="auto"/>
          <w:spacing w:val="-4"/>
          <w:sz w:val="32"/>
          <w:szCs w:val="32"/>
          <w:highlight w:val="none"/>
        </w:rPr>
        <w:t>：设备验收合格率</w:t>
      </w:r>
      <w:r>
        <w:rPr>
          <w:rStyle w:val="13"/>
          <w:rFonts w:hint="default" w:ascii="Times New Roman" w:hAnsi="Times New Roman" w:eastAsia="仿宋_GB2312" w:cs="Times New Roman"/>
          <w:b w:val="0"/>
          <w:bCs/>
          <w:color w:val="auto"/>
          <w:spacing w:val="-4"/>
          <w:sz w:val="32"/>
          <w:szCs w:val="32"/>
          <w:highlight w:val="none"/>
          <w:lang w:eastAsia="zh-CN"/>
        </w:rPr>
        <w:t>，指标值为</w:t>
      </w:r>
      <w:r>
        <w:rPr>
          <w:rFonts w:hint="default" w:ascii="Times New Roman" w:hAnsi="Times New Roman" w:eastAsia="仿宋_GB2312" w:cs="Times New Roman"/>
          <w:b w:val="0"/>
          <w:bCs w:val="0"/>
          <w:color w:val="auto"/>
          <w:kern w:val="2"/>
          <w:sz w:val="32"/>
          <w:szCs w:val="32"/>
          <w:highlight w:val="none"/>
          <w:lang w:val="en-US" w:eastAsia="zh-CN" w:bidi="ar-SA"/>
        </w:rPr>
        <w:t>=100%</w:t>
      </w:r>
      <w:r>
        <w:rPr>
          <w:rStyle w:val="13"/>
          <w:rFonts w:hint="default" w:ascii="Times New Roman" w:hAnsi="Times New Roman" w:eastAsia="仿宋_GB2312" w:cs="Times New Roman"/>
          <w:b w:val="0"/>
          <w:bCs/>
          <w:color w:val="auto"/>
          <w:spacing w:val="-4"/>
          <w:sz w:val="32"/>
          <w:szCs w:val="32"/>
          <w:highlight w:val="none"/>
          <w:lang w:eastAsia="zh-CN"/>
        </w:rPr>
        <w:t>，</w:t>
      </w:r>
      <w:r>
        <w:rPr>
          <w:rFonts w:hint="default" w:ascii="Times New Roman" w:hAnsi="Times New Roman" w:eastAsia="仿宋_GB2312" w:cs="Times New Roman"/>
          <w:b w:val="0"/>
          <w:bCs w:val="0"/>
          <w:color w:val="auto"/>
          <w:kern w:val="2"/>
          <w:sz w:val="32"/>
          <w:szCs w:val="32"/>
          <w:highlight w:val="none"/>
          <w:lang w:val="en-US" w:eastAsia="zh-CN" w:bidi="ar-SA"/>
        </w:rPr>
        <w:t>实际完成值100%，指标完成率100%;</w:t>
      </w:r>
    </w:p>
    <w:p w14:paraId="22C017F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5"/>
          <w:rFonts w:hint="default" w:ascii="Times New Roman" w:hAnsi="Times New Roman" w:cs="Times New Roman"/>
          <w:b w:val="0"/>
          <w:bCs w:val="0"/>
          <w:color w:val="auto"/>
          <w:highlight w:val="none"/>
        </w:rPr>
      </w:pPr>
      <w:r>
        <w:rPr>
          <w:rStyle w:val="15"/>
          <w:rFonts w:hint="eastAsia" w:ascii="Times New Roman" w:hAnsi="Times New Roman" w:eastAsia="仿宋_GB2312" w:cs="Times New Roman"/>
          <w:b w:val="0"/>
          <w:bCs w:val="0"/>
          <w:color w:val="auto"/>
          <w:highlight w:val="none"/>
          <w:lang w:val="en-US" w:eastAsia="zh-CN"/>
        </w:rPr>
        <w:t>3、</w:t>
      </w:r>
      <w:r>
        <w:rPr>
          <w:rStyle w:val="15"/>
          <w:rFonts w:hint="default" w:ascii="Times New Roman" w:hAnsi="Times New Roman" w:cs="Times New Roman"/>
          <w:b w:val="0"/>
          <w:bCs w:val="0"/>
          <w:color w:val="auto"/>
          <w:highlight w:val="none"/>
        </w:rPr>
        <w:t>时效指标方面：</w:t>
      </w:r>
    </w:p>
    <w:p w14:paraId="25400823">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指标1：</w:t>
      </w:r>
      <w:r>
        <w:rPr>
          <w:rFonts w:hint="default" w:ascii="Times New Roman" w:hAnsi="Times New Roman" w:eastAsia="仿宋_GB2312" w:cs="Times New Roman"/>
          <w:b w:val="0"/>
          <w:bCs w:val="0"/>
          <w:color w:val="auto"/>
          <w:kern w:val="2"/>
          <w:sz w:val="32"/>
          <w:szCs w:val="32"/>
          <w:highlight w:val="none"/>
          <w:lang w:val="en-US" w:eastAsia="zh-CN" w:bidi="ar-SA"/>
        </w:rPr>
        <w:t>购置完成时间指标，指标值为≤12月，实际完成值12月，指标完成率100%;</w:t>
      </w:r>
    </w:p>
    <w:p w14:paraId="48AA0FDB">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2</w:t>
      </w:r>
      <w:r>
        <w:rPr>
          <w:rStyle w:val="13"/>
          <w:rFonts w:hint="default" w:ascii="Times New Roman" w:hAnsi="Times New Roman" w:eastAsia="仿宋_GB2312" w:cs="Times New Roman"/>
          <w:b w:val="0"/>
          <w:bCs/>
          <w:color w:val="auto"/>
          <w:spacing w:val="-4"/>
          <w:sz w:val="32"/>
          <w:szCs w:val="32"/>
          <w:highlight w:val="none"/>
        </w:rPr>
        <w:t>：</w:t>
      </w:r>
      <w:r>
        <w:rPr>
          <w:rFonts w:hint="default" w:ascii="Times New Roman" w:hAnsi="Times New Roman" w:eastAsia="仿宋_GB2312" w:cs="Times New Roman"/>
          <w:b w:val="0"/>
          <w:bCs w:val="0"/>
          <w:color w:val="auto"/>
          <w:kern w:val="2"/>
          <w:sz w:val="32"/>
          <w:szCs w:val="32"/>
          <w:highlight w:val="none"/>
          <w:lang w:val="en-US" w:eastAsia="zh-CN" w:bidi="ar-SA"/>
        </w:rPr>
        <w:t>项目按计划完工时间，指标值为≤12月，实际完成值12月，指标完成率100%</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7C4E432F">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Style w:val="15"/>
          <w:rFonts w:hint="default" w:ascii="Times New Roman" w:hAnsi="Times New Roman" w:cs="Times New Roman"/>
          <w:b w:val="0"/>
          <w:bCs w:val="0"/>
          <w:color w:val="auto"/>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4、</w:t>
      </w:r>
      <w:r>
        <w:rPr>
          <w:rStyle w:val="15"/>
          <w:rFonts w:hint="default" w:ascii="Times New Roman" w:hAnsi="Times New Roman" w:cs="Times New Roman"/>
          <w:b w:val="0"/>
          <w:bCs w:val="0"/>
          <w:color w:val="auto"/>
          <w:highlight w:val="none"/>
        </w:rPr>
        <w:t>成本指标方面：</w:t>
      </w:r>
    </w:p>
    <w:p w14:paraId="7C8B584A">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指标1：</w:t>
      </w:r>
      <w:r>
        <w:rPr>
          <w:rStyle w:val="13"/>
          <w:rFonts w:hint="default" w:ascii="Times New Roman" w:hAnsi="Times New Roman" w:eastAsia="仿宋_GB2312" w:cs="Times New Roman"/>
          <w:b w:val="0"/>
          <w:bCs/>
          <w:color w:val="auto"/>
          <w:spacing w:val="-4"/>
          <w:sz w:val="32"/>
          <w:szCs w:val="32"/>
          <w:highlight w:val="none"/>
          <w:lang w:eastAsia="zh-CN"/>
        </w:rPr>
        <w:t>改造建设成本控制率</w:t>
      </w:r>
      <w:r>
        <w:rPr>
          <w:rStyle w:val="13"/>
          <w:rFonts w:hint="default" w:ascii="Times New Roman" w:hAnsi="Times New Roman" w:eastAsia="仿宋_GB2312" w:cs="Times New Roman"/>
          <w:b w:val="0"/>
          <w:bCs/>
          <w:color w:val="auto"/>
          <w:spacing w:val="-4"/>
          <w:sz w:val="32"/>
          <w:szCs w:val="32"/>
          <w:highlight w:val="none"/>
          <w:lang w:val="en-US" w:eastAsia="zh-CN"/>
        </w:rPr>
        <w:t>指标，</w:t>
      </w:r>
      <w:r>
        <w:rPr>
          <w:rFonts w:hint="default" w:ascii="Times New Roman" w:hAnsi="Times New Roman" w:eastAsia="仿宋_GB2312" w:cs="Times New Roman"/>
          <w:b w:val="0"/>
          <w:bCs w:val="0"/>
          <w:color w:val="auto"/>
          <w:kern w:val="2"/>
          <w:sz w:val="32"/>
          <w:szCs w:val="32"/>
          <w:highlight w:val="none"/>
          <w:lang w:val="en-US" w:eastAsia="zh-CN" w:bidi="ar-SA"/>
        </w:rPr>
        <w:t>指标值为≤100%，实际完成值32.79%，指标完成率100%;</w:t>
      </w:r>
    </w:p>
    <w:p w14:paraId="030E7D1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2</w:t>
      </w:r>
      <w:r>
        <w:rPr>
          <w:rStyle w:val="13"/>
          <w:rFonts w:hint="default" w:ascii="Times New Roman" w:hAnsi="Times New Roman" w:eastAsia="仿宋_GB2312" w:cs="Times New Roman"/>
          <w:b w:val="0"/>
          <w:bCs/>
          <w:color w:val="auto"/>
          <w:spacing w:val="-4"/>
          <w:sz w:val="32"/>
          <w:szCs w:val="32"/>
          <w:highlight w:val="none"/>
        </w:rPr>
        <w:t>：设备购置成本控制率</w:t>
      </w:r>
      <w:r>
        <w:rPr>
          <w:rStyle w:val="13"/>
          <w:rFonts w:hint="default" w:ascii="Times New Roman" w:hAnsi="Times New Roman" w:eastAsia="仿宋_GB2312" w:cs="Times New Roman"/>
          <w:b w:val="0"/>
          <w:bCs/>
          <w:color w:val="auto"/>
          <w:spacing w:val="-4"/>
          <w:sz w:val="32"/>
          <w:szCs w:val="32"/>
          <w:highlight w:val="none"/>
          <w:lang w:eastAsia="zh-CN"/>
        </w:rPr>
        <w:t>，指标值为≤100%，</w:t>
      </w:r>
      <w:r>
        <w:rPr>
          <w:rFonts w:hint="default" w:ascii="Times New Roman" w:hAnsi="Times New Roman" w:eastAsia="仿宋_GB2312" w:cs="Times New Roman"/>
          <w:b w:val="0"/>
          <w:bCs w:val="0"/>
          <w:color w:val="auto"/>
          <w:kern w:val="2"/>
          <w:sz w:val="32"/>
          <w:szCs w:val="32"/>
          <w:highlight w:val="none"/>
          <w:lang w:val="en-US" w:eastAsia="zh-CN" w:bidi="ar-SA"/>
        </w:rPr>
        <w:t>实际完成值97.42%，指标完成率100%;</w:t>
      </w:r>
    </w:p>
    <w:p w14:paraId="3CB7330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4" w:firstLineChars="200"/>
        <w:jc w:val="left"/>
        <w:textAlignment w:val="auto"/>
        <w:rPr>
          <w:rFonts w:hint="default" w:ascii="Times New Roman" w:hAnsi="Times New Roman" w:cs="Times New Roman"/>
          <w:color w:val="auto"/>
          <w:highlight w:val="none"/>
          <w:lang w:val="en-US" w:eastAsia="zh-CN"/>
        </w:rPr>
      </w:pPr>
      <w:r>
        <w:rPr>
          <w:rStyle w:val="13"/>
          <w:rFonts w:hint="default" w:ascii="Times New Roman" w:hAnsi="Times New Roman" w:eastAsia="仿宋_GB2312" w:cs="Times New Roman"/>
          <w:b w:val="0"/>
          <w:bCs/>
          <w:color w:val="auto"/>
          <w:spacing w:val="-4"/>
          <w:sz w:val="32"/>
          <w:szCs w:val="32"/>
          <w:highlight w:val="none"/>
        </w:rPr>
        <w:t>指标</w:t>
      </w:r>
      <w:r>
        <w:rPr>
          <w:rStyle w:val="13"/>
          <w:rFonts w:hint="default" w:ascii="Times New Roman" w:hAnsi="Times New Roman" w:eastAsia="仿宋_GB2312" w:cs="Times New Roman"/>
          <w:b w:val="0"/>
          <w:bCs/>
          <w:color w:val="auto"/>
          <w:spacing w:val="-4"/>
          <w:sz w:val="32"/>
          <w:szCs w:val="32"/>
          <w:highlight w:val="none"/>
          <w:lang w:val="en-US" w:eastAsia="zh-CN"/>
        </w:rPr>
        <w:t>3</w:t>
      </w:r>
      <w:r>
        <w:rPr>
          <w:rStyle w:val="13"/>
          <w:rFonts w:hint="default" w:ascii="Times New Roman" w:hAnsi="Times New Roman" w:eastAsia="仿宋_GB2312" w:cs="Times New Roman"/>
          <w:b w:val="0"/>
          <w:bCs/>
          <w:color w:val="auto"/>
          <w:spacing w:val="-4"/>
          <w:sz w:val="32"/>
          <w:szCs w:val="32"/>
          <w:highlight w:val="none"/>
        </w:rPr>
        <w:t>：药占比</w:t>
      </w:r>
      <w:r>
        <w:rPr>
          <w:rStyle w:val="13"/>
          <w:rFonts w:hint="default" w:ascii="Times New Roman" w:hAnsi="Times New Roman" w:eastAsia="仿宋_GB2312" w:cs="Times New Roman"/>
          <w:b w:val="0"/>
          <w:bCs/>
          <w:color w:val="auto"/>
          <w:spacing w:val="-4"/>
          <w:sz w:val="32"/>
          <w:szCs w:val="32"/>
          <w:highlight w:val="none"/>
          <w:lang w:eastAsia="zh-CN"/>
        </w:rPr>
        <w:t>，指标值为≤25%，</w:t>
      </w:r>
      <w:r>
        <w:rPr>
          <w:rFonts w:hint="default" w:ascii="Times New Roman" w:hAnsi="Times New Roman" w:eastAsia="仿宋_GB2312" w:cs="Times New Roman"/>
          <w:b w:val="0"/>
          <w:bCs w:val="0"/>
          <w:color w:val="auto"/>
          <w:kern w:val="2"/>
          <w:sz w:val="32"/>
          <w:szCs w:val="32"/>
          <w:highlight w:val="none"/>
          <w:lang w:val="en-US" w:eastAsia="zh-CN" w:bidi="ar-SA"/>
        </w:rPr>
        <w:t>实际完成值15.93%，指标完成率100%</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43D4BFA4">
      <w:pPr>
        <w:pStyle w:val="9"/>
        <w:keepLines w:val="0"/>
        <w:pageBreakBefore w:val="0"/>
        <w:numPr>
          <w:ilvl w:val="0"/>
          <w:numId w:val="7"/>
        </w:numPr>
        <w:kinsoku/>
        <w:wordWrap/>
        <w:overflowPunct/>
        <w:topLinePunct w:val="0"/>
        <w:autoSpaceDE/>
        <w:autoSpaceDN/>
        <w:bidi w:val="0"/>
        <w:adjustRightInd/>
        <w:spacing w:line="560" w:lineRule="exact"/>
        <w:ind w:firstLine="641" w:firstLineChars="200"/>
        <w:textAlignment w:val="auto"/>
        <w:rPr>
          <w:rFonts w:eastAsia="楷体_GB2312"/>
          <w:b/>
          <w:bCs/>
          <w:color w:val="auto"/>
          <w:sz w:val="32"/>
          <w:szCs w:val="32"/>
          <w:highlight w:val="none"/>
        </w:rPr>
      </w:pPr>
      <w:r>
        <w:rPr>
          <w:rFonts w:eastAsia="楷体_GB2312"/>
          <w:b/>
          <w:bCs/>
          <w:color w:val="auto"/>
          <w:sz w:val="32"/>
          <w:szCs w:val="32"/>
          <w:highlight w:val="none"/>
        </w:rPr>
        <w:t>效益</w:t>
      </w:r>
      <w:r>
        <w:rPr>
          <w:rFonts w:hint="eastAsia" w:eastAsia="楷体_GB2312"/>
          <w:b/>
          <w:bCs/>
          <w:color w:val="auto"/>
          <w:sz w:val="32"/>
          <w:szCs w:val="32"/>
          <w:highlight w:val="none"/>
          <w:lang w:eastAsia="zh-CN"/>
        </w:rPr>
        <w:t>情况</w:t>
      </w:r>
    </w:p>
    <w:p w14:paraId="62147234">
      <w:pPr>
        <w:keepLines w:val="0"/>
        <w:pageBreakBefore w:val="0"/>
        <w:kinsoku/>
        <w:wordWrap/>
        <w:overflowPunct/>
        <w:topLinePunct w:val="0"/>
        <w:autoSpaceDE/>
        <w:autoSpaceDN/>
        <w:bidi w:val="0"/>
        <w:adjustRightInd/>
        <w:spacing w:line="560" w:lineRule="exact"/>
        <w:ind w:firstLine="640" w:firstLineChars="200"/>
        <w:textAlignment w:val="auto"/>
        <w:rPr>
          <w:rStyle w:val="15"/>
          <w:rFonts w:hint="default" w:ascii="Times New Roman" w:hAnsi="Times New Roman" w:cs="Times New Roman"/>
          <w:b w:val="0"/>
          <w:bCs w:val="0"/>
          <w:color w:val="auto"/>
          <w:highlight w:val="none"/>
          <w:lang w:eastAsia="zh-Hans"/>
        </w:rPr>
      </w:pPr>
      <w:r>
        <w:rPr>
          <w:rStyle w:val="15"/>
          <w:rFonts w:hint="default" w:ascii="Times New Roman" w:hAnsi="Times New Roman" w:eastAsia="仿宋_GB2312" w:cs="Times New Roman"/>
          <w:b w:val="0"/>
          <w:bCs w:val="0"/>
          <w:color w:val="auto"/>
          <w:highlight w:val="none"/>
          <w:lang w:val="en-US" w:eastAsia="zh-CN"/>
        </w:rPr>
        <w:t>1、</w:t>
      </w:r>
      <w:r>
        <w:rPr>
          <w:rStyle w:val="15"/>
          <w:rFonts w:hint="default" w:ascii="Times New Roman" w:hAnsi="Times New Roman" w:cs="Times New Roman"/>
          <w:b w:val="0"/>
          <w:bCs w:val="0"/>
          <w:color w:val="auto"/>
          <w:highlight w:val="none"/>
          <w:lang w:eastAsia="zh-Hans"/>
        </w:rPr>
        <w:t>经济效益指标方面：</w:t>
      </w:r>
    </w:p>
    <w:p w14:paraId="65C7C149">
      <w:pPr>
        <w:keepLines w:val="0"/>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cs="Times New Roman"/>
          <w:b w:val="0"/>
          <w:bCs w:val="0"/>
          <w:color w:val="auto"/>
          <w:highlight w:val="none"/>
          <w:lang w:eastAsia="zh-Hans"/>
        </w:rPr>
      </w:pPr>
      <w:r>
        <w:rPr>
          <w:rStyle w:val="15"/>
          <w:rFonts w:hint="default" w:ascii="Times New Roman" w:hAnsi="Times New Roman" w:cs="Times New Roman"/>
          <w:b w:val="0"/>
          <w:bCs w:val="0"/>
          <w:color w:val="auto"/>
          <w:highlight w:val="none"/>
        </w:rPr>
        <w:t>指标1：设备使用率，指标值≥95% ，实际完成值</w:t>
      </w:r>
      <w:r>
        <w:rPr>
          <w:rStyle w:val="15"/>
          <w:rFonts w:hint="default" w:ascii="Times New Roman" w:hAnsi="Times New Roman" w:eastAsia="仿宋_GB2312" w:cs="Times New Roman"/>
          <w:b w:val="0"/>
          <w:bCs w:val="0"/>
          <w:color w:val="auto"/>
          <w:highlight w:val="none"/>
          <w:lang w:eastAsia="zh-CN"/>
        </w:rPr>
        <w:t>为</w:t>
      </w:r>
      <w:r>
        <w:rPr>
          <w:rStyle w:val="15"/>
          <w:rFonts w:hint="default" w:ascii="Times New Roman" w:hAnsi="Times New Roman" w:cs="Times New Roman"/>
          <w:b w:val="0"/>
          <w:bCs w:val="0"/>
          <w:color w:val="auto"/>
          <w:highlight w:val="none"/>
        </w:rPr>
        <w:t>100%，指标完成率</w:t>
      </w:r>
      <w:r>
        <w:rPr>
          <w:rStyle w:val="15"/>
          <w:rFonts w:hint="default" w:ascii="Times New Roman" w:hAnsi="Times New Roman" w:eastAsia="仿宋_GB2312" w:cs="Times New Roman"/>
          <w:b w:val="0"/>
          <w:bCs w:val="0"/>
          <w:color w:val="auto"/>
          <w:highlight w:val="none"/>
          <w:lang w:val="en-US" w:eastAsia="zh-CN"/>
        </w:rPr>
        <w:t>100</w:t>
      </w:r>
      <w:r>
        <w:rPr>
          <w:rStyle w:val="15"/>
          <w:rFonts w:hint="default" w:ascii="Times New Roman" w:hAnsi="Times New Roman" w:cs="Times New Roman"/>
          <w:b w:val="0"/>
          <w:bCs w:val="0"/>
          <w:color w:val="auto"/>
          <w:highlight w:val="none"/>
        </w:rPr>
        <w:t>%；</w:t>
      </w:r>
    </w:p>
    <w:p w14:paraId="2E6912ED">
      <w:pPr>
        <w:keepLines w:val="0"/>
        <w:pageBreakBefore w:val="0"/>
        <w:kinsoku/>
        <w:wordWrap/>
        <w:overflowPunct/>
        <w:topLinePunct w:val="0"/>
        <w:autoSpaceDE/>
        <w:autoSpaceDN/>
        <w:bidi w:val="0"/>
        <w:adjustRightInd/>
        <w:spacing w:line="560" w:lineRule="exact"/>
        <w:ind w:firstLine="640" w:firstLineChars="200"/>
        <w:textAlignment w:val="auto"/>
        <w:rPr>
          <w:rStyle w:val="15"/>
          <w:rFonts w:hint="default" w:ascii="Times New Roman" w:hAnsi="Times New Roman" w:cs="Times New Roman"/>
          <w:b w:val="0"/>
          <w:bCs w:val="0"/>
          <w:color w:val="auto"/>
          <w:highlight w:val="none"/>
        </w:rPr>
      </w:pPr>
      <w:r>
        <w:rPr>
          <w:rStyle w:val="15"/>
          <w:rFonts w:hint="default" w:ascii="Times New Roman" w:hAnsi="Times New Roman" w:eastAsia="仿宋_GB2312" w:cs="Times New Roman"/>
          <w:b w:val="0"/>
          <w:bCs w:val="0"/>
          <w:color w:val="auto"/>
          <w:highlight w:val="none"/>
          <w:lang w:val="en-US" w:eastAsia="zh-CN"/>
        </w:rPr>
        <w:t>2、</w:t>
      </w:r>
      <w:r>
        <w:rPr>
          <w:rStyle w:val="15"/>
          <w:rFonts w:hint="default" w:ascii="Times New Roman" w:hAnsi="Times New Roman" w:cs="Times New Roman"/>
          <w:b w:val="0"/>
          <w:bCs w:val="0"/>
          <w:color w:val="auto"/>
          <w:highlight w:val="none"/>
        </w:rPr>
        <w:t>社会效益指标方面：</w:t>
      </w:r>
    </w:p>
    <w:p w14:paraId="1EE9986C">
      <w:pPr>
        <w:keepLines w:val="0"/>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highlight w:val="none"/>
          <w:lang w:eastAsia="zh-CN"/>
        </w:rPr>
      </w:pPr>
      <w:r>
        <w:rPr>
          <w:rStyle w:val="15"/>
          <w:rFonts w:hint="default" w:ascii="Times New Roman" w:hAnsi="Times New Roman" w:cs="Times New Roman"/>
          <w:b w:val="0"/>
          <w:bCs w:val="0"/>
          <w:color w:val="auto"/>
          <w:highlight w:val="none"/>
        </w:rPr>
        <w:t>指标1：保障医院新技术</w:t>
      </w:r>
      <w:r>
        <w:rPr>
          <w:rStyle w:val="15"/>
          <w:rFonts w:hint="default" w:ascii="Times New Roman" w:hAnsi="Times New Roman" w:cs="Times New Roman"/>
          <w:color w:val="auto"/>
          <w:highlight w:val="none"/>
        </w:rPr>
        <w:t>、新项目的开展，提升医疗技术水平，指标值</w:t>
      </w:r>
      <w:r>
        <w:rPr>
          <w:rStyle w:val="15"/>
          <w:rFonts w:hint="default" w:ascii="Times New Roman" w:hAnsi="Times New Roman" w:eastAsia="仿宋_GB2312" w:cs="Times New Roman"/>
          <w:color w:val="auto"/>
          <w:highlight w:val="none"/>
          <w:lang w:eastAsia="zh-CN"/>
        </w:rPr>
        <w:t>持续提升</w:t>
      </w:r>
      <w:r>
        <w:rPr>
          <w:rStyle w:val="15"/>
          <w:rFonts w:hint="default" w:ascii="Times New Roman" w:hAnsi="Times New Roman" w:cs="Times New Roman"/>
          <w:color w:val="auto"/>
          <w:highlight w:val="none"/>
        </w:rPr>
        <w:t>，实际完成值</w:t>
      </w:r>
      <w:r>
        <w:rPr>
          <w:rStyle w:val="15"/>
          <w:rFonts w:hint="default" w:ascii="Times New Roman" w:hAnsi="Times New Roman" w:eastAsia="仿宋_GB2312" w:cs="Times New Roman"/>
          <w:color w:val="auto"/>
          <w:highlight w:val="none"/>
          <w:lang w:eastAsia="zh-CN"/>
        </w:rPr>
        <w:t>持续提升</w:t>
      </w:r>
      <w:r>
        <w:rPr>
          <w:rStyle w:val="15"/>
          <w:rFonts w:hint="default" w:ascii="Times New Roman" w:hAnsi="Times New Roman" w:cs="Times New Roman"/>
          <w:color w:val="auto"/>
          <w:highlight w:val="none"/>
        </w:rPr>
        <w:t>，指标完成率</w:t>
      </w:r>
      <w:r>
        <w:rPr>
          <w:rStyle w:val="15"/>
          <w:rFonts w:hint="default" w:ascii="Times New Roman" w:hAnsi="Times New Roman" w:eastAsia="仿宋_GB2312" w:cs="Times New Roman"/>
          <w:color w:val="auto"/>
          <w:highlight w:val="none"/>
          <w:lang w:val="en-US" w:eastAsia="zh-CN"/>
        </w:rPr>
        <w:t>100</w:t>
      </w:r>
      <w:r>
        <w:rPr>
          <w:rStyle w:val="15"/>
          <w:rFonts w:hint="default" w:ascii="Times New Roman" w:hAnsi="Times New Roman" w:cs="Times New Roman"/>
          <w:color w:val="auto"/>
          <w:highlight w:val="none"/>
        </w:rPr>
        <w:t>%</w:t>
      </w:r>
      <w:r>
        <w:rPr>
          <w:rStyle w:val="15"/>
          <w:rFonts w:hint="default" w:ascii="Times New Roman" w:hAnsi="Times New Roman" w:eastAsia="仿宋_GB2312" w:cs="Times New Roman"/>
          <w:color w:val="auto"/>
          <w:highlight w:val="none"/>
          <w:lang w:eastAsia="zh-CN"/>
        </w:rPr>
        <w:t>。</w:t>
      </w:r>
    </w:p>
    <w:p w14:paraId="38BD5260">
      <w:pPr>
        <w:spacing w:line="560" w:lineRule="exact"/>
        <w:ind w:firstLine="640" w:firstLineChars="200"/>
        <w:rPr>
          <w:rFonts w:eastAsia="黑体"/>
          <w:color w:val="auto"/>
          <w:sz w:val="32"/>
          <w:szCs w:val="32"/>
          <w:highlight w:val="none"/>
          <w:lang w:eastAsia="zh-Hans"/>
        </w:rPr>
      </w:pPr>
      <w:r>
        <w:rPr>
          <w:rFonts w:eastAsia="黑体"/>
          <w:color w:val="auto"/>
          <w:sz w:val="32"/>
          <w:szCs w:val="32"/>
          <w:highlight w:val="none"/>
        </w:rPr>
        <w:t>五、</w:t>
      </w:r>
      <w:r>
        <w:rPr>
          <w:rFonts w:hint="eastAsia" w:eastAsia="黑体"/>
          <w:color w:val="auto"/>
          <w:sz w:val="32"/>
          <w:szCs w:val="32"/>
          <w:highlight w:val="none"/>
          <w:lang w:eastAsia="zh-Hans"/>
        </w:rPr>
        <w:t>预算执行进度与绩效指标总体完成率偏差</w:t>
      </w:r>
    </w:p>
    <w:p w14:paraId="24078B11">
      <w:pPr>
        <w:pStyle w:val="16"/>
        <w:spacing w:line="560" w:lineRule="exact"/>
        <w:ind w:firstLine="640"/>
        <w:rPr>
          <w:rFonts w:eastAsia="方正仿宋_GBK" w:cs="方正仿宋_GBK"/>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医院政府采购项目</w:t>
      </w:r>
      <w:r>
        <w:rPr>
          <w:rFonts w:hint="eastAsia" w:ascii="Times New Roman" w:hAnsi="Times New Roman" w:eastAsia="仿宋_GB2312" w:cs="Times New Roman"/>
          <w:kern w:val="2"/>
          <w:sz w:val="32"/>
          <w:szCs w:val="32"/>
          <w:highlight w:val="none"/>
          <w:lang w:val="en-US" w:eastAsia="zh-CN" w:bidi="ar-SA"/>
        </w:rPr>
        <w:t>预算</w:t>
      </w:r>
      <w:r>
        <w:rPr>
          <w:rFonts w:hint="eastAsia" w:eastAsia="仿宋_GB2312" w:cs="Times New Roman"/>
          <w:kern w:val="2"/>
          <w:sz w:val="32"/>
          <w:szCs w:val="32"/>
          <w:highlight w:val="none"/>
          <w:lang w:val="en-US" w:eastAsia="zh-CN" w:bidi="ar-SA"/>
        </w:rPr>
        <w:t>资金</w:t>
      </w:r>
      <w:r>
        <w:rPr>
          <w:rFonts w:hint="eastAsia" w:ascii="Times New Roman" w:hAnsi="Times New Roman" w:eastAsia="仿宋_GB2312" w:cs="Times New Roman"/>
          <w:kern w:val="2"/>
          <w:sz w:val="32"/>
          <w:szCs w:val="32"/>
          <w:highlight w:val="none"/>
          <w:lang w:val="en-US" w:eastAsia="zh-CN" w:bidi="ar-SA"/>
        </w:rPr>
        <w:t>42250</w:t>
      </w:r>
      <w:r>
        <w:rPr>
          <w:rFonts w:hint="eastAsia" w:eastAsia="仿宋_GB2312" w:cs="Times New Roman"/>
          <w:kern w:val="2"/>
          <w:sz w:val="32"/>
          <w:szCs w:val="32"/>
          <w:highlight w:val="none"/>
          <w:lang w:val="en-US" w:eastAsia="zh-CN" w:bidi="ar-SA"/>
        </w:rPr>
        <w:t>.00</w:t>
      </w:r>
      <w:r>
        <w:rPr>
          <w:rFonts w:hint="eastAsia" w:ascii="Times New Roman" w:hAnsi="Times New Roman" w:eastAsia="仿宋_GB2312" w:cs="Times New Roman"/>
          <w:kern w:val="2"/>
          <w:sz w:val="32"/>
          <w:szCs w:val="32"/>
          <w:highlight w:val="none"/>
          <w:lang w:val="en-US" w:eastAsia="zh-CN" w:bidi="ar-SA"/>
        </w:rPr>
        <w:t>万元，到位</w:t>
      </w:r>
      <w:r>
        <w:rPr>
          <w:rFonts w:hint="eastAsia" w:eastAsia="仿宋_GB2312" w:cs="Times New Roman"/>
          <w:kern w:val="2"/>
          <w:sz w:val="32"/>
          <w:szCs w:val="32"/>
          <w:highlight w:val="none"/>
          <w:lang w:val="en-US" w:eastAsia="zh-CN" w:bidi="ar-SA"/>
        </w:rPr>
        <w:t>资金</w:t>
      </w:r>
      <w:r>
        <w:rPr>
          <w:rFonts w:hint="eastAsia" w:ascii="Times New Roman" w:hAnsi="Times New Roman" w:eastAsia="仿宋_GB2312" w:cs="Times New Roman"/>
          <w:kern w:val="2"/>
          <w:sz w:val="32"/>
          <w:szCs w:val="32"/>
          <w:highlight w:val="none"/>
          <w:lang w:val="en-US" w:eastAsia="zh-CN" w:bidi="ar-SA"/>
        </w:rPr>
        <w:t>50291.48万元，实际支出</w:t>
      </w:r>
      <w:r>
        <w:rPr>
          <w:rFonts w:hint="eastAsia" w:eastAsia="仿宋_GB2312" w:cs="Times New Roman"/>
          <w:kern w:val="2"/>
          <w:sz w:val="32"/>
          <w:szCs w:val="32"/>
          <w:highlight w:val="none"/>
          <w:lang w:val="en-US" w:eastAsia="zh-CN" w:bidi="ar-SA"/>
        </w:rPr>
        <w:t>资金</w:t>
      </w:r>
      <w:r>
        <w:rPr>
          <w:rFonts w:hint="eastAsia" w:ascii="Times New Roman" w:hAnsi="Times New Roman" w:eastAsia="仿宋_GB2312" w:cs="Times New Roman"/>
          <w:kern w:val="2"/>
          <w:sz w:val="32"/>
          <w:szCs w:val="32"/>
          <w:highlight w:val="none"/>
          <w:lang w:val="en-US" w:eastAsia="zh-CN" w:bidi="ar-SA"/>
        </w:rPr>
        <w:t>50291.48万元，预算执行率为119.03%</w:t>
      </w:r>
      <w:r>
        <w:rPr>
          <w:rFonts w:hint="eastAsia" w:ascii="Times New Roman" w:hAnsi="Times New Roman" w:eastAsia="仿宋_GB2312" w:cs="Times New Roman"/>
          <w:color w:val="auto"/>
          <w:kern w:val="2"/>
          <w:sz w:val="32"/>
          <w:szCs w:val="32"/>
          <w:highlight w:val="none"/>
          <w:lang w:val="en-US" w:eastAsia="zh-CN" w:bidi="ar-SA"/>
        </w:rPr>
        <w:t>，项目绩效指标总体完成率为</w:t>
      </w:r>
      <w:r>
        <w:rPr>
          <w:rFonts w:hint="eastAsia" w:eastAsia="仿宋_GB2312" w:cs="Times New Roman"/>
          <w:color w:val="auto"/>
          <w:kern w:val="2"/>
          <w:sz w:val="32"/>
          <w:szCs w:val="32"/>
          <w:highlight w:val="none"/>
          <w:lang w:val="en-US" w:eastAsia="zh-CN" w:bidi="ar-SA"/>
        </w:rPr>
        <w:t>118.01</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Hans" w:bidi="ar-SA"/>
        </w:rPr>
        <w:t>总体</w:t>
      </w:r>
      <w:r>
        <w:rPr>
          <w:rFonts w:hint="eastAsia" w:ascii="Times New Roman" w:hAnsi="Times New Roman" w:eastAsia="仿宋_GB2312" w:cs="Times New Roman"/>
          <w:color w:val="auto"/>
          <w:kern w:val="2"/>
          <w:sz w:val="32"/>
          <w:szCs w:val="32"/>
          <w:highlight w:val="none"/>
          <w:lang w:val="en-US" w:eastAsia="zh-CN" w:bidi="ar-SA"/>
        </w:rPr>
        <w:t>偏差率为</w:t>
      </w:r>
      <w:r>
        <w:rPr>
          <w:rFonts w:hint="eastAsia" w:eastAsia="仿宋_GB2312" w:cs="Times New Roman"/>
          <w:color w:val="auto"/>
          <w:kern w:val="2"/>
          <w:sz w:val="32"/>
          <w:szCs w:val="32"/>
          <w:highlight w:val="none"/>
          <w:lang w:val="en-US" w:eastAsia="zh-CN" w:bidi="ar-SA"/>
        </w:rPr>
        <w:t>1.02</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Hans" w:bidi="ar-SA"/>
        </w:rPr>
        <w:t>偏差</w:t>
      </w:r>
      <w:r>
        <w:rPr>
          <w:rFonts w:hint="eastAsia" w:ascii="Times New Roman" w:hAnsi="Times New Roman" w:eastAsia="仿宋_GB2312" w:cs="Times New Roman"/>
          <w:color w:val="auto"/>
          <w:kern w:val="2"/>
          <w:sz w:val="32"/>
          <w:szCs w:val="32"/>
          <w:highlight w:val="none"/>
          <w:lang w:val="en-US" w:eastAsia="zh-CN" w:bidi="ar-SA"/>
        </w:rPr>
        <w:t>原</w:t>
      </w:r>
      <w:r>
        <w:rPr>
          <w:rFonts w:hint="eastAsia" w:ascii="Times New Roman" w:hAnsi="Times New Roman" w:eastAsia="仿宋_GB2312" w:cs="Times New Roman"/>
          <w:kern w:val="2"/>
          <w:sz w:val="32"/>
          <w:szCs w:val="32"/>
          <w:highlight w:val="none"/>
          <w:lang w:val="en-US" w:eastAsia="zh-CN" w:bidi="ar-SA"/>
        </w:rPr>
        <w:t>因是</w:t>
      </w:r>
      <w:r>
        <w:rPr>
          <w:rFonts w:hint="eastAsia" w:eastAsia="仿宋_GB2312" w:cs="Times New Roman"/>
          <w:kern w:val="2"/>
          <w:sz w:val="32"/>
          <w:szCs w:val="32"/>
          <w:highlight w:val="none"/>
          <w:lang w:val="en-US" w:eastAsia="zh-CN" w:bidi="ar-SA"/>
        </w:rPr>
        <w:t>为满足医疗需求，设备购置数量增加</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措施进一步加强预算管理工作。</w:t>
      </w:r>
    </w:p>
    <w:p w14:paraId="2F45431B">
      <w:pPr>
        <w:spacing w:line="560" w:lineRule="exact"/>
        <w:ind w:firstLine="640" w:firstLineChars="200"/>
        <w:rPr>
          <w:rStyle w:val="15"/>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2FDB2BE4">
      <w:pPr>
        <w:spacing w:line="560" w:lineRule="exact"/>
        <w:ind w:firstLine="625" w:firstLineChars="200"/>
        <w:rPr>
          <w:rFonts w:eastAsia="楷体"/>
          <w:b/>
          <w:spacing w:val="-4"/>
          <w:sz w:val="32"/>
          <w:szCs w:val="32"/>
          <w:highlight w:val="none"/>
        </w:rPr>
      </w:pPr>
      <w:r>
        <w:rPr>
          <w:rFonts w:eastAsia="楷体"/>
          <w:b/>
          <w:spacing w:val="-4"/>
          <w:sz w:val="32"/>
          <w:szCs w:val="32"/>
          <w:highlight w:val="none"/>
        </w:rPr>
        <w:t>（一）主要经验及做法</w:t>
      </w:r>
    </w:p>
    <w:p w14:paraId="3152A74B">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7A7D895">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7685AAB">
      <w:pPr>
        <w:keepNext/>
        <w:keepLines/>
        <w:numPr>
          <w:ilvl w:val="0"/>
          <w:numId w:val="8"/>
        </w:numPr>
        <w:spacing w:line="560" w:lineRule="exact"/>
        <w:ind w:firstLine="641" w:firstLineChars="200"/>
        <w:rPr>
          <w:rFonts w:eastAsia="楷体_GB2312"/>
          <w:b/>
          <w:bCs/>
          <w:sz w:val="32"/>
          <w:szCs w:val="32"/>
          <w:highlight w:val="none"/>
        </w:rPr>
      </w:pPr>
      <w:r>
        <w:rPr>
          <w:rFonts w:eastAsia="楷体_GB2312"/>
          <w:b/>
          <w:bCs/>
          <w:sz w:val="32"/>
          <w:szCs w:val="32"/>
          <w:highlight w:val="none"/>
        </w:rPr>
        <w:t>存在的问题及原因分析</w:t>
      </w:r>
    </w:p>
    <w:p w14:paraId="3EC5DD9F">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14:paraId="53DBB4A1">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333F2723">
      <w:pPr>
        <w:pageBreakBefore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72498D57">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8" w:name="page8"/>
      <w:bookmarkEnd w:id="8"/>
      <w:r>
        <w:rPr>
          <w:rFonts w:eastAsia="黑体"/>
          <w:sz w:val="32"/>
          <w:szCs w:val="32"/>
          <w:highlight w:val="none"/>
        </w:rPr>
        <w:t>明的问题</w:t>
      </w:r>
    </w:p>
    <w:p w14:paraId="44AA5E1E">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14:paraId="3592F96C">
      <w:pPr>
        <w:pStyle w:val="10"/>
        <w:spacing w:after="0" w:line="560" w:lineRule="exact"/>
        <w:ind w:left="0" w:leftChars="0" w:firstLine="640"/>
        <w:rPr>
          <w:rFonts w:hint="eastAsia" w:ascii="仿宋_GB2312" w:hAnsi="仿宋_GB2312" w:eastAsia="仿宋_GB2312" w:cs="仿宋_GB2312"/>
          <w:sz w:val="32"/>
          <w:szCs w:val="32"/>
          <w:highlight w:val="none"/>
          <w:lang w:eastAsia="zh-Hans"/>
        </w:rPr>
        <w:sectPr>
          <w:footerReference r:id="rId3" w:type="default"/>
          <w:pgSz w:w="11906" w:h="16838"/>
          <w:pgMar w:top="1440" w:right="1558" w:bottom="1440" w:left="1800" w:header="851" w:footer="992" w:gutter="0"/>
          <w:cols w:space="425"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3834995A">
        <w:trPr>
          <w:trHeight w:val="464" w:hRule="atLeast"/>
        </w:trPr>
        <w:tc>
          <w:tcPr>
            <w:tcW w:w="5000" w:type="pct"/>
            <w:gridSpan w:val="14"/>
            <w:tcBorders>
              <w:top w:val="nil"/>
              <w:left w:val="nil"/>
              <w:bottom w:val="nil"/>
              <w:right w:val="nil"/>
            </w:tcBorders>
            <w:shd w:val="clear"/>
            <w:vAlign w:val="center"/>
          </w:tcPr>
          <w:p w14:paraId="217963C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04FFF10D">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55D095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(2023年度)</w:t>
            </w:r>
          </w:p>
        </w:tc>
      </w:tr>
      <w:tr w14:paraId="1B122091">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3C3C1F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14:paraId="2F26D1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医院政府采购项目</w:t>
            </w:r>
          </w:p>
        </w:tc>
      </w:tr>
      <w:tr w14:paraId="0610FF76">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468769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57C2D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999A2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14:paraId="2F19A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新疆维吾尔自治区第三人民医院</w:t>
            </w:r>
          </w:p>
        </w:tc>
      </w:tr>
      <w:tr w14:paraId="352F1415">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7D773E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43453252">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80F9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E167A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72061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713DA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6D91FE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17CDB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05DAA3A4">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F4B6235">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2A6268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297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42250.00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869A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50291.48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A8A3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50291.48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C471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45AC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0A373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10.00分</w:t>
            </w:r>
          </w:p>
        </w:tc>
      </w:tr>
      <w:tr w14:paraId="764026B6">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EC07524">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7E7B48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540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3A96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AA699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681F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94D1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54370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0DB0A73D">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9E8010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369B2C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225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42250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3A5D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50291.48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ED6B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50291.48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1433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7BDD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FCB5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0F7C2409">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43F45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1C3383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4DD06F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29988D9A">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72A9BB">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3A6DE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根据《中华人民共和国预算法》、《中华人民共和国政府采购法》、《中华人民共和国政府采购法实施条例（中华人民共和国国务院令 第658号）》，改善老旧门诊楼布局不合理，就诊空间狭小等问题，满足患者良好的就医感受；更新医疗设备，用于学科发展需要，开展新技术新项目，不断提高医疗技术水平，满足人民群众健康需要；加强信息化建设，提升医院内涵建设及服务水平。切实做好我院政府采购项目的实施工作，强化预算约束，加强对预算的管理，规范政府采购行为，提高采购资金的使用效益，确保项目实施取得实效。</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0DB1F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本年度对老旧门</w:t>
            </w:r>
            <w:bookmarkStart w:id="11" w:name="_GoBack"/>
            <w:bookmarkEnd w:id="11"/>
            <w:r>
              <w:rPr>
                <w:rFonts w:hint="eastAsia" w:ascii="宋体" w:hAnsi="宋体" w:eastAsia="宋体" w:cs="宋体"/>
                <w:i w:val="0"/>
                <w:iCs w:val="0"/>
                <w:color w:val="000000"/>
                <w:kern w:val="0"/>
                <w:sz w:val="18"/>
                <w:szCs w:val="18"/>
                <w:u w:val="none"/>
                <w:bdr w:val="none" w:color="auto" w:sz="0" w:space="0"/>
                <w:lang w:val="en-US" w:eastAsia="zh-CN" w:bidi="ar"/>
              </w:rPr>
              <w:t xml:space="preserve">诊楼进行了改造装修，满足患者良好的就医感受；配置了医疗设备和办公设备，用于学科发展需要，开展新技术新项目，不断提高医疗技术水平；加强信息化建设。切实做好我院政府采购项目的实施工作，强化预算约束，加强对预算的管理，规范政府采购行为，提高采购资金的使用效益，确保项目实施取得实效。      </w:t>
            </w:r>
          </w:p>
        </w:tc>
      </w:tr>
      <w:tr w14:paraId="7D3F9BFB">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2256F08">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38A3A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C4803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0587BB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6B7F19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810A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F3F41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2B47FA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778D14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0EA31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9082D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E91B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vAlign w:val="center"/>
          </w:tcPr>
          <w:p w14:paraId="25123E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14:paraId="4A8C3A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0549D3F6">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5087ED">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D443C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0B65CC">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C99F1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4DB14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40176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3ED48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48A78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EB4034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27312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3772E3">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20DBF9">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9F0652">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103FDB">
            <w:pPr>
              <w:jc w:val="center"/>
              <w:rPr>
                <w:rFonts w:hint="eastAsia" w:ascii="宋体" w:hAnsi="宋体" w:eastAsia="宋体" w:cs="宋体"/>
                <w:b/>
                <w:bCs/>
                <w:i w:val="0"/>
                <w:iCs w:val="0"/>
                <w:color w:val="000000"/>
                <w:sz w:val="18"/>
                <w:szCs w:val="18"/>
                <w:u w:val="none"/>
              </w:rPr>
            </w:pPr>
          </w:p>
        </w:tc>
      </w:tr>
      <w:tr w14:paraId="47A98A10">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7AA83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843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32A8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8371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房屋改造面积</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E3B2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80ACA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&gt;=9000平方米</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2B0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=9000平方米</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F73B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5C35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83E7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43A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0平方米</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8594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C78A7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331220A">
            <w:pPr>
              <w:jc w:val="center"/>
              <w:rPr>
                <w:rFonts w:hint="eastAsia" w:ascii="宋体" w:hAnsi="宋体" w:eastAsia="宋体" w:cs="宋体"/>
                <w:i w:val="0"/>
                <w:iCs w:val="0"/>
                <w:color w:val="000000"/>
                <w:sz w:val="18"/>
                <w:szCs w:val="18"/>
                <w:u w:val="none"/>
              </w:rPr>
            </w:pPr>
          </w:p>
        </w:tc>
      </w:tr>
      <w:tr w14:paraId="1E07CD24">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FC257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138F8A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153A7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DE2C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年门诊人次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47A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0A66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&gt;=40万人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3EA6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=46.62万人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58DC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116.55%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C0B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C025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B5EE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39.76万人</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FDAF7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7F468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53648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偏差率在标准范围内；</w:t>
            </w:r>
          </w:p>
        </w:tc>
      </w:tr>
      <w:tr w14:paraId="35B0AA26">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BD20E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D6FCF3">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DC0E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9E79A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年住院人次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B1B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84C9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&gt;=3.50万人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34F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=4.97万人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01F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BCCC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7B0C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F37F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3.15万人</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06B9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AE32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A00F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2023年呼吸类疾病高发，住院患者增加；</w:t>
            </w:r>
          </w:p>
        </w:tc>
      </w:tr>
      <w:tr w14:paraId="31E58E20">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2213A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FA927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473C7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6AC3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设备购置数量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765C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018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&gt;=130个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6810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=405个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5F1F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311.54%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861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52C2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80CC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269个</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EBC4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30A65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ECE5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为满足医疗需求，配置相关设备；</w:t>
            </w:r>
          </w:p>
        </w:tc>
      </w:tr>
      <w:tr w14:paraId="5DDFCE48">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ACB83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B28D4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C721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919D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软件购置数量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B92F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0A544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4F20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3F8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B1B7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629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324A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新增</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ADC08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0777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18D9F10">
            <w:pPr>
              <w:jc w:val="center"/>
              <w:rPr>
                <w:rFonts w:hint="eastAsia" w:ascii="宋体" w:hAnsi="宋体" w:eastAsia="宋体" w:cs="宋体"/>
                <w:i w:val="0"/>
                <w:iCs w:val="0"/>
                <w:color w:val="000000"/>
                <w:sz w:val="18"/>
                <w:szCs w:val="18"/>
                <w:u w:val="none"/>
              </w:rPr>
            </w:pPr>
          </w:p>
        </w:tc>
      </w:tr>
      <w:tr w14:paraId="42F46671">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A6A57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63679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3F16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1C5E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E0F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0F2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12A3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F328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50B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089C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9223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57CE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3DA57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B679B45">
            <w:pPr>
              <w:jc w:val="center"/>
              <w:rPr>
                <w:rFonts w:hint="eastAsia" w:ascii="宋体" w:hAnsi="宋体" w:eastAsia="宋体" w:cs="宋体"/>
                <w:i w:val="0"/>
                <w:iCs w:val="0"/>
                <w:color w:val="000000"/>
                <w:sz w:val="18"/>
                <w:szCs w:val="18"/>
                <w:u w:val="none"/>
              </w:rPr>
            </w:pPr>
          </w:p>
        </w:tc>
      </w:tr>
      <w:tr w14:paraId="0AA6BABA">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A1532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FBC64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AB5A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D607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设备维护合格率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A20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E869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B3E2E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F0F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CB1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60BBE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7D68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3E60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78654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E69322D">
            <w:pPr>
              <w:jc w:val="center"/>
              <w:rPr>
                <w:rFonts w:hint="eastAsia" w:ascii="宋体" w:hAnsi="宋体" w:eastAsia="宋体" w:cs="宋体"/>
                <w:i w:val="0"/>
                <w:iCs w:val="0"/>
                <w:color w:val="000000"/>
                <w:sz w:val="18"/>
                <w:szCs w:val="18"/>
                <w:u w:val="none"/>
              </w:rPr>
            </w:pPr>
          </w:p>
        </w:tc>
      </w:tr>
      <w:tr w14:paraId="4BE7F70D">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170ADD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58CADF3">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8535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D186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1E0A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6B8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9ED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6D7B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819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9AA9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67DB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2BCE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0CE20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5B673D1">
            <w:pPr>
              <w:jc w:val="center"/>
              <w:rPr>
                <w:rFonts w:hint="eastAsia" w:ascii="宋体" w:hAnsi="宋体" w:eastAsia="宋体" w:cs="宋体"/>
                <w:i w:val="0"/>
                <w:iCs w:val="0"/>
                <w:color w:val="000000"/>
                <w:sz w:val="18"/>
                <w:szCs w:val="18"/>
                <w:u w:val="none"/>
              </w:rPr>
            </w:pPr>
          </w:p>
        </w:tc>
      </w:tr>
      <w:tr w14:paraId="064CF212">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2D049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26A68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7C55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22CB1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购置完成时间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ED344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48D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&lt;=12月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69705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329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3AF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78AE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1645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≤12月</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46399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31BC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AC2DCCD">
            <w:pPr>
              <w:jc w:val="center"/>
              <w:rPr>
                <w:rFonts w:hint="eastAsia" w:ascii="宋体" w:hAnsi="宋体" w:eastAsia="宋体" w:cs="宋体"/>
                <w:i w:val="0"/>
                <w:iCs w:val="0"/>
                <w:color w:val="000000"/>
                <w:sz w:val="18"/>
                <w:szCs w:val="18"/>
                <w:u w:val="none"/>
              </w:rPr>
            </w:pPr>
          </w:p>
        </w:tc>
      </w:tr>
      <w:tr w14:paraId="1667A6A6">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6D608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080AB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254CE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B55A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项目按计划完工时间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20F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E74F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&lt;=12月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D44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1DCA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FD3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E8A4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6965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大于12月</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B051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7435C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543564F">
            <w:pPr>
              <w:jc w:val="center"/>
              <w:rPr>
                <w:rFonts w:hint="eastAsia" w:ascii="宋体" w:hAnsi="宋体" w:eastAsia="宋体" w:cs="宋体"/>
                <w:i w:val="0"/>
                <w:iCs w:val="0"/>
                <w:color w:val="000000"/>
                <w:sz w:val="18"/>
                <w:szCs w:val="18"/>
                <w:u w:val="none"/>
              </w:rPr>
            </w:pPr>
          </w:p>
        </w:tc>
      </w:tr>
      <w:tr w14:paraId="2E0968C4">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D65168">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F254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86EAA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375B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改造建设成本控制率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769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ACE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1B4F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=32.79%</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7D4D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D536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31B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9AC7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4DF8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2247B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B726E8F">
            <w:pPr>
              <w:jc w:val="center"/>
              <w:rPr>
                <w:rFonts w:hint="eastAsia" w:ascii="宋体" w:hAnsi="宋体" w:eastAsia="宋体" w:cs="宋体"/>
                <w:i w:val="0"/>
                <w:iCs w:val="0"/>
                <w:color w:val="000000"/>
                <w:sz w:val="18"/>
                <w:szCs w:val="18"/>
                <w:u w:val="none"/>
              </w:rPr>
            </w:pPr>
          </w:p>
        </w:tc>
      </w:tr>
      <w:tr w14:paraId="35CE4588">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F5ABA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F8949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DFD0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94CB2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设备购置成本控制率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1EA2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724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241F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=97.42%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15F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C3B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910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6F2B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C112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469E4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080AE6C">
            <w:pPr>
              <w:jc w:val="center"/>
              <w:rPr>
                <w:rFonts w:hint="eastAsia" w:ascii="宋体" w:hAnsi="宋体" w:eastAsia="宋体" w:cs="宋体"/>
                <w:i w:val="0"/>
                <w:iCs w:val="0"/>
                <w:color w:val="000000"/>
                <w:sz w:val="18"/>
                <w:szCs w:val="18"/>
                <w:u w:val="none"/>
              </w:rPr>
            </w:pPr>
          </w:p>
        </w:tc>
      </w:tr>
      <w:tr w14:paraId="6B3595B3">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C178A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8BED3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36802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229E4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药占比</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C25C6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7CF7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&lt;=25%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7082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=15.93%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EC1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E8E9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475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DD5B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3B9E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5075F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A7F7E19">
            <w:pPr>
              <w:jc w:val="center"/>
              <w:rPr>
                <w:rFonts w:hint="eastAsia" w:ascii="宋体" w:hAnsi="宋体" w:eastAsia="宋体" w:cs="宋体"/>
                <w:i w:val="0"/>
                <w:iCs w:val="0"/>
                <w:color w:val="000000"/>
                <w:sz w:val="18"/>
                <w:szCs w:val="18"/>
                <w:u w:val="none"/>
              </w:rPr>
            </w:pPr>
          </w:p>
        </w:tc>
      </w:tr>
      <w:tr w14:paraId="7A8AE81F">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E45EA4">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7733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26FA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ACB8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设备使用率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444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F73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59A4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CBAB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F11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B73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10F7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786DD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5A959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8323795">
            <w:pPr>
              <w:jc w:val="center"/>
              <w:rPr>
                <w:rFonts w:hint="eastAsia" w:ascii="宋体" w:hAnsi="宋体" w:eastAsia="宋体" w:cs="宋体"/>
                <w:i w:val="0"/>
                <w:iCs w:val="0"/>
                <w:color w:val="000000"/>
                <w:sz w:val="18"/>
                <w:szCs w:val="18"/>
                <w:u w:val="none"/>
              </w:rPr>
            </w:pPr>
          </w:p>
        </w:tc>
      </w:tr>
      <w:tr w14:paraId="57254857">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8FE7C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523A4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9F41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D4D5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保障医院新技术、新项目的开展，提升医疗技术水平</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E2F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4E4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持续提升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BCE3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持续提升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1BB9E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7E8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9B6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ED3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持续提升</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47ACF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7D8D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125BDE0">
            <w:pPr>
              <w:jc w:val="center"/>
              <w:rPr>
                <w:rFonts w:hint="eastAsia" w:ascii="宋体" w:hAnsi="宋体" w:eastAsia="宋体" w:cs="宋体"/>
                <w:i w:val="0"/>
                <w:iCs w:val="0"/>
                <w:color w:val="000000"/>
                <w:sz w:val="18"/>
                <w:szCs w:val="18"/>
                <w:u w:val="none"/>
              </w:rPr>
            </w:pPr>
          </w:p>
        </w:tc>
      </w:tr>
      <w:tr w14:paraId="7E81C1ED">
        <w:trPr>
          <w:trHeight w:val="379" w:hRule="atLeast"/>
        </w:trPr>
        <w:tc>
          <w:tcPr>
            <w:tcW w:w="1092" w:type="pct"/>
            <w:gridSpan w:val="4"/>
            <w:tcBorders>
              <w:top w:val="single" w:color="000000" w:sz="4" w:space="0"/>
              <w:left w:val="single" w:color="000000" w:sz="4" w:space="0"/>
              <w:bottom w:val="single" w:color="000000" w:sz="4" w:space="0"/>
              <w:right w:val="nil"/>
            </w:tcBorders>
            <w:shd w:val="clear"/>
            <w:vAlign w:val="center"/>
          </w:tcPr>
          <w:p w14:paraId="624183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A092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0A8C86A5">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3DED8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975B3A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42A4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93.66分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F72A934">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B86810">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1BFCA86">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vAlign w:val="center"/>
          </w:tcPr>
          <w:p w14:paraId="6A22F484">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C03928B">
            <w:pPr>
              <w:rPr>
                <w:rFonts w:hint="eastAsia" w:ascii="宋体" w:hAnsi="宋体" w:eastAsia="宋体" w:cs="宋体"/>
                <w:i w:val="0"/>
                <w:iCs w:val="0"/>
                <w:color w:val="000000"/>
                <w:sz w:val="18"/>
                <w:szCs w:val="18"/>
                <w:u w:val="none"/>
              </w:rPr>
            </w:pPr>
          </w:p>
        </w:tc>
      </w:tr>
    </w:tbl>
    <w:p w14:paraId="20E34372">
      <w:pPr>
        <w:pStyle w:val="10"/>
        <w:spacing w:after="0" w:line="560" w:lineRule="exact"/>
        <w:ind w:left="0" w:leftChars="0" w:firstLine="0" w:firstLineChars="0"/>
        <w:rPr>
          <w:rFonts w:hint="eastAsia" w:ascii="仿宋_GB2312" w:hAnsi="仿宋_GB2312" w:eastAsia="仿宋_GB2312" w:cs="仿宋_GB2312"/>
          <w:sz w:val="32"/>
          <w:szCs w:val="32"/>
          <w:highlight w:val="none"/>
          <w:lang w:eastAsia="zh-Hans"/>
        </w:rPr>
      </w:pPr>
    </w:p>
    <w:p w14:paraId="1AB45248">
      <w:pPr>
        <w:pStyle w:val="2"/>
        <w:rPr>
          <w:rFonts w:ascii="Times New Roman" w:hAnsi="Times New Roman" w:eastAsia="黑体"/>
          <w:b w:val="0"/>
          <w:bCs w:val="0"/>
          <w:highlight w:val="none"/>
        </w:rPr>
      </w:pPr>
    </w:p>
    <w:p w14:paraId="020B62BE">
      <w:pPr>
        <w:pStyle w:val="2"/>
        <w:jc w:val="both"/>
        <w:rPr>
          <w:rFonts w:ascii="Times New Roman" w:hAnsi="Times New Roman"/>
          <w:highlight w:val="none"/>
        </w:rPr>
        <w:sectPr>
          <w:pgSz w:w="16838" w:h="11906" w:orient="landscape"/>
          <w:pgMar w:top="1800" w:right="1440" w:bottom="1616" w:left="1440" w:header="851" w:footer="992" w:gutter="0"/>
          <w:cols w:space="425" w:num="1"/>
          <w:docGrid w:type="lines" w:linePitch="312" w:charSpace="0"/>
        </w:sectPr>
      </w:pPr>
    </w:p>
    <w:p w14:paraId="2B5766DB">
      <w:pPr>
        <w:spacing w:line="600" w:lineRule="exact"/>
        <w:rPr>
          <w:bCs/>
          <w:sz w:val="32"/>
          <w:szCs w:val="32"/>
          <w:highlight w:val="none"/>
        </w:rPr>
      </w:pPr>
      <w:r>
        <w:rPr>
          <w:bCs/>
          <w:sz w:val="32"/>
          <w:szCs w:val="32"/>
          <w:highlight w:val="none"/>
        </w:rPr>
        <w:t>附件1</w:t>
      </w:r>
    </w:p>
    <w:p w14:paraId="5A26C625">
      <w:pPr>
        <w:pStyle w:val="16"/>
        <w:ind w:firstLine="562"/>
        <w:jc w:val="center"/>
        <w:rPr>
          <w:sz w:val="28"/>
          <w:szCs w:val="40"/>
          <w:highlight w:val="none"/>
        </w:rPr>
      </w:pPr>
      <w:bookmarkStart w:id="9" w:name="_Toc30064_WPSOffice_Level1"/>
      <w:bookmarkStart w:id="10" w:name="_Toc26499_WPSOffice_Level2"/>
      <w:r>
        <w:rPr>
          <w:rFonts w:hint="eastAsia"/>
          <w:b/>
          <w:bCs/>
          <w:sz w:val="28"/>
          <w:szCs w:val="40"/>
          <w:highlight w:val="none"/>
        </w:rPr>
        <w:t>医院政府采购项目绩效评价指标体系综合评分表</w:t>
      </w:r>
      <w:bookmarkEnd w:id="9"/>
      <w:bookmarkEnd w:id="10"/>
    </w:p>
    <w:tbl>
      <w:tblPr>
        <w:tblStyle w:val="11"/>
        <w:tblW w:w="499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32"/>
        <w:gridCol w:w="856"/>
        <w:gridCol w:w="975"/>
        <w:gridCol w:w="2626"/>
        <w:gridCol w:w="5802"/>
        <w:gridCol w:w="1451"/>
        <w:gridCol w:w="1521"/>
      </w:tblGrid>
      <w:tr w14:paraId="2BEC56D1">
        <w:trPr>
          <w:trHeight w:val="692" w:hRule="atLeast"/>
          <w:tblHeader/>
          <w:jc w:val="center"/>
        </w:trPr>
        <w:tc>
          <w:tcPr>
            <w:tcW w:w="329" w:type="pct"/>
            <w:shd w:val="clear" w:color="auto" w:fill="FFFFFF"/>
            <w:vAlign w:val="center"/>
          </w:tcPr>
          <w:p w14:paraId="3FE7EA2D">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2B4BB898">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1CD93F3A">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2AAD5430">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7" w:type="pct"/>
            <w:shd w:val="clear" w:color="auto" w:fill="FFFFFF"/>
            <w:vAlign w:val="center"/>
          </w:tcPr>
          <w:p w14:paraId="29DCCAEE">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68C4DD4F">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717615AE">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F74F5B6">
        <w:trPr>
          <w:trHeight w:val="2919" w:hRule="atLeast"/>
          <w:jc w:val="center"/>
        </w:trPr>
        <w:tc>
          <w:tcPr>
            <w:tcW w:w="329" w:type="pct"/>
            <w:vMerge w:val="restart"/>
            <w:shd w:val="clear" w:color="auto" w:fill="FFFFFF"/>
            <w:vAlign w:val="center"/>
          </w:tcPr>
          <w:p w14:paraId="5F83E235">
            <w:pPr>
              <w:widowControl/>
              <w:spacing w:line="0" w:lineRule="atLeast"/>
              <w:jc w:val="center"/>
              <w:rPr>
                <w:color w:val="000000"/>
                <w:kern w:val="0"/>
                <w:sz w:val="22"/>
                <w:szCs w:val="22"/>
                <w:highlight w:val="none"/>
              </w:rPr>
            </w:pPr>
            <w:r>
              <w:rPr>
                <w:color w:val="000000"/>
                <w:kern w:val="0"/>
                <w:sz w:val="22"/>
                <w:szCs w:val="22"/>
                <w:highlight w:val="none"/>
              </w:rPr>
              <w:t>决策　</w:t>
            </w:r>
          </w:p>
          <w:p w14:paraId="08525442">
            <w:pPr>
              <w:widowControl/>
              <w:spacing w:line="0" w:lineRule="atLeast"/>
              <w:jc w:val="center"/>
              <w:rPr>
                <w:color w:val="000000"/>
                <w:kern w:val="0"/>
                <w:sz w:val="22"/>
                <w:szCs w:val="22"/>
                <w:highlight w:val="none"/>
              </w:rPr>
            </w:pPr>
            <w:r>
              <w:rPr>
                <w:color w:val="000000"/>
                <w:kern w:val="0"/>
                <w:sz w:val="22"/>
                <w:szCs w:val="22"/>
                <w:highlight w:val="none"/>
              </w:rPr>
              <w:t>　</w:t>
            </w:r>
          </w:p>
          <w:p w14:paraId="3DE1AE4B">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372616EB">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7CAA2899">
            <w:pPr>
              <w:widowControl/>
              <w:spacing w:line="0" w:lineRule="atLeast"/>
              <w:jc w:val="center"/>
              <w:rPr>
                <w:color w:val="000000"/>
                <w:kern w:val="0"/>
                <w:sz w:val="22"/>
                <w:szCs w:val="22"/>
                <w:highlight w:val="none"/>
              </w:rPr>
            </w:pPr>
            <w:r>
              <w:rPr>
                <w:color w:val="000000"/>
                <w:kern w:val="0"/>
                <w:sz w:val="22"/>
                <w:szCs w:val="22"/>
                <w:highlight w:val="none"/>
              </w:rPr>
              <w:t>立项依据</w:t>
            </w:r>
          </w:p>
          <w:p w14:paraId="6582F016">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28CA93EB">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7" w:type="pct"/>
            <w:shd w:val="clear" w:color="auto" w:fill="FFFFFF"/>
            <w:vAlign w:val="center"/>
          </w:tcPr>
          <w:p w14:paraId="4BCDE32F">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4E590F7A">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0370E71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BA60F26">
        <w:trPr>
          <w:trHeight w:val="1640" w:hRule="atLeast"/>
          <w:jc w:val="center"/>
        </w:trPr>
        <w:tc>
          <w:tcPr>
            <w:tcW w:w="329" w:type="pct"/>
            <w:vMerge w:val="continue"/>
            <w:shd w:val="clear" w:color="auto" w:fill="FFFFFF"/>
            <w:vAlign w:val="center"/>
          </w:tcPr>
          <w:p w14:paraId="34D9B7AE">
            <w:pPr>
              <w:spacing w:line="0" w:lineRule="atLeast"/>
              <w:jc w:val="center"/>
              <w:rPr>
                <w:color w:val="000000"/>
                <w:kern w:val="0"/>
                <w:sz w:val="22"/>
                <w:szCs w:val="22"/>
                <w:highlight w:val="none"/>
              </w:rPr>
            </w:pPr>
          </w:p>
        </w:tc>
        <w:tc>
          <w:tcPr>
            <w:tcW w:w="302" w:type="pct"/>
            <w:vMerge w:val="continue"/>
            <w:shd w:val="clear" w:color="auto" w:fill="FFFFFF"/>
            <w:vAlign w:val="center"/>
          </w:tcPr>
          <w:p w14:paraId="126A4443">
            <w:pPr>
              <w:widowControl/>
              <w:spacing w:line="0" w:lineRule="atLeast"/>
              <w:jc w:val="center"/>
              <w:rPr>
                <w:color w:val="000000"/>
                <w:kern w:val="0"/>
                <w:sz w:val="22"/>
                <w:szCs w:val="22"/>
                <w:highlight w:val="none"/>
              </w:rPr>
            </w:pPr>
          </w:p>
        </w:tc>
        <w:tc>
          <w:tcPr>
            <w:tcW w:w="344" w:type="pct"/>
            <w:shd w:val="clear" w:color="auto" w:fill="FFFFFF"/>
            <w:vAlign w:val="center"/>
          </w:tcPr>
          <w:p w14:paraId="7907489F">
            <w:pPr>
              <w:widowControl/>
              <w:spacing w:line="0" w:lineRule="atLeast"/>
              <w:jc w:val="center"/>
              <w:rPr>
                <w:color w:val="000000"/>
                <w:kern w:val="0"/>
                <w:sz w:val="22"/>
                <w:szCs w:val="22"/>
                <w:highlight w:val="none"/>
              </w:rPr>
            </w:pPr>
            <w:r>
              <w:rPr>
                <w:color w:val="000000"/>
                <w:kern w:val="0"/>
                <w:sz w:val="22"/>
                <w:szCs w:val="22"/>
                <w:highlight w:val="none"/>
              </w:rPr>
              <w:t>立项程序</w:t>
            </w:r>
          </w:p>
          <w:p w14:paraId="4DCDBE3A">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3A8464D9">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7" w:type="pct"/>
            <w:shd w:val="clear" w:color="auto" w:fill="FFFFFF"/>
            <w:vAlign w:val="center"/>
          </w:tcPr>
          <w:p w14:paraId="2B6A034F">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179BAEE2">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1C2428F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486F945">
        <w:trPr>
          <w:trHeight w:val="1919" w:hRule="atLeast"/>
          <w:jc w:val="center"/>
        </w:trPr>
        <w:tc>
          <w:tcPr>
            <w:tcW w:w="329" w:type="pct"/>
            <w:vMerge w:val="continue"/>
            <w:shd w:val="clear" w:color="auto" w:fill="FFFFFF"/>
            <w:vAlign w:val="center"/>
          </w:tcPr>
          <w:p w14:paraId="13E3A8EB">
            <w:pPr>
              <w:spacing w:line="0" w:lineRule="atLeast"/>
              <w:jc w:val="center"/>
              <w:rPr>
                <w:color w:val="000000"/>
                <w:kern w:val="0"/>
                <w:sz w:val="22"/>
                <w:szCs w:val="22"/>
                <w:highlight w:val="none"/>
              </w:rPr>
            </w:pPr>
          </w:p>
        </w:tc>
        <w:tc>
          <w:tcPr>
            <w:tcW w:w="302" w:type="pct"/>
            <w:shd w:val="clear" w:color="auto" w:fill="FFFFFF"/>
            <w:vAlign w:val="center"/>
          </w:tcPr>
          <w:p w14:paraId="4DE48AF6">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4C5FBC12">
            <w:pPr>
              <w:widowControl/>
              <w:spacing w:line="0" w:lineRule="atLeast"/>
              <w:jc w:val="center"/>
              <w:rPr>
                <w:color w:val="000000"/>
                <w:kern w:val="0"/>
                <w:sz w:val="22"/>
                <w:szCs w:val="22"/>
                <w:highlight w:val="none"/>
              </w:rPr>
            </w:pPr>
            <w:r>
              <w:rPr>
                <w:color w:val="000000"/>
                <w:kern w:val="0"/>
                <w:sz w:val="22"/>
                <w:szCs w:val="22"/>
                <w:highlight w:val="none"/>
              </w:rPr>
              <w:t>绩效目标</w:t>
            </w:r>
          </w:p>
          <w:p w14:paraId="23780B36">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6ABBA200">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7" w:type="pct"/>
            <w:shd w:val="clear" w:color="000000" w:fill="FFFFFF"/>
            <w:vAlign w:val="center"/>
          </w:tcPr>
          <w:p w14:paraId="61FA0065">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39EF1ED3">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57F278B6">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3D669FC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093361E">
        <w:trPr>
          <w:trHeight w:val="1464" w:hRule="atLeast"/>
          <w:jc w:val="center"/>
        </w:trPr>
        <w:tc>
          <w:tcPr>
            <w:tcW w:w="329" w:type="pct"/>
            <w:vMerge w:val="restart"/>
            <w:shd w:val="clear" w:color="auto" w:fill="FFFFFF"/>
            <w:vAlign w:val="center"/>
          </w:tcPr>
          <w:p w14:paraId="3D939F04">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3BDAF429">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17B0D01E">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E4E62C5">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65530995">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7" w:type="pct"/>
            <w:shd w:val="clear" w:color="000000" w:fill="FFFFFF"/>
            <w:vAlign w:val="center"/>
          </w:tcPr>
          <w:p w14:paraId="16602A93">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0A081FEB">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10F88B4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800A79B">
        <w:trPr>
          <w:trHeight w:val="1942" w:hRule="atLeast"/>
          <w:jc w:val="center"/>
        </w:trPr>
        <w:tc>
          <w:tcPr>
            <w:tcW w:w="329" w:type="pct"/>
            <w:vMerge w:val="continue"/>
            <w:shd w:val="clear" w:color="auto" w:fill="FFFFFF"/>
            <w:vAlign w:val="center"/>
          </w:tcPr>
          <w:p w14:paraId="5AC0C5DD">
            <w:pPr>
              <w:spacing w:line="0" w:lineRule="atLeast"/>
              <w:jc w:val="center"/>
              <w:rPr>
                <w:color w:val="000000"/>
                <w:kern w:val="0"/>
                <w:sz w:val="22"/>
                <w:szCs w:val="22"/>
                <w:highlight w:val="none"/>
              </w:rPr>
            </w:pPr>
          </w:p>
        </w:tc>
        <w:tc>
          <w:tcPr>
            <w:tcW w:w="302" w:type="pct"/>
            <w:vMerge w:val="restart"/>
            <w:shd w:val="clear" w:color="auto" w:fill="FFFFFF"/>
            <w:vAlign w:val="center"/>
          </w:tcPr>
          <w:p w14:paraId="4D8A20C3">
            <w:pPr>
              <w:widowControl/>
              <w:spacing w:line="0" w:lineRule="atLeast"/>
              <w:jc w:val="center"/>
              <w:rPr>
                <w:color w:val="000000"/>
                <w:kern w:val="0"/>
                <w:sz w:val="22"/>
                <w:szCs w:val="22"/>
                <w:highlight w:val="none"/>
              </w:rPr>
            </w:pPr>
            <w:r>
              <w:rPr>
                <w:color w:val="000000"/>
                <w:kern w:val="0"/>
                <w:sz w:val="22"/>
                <w:szCs w:val="22"/>
                <w:highlight w:val="none"/>
              </w:rPr>
              <w:t>资金投入</w:t>
            </w:r>
          </w:p>
          <w:p w14:paraId="256732ED">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46BB42A9">
            <w:pPr>
              <w:widowControl/>
              <w:spacing w:line="0" w:lineRule="atLeast"/>
              <w:jc w:val="center"/>
              <w:rPr>
                <w:color w:val="000000"/>
                <w:kern w:val="0"/>
                <w:sz w:val="22"/>
                <w:szCs w:val="22"/>
                <w:highlight w:val="none"/>
              </w:rPr>
            </w:pPr>
            <w:r>
              <w:rPr>
                <w:color w:val="000000"/>
                <w:kern w:val="0"/>
                <w:sz w:val="22"/>
                <w:szCs w:val="22"/>
                <w:highlight w:val="none"/>
              </w:rPr>
              <w:t>预算编制</w:t>
            </w:r>
          </w:p>
          <w:p w14:paraId="198E8344">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0753ADEF">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7" w:type="pct"/>
            <w:shd w:val="clear" w:color="auto" w:fill="FFFFFF"/>
            <w:vAlign w:val="center"/>
          </w:tcPr>
          <w:p w14:paraId="361FD6D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7A83E50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6701D1E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0421AF6">
        <w:trPr>
          <w:trHeight w:val="1706" w:hRule="atLeast"/>
          <w:jc w:val="center"/>
        </w:trPr>
        <w:tc>
          <w:tcPr>
            <w:tcW w:w="329" w:type="pct"/>
            <w:vMerge w:val="continue"/>
            <w:shd w:val="clear" w:color="auto" w:fill="FFFFFF"/>
            <w:vAlign w:val="center"/>
          </w:tcPr>
          <w:p w14:paraId="0854F74C">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70828F64">
            <w:pPr>
              <w:widowControl/>
              <w:spacing w:line="0" w:lineRule="atLeast"/>
              <w:jc w:val="center"/>
              <w:rPr>
                <w:color w:val="000000"/>
                <w:kern w:val="0"/>
                <w:sz w:val="22"/>
                <w:szCs w:val="22"/>
                <w:highlight w:val="none"/>
              </w:rPr>
            </w:pPr>
          </w:p>
        </w:tc>
        <w:tc>
          <w:tcPr>
            <w:tcW w:w="344" w:type="pct"/>
            <w:shd w:val="clear" w:color="auto" w:fill="FFFFFF"/>
            <w:vAlign w:val="center"/>
          </w:tcPr>
          <w:p w14:paraId="295481E9">
            <w:pPr>
              <w:widowControl/>
              <w:spacing w:line="0" w:lineRule="atLeast"/>
              <w:jc w:val="center"/>
              <w:rPr>
                <w:color w:val="000000"/>
                <w:kern w:val="0"/>
                <w:sz w:val="22"/>
                <w:szCs w:val="22"/>
                <w:highlight w:val="none"/>
              </w:rPr>
            </w:pPr>
            <w:r>
              <w:rPr>
                <w:color w:val="000000"/>
                <w:kern w:val="0"/>
                <w:sz w:val="22"/>
                <w:szCs w:val="22"/>
                <w:highlight w:val="none"/>
              </w:rPr>
              <w:t>资金分配</w:t>
            </w:r>
          </w:p>
          <w:p w14:paraId="4F57DAE9">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16F67D61">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7" w:type="pct"/>
            <w:shd w:val="clear" w:color="auto" w:fill="FFFFFF"/>
            <w:vAlign w:val="center"/>
          </w:tcPr>
          <w:p w14:paraId="3464AD9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5D8C1D5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2E7EEA7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A47A461">
        <w:trPr>
          <w:trHeight w:val="1415" w:hRule="atLeast"/>
          <w:jc w:val="center"/>
        </w:trPr>
        <w:tc>
          <w:tcPr>
            <w:tcW w:w="329" w:type="pct"/>
            <w:vMerge w:val="restart"/>
            <w:shd w:val="clear" w:color="auto" w:fill="FFFFFF"/>
            <w:vAlign w:val="center"/>
          </w:tcPr>
          <w:p w14:paraId="02BE982C">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6CFE1914">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109F3D46">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7F5F9BF4">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7" w:type="pct"/>
            <w:shd w:val="clear" w:color="000000" w:fill="FFFFFF"/>
            <w:vAlign w:val="center"/>
          </w:tcPr>
          <w:p w14:paraId="096D296A">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1F5F4AE9">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68C1014E">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0F9D2EF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0BEB972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E4A4442">
        <w:trPr>
          <w:trHeight w:val="1320" w:hRule="atLeast"/>
          <w:jc w:val="center"/>
        </w:trPr>
        <w:tc>
          <w:tcPr>
            <w:tcW w:w="329" w:type="pct"/>
            <w:vMerge w:val="continue"/>
            <w:shd w:val="clear" w:color="auto" w:fill="FFFFFF"/>
            <w:vAlign w:val="center"/>
          </w:tcPr>
          <w:p w14:paraId="077B8CBC">
            <w:pPr>
              <w:spacing w:line="0" w:lineRule="atLeast"/>
              <w:jc w:val="center"/>
              <w:rPr>
                <w:color w:val="000000"/>
                <w:kern w:val="0"/>
                <w:sz w:val="22"/>
                <w:szCs w:val="22"/>
                <w:highlight w:val="none"/>
              </w:rPr>
            </w:pPr>
          </w:p>
        </w:tc>
        <w:tc>
          <w:tcPr>
            <w:tcW w:w="302" w:type="pct"/>
            <w:vMerge w:val="continue"/>
            <w:shd w:val="clear" w:color="auto" w:fill="FFFFFF"/>
            <w:vAlign w:val="center"/>
          </w:tcPr>
          <w:p w14:paraId="48DF468F">
            <w:pPr>
              <w:spacing w:line="0" w:lineRule="atLeast"/>
              <w:jc w:val="center"/>
              <w:rPr>
                <w:color w:val="000000"/>
                <w:kern w:val="0"/>
                <w:sz w:val="22"/>
                <w:szCs w:val="22"/>
                <w:highlight w:val="none"/>
              </w:rPr>
            </w:pPr>
          </w:p>
        </w:tc>
        <w:tc>
          <w:tcPr>
            <w:tcW w:w="344" w:type="pct"/>
            <w:shd w:val="clear" w:color="auto" w:fill="FFFFFF"/>
            <w:vAlign w:val="center"/>
          </w:tcPr>
          <w:p w14:paraId="420D7322">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318AD66B">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7" w:type="pct"/>
            <w:shd w:val="clear" w:color="auto" w:fill="FFFFFF"/>
            <w:vAlign w:val="center"/>
          </w:tcPr>
          <w:p w14:paraId="03C9CB0A">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3631AF8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236CF8BA">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14:paraId="2157ED11">
        <w:trPr>
          <w:trHeight w:val="2076" w:hRule="atLeast"/>
          <w:jc w:val="center"/>
        </w:trPr>
        <w:tc>
          <w:tcPr>
            <w:tcW w:w="329" w:type="pct"/>
            <w:vMerge w:val="restart"/>
            <w:shd w:val="clear" w:color="auto" w:fill="FFFFFF"/>
            <w:vAlign w:val="center"/>
          </w:tcPr>
          <w:p w14:paraId="2E6CF0CD">
            <w:pPr>
              <w:widowControl/>
              <w:spacing w:line="0" w:lineRule="atLeast"/>
              <w:jc w:val="center"/>
              <w:rPr>
                <w:color w:val="000000"/>
                <w:kern w:val="0"/>
                <w:sz w:val="22"/>
                <w:szCs w:val="22"/>
                <w:highlight w:val="none"/>
              </w:rPr>
            </w:pPr>
            <w:r>
              <w:rPr>
                <w:color w:val="000000"/>
                <w:kern w:val="0"/>
                <w:sz w:val="22"/>
                <w:szCs w:val="22"/>
                <w:highlight w:val="none"/>
              </w:rPr>
              <w:t>　</w:t>
            </w:r>
          </w:p>
          <w:p w14:paraId="4418ECA8">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7D31FB5A">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19EFFCBA">
            <w:pPr>
              <w:widowControl/>
              <w:spacing w:line="0" w:lineRule="atLeast"/>
              <w:jc w:val="center"/>
              <w:rPr>
                <w:color w:val="000000"/>
                <w:kern w:val="0"/>
                <w:sz w:val="22"/>
                <w:szCs w:val="22"/>
                <w:highlight w:val="none"/>
              </w:rPr>
            </w:pPr>
            <w:r>
              <w:rPr>
                <w:color w:val="000000"/>
                <w:kern w:val="0"/>
                <w:sz w:val="22"/>
                <w:szCs w:val="22"/>
                <w:highlight w:val="none"/>
              </w:rPr>
              <w:t>资金使用</w:t>
            </w:r>
          </w:p>
          <w:p w14:paraId="57D81197">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35341FC5">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7" w:type="pct"/>
            <w:shd w:val="clear" w:color="000000" w:fill="FFFFFF"/>
            <w:vAlign w:val="center"/>
          </w:tcPr>
          <w:p w14:paraId="10E6255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1AC2866B">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0C67C3FA">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14:paraId="64F0E931">
        <w:trPr>
          <w:trHeight w:val="1797" w:hRule="atLeast"/>
          <w:jc w:val="center"/>
        </w:trPr>
        <w:tc>
          <w:tcPr>
            <w:tcW w:w="329" w:type="pct"/>
            <w:vMerge w:val="continue"/>
            <w:shd w:val="clear" w:color="auto" w:fill="FFFFFF"/>
            <w:vAlign w:val="center"/>
          </w:tcPr>
          <w:p w14:paraId="5E81A6B8">
            <w:pPr>
              <w:spacing w:line="0" w:lineRule="atLeast"/>
              <w:jc w:val="center"/>
              <w:rPr>
                <w:color w:val="000000"/>
                <w:kern w:val="0"/>
                <w:sz w:val="22"/>
                <w:szCs w:val="22"/>
                <w:highlight w:val="none"/>
              </w:rPr>
            </w:pPr>
          </w:p>
        </w:tc>
        <w:tc>
          <w:tcPr>
            <w:tcW w:w="302" w:type="pct"/>
            <w:vMerge w:val="restart"/>
            <w:shd w:val="clear" w:color="auto" w:fill="FFFFFF"/>
            <w:vAlign w:val="center"/>
          </w:tcPr>
          <w:p w14:paraId="30F077F4">
            <w:pPr>
              <w:widowControl/>
              <w:spacing w:line="0" w:lineRule="atLeast"/>
              <w:jc w:val="center"/>
              <w:rPr>
                <w:color w:val="000000"/>
                <w:kern w:val="0"/>
                <w:sz w:val="22"/>
                <w:szCs w:val="22"/>
                <w:highlight w:val="none"/>
              </w:rPr>
            </w:pPr>
            <w:r>
              <w:rPr>
                <w:color w:val="000000"/>
                <w:kern w:val="0"/>
                <w:sz w:val="22"/>
                <w:szCs w:val="22"/>
                <w:highlight w:val="none"/>
              </w:rPr>
              <w:t>组织实施</w:t>
            </w:r>
          </w:p>
          <w:p w14:paraId="5C3CE357">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39CBBA00">
            <w:pPr>
              <w:widowControl/>
              <w:spacing w:line="0" w:lineRule="atLeast"/>
              <w:jc w:val="center"/>
              <w:rPr>
                <w:color w:val="000000"/>
                <w:kern w:val="0"/>
                <w:sz w:val="22"/>
                <w:szCs w:val="22"/>
                <w:highlight w:val="none"/>
              </w:rPr>
            </w:pPr>
            <w:r>
              <w:rPr>
                <w:color w:val="000000"/>
                <w:kern w:val="0"/>
                <w:sz w:val="22"/>
                <w:szCs w:val="22"/>
                <w:highlight w:val="none"/>
              </w:rPr>
              <w:t>管理制度</w:t>
            </w:r>
          </w:p>
          <w:p w14:paraId="5BD7064B">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5D5AA0CC">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7" w:type="pct"/>
            <w:shd w:val="clear" w:color="000000" w:fill="FFFFFF"/>
            <w:vAlign w:val="center"/>
          </w:tcPr>
          <w:p w14:paraId="54C33A9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1FCEA59C">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72294C9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B2C4985">
        <w:trPr>
          <w:trHeight w:val="1769" w:hRule="atLeast"/>
          <w:jc w:val="center"/>
        </w:trPr>
        <w:tc>
          <w:tcPr>
            <w:tcW w:w="329" w:type="pct"/>
            <w:vMerge w:val="continue"/>
            <w:shd w:val="clear" w:color="auto" w:fill="FFFFFF"/>
            <w:vAlign w:val="center"/>
          </w:tcPr>
          <w:p w14:paraId="6741FFBB">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5C21535C">
            <w:pPr>
              <w:widowControl/>
              <w:spacing w:line="0" w:lineRule="atLeast"/>
              <w:jc w:val="center"/>
              <w:rPr>
                <w:color w:val="000000"/>
                <w:kern w:val="0"/>
                <w:sz w:val="22"/>
                <w:szCs w:val="22"/>
                <w:highlight w:val="none"/>
              </w:rPr>
            </w:pPr>
          </w:p>
        </w:tc>
        <w:tc>
          <w:tcPr>
            <w:tcW w:w="344" w:type="pct"/>
            <w:shd w:val="clear" w:color="auto" w:fill="FFFFFF"/>
            <w:vAlign w:val="center"/>
          </w:tcPr>
          <w:p w14:paraId="3C40C624">
            <w:pPr>
              <w:widowControl/>
              <w:spacing w:line="0" w:lineRule="atLeast"/>
              <w:jc w:val="center"/>
              <w:rPr>
                <w:color w:val="000000"/>
                <w:kern w:val="0"/>
                <w:sz w:val="22"/>
                <w:szCs w:val="22"/>
                <w:highlight w:val="none"/>
              </w:rPr>
            </w:pPr>
            <w:r>
              <w:rPr>
                <w:color w:val="000000"/>
                <w:kern w:val="0"/>
                <w:sz w:val="22"/>
                <w:szCs w:val="22"/>
                <w:highlight w:val="none"/>
              </w:rPr>
              <w:t>制度执行</w:t>
            </w:r>
          </w:p>
          <w:p w14:paraId="3E7981CF">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12FADED7">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7" w:type="pct"/>
            <w:shd w:val="clear" w:color="000000" w:fill="FFFFFF"/>
            <w:vAlign w:val="center"/>
          </w:tcPr>
          <w:p w14:paraId="30C7C99E">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593E7F9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43596D3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442F243">
        <w:trPr>
          <w:trHeight w:val="1917" w:hRule="atLeast"/>
          <w:jc w:val="center"/>
        </w:trPr>
        <w:tc>
          <w:tcPr>
            <w:tcW w:w="329" w:type="pct"/>
            <w:vMerge w:val="restart"/>
            <w:shd w:val="clear" w:color="auto" w:fill="FFFFFF"/>
            <w:vAlign w:val="center"/>
          </w:tcPr>
          <w:p w14:paraId="7B8E2B31">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2DD2AD08">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585ED8E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20455704">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7" w:type="pct"/>
            <w:shd w:val="clear" w:color="000000" w:fill="FFFFFF"/>
            <w:vAlign w:val="center"/>
          </w:tcPr>
          <w:p w14:paraId="43EC9542">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51DF991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0D9078E3">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8.94</w:t>
            </w:r>
          </w:p>
        </w:tc>
      </w:tr>
      <w:tr w14:paraId="755FAEE5">
        <w:trPr>
          <w:trHeight w:val="1718" w:hRule="atLeast"/>
          <w:jc w:val="center"/>
        </w:trPr>
        <w:tc>
          <w:tcPr>
            <w:tcW w:w="329" w:type="pct"/>
            <w:vMerge w:val="continue"/>
            <w:shd w:val="clear" w:color="auto" w:fill="FFFFFF"/>
            <w:vAlign w:val="center"/>
          </w:tcPr>
          <w:p w14:paraId="03AC11E4">
            <w:pPr>
              <w:widowControl/>
              <w:spacing w:line="0" w:lineRule="atLeast"/>
              <w:jc w:val="center"/>
              <w:rPr>
                <w:color w:val="000000"/>
                <w:kern w:val="0"/>
                <w:sz w:val="22"/>
                <w:szCs w:val="22"/>
                <w:highlight w:val="none"/>
              </w:rPr>
            </w:pPr>
          </w:p>
        </w:tc>
        <w:tc>
          <w:tcPr>
            <w:tcW w:w="302" w:type="pct"/>
            <w:shd w:val="clear" w:color="auto" w:fill="FFFFFF"/>
            <w:vAlign w:val="center"/>
          </w:tcPr>
          <w:p w14:paraId="3B17671E">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55307971">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2B95E8BD">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7" w:type="pct"/>
            <w:shd w:val="clear" w:color="000000" w:fill="FFFFFF"/>
            <w:vAlign w:val="center"/>
          </w:tcPr>
          <w:p w14:paraId="53A31A5D">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7FC92E98">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2B617534">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5CB24E1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F21AB42">
        <w:trPr>
          <w:trHeight w:val="1506" w:hRule="atLeast"/>
          <w:jc w:val="center"/>
        </w:trPr>
        <w:tc>
          <w:tcPr>
            <w:tcW w:w="329" w:type="pct"/>
            <w:vMerge w:val="continue"/>
            <w:shd w:val="clear" w:color="auto" w:fill="FFFFFF"/>
            <w:vAlign w:val="center"/>
          </w:tcPr>
          <w:p w14:paraId="770DC04E">
            <w:pPr>
              <w:spacing w:line="0" w:lineRule="atLeast"/>
              <w:jc w:val="center"/>
              <w:rPr>
                <w:color w:val="000000"/>
                <w:kern w:val="0"/>
                <w:sz w:val="22"/>
                <w:szCs w:val="22"/>
                <w:highlight w:val="none"/>
              </w:rPr>
            </w:pPr>
          </w:p>
        </w:tc>
        <w:tc>
          <w:tcPr>
            <w:tcW w:w="302" w:type="pct"/>
            <w:shd w:val="clear" w:color="auto" w:fill="FFFFFF"/>
            <w:vAlign w:val="center"/>
          </w:tcPr>
          <w:p w14:paraId="54EF896C">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1BFF1ADB">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4E5F4ABA">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7" w:type="pct"/>
            <w:shd w:val="clear" w:color="000000" w:fill="FFFFFF"/>
            <w:vAlign w:val="center"/>
          </w:tcPr>
          <w:p w14:paraId="7424AFB4">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50A6A02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3037A33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AB54A37">
        <w:trPr>
          <w:trHeight w:val="2076" w:hRule="atLeast"/>
          <w:jc w:val="center"/>
        </w:trPr>
        <w:tc>
          <w:tcPr>
            <w:tcW w:w="329" w:type="pct"/>
            <w:vMerge w:val="continue"/>
            <w:shd w:val="clear" w:color="auto" w:fill="FFFFFF"/>
            <w:vAlign w:val="center"/>
          </w:tcPr>
          <w:p w14:paraId="5B0147FA">
            <w:pPr>
              <w:widowControl/>
              <w:spacing w:line="0" w:lineRule="atLeast"/>
              <w:jc w:val="center"/>
              <w:rPr>
                <w:color w:val="000000"/>
                <w:kern w:val="0"/>
                <w:sz w:val="22"/>
                <w:szCs w:val="22"/>
                <w:highlight w:val="none"/>
              </w:rPr>
            </w:pPr>
          </w:p>
        </w:tc>
        <w:tc>
          <w:tcPr>
            <w:tcW w:w="302" w:type="pct"/>
            <w:shd w:val="clear" w:color="auto" w:fill="FFFFFF"/>
            <w:vAlign w:val="center"/>
          </w:tcPr>
          <w:p w14:paraId="53E5B223">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6E6D3217">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05D5C771">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7" w:type="pct"/>
            <w:shd w:val="clear" w:color="000000" w:fill="FFFFFF"/>
            <w:vAlign w:val="center"/>
          </w:tcPr>
          <w:p w14:paraId="5189F0C7">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2AED2E7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232EF56B">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769ABF0">
        <w:trPr>
          <w:trHeight w:val="889" w:hRule="atLeast"/>
          <w:jc w:val="center"/>
        </w:trPr>
        <w:tc>
          <w:tcPr>
            <w:tcW w:w="329" w:type="pct"/>
            <w:vMerge w:val="restart"/>
            <w:shd w:val="clear" w:color="auto" w:fill="FFFFFF"/>
            <w:vAlign w:val="center"/>
          </w:tcPr>
          <w:p w14:paraId="395541B2">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33A87CC0">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7CE4E35D">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4CB62401">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7" w:type="pct"/>
            <w:shd w:val="clear" w:color="auto" w:fill="FFFFFF"/>
            <w:vAlign w:val="center"/>
          </w:tcPr>
          <w:p w14:paraId="5621B0DE">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0F7BF3D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auto" w:fill="FFFFFF"/>
            <w:vAlign w:val="center"/>
          </w:tcPr>
          <w:p w14:paraId="7B1D4DF2">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7BAA8846">
        <w:trPr>
          <w:trHeight w:val="1137" w:hRule="atLeast"/>
          <w:jc w:val="center"/>
        </w:trPr>
        <w:tc>
          <w:tcPr>
            <w:tcW w:w="329" w:type="pct"/>
            <w:vMerge w:val="continue"/>
            <w:shd w:val="clear" w:color="auto" w:fill="FFFFFF"/>
            <w:vAlign w:val="center"/>
          </w:tcPr>
          <w:p w14:paraId="407B8EF8">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64532D7">
            <w:pPr>
              <w:widowControl/>
              <w:spacing w:line="0" w:lineRule="atLeast"/>
              <w:jc w:val="center"/>
              <w:rPr>
                <w:color w:val="000000"/>
                <w:kern w:val="0"/>
                <w:sz w:val="22"/>
                <w:szCs w:val="22"/>
                <w:highlight w:val="none"/>
              </w:rPr>
            </w:pPr>
          </w:p>
        </w:tc>
        <w:tc>
          <w:tcPr>
            <w:tcW w:w="344" w:type="pct"/>
            <w:shd w:val="clear" w:color="auto" w:fill="FFFFFF"/>
            <w:vAlign w:val="center"/>
          </w:tcPr>
          <w:p w14:paraId="1B27BADB">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1CBF73E5">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7" w:type="pct"/>
            <w:shd w:val="clear" w:color="000000" w:fill="FFFFFF"/>
            <w:vAlign w:val="center"/>
          </w:tcPr>
          <w:p w14:paraId="19E9A7E2">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18E9C45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c>
          <w:tcPr>
            <w:tcW w:w="537" w:type="pct"/>
            <w:shd w:val="clear" w:color="000000" w:fill="FFFFFF"/>
            <w:vAlign w:val="center"/>
          </w:tcPr>
          <w:p w14:paraId="088DA29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B12C54A">
        <w:trPr>
          <w:trHeight w:val="657" w:hRule="atLeast"/>
          <w:jc w:val="center"/>
        </w:trPr>
        <w:tc>
          <w:tcPr>
            <w:tcW w:w="3950" w:type="pct"/>
            <w:gridSpan w:val="5"/>
            <w:shd w:val="clear" w:color="auto" w:fill="FFFFFF"/>
            <w:vAlign w:val="center"/>
          </w:tcPr>
          <w:p w14:paraId="4F3550AE">
            <w:pPr>
              <w:widowControl/>
              <w:spacing w:line="0" w:lineRule="atLeast"/>
              <w:jc w:val="center"/>
              <w:rPr>
                <w:rFonts w:hint="eastAsia" w:eastAsia="宋体"/>
                <w:color w:val="000000"/>
                <w:kern w:val="0"/>
                <w:sz w:val="22"/>
                <w:szCs w:val="22"/>
                <w:highlight w:val="none"/>
                <w:lang w:val="en-US" w:eastAsia="zh-CN"/>
              </w:rPr>
            </w:pPr>
            <w:r>
              <w:rPr>
                <w:rFonts w:hint="eastAsia"/>
                <w:b/>
                <w:bCs/>
                <w:color w:val="000000"/>
                <w:kern w:val="0"/>
                <w:sz w:val="22"/>
                <w:szCs w:val="22"/>
                <w:highlight w:val="none"/>
                <w:lang w:val="en-US" w:eastAsia="zh-CN"/>
              </w:rPr>
              <w:t>合计</w:t>
            </w:r>
          </w:p>
        </w:tc>
        <w:tc>
          <w:tcPr>
            <w:tcW w:w="512" w:type="pct"/>
            <w:shd w:val="clear" w:color="000000" w:fill="FFFFFF"/>
            <w:vAlign w:val="center"/>
          </w:tcPr>
          <w:p w14:paraId="0815CE9A">
            <w:pPr>
              <w:widowControl/>
              <w:spacing w:line="0" w:lineRule="atLeast"/>
              <w:jc w:val="center"/>
              <w:rPr>
                <w:rFonts w:hint="default"/>
                <w:b/>
                <w:bCs/>
                <w:color w:val="000000"/>
                <w:kern w:val="0"/>
                <w:sz w:val="22"/>
                <w:szCs w:val="22"/>
                <w:highlight w:val="none"/>
                <w:lang w:val="en-US" w:eastAsia="zh-CN"/>
              </w:rPr>
            </w:pPr>
            <w:r>
              <w:rPr>
                <w:rFonts w:hint="eastAsia"/>
                <w:b/>
                <w:bCs/>
                <w:color w:val="000000"/>
                <w:kern w:val="0"/>
                <w:sz w:val="22"/>
                <w:szCs w:val="22"/>
                <w:highlight w:val="none"/>
                <w:lang w:val="en-US" w:eastAsia="zh-CN"/>
              </w:rPr>
              <w:t>100</w:t>
            </w:r>
          </w:p>
        </w:tc>
        <w:tc>
          <w:tcPr>
            <w:tcW w:w="537" w:type="pct"/>
            <w:shd w:val="clear" w:color="000000" w:fill="FFFFFF"/>
            <w:vAlign w:val="center"/>
          </w:tcPr>
          <w:p w14:paraId="31B436F3">
            <w:pPr>
              <w:widowControl/>
              <w:spacing w:line="0" w:lineRule="atLeast"/>
              <w:jc w:val="center"/>
              <w:rPr>
                <w:rFonts w:hint="eastAsia"/>
                <w:b/>
                <w:bCs/>
                <w:color w:val="000000"/>
                <w:kern w:val="0"/>
                <w:sz w:val="22"/>
                <w:szCs w:val="22"/>
                <w:highlight w:val="none"/>
                <w:lang w:val="en-US" w:eastAsia="zh-CN"/>
              </w:rPr>
            </w:pPr>
            <w:r>
              <w:rPr>
                <w:rFonts w:hint="eastAsia"/>
                <w:b/>
                <w:bCs/>
                <w:color w:val="000000"/>
                <w:kern w:val="0"/>
                <w:sz w:val="22"/>
                <w:szCs w:val="22"/>
                <w:highlight w:val="none"/>
                <w:lang w:val="en-US" w:eastAsia="zh-CN"/>
              </w:rPr>
              <w:fldChar w:fldCharType="begin"/>
            </w:r>
            <w:r>
              <w:rPr>
                <w:rFonts w:hint="eastAsia"/>
                <w:b/>
                <w:bCs/>
                <w:color w:val="000000"/>
                <w:kern w:val="0"/>
                <w:sz w:val="22"/>
                <w:szCs w:val="22"/>
                <w:highlight w:val="none"/>
                <w:lang w:val="en-US" w:eastAsia="zh-CN"/>
              </w:rPr>
              <w:instrText xml:space="preserve"> = sum(G2:G18) \* MERGEFORMAT </w:instrText>
            </w:r>
            <w:r>
              <w:rPr>
                <w:rFonts w:hint="eastAsia"/>
                <w:b/>
                <w:bCs/>
                <w:color w:val="000000"/>
                <w:kern w:val="0"/>
                <w:sz w:val="22"/>
                <w:szCs w:val="22"/>
                <w:highlight w:val="none"/>
                <w:lang w:val="en-US" w:eastAsia="zh-CN"/>
              </w:rPr>
              <w:fldChar w:fldCharType="separate"/>
            </w:r>
            <w:r>
              <w:rPr>
                <w:rFonts w:hint="eastAsia"/>
                <w:b/>
                <w:bCs/>
                <w:color w:val="000000"/>
                <w:kern w:val="0"/>
                <w:sz w:val="22"/>
                <w:szCs w:val="22"/>
                <w:highlight w:val="none"/>
                <w:lang w:val="en-US" w:eastAsia="zh-CN"/>
              </w:rPr>
              <w:t>98.18</w:t>
            </w:r>
            <w:r>
              <w:rPr>
                <w:rFonts w:hint="eastAsia"/>
                <w:b/>
                <w:bCs/>
                <w:color w:val="000000"/>
                <w:kern w:val="0"/>
                <w:sz w:val="22"/>
                <w:szCs w:val="22"/>
                <w:highlight w:val="none"/>
                <w:lang w:val="en-US" w:eastAsia="zh-CN"/>
              </w:rPr>
              <w:fldChar w:fldCharType="end"/>
            </w:r>
          </w:p>
        </w:tc>
      </w:tr>
    </w:tbl>
    <w:p w14:paraId="258E39ED">
      <w:pPr>
        <w:pStyle w:val="2"/>
        <w:rPr>
          <w:rFonts w:ascii="Times New Roman" w:hAnsi="Times New Roman"/>
          <w:highlight w:val="none"/>
        </w:rPr>
      </w:pPr>
    </w:p>
    <w:p w14:paraId="5CE2E172">
      <w:pPr>
        <w:rPr>
          <w:highlight w:val="none"/>
        </w:rPr>
      </w:pPr>
    </w:p>
    <w:p w14:paraId="171A89C4">
      <w:pPr>
        <w:spacing w:line="540" w:lineRule="exact"/>
        <w:ind w:firstLine="640"/>
        <w:rPr>
          <w:rStyle w:val="13"/>
          <w:rFonts w:eastAsia="黑体"/>
          <w:bCs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embedRegular r:id="rId1" w:fontKey="{AFAC1316-489A-10FD-3C37-CD66D387FEF2}"/>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书宋二KW"/>
    <w:panose1 w:val="02010600040101010101"/>
    <w:charset w:val="86"/>
    <w:family w:val="auto"/>
    <w:pitch w:val="default"/>
    <w:sig w:usb0="00000000" w:usb1="00000000" w:usb2="00000000" w:usb3="00000000" w:csb0="0004009F" w:csb1="DFD70000"/>
  </w:font>
  <w:font w:name="方正小标宋_GBK">
    <w:altName w:val="汉仪书宋二KW"/>
    <w:panose1 w:val="02000000000000000000"/>
    <w:charset w:val="86"/>
    <w:family w:val="script"/>
    <w:pitch w:val="default"/>
    <w:sig w:usb0="00000000" w:usb1="00000000" w:usb2="00082016" w:usb3="00000000" w:csb0="00040001" w:csb1="00000000"/>
    <w:embedRegular r:id="rId2" w:fontKey="{33888ABD-113F-D741-3C37-CD66869817B6}"/>
  </w:font>
  <w:font w:name="楷体_GB2312">
    <w:altName w:val="汉仪楷体简"/>
    <w:panose1 w:val="02010609030101010101"/>
    <w:charset w:val="86"/>
    <w:family w:val="auto"/>
    <w:pitch w:val="default"/>
    <w:sig w:usb0="00000000" w:usb1="00000000" w:usb2="00000000"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303C99C">
        <w:pPr>
          <w:pStyle w:val="7"/>
          <w:jc w:val="center"/>
        </w:pPr>
        <w:r>
          <w:fldChar w:fldCharType="begin"/>
        </w:r>
        <w:r>
          <w:instrText xml:space="preserve">PAGE   \* MERGEFORMAT</w:instrText>
        </w:r>
        <w:r>
          <w:fldChar w:fldCharType="separate"/>
        </w:r>
        <w:r>
          <w:rPr>
            <w:lang w:val="zh-CN"/>
          </w:rPr>
          <w:t>1</w:t>
        </w:r>
        <w:r>
          <w:fldChar w:fldCharType="end"/>
        </w:r>
      </w:p>
    </w:sdtContent>
  </w:sdt>
  <w:p w14:paraId="42628AED">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B9E7A"/>
    <w:multiLevelType w:val="singleLevel"/>
    <w:tmpl w:val="BDFB9E7A"/>
    <w:lvl w:ilvl="0" w:tentative="0">
      <w:start w:val="1"/>
      <w:numFmt w:val="decimal"/>
      <w:suff w:val="nothing"/>
      <w:lvlText w:val="%1、"/>
      <w:lvlJc w:val="left"/>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5"/>
  </w:num>
  <w:num w:numId="4">
    <w:abstractNumId w:val="6"/>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Y2FlZTk0ZTY4NGM4ZDdmNTM1NDRiNzVjYjZhYjkifQ=="/>
  </w:docVars>
  <w:rsids>
    <w:rsidRoot w:val="FF6C4049"/>
    <w:rsid w:val="00095176"/>
    <w:rsid w:val="004712B7"/>
    <w:rsid w:val="00714727"/>
    <w:rsid w:val="00FC7F82"/>
    <w:rsid w:val="00FD3DF8"/>
    <w:rsid w:val="0440667D"/>
    <w:rsid w:val="04FE30E9"/>
    <w:rsid w:val="06715B54"/>
    <w:rsid w:val="076F3599"/>
    <w:rsid w:val="08CE6CBF"/>
    <w:rsid w:val="09331ABF"/>
    <w:rsid w:val="09772BD9"/>
    <w:rsid w:val="0AD16319"/>
    <w:rsid w:val="0DDA6220"/>
    <w:rsid w:val="11395C46"/>
    <w:rsid w:val="11C34C7E"/>
    <w:rsid w:val="12E22503"/>
    <w:rsid w:val="1309130D"/>
    <w:rsid w:val="13B90F01"/>
    <w:rsid w:val="15033698"/>
    <w:rsid w:val="150A2AB7"/>
    <w:rsid w:val="152201FB"/>
    <w:rsid w:val="153674A4"/>
    <w:rsid w:val="1C671E73"/>
    <w:rsid w:val="1D1F93DF"/>
    <w:rsid w:val="1F1A3993"/>
    <w:rsid w:val="22917F09"/>
    <w:rsid w:val="22F7068B"/>
    <w:rsid w:val="23621DAC"/>
    <w:rsid w:val="237A47F5"/>
    <w:rsid w:val="247C6E9E"/>
    <w:rsid w:val="2632693A"/>
    <w:rsid w:val="28940C5A"/>
    <w:rsid w:val="29CB7695"/>
    <w:rsid w:val="2B4E22D4"/>
    <w:rsid w:val="2D1067C9"/>
    <w:rsid w:val="2DAF2161"/>
    <w:rsid w:val="2FB43D61"/>
    <w:rsid w:val="31D8074F"/>
    <w:rsid w:val="33105381"/>
    <w:rsid w:val="344F3C87"/>
    <w:rsid w:val="36A4475E"/>
    <w:rsid w:val="371511B8"/>
    <w:rsid w:val="395F2B56"/>
    <w:rsid w:val="39DA61DE"/>
    <w:rsid w:val="3A5C0EAC"/>
    <w:rsid w:val="3BE85906"/>
    <w:rsid w:val="3BECE841"/>
    <w:rsid w:val="3F762542"/>
    <w:rsid w:val="3FF7797D"/>
    <w:rsid w:val="42B55E52"/>
    <w:rsid w:val="481B05F8"/>
    <w:rsid w:val="4CC565C9"/>
    <w:rsid w:val="4CD8684E"/>
    <w:rsid w:val="4EB30479"/>
    <w:rsid w:val="553C5611"/>
    <w:rsid w:val="55A666FB"/>
    <w:rsid w:val="567E3C07"/>
    <w:rsid w:val="57C77E54"/>
    <w:rsid w:val="5BFF6039"/>
    <w:rsid w:val="5D76A616"/>
    <w:rsid w:val="5D7F20B9"/>
    <w:rsid w:val="5DAC7D0E"/>
    <w:rsid w:val="5FFE8511"/>
    <w:rsid w:val="5FFEACE2"/>
    <w:rsid w:val="601A49C5"/>
    <w:rsid w:val="643EE26D"/>
    <w:rsid w:val="64D12873"/>
    <w:rsid w:val="658205AD"/>
    <w:rsid w:val="672A7AB8"/>
    <w:rsid w:val="68EC23C5"/>
    <w:rsid w:val="6AC63F9C"/>
    <w:rsid w:val="6DA16C3B"/>
    <w:rsid w:val="6FAF6C78"/>
    <w:rsid w:val="7317C656"/>
    <w:rsid w:val="76951575"/>
    <w:rsid w:val="76AF5815"/>
    <w:rsid w:val="77FD8BE9"/>
    <w:rsid w:val="79A9BD3F"/>
    <w:rsid w:val="7BFFFDD0"/>
    <w:rsid w:val="7D7A5F86"/>
    <w:rsid w:val="7E7F0292"/>
    <w:rsid w:val="7ED2518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19"/>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8"/>
    <w:autoRedefine/>
    <w:qFormat/>
    <w:uiPriority w:val="0"/>
    <w:pPr>
      <w:tabs>
        <w:tab w:val="center" w:pos="4153"/>
        <w:tab w:val="right" w:pos="8306"/>
      </w:tabs>
      <w:snapToGrid w:val="0"/>
      <w:jc w:val="center"/>
    </w:pPr>
    <w:rPr>
      <w:sz w:val="18"/>
      <w:szCs w:val="18"/>
    </w:rPr>
  </w:style>
  <w:style w:type="paragraph" w:styleId="9">
    <w:name w:val="Body Text First Indent"/>
    <w:basedOn w:val="5"/>
    <w:autoRedefine/>
    <w:qFormat/>
    <w:uiPriority w:val="0"/>
    <w:pPr>
      <w:spacing w:after="0"/>
      <w:ind w:firstLine="200" w:firstLineChars="200"/>
    </w:pPr>
  </w:style>
  <w:style w:type="paragraph" w:styleId="10">
    <w:name w:val="Body Text First Indent 2"/>
    <w:basedOn w:val="6"/>
    <w:autoRedefine/>
    <w:qFormat/>
    <w:uiPriority w:val="0"/>
    <w:pPr>
      <w:ind w:firstLine="420" w:firstLineChars="200"/>
    </w:pPr>
  </w:style>
  <w:style w:type="character" w:styleId="13">
    <w:name w:val="Strong"/>
    <w:basedOn w:val="12"/>
    <w:autoRedefine/>
    <w:qFormat/>
    <w:uiPriority w:val="0"/>
    <w:rPr>
      <w:b/>
      <w:bCs/>
    </w:rPr>
  </w:style>
  <w:style w:type="character" w:styleId="14">
    <w:name w:val="annotation reference"/>
    <w:basedOn w:val="12"/>
    <w:autoRedefine/>
    <w:qFormat/>
    <w:uiPriority w:val="99"/>
    <w:rPr>
      <w:sz w:val="21"/>
      <w:szCs w:val="21"/>
    </w:rPr>
  </w:style>
  <w:style w:type="character" w:customStyle="1" w:styleId="15">
    <w:name w:val="fontstyle01"/>
    <w:autoRedefine/>
    <w:qFormat/>
    <w:uiPriority w:val="0"/>
    <w:rPr>
      <w:rFonts w:ascii="仿宋_GB2312" w:hAnsi="仿宋_GB2312" w:eastAsia="仿宋_GB2312" w:cs="仿宋_GB2312"/>
      <w:color w:val="000000"/>
      <w:sz w:val="32"/>
      <w:szCs w:val="32"/>
    </w:rPr>
  </w:style>
  <w:style w:type="paragraph" w:customStyle="1" w:styleId="16">
    <w:name w:val="闻政-正文段落文字"/>
    <w:basedOn w:val="1"/>
    <w:autoRedefine/>
    <w:qFormat/>
    <w:uiPriority w:val="3"/>
    <w:pPr>
      <w:spacing w:line="500" w:lineRule="exact"/>
      <w:ind w:firstLine="200"/>
    </w:pPr>
    <w:rPr>
      <w:kern w:val="0"/>
      <w:szCs w:val="28"/>
    </w:rPr>
  </w:style>
  <w:style w:type="paragraph" w:customStyle="1" w:styleId="17">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页眉 字符"/>
    <w:basedOn w:val="12"/>
    <w:link w:val="8"/>
    <w:autoRedefine/>
    <w:qFormat/>
    <w:uiPriority w:val="0"/>
    <w:rPr>
      <w:rFonts w:ascii="Times New Roman" w:hAnsi="Times New Roman" w:eastAsia="宋体" w:cs="Times New Roman"/>
      <w:kern w:val="2"/>
      <w:sz w:val="18"/>
      <w:szCs w:val="18"/>
    </w:rPr>
  </w:style>
  <w:style w:type="character" w:customStyle="1" w:styleId="19">
    <w:name w:val="批注文字 字符"/>
    <w:basedOn w:val="12"/>
    <w:link w:val="4"/>
    <w:autoRedefine/>
    <w:qFormat/>
    <w:uiPriority w:val="99"/>
    <w:rPr>
      <w:rFonts w:ascii="Times New Roman" w:hAnsi="Times New Roman" w:eastAsia="宋体" w:cs="Times New Roman"/>
      <w:kern w:val="2"/>
      <w:sz w:val="21"/>
      <w:szCs w:val="24"/>
    </w:rPr>
  </w:style>
  <w:style w:type="paragraph" w:styleId="2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9816</Words>
  <Characters>10576</Characters>
  <Lines>63</Lines>
  <Paragraphs>17</Paragraphs>
  <TotalTime>38</TotalTime>
  <ScaleCrop>false</ScaleCrop>
  <LinksUpToDate>false</LinksUpToDate>
  <CharactersWithSpaces>10615</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404</cp:lastModifiedBy>
  <cp:lastPrinted>2024-03-09T00:15:00Z</cp:lastPrinted>
  <dcterms:modified xsi:type="dcterms:W3CDTF">2024-08-27T10:17:32Z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A9A3BBDAE4E447718483B9080521AE98_13</vt:lpwstr>
  </property>
</Properties>
</file>