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42DD27">
      <w:pPr>
        <w:spacing w:line="540" w:lineRule="exact"/>
        <w:jc w:val="center"/>
        <w:rPr>
          <w:rFonts w:eastAsia="华文中宋"/>
          <w:b/>
          <w:kern w:val="0"/>
          <w:sz w:val="52"/>
          <w:szCs w:val="52"/>
        </w:rPr>
      </w:pPr>
    </w:p>
    <w:p w14:paraId="46D3B574">
      <w:pPr>
        <w:spacing w:line="540" w:lineRule="exact"/>
        <w:rPr>
          <w:rFonts w:eastAsia="华文中宋"/>
          <w:b/>
          <w:kern w:val="0"/>
          <w:sz w:val="52"/>
          <w:szCs w:val="52"/>
        </w:rPr>
      </w:pPr>
    </w:p>
    <w:p w14:paraId="1C8FEDAA">
      <w:pPr>
        <w:spacing w:line="540" w:lineRule="exact"/>
        <w:jc w:val="center"/>
        <w:rPr>
          <w:rFonts w:eastAsia="华文中宋"/>
          <w:b/>
          <w:kern w:val="0"/>
          <w:sz w:val="52"/>
          <w:szCs w:val="52"/>
        </w:rPr>
      </w:pPr>
    </w:p>
    <w:p w14:paraId="0D10EA5A">
      <w:pPr>
        <w:spacing w:line="540" w:lineRule="exact"/>
        <w:jc w:val="center"/>
        <w:rPr>
          <w:rFonts w:eastAsia="华文中宋"/>
          <w:b/>
          <w:kern w:val="0"/>
          <w:sz w:val="52"/>
          <w:szCs w:val="52"/>
        </w:rPr>
      </w:pPr>
    </w:p>
    <w:p w14:paraId="5D1B8999">
      <w:pPr>
        <w:spacing w:line="540" w:lineRule="exact"/>
        <w:jc w:val="center"/>
        <w:rPr>
          <w:rFonts w:eastAsia="方正小标宋_GBK"/>
          <w:kern w:val="0"/>
          <w:sz w:val="48"/>
          <w:szCs w:val="48"/>
        </w:rPr>
      </w:pPr>
      <w:r>
        <w:rPr>
          <w:rFonts w:hint="eastAsia" w:eastAsia="方正小标宋_GBK"/>
          <w:kern w:val="0"/>
          <w:sz w:val="48"/>
          <w:szCs w:val="48"/>
        </w:rPr>
        <w:t>医院事业支出</w:t>
      </w:r>
      <w:r>
        <w:rPr>
          <w:rFonts w:eastAsia="方正小标宋_GBK"/>
          <w:kern w:val="0"/>
          <w:sz w:val="48"/>
          <w:szCs w:val="48"/>
        </w:rPr>
        <w:t>项目绩效评价</w:t>
      </w:r>
    </w:p>
    <w:p w14:paraId="26205094">
      <w:pPr>
        <w:spacing w:line="540" w:lineRule="exact"/>
        <w:jc w:val="center"/>
        <w:rPr>
          <w:rFonts w:eastAsia="方正小标宋_GBK"/>
          <w:kern w:val="0"/>
          <w:sz w:val="48"/>
          <w:szCs w:val="48"/>
        </w:rPr>
      </w:pPr>
      <w:r>
        <w:rPr>
          <w:rFonts w:eastAsia="方正小标宋_GBK"/>
          <w:kern w:val="0"/>
          <w:sz w:val="48"/>
          <w:szCs w:val="48"/>
        </w:rPr>
        <w:t>报告</w:t>
      </w:r>
    </w:p>
    <w:p w14:paraId="07C6C8B9">
      <w:pPr>
        <w:spacing w:line="540" w:lineRule="exact"/>
        <w:jc w:val="center"/>
        <w:rPr>
          <w:rFonts w:eastAsia="华文中宋"/>
          <w:b/>
          <w:kern w:val="0"/>
          <w:sz w:val="52"/>
          <w:szCs w:val="52"/>
        </w:rPr>
      </w:pPr>
    </w:p>
    <w:p w14:paraId="0E955A01">
      <w:pPr>
        <w:spacing w:line="540" w:lineRule="exact"/>
        <w:jc w:val="center"/>
        <w:rPr>
          <w:rFonts w:eastAsia="仿宋_GB2312"/>
          <w:kern w:val="0"/>
          <w:sz w:val="36"/>
          <w:szCs w:val="36"/>
        </w:rPr>
      </w:pPr>
      <w:r>
        <w:rPr>
          <w:rFonts w:eastAsia="仿宋_GB2312"/>
          <w:kern w:val="0"/>
          <w:sz w:val="36"/>
          <w:szCs w:val="36"/>
        </w:rPr>
        <w:t>（ 2023年度）</w:t>
      </w:r>
    </w:p>
    <w:p w14:paraId="10097BBA">
      <w:pPr>
        <w:spacing w:line="540" w:lineRule="exact"/>
        <w:jc w:val="center"/>
        <w:rPr>
          <w:rFonts w:eastAsia="仿宋_GB2312"/>
          <w:kern w:val="0"/>
          <w:sz w:val="30"/>
          <w:szCs w:val="30"/>
        </w:rPr>
      </w:pPr>
    </w:p>
    <w:p w14:paraId="18D4779E">
      <w:pPr>
        <w:spacing w:line="540" w:lineRule="exact"/>
        <w:jc w:val="center"/>
        <w:rPr>
          <w:rFonts w:eastAsia="仿宋_GB2312"/>
          <w:kern w:val="0"/>
          <w:sz w:val="30"/>
          <w:szCs w:val="30"/>
        </w:rPr>
      </w:pPr>
    </w:p>
    <w:p w14:paraId="37C375B3">
      <w:pPr>
        <w:spacing w:line="540" w:lineRule="exact"/>
        <w:jc w:val="center"/>
        <w:rPr>
          <w:rFonts w:eastAsia="仿宋_GB2312"/>
          <w:kern w:val="0"/>
          <w:sz w:val="30"/>
          <w:szCs w:val="30"/>
        </w:rPr>
      </w:pPr>
    </w:p>
    <w:p w14:paraId="4BC71595">
      <w:pPr>
        <w:spacing w:line="540" w:lineRule="exact"/>
        <w:jc w:val="center"/>
        <w:rPr>
          <w:rFonts w:eastAsia="仿宋_GB2312"/>
          <w:kern w:val="0"/>
          <w:sz w:val="30"/>
          <w:szCs w:val="30"/>
        </w:rPr>
      </w:pPr>
    </w:p>
    <w:p w14:paraId="1AEB27AB">
      <w:pPr>
        <w:spacing w:line="540" w:lineRule="exact"/>
        <w:jc w:val="center"/>
        <w:rPr>
          <w:rFonts w:eastAsia="仿宋_GB2312"/>
          <w:kern w:val="0"/>
          <w:sz w:val="30"/>
          <w:szCs w:val="30"/>
        </w:rPr>
      </w:pPr>
    </w:p>
    <w:p w14:paraId="4590BABA">
      <w:pPr>
        <w:spacing w:line="540" w:lineRule="exact"/>
        <w:rPr>
          <w:rFonts w:eastAsia="仿宋_GB2312"/>
          <w:kern w:val="0"/>
          <w:sz w:val="30"/>
          <w:szCs w:val="30"/>
        </w:rPr>
      </w:pPr>
    </w:p>
    <w:p w14:paraId="136D320B">
      <w:pPr>
        <w:spacing w:line="700" w:lineRule="exact"/>
        <w:jc w:val="left"/>
        <w:rPr>
          <w:rFonts w:eastAsia="仿宋_GB2312"/>
          <w:kern w:val="0"/>
          <w:sz w:val="36"/>
          <w:szCs w:val="36"/>
        </w:rPr>
      </w:pPr>
      <w:r>
        <w:rPr>
          <w:rFonts w:eastAsia="仿宋_GB2312"/>
          <w:kern w:val="0"/>
          <w:sz w:val="36"/>
          <w:szCs w:val="36"/>
        </w:rPr>
        <w:t>项目名称：</w:t>
      </w:r>
      <w:r>
        <w:rPr>
          <w:rFonts w:hint="eastAsia" w:eastAsia="仿宋_GB2312"/>
          <w:kern w:val="0"/>
          <w:sz w:val="36"/>
          <w:szCs w:val="36"/>
        </w:rPr>
        <w:t>医院事业支出项目</w:t>
      </w:r>
    </w:p>
    <w:p w14:paraId="37052519">
      <w:pPr>
        <w:spacing w:line="700" w:lineRule="exact"/>
        <w:ind w:left="2880" w:hanging="2880" w:hangingChars="800"/>
        <w:jc w:val="left"/>
        <w:rPr>
          <w:rFonts w:eastAsia="仿宋_GB2312"/>
          <w:kern w:val="0"/>
          <w:sz w:val="36"/>
          <w:szCs w:val="36"/>
        </w:rPr>
      </w:pPr>
      <w:r>
        <w:rPr>
          <w:rFonts w:eastAsia="仿宋_GB2312"/>
          <w:kern w:val="0"/>
          <w:sz w:val="36"/>
          <w:szCs w:val="36"/>
        </w:rPr>
        <w:t>实施单位（公章）：</w:t>
      </w:r>
      <w:r>
        <w:rPr>
          <w:rFonts w:hint="eastAsia" w:eastAsia="仿宋_GB2312"/>
          <w:kern w:val="0"/>
          <w:sz w:val="36"/>
          <w:szCs w:val="36"/>
        </w:rPr>
        <w:t>新疆维吾尔自治区第一济困医院</w:t>
      </w:r>
    </w:p>
    <w:p w14:paraId="424E2E12">
      <w:pPr>
        <w:spacing w:line="700" w:lineRule="exact"/>
        <w:ind w:left="2873" w:leftChars="1368" w:firstLine="720" w:firstLineChars="200"/>
        <w:jc w:val="left"/>
        <w:rPr>
          <w:rFonts w:eastAsia="仿宋_GB2312"/>
          <w:kern w:val="0"/>
          <w:sz w:val="36"/>
          <w:szCs w:val="36"/>
        </w:rPr>
      </w:pPr>
      <w:r>
        <w:rPr>
          <w:rFonts w:hint="eastAsia" w:eastAsia="仿宋_GB2312"/>
          <w:kern w:val="0"/>
          <w:sz w:val="36"/>
          <w:szCs w:val="36"/>
        </w:rPr>
        <w:t>（自治区第四人民医院）</w:t>
      </w:r>
    </w:p>
    <w:p w14:paraId="37D9955E">
      <w:pPr>
        <w:spacing w:line="700" w:lineRule="exact"/>
        <w:jc w:val="left"/>
        <w:rPr>
          <w:rFonts w:eastAsia="仿宋_GB2312"/>
          <w:kern w:val="0"/>
          <w:sz w:val="36"/>
          <w:szCs w:val="36"/>
        </w:rPr>
      </w:pPr>
      <w:r>
        <w:rPr>
          <w:rFonts w:eastAsia="仿宋_GB2312"/>
          <w:kern w:val="0"/>
          <w:sz w:val="36"/>
          <w:szCs w:val="36"/>
        </w:rPr>
        <w:t>主管部门（公章）：</w:t>
      </w:r>
      <w:r>
        <w:rPr>
          <w:rFonts w:hint="eastAsia" w:eastAsia="仿宋_GB2312"/>
          <w:kern w:val="0"/>
          <w:sz w:val="36"/>
          <w:szCs w:val="36"/>
        </w:rPr>
        <w:t>新疆维吾尔自治区卫生健康委员会</w:t>
      </w:r>
    </w:p>
    <w:p w14:paraId="5EC9E8DA">
      <w:pPr>
        <w:spacing w:line="700" w:lineRule="exact"/>
        <w:jc w:val="left"/>
        <w:rPr>
          <w:rFonts w:eastAsia="仿宋_GB2312"/>
          <w:kern w:val="0"/>
          <w:sz w:val="36"/>
          <w:szCs w:val="36"/>
        </w:rPr>
      </w:pPr>
      <w:r>
        <w:rPr>
          <w:rFonts w:eastAsia="仿宋_GB2312"/>
          <w:kern w:val="0"/>
          <w:sz w:val="36"/>
          <w:szCs w:val="36"/>
        </w:rPr>
        <w:t>项目负责人（签章）：</w:t>
      </w:r>
      <w:r>
        <w:rPr>
          <w:rFonts w:hint="eastAsia" w:eastAsia="仿宋_GB2312"/>
          <w:kern w:val="0"/>
          <w:sz w:val="36"/>
          <w:szCs w:val="36"/>
        </w:rPr>
        <w:t>龚小丽</w:t>
      </w:r>
    </w:p>
    <w:p w14:paraId="32300F28">
      <w:pPr>
        <w:spacing w:line="700" w:lineRule="exact"/>
        <w:jc w:val="left"/>
        <w:rPr>
          <w:rFonts w:eastAsia="仿宋_GB2312"/>
          <w:kern w:val="0"/>
          <w:sz w:val="36"/>
          <w:szCs w:val="36"/>
        </w:rPr>
      </w:pPr>
      <w:r>
        <w:rPr>
          <w:rFonts w:eastAsia="仿宋_GB2312"/>
          <w:kern w:val="0"/>
          <w:sz w:val="36"/>
          <w:szCs w:val="36"/>
        </w:rPr>
        <w:t>填报时间：</w:t>
      </w:r>
      <w:r>
        <w:rPr>
          <w:rFonts w:hint="eastAsia" w:eastAsia="仿宋_GB2312"/>
          <w:kern w:val="0"/>
          <w:sz w:val="36"/>
          <w:szCs w:val="36"/>
        </w:rPr>
        <w:t>2024</w:t>
      </w:r>
      <w:r>
        <w:rPr>
          <w:rFonts w:eastAsia="仿宋_GB2312"/>
          <w:kern w:val="0"/>
          <w:sz w:val="36"/>
          <w:szCs w:val="36"/>
        </w:rPr>
        <w:t>年</w:t>
      </w:r>
      <w:r>
        <w:rPr>
          <w:rFonts w:hint="eastAsia" w:eastAsia="仿宋_GB2312"/>
          <w:kern w:val="0"/>
          <w:sz w:val="36"/>
          <w:szCs w:val="36"/>
        </w:rPr>
        <w:t>3</w:t>
      </w:r>
      <w:r>
        <w:rPr>
          <w:rFonts w:eastAsia="仿宋_GB2312"/>
          <w:kern w:val="0"/>
          <w:sz w:val="36"/>
          <w:szCs w:val="36"/>
        </w:rPr>
        <w:t>月</w:t>
      </w:r>
      <w:r>
        <w:rPr>
          <w:rFonts w:hint="eastAsia" w:eastAsia="仿宋_GB2312"/>
          <w:kern w:val="0"/>
          <w:sz w:val="36"/>
          <w:szCs w:val="36"/>
        </w:rPr>
        <w:t>9</w:t>
      </w:r>
      <w:r>
        <w:rPr>
          <w:rFonts w:eastAsia="仿宋_GB2312"/>
          <w:kern w:val="0"/>
          <w:sz w:val="36"/>
          <w:szCs w:val="36"/>
        </w:rPr>
        <w:t>日</w:t>
      </w:r>
    </w:p>
    <w:p w14:paraId="6FD2B834">
      <w:pPr>
        <w:spacing w:line="540" w:lineRule="exact"/>
        <w:jc w:val="center"/>
        <w:rPr>
          <w:rFonts w:eastAsia="仿宋_GB2312"/>
          <w:kern w:val="0"/>
          <w:sz w:val="30"/>
          <w:szCs w:val="30"/>
        </w:rPr>
      </w:pPr>
    </w:p>
    <w:p w14:paraId="514A67CD">
      <w:pPr>
        <w:spacing w:line="540" w:lineRule="exact"/>
        <w:rPr>
          <w:rStyle w:val="14"/>
          <w:rFonts w:eastAsia="黑体"/>
          <w:b w:val="0"/>
          <w:spacing w:val="-4"/>
          <w:sz w:val="32"/>
          <w:szCs w:val="32"/>
        </w:rPr>
      </w:pPr>
    </w:p>
    <w:p w14:paraId="53030C9F">
      <w:pPr>
        <w:spacing w:line="600" w:lineRule="exact"/>
        <w:rPr>
          <w:rFonts w:eastAsia="黑体"/>
          <w:bCs/>
          <w:sz w:val="32"/>
          <w:szCs w:val="32"/>
        </w:rPr>
      </w:pPr>
    </w:p>
    <w:p w14:paraId="5BBB003E">
      <w:pPr>
        <w:spacing w:line="560" w:lineRule="exact"/>
        <w:ind w:firstLine="640" w:firstLineChars="200"/>
        <w:rPr>
          <w:rFonts w:eastAsia="黑体"/>
          <w:bCs/>
          <w:sz w:val="32"/>
          <w:szCs w:val="32"/>
        </w:rPr>
      </w:pPr>
      <w:r>
        <w:rPr>
          <w:rFonts w:eastAsia="黑体"/>
          <w:bCs/>
          <w:sz w:val="32"/>
          <w:szCs w:val="32"/>
        </w:rPr>
        <w:t>一、基本情况</w:t>
      </w:r>
    </w:p>
    <w:p w14:paraId="22A16933">
      <w:pPr>
        <w:spacing w:line="560" w:lineRule="exact"/>
        <w:ind w:firstLine="643" w:firstLineChars="200"/>
        <w:rPr>
          <w:rFonts w:eastAsia="楷体_GB2312"/>
          <w:b/>
          <w:bCs/>
          <w:sz w:val="32"/>
          <w:szCs w:val="32"/>
        </w:rPr>
      </w:pPr>
      <w:r>
        <w:rPr>
          <w:rFonts w:eastAsia="楷体_GB2312"/>
          <w:b/>
          <w:bCs/>
          <w:sz w:val="32"/>
          <w:szCs w:val="32"/>
        </w:rPr>
        <w:t>（一）项目概况</w:t>
      </w:r>
    </w:p>
    <w:p w14:paraId="7696F468">
      <w:pPr>
        <w:spacing w:line="560" w:lineRule="exact"/>
        <w:ind w:firstLine="643" w:firstLineChars="200"/>
        <w:rPr>
          <w:rFonts w:eastAsia="仿宋_GB2312"/>
          <w:b/>
          <w:bCs/>
          <w:sz w:val="32"/>
          <w:szCs w:val="32"/>
        </w:rPr>
      </w:pPr>
      <w:r>
        <w:rPr>
          <w:rFonts w:eastAsia="仿宋_GB2312"/>
          <w:b/>
          <w:bCs/>
          <w:sz w:val="32"/>
          <w:szCs w:val="32"/>
        </w:rPr>
        <w:t>1、项目背景</w:t>
      </w:r>
    </w:p>
    <w:p w14:paraId="320EE61D">
      <w:pPr>
        <w:pStyle w:val="21"/>
        <w:spacing w:line="560" w:lineRule="exact"/>
        <w:ind w:firstLine="64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新疆维吾尔自治区第四人民医院由原志愿军511医院发展而来，历经新疆七一纺织职工医院、新疆纺织职工医院、新疆纺织医院，2003年更名为新疆维吾尔自治区第一济困医院，纳入自治区卫生健康委管理；2019年9月，经批准医院加挂“新疆维吾尔自治区第四人民医院”牌子；2021年1月，自治区卫生健康委员会批准我院规划建设为三级康复医院。经过 60多年发展变迁，目前医院已成为一所集济困、医疗、康复、教学、保健及社区卫生服务于一体的公益性国家二级甲等综合医院，力争在“十四五”期间，建成以养老为依托，以“康养”为特色，突出中医养生，康复指导全程的“大专科、强综合”的三级专科医院。是自治区、乌鲁木齐市和兵团职工、居民、低保的基本医疗保险、生育保险、工伤保险、商业保险及乌鲁木齐市长期护理保险定点医疗机构。医院为自治区人民医院协作医院，已加入自治区人民医院医疗联合体，同时分别与自治区人民医院急危重症、风湿免疫、神经内、呼吸、消化、眼科、乳腺甲状腺、放射专业与新疆医科大学第一附属医院高血压、房颤、肾病、糖尿病专业，新疆医科大学附属肿瘤医院肿瘤防治专业，自治区儿童医院，乌鲁木齐市第四人民医院等15个专业建立专科联盟，全面开通了与疆内外三甲医院之间的远程会诊、进修学习等技术指导和学术交流通道。</w:t>
      </w:r>
    </w:p>
    <w:p w14:paraId="0657FA71">
      <w:pPr>
        <w:pStyle w:val="21"/>
        <w:spacing w:line="560" w:lineRule="exact"/>
        <w:ind w:firstLine="640"/>
        <w:rPr>
          <w:rFonts w:eastAsia="仿宋_GB2312"/>
          <w:sz w:val="32"/>
          <w:szCs w:val="32"/>
        </w:rPr>
      </w:pPr>
      <w:r>
        <w:rPr>
          <w:rFonts w:hint="eastAsia" w:eastAsia="仿宋_GB2312"/>
          <w:sz w:val="32"/>
          <w:szCs w:val="32"/>
        </w:rPr>
        <w:t>医院现有编制床位500张，拥有1.5T核磁共振、128层螺旋CT、多功能数字胃肠机、纤维支气管镜、DR、口腔全景机、双能骨密度仪、超声乳化仪、客观听觉测试平台、磁场刺激仪、电子气管内窥镜系统、移动X线拍片机、C形臂X光机、高端四维彩超、动态心电、动态血压监测仪、无线多床位胎儿超声监护系统、宫腔镜、数字化彩色多普勒超声宫腔检测诊疗系统、床旁血液滤过系统、高清腹腔镜、电子胃镜、电子肠镜、阴道镜、胆道镜、气压弹道碎石系统、输尿管肾镜、电子鼻咽喉镜、睡眠监测仪、电子测听仪、血液透析机、有创和无创呼吸机、心电网络系统、糖尿病诊断和检查及治疗系统、高压氧舱、规范化的生化及微生物实验室检验设备、PCR实验室及发热门诊的配套医疗设备。</w:t>
      </w:r>
    </w:p>
    <w:p w14:paraId="4FC333D5">
      <w:pPr>
        <w:pStyle w:val="21"/>
        <w:spacing w:line="560" w:lineRule="exact"/>
        <w:ind w:firstLine="64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新疆维吾尔自治区第一济困医院（自治区第四人民医院）无下属预算单位，下设46个处室，分别是：内分泌、呼吸、神经内科，心血管内科（电生理室）、高血压科，消化内科（胃肠镜室）、肿瘤内科，肾病科（血透室），综合外科（普外、泌尿外、脑外、胸外、肛肠外、乳甲外、血管外），骨科（创伤科）、手外科，妇产科，眼耳鼻咽喉科，儿科（新生儿），老年医学科，中医科，康复疼痛科，急诊科，手术麻醉科，重症医学科，营养科，口腔科，检验科，放射科，功能科，药剂科，消毒供应室等42个临床医技科室和职能科室，并承担着水磨沟社区服务中心职能，中心下设4个卫生服务站。</w:t>
      </w:r>
    </w:p>
    <w:p w14:paraId="0C517633">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2023年我院在严格遵守《预算法》等法律法规和政策文件的基础上，科学编制2023年度事业支出项目预算并获得财政批复，严格按照经批复的预算开展预算执行工作，对医院各项业务正常运行和患者诊疗救治起到良好支撑作用。</w:t>
      </w:r>
    </w:p>
    <w:p w14:paraId="351A120F">
      <w:pPr>
        <w:pStyle w:val="9"/>
        <w:numPr>
          <w:ilvl w:val="0"/>
          <w:numId w:val="1"/>
        </w:numPr>
        <w:spacing w:before="0" w:after="0" w:line="560" w:lineRule="exact"/>
        <w:ind w:firstLine="643" w:firstLineChars="200"/>
        <w:jc w:val="both"/>
        <w:rPr>
          <w:rFonts w:ascii="Times New Roman" w:hAnsi="Times New Roman" w:eastAsia="仿宋_GB2312"/>
          <w:kern w:val="2"/>
        </w:rPr>
      </w:pPr>
      <w:r>
        <w:rPr>
          <w:rFonts w:ascii="Times New Roman" w:hAnsi="Times New Roman" w:eastAsia="仿宋_GB2312"/>
          <w:kern w:val="2"/>
        </w:rPr>
        <w:t>项目主要内容：</w:t>
      </w:r>
    </w:p>
    <w:p w14:paraId="71FC63DA">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保障基本医疗服务开展，保障医改成果：实现全面预算；建立起“坚持公益、调动积极性、保障可持续性”的新机制；贯彻落实公立医院综合改革工作，进一步推广深化医药卫生体制改革；超额完成政府的济困政策，有效帮扶弱势群体；保障医院基本运行；通过绩效考核等方法，有效控制成本；建立有效的内部控制机制；提高病人在我院就医时的满意度。</w:t>
      </w:r>
    </w:p>
    <w:p w14:paraId="287F1687">
      <w:pPr>
        <w:spacing w:line="560" w:lineRule="exact"/>
        <w:ind w:firstLine="640" w:firstLineChars="200"/>
      </w:pPr>
      <w:r>
        <w:rPr>
          <w:rFonts w:eastAsia="仿宋_GB2312"/>
          <w:sz w:val="32"/>
          <w:szCs w:val="32"/>
        </w:rPr>
        <w:t>项目实施情况：项目目前已经完成实际设立的目标，项目在实施过程中严格按照目标设立的各阶段任务进行开展工作，在前期立项过程中严格把质量关，建立安全防护机制，保证项目实施各阶段安全顺利进行。</w:t>
      </w:r>
    </w:p>
    <w:p w14:paraId="3033A225">
      <w:pPr>
        <w:spacing w:line="560" w:lineRule="exact"/>
        <w:ind w:firstLine="640" w:firstLineChars="200"/>
        <w:rPr>
          <w:rFonts w:eastAsia="仿宋_GB2312"/>
          <w:sz w:val="32"/>
          <w:szCs w:val="32"/>
        </w:rPr>
      </w:pPr>
      <w:r>
        <w:rPr>
          <w:rFonts w:eastAsia="仿宋_GB2312"/>
          <w:sz w:val="32"/>
          <w:szCs w:val="32"/>
        </w:rPr>
        <w:t>本项目总投资</w:t>
      </w:r>
      <w:r>
        <w:rPr>
          <w:rFonts w:hint="eastAsia" w:eastAsia="仿宋_GB2312"/>
          <w:sz w:val="32"/>
          <w:szCs w:val="32"/>
        </w:rPr>
        <w:t>6,964.52</w:t>
      </w:r>
      <w:r>
        <w:rPr>
          <w:rFonts w:eastAsia="仿宋_GB2312"/>
          <w:sz w:val="32"/>
          <w:szCs w:val="32"/>
        </w:rPr>
        <w:t>万元，其中：财政</w:t>
      </w:r>
      <w:r>
        <w:rPr>
          <w:rFonts w:hint="eastAsia" w:eastAsia="仿宋_GB2312"/>
          <w:sz w:val="32"/>
          <w:szCs w:val="32"/>
        </w:rPr>
        <w:t>拨款</w:t>
      </w:r>
      <w:r>
        <w:rPr>
          <w:rFonts w:eastAsia="仿宋_GB2312"/>
          <w:sz w:val="32"/>
          <w:szCs w:val="32"/>
        </w:rPr>
        <w:t>资金</w:t>
      </w:r>
      <w:r>
        <w:rPr>
          <w:rFonts w:hint="eastAsia" w:eastAsia="仿宋_GB2312"/>
          <w:sz w:val="32"/>
          <w:szCs w:val="32"/>
        </w:rPr>
        <w:t>0.00</w:t>
      </w:r>
      <w:r>
        <w:rPr>
          <w:rFonts w:eastAsia="仿宋_GB2312"/>
          <w:sz w:val="32"/>
          <w:szCs w:val="32"/>
        </w:rPr>
        <w:t>万元</w:t>
      </w:r>
      <w:r>
        <w:rPr>
          <w:rFonts w:hint="eastAsia" w:eastAsia="仿宋_GB2312"/>
          <w:sz w:val="32"/>
          <w:szCs w:val="32"/>
        </w:rPr>
        <w:t>，其他资金6,964.52万元。</w:t>
      </w:r>
      <w:r>
        <w:rPr>
          <w:rFonts w:eastAsia="仿宋_GB2312"/>
          <w:sz w:val="32"/>
          <w:szCs w:val="32"/>
        </w:rPr>
        <w:t>项目实际支出</w:t>
      </w:r>
      <w:r>
        <w:rPr>
          <w:rFonts w:hint="eastAsia" w:eastAsia="仿宋_GB2312"/>
          <w:sz w:val="32"/>
          <w:szCs w:val="32"/>
        </w:rPr>
        <w:t>6,964.52</w:t>
      </w:r>
      <w:r>
        <w:rPr>
          <w:rFonts w:eastAsia="仿宋_GB2312"/>
          <w:sz w:val="32"/>
          <w:szCs w:val="32"/>
        </w:rPr>
        <w:t>万元，支出率为</w:t>
      </w:r>
      <w:r>
        <w:rPr>
          <w:rFonts w:hint="eastAsia" w:eastAsia="仿宋_GB2312"/>
          <w:sz w:val="32"/>
          <w:szCs w:val="32"/>
        </w:rPr>
        <w:t>100</w:t>
      </w:r>
      <w:r>
        <w:rPr>
          <w:rFonts w:eastAsia="仿宋_GB2312"/>
          <w:sz w:val="32"/>
          <w:szCs w:val="32"/>
        </w:rPr>
        <w:t>%。</w:t>
      </w:r>
    </w:p>
    <w:p w14:paraId="786B2A48">
      <w:pPr>
        <w:spacing w:line="560" w:lineRule="exact"/>
        <w:ind w:firstLine="643" w:firstLineChars="200"/>
        <w:rPr>
          <w:rFonts w:eastAsia="仿宋_GB2312"/>
          <w:b/>
          <w:bCs/>
          <w:sz w:val="32"/>
          <w:szCs w:val="32"/>
        </w:rPr>
      </w:pPr>
      <w:r>
        <w:rPr>
          <w:rFonts w:eastAsia="仿宋_GB2312"/>
          <w:b/>
          <w:bCs/>
          <w:sz w:val="32"/>
          <w:szCs w:val="32"/>
        </w:rPr>
        <w:t>3、资金投入和使用情况</w:t>
      </w:r>
    </w:p>
    <w:p w14:paraId="4EDCE5DD">
      <w:pPr>
        <w:spacing w:line="560" w:lineRule="exact"/>
        <w:ind w:firstLine="640" w:firstLineChars="200"/>
        <w:rPr>
          <w:rFonts w:eastAsia="仿宋_GB2312"/>
          <w:sz w:val="20"/>
          <w:szCs w:val="20"/>
        </w:rPr>
      </w:pPr>
      <w:r>
        <w:rPr>
          <w:rFonts w:eastAsia="仿宋_GB2312"/>
          <w:sz w:val="32"/>
          <w:szCs w:val="32"/>
        </w:rPr>
        <w:t>（1）资金安排</w:t>
      </w:r>
    </w:p>
    <w:p w14:paraId="10C9B41B">
      <w:pPr>
        <w:spacing w:line="560" w:lineRule="exact"/>
        <w:ind w:firstLine="640" w:firstLineChars="200"/>
        <w:rPr>
          <w:rFonts w:eastAsia="仿宋_GB2312"/>
          <w:sz w:val="32"/>
          <w:szCs w:val="32"/>
        </w:rPr>
      </w:pPr>
      <w:r>
        <w:rPr>
          <w:rFonts w:eastAsia="仿宋_GB2312"/>
          <w:sz w:val="32"/>
          <w:szCs w:val="32"/>
        </w:rPr>
        <w:t>项目总投资</w:t>
      </w:r>
      <w:r>
        <w:rPr>
          <w:rFonts w:hint="eastAsia" w:eastAsia="仿宋_GB2312"/>
          <w:sz w:val="32"/>
          <w:szCs w:val="32"/>
        </w:rPr>
        <w:t>6,964.52</w:t>
      </w:r>
      <w:r>
        <w:rPr>
          <w:rFonts w:eastAsia="仿宋_GB2312"/>
          <w:sz w:val="32"/>
          <w:szCs w:val="32"/>
        </w:rPr>
        <w:t>万元，按照单位财务制度等相关规定，资金支出符合</w:t>
      </w:r>
      <w:r>
        <w:rPr>
          <w:rFonts w:hint="eastAsia" w:eastAsia="仿宋_GB2312"/>
          <w:sz w:val="32"/>
          <w:szCs w:val="32"/>
        </w:rPr>
        <w:t>2023年医院事业支出项目</w:t>
      </w:r>
      <w:r>
        <w:rPr>
          <w:rFonts w:eastAsia="仿宋_GB2312"/>
          <w:sz w:val="32"/>
          <w:szCs w:val="32"/>
        </w:rPr>
        <w:t>资金费用范围，做到了专款专用。在项目资金拨付和使用过程中，为确保项目资金的安全性，提高项目资金使用效率，严格遵循</w:t>
      </w:r>
      <w:r>
        <w:rPr>
          <w:rFonts w:hint="eastAsia" w:eastAsia="仿宋_GB2312"/>
          <w:sz w:val="32"/>
          <w:szCs w:val="32"/>
        </w:rPr>
        <w:t>2023年医院事业支出项目</w:t>
      </w:r>
      <w:r>
        <w:rPr>
          <w:rFonts w:eastAsia="仿宋_GB2312"/>
          <w:sz w:val="32"/>
          <w:szCs w:val="32"/>
        </w:rPr>
        <w:t>资金的拨付程序，认真审核项目实施各阶段的相关材料和手续，根据项目实施进展情况拨付资金。</w:t>
      </w:r>
    </w:p>
    <w:p w14:paraId="25B2983C">
      <w:pPr>
        <w:spacing w:line="560" w:lineRule="exact"/>
        <w:ind w:firstLine="640" w:firstLineChars="200"/>
        <w:rPr>
          <w:rFonts w:eastAsia="仿宋_GB2312"/>
          <w:sz w:val="32"/>
          <w:szCs w:val="32"/>
        </w:rPr>
      </w:pPr>
      <w:r>
        <w:rPr>
          <w:rFonts w:eastAsia="仿宋_GB2312"/>
          <w:sz w:val="32"/>
          <w:szCs w:val="32"/>
        </w:rPr>
        <w:t>（2）预算资金来源及使用情况</w:t>
      </w:r>
      <w:bookmarkStart w:id="0" w:name="page10"/>
      <w:bookmarkEnd w:id="0"/>
    </w:p>
    <w:p w14:paraId="2ADED0AA">
      <w:pPr>
        <w:pStyle w:val="9"/>
        <w:spacing w:before="0" w:after="0" w:line="560" w:lineRule="exact"/>
        <w:ind w:firstLine="640" w:firstLineChars="200"/>
        <w:jc w:val="both"/>
        <w:rPr>
          <w:rFonts w:ascii="Times New Roman" w:hAnsi="Times New Roman" w:eastAsia="仿宋_GB2312"/>
          <w:b w:val="0"/>
          <w:bCs w:val="0"/>
          <w:kern w:val="2"/>
        </w:rPr>
      </w:pPr>
      <w:r>
        <w:rPr>
          <w:rFonts w:ascii="Times New Roman" w:hAnsi="Times New Roman" w:eastAsia="仿宋_GB2312"/>
          <w:b w:val="0"/>
          <w:bCs w:val="0"/>
          <w:kern w:val="2"/>
        </w:rPr>
        <w:t>项目预算资金来源于</w:t>
      </w:r>
      <w:r>
        <w:rPr>
          <w:rFonts w:hint="eastAsia" w:ascii="Times New Roman" w:hAnsi="Times New Roman" w:eastAsia="仿宋_GB2312"/>
          <w:b w:val="0"/>
          <w:bCs w:val="0"/>
          <w:kern w:val="2"/>
        </w:rPr>
        <w:t>事业收入</w:t>
      </w:r>
      <w:r>
        <w:rPr>
          <w:rFonts w:ascii="Times New Roman" w:hAnsi="Times New Roman" w:eastAsia="仿宋_GB2312"/>
          <w:b w:val="0"/>
          <w:bCs w:val="0"/>
          <w:kern w:val="2"/>
        </w:rPr>
        <w:t>，项目资金到位</w:t>
      </w:r>
      <w:r>
        <w:rPr>
          <w:rFonts w:hint="eastAsia" w:ascii="Times New Roman" w:hAnsi="Times New Roman" w:eastAsia="仿宋_GB2312"/>
          <w:b w:val="0"/>
          <w:bCs w:val="0"/>
          <w:kern w:val="2"/>
        </w:rPr>
        <w:t>6,964.52</w:t>
      </w:r>
      <w:r>
        <w:rPr>
          <w:rFonts w:ascii="Times New Roman" w:hAnsi="Times New Roman" w:eastAsia="仿宋_GB2312"/>
          <w:b w:val="0"/>
          <w:bCs w:val="0"/>
          <w:kern w:val="2"/>
        </w:rPr>
        <w:t>万元，用于支付项目实施进程中的</w:t>
      </w:r>
      <w:r>
        <w:rPr>
          <w:rFonts w:hint="eastAsia" w:ascii="Times New Roman" w:hAnsi="Times New Roman" w:eastAsia="仿宋_GB2312"/>
          <w:b w:val="0"/>
          <w:bCs w:val="0"/>
          <w:kern w:val="2"/>
        </w:rPr>
        <w:t>工资福利支出、商品服务支出、对个人和家庭的补助支出、公用经费支出等费用</w:t>
      </w:r>
      <w:r>
        <w:rPr>
          <w:rFonts w:ascii="Times New Roman" w:hAnsi="Times New Roman" w:eastAsia="仿宋_GB2312"/>
          <w:b w:val="0"/>
          <w:bCs w:val="0"/>
          <w:kern w:val="2"/>
        </w:rPr>
        <w:t>。</w:t>
      </w:r>
    </w:p>
    <w:p w14:paraId="6DA8932B">
      <w:pPr>
        <w:spacing w:line="560" w:lineRule="exact"/>
        <w:ind w:firstLine="643" w:firstLineChars="200"/>
        <w:rPr>
          <w:rFonts w:eastAsia="楷体_GB2312"/>
          <w:b/>
          <w:bCs/>
          <w:sz w:val="32"/>
          <w:szCs w:val="32"/>
        </w:rPr>
      </w:pPr>
      <w:r>
        <w:rPr>
          <w:rFonts w:eastAsia="楷体_GB2312"/>
          <w:b/>
          <w:bCs/>
          <w:sz w:val="32"/>
          <w:szCs w:val="32"/>
        </w:rPr>
        <w:t>（二）项目绩效目标</w:t>
      </w:r>
    </w:p>
    <w:p w14:paraId="6538BD73">
      <w:pPr>
        <w:spacing w:line="560" w:lineRule="exact"/>
        <w:ind w:firstLine="643" w:firstLineChars="200"/>
        <w:rPr>
          <w:rFonts w:eastAsia="仿宋_GB2312"/>
          <w:b/>
          <w:bCs/>
          <w:sz w:val="32"/>
          <w:szCs w:val="32"/>
        </w:rPr>
      </w:pPr>
      <w:r>
        <w:rPr>
          <w:rFonts w:eastAsia="仿宋_GB2312"/>
          <w:b/>
          <w:bCs/>
          <w:sz w:val="32"/>
          <w:szCs w:val="32"/>
        </w:rPr>
        <w:t>1、总体目标</w:t>
      </w:r>
    </w:p>
    <w:p w14:paraId="6FF7D72E">
      <w:pPr>
        <w:spacing w:line="600" w:lineRule="exact"/>
        <w:ind w:firstLine="640" w:firstLineChars="200"/>
        <w:jc w:val="left"/>
        <w:rPr>
          <w:rFonts w:eastAsia="仿宋_GB2312"/>
        </w:rPr>
      </w:pPr>
      <w:r>
        <w:rPr>
          <w:rFonts w:hint="eastAsia" w:hAnsi="宋体" w:eastAsia="仿宋_GB2312" w:cs="宋体"/>
          <w:kern w:val="0"/>
          <w:sz w:val="32"/>
          <w:szCs w:val="32"/>
        </w:rPr>
        <w:t>自筹资金合理分配，</w:t>
      </w:r>
      <w:r>
        <w:rPr>
          <w:rFonts w:hint="eastAsia" w:eastAsia="仿宋_GB2312"/>
          <w:sz w:val="32"/>
          <w:szCs w:val="32"/>
        </w:rPr>
        <w:t>实现全面预算；建立起“坚持公益、调动积极性、保障可持续性”的新机制；贯彻落实公立医院综合改革工作，进一步推广深化医药卫生体制改革</w:t>
      </w:r>
      <w:r>
        <w:rPr>
          <w:rFonts w:hint="eastAsia" w:hAnsi="宋体" w:eastAsia="仿宋_GB2312" w:cs="宋体"/>
          <w:kern w:val="0"/>
          <w:sz w:val="32"/>
          <w:szCs w:val="32"/>
        </w:rPr>
        <w:t>根据医院发展及临床需求合理安排采购项目；严格按照内控标准实施采购；办公设备及医疗设备及时采购到位，提高医疗质量和效率；按时完成我院大型修缮项目，为广大患者提供舒适的就医环境。</w:t>
      </w:r>
    </w:p>
    <w:p w14:paraId="284A69C2">
      <w:pPr>
        <w:spacing w:line="560" w:lineRule="exact"/>
        <w:ind w:firstLine="643" w:firstLineChars="200"/>
        <w:rPr>
          <w:b/>
          <w:bCs/>
        </w:rPr>
      </w:pPr>
      <w:r>
        <w:rPr>
          <w:rFonts w:eastAsia="仿宋_GB2312"/>
          <w:b/>
          <w:bCs/>
          <w:sz w:val="32"/>
          <w:szCs w:val="32"/>
        </w:rPr>
        <w:t>2、阶段性目标</w:t>
      </w:r>
    </w:p>
    <w:p w14:paraId="50128049">
      <w:pPr>
        <w:spacing w:line="560" w:lineRule="exact"/>
        <w:ind w:firstLine="640" w:firstLineChars="200"/>
        <w:rPr>
          <w:rFonts w:eastAsia="仿宋_GB2312"/>
          <w:sz w:val="32"/>
          <w:szCs w:val="32"/>
        </w:rPr>
      </w:pPr>
      <w:r>
        <w:rPr>
          <w:rFonts w:eastAsia="仿宋_GB2312"/>
          <w:sz w:val="32"/>
          <w:szCs w:val="32"/>
        </w:rPr>
        <w:t>（1）前期准备：通过制定项目实施方案，经项目负责人审核通过后，有序开展后续工作。</w:t>
      </w:r>
    </w:p>
    <w:p w14:paraId="548A0D8D">
      <w:pPr>
        <w:spacing w:line="560" w:lineRule="exact"/>
        <w:ind w:firstLine="640" w:firstLineChars="200"/>
        <w:rPr>
          <w:rFonts w:eastAsia="仿宋_GB2312"/>
          <w:sz w:val="32"/>
          <w:szCs w:val="32"/>
        </w:rPr>
      </w:pPr>
      <w:r>
        <w:rPr>
          <w:rFonts w:eastAsia="仿宋_GB2312"/>
          <w:sz w:val="32"/>
          <w:szCs w:val="32"/>
        </w:rPr>
        <w:t>（2）组织实施：资金一到位，立即根据项目要求实施项目。项目责任人按照项目实施方案要求逐一进行项目部署安排，提高项目质量及</w:t>
      </w:r>
      <w:r>
        <w:rPr>
          <w:rFonts w:hint="eastAsia" w:eastAsia="仿宋_GB2312"/>
          <w:sz w:val="32"/>
          <w:szCs w:val="32"/>
          <w:lang w:eastAsia="zh-CN"/>
        </w:rPr>
        <w:t>效率</w:t>
      </w:r>
      <w:bookmarkStart w:id="9" w:name="_GoBack"/>
      <w:bookmarkEnd w:id="9"/>
      <w:r>
        <w:rPr>
          <w:rFonts w:eastAsia="仿宋_GB2312"/>
          <w:sz w:val="32"/>
          <w:szCs w:val="32"/>
        </w:rPr>
        <w:t>。</w:t>
      </w:r>
    </w:p>
    <w:p w14:paraId="1B9D9185">
      <w:pPr>
        <w:spacing w:line="560" w:lineRule="exact"/>
        <w:ind w:firstLine="640" w:firstLineChars="200"/>
        <w:rPr>
          <w:rFonts w:eastAsia="黑体"/>
          <w:sz w:val="32"/>
          <w:szCs w:val="32"/>
        </w:rPr>
      </w:pPr>
      <w:r>
        <w:rPr>
          <w:rFonts w:eastAsia="黑体"/>
          <w:sz w:val="32"/>
          <w:szCs w:val="32"/>
        </w:rPr>
        <w:t>二、绩效评价工作开展情况</w:t>
      </w:r>
    </w:p>
    <w:p w14:paraId="0F60553B">
      <w:pPr>
        <w:spacing w:line="560" w:lineRule="exact"/>
        <w:ind w:firstLine="643" w:firstLineChars="200"/>
        <w:rPr>
          <w:rFonts w:eastAsia="楷体_GB2312"/>
          <w:b/>
          <w:bCs/>
          <w:sz w:val="32"/>
          <w:szCs w:val="32"/>
        </w:rPr>
      </w:pPr>
      <w:r>
        <w:rPr>
          <w:rFonts w:eastAsia="楷体_GB2312"/>
          <w:b/>
          <w:bCs/>
          <w:sz w:val="32"/>
          <w:szCs w:val="32"/>
        </w:rPr>
        <w:t>（一）绩效评价目的、对象和范围</w:t>
      </w:r>
    </w:p>
    <w:p w14:paraId="30047B73">
      <w:pPr>
        <w:pStyle w:val="9"/>
        <w:widowControl w:val="0"/>
        <w:spacing w:before="0" w:after="0" w:line="560" w:lineRule="exact"/>
        <w:ind w:firstLine="643" w:firstLineChars="200"/>
        <w:jc w:val="both"/>
        <w:outlineLvl w:val="9"/>
        <w:rPr>
          <w:rFonts w:ascii="Times New Roman" w:hAnsi="Times New Roman" w:eastAsia="仿宋_GB2312"/>
        </w:rPr>
      </w:pPr>
      <w:r>
        <w:rPr>
          <w:rFonts w:ascii="Times New Roman" w:hAnsi="Times New Roman" w:eastAsia="仿宋_GB2312"/>
        </w:rPr>
        <w:t>1、绩效评价的目的</w:t>
      </w:r>
    </w:p>
    <w:p w14:paraId="7A96EE44">
      <w:pPr>
        <w:spacing w:line="560" w:lineRule="exact"/>
        <w:ind w:firstLine="640" w:firstLineChars="200"/>
        <w:rPr>
          <w:rFonts w:eastAsia="仿宋_GB2312"/>
          <w:sz w:val="32"/>
          <w:szCs w:val="32"/>
        </w:rPr>
      </w:pPr>
      <w:r>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33F53AF6">
      <w:pPr>
        <w:numPr>
          <w:ilvl w:val="0"/>
          <w:numId w:val="2"/>
        </w:numPr>
        <w:spacing w:line="560" w:lineRule="exact"/>
        <w:ind w:firstLine="640" w:firstLineChars="200"/>
        <w:rPr>
          <w:rFonts w:eastAsia="仿宋_GB2312"/>
          <w:sz w:val="32"/>
          <w:szCs w:val="32"/>
        </w:rPr>
      </w:pPr>
      <w:r>
        <w:rPr>
          <w:rFonts w:eastAsia="仿宋_GB2312"/>
          <w:sz w:val="32"/>
          <w:szCs w:val="32"/>
        </w:rPr>
        <w:t>项目在实施前向项目负责人提供财政支出绩效方面的资金管理信息，促进项目支出严格按照资金管理规定进行。</w:t>
      </w:r>
    </w:p>
    <w:p w14:paraId="616DD915">
      <w:pPr>
        <w:spacing w:line="560" w:lineRule="exact"/>
        <w:ind w:firstLine="640" w:firstLineChars="200"/>
        <w:rPr>
          <w:rFonts w:eastAsia="仿宋_GB2312"/>
          <w:sz w:val="32"/>
          <w:szCs w:val="32"/>
        </w:rPr>
      </w:pPr>
      <w:r>
        <w:rPr>
          <w:rFonts w:eastAsia="仿宋_GB2312"/>
          <w:sz w:val="32"/>
          <w:szCs w:val="32"/>
        </w:rPr>
        <w:t>（2）项目绩效管</w:t>
      </w:r>
      <w:r>
        <w:rPr>
          <w:rFonts w:hint="eastAsia" w:eastAsia="仿宋_GB2312"/>
          <w:sz w:val="32"/>
          <w:szCs w:val="32"/>
          <w:lang w:eastAsia="zh-CN"/>
        </w:rPr>
        <w:t>理为</w:t>
      </w:r>
      <w:r>
        <w:rPr>
          <w:rFonts w:eastAsia="仿宋_GB2312"/>
          <w:sz w:val="32"/>
          <w:szCs w:val="32"/>
        </w:rPr>
        <w:t>财政支出运行提供及时、有效的信息。</w:t>
      </w:r>
    </w:p>
    <w:p w14:paraId="1EC740B2">
      <w:pPr>
        <w:pStyle w:val="17"/>
        <w:spacing w:line="560" w:lineRule="exact"/>
        <w:ind w:firstLine="640" w:firstLineChars="200"/>
        <w:rPr>
          <w:rFonts w:eastAsia="仿宋_GB2312"/>
          <w:kern w:val="2"/>
          <w:sz w:val="32"/>
          <w:szCs w:val="32"/>
        </w:rPr>
      </w:pPr>
      <w:r>
        <w:rPr>
          <w:rFonts w:eastAsia="仿宋_GB2312"/>
          <w:sz w:val="32"/>
          <w:szCs w:val="32"/>
        </w:rPr>
        <w:t>综合来看，通过开展有效的财政支出绩效评价管理，</w:t>
      </w:r>
      <w:r>
        <w:rPr>
          <w:rFonts w:hint="eastAsia" w:eastAsia="仿宋_GB2312"/>
          <w:kern w:val="2"/>
          <w:sz w:val="32"/>
          <w:szCs w:val="32"/>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w:t>
      </w:r>
      <w:r>
        <w:rPr>
          <w:rFonts w:eastAsia="仿宋_GB2312"/>
          <w:kern w:val="2"/>
          <w:sz w:val="32"/>
          <w:szCs w:val="32"/>
        </w:rPr>
        <w:t>改进预算管理、控制节约成本，</w:t>
      </w:r>
      <w:r>
        <w:rPr>
          <w:rFonts w:hint="eastAsia" w:eastAsia="仿宋_GB2312"/>
          <w:kern w:val="2"/>
          <w:sz w:val="32"/>
          <w:szCs w:val="32"/>
        </w:rPr>
        <w:t>优化资源配置、</w:t>
      </w:r>
      <w:r>
        <w:rPr>
          <w:rFonts w:eastAsia="仿宋_GB2312"/>
          <w:kern w:val="2"/>
          <w:sz w:val="32"/>
          <w:szCs w:val="32"/>
        </w:rPr>
        <w:t>提高预算资金使用效益的目的。</w:t>
      </w:r>
    </w:p>
    <w:p w14:paraId="075F2322">
      <w:pPr>
        <w:pStyle w:val="9"/>
        <w:widowControl w:val="0"/>
        <w:spacing w:before="0" w:after="0" w:line="560" w:lineRule="exact"/>
        <w:ind w:firstLine="643" w:firstLineChars="200"/>
        <w:jc w:val="both"/>
        <w:outlineLvl w:val="9"/>
        <w:rPr>
          <w:rFonts w:ascii="Times New Roman" w:hAnsi="Times New Roman" w:eastAsia="仿宋_GB2312"/>
        </w:rPr>
      </w:pPr>
      <w:r>
        <w:rPr>
          <w:rFonts w:ascii="Times New Roman" w:hAnsi="Times New Roman" w:eastAsia="仿宋_GB2312"/>
        </w:rPr>
        <w:t>2、绩效评价的对象</w:t>
      </w:r>
    </w:p>
    <w:p w14:paraId="77C43389">
      <w:pPr>
        <w:spacing w:line="560" w:lineRule="exact"/>
        <w:ind w:firstLine="640" w:firstLineChars="200"/>
        <w:rPr>
          <w:rFonts w:ascii="仿宋_GB2312" w:hAnsi="仿宋_GB2312" w:eastAsia="仿宋_GB2312" w:cs="仿宋_GB2312"/>
          <w:sz w:val="32"/>
          <w:szCs w:val="32"/>
        </w:rPr>
      </w:pPr>
      <w:r>
        <w:rPr>
          <w:rFonts w:hint="eastAsia" w:eastAsia="仿宋_GB2312"/>
          <w:sz w:val="32"/>
          <w:szCs w:val="32"/>
        </w:rPr>
        <w:t>2023年医院事业支出项目</w:t>
      </w:r>
      <w:r>
        <w:rPr>
          <w:rFonts w:hint="eastAsia" w:ascii="仿宋_GB2312" w:hAnsi="仿宋_GB2312" w:eastAsia="仿宋_GB2312" w:cs="仿宋_GB2312"/>
          <w:sz w:val="32"/>
          <w:szCs w:val="32"/>
        </w:rPr>
        <w:t>所包含的全部项目建设内容。</w:t>
      </w:r>
    </w:p>
    <w:p w14:paraId="7377BE5F">
      <w:pPr>
        <w:pStyle w:val="9"/>
        <w:widowControl w:val="0"/>
        <w:spacing w:before="0" w:after="0" w:line="560" w:lineRule="exact"/>
        <w:ind w:firstLine="643" w:firstLineChars="200"/>
        <w:jc w:val="both"/>
        <w:outlineLvl w:val="9"/>
        <w:rPr>
          <w:rFonts w:ascii="Times New Roman" w:hAnsi="Times New Roman" w:eastAsia="仿宋_GB2312"/>
        </w:rPr>
      </w:pPr>
      <w:r>
        <w:rPr>
          <w:rFonts w:ascii="Times New Roman" w:hAnsi="Times New Roman" w:eastAsia="仿宋_GB2312"/>
        </w:rPr>
        <w:t>3、绩效评价的范围</w:t>
      </w:r>
    </w:p>
    <w:p w14:paraId="4E00F3C3">
      <w:pPr>
        <w:spacing w:line="560" w:lineRule="exact"/>
        <w:ind w:firstLine="640" w:firstLineChars="200"/>
        <w:rPr>
          <w:rFonts w:ascii="仿宋_GB2312" w:hAnsi="仿宋_GB2312" w:eastAsia="仿宋_GB2312" w:cs="仿宋_GB2312"/>
          <w:sz w:val="32"/>
          <w:szCs w:val="32"/>
        </w:rPr>
      </w:pPr>
      <w:r>
        <w:rPr>
          <w:rFonts w:hint="eastAsia" w:eastAsia="仿宋_GB2312"/>
          <w:sz w:val="32"/>
          <w:szCs w:val="32"/>
        </w:rPr>
        <w:t>2023年医院事业支出项目</w:t>
      </w:r>
      <w:r>
        <w:rPr>
          <w:rFonts w:hint="eastAsia" w:ascii="仿宋_GB2312" w:hAnsi="仿宋_GB2312" w:eastAsia="仿宋_GB2312" w:cs="仿宋_GB2312"/>
          <w:sz w:val="32"/>
          <w:szCs w:val="32"/>
        </w:rPr>
        <w:t>的决策、过程、产出、效益等。</w:t>
      </w:r>
    </w:p>
    <w:p w14:paraId="7EC2E714">
      <w:pPr>
        <w:spacing w:line="560" w:lineRule="exact"/>
        <w:ind w:firstLine="643" w:firstLineChars="200"/>
      </w:pPr>
      <w:r>
        <w:rPr>
          <w:rFonts w:eastAsia="楷体_GB2312"/>
          <w:b/>
          <w:bCs/>
          <w:sz w:val="32"/>
          <w:szCs w:val="32"/>
        </w:rPr>
        <w:t>（二）绩效评价原则、评价指标体系（详情见表1）、评价方法、评价标准。</w:t>
      </w:r>
    </w:p>
    <w:p w14:paraId="1533D909">
      <w:pPr>
        <w:pStyle w:val="9"/>
        <w:widowControl w:val="0"/>
        <w:spacing w:before="0" w:after="0" w:line="560" w:lineRule="exact"/>
        <w:ind w:firstLine="643" w:firstLineChars="200"/>
        <w:jc w:val="both"/>
        <w:outlineLvl w:val="9"/>
        <w:rPr>
          <w:rFonts w:ascii="Times New Roman" w:hAnsi="Times New Roman" w:eastAsia="仿宋_GB2312"/>
        </w:rPr>
      </w:pPr>
      <w:r>
        <w:rPr>
          <w:rFonts w:ascii="Times New Roman" w:hAnsi="Times New Roman" w:eastAsia="仿宋_GB2312"/>
        </w:rPr>
        <w:t>1、绩效评价原则</w:t>
      </w:r>
    </w:p>
    <w:p w14:paraId="477A83C7">
      <w:pPr>
        <w:spacing w:line="560" w:lineRule="exact"/>
        <w:ind w:firstLine="640" w:firstLineChars="200"/>
        <w:rPr>
          <w:rFonts w:eastAsia="仿宋_GB2312"/>
          <w:sz w:val="32"/>
          <w:szCs w:val="32"/>
        </w:rPr>
      </w:pPr>
      <w:r>
        <w:rPr>
          <w:rFonts w:eastAsia="仿宋_GB2312"/>
          <w:sz w:val="32"/>
          <w:szCs w:val="32"/>
        </w:rPr>
        <w:t>本次项目绩效评价遵循以下基本原则：</w:t>
      </w:r>
    </w:p>
    <w:p w14:paraId="1E577B6C">
      <w:pPr>
        <w:pStyle w:val="9"/>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（1）科学公正。绩效评价应当运用科学合理的方法，按照规范的程序，对项目绩效进行客观、公正</w:t>
      </w:r>
      <w:r>
        <w:rPr>
          <w:rFonts w:hint="eastAsia" w:ascii="Times New Roman" w:hAnsi="Times New Roman" w:eastAsia="仿宋_GB2312"/>
          <w:b w:val="0"/>
          <w:bCs w:val="0"/>
          <w:lang w:eastAsia="zh-CN"/>
        </w:rPr>
        <w:t>地</w:t>
      </w:r>
      <w:r>
        <w:rPr>
          <w:rFonts w:ascii="Times New Roman" w:hAnsi="Times New Roman" w:eastAsia="仿宋_GB2312"/>
          <w:b w:val="0"/>
          <w:bCs w:val="0"/>
        </w:rPr>
        <w:t>反映。</w:t>
      </w:r>
    </w:p>
    <w:p w14:paraId="5F5202D9">
      <w:pPr>
        <w:pStyle w:val="9"/>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（2）统筹兼顾。单位自评、部门评价和财政评价应职责明确，各有侧重，相互衔接。单位自评应由项目单位自主实施，即“谁支出、谁自评”。部门评价和财政评价应在单位自评的基础上开展。</w:t>
      </w:r>
    </w:p>
    <w:p w14:paraId="6FFCB96D">
      <w:pPr>
        <w:pStyle w:val="9"/>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（3）激励约束。绩效评价结果应与预算安排、政策调整、改进管理实质性挂钩，体现奖优罚劣和激励相容导向，有效要安排、低效要压减、无效要问责。</w:t>
      </w:r>
    </w:p>
    <w:p w14:paraId="09691345">
      <w:pPr>
        <w:pStyle w:val="9"/>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（4）公开透明。绩效评价结果应依法依规公开，并自觉接受社会监督。</w:t>
      </w:r>
    </w:p>
    <w:p w14:paraId="1784E3D2">
      <w:pPr>
        <w:pStyle w:val="9"/>
        <w:widowControl w:val="0"/>
        <w:spacing w:before="0" w:after="0" w:line="560" w:lineRule="exact"/>
        <w:ind w:firstLine="643" w:firstLineChars="200"/>
        <w:jc w:val="both"/>
        <w:outlineLvl w:val="9"/>
        <w:rPr>
          <w:rFonts w:ascii="Times New Roman" w:hAnsi="Times New Roman" w:eastAsia="仿宋_GB2312"/>
        </w:rPr>
      </w:pPr>
      <w:r>
        <w:rPr>
          <w:rFonts w:ascii="Times New Roman" w:hAnsi="Times New Roman" w:eastAsia="仿宋_GB2312"/>
        </w:rPr>
        <w:t>2、评价指标体系</w:t>
      </w:r>
    </w:p>
    <w:p w14:paraId="6910A926">
      <w:pPr>
        <w:spacing w:line="560" w:lineRule="exact"/>
        <w:ind w:firstLine="708" w:firstLineChars="200"/>
        <w:rPr>
          <w:spacing w:val="17"/>
          <w:sz w:val="32"/>
          <w:szCs w:val="32"/>
        </w:rPr>
      </w:pPr>
      <w:r>
        <w:rPr>
          <w:rFonts w:eastAsia="仿宋_GB2312"/>
          <w:spacing w:val="17"/>
          <w:sz w:val="32"/>
          <w:szCs w:val="32"/>
        </w:rPr>
        <w:t>绩效评价框架是开展绩效评价的核心。绩效评价框架包括评价准则、关键评价问题、评价指标、数据来源、数据收集方法等。指标体系建立过程如下：</w:t>
      </w:r>
    </w:p>
    <w:p w14:paraId="0963DE0B">
      <w:pPr>
        <w:spacing w:line="560" w:lineRule="exact"/>
        <w:ind w:firstLine="708" w:firstLineChars="200"/>
        <w:rPr>
          <w:rFonts w:eastAsia="仿宋_GB2312"/>
          <w:spacing w:val="17"/>
          <w:sz w:val="32"/>
          <w:szCs w:val="32"/>
        </w:rPr>
      </w:pPr>
      <w:r>
        <w:rPr>
          <w:rFonts w:eastAsia="仿宋_GB2312"/>
          <w:spacing w:val="17"/>
          <w:sz w:val="32"/>
          <w:szCs w:val="32"/>
        </w:rPr>
        <w:t>（1）确定评价指标</w:t>
      </w:r>
    </w:p>
    <w:p w14:paraId="71E2A3B4">
      <w:pPr>
        <w:spacing w:line="560" w:lineRule="exact"/>
        <w:ind w:firstLine="708" w:firstLineChars="200"/>
        <w:rPr>
          <w:rFonts w:eastAsia="仿宋_GB2312"/>
          <w:spacing w:val="17"/>
          <w:sz w:val="32"/>
          <w:szCs w:val="32"/>
        </w:rPr>
      </w:pPr>
      <w:r>
        <w:rPr>
          <w:rFonts w:eastAsia="仿宋_GB2312"/>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21F46BB5">
      <w:pPr>
        <w:spacing w:line="560" w:lineRule="exact"/>
        <w:ind w:firstLine="708" w:firstLineChars="200"/>
        <w:rPr>
          <w:rFonts w:eastAsia="仿宋_GB2312"/>
          <w:spacing w:val="17"/>
          <w:sz w:val="32"/>
          <w:szCs w:val="32"/>
        </w:rPr>
      </w:pPr>
      <w:r>
        <w:rPr>
          <w:rFonts w:eastAsia="仿宋_GB2312"/>
          <w:spacing w:val="17"/>
          <w:sz w:val="32"/>
          <w:szCs w:val="32"/>
        </w:rPr>
        <w:t>（2）确定权重</w:t>
      </w:r>
    </w:p>
    <w:p w14:paraId="3451A545">
      <w:pPr>
        <w:spacing w:line="560" w:lineRule="exact"/>
        <w:ind w:firstLine="708" w:firstLineChars="200"/>
        <w:rPr>
          <w:rFonts w:eastAsia="仿宋_GB2312"/>
          <w:spacing w:val="17"/>
          <w:sz w:val="32"/>
          <w:szCs w:val="32"/>
        </w:rPr>
      </w:pPr>
      <w:r>
        <w:rPr>
          <w:rFonts w:eastAsia="仿宋_GB2312"/>
          <w:spacing w:val="17"/>
          <w:sz w:val="32"/>
          <w:szCs w:val="32"/>
        </w:rPr>
        <w:t>确定各个指标相对于项目总体绩效的权重分值。在绩效评价指标体系中，项目决策权重为20分，项目过程权重为20分，项目产出权重为40分，项目效益权重为20分。</w:t>
      </w:r>
    </w:p>
    <w:p w14:paraId="0954E299">
      <w:pPr>
        <w:spacing w:line="560" w:lineRule="exact"/>
        <w:ind w:firstLine="708" w:firstLineChars="200"/>
        <w:rPr>
          <w:rFonts w:eastAsia="仿宋_GB2312"/>
          <w:spacing w:val="17"/>
          <w:sz w:val="32"/>
          <w:szCs w:val="32"/>
        </w:rPr>
      </w:pPr>
      <w:r>
        <w:rPr>
          <w:rFonts w:eastAsia="仿宋_GB2312"/>
          <w:spacing w:val="17"/>
          <w:sz w:val="32"/>
          <w:szCs w:val="32"/>
        </w:rPr>
        <w:t>（3）确定指标标准值</w:t>
      </w:r>
    </w:p>
    <w:p w14:paraId="3DFE3CC6">
      <w:pPr>
        <w:spacing w:line="560" w:lineRule="exact"/>
        <w:ind w:firstLine="708" w:firstLineChars="200"/>
        <w:rPr>
          <w:rFonts w:eastAsia="仿宋_GB2312"/>
          <w:spacing w:val="17"/>
          <w:sz w:val="32"/>
          <w:szCs w:val="32"/>
        </w:rPr>
      </w:pPr>
      <w:r>
        <w:rPr>
          <w:rFonts w:eastAsia="仿宋_GB2312"/>
          <w:spacing w:val="17"/>
          <w:sz w:val="32"/>
          <w:szCs w:val="32"/>
        </w:rPr>
        <w:t>指标标准值是绩效评价指标的尺度，既要反映同类项目的先进水平，又要符合项目的实际绩效水平。具体采用计划标准等确定此次绩效评价指标标准值。</w:t>
      </w:r>
    </w:p>
    <w:p w14:paraId="1E6C1CF0">
      <w:pPr>
        <w:pStyle w:val="9"/>
        <w:spacing w:before="0" w:after="0" w:line="560" w:lineRule="exact"/>
        <w:ind w:firstLine="708" w:firstLineChars="200"/>
        <w:jc w:val="both"/>
        <w:rPr>
          <w:rFonts w:ascii="Times New Roman" w:hAnsi="Times New Roman" w:eastAsia="仿宋_GB2312"/>
          <w:b w:val="0"/>
          <w:bCs w:val="0"/>
          <w:spacing w:val="17"/>
          <w:kern w:val="2"/>
        </w:rPr>
      </w:pPr>
      <w:r>
        <w:rPr>
          <w:rFonts w:ascii="Times New Roman" w:hAnsi="Times New Roman" w:eastAsia="仿宋_GB2312"/>
          <w:b w:val="0"/>
          <w:bCs w:val="0"/>
          <w:spacing w:val="17"/>
          <w:kern w:val="2"/>
        </w:rPr>
        <w:t>绩效评价总分值100分，根据综合评分结果，评价计分90分</w:t>
      </w:r>
      <w:r>
        <w:rPr>
          <w:rFonts w:hint="eastAsia" w:ascii="Times New Roman" w:hAnsi="Times New Roman" w:eastAsia="仿宋_GB2312"/>
          <w:b w:val="0"/>
          <w:bCs w:val="0"/>
          <w:spacing w:val="17"/>
          <w:kern w:val="2"/>
          <w:lang w:eastAsia="zh-CN"/>
        </w:rPr>
        <w:t>—</w:t>
      </w:r>
      <w:r>
        <w:rPr>
          <w:rFonts w:ascii="Times New Roman" w:hAnsi="Times New Roman" w:eastAsia="仿宋_GB2312"/>
          <w:b w:val="0"/>
          <w:bCs w:val="0"/>
          <w:spacing w:val="17"/>
          <w:kern w:val="2"/>
        </w:rPr>
        <w:t>100分（含90分）对应的评分结果级别为优，80</w:t>
      </w:r>
      <w:r>
        <w:rPr>
          <w:rFonts w:hint="eastAsia" w:ascii="Times New Roman" w:hAnsi="Times New Roman" w:eastAsia="仿宋_GB2312"/>
          <w:b w:val="0"/>
          <w:bCs w:val="0"/>
          <w:spacing w:val="17"/>
          <w:kern w:val="2"/>
          <w:lang w:eastAsia="zh-CN"/>
        </w:rPr>
        <w:t>—</w:t>
      </w:r>
      <w:r>
        <w:rPr>
          <w:rFonts w:ascii="Times New Roman" w:hAnsi="Times New Roman" w:eastAsia="仿宋_GB2312"/>
          <w:b w:val="0"/>
          <w:bCs w:val="0"/>
          <w:spacing w:val="17"/>
          <w:kern w:val="2"/>
        </w:rPr>
        <w:t>90分（含80分）对应的评分结果级别为良，60</w:t>
      </w:r>
      <w:r>
        <w:rPr>
          <w:rFonts w:hint="eastAsia" w:ascii="Times New Roman" w:hAnsi="Times New Roman" w:eastAsia="仿宋_GB2312"/>
          <w:b w:val="0"/>
          <w:bCs w:val="0"/>
          <w:spacing w:val="17"/>
          <w:kern w:val="2"/>
          <w:lang w:eastAsia="zh-CN"/>
        </w:rPr>
        <w:t>—</w:t>
      </w:r>
      <w:r>
        <w:rPr>
          <w:rFonts w:ascii="Times New Roman" w:hAnsi="Times New Roman" w:eastAsia="仿宋_GB2312"/>
          <w:b w:val="0"/>
          <w:bCs w:val="0"/>
          <w:spacing w:val="17"/>
          <w:kern w:val="2"/>
        </w:rPr>
        <w:t>80分（含60分）对应的评分结果级别为中，60分以下对应的评分结果级别为差。</w:t>
      </w:r>
    </w:p>
    <w:p w14:paraId="1EA676FA">
      <w:pPr>
        <w:pStyle w:val="9"/>
        <w:widowControl w:val="0"/>
        <w:spacing w:before="0" w:after="0" w:line="560" w:lineRule="exact"/>
        <w:ind w:firstLine="708" w:firstLineChars="200"/>
        <w:jc w:val="both"/>
        <w:outlineLvl w:val="9"/>
        <w:rPr>
          <w:rFonts w:ascii="Times New Roman" w:hAnsi="Times New Roman" w:eastAsia="仿宋_GB2312"/>
          <w:b w:val="0"/>
          <w:bCs w:val="0"/>
          <w:spacing w:val="17"/>
        </w:rPr>
      </w:pPr>
      <w:r>
        <w:rPr>
          <w:rFonts w:ascii="Times New Roman" w:hAnsi="Times New Roman" w:eastAsia="仿宋_GB2312"/>
          <w:b w:val="0"/>
          <w:bCs w:val="0"/>
          <w:spacing w:val="17"/>
        </w:rPr>
        <w:t>具体评价指标体系详情见附件1</w:t>
      </w:r>
    </w:p>
    <w:p w14:paraId="46DC6A30">
      <w:pPr>
        <w:pStyle w:val="9"/>
        <w:widowControl w:val="0"/>
        <w:spacing w:before="0" w:after="0" w:line="560" w:lineRule="exact"/>
        <w:ind w:firstLine="643" w:firstLineChars="200"/>
        <w:jc w:val="both"/>
        <w:outlineLvl w:val="9"/>
        <w:rPr>
          <w:rFonts w:ascii="Times New Roman" w:hAnsi="Times New Roman" w:eastAsia="仿宋_GB2312"/>
          <w:b w:val="0"/>
          <w:bCs w:val="0"/>
        </w:rPr>
      </w:pPr>
      <w:r>
        <w:rPr>
          <w:rFonts w:ascii="Times New Roman" w:hAnsi="Times New Roman" w:eastAsia="仿宋_GB2312"/>
        </w:rPr>
        <w:t>3、绩效评价方法</w:t>
      </w:r>
    </w:p>
    <w:p w14:paraId="6D270BB3">
      <w:pPr>
        <w:spacing w:line="560" w:lineRule="exact"/>
        <w:ind w:firstLine="708" w:firstLineChars="200"/>
        <w:rPr>
          <w:rFonts w:eastAsia="仿宋_GB2312"/>
          <w:spacing w:val="17"/>
          <w:sz w:val="32"/>
          <w:szCs w:val="32"/>
        </w:rPr>
      </w:pPr>
      <w:r>
        <w:rPr>
          <w:rFonts w:eastAsia="仿宋_GB2312"/>
          <w:spacing w:val="17"/>
          <w:sz w:val="32"/>
          <w:szCs w:val="32"/>
        </w:rPr>
        <w:t>绩效评价从项目决策、项目过程、项目产出、项目效益四个维度进行评价。评价对象为项目目标实施情况，  评价核心为资金的支出完成情况和项目的产出效益。</w:t>
      </w:r>
    </w:p>
    <w:p w14:paraId="56DA372C">
      <w:pPr>
        <w:spacing w:line="560" w:lineRule="exact"/>
        <w:ind w:firstLine="708" w:firstLineChars="200"/>
        <w:rPr>
          <w:rFonts w:eastAsia="仿宋_GB2312"/>
          <w:spacing w:val="17"/>
          <w:sz w:val="32"/>
          <w:szCs w:val="32"/>
        </w:rPr>
      </w:pPr>
      <w:r>
        <w:rPr>
          <w:rFonts w:eastAsia="仿宋_GB2312"/>
          <w:spacing w:val="17"/>
          <w:sz w:val="32"/>
          <w:szCs w:val="32"/>
        </w:rPr>
        <w:t>本次评价指标中，既有定性指标又有定量指标，各类指标因考核内容不同和客观标准不同存在较大差异，因此核定具体指标时采用了不同方法，具体评价方法如下：</w:t>
      </w:r>
    </w:p>
    <w:p w14:paraId="41755758">
      <w:pPr>
        <w:spacing w:line="560" w:lineRule="exact"/>
        <w:ind w:firstLine="708" w:firstLineChars="200"/>
        <w:rPr>
          <w:rFonts w:eastAsia="仿宋_GB2312"/>
          <w:spacing w:val="17"/>
          <w:sz w:val="32"/>
          <w:szCs w:val="32"/>
        </w:rPr>
      </w:pPr>
      <w:r>
        <w:rPr>
          <w:rFonts w:eastAsia="仿宋_GB2312"/>
          <w:spacing w:val="17"/>
          <w:sz w:val="32"/>
          <w:szCs w:val="32"/>
        </w:rPr>
        <w:t>（1）比较法</w:t>
      </w:r>
    </w:p>
    <w:p w14:paraId="24DC1B85">
      <w:pPr>
        <w:spacing w:line="560" w:lineRule="exact"/>
        <w:ind w:firstLine="708" w:firstLineChars="200"/>
        <w:rPr>
          <w:rFonts w:eastAsia="仿宋_GB2312"/>
          <w:spacing w:val="17"/>
          <w:sz w:val="32"/>
          <w:szCs w:val="32"/>
        </w:rPr>
      </w:pPr>
      <w:r>
        <w:rPr>
          <w:rFonts w:eastAsia="仿宋_GB2312"/>
          <w:spacing w:val="17"/>
          <w:sz w:val="32"/>
          <w:szCs w:val="32"/>
        </w:rPr>
        <w:t>通过对绩效目标与实施效果、历史与当期情况，综合分析绩效目标实现程度。对</w:t>
      </w:r>
      <w:r>
        <w:rPr>
          <w:rFonts w:eastAsia="仿宋_GB2312"/>
          <w:sz w:val="32"/>
          <w:szCs w:val="32"/>
        </w:rPr>
        <w:t>项目</w:t>
      </w:r>
      <w:r>
        <w:rPr>
          <w:rFonts w:eastAsia="仿宋_GB2312"/>
          <w:spacing w:val="17"/>
          <w:sz w:val="32"/>
          <w:szCs w:val="32"/>
        </w:rPr>
        <w:t>最终验收情况与年度绩效目标对比、预算资金执行情况等相关因素进行比较。</w:t>
      </w:r>
    </w:p>
    <w:p w14:paraId="632A2B84">
      <w:pPr>
        <w:spacing w:line="560" w:lineRule="exact"/>
        <w:ind w:firstLine="708" w:firstLineChars="200"/>
        <w:rPr>
          <w:rFonts w:eastAsia="仿宋_GB2312"/>
          <w:spacing w:val="17"/>
          <w:sz w:val="32"/>
          <w:szCs w:val="32"/>
        </w:rPr>
      </w:pPr>
      <w:r>
        <w:rPr>
          <w:rFonts w:eastAsia="仿宋_GB2312"/>
          <w:spacing w:val="17"/>
          <w:sz w:val="32"/>
          <w:szCs w:val="32"/>
        </w:rPr>
        <w:t>（2）因素分析法</w:t>
      </w:r>
    </w:p>
    <w:p w14:paraId="4FB7D152">
      <w:pPr>
        <w:spacing w:line="560" w:lineRule="exact"/>
        <w:ind w:firstLine="708" w:firstLineChars="200"/>
        <w:rPr>
          <w:rFonts w:eastAsia="仿宋_GB2312"/>
          <w:spacing w:val="17"/>
          <w:sz w:val="32"/>
          <w:szCs w:val="32"/>
        </w:rPr>
      </w:pPr>
      <w:r>
        <w:rPr>
          <w:rFonts w:eastAsia="仿宋_GB2312"/>
          <w:spacing w:val="17"/>
          <w:sz w:val="32"/>
          <w:szCs w:val="32"/>
        </w:rPr>
        <w:t>通过综合分析影响绩效目标实现、实施效果的内外因素，评价绩效目标实现程度。通过对</w:t>
      </w:r>
      <w:r>
        <w:rPr>
          <w:rFonts w:eastAsia="仿宋_GB2312"/>
          <w:sz w:val="32"/>
          <w:szCs w:val="32"/>
        </w:rPr>
        <w:t>项目</w:t>
      </w:r>
      <w:r>
        <w:rPr>
          <w:rFonts w:eastAsia="仿宋_GB2312"/>
          <w:spacing w:val="17"/>
          <w:sz w:val="32"/>
          <w:szCs w:val="32"/>
        </w:rPr>
        <w:t>的开展情况、项目产出数量、成本控制、资金拨付文件及自评报告等相关资料的收集和审核，综合分析各因素对绩效目标实现的影响。</w:t>
      </w:r>
    </w:p>
    <w:p w14:paraId="30A63889">
      <w:pPr>
        <w:pStyle w:val="9"/>
        <w:widowControl w:val="0"/>
        <w:spacing w:before="0" w:after="0" w:line="560" w:lineRule="exact"/>
        <w:ind w:firstLine="643" w:firstLineChars="200"/>
        <w:jc w:val="both"/>
        <w:outlineLvl w:val="9"/>
        <w:rPr>
          <w:rFonts w:ascii="Times New Roman" w:hAnsi="Times New Roman" w:eastAsia="仿宋_GB2312"/>
        </w:rPr>
      </w:pPr>
      <w:r>
        <w:rPr>
          <w:rFonts w:ascii="Times New Roman" w:hAnsi="Times New Roman" w:eastAsia="仿宋_GB2312"/>
        </w:rPr>
        <w:t>4、评价标准</w:t>
      </w:r>
    </w:p>
    <w:p w14:paraId="5A2E09AE">
      <w:pPr>
        <w:spacing w:line="560" w:lineRule="exact"/>
        <w:ind w:firstLine="708" w:firstLineChars="200"/>
        <w:rPr>
          <w:rFonts w:eastAsia="仿宋_GB2312"/>
          <w:spacing w:val="17"/>
          <w:sz w:val="32"/>
          <w:szCs w:val="32"/>
        </w:rPr>
      </w:pPr>
      <w:r>
        <w:rPr>
          <w:rFonts w:hint="eastAsia" w:eastAsia="仿宋_GB2312"/>
          <w:spacing w:val="17"/>
          <w:sz w:val="32"/>
          <w:szCs w:val="32"/>
        </w:rPr>
        <w:t>绩效评价标准通常包括计划标准、行业标准、历史标准等，用于对绩效指标完成情况进行比较、分析、评价。本次包括计划标准、行业标准和历史标准。</w:t>
      </w:r>
    </w:p>
    <w:p w14:paraId="5ECEFA72">
      <w:pPr>
        <w:spacing w:line="560" w:lineRule="exact"/>
        <w:ind w:firstLine="708" w:firstLineChars="200"/>
        <w:rPr>
          <w:rFonts w:eastAsia="仿宋_GB2312"/>
          <w:spacing w:val="17"/>
          <w:sz w:val="32"/>
          <w:szCs w:val="32"/>
        </w:rPr>
      </w:pPr>
      <w:bookmarkStart w:id="1" w:name="_Toc31464"/>
      <w:bookmarkStart w:id="2" w:name="_Toc17882"/>
      <w:r>
        <w:rPr>
          <w:rFonts w:hint="eastAsia" w:eastAsia="仿宋_GB2312"/>
          <w:spacing w:val="17"/>
          <w:sz w:val="32"/>
          <w:szCs w:val="32"/>
        </w:rPr>
        <w:t>计划标准：指以预先制定的目标、计划、预算、定额等作为评价标准。</w:t>
      </w:r>
      <w:bookmarkEnd w:id="1"/>
      <w:bookmarkEnd w:id="2"/>
    </w:p>
    <w:p w14:paraId="236316AB">
      <w:pPr>
        <w:spacing w:line="560" w:lineRule="exact"/>
        <w:ind w:firstLine="708" w:firstLineChars="200"/>
        <w:rPr>
          <w:rFonts w:eastAsia="仿宋_GB2312"/>
          <w:spacing w:val="17"/>
          <w:sz w:val="32"/>
          <w:szCs w:val="32"/>
        </w:rPr>
      </w:pPr>
      <w:bookmarkStart w:id="3" w:name="_Toc2318"/>
      <w:bookmarkStart w:id="4" w:name="_Toc5633"/>
      <w:r>
        <w:rPr>
          <w:rFonts w:hint="eastAsia" w:eastAsia="仿宋_GB2312"/>
          <w:spacing w:val="17"/>
          <w:sz w:val="32"/>
          <w:szCs w:val="32"/>
        </w:rPr>
        <w:t>行业标准：指参照国家公布的行业指标数据制定的评价标准。</w:t>
      </w:r>
      <w:bookmarkEnd w:id="3"/>
      <w:bookmarkEnd w:id="4"/>
    </w:p>
    <w:p w14:paraId="54682DE4">
      <w:pPr>
        <w:spacing w:line="560" w:lineRule="exact"/>
        <w:ind w:firstLine="708" w:firstLineChars="200"/>
        <w:rPr>
          <w:rFonts w:eastAsia="方正仿宋_GBK" w:cs="方正仿宋_GBK"/>
          <w:sz w:val="32"/>
          <w:szCs w:val="32"/>
        </w:rPr>
      </w:pPr>
      <w:bookmarkStart w:id="5" w:name="_Toc16028"/>
      <w:bookmarkStart w:id="6" w:name="_Toc430"/>
      <w:r>
        <w:rPr>
          <w:rFonts w:hint="eastAsia" w:eastAsia="仿宋_GB2312"/>
          <w:spacing w:val="17"/>
          <w:sz w:val="32"/>
          <w:szCs w:val="32"/>
        </w:rPr>
        <w:t>历史标准：指参照历史数据制定的评价标准，为体现绩效改进的原则，在可实现的条件下应当确定相对较高的评价标准。</w:t>
      </w:r>
      <w:bookmarkEnd w:id="5"/>
      <w:bookmarkEnd w:id="6"/>
    </w:p>
    <w:p w14:paraId="4A7D11CF">
      <w:pPr>
        <w:pStyle w:val="9"/>
        <w:numPr>
          <w:ilvl w:val="0"/>
          <w:numId w:val="3"/>
        </w:numPr>
        <w:spacing w:before="0" w:after="0" w:line="560" w:lineRule="exact"/>
        <w:ind w:firstLine="711" w:firstLineChars="200"/>
        <w:jc w:val="both"/>
        <w:rPr>
          <w:rFonts w:ascii="楷体" w:hAnsi="楷体" w:eastAsia="楷体" w:cs="楷体"/>
          <w:spacing w:val="17"/>
        </w:rPr>
      </w:pPr>
      <w:r>
        <w:rPr>
          <w:rFonts w:hint="eastAsia" w:ascii="楷体" w:hAnsi="楷体" w:eastAsia="楷体" w:cs="楷体"/>
          <w:spacing w:val="17"/>
        </w:rPr>
        <w:t>绩效评价工作过程</w:t>
      </w:r>
    </w:p>
    <w:p w14:paraId="13ECD2D7">
      <w:pPr>
        <w:numPr>
          <w:ilvl w:val="0"/>
          <w:numId w:val="4"/>
        </w:numPr>
        <w:spacing w:line="560" w:lineRule="exact"/>
        <w:ind w:firstLine="643" w:firstLineChars="200"/>
        <w:rPr>
          <w:rFonts w:eastAsia="仿宋_GB2312"/>
          <w:bCs/>
          <w:sz w:val="32"/>
          <w:szCs w:val="32"/>
        </w:rPr>
      </w:pPr>
      <w:r>
        <w:rPr>
          <w:rFonts w:hint="eastAsia" w:eastAsia="仿宋_GB2312"/>
          <w:b/>
          <w:sz w:val="32"/>
          <w:szCs w:val="32"/>
        </w:rPr>
        <w:t>前期准备。</w:t>
      </w:r>
      <w:r>
        <w:rPr>
          <w:rFonts w:hint="eastAsia" w:eastAsia="仿宋_GB2312"/>
          <w:bCs/>
          <w:sz w:val="32"/>
          <w:szCs w:val="32"/>
        </w:rPr>
        <w:t>首先成立评价工作组，开展前期调研；其次明确项目绩效目标，设计绩效评价指标体系并确定绩效评价方法；接着确定现场和非现场评价范围，设计资料清单；最后制定评价实施方案并进行论证。</w:t>
      </w:r>
    </w:p>
    <w:p w14:paraId="68CF2373">
      <w:pPr>
        <w:numPr>
          <w:ilvl w:val="0"/>
          <w:numId w:val="4"/>
        </w:numPr>
        <w:spacing w:line="560" w:lineRule="exact"/>
        <w:ind w:firstLine="643" w:firstLineChars="200"/>
        <w:rPr>
          <w:rFonts w:eastAsia="仿宋_GB2312"/>
          <w:bCs/>
          <w:sz w:val="32"/>
          <w:szCs w:val="32"/>
        </w:rPr>
      </w:pPr>
      <w:r>
        <w:rPr>
          <w:rFonts w:hint="eastAsia" w:eastAsia="仿宋_GB2312"/>
          <w:b/>
          <w:sz w:val="32"/>
          <w:szCs w:val="32"/>
        </w:rPr>
        <w:t>组织实施。</w:t>
      </w:r>
      <w:r>
        <w:rPr>
          <w:rFonts w:hint="eastAsia" w:eastAsia="仿宋_GB2312"/>
          <w:bCs/>
          <w:sz w:val="32"/>
          <w:szCs w:val="32"/>
        </w:rPr>
        <w:t>制定绩效评价工作方案，具体包括项目概况、评价思路、方法手段、组织实施、进度安排等。收集项目立项依据、相关会议纪要、实施方案、财政资金分配方案、支付管理情况等相关评价资料并进行梳理。</w:t>
      </w:r>
    </w:p>
    <w:p w14:paraId="2834D695">
      <w:pPr>
        <w:numPr>
          <w:ilvl w:val="0"/>
          <w:numId w:val="4"/>
        </w:numPr>
        <w:spacing w:line="560" w:lineRule="exact"/>
        <w:ind w:firstLine="643" w:firstLineChars="200"/>
        <w:rPr>
          <w:sz w:val="32"/>
          <w:szCs w:val="32"/>
        </w:rPr>
      </w:pPr>
      <w:r>
        <w:rPr>
          <w:rFonts w:hint="eastAsia" w:eastAsia="仿宋_GB2312"/>
          <w:b/>
          <w:sz w:val="32"/>
          <w:szCs w:val="32"/>
        </w:rPr>
        <w:t>分析评价。</w:t>
      </w:r>
      <w:r>
        <w:rPr>
          <w:rFonts w:hint="eastAsia" w:eastAsia="仿宋_GB2312"/>
          <w:bCs/>
          <w:sz w:val="32"/>
          <w:szCs w:val="32"/>
        </w:rPr>
        <w:t>根据收集梳理的资料围绕项目立项、资金落实、业务管理、财务管理、项目产出、项目效益等内容，对照已确定的绩效评价指标进行详细全面的分析评价，逐项打分并形成绩效评价最终结果。</w:t>
      </w:r>
    </w:p>
    <w:p w14:paraId="7EEC6440">
      <w:pPr>
        <w:numPr>
          <w:ilvl w:val="0"/>
          <w:numId w:val="5"/>
        </w:numPr>
        <w:spacing w:line="560" w:lineRule="exact"/>
        <w:ind w:firstLine="640" w:firstLineChars="200"/>
        <w:rPr>
          <w:rFonts w:eastAsia="黑体"/>
          <w:sz w:val="32"/>
          <w:szCs w:val="32"/>
        </w:rPr>
      </w:pPr>
      <w:r>
        <w:rPr>
          <w:rFonts w:eastAsia="黑体"/>
          <w:sz w:val="32"/>
          <w:szCs w:val="32"/>
        </w:rPr>
        <w:t>综合评价情况及评价结论（附相关评分表）</w:t>
      </w:r>
    </w:p>
    <w:p w14:paraId="2F9B6D36">
      <w:pPr>
        <w:pStyle w:val="9"/>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对</w:t>
      </w:r>
      <w:r>
        <w:rPr>
          <w:rFonts w:hint="eastAsia" w:ascii="Times New Roman" w:hAnsi="Times New Roman" w:eastAsia="仿宋_GB2312"/>
          <w:b w:val="0"/>
          <w:bCs w:val="0"/>
        </w:rPr>
        <w:t>2023年医院事业支出</w:t>
      </w:r>
      <w:r>
        <w:rPr>
          <w:rFonts w:ascii="Times New Roman" w:hAnsi="Times New Roman" w:eastAsia="仿宋_GB2312"/>
          <w:b w:val="0"/>
          <w:bCs w:val="0"/>
        </w:rPr>
        <w:t xml:space="preserve">项目进行客观评价，最终评分结果：总得分为 </w:t>
      </w:r>
      <w:r>
        <w:rPr>
          <w:rFonts w:hint="eastAsia" w:ascii="Times New Roman" w:hAnsi="Times New Roman" w:eastAsia="仿宋_GB2312"/>
          <w:b w:val="0"/>
          <w:bCs w:val="0"/>
        </w:rPr>
        <w:t>98.95</w:t>
      </w:r>
      <w:r>
        <w:rPr>
          <w:rFonts w:ascii="Times New Roman" w:hAnsi="Times New Roman" w:eastAsia="仿宋_GB2312"/>
          <w:b w:val="0"/>
          <w:bCs w:val="0"/>
        </w:rPr>
        <w:t xml:space="preserve">分，属于“优”。其中，项目决策类指标权重为20分，得分为 </w:t>
      </w:r>
      <w:r>
        <w:rPr>
          <w:rFonts w:hint="eastAsia" w:ascii="Times New Roman" w:hAnsi="Times New Roman" w:eastAsia="仿宋_GB2312"/>
          <w:b w:val="0"/>
          <w:bCs w:val="0"/>
        </w:rPr>
        <w:t>20</w:t>
      </w:r>
      <w:r>
        <w:rPr>
          <w:rFonts w:ascii="Times New Roman" w:hAnsi="Times New Roman" w:eastAsia="仿宋_GB2312"/>
          <w:b w:val="0"/>
          <w:bCs w:val="0"/>
        </w:rPr>
        <w:t xml:space="preserve">分，得分率为 </w:t>
      </w:r>
      <w:r>
        <w:rPr>
          <w:rFonts w:hint="eastAsia" w:ascii="Times New Roman" w:hAnsi="Times New Roman" w:eastAsia="仿宋_GB2312"/>
          <w:b w:val="0"/>
          <w:bCs w:val="0"/>
        </w:rPr>
        <w:t>100</w:t>
      </w:r>
      <w:r>
        <w:rPr>
          <w:rFonts w:ascii="Times New Roman" w:hAnsi="Times New Roman" w:eastAsia="仿宋_GB2312"/>
          <w:b w:val="0"/>
          <w:bCs w:val="0"/>
        </w:rPr>
        <w:t>%。项目过程类指标权重为20分，得分为</w:t>
      </w:r>
      <w:r>
        <w:rPr>
          <w:rFonts w:hint="eastAsia" w:ascii="Times New Roman" w:hAnsi="Times New Roman" w:eastAsia="仿宋_GB2312"/>
          <w:b w:val="0"/>
          <w:bCs w:val="0"/>
        </w:rPr>
        <w:t>20</w:t>
      </w:r>
      <w:r>
        <w:rPr>
          <w:rFonts w:ascii="Times New Roman" w:hAnsi="Times New Roman" w:eastAsia="仿宋_GB2312"/>
          <w:b w:val="0"/>
          <w:bCs w:val="0"/>
        </w:rPr>
        <w:t xml:space="preserve">分，得分率为 </w:t>
      </w:r>
      <w:r>
        <w:rPr>
          <w:rFonts w:hint="eastAsia" w:ascii="Times New Roman" w:hAnsi="Times New Roman" w:eastAsia="仿宋_GB2312"/>
          <w:b w:val="0"/>
          <w:bCs w:val="0"/>
        </w:rPr>
        <w:t>100</w:t>
      </w:r>
      <w:r>
        <w:rPr>
          <w:rFonts w:ascii="Times New Roman" w:hAnsi="Times New Roman" w:eastAsia="仿宋_GB2312"/>
          <w:b w:val="0"/>
          <w:bCs w:val="0"/>
        </w:rPr>
        <w:t>%。项目产出类指标权重为40分，得分为</w:t>
      </w:r>
      <w:r>
        <w:rPr>
          <w:rFonts w:hint="eastAsia" w:ascii="Times New Roman" w:hAnsi="Times New Roman" w:eastAsia="仿宋_GB2312"/>
          <w:b w:val="0"/>
          <w:bCs w:val="0"/>
        </w:rPr>
        <w:t>40</w:t>
      </w:r>
      <w:r>
        <w:rPr>
          <w:rFonts w:ascii="Times New Roman" w:hAnsi="Times New Roman" w:eastAsia="仿宋_GB2312"/>
          <w:b w:val="0"/>
          <w:bCs w:val="0"/>
        </w:rPr>
        <w:t xml:space="preserve">分，得分率为 </w:t>
      </w:r>
      <w:r>
        <w:rPr>
          <w:rFonts w:hint="eastAsia" w:ascii="Times New Roman" w:hAnsi="Times New Roman" w:eastAsia="仿宋_GB2312"/>
          <w:b w:val="0"/>
          <w:bCs w:val="0"/>
        </w:rPr>
        <w:t>100</w:t>
      </w:r>
      <w:r>
        <w:rPr>
          <w:rFonts w:ascii="Times New Roman" w:hAnsi="Times New Roman" w:eastAsia="仿宋_GB2312"/>
          <w:b w:val="0"/>
          <w:bCs w:val="0"/>
        </w:rPr>
        <w:t>%。项目效益类指标权重为20分，得分为</w:t>
      </w:r>
      <w:r>
        <w:rPr>
          <w:rFonts w:hint="eastAsia" w:ascii="Times New Roman" w:hAnsi="Times New Roman" w:eastAsia="仿宋_GB2312"/>
          <w:b w:val="0"/>
          <w:bCs w:val="0"/>
        </w:rPr>
        <w:t>18.95</w:t>
      </w:r>
      <w:r>
        <w:rPr>
          <w:rFonts w:ascii="Times New Roman" w:hAnsi="Times New Roman" w:eastAsia="仿宋_GB2312"/>
          <w:b w:val="0"/>
          <w:bCs w:val="0"/>
        </w:rPr>
        <w:t>分，得分率为</w:t>
      </w:r>
      <w:r>
        <w:rPr>
          <w:rFonts w:hint="eastAsia" w:ascii="Times New Roman" w:hAnsi="Times New Roman" w:eastAsia="仿宋_GB2312"/>
          <w:b w:val="0"/>
          <w:bCs w:val="0"/>
        </w:rPr>
        <w:t>94.75</w:t>
      </w:r>
      <w:r>
        <w:rPr>
          <w:rFonts w:ascii="Times New Roman" w:hAnsi="Times New Roman" w:eastAsia="仿宋_GB2312"/>
          <w:b w:val="0"/>
          <w:bCs w:val="0"/>
        </w:rPr>
        <w:t>%。</w:t>
      </w:r>
    </w:p>
    <w:p w14:paraId="1AE2541C">
      <w:pPr>
        <w:pStyle w:val="9"/>
        <w:rPr>
          <w:rFonts w:ascii="Times New Roman" w:hAnsi="Times New Roman" w:eastAsia="仿宋_GB2312"/>
          <w:sz w:val="30"/>
          <w:szCs w:val="30"/>
        </w:rPr>
      </w:pPr>
      <w:r>
        <w:rPr>
          <w:rFonts w:ascii="Times New Roman" w:hAnsi="Times New Roman" w:eastAsia="仿宋_GB2312"/>
          <w:sz w:val="30"/>
          <w:szCs w:val="30"/>
        </w:rPr>
        <w:t>表1综合评分表</w:t>
      </w:r>
    </w:p>
    <w:tbl>
      <w:tblPr>
        <w:tblStyle w:val="12"/>
        <w:tblpPr w:leftFromText="180" w:rightFromText="180" w:vertAnchor="text" w:horzAnchor="page" w:tblpX="1252" w:tblpY="1388"/>
        <w:tblOverlap w:val="never"/>
        <w:tblW w:w="9954" w:type="dxa"/>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04"/>
        <w:gridCol w:w="990"/>
        <w:gridCol w:w="1283"/>
        <w:gridCol w:w="1707"/>
        <w:gridCol w:w="727"/>
        <w:gridCol w:w="1044"/>
        <w:gridCol w:w="924"/>
        <w:gridCol w:w="1215"/>
        <w:gridCol w:w="960"/>
      </w:tblGrid>
      <w:tr w14:paraId="79266E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24" w:hRule="atLeast"/>
          <w:tblHeader/>
        </w:trPr>
        <w:tc>
          <w:tcPr>
            <w:tcW w:w="1104" w:type="dxa"/>
            <w:shd w:val="clear" w:color="auto" w:fill="BFBFBF"/>
            <w:vAlign w:val="center"/>
          </w:tcPr>
          <w:p w14:paraId="3C3E7624">
            <w:pPr>
              <w:widowControl/>
              <w:spacing w:line="0" w:lineRule="atLeast"/>
              <w:rPr>
                <w:b/>
                <w:bCs/>
                <w:kern w:val="0"/>
                <w:sz w:val="22"/>
                <w:szCs w:val="22"/>
              </w:rPr>
            </w:pPr>
            <w:r>
              <w:rPr>
                <w:b/>
                <w:bCs/>
                <w:kern w:val="0"/>
                <w:sz w:val="22"/>
                <w:szCs w:val="22"/>
              </w:rPr>
              <w:t>一级指标</w:t>
            </w:r>
          </w:p>
        </w:tc>
        <w:tc>
          <w:tcPr>
            <w:tcW w:w="990" w:type="dxa"/>
            <w:shd w:val="clear" w:color="auto" w:fill="BFBFBF"/>
            <w:vAlign w:val="center"/>
          </w:tcPr>
          <w:p w14:paraId="4304C6A0">
            <w:pPr>
              <w:widowControl/>
              <w:spacing w:line="0" w:lineRule="atLeast"/>
              <w:jc w:val="center"/>
              <w:rPr>
                <w:b/>
                <w:bCs/>
                <w:kern w:val="0"/>
                <w:sz w:val="22"/>
                <w:szCs w:val="22"/>
              </w:rPr>
            </w:pPr>
            <w:r>
              <w:rPr>
                <w:b/>
                <w:bCs/>
                <w:kern w:val="0"/>
                <w:sz w:val="22"/>
                <w:szCs w:val="22"/>
              </w:rPr>
              <w:t>分值</w:t>
            </w:r>
          </w:p>
        </w:tc>
        <w:tc>
          <w:tcPr>
            <w:tcW w:w="1283" w:type="dxa"/>
            <w:shd w:val="clear" w:color="auto" w:fill="BFBFBF"/>
            <w:vAlign w:val="center"/>
          </w:tcPr>
          <w:p w14:paraId="42109D2F">
            <w:pPr>
              <w:widowControl/>
              <w:spacing w:line="0" w:lineRule="atLeast"/>
              <w:jc w:val="center"/>
              <w:rPr>
                <w:b/>
                <w:bCs/>
                <w:kern w:val="0"/>
                <w:sz w:val="22"/>
                <w:szCs w:val="22"/>
              </w:rPr>
            </w:pPr>
            <w:r>
              <w:rPr>
                <w:b/>
                <w:bCs/>
                <w:kern w:val="0"/>
                <w:sz w:val="22"/>
                <w:szCs w:val="22"/>
              </w:rPr>
              <w:t>二级指标</w:t>
            </w:r>
          </w:p>
        </w:tc>
        <w:tc>
          <w:tcPr>
            <w:tcW w:w="1707" w:type="dxa"/>
            <w:shd w:val="clear" w:color="auto" w:fill="BFBFBF"/>
            <w:vAlign w:val="center"/>
          </w:tcPr>
          <w:p w14:paraId="4D7E44BD">
            <w:pPr>
              <w:widowControl/>
              <w:spacing w:line="0" w:lineRule="atLeast"/>
              <w:jc w:val="center"/>
              <w:rPr>
                <w:b/>
                <w:bCs/>
                <w:kern w:val="0"/>
                <w:sz w:val="22"/>
                <w:szCs w:val="22"/>
              </w:rPr>
            </w:pPr>
            <w:r>
              <w:rPr>
                <w:b/>
                <w:bCs/>
                <w:kern w:val="0"/>
                <w:sz w:val="22"/>
                <w:szCs w:val="22"/>
              </w:rPr>
              <w:t>三级指标</w:t>
            </w:r>
          </w:p>
        </w:tc>
        <w:tc>
          <w:tcPr>
            <w:tcW w:w="727" w:type="dxa"/>
            <w:shd w:val="clear" w:color="auto" w:fill="BFBFBF"/>
            <w:vAlign w:val="center"/>
          </w:tcPr>
          <w:p w14:paraId="03B0F949">
            <w:pPr>
              <w:widowControl/>
              <w:spacing w:line="0" w:lineRule="atLeast"/>
              <w:jc w:val="center"/>
              <w:rPr>
                <w:b/>
                <w:bCs/>
                <w:kern w:val="0"/>
                <w:sz w:val="22"/>
                <w:szCs w:val="22"/>
              </w:rPr>
            </w:pPr>
            <w:r>
              <w:rPr>
                <w:b/>
                <w:bCs/>
                <w:kern w:val="0"/>
                <w:sz w:val="22"/>
                <w:szCs w:val="22"/>
              </w:rPr>
              <w:t>权重</w:t>
            </w:r>
          </w:p>
        </w:tc>
        <w:tc>
          <w:tcPr>
            <w:tcW w:w="1044" w:type="dxa"/>
            <w:shd w:val="clear" w:color="auto" w:fill="BFBFBF"/>
            <w:vAlign w:val="center"/>
          </w:tcPr>
          <w:p w14:paraId="236C35E6">
            <w:pPr>
              <w:widowControl/>
              <w:tabs>
                <w:tab w:val="left" w:pos="1333"/>
                <w:tab w:val="center" w:pos="3623"/>
              </w:tabs>
              <w:spacing w:line="0" w:lineRule="atLeast"/>
              <w:jc w:val="center"/>
              <w:rPr>
                <w:b/>
                <w:bCs/>
                <w:kern w:val="0"/>
                <w:sz w:val="22"/>
                <w:szCs w:val="22"/>
              </w:rPr>
            </w:pPr>
            <w:r>
              <w:rPr>
                <w:b/>
                <w:bCs/>
                <w:kern w:val="0"/>
                <w:sz w:val="22"/>
                <w:szCs w:val="22"/>
              </w:rPr>
              <w:t>目标值</w:t>
            </w:r>
          </w:p>
        </w:tc>
        <w:tc>
          <w:tcPr>
            <w:tcW w:w="924" w:type="dxa"/>
            <w:shd w:val="clear" w:color="auto" w:fill="BFBFBF"/>
            <w:vAlign w:val="center"/>
          </w:tcPr>
          <w:p w14:paraId="43CCE26F">
            <w:pPr>
              <w:widowControl/>
              <w:tabs>
                <w:tab w:val="left" w:pos="1333"/>
                <w:tab w:val="center" w:pos="3623"/>
              </w:tabs>
              <w:spacing w:line="0" w:lineRule="atLeast"/>
              <w:jc w:val="center"/>
              <w:rPr>
                <w:b/>
                <w:bCs/>
                <w:kern w:val="0"/>
                <w:sz w:val="22"/>
                <w:szCs w:val="22"/>
              </w:rPr>
            </w:pPr>
            <w:r>
              <w:rPr>
                <w:b/>
                <w:bCs/>
                <w:kern w:val="0"/>
                <w:sz w:val="22"/>
                <w:szCs w:val="22"/>
              </w:rPr>
              <w:t>业绩值</w:t>
            </w:r>
          </w:p>
        </w:tc>
        <w:tc>
          <w:tcPr>
            <w:tcW w:w="1215" w:type="dxa"/>
            <w:shd w:val="clear" w:color="auto" w:fill="BFBFBF"/>
            <w:vAlign w:val="center"/>
          </w:tcPr>
          <w:p w14:paraId="4D930F97">
            <w:pPr>
              <w:widowControl/>
              <w:tabs>
                <w:tab w:val="left" w:pos="1333"/>
                <w:tab w:val="center" w:pos="3623"/>
              </w:tabs>
              <w:spacing w:line="0" w:lineRule="atLeast"/>
              <w:jc w:val="center"/>
              <w:rPr>
                <w:b/>
                <w:bCs/>
                <w:kern w:val="0"/>
                <w:sz w:val="22"/>
                <w:szCs w:val="22"/>
              </w:rPr>
            </w:pPr>
            <w:r>
              <w:rPr>
                <w:b/>
                <w:bCs/>
                <w:kern w:val="0"/>
                <w:sz w:val="22"/>
                <w:szCs w:val="22"/>
              </w:rPr>
              <w:t>得分率</w:t>
            </w:r>
          </w:p>
        </w:tc>
        <w:tc>
          <w:tcPr>
            <w:tcW w:w="960" w:type="dxa"/>
            <w:shd w:val="clear" w:color="auto" w:fill="BFBFBF"/>
            <w:vAlign w:val="center"/>
          </w:tcPr>
          <w:p w14:paraId="5F08667C">
            <w:pPr>
              <w:widowControl/>
              <w:tabs>
                <w:tab w:val="left" w:pos="1333"/>
                <w:tab w:val="center" w:pos="3623"/>
              </w:tabs>
              <w:spacing w:line="0" w:lineRule="atLeast"/>
              <w:jc w:val="center"/>
              <w:rPr>
                <w:b/>
                <w:bCs/>
                <w:kern w:val="0"/>
                <w:sz w:val="22"/>
                <w:szCs w:val="22"/>
              </w:rPr>
            </w:pPr>
            <w:r>
              <w:rPr>
                <w:b/>
                <w:bCs/>
                <w:kern w:val="0"/>
                <w:sz w:val="22"/>
                <w:szCs w:val="22"/>
              </w:rPr>
              <w:t>得分</w:t>
            </w:r>
          </w:p>
        </w:tc>
      </w:tr>
      <w:tr w14:paraId="32B908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14:paraId="3180F239">
            <w:pPr>
              <w:widowControl/>
              <w:spacing w:line="0" w:lineRule="atLeast"/>
              <w:jc w:val="center"/>
              <w:rPr>
                <w:kern w:val="0"/>
                <w:sz w:val="22"/>
                <w:szCs w:val="22"/>
              </w:rPr>
            </w:pPr>
            <w:r>
              <w:rPr>
                <w:kern w:val="0"/>
                <w:sz w:val="22"/>
                <w:szCs w:val="22"/>
              </w:rPr>
              <w:t>决策　</w:t>
            </w:r>
          </w:p>
          <w:p w14:paraId="4F79D80F">
            <w:pPr>
              <w:widowControl/>
              <w:spacing w:line="0" w:lineRule="atLeast"/>
              <w:jc w:val="center"/>
              <w:rPr>
                <w:kern w:val="0"/>
                <w:sz w:val="22"/>
                <w:szCs w:val="22"/>
              </w:rPr>
            </w:pPr>
            <w:r>
              <w:rPr>
                <w:kern w:val="0"/>
                <w:sz w:val="22"/>
                <w:szCs w:val="22"/>
              </w:rPr>
              <w:t>　</w:t>
            </w:r>
          </w:p>
          <w:p w14:paraId="07EF139C">
            <w:pPr>
              <w:spacing w:line="0" w:lineRule="atLeast"/>
              <w:jc w:val="center"/>
              <w:rPr>
                <w:kern w:val="0"/>
                <w:sz w:val="22"/>
                <w:szCs w:val="22"/>
              </w:rPr>
            </w:pPr>
            <w:r>
              <w:rPr>
                <w:kern w:val="0"/>
                <w:sz w:val="22"/>
                <w:szCs w:val="22"/>
              </w:rPr>
              <w:t>　</w:t>
            </w:r>
          </w:p>
          <w:p w14:paraId="45638BF7">
            <w:pPr>
              <w:widowControl/>
              <w:spacing w:line="0" w:lineRule="atLeast"/>
              <w:jc w:val="center"/>
              <w:rPr>
                <w:kern w:val="0"/>
                <w:sz w:val="22"/>
                <w:szCs w:val="22"/>
              </w:rPr>
            </w:pPr>
            <w:r>
              <w:rPr>
                <w:kern w:val="0"/>
                <w:sz w:val="22"/>
                <w:szCs w:val="22"/>
              </w:rPr>
              <w:t>　</w:t>
            </w:r>
          </w:p>
        </w:tc>
        <w:tc>
          <w:tcPr>
            <w:tcW w:w="990" w:type="dxa"/>
            <w:vMerge w:val="restart"/>
            <w:shd w:val="clear" w:color="auto" w:fill="FFFFFF"/>
            <w:vAlign w:val="center"/>
          </w:tcPr>
          <w:p w14:paraId="71BD2E0F">
            <w:pPr>
              <w:widowControl/>
              <w:spacing w:line="0" w:lineRule="atLeast"/>
              <w:jc w:val="center"/>
              <w:rPr>
                <w:kern w:val="0"/>
                <w:sz w:val="22"/>
                <w:szCs w:val="22"/>
              </w:rPr>
            </w:pPr>
            <w:r>
              <w:rPr>
                <w:kern w:val="0"/>
                <w:sz w:val="22"/>
                <w:szCs w:val="22"/>
              </w:rPr>
              <w:t>20分</w:t>
            </w:r>
          </w:p>
        </w:tc>
        <w:tc>
          <w:tcPr>
            <w:tcW w:w="1283" w:type="dxa"/>
            <w:vMerge w:val="restart"/>
            <w:shd w:val="clear" w:color="auto" w:fill="FFFFFF"/>
            <w:vAlign w:val="center"/>
          </w:tcPr>
          <w:p w14:paraId="4BE7348A">
            <w:pPr>
              <w:widowControl/>
              <w:spacing w:line="0" w:lineRule="atLeast"/>
              <w:jc w:val="center"/>
              <w:rPr>
                <w:kern w:val="0"/>
                <w:sz w:val="22"/>
                <w:szCs w:val="22"/>
              </w:rPr>
            </w:pPr>
            <w:r>
              <w:rPr>
                <w:kern w:val="0"/>
                <w:sz w:val="22"/>
                <w:szCs w:val="22"/>
              </w:rPr>
              <w:t>项目立项　</w:t>
            </w:r>
          </w:p>
        </w:tc>
        <w:tc>
          <w:tcPr>
            <w:tcW w:w="1707" w:type="dxa"/>
            <w:shd w:val="clear" w:color="auto" w:fill="FFFFFF"/>
            <w:vAlign w:val="center"/>
          </w:tcPr>
          <w:p w14:paraId="14AE6607">
            <w:pPr>
              <w:widowControl/>
              <w:spacing w:line="0" w:lineRule="atLeast"/>
              <w:jc w:val="center"/>
              <w:rPr>
                <w:kern w:val="0"/>
                <w:sz w:val="22"/>
                <w:szCs w:val="22"/>
              </w:rPr>
            </w:pPr>
            <w:r>
              <w:rPr>
                <w:kern w:val="0"/>
                <w:sz w:val="22"/>
                <w:szCs w:val="22"/>
              </w:rPr>
              <w:t>立项依据</w:t>
            </w:r>
          </w:p>
          <w:p w14:paraId="537120A3">
            <w:pPr>
              <w:widowControl/>
              <w:spacing w:line="0" w:lineRule="atLeast"/>
              <w:jc w:val="center"/>
              <w:rPr>
                <w:kern w:val="0"/>
                <w:sz w:val="22"/>
                <w:szCs w:val="22"/>
              </w:rPr>
            </w:pPr>
            <w:r>
              <w:rPr>
                <w:kern w:val="0"/>
                <w:sz w:val="22"/>
                <w:szCs w:val="22"/>
              </w:rPr>
              <w:t>充分性</w:t>
            </w:r>
          </w:p>
        </w:tc>
        <w:tc>
          <w:tcPr>
            <w:tcW w:w="727" w:type="dxa"/>
            <w:shd w:val="clear" w:color="auto" w:fill="FFFFFF"/>
            <w:vAlign w:val="center"/>
          </w:tcPr>
          <w:p w14:paraId="644CD2C4">
            <w:pPr>
              <w:widowControl/>
              <w:spacing w:line="0" w:lineRule="atLeast"/>
              <w:jc w:val="center"/>
              <w:rPr>
                <w:kern w:val="0"/>
                <w:sz w:val="22"/>
                <w:szCs w:val="22"/>
              </w:rPr>
            </w:pPr>
            <w:r>
              <w:rPr>
                <w:kern w:val="0"/>
                <w:sz w:val="22"/>
                <w:szCs w:val="22"/>
              </w:rPr>
              <w:t>3</w:t>
            </w:r>
          </w:p>
        </w:tc>
        <w:tc>
          <w:tcPr>
            <w:tcW w:w="1044" w:type="dxa"/>
            <w:shd w:val="clear" w:color="auto" w:fill="FFFFFF"/>
            <w:vAlign w:val="center"/>
          </w:tcPr>
          <w:p w14:paraId="3E294F47">
            <w:pPr>
              <w:widowControl/>
              <w:spacing w:line="0" w:lineRule="atLeast"/>
              <w:jc w:val="center"/>
              <w:rPr>
                <w:kern w:val="0"/>
                <w:sz w:val="22"/>
                <w:szCs w:val="22"/>
              </w:rPr>
            </w:pPr>
            <w:r>
              <w:rPr>
                <w:kern w:val="0"/>
                <w:sz w:val="22"/>
                <w:szCs w:val="22"/>
              </w:rPr>
              <w:t>充分</w:t>
            </w:r>
          </w:p>
        </w:tc>
        <w:tc>
          <w:tcPr>
            <w:tcW w:w="924" w:type="dxa"/>
            <w:shd w:val="clear" w:color="auto" w:fill="FFFFFF"/>
            <w:vAlign w:val="center"/>
          </w:tcPr>
          <w:p w14:paraId="786D57AF">
            <w:pPr>
              <w:widowControl/>
              <w:spacing w:line="0" w:lineRule="atLeast"/>
              <w:jc w:val="center"/>
              <w:rPr>
                <w:kern w:val="0"/>
                <w:sz w:val="22"/>
                <w:szCs w:val="22"/>
              </w:rPr>
            </w:pPr>
            <w:r>
              <w:rPr>
                <w:kern w:val="0"/>
                <w:sz w:val="22"/>
                <w:szCs w:val="22"/>
              </w:rPr>
              <w:t>充分</w:t>
            </w:r>
          </w:p>
        </w:tc>
        <w:tc>
          <w:tcPr>
            <w:tcW w:w="1215" w:type="dxa"/>
            <w:shd w:val="clear" w:color="auto" w:fill="FFFFFF"/>
            <w:vAlign w:val="center"/>
          </w:tcPr>
          <w:p w14:paraId="0C102752">
            <w:pPr>
              <w:widowControl/>
              <w:spacing w:line="0" w:lineRule="atLeast"/>
              <w:jc w:val="center"/>
              <w:rPr>
                <w:kern w:val="0"/>
                <w:sz w:val="22"/>
                <w:szCs w:val="22"/>
              </w:rPr>
            </w:pPr>
            <w:r>
              <w:rPr>
                <w:rFonts w:hint="eastAsia"/>
                <w:kern w:val="0"/>
                <w:sz w:val="22"/>
                <w:szCs w:val="22"/>
              </w:rPr>
              <w:t>100%</w:t>
            </w:r>
          </w:p>
        </w:tc>
        <w:tc>
          <w:tcPr>
            <w:tcW w:w="960" w:type="dxa"/>
            <w:shd w:val="clear" w:color="auto" w:fill="FFFFFF"/>
            <w:vAlign w:val="center"/>
          </w:tcPr>
          <w:p w14:paraId="3E098A54">
            <w:pPr>
              <w:widowControl/>
              <w:spacing w:line="0" w:lineRule="atLeast"/>
              <w:jc w:val="center"/>
              <w:rPr>
                <w:kern w:val="0"/>
                <w:sz w:val="22"/>
                <w:szCs w:val="22"/>
              </w:rPr>
            </w:pPr>
            <w:r>
              <w:rPr>
                <w:rFonts w:hint="eastAsia"/>
                <w:kern w:val="0"/>
                <w:sz w:val="22"/>
                <w:szCs w:val="22"/>
              </w:rPr>
              <w:t>3</w:t>
            </w:r>
          </w:p>
        </w:tc>
      </w:tr>
      <w:tr w14:paraId="477ED87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14:paraId="7E7C3FCD">
            <w:pPr>
              <w:spacing w:line="0" w:lineRule="atLeast"/>
              <w:jc w:val="center"/>
              <w:rPr>
                <w:kern w:val="0"/>
                <w:sz w:val="22"/>
                <w:szCs w:val="22"/>
              </w:rPr>
            </w:pPr>
          </w:p>
        </w:tc>
        <w:tc>
          <w:tcPr>
            <w:tcW w:w="990" w:type="dxa"/>
            <w:vMerge w:val="continue"/>
            <w:shd w:val="clear" w:color="auto" w:fill="FFFFFF"/>
            <w:vAlign w:val="center"/>
          </w:tcPr>
          <w:p w14:paraId="6CCB9932">
            <w:pPr>
              <w:widowControl/>
              <w:spacing w:line="0" w:lineRule="atLeast"/>
              <w:jc w:val="center"/>
              <w:rPr>
                <w:kern w:val="0"/>
                <w:sz w:val="22"/>
                <w:szCs w:val="22"/>
              </w:rPr>
            </w:pPr>
          </w:p>
        </w:tc>
        <w:tc>
          <w:tcPr>
            <w:tcW w:w="1283" w:type="dxa"/>
            <w:vMerge w:val="continue"/>
            <w:shd w:val="clear" w:color="auto" w:fill="FFFFFF"/>
            <w:vAlign w:val="center"/>
          </w:tcPr>
          <w:p w14:paraId="3B6A2BF2">
            <w:pPr>
              <w:widowControl/>
              <w:spacing w:line="0" w:lineRule="atLeast"/>
              <w:jc w:val="center"/>
              <w:rPr>
                <w:kern w:val="0"/>
                <w:sz w:val="22"/>
                <w:szCs w:val="22"/>
              </w:rPr>
            </w:pPr>
          </w:p>
        </w:tc>
        <w:tc>
          <w:tcPr>
            <w:tcW w:w="1707" w:type="dxa"/>
            <w:shd w:val="clear" w:color="auto" w:fill="FFFFFF"/>
            <w:vAlign w:val="center"/>
          </w:tcPr>
          <w:p w14:paraId="1608AADE">
            <w:pPr>
              <w:widowControl/>
              <w:spacing w:line="0" w:lineRule="atLeast"/>
              <w:jc w:val="center"/>
              <w:rPr>
                <w:kern w:val="0"/>
                <w:sz w:val="22"/>
                <w:szCs w:val="22"/>
              </w:rPr>
            </w:pPr>
            <w:r>
              <w:rPr>
                <w:kern w:val="0"/>
                <w:sz w:val="22"/>
                <w:szCs w:val="22"/>
              </w:rPr>
              <w:t>立项程序</w:t>
            </w:r>
          </w:p>
          <w:p w14:paraId="08F68F9F">
            <w:pPr>
              <w:widowControl/>
              <w:spacing w:line="0" w:lineRule="atLeast"/>
              <w:jc w:val="center"/>
              <w:rPr>
                <w:kern w:val="0"/>
                <w:sz w:val="22"/>
                <w:szCs w:val="22"/>
              </w:rPr>
            </w:pPr>
            <w:r>
              <w:rPr>
                <w:kern w:val="0"/>
                <w:sz w:val="22"/>
                <w:szCs w:val="22"/>
              </w:rPr>
              <w:t>规范性</w:t>
            </w:r>
          </w:p>
        </w:tc>
        <w:tc>
          <w:tcPr>
            <w:tcW w:w="727" w:type="dxa"/>
            <w:shd w:val="clear" w:color="auto" w:fill="FFFFFF"/>
            <w:vAlign w:val="center"/>
          </w:tcPr>
          <w:p w14:paraId="36414C4C">
            <w:pPr>
              <w:widowControl/>
              <w:spacing w:line="0" w:lineRule="atLeast"/>
              <w:jc w:val="center"/>
              <w:rPr>
                <w:kern w:val="0"/>
                <w:sz w:val="22"/>
                <w:szCs w:val="22"/>
              </w:rPr>
            </w:pPr>
            <w:r>
              <w:rPr>
                <w:kern w:val="0"/>
                <w:sz w:val="22"/>
                <w:szCs w:val="22"/>
              </w:rPr>
              <w:t>3</w:t>
            </w:r>
          </w:p>
        </w:tc>
        <w:tc>
          <w:tcPr>
            <w:tcW w:w="1044" w:type="dxa"/>
            <w:shd w:val="clear" w:color="auto" w:fill="FFFFFF"/>
            <w:vAlign w:val="center"/>
          </w:tcPr>
          <w:p w14:paraId="609C391B">
            <w:pPr>
              <w:widowControl/>
              <w:spacing w:line="0" w:lineRule="atLeast"/>
              <w:jc w:val="center"/>
              <w:rPr>
                <w:kern w:val="0"/>
                <w:sz w:val="22"/>
                <w:szCs w:val="22"/>
              </w:rPr>
            </w:pPr>
            <w:r>
              <w:rPr>
                <w:kern w:val="0"/>
                <w:sz w:val="22"/>
                <w:szCs w:val="22"/>
              </w:rPr>
              <w:t>规范</w:t>
            </w:r>
          </w:p>
        </w:tc>
        <w:tc>
          <w:tcPr>
            <w:tcW w:w="924" w:type="dxa"/>
            <w:shd w:val="clear" w:color="auto" w:fill="FFFFFF"/>
            <w:vAlign w:val="center"/>
          </w:tcPr>
          <w:p w14:paraId="08CDFB20">
            <w:pPr>
              <w:widowControl/>
              <w:spacing w:line="0" w:lineRule="atLeast"/>
              <w:jc w:val="center"/>
              <w:rPr>
                <w:kern w:val="0"/>
                <w:sz w:val="22"/>
                <w:szCs w:val="22"/>
              </w:rPr>
            </w:pPr>
            <w:r>
              <w:rPr>
                <w:kern w:val="0"/>
                <w:sz w:val="22"/>
                <w:szCs w:val="22"/>
              </w:rPr>
              <w:t>规范</w:t>
            </w:r>
          </w:p>
        </w:tc>
        <w:tc>
          <w:tcPr>
            <w:tcW w:w="1215" w:type="dxa"/>
            <w:shd w:val="clear" w:color="auto" w:fill="FFFFFF"/>
            <w:vAlign w:val="center"/>
          </w:tcPr>
          <w:p w14:paraId="4DC042DE">
            <w:pPr>
              <w:widowControl/>
              <w:spacing w:line="0" w:lineRule="atLeast"/>
              <w:jc w:val="center"/>
              <w:rPr>
                <w:kern w:val="0"/>
                <w:sz w:val="22"/>
                <w:szCs w:val="22"/>
              </w:rPr>
            </w:pPr>
            <w:r>
              <w:rPr>
                <w:rFonts w:hint="eastAsia"/>
                <w:kern w:val="0"/>
                <w:sz w:val="22"/>
                <w:szCs w:val="22"/>
              </w:rPr>
              <w:t>100%</w:t>
            </w:r>
          </w:p>
        </w:tc>
        <w:tc>
          <w:tcPr>
            <w:tcW w:w="960" w:type="dxa"/>
            <w:shd w:val="clear" w:color="auto" w:fill="FFFFFF"/>
            <w:vAlign w:val="center"/>
          </w:tcPr>
          <w:p w14:paraId="19988326">
            <w:pPr>
              <w:widowControl/>
              <w:spacing w:line="0" w:lineRule="atLeast"/>
              <w:jc w:val="center"/>
              <w:rPr>
                <w:kern w:val="0"/>
                <w:sz w:val="22"/>
                <w:szCs w:val="22"/>
              </w:rPr>
            </w:pPr>
            <w:r>
              <w:rPr>
                <w:rFonts w:hint="eastAsia"/>
                <w:kern w:val="0"/>
                <w:sz w:val="22"/>
                <w:szCs w:val="22"/>
              </w:rPr>
              <w:t>3</w:t>
            </w:r>
          </w:p>
        </w:tc>
      </w:tr>
      <w:tr w14:paraId="27D36D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14:paraId="6E354139">
            <w:pPr>
              <w:spacing w:line="0" w:lineRule="atLeast"/>
              <w:jc w:val="center"/>
              <w:rPr>
                <w:kern w:val="0"/>
                <w:sz w:val="22"/>
                <w:szCs w:val="22"/>
              </w:rPr>
            </w:pPr>
          </w:p>
        </w:tc>
        <w:tc>
          <w:tcPr>
            <w:tcW w:w="990" w:type="dxa"/>
            <w:vMerge w:val="continue"/>
            <w:shd w:val="clear" w:color="auto" w:fill="FFFFFF"/>
            <w:vAlign w:val="center"/>
          </w:tcPr>
          <w:p w14:paraId="3D381A74">
            <w:pPr>
              <w:widowControl/>
              <w:spacing w:line="0" w:lineRule="atLeast"/>
              <w:jc w:val="center"/>
              <w:rPr>
                <w:kern w:val="0"/>
                <w:sz w:val="22"/>
                <w:szCs w:val="22"/>
              </w:rPr>
            </w:pPr>
          </w:p>
        </w:tc>
        <w:tc>
          <w:tcPr>
            <w:tcW w:w="1283" w:type="dxa"/>
            <w:vMerge w:val="restart"/>
            <w:shd w:val="clear" w:color="auto" w:fill="FFFFFF"/>
            <w:vAlign w:val="center"/>
          </w:tcPr>
          <w:p w14:paraId="25059144">
            <w:pPr>
              <w:widowControl/>
              <w:spacing w:line="0" w:lineRule="atLeast"/>
              <w:jc w:val="center"/>
              <w:rPr>
                <w:kern w:val="0"/>
                <w:sz w:val="22"/>
                <w:szCs w:val="22"/>
              </w:rPr>
            </w:pPr>
            <w:r>
              <w:rPr>
                <w:kern w:val="0"/>
                <w:sz w:val="22"/>
                <w:szCs w:val="22"/>
              </w:rPr>
              <w:t>绩效目标　</w:t>
            </w:r>
          </w:p>
        </w:tc>
        <w:tc>
          <w:tcPr>
            <w:tcW w:w="1707" w:type="dxa"/>
            <w:shd w:val="clear" w:color="auto" w:fill="FFFFFF"/>
            <w:vAlign w:val="center"/>
          </w:tcPr>
          <w:p w14:paraId="5D101408">
            <w:pPr>
              <w:widowControl/>
              <w:spacing w:line="0" w:lineRule="atLeast"/>
              <w:jc w:val="center"/>
              <w:rPr>
                <w:kern w:val="0"/>
                <w:sz w:val="22"/>
                <w:szCs w:val="22"/>
              </w:rPr>
            </w:pPr>
            <w:r>
              <w:rPr>
                <w:kern w:val="0"/>
                <w:sz w:val="22"/>
                <w:szCs w:val="22"/>
              </w:rPr>
              <w:t>绩效目标</w:t>
            </w:r>
          </w:p>
          <w:p w14:paraId="0500E216">
            <w:pPr>
              <w:widowControl/>
              <w:spacing w:line="0" w:lineRule="atLeast"/>
              <w:jc w:val="center"/>
              <w:rPr>
                <w:kern w:val="0"/>
                <w:sz w:val="22"/>
                <w:szCs w:val="22"/>
              </w:rPr>
            </w:pPr>
            <w:r>
              <w:rPr>
                <w:kern w:val="0"/>
                <w:sz w:val="22"/>
                <w:szCs w:val="22"/>
              </w:rPr>
              <w:t>合理性</w:t>
            </w:r>
          </w:p>
        </w:tc>
        <w:tc>
          <w:tcPr>
            <w:tcW w:w="727" w:type="dxa"/>
            <w:shd w:val="clear" w:color="000000" w:fill="FFFFFF"/>
            <w:vAlign w:val="center"/>
          </w:tcPr>
          <w:p w14:paraId="38506A59">
            <w:pPr>
              <w:widowControl/>
              <w:spacing w:line="0" w:lineRule="atLeast"/>
              <w:jc w:val="center"/>
              <w:rPr>
                <w:kern w:val="0"/>
                <w:sz w:val="22"/>
                <w:szCs w:val="22"/>
              </w:rPr>
            </w:pPr>
            <w:r>
              <w:rPr>
                <w:kern w:val="0"/>
                <w:sz w:val="22"/>
                <w:szCs w:val="22"/>
              </w:rPr>
              <w:t>3</w:t>
            </w:r>
          </w:p>
        </w:tc>
        <w:tc>
          <w:tcPr>
            <w:tcW w:w="1044" w:type="dxa"/>
            <w:shd w:val="clear" w:color="000000" w:fill="FFFFFF"/>
            <w:vAlign w:val="center"/>
          </w:tcPr>
          <w:p w14:paraId="05D9C95F">
            <w:pPr>
              <w:widowControl/>
              <w:spacing w:line="0" w:lineRule="atLeast"/>
              <w:jc w:val="center"/>
              <w:rPr>
                <w:kern w:val="0"/>
                <w:sz w:val="22"/>
                <w:szCs w:val="22"/>
              </w:rPr>
            </w:pPr>
            <w:r>
              <w:rPr>
                <w:kern w:val="0"/>
                <w:sz w:val="22"/>
                <w:szCs w:val="22"/>
              </w:rPr>
              <w:t>合理</w:t>
            </w:r>
          </w:p>
        </w:tc>
        <w:tc>
          <w:tcPr>
            <w:tcW w:w="924" w:type="dxa"/>
            <w:shd w:val="clear" w:color="000000" w:fill="FFFFFF"/>
            <w:vAlign w:val="center"/>
          </w:tcPr>
          <w:p w14:paraId="6786425C">
            <w:pPr>
              <w:widowControl/>
              <w:spacing w:line="0" w:lineRule="atLeast"/>
              <w:jc w:val="center"/>
              <w:rPr>
                <w:kern w:val="0"/>
                <w:sz w:val="22"/>
                <w:szCs w:val="22"/>
              </w:rPr>
            </w:pPr>
            <w:r>
              <w:rPr>
                <w:kern w:val="0"/>
                <w:sz w:val="22"/>
                <w:szCs w:val="22"/>
              </w:rPr>
              <w:t>合理</w:t>
            </w:r>
          </w:p>
        </w:tc>
        <w:tc>
          <w:tcPr>
            <w:tcW w:w="1215" w:type="dxa"/>
            <w:shd w:val="clear" w:color="000000" w:fill="FFFFFF"/>
            <w:vAlign w:val="center"/>
          </w:tcPr>
          <w:p w14:paraId="6E4B10C1">
            <w:pPr>
              <w:widowControl/>
              <w:spacing w:line="0" w:lineRule="atLeast"/>
              <w:jc w:val="center"/>
              <w:rPr>
                <w:kern w:val="0"/>
                <w:sz w:val="22"/>
                <w:szCs w:val="22"/>
              </w:rPr>
            </w:pPr>
            <w:r>
              <w:rPr>
                <w:rFonts w:hint="eastAsia"/>
                <w:kern w:val="0"/>
                <w:sz w:val="22"/>
                <w:szCs w:val="22"/>
              </w:rPr>
              <w:t>100%</w:t>
            </w:r>
          </w:p>
        </w:tc>
        <w:tc>
          <w:tcPr>
            <w:tcW w:w="960" w:type="dxa"/>
            <w:shd w:val="clear" w:color="000000" w:fill="FFFFFF"/>
            <w:vAlign w:val="center"/>
          </w:tcPr>
          <w:p w14:paraId="7574132E">
            <w:pPr>
              <w:widowControl/>
              <w:spacing w:line="0" w:lineRule="atLeast"/>
              <w:jc w:val="center"/>
              <w:rPr>
                <w:kern w:val="0"/>
                <w:sz w:val="22"/>
                <w:szCs w:val="22"/>
              </w:rPr>
            </w:pPr>
            <w:r>
              <w:rPr>
                <w:rFonts w:hint="eastAsia"/>
                <w:kern w:val="0"/>
                <w:sz w:val="22"/>
                <w:szCs w:val="22"/>
              </w:rPr>
              <w:t>3</w:t>
            </w:r>
          </w:p>
        </w:tc>
      </w:tr>
      <w:tr w14:paraId="677208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14:paraId="1007B019">
            <w:pPr>
              <w:widowControl/>
              <w:spacing w:line="0" w:lineRule="atLeast"/>
              <w:jc w:val="center"/>
              <w:rPr>
                <w:kern w:val="0"/>
                <w:sz w:val="22"/>
                <w:szCs w:val="22"/>
              </w:rPr>
            </w:pPr>
          </w:p>
        </w:tc>
        <w:tc>
          <w:tcPr>
            <w:tcW w:w="990" w:type="dxa"/>
            <w:vMerge w:val="continue"/>
            <w:shd w:val="clear" w:color="auto" w:fill="FFFFFF"/>
            <w:vAlign w:val="center"/>
          </w:tcPr>
          <w:p w14:paraId="62B62FB0">
            <w:pPr>
              <w:widowControl/>
              <w:spacing w:line="0" w:lineRule="atLeast"/>
              <w:jc w:val="center"/>
              <w:rPr>
                <w:kern w:val="0"/>
                <w:sz w:val="22"/>
                <w:szCs w:val="22"/>
              </w:rPr>
            </w:pPr>
          </w:p>
        </w:tc>
        <w:tc>
          <w:tcPr>
            <w:tcW w:w="1283" w:type="dxa"/>
            <w:vMerge w:val="continue"/>
            <w:shd w:val="clear" w:color="auto" w:fill="FFFFFF"/>
            <w:vAlign w:val="center"/>
          </w:tcPr>
          <w:p w14:paraId="49D8DB06">
            <w:pPr>
              <w:widowControl/>
              <w:spacing w:line="0" w:lineRule="atLeast"/>
              <w:jc w:val="center"/>
              <w:rPr>
                <w:kern w:val="0"/>
                <w:sz w:val="22"/>
                <w:szCs w:val="22"/>
              </w:rPr>
            </w:pPr>
          </w:p>
        </w:tc>
        <w:tc>
          <w:tcPr>
            <w:tcW w:w="1707" w:type="dxa"/>
            <w:shd w:val="clear" w:color="auto" w:fill="FFFFFF"/>
            <w:vAlign w:val="center"/>
          </w:tcPr>
          <w:p w14:paraId="29631C93">
            <w:pPr>
              <w:widowControl/>
              <w:spacing w:line="0" w:lineRule="atLeast"/>
              <w:jc w:val="center"/>
              <w:rPr>
                <w:kern w:val="0"/>
                <w:sz w:val="22"/>
                <w:szCs w:val="22"/>
              </w:rPr>
            </w:pPr>
            <w:r>
              <w:rPr>
                <w:kern w:val="0"/>
                <w:sz w:val="22"/>
                <w:szCs w:val="22"/>
              </w:rPr>
              <w:t>绩效指标</w:t>
            </w:r>
          </w:p>
          <w:p w14:paraId="21CD1274">
            <w:pPr>
              <w:widowControl/>
              <w:spacing w:line="0" w:lineRule="atLeast"/>
              <w:jc w:val="center"/>
              <w:rPr>
                <w:kern w:val="0"/>
                <w:sz w:val="22"/>
                <w:szCs w:val="22"/>
              </w:rPr>
            </w:pPr>
            <w:r>
              <w:rPr>
                <w:kern w:val="0"/>
                <w:sz w:val="22"/>
                <w:szCs w:val="22"/>
              </w:rPr>
              <w:t>明确性</w:t>
            </w:r>
          </w:p>
        </w:tc>
        <w:tc>
          <w:tcPr>
            <w:tcW w:w="727" w:type="dxa"/>
            <w:shd w:val="clear" w:color="000000" w:fill="FFFFFF"/>
            <w:vAlign w:val="center"/>
          </w:tcPr>
          <w:p w14:paraId="5640291F">
            <w:pPr>
              <w:widowControl/>
              <w:spacing w:line="0" w:lineRule="atLeast"/>
              <w:jc w:val="center"/>
              <w:rPr>
                <w:kern w:val="0"/>
                <w:sz w:val="22"/>
                <w:szCs w:val="22"/>
              </w:rPr>
            </w:pPr>
            <w:r>
              <w:rPr>
                <w:kern w:val="0"/>
                <w:sz w:val="22"/>
                <w:szCs w:val="22"/>
              </w:rPr>
              <w:t>3</w:t>
            </w:r>
          </w:p>
        </w:tc>
        <w:tc>
          <w:tcPr>
            <w:tcW w:w="1044" w:type="dxa"/>
            <w:shd w:val="clear" w:color="000000" w:fill="FFFFFF"/>
            <w:vAlign w:val="center"/>
          </w:tcPr>
          <w:p w14:paraId="2570101F">
            <w:pPr>
              <w:widowControl/>
              <w:spacing w:line="0" w:lineRule="atLeast"/>
              <w:jc w:val="center"/>
              <w:rPr>
                <w:kern w:val="0"/>
                <w:sz w:val="22"/>
                <w:szCs w:val="22"/>
              </w:rPr>
            </w:pPr>
            <w:r>
              <w:rPr>
                <w:kern w:val="0"/>
                <w:sz w:val="22"/>
                <w:szCs w:val="22"/>
              </w:rPr>
              <w:t>明确</w:t>
            </w:r>
          </w:p>
        </w:tc>
        <w:tc>
          <w:tcPr>
            <w:tcW w:w="924" w:type="dxa"/>
            <w:shd w:val="clear" w:color="000000" w:fill="FFFFFF"/>
            <w:vAlign w:val="center"/>
          </w:tcPr>
          <w:p w14:paraId="422C92EA">
            <w:pPr>
              <w:widowControl/>
              <w:spacing w:line="0" w:lineRule="atLeast"/>
              <w:jc w:val="center"/>
              <w:rPr>
                <w:kern w:val="0"/>
                <w:sz w:val="22"/>
                <w:szCs w:val="22"/>
              </w:rPr>
            </w:pPr>
            <w:r>
              <w:rPr>
                <w:kern w:val="0"/>
                <w:sz w:val="22"/>
                <w:szCs w:val="22"/>
              </w:rPr>
              <w:t>明确</w:t>
            </w:r>
          </w:p>
        </w:tc>
        <w:tc>
          <w:tcPr>
            <w:tcW w:w="1215" w:type="dxa"/>
            <w:shd w:val="clear" w:color="000000" w:fill="FFFFFF"/>
            <w:vAlign w:val="center"/>
          </w:tcPr>
          <w:p w14:paraId="6EB22D68">
            <w:pPr>
              <w:widowControl/>
              <w:spacing w:line="0" w:lineRule="atLeast"/>
              <w:jc w:val="center"/>
              <w:rPr>
                <w:kern w:val="0"/>
                <w:sz w:val="22"/>
                <w:szCs w:val="22"/>
              </w:rPr>
            </w:pPr>
            <w:r>
              <w:rPr>
                <w:rFonts w:hint="eastAsia"/>
                <w:kern w:val="0"/>
                <w:sz w:val="22"/>
                <w:szCs w:val="22"/>
              </w:rPr>
              <w:t>100%</w:t>
            </w:r>
          </w:p>
        </w:tc>
        <w:tc>
          <w:tcPr>
            <w:tcW w:w="960" w:type="dxa"/>
            <w:shd w:val="clear" w:color="000000" w:fill="FFFFFF"/>
            <w:vAlign w:val="center"/>
          </w:tcPr>
          <w:p w14:paraId="37586831">
            <w:pPr>
              <w:widowControl/>
              <w:spacing w:line="0" w:lineRule="atLeast"/>
              <w:jc w:val="center"/>
              <w:rPr>
                <w:kern w:val="0"/>
                <w:sz w:val="22"/>
                <w:szCs w:val="22"/>
              </w:rPr>
            </w:pPr>
            <w:r>
              <w:rPr>
                <w:rFonts w:hint="eastAsia"/>
                <w:kern w:val="0"/>
                <w:sz w:val="22"/>
                <w:szCs w:val="22"/>
              </w:rPr>
              <w:t>3</w:t>
            </w:r>
          </w:p>
        </w:tc>
      </w:tr>
      <w:tr w14:paraId="190DAD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14:paraId="357EDC7C">
            <w:pPr>
              <w:spacing w:line="0" w:lineRule="atLeast"/>
              <w:jc w:val="center"/>
              <w:rPr>
                <w:kern w:val="0"/>
                <w:sz w:val="22"/>
                <w:szCs w:val="22"/>
              </w:rPr>
            </w:pPr>
          </w:p>
        </w:tc>
        <w:tc>
          <w:tcPr>
            <w:tcW w:w="990" w:type="dxa"/>
            <w:vMerge w:val="continue"/>
            <w:shd w:val="clear" w:color="auto" w:fill="FFFFFF"/>
            <w:vAlign w:val="center"/>
          </w:tcPr>
          <w:p w14:paraId="72E3A231">
            <w:pPr>
              <w:spacing w:line="0" w:lineRule="atLeast"/>
              <w:jc w:val="center"/>
              <w:rPr>
                <w:kern w:val="0"/>
                <w:sz w:val="22"/>
                <w:szCs w:val="22"/>
              </w:rPr>
            </w:pPr>
          </w:p>
        </w:tc>
        <w:tc>
          <w:tcPr>
            <w:tcW w:w="1283" w:type="dxa"/>
            <w:vMerge w:val="restart"/>
            <w:shd w:val="clear" w:color="auto" w:fill="FFFFFF"/>
            <w:vAlign w:val="center"/>
          </w:tcPr>
          <w:p w14:paraId="2FA45329">
            <w:pPr>
              <w:widowControl/>
              <w:spacing w:line="0" w:lineRule="atLeast"/>
              <w:jc w:val="center"/>
              <w:rPr>
                <w:kern w:val="0"/>
                <w:sz w:val="22"/>
                <w:szCs w:val="22"/>
              </w:rPr>
            </w:pPr>
            <w:r>
              <w:rPr>
                <w:kern w:val="0"/>
                <w:sz w:val="22"/>
                <w:szCs w:val="22"/>
              </w:rPr>
              <w:t>资金投入</w:t>
            </w:r>
          </w:p>
        </w:tc>
        <w:tc>
          <w:tcPr>
            <w:tcW w:w="1707" w:type="dxa"/>
            <w:shd w:val="clear" w:color="auto" w:fill="FFFFFF"/>
            <w:vAlign w:val="center"/>
          </w:tcPr>
          <w:p w14:paraId="20E0D45E">
            <w:pPr>
              <w:widowControl/>
              <w:spacing w:line="0" w:lineRule="atLeast"/>
              <w:jc w:val="center"/>
              <w:rPr>
                <w:kern w:val="0"/>
                <w:sz w:val="22"/>
                <w:szCs w:val="22"/>
              </w:rPr>
            </w:pPr>
            <w:r>
              <w:rPr>
                <w:kern w:val="0"/>
                <w:sz w:val="22"/>
                <w:szCs w:val="22"/>
              </w:rPr>
              <w:t>预算编制</w:t>
            </w:r>
          </w:p>
          <w:p w14:paraId="4C5F3A24">
            <w:pPr>
              <w:widowControl/>
              <w:spacing w:line="0" w:lineRule="atLeast"/>
              <w:jc w:val="center"/>
              <w:rPr>
                <w:kern w:val="0"/>
                <w:sz w:val="22"/>
                <w:szCs w:val="22"/>
              </w:rPr>
            </w:pPr>
            <w:r>
              <w:rPr>
                <w:kern w:val="0"/>
                <w:sz w:val="22"/>
                <w:szCs w:val="22"/>
              </w:rPr>
              <w:t>科学性</w:t>
            </w:r>
          </w:p>
        </w:tc>
        <w:tc>
          <w:tcPr>
            <w:tcW w:w="727" w:type="dxa"/>
            <w:shd w:val="clear" w:color="auto" w:fill="FFFFFF"/>
            <w:vAlign w:val="center"/>
          </w:tcPr>
          <w:p w14:paraId="13D29869">
            <w:pPr>
              <w:widowControl/>
              <w:spacing w:line="0" w:lineRule="atLeast"/>
              <w:jc w:val="center"/>
              <w:rPr>
                <w:kern w:val="0"/>
                <w:sz w:val="22"/>
                <w:szCs w:val="22"/>
              </w:rPr>
            </w:pPr>
            <w:r>
              <w:rPr>
                <w:kern w:val="0"/>
                <w:sz w:val="22"/>
                <w:szCs w:val="22"/>
              </w:rPr>
              <w:t>4</w:t>
            </w:r>
          </w:p>
        </w:tc>
        <w:tc>
          <w:tcPr>
            <w:tcW w:w="1044" w:type="dxa"/>
            <w:shd w:val="clear" w:color="auto" w:fill="FFFFFF"/>
            <w:vAlign w:val="center"/>
          </w:tcPr>
          <w:p w14:paraId="7EB9E3C9">
            <w:pPr>
              <w:widowControl/>
              <w:spacing w:line="0" w:lineRule="atLeast"/>
              <w:jc w:val="center"/>
              <w:rPr>
                <w:kern w:val="0"/>
                <w:sz w:val="22"/>
                <w:szCs w:val="22"/>
              </w:rPr>
            </w:pPr>
            <w:r>
              <w:rPr>
                <w:kern w:val="0"/>
                <w:sz w:val="22"/>
                <w:szCs w:val="22"/>
              </w:rPr>
              <w:t>科学</w:t>
            </w:r>
          </w:p>
        </w:tc>
        <w:tc>
          <w:tcPr>
            <w:tcW w:w="924" w:type="dxa"/>
            <w:shd w:val="clear" w:color="auto" w:fill="FFFFFF"/>
            <w:vAlign w:val="center"/>
          </w:tcPr>
          <w:p w14:paraId="64E4376C">
            <w:pPr>
              <w:widowControl/>
              <w:spacing w:line="0" w:lineRule="atLeast"/>
              <w:jc w:val="center"/>
              <w:rPr>
                <w:kern w:val="0"/>
                <w:sz w:val="22"/>
                <w:szCs w:val="22"/>
              </w:rPr>
            </w:pPr>
            <w:r>
              <w:rPr>
                <w:kern w:val="0"/>
                <w:sz w:val="22"/>
                <w:szCs w:val="22"/>
              </w:rPr>
              <w:t>科学</w:t>
            </w:r>
          </w:p>
        </w:tc>
        <w:tc>
          <w:tcPr>
            <w:tcW w:w="1215" w:type="dxa"/>
            <w:shd w:val="clear" w:color="auto" w:fill="FFFFFF"/>
            <w:vAlign w:val="center"/>
          </w:tcPr>
          <w:p w14:paraId="1AA76528">
            <w:pPr>
              <w:widowControl/>
              <w:spacing w:line="0" w:lineRule="atLeast"/>
              <w:jc w:val="center"/>
              <w:rPr>
                <w:kern w:val="0"/>
                <w:sz w:val="22"/>
                <w:szCs w:val="22"/>
              </w:rPr>
            </w:pPr>
            <w:r>
              <w:rPr>
                <w:rFonts w:hint="eastAsia"/>
                <w:kern w:val="0"/>
                <w:sz w:val="22"/>
                <w:szCs w:val="22"/>
              </w:rPr>
              <w:t>100%</w:t>
            </w:r>
          </w:p>
        </w:tc>
        <w:tc>
          <w:tcPr>
            <w:tcW w:w="960" w:type="dxa"/>
            <w:shd w:val="clear" w:color="auto" w:fill="FFFFFF"/>
            <w:vAlign w:val="center"/>
          </w:tcPr>
          <w:p w14:paraId="3ABFF3D7">
            <w:pPr>
              <w:widowControl/>
              <w:spacing w:line="0" w:lineRule="atLeast"/>
              <w:jc w:val="center"/>
              <w:rPr>
                <w:kern w:val="0"/>
                <w:sz w:val="22"/>
                <w:szCs w:val="22"/>
              </w:rPr>
            </w:pPr>
            <w:r>
              <w:rPr>
                <w:rFonts w:hint="eastAsia"/>
                <w:kern w:val="0"/>
                <w:sz w:val="22"/>
                <w:szCs w:val="22"/>
              </w:rPr>
              <w:t>4</w:t>
            </w:r>
          </w:p>
        </w:tc>
      </w:tr>
      <w:tr w14:paraId="1EAFEB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14:paraId="042526BD">
            <w:pPr>
              <w:widowControl/>
              <w:spacing w:line="0" w:lineRule="atLeast"/>
              <w:jc w:val="center"/>
              <w:rPr>
                <w:kern w:val="0"/>
                <w:sz w:val="22"/>
                <w:szCs w:val="22"/>
              </w:rPr>
            </w:pPr>
          </w:p>
        </w:tc>
        <w:tc>
          <w:tcPr>
            <w:tcW w:w="990" w:type="dxa"/>
            <w:vMerge w:val="continue"/>
            <w:shd w:val="clear" w:color="auto" w:fill="FFFFFF"/>
            <w:vAlign w:val="center"/>
          </w:tcPr>
          <w:p w14:paraId="792109F2">
            <w:pPr>
              <w:widowControl/>
              <w:spacing w:line="0" w:lineRule="atLeast"/>
              <w:jc w:val="center"/>
              <w:rPr>
                <w:kern w:val="0"/>
                <w:sz w:val="22"/>
                <w:szCs w:val="22"/>
              </w:rPr>
            </w:pPr>
          </w:p>
        </w:tc>
        <w:tc>
          <w:tcPr>
            <w:tcW w:w="1283" w:type="dxa"/>
            <w:vMerge w:val="continue"/>
            <w:shd w:val="clear" w:color="auto" w:fill="FFFFFF"/>
            <w:vAlign w:val="center"/>
          </w:tcPr>
          <w:p w14:paraId="5CB04557">
            <w:pPr>
              <w:widowControl/>
              <w:spacing w:line="0" w:lineRule="atLeast"/>
              <w:jc w:val="center"/>
              <w:rPr>
                <w:kern w:val="0"/>
                <w:sz w:val="22"/>
                <w:szCs w:val="22"/>
              </w:rPr>
            </w:pPr>
          </w:p>
        </w:tc>
        <w:tc>
          <w:tcPr>
            <w:tcW w:w="1707" w:type="dxa"/>
            <w:shd w:val="clear" w:color="auto" w:fill="FFFFFF"/>
            <w:vAlign w:val="center"/>
          </w:tcPr>
          <w:p w14:paraId="2D7345BE">
            <w:pPr>
              <w:widowControl/>
              <w:spacing w:line="0" w:lineRule="atLeast"/>
              <w:jc w:val="center"/>
              <w:rPr>
                <w:kern w:val="0"/>
                <w:sz w:val="22"/>
                <w:szCs w:val="22"/>
              </w:rPr>
            </w:pPr>
            <w:r>
              <w:rPr>
                <w:kern w:val="0"/>
                <w:sz w:val="22"/>
                <w:szCs w:val="22"/>
              </w:rPr>
              <w:t>资金分配</w:t>
            </w:r>
          </w:p>
          <w:p w14:paraId="7738FF6D">
            <w:pPr>
              <w:widowControl/>
              <w:spacing w:line="0" w:lineRule="atLeast"/>
              <w:jc w:val="center"/>
              <w:rPr>
                <w:kern w:val="0"/>
                <w:sz w:val="22"/>
                <w:szCs w:val="22"/>
              </w:rPr>
            </w:pPr>
            <w:r>
              <w:rPr>
                <w:kern w:val="0"/>
                <w:sz w:val="22"/>
                <w:szCs w:val="22"/>
              </w:rPr>
              <w:t>合理性</w:t>
            </w:r>
          </w:p>
        </w:tc>
        <w:tc>
          <w:tcPr>
            <w:tcW w:w="727" w:type="dxa"/>
            <w:shd w:val="clear" w:color="auto" w:fill="FFFFFF"/>
            <w:vAlign w:val="center"/>
          </w:tcPr>
          <w:p w14:paraId="46C8FC9A">
            <w:pPr>
              <w:widowControl/>
              <w:spacing w:line="0" w:lineRule="atLeast"/>
              <w:jc w:val="center"/>
              <w:rPr>
                <w:kern w:val="0"/>
                <w:sz w:val="22"/>
                <w:szCs w:val="22"/>
              </w:rPr>
            </w:pPr>
            <w:r>
              <w:rPr>
                <w:kern w:val="0"/>
                <w:sz w:val="22"/>
                <w:szCs w:val="22"/>
              </w:rPr>
              <w:t>4</w:t>
            </w:r>
          </w:p>
        </w:tc>
        <w:tc>
          <w:tcPr>
            <w:tcW w:w="1044" w:type="dxa"/>
            <w:shd w:val="clear" w:color="auto" w:fill="FFFFFF"/>
            <w:vAlign w:val="center"/>
          </w:tcPr>
          <w:p w14:paraId="24DDB6B4">
            <w:pPr>
              <w:widowControl/>
              <w:spacing w:line="0" w:lineRule="atLeast"/>
              <w:jc w:val="center"/>
              <w:rPr>
                <w:kern w:val="0"/>
                <w:sz w:val="22"/>
                <w:szCs w:val="22"/>
              </w:rPr>
            </w:pPr>
            <w:r>
              <w:rPr>
                <w:kern w:val="0"/>
                <w:sz w:val="22"/>
                <w:szCs w:val="22"/>
              </w:rPr>
              <w:t>合理</w:t>
            </w:r>
          </w:p>
        </w:tc>
        <w:tc>
          <w:tcPr>
            <w:tcW w:w="924" w:type="dxa"/>
            <w:shd w:val="clear" w:color="auto" w:fill="FFFFFF"/>
            <w:vAlign w:val="center"/>
          </w:tcPr>
          <w:p w14:paraId="6F8B9E44">
            <w:pPr>
              <w:widowControl/>
              <w:spacing w:line="0" w:lineRule="atLeast"/>
              <w:jc w:val="center"/>
              <w:rPr>
                <w:kern w:val="0"/>
                <w:sz w:val="22"/>
                <w:szCs w:val="22"/>
              </w:rPr>
            </w:pPr>
            <w:r>
              <w:rPr>
                <w:kern w:val="0"/>
                <w:sz w:val="22"/>
                <w:szCs w:val="22"/>
              </w:rPr>
              <w:t>合理</w:t>
            </w:r>
          </w:p>
        </w:tc>
        <w:tc>
          <w:tcPr>
            <w:tcW w:w="1215" w:type="dxa"/>
            <w:shd w:val="clear" w:color="auto" w:fill="FFFFFF"/>
            <w:vAlign w:val="center"/>
          </w:tcPr>
          <w:p w14:paraId="1048BC28">
            <w:pPr>
              <w:widowControl/>
              <w:spacing w:line="0" w:lineRule="atLeast"/>
              <w:jc w:val="center"/>
              <w:rPr>
                <w:kern w:val="0"/>
                <w:sz w:val="22"/>
                <w:szCs w:val="22"/>
              </w:rPr>
            </w:pPr>
            <w:r>
              <w:rPr>
                <w:rFonts w:hint="eastAsia"/>
                <w:kern w:val="0"/>
                <w:sz w:val="22"/>
                <w:szCs w:val="22"/>
              </w:rPr>
              <w:t>100%</w:t>
            </w:r>
          </w:p>
        </w:tc>
        <w:tc>
          <w:tcPr>
            <w:tcW w:w="960" w:type="dxa"/>
            <w:shd w:val="clear" w:color="auto" w:fill="FFFFFF"/>
            <w:vAlign w:val="center"/>
          </w:tcPr>
          <w:p w14:paraId="6CAB64E0">
            <w:pPr>
              <w:widowControl/>
              <w:spacing w:line="0" w:lineRule="atLeast"/>
              <w:jc w:val="center"/>
              <w:rPr>
                <w:kern w:val="0"/>
                <w:sz w:val="22"/>
                <w:szCs w:val="22"/>
              </w:rPr>
            </w:pPr>
            <w:r>
              <w:rPr>
                <w:rFonts w:hint="eastAsia"/>
                <w:kern w:val="0"/>
                <w:sz w:val="22"/>
                <w:szCs w:val="22"/>
              </w:rPr>
              <w:t>4</w:t>
            </w:r>
          </w:p>
        </w:tc>
      </w:tr>
      <w:tr w14:paraId="3D4C97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14:paraId="5C4CAAF6">
            <w:pPr>
              <w:spacing w:line="0" w:lineRule="atLeast"/>
              <w:jc w:val="center"/>
              <w:rPr>
                <w:kern w:val="0"/>
                <w:sz w:val="22"/>
                <w:szCs w:val="22"/>
              </w:rPr>
            </w:pPr>
            <w:r>
              <w:rPr>
                <w:kern w:val="0"/>
                <w:sz w:val="22"/>
                <w:szCs w:val="22"/>
              </w:rPr>
              <w:t>过程</w:t>
            </w:r>
          </w:p>
          <w:p w14:paraId="653DC613">
            <w:pPr>
              <w:spacing w:line="0" w:lineRule="atLeast"/>
              <w:jc w:val="center"/>
              <w:rPr>
                <w:kern w:val="0"/>
                <w:sz w:val="22"/>
                <w:szCs w:val="22"/>
              </w:rPr>
            </w:pPr>
            <w:r>
              <w:rPr>
                <w:kern w:val="0"/>
                <w:sz w:val="22"/>
                <w:szCs w:val="22"/>
              </w:rPr>
              <w:t>　</w:t>
            </w:r>
          </w:p>
        </w:tc>
        <w:tc>
          <w:tcPr>
            <w:tcW w:w="990" w:type="dxa"/>
            <w:vMerge w:val="restart"/>
            <w:shd w:val="clear" w:color="auto" w:fill="FFFFFF"/>
            <w:vAlign w:val="center"/>
          </w:tcPr>
          <w:p w14:paraId="2504AC9C">
            <w:pPr>
              <w:widowControl/>
              <w:spacing w:line="0" w:lineRule="atLeast"/>
              <w:jc w:val="center"/>
              <w:rPr>
                <w:kern w:val="0"/>
                <w:sz w:val="22"/>
                <w:szCs w:val="22"/>
              </w:rPr>
            </w:pPr>
            <w:r>
              <w:rPr>
                <w:kern w:val="0"/>
                <w:sz w:val="22"/>
                <w:szCs w:val="22"/>
              </w:rPr>
              <w:t>20分</w:t>
            </w:r>
          </w:p>
        </w:tc>
        <w:tc>
          <w:tcPr>
            <w:tcW w:w="1283" w:type="dxa"/>
            <w:vMerge w:val="restart"/>
            <w:shd w:val="clear" w:color="auto" w:fill="FFFFFF"/>
            <w:vAlign w:val="center"/>
          </w:tcPr>
          <w:p w14:paraId="518C3772">
            <w:pPr>
              <w:widowControl/>
              <w:spacing w:line="0" w:lineRule="atLeast"/>
              <w:jc w:val="center"/>
              <w:rPr>
                <w:kern w:val="0"/>
                <w:sz w:val="22"/>
                <w:szCs w:val="22"/>
              </w:rPr>
            </w:pPr>
            <w:r>
              <w:rPr>
                <w:kern w:val="0"/>
                <w:sz w:val="22"/>
                <w:szCs w:val="22"/>
              </w:rPr>
              <w:t>资金管理</w:t>
            </w:r>
          </w:p>
        </w:tc>
        <w:tc>
          <w:tcPr>
            <w:tcW w:w="1707" w:type="dxa"/>
            <w:shd w:val="clear" w:color="auto" w:fill="FFFFFF"/>
            <w:vAlign w:val="center"/>
          </w:tcPr>
          <w:p w14:paraId="0F8B4FE9">
            <w:pPr>
              <w:widowControl/>
              <w:spacing w:line="0" w:lineRule="atLeast"/>
              <w:jc w:val="center"/>
              <w:rPr>
                <w:kern w:val="0"/>
                <w:sz w:val="22"/>
                <w:szCs w:val="22"/>
              </w:rPr>
            </w:pPr>
            <w:r>
              <w:rPr>
                <w:kern w:val="0"/>
                <w:sz w:val="22"/>
                <w:szCs w:val="22"/>
              </w:rPr>
              <w:t>资金到位率</w:t>
            </w:r>
          </w:p>
        </w:tc>
        <w:tc>
          <w:tcPr>
            <w:tcW w:w="727" w:type="dxa"/>
            <w:shd w:val="clear" w:color="000000" w:fill="FFFFFF"/>
            <w:vAlign w:val="center"/>
          </w:tcPr>
          <w:p w14:paraId="2BDC6B92">
            <w:pPr>
              <w:widowControl/>
              <w:spacing w:line="0" w:lineRule="atLeast"/>
              <w:jc w:val="center"/>
              <w:rPr>
                <w:kern w:val="0"/>
                <w:sz w:val="22"/>
                <w:szCs w:val="22"/>
              </w:rPr>
            </w:pPr>
            <w:r>
              <w:rPr>
                <w:kern w:val="0"/>
                <w:sz w:val="22"/>
                <w:szCs w:val="22"/>
              </w:rPr>
              <w:t>4</w:t>
            </w:r>
          </w:p>
        </w:tc>
        <w:tc>
          <w:tcPr>
            <w:tcW w:w="1044" w:type="dxa"/>
            <w:shd w:val="clear" w:color="000000" w:fill="FFFFFF"/>
            <w:vAlign w:val="center"/>
          </w:tcPr>
          <w:p w14:paraId="47DADF50">
            <w:pPr>
              <w:widowControl/>
              <w:spacing w:line="0" w:lineRule="atLeast"/>
              <w:jc w:val="center"/>
              <w:rPr>
                <w:kern w:val="0"/>
                <w:sz w:val="22"/>
                <w:szCs w:val="22"/>
              </w:rPr>
            </w:pPr>
            <w:r>
              <w:rPr>
                <w:kern w:val="0"/>
                <w:sz w:val="22"/>
                <w:szCs w:val="22"/>
              </w:rPr>
              <w:t>100%</w:t>
            </w:r>
          </w:p>
        </w:tc>
        <w:tc>
          <w:tcPr>
            <w:tcW w:w="924" w:type="dxa"/>
            <w:shd w:val="clear" w:color="000000" w:fill="FFFFFF"/>
            <w:vAlign w:val="center"/>
          </w:tcPr>
          <w:p w14:paraId="2BA630CF">
            <w:pPr>
              <w:widowControl/>
              <w:spacing w:line="0" w:lineRule="atLeast"/>
              <w:jc w:val="center"/>
              <w:rPr>
                <w:kern w:val="0"/>
                <w:sz w:val="22"/>
                <w:szCs w:val="22"/>
              </w:rPr>
            </w:pPr>
            <w:r>
              <w:rPr>
                <w:rFonts w:hint="eastAsia"/>
                <w:kern w:val="0"/>
                <w:sz w:val="22"/>
                <w:szCs w:val="22"/>
              </w:rPr>
              <w:t>100</w:t>
            </w:r>
            <w:r>
              <w:rPr>
                <w:kern w:val="0"/>
                <w:sz w:val="22"/>
                <w:szCs w:val="22"/>
              </w:rPr>
              <w:t>%</w:t>
            </w:r>
          </w:p>
        </w:tc>
        <w:tc>
          <w:tcPr>
            <w:tcW w:w="1215" w:type="dxa"/>
            <w:shd w:val="clear" w:color="000000" w:fill="FFFFFF"/>
            <w:vAlign w:val="center"/>
          </w:tcPr>
          <w:p w14:paraId="3C86892A">
            <w:pPr>
              <w:widowControl/>
              <w:spacing w:line="0" w:lineRule="atLeast"/>
              <w:jc w:val="center"/>
              <w:rPr>
                <w:kern w:val="0"/>
                <w:sz w:val="22"/>
                <w:szCs w:val="22"/>
              </w:rPr>
            </w:pPr>
            <w:r>
              <w:rPr>
                <w:rFonts w:hint="eastAsia"/>
                <w:kern w:val="0"/>
                <w:sz w:val="22"/>
                <w:szCs w:val="22"/>
              </w:rPr>
              <w:t>100</w:t>
            </w:r>
            <w:r>
              <w:rPr>
                <w:kern w:val="0"/>
                <w:sz w:val="22"/>
                <w:szCs w:val="22"/>
              </w:rPr>
              <w:t>%</w:t>
            </w:r>
          </w:p>
        </w:tc>
        <w:tc>
          <w:tcPr>
            <w:tcW w:w="960" w:type="dxa"/>
            <w:shd w:val="clear" w:color="000000" w:fill="FFFFFF"/>
            <w:vAlign w:val="center"/>
          </w:tcPr>
          <w:p w14:paraId="61A6D147">
            <w:pPr>
              <w:widowControl/>
              <w:spacing w:line="0" w:lineRule="atLeast"/>
              <w:jc w:val="center"/>
              <w:rPr>
                <w:kern w:val="0"/>
                <w:sz w:val="22"/>
                <w:szCs w:val="22"/>
              </w:rPr>
            </w:pPr>
            <w:r>
              <w:rPr>
                <w:rFonts w:hint="eastAsia"/>
                <w:kern w:val="0"/>
                <w:sz w:val="22"/>
                <w:szCs w:val="22"/>
              </w:rPr>
              <w:t>4</w:t>
            </w:r>
          </w:p>
        </w:tc>
      </w:tr>
      <w:tr w14:paraId="03FE76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14:paraId="2F7A42A8">
            <w:pPr>
              <w:spacing w:line="0" w:lineRule="atLeast"/>
              <w:jc w:val="center"/>
              <w:rPr>
                <w:kern w:val="0"/>
                <w:sz w:val="22"/>
                <w:szCs w:val="22"/>
              </w:rPr>
            </w:pPr>
          </w:p>
        </w:tc>
        <w:tc>
          <w:tcPr>
            <w:tcW w:w="990" w:type="dxa"/>
            <w:vMerge w:val="continue"/>
            <w:shd w:val="clear" w:color="auto" w:fill="FFFFFF"/>
            <w:vAlign w:val="center"/>
          </w:tcPr>
          <w:p w14:paraId="6DFDBAE2">
            <w:pPr>
              <w:spacing w:line="0" w:lineRule="atLeast"/>
              <w:jc w:val="center"/>
              <w:rPr>
                <w:kern w:val="0"/>
                <w:sz w:val="22"/>
                <w:szCs w:val="22"/>
              </w:rPr>
            </w:pPr>
          </w:p>
        </w:tc>
        <w:tc>
          <w:tcPr>
            <w:tcW w:w="1283" w:type="dxa"/>
            <w:vMerge w:val="continue"/>
            <w:shd w:val="clear" w:color="auto" w:fill="FFFFFF"/>
            <w:vAlign w:val="center"/>
          </w:tcPr>
          <w:p w14:paraId="48B488F1">
            <w:pPr>
              <w:spacing w:line="0" w:lineRule="atLeast"/>
              <w:jc w:val="center"/>
              <w:rPr>
                <w:kern w:val="0"/>
                <w:sz w:val="22"/>
                <w:szCs w:val="22"/>
              </w:rPr>
            </w:pPr>
          </w:p>
        </w:tc>
        <w:tc>
          <w:tcPr>
            <w:tcW w:w="1707" w:type="dxa"/>
            <w:shd w:val="clear" w:color="auto" w:fill="FFFFFF"/>
            <w:vAlign w:val="center"/>
          </w:tcPr>
          <w:p w14:paraId="690C4097">
            <w:pPr>
              <w:widowControl/>
              <w:spacing w:line="0" w:lineRule="atLeast"/>
              <w:jc w:val="center"/>
              <w:rPr>
                <w:kern w:val="0"/>
                <w:sz w:val="22"/>
                <w:szCs w:val="22"/>
              </w:rPr>
            </w:pPr>
            <w:r>
              <w:rPr>
                <w:kern w:val="0"/>
                <w:sz w:val="22"/>
                <w:szCs w:val="22"/>
              </w:rPr>
              <w:t>预算执行率</w:t>
            </w:r>
          </w:p>
        </w:tc>
        <w:tc>
          <w:tcPr>
            <w:tcW w:w="727" w:type="dxa"/>
            <w:shd w:val="clear" w:color="auto" w:fill="FFFFFF"/>
            <w:vAlign w:val="center"/>
          </w:tcPr>
          <w:p w14:paraId="60EBD172">
            <w:pPr>
              <w:widowControl/>
              <w:spacing w:line="0" w:lineRule="atLeast"/>
              <w:jc w:val="center"/>
              <w:rPr>
                <w:kern w:val="0"/>
                <w:sz w:val="22"/>
                <w:szCs w:val="22"/>
              </w:rPr>
            </w:pPr>
            <w:r>
              <w:rPr>
                <w:kern w:val="0"/>
                <w:sz w:val="22"/>
                <w:szCs w:val="22"/>
              </w:rPr>
              <w:t>4</w:t>
            </w:r>
          </w:p>
        </w:tc>
        <w:tc>
          <w:tcPr>
            <w:tcW w:w="1044" w:type="dxa"/>
            <w:shd w:val="clear" w:color="auto" w:fill="FFFFFF"/>
            <w:vAlign w:val="center"/>
          </w:tcPr>
          <w:p w14:paraId="325CAAC4">
            <w:pPr>
              <w:widowControl/>
              <w:spacing w:line="0" w:lineRule="atLeast"/>
              <w:jc w:val="center"/>
              <w:rPr>
                <w:kern w:val="0"/>
                <w:sz w:val="22"/>
                <w:szCs w:val="22"/>
              </w:rPr>
            </w:pPr>
            <w:r>
              <w:rPr>
                <w:kern w:val="0"/>
                <w:sz w:val="22"/>
                <w:szCs w:val="22"/>
              </w:rPr>
              <w:t>100%</w:t>
            </w:r>
          </w:p>
        </w:tc>
        <w:tc>
          <w:tcPr>
            <w:tcW w:w="924" w:type="dxa"/>
            <w:shd w:val="clear" w:color="auto" w:fill="FFFFFF"/>
            <w:vAlign w:val="center"/>
          </w:tcPr>
          <w:p w14:paraId="41F29E28">
            <w:pPr>
              <w:widowControl/>
              <w:spacing w:line="0" w:lineRule="atLeast"/>
              <w:jc w:val="center"/>
              <w:rPr>
                <w:kern w:val="0"/>
                <w:sz w:val="22"/>
                <w:szCs w:val="22"/>
              </w:rPr>
            </w:pPr>
            <w:r>
              <w:rPr>
                <w:rFonts w:hint="eastAsia"/>
                <w:kern w:val="0"/>
                <w:sz w:val="22"/>
                <w:szCs w:val="22"/>
              </w:rPr>
              <w:t>100</w:t>
            </w:r>
            <w:r>
              <w:rPr>
                <w:kern w:val="0"/>
                <w:sz w:val="22"/>
                <w:szCs w:val="22"/>
              </w:rPr>
              <w:t>%</w:t>
            </w:r>
          </w:p>
        </w:tc>
        <w:tc>
          <w:tcPr>
            <w:tcW w:w="1215" w:type="dxa"/>
            <w:shd w:val="clear" w:color="auto" w:fill="FFFFFF"/>
            <w:vAlign w:val="center"/>
          </w:tcPr>
          <w:p w14:paraId="1195CF6F">
            <w:pPr>
              <w:widowControl/>
              <w:spacing w:line="0" w:lineRule="atLeast"/>
              <w:jc w:val="center"/>
              <w:rPr>
                <w:kern w:val="0"/>
                <w:sz w:val="22"/>
                <w:szCs w:val="22"/>
              </w:rPr>
            </w:pPr>
            <w:r>
              <w:rPr>
                <w:rFonts w:hint="eastAsia"/>
                <w:kern w:val="0"/>
                <w:sz w:val="22"/>
                <w:szCs w:val="22"/>
              </w:rPr>
              <w:t>100</w:t>
            </w:r>
            <w:r>
              <w:rPr>
                <w:kern w:val="0"/>
                <w:sz w:val="22"/>
                <w:szCs w:val="22"/>
              </w:rPr>
              <w:t>%</w:t>
            </w:r>
          </w:p>
        </w:tc>
        <w:tc>
          <w:tcPr>
            <w:tcW w:w="960" w:type="dxa"/>
            <w:shd w:val="clear" w:color="auto" w:fill="FFFFFF"/>
            <w:vAlign w:val="center"/>
          </w:tcPr>
          <w:p w14:paraId="5099A4E9">
            <w:pPr>
              <w:widowControl/>
              <w:spacing w:line="0" w:lineRule="atLeast"/>
              <w:jc w:val="center"/>
              <w:rPr>
                <w:kern w:val="0"/>
                <w:sz w:val="22"/>
                <w:szCs w:val="22"/>
              </w:rPr>
            </w:pPr>
            <w:r>
              <w:rPr>
                <w:rFonts w:hint="eastAsia"/>
                <w:kern w:val="0"/>
                <w:sz w:val="22"/>
                <w:szCs w:val="22"/>
              </w:rPr>
              <w:t>4</w:t>
            </w:r>
          </w:p>
        </w:tc>
      </w:tr>
      <w:tr w14:paraId="7D98F6E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14:paraId="31D088E9">
            <w:pPr>
              <w:spacing w:line="0" w:lineRule="atLeast"/>
              <w:jc w:val="center"/>
              <w:rPr>
                <w:kern w:val="0"/>
                <w:sz w:val="22"/>
                <w:szCs w:val="22"/>
              </w:rPr>
            </w:pPr>
          </w:p>
        </w:tc>
        <w:tc>
          <w:tcPr>
            <w:tcW w:w="990" w:type="dxa"/>
            <w:vMerge w:val="continue"/>
            <w:shd w:val="clear" w:color="auto" w:fill="FFFFFF"/>
            <w:vAlign w:val="center"/>
          </w:tcPr>
          <w:p w14:paraId="6B8CC2E3">
            <w:pPr>
              <w:widowControl/>
              <w:spacing w:line="0" w:lineRule="atLeast"/>
              <w:jc w:val="center"/>
              <w:rPr>
                <w:kern w:val="0"/>
                <w:sz w:val="22"/>
                <w:szCs w:val="22"/>
              </w:rPr>
            </w:pPr>
          </w:p>
        </w:tc>
        <w:tc>
          <w:tcPr>
            <w:tcW w:w="1283" w:type="dxa"/>
            <w:shd w:val="clear" w:color="auto" w:fill="FFFFFF"/>
            <w:vAlign w:val="center"/>
          </w:tcPr>
          <w:p w14:paraId="28233531">
            <w:pPr>
              <w:widowControl/>
              <w:spacing w:line="0" w:lineRule="atLeast"/>
              <w:jc w:val="center"/>
              <w:rPr>
                <w:kern w:val="0"/>
                <w:sz w:val="22"/>
                <w:szCs w:val="22"/>
              </w:rPr>
            </w:pPr>
            <w:r>
              <w:rPr>
                <w:kern w:val="0"/>
                <w:sz w:val="22"/>
                <w:szCs w:val="22"/>
              </w:rPr>
              <w:t>资金管理</w:t>
            </w:r>
          </w:p>
        </w:tc>
        <w:tc>
          <w:tcPr>
            <w:tcW w:w="1707" w:type="dxa"/>
            <w:shd w:val="clear" w:color="auto" w:fill="FFFFFF"/>
            <w:vAlign w:val="center"/>
          </w:tcPr>
          <w:p w14:paraId="79906C03">
            <w:pPr>
              <w:widowControl/>
              <w:spacing w:line="0" w:lineRule="atLeast"/>
              <w:jc w:val="center"/>
              <w:rPr>
                <w:kern w:val="0"/>
                <w:sz w:val="22"/>
                <w:szCs w:val="22"/>
              </w:rPr>
            </w:pPr>
            <w:r>
              <w:rPr>
                <w:kern w:val="0"/>
                <w:sz w:val="22"/>
                <w:szCs w:val="22"/>
              </w:rPr>
              <w:t>资金使用</w:t>
            </w:r>
          </w:p>
          <w:p w14:paraId="15526158">
            <w:pPr>
              <w:widowControl/>
              <w:spacing w:line="0" w:lineRule="atLeast"/>
              <w:jc w:val="center"/>
              <w:rPr>
                <w:kern w:val="0"/>
                <w:sz w:val="22"/>
                <w:szCs w:val="22"/>
              </w:rPr>
            </w:pPr>
            <w:r>
              <w:rPr>
                <w:kern w:val="0"/>
                <w:sz w:val="22"/>
                <w:szCs w:val="22"/>
              </w:rPr>
              <w:t>合规性</w:t>
            </w:r>
          </w:p>
        </w:tc>
        <w:tc>
          <w:tcPr>
            <w:tcW w:w="727" w:type="dxa"/>
            <w:shd w:val="clear" w:color="000000" w:fill="FFFFFF"/>
            <w:vAlign w:val="center"/>
          </w:tcPr>
          <w:p w14:paraId="131A6330">
            <w:pPr>
              <w:widowControl/>
              <w:spacing w:line="0" w:lineRule="atLeast"/>
              <w:jc w:val="center"/>
              <w:rPr>
                <w:kern w:val="0"/>
                <w:sz w:val="22"/>
                <w:szCs w:val="22"/>
              </w:rPr>
            </w:pPr>
            <w:r>
              <w:rPr>
                <w:kern w:val="0"/>
                <w:sz w:val="22"/>
                <w:szCs w:val="22"/>
              </w:rPr>
              <w:t>4</w:t>
            </w:r>
          </w:p>
        </w:tc>
        <w:tc>
          <w:tcPr>
            <w:tcW w:w="1044" w:type="dxa"/>
            <w:shd w:val="clear" w:color="000000" w:fill="FFFFFF"/>
            <w:vAlign w:val="center"/>
          </w:tcPr>
          <w:p w14:paraId="0F41BAB1">
            <w:pPr>
              <w:widowControl/>
              <w:spacing w:line="0" w:lineRule="atLeast"/>
              <w:jc w:val="center"/>
              <w:rPr>
                <w:kern w:val="0"/>
                <w:sz w:val="22"/>
                <w:szCs w:val="22"/>
              </w:rPr>
            </w:pPr>
            <w:r>
              <w:rPr>
                <w:kern w:val="0"/>
                <w:sz w:val="22"/>
                <w:szCs w:val="22"/>
              </w:rPr>
              <w:t>合格</w:t>
            </w:r>
          </w:p>
        </w:tc>
        <w:tc>
          <w:tcPr>
            <w:tcW w:w="924" w:type="dxa"/>
            <w:shd w:val="clear" w:color="000000" w:fill="FFFFFF"/>
            <w:vAlign w:val="center"/>
          </w:tcPr>
          <w:p w14:paraId="6F41BBA4">
            <w:pPr>
              <w:widowControl/>
              <w:spacing w:line="0" w:lineRule="atLeast"/>
              <w:jc w:val="center"/>
              <w:rPr>
                <w:kern w:val="0"/>
                <w:sz w:val="22"/>
                <w:szCs w:val="22"/>
              </w:rPr>
            </w:pPr>
            <w:r>
              <w:rPr>
                <w:kern w:val="0"/>
                <w:sz w:val="22"/>
                <w:szCs w:val="22"/>
              </w:rPr>
              <w:t>合格</w:t>
            </w:r>
          </w:p>
        </w:tc>
        <w:tc>
          <w:tcPr>
            <w:tcW w:w="1215" w:type="dxa"/>
            <w:shd w:val="clear" w:color="000000" w:fill="FFFFFF"/>
            <w:vAlign w:val="center"/>
          </w:tcPr>
          <w:p w14:paraId="02349E44">
            <w:pPr>
              <w:widowControl/>
              <w:spacing w:line="0" w:lineRule="atLeast"/>
              <w:jc w:val="center"/>
              <w:rPr>
                <w:kern w:val="0"/>
                <w:sz w:val="22"/>
                <w:szCs w:val="22"/>
              </w:rPr>
            </w:pPr>
            <w:r>
              <w:rPr>
                <w:rFonts w:hint="eastAsia"/>
                <w:kern w:val="0"/>
                <w:sz w:val="22"/>
                <w:szCs w:val="22"/>
              </w:rPr>
              <w:t>100</w:t>
            </w:r>
            <w:r>
              <w:rPr>
                <w:kern w:val="0"/>
                <w:sz w:val="22"/>
                <w:szCs w:val="22"/>
              </w:rPr>
              <w:t>%</w:t>
            </w:r>
          </w:p>
        </w:tc>
        <w:tc>
          <w:tcPr>
            <w:tcW w:w="960" w:type="dxa"/>
            <w:shd w:val="clear" w:color="000000" w:fill="FFFFFF"/>
            <w:vAlign w:val="center"/>
          </w:tcPr>
          <w:p w14:paraId="74B278B6">
            <w:pPr>
              <w:widowControl/>
              <w:spacing w:line="0" w:lineRule="atLeast"/>
              <w:jc w:val="center"/>
              <w:rPr>
                <w:kern w:val="0"/>
                <w:sz w:val="22"/>
                <w:szCs w:val="22"/>
              </w:rPr>
            </w:pPr>
            <w:r>
              <w:rPr>
                <w:rFonts w:hint="eastAsia"/>
                <w:kern w:val="0"/>
                <w:sz w:val="22"/>
                <w:szCs w:val="22"/>
              </w:rPr>
              <w:t>4</w:t>
            </w:r>
          </w:p>
        </w:tc>
      </w:tr>
      <w:tr w14:paraId="057100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14:paraId="631A292E">
            <w:pPr>
              <w:spacing w:line="0" w:lineRule="atLeast"/>
              <w:jc w:val="center"/>
              <w:rPr>
                <w:kern w:val="0"/>
                <w:sz w:val="22"/>
                <w:szCs w:val="22"/>
              </w:rPr>
            </w:pPr>
          </w:p>
        </w:tc>
        <w:tc>
          <w:tcPr>
            <w:tcW w:w="990" w:type="dxa"/>
            <w:vMerge w:val="continue"/>
            <w:shd w:val="clear" w:color="auto" w:fill="FFFFFF"/>
            <w:vAlign w:val="center"/>
          </w:tcPr>
          <w:p w14:paraId="41521B63">
            <w:pPr>
              <w:spacing w:line="0" w:lineRule="atLeast"/>
              <w:jc w:val="center"/>
              <w:rPr>
                <w:kern w:val="0"/>
                <w:sz w:val="22"/>
                <w:szCs w:val="22"/>
              </w:rPr>
            </w:pPr>
          </w:p>
        </w:tc>
        <w:tc>
          <w:tcPr>
            <w:tcW w:w="1283" w:type="dxa"/>
            <w:vMerge w:val="restart"/>
            <w:shd w:val="clear" w:color="auto" w:fill="FFFFFF"/>
            <w:vAlign w:val="center"/>
          </w:tcPr>
          <w:p w14:paraId="3F0CB641">
            <w:pPr>
              <w:widowControl/>
              <w:spacing w:line="0" w:lineRule="atLeast"/>
              <w:jc w:val="center"/>
              <w:rPr>
                <w:kern w:val="0"/>
                <w:sz w:val="22"/>
                <w:szCs w:val="22"/>
              </w:rPr>
            </w:pPr>
            <w:r>
              <w:rPr>
                <w:kern w:val="0"/>
                <w:sz w:val="22"/>
                <w:szCs w:val="22"/>
              </w:rPr>
              <w:t>组织实施</w:t>
            </w:r>
          </w:p>
        </w:tc>
        <w:tc>
          <w:tcPr>
            <w:tcW w:w="1707" w:type="dxa"/>
            <w:shd w:val="clear" w:color="auto" w:fill="FFFFFF"/>
            <w:vAlign w:val="center"/>
          </w:tcPr>
          <w:p w14:paraId="2B9339A3">
            <w:pPr>
              <w:widowControl/>
              <w:spacing w:line="0" w:lineRule="atLeast"/>
              <w:jc w:val="center"/>
              <w:rPr>
                <w:kern w:val="0"/>
                <w:sz w:val="22"/>
                <w:szCs w:val="22"/>
              </w:rPr>
            </w:pPr>
            <w:r>
              <w:rPr>
                <w:kern w:val="0"/>
                <w:sz w:val="22"/>
                <w:szCs w:val="22"/>
              </w:rPr>
              <w:t>管理制度</w:t>
            </w:r>
          </w:p>
          <w:p w14:paraId="1AD9E721">
            <w:pPr>
              <w:widowControl/>
              <w:spacing w:line="0" w:lineRule="atLeast"/>
              <w:jc w:val="center"/>
              <w:rPr>
                <w:kern w:val="0"/>
                <w:sz w:val="22"/>
                <w:szCs w:val="22"/>
              </w:rPr>
            </w:pPr>
            <w:r>
              <w:rPr>
                <w:kern w:val="0"/>
                <w:sz w:val="22"/>
                <w:szCs w:val="22"/>
              </w:rPr>
              <w:t>健全性</w:t>
            </w:r>
          </w:p>
        </w:tc>
        <w:tc>
          <w:tcPr>
            <w:tcW w:w="727" w:type="dxa"/>
            <w:shd w:val="clear" w:color="000000" w:fill="FFFFFF"/>
            <w:vAlign w:val="center"/>
          </w:tcPr>
          <w:p w14:paraId="548D303C">
            <w:pPr>
              <w:widowControl/>
              <w:spacing w:line="0" w:lineRule="atLeast"/>
              <w:jc w:val="center"/>
              <w:rPr>
                <w:kern w:val="0"/>
                <w:sz w:val="22"/>
                <w:szCs w:val="22"/>
              </w:rPr>
            </w:pPr>
            <w:r>
              <w:rPr>
                <w:kern w:val="0"/>
                <w:sz w:val="22"/>
                <w:szCs w:val="22"/>
              </w:rPr>
              <w:t>4</w:t>
            </w:r>
          </w:p>
        </w:tc>
        <w:tc>
          <w:tcPr>
            <w:tcW w:w="1044" w:type="dxa"/>
            <w:shd w:val="clear" w:color="000000" w:fill="FFFFFF"/>
            <w:vAlign w:val="center"/>
          </w:tcPr>
          <w:p w14:paraId="54E62725">
            <w:pPr>
              <w:widowControl/>
              <w:spacing w:line="0" w:lineRule="atLeast"/>
              <w:jc w:val="center"/>
              <w:rPr>
                <w:kern w:val="0"/>
                <w:sz w:val="22"/>
                <w:szCs w:val="22"/>
              </w:rPr>
            </w:pPr>
            <w:r>
              <w:rPr>
                <w:kern w:val="0"/>
                <w:sz w:val="22"/>
                <w:szCs w:val="22"/>
              </w:rPr>
              <w:t>健全</w:t>
            </w:r>
          </w:p>
        </w:tc>
        <w:tc>
          <w:tcPr>
            <w:tcW w:w="924" w:type="dxa"/>
            <w:shd w:val="clear" w:color="000000" w:fill="FFFFFF"/>
            <w:vAlign w:val="center"/>
          </w:tcPr>
          <w:p w14:paraId="01EA67DB">
            <w:pPr>
              <w:widowControl/>
              <w:spacing w:line="0" w:lineRule="atLeast"/>
              <w:jc w:val="center"/>
              <w:rPr>
                <w:kern w:val="0"/>
                <w:sz w:val="22"/>
                <w:szCs w:val="22"/>
              </w:rPr>
            </w:pPr>
            <w:r>
              <w:rPr>
                <w:kern w:val="0"/>
                <w:sz w:val="22"/>
                <w:szCs w:val="22"/>
              </w:rPr>
              <w:t>健全</w:t>
            </w:r>
          </w:p>
        </w:tc>
        <w:tc>
          <w:tcPr>
            <w:tcW w:w="1215" w:type="dxa"/>
            <w:shd w:val="clear" w:color="000000" w:fill="FFFFFF"/>
            <w:vAlign w:val="center"/>
          </w:tcPr>
          <w:p w14:paraId="2B45EFC3">
            <w:pPr>
              <w:widowControl/>
              <w:spacing w:line="0" w:lineRule="atLeast"/>
              <w:jc w:val="center"/>
              <w:rPr>
                <w:kern w:val="0"/>
                <w:sz w:val="22"/>
                <w:szCs w:val="22"/>
              </w:rPr>
            </w:pPr>
            <w:r>
              <w:rPr>
                <w:rFonts w:hint="eastAsia"/>
                <w:kern w:val="0"/>
                <w:sz w:val="22"/>
                <w:szCs w:val="22"/>
              </w:rPr>
              <w:t>100</w:t>
            </w:r>
            <w:r>
              <w:rPr>
                <w:kern w:val="0"/>
                <w:sz w:val="22"/>
                <w:szCs w:val="22"/>
              </w:rPr>
              <w:t>%</w:t>
            </w:r>
          </w:p>
        </w:tc>
        <w:tc>
          <w:tcPr>
            <w:tcW w:w="960" w:type="dxa"/>
            <w:shd w:val="clear" w:color="000000" w:fill="FFFFFF"/>
            <w:vAlign w:val="center"/>
          </w:tcPr>
          <w:p w14:paraId="40F0AEFA">
            <w:pPr>
              <w:widowControl/>
              <w:spacing w:line="0" w:lineRule="atLeast"/>
              <w:jc w:val="center"/>
              <w:rPr>
                <w:kern w:val="0"/>
                <w:sz w:val="22"/>
                <w:szCs w:val="22"/>
              </w:rPr>
            </w:pPr>
            <w:r>
              <w:rPr>
                <w:rFonts w:hint="eastAsia"/>
                <w:kern w:val="0"/>
                <w:sz w:val="22"/>
                <w:szCs w:val="22"/>
              </w:rPr>
              <w:t>4</w:t>
            </w:r>
          </w:p>
        </w:tc>
      </w:tr>
      <w:tr w14:paraId="2F76E4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14:paraId="786A18F0">
            <w:pPr>
              <w:widowControl/>
              <w:spacing w:line="0" w:lineRule="atLeast"/>
              <w:jc w:val="center"/>
              <w:rPr>
                <w:kern w:val="0"/>
                <w:sz w:val="22"/>
                <w:szCs w:val="22"/>
              </w:rPr>
            </w:pPr>
          </w:p>
        </w:tc>
        <w:tc>
          <w:tcPr>
            <w:tcW w:w="990" w:type="dxa"/>
            <w:vMerge w:val="continue"/>
            <w:shd w:val="clear" w:color="auto" w:fill="FFFFFF"/>
            <w:vAlign w:val="center"/>
          </w:tcPr>
          <w:p w14:paraId="075354C9">
            <w:pPr>
              <w:widowControl/>
              <w:spacing w:line="0" w:lineRule="atLeast"/>
              <w:jc w:val="center"/>
              <w:rPr>
                <w:kern w:val="0"/>
                <w:sz w:val="22"/>
                <w:szCs w:val="22"/>
              </w:rPr>
            </w:pPr>
          </w:p>
        </w:tc>
        <w:tc>
          <w:tcPr>
            <w:tcW w:w="1283" w:type="dxa"/>
            <w:vMerge w:val="continue"/>
            <w:shd w:val="clear" w:color="auto" w:fill="FFFFFF"/>
            <w:vAlign w:val="center"/>
          </w:tcPr>
          <w:p w14:paraId="678CE357">
            <w:pPr>
              <w:widowControl/>
              <w:spacing w:line="0" w:lineRule="atLeast"/>
              <w:jc w:val="center"/>
              <w:rPr>
                <w:kern w:val="0"/>
                <w:sz w:val="22"/>
                <w:szCs w:val="22"/>
              </w:rPr>
            </w:pPr>
          </w:p>
        </w:tc>
        <w:tc>
          <w:tcPr>
            <w:tcW w:w="1707" w:type="dxa"/>
            <w:shd w:val="clear" w:color="auto" w:fill="FFFFFF"/>
            <w:vAlign w:val="center"/>
          </w:tcPr>
          <w:p w14:paraId="0C13C565">
            <w:pPr>
              <w:widowControl/>
              <w:spacing w:line="0" w:lineRule="atLeast"/>
              <w:jc w:val="center"/>
              <w:rPr>
                <w:kern w:val="0"/>
                <w:sz w:val="22"/>
                <w:szCs w:val="22"/>
              </w:rPr>
            </w:pPr>
            <w:r>
              <w:rPr>
                <w:kern w:val="0"/>
                <w:sz w:val="22"/>
                <w:szCs w:val="22"/>
              </w:rPr>
              <w:t>制度执行</w:t>
            </w:r>
          </w:p>
          <w:p w14:paraId="659DBC6E">
            <w:pPr>
              <w:widowControl/>
              <w:spacing w:line="0" w:lineRule="atLeast"/>
              <w:jc w:val="center"/>
              <w:rPr>
                <w:kern w:val="0"/>
                <w:sz w:val="22"/>
                <w:szCs w:val="22"/>
              </w:rPr>
            </w:pPr>
            <w:r>
              <w:rPr>
                <w:kern w:val="0"/>
                <w:sz w:val="22"/>
                <w:szCs w:val="22"/>
              </w:rPr>
              <w:t>有效性</w:t>
            </w:r>
          </w:p>
        </w:tc>
        <w:tc>
          <w:tcPr>
            <w:tcW w:w="727" w:type="dxa"/>
            <w:shd w:val="clear" w:color="000000" w:fill="FFFFFF"/>
            <w:vAlign w:val="center"/>
          </w:tcPr>
          <w:p w14:paraId="6E8C7035">
            <w:pPr>
              <w:widowControl/>
              <w:spacing w:line="0" w:lineRule="atLeast"/>
              <w:jc w:val="center"/>
              <w:rPr>
                <w:kern w:val="0"/>
                <w:sz w:val="22"/>
                <w:szCs w:val="22"/>
              </w:rPr>
            </w:pPr>
            <w:r>
              <w:rPr>
                <w:kern w:val="0"/>
                <w:sz w:val="22"/>
                <w:szCs w:val="22"/>
              </w:rPr>
              <w:t>4</w:t>
            </w:r>
          </w:p>
        </w:tc>
        <w:tc>
          <w:tcPr>
            <w:tcW w:w="1044" w:type="dxa"/>
            <w:shd w:val="clear" w:color="000000" w:fill="FFFFFF"/>
            <w:vAlign w:val="center"/>
          </w:tcPr>
          <w:p w14:paraId="6679D819">
            <w:pPr>
              <w:widowControl/>
              <w:spacing w:line="0" w:lineRule="atLeast"/>
              <w:jc w:val="center"/>
              <w:rPr>
                <w:kern w:val="0"/>
                <w:sz w:val="22"/>
                <w:szCs w:val="22"/>
              </w:rPr>
            </w:pPr>
            <w:r>
              <w:rPr>
                <w:kern w:val="0"/>
                <w:sz w:val="22"/>
                <w:szCs w:val="22"/>
              </w:rPr>
              <w:t>有效</w:t>
            </w:r>
          </w:p>
        </w:tc>
        <w:tc>
          <w:tcPr>
            <w:tcW w:w="924" w:type="dxa"/>
            <w:shd w:val="clear" w:color="000000" w:fill="FFFFFF"/>
            <w:vAlign w:val="center"/>
          </w:tcPr>
          <w:p w14:paraId="7CC1E510">
            <w:pPr>
              <w:widowControl/>
              <w:spacing w:line="0" w:lineRule="atLeast"/>
              <w:jc w:val="center"/>
              <w:rPr>
                <w:kern w:val="0"/>
                <w:sz w:val="22"/>
                <w:szCs w:val="22"/>
              </w:rPr>
            </w:pPr>
            <w:r>
              <w:rPr>
                <w:kern w:val="0"/>
                <w:sz w:val="22"/>
                <w:szCs w:val="22"/>
              </w:rPr>
              <w:t>有效</w:t>
            </w:r>
          </w:p>
        </w:tc>
        <w:tc>
          <w:tcPr>
            <w:tcW w:w="1215" w:type="dxa"/>
            <w:shd w:val="clear" w:color="000000" w:fill="FFFFFF"/>
            <w:vAlign w:val="center"/>
          </w:tcPr>
          <w:p w14:paraId="03E5C6A3">
            <w:pPr>
              <w:widowControl/>
              <w:spacing w:line="0" w:lineRule="atLeast"/>
              <w:jc w:val="center"/>
              <w:rPr>
                <w:kern w:val="0"/>
                <w:sz w:val="22"/>
                <w:szCs w:val="22"/>
              </w:rPr>
            </w:pPr>
            <w:r>
              <w:rPr>
                <w:rFonts w:hint="eastAsia"/>
                <w:kern w:val="0"/>
                <w:sz w:val="22"/>
                <w:szCs w:val="22"/>
              </w:rPr>
              <w:t>100</w:t>
            </w:r>
            <w:r>
              <w:rPr>
                <w:kern w:val="0"/>
                <w:sz w:val="22"/>
                <w:szCs w:val="22"/>
              </w:rPr>
              <w:t>%</w:t>
            </w:r>
          </w:p>
        </w:tc>
        <w:tc>
          <w:tcPr>
            <w:tcW w:w="960" w:type="dxa"/>
            <w:shd w:val="clear" w:color="000000" w:fill="FFFFFF"/>
            <w:vAlign w:val="center"/>
          </w:tcPr>
          <w:p w14:paraId="0AD58EBB">
            <w:pPr>
              <w:widowControl/>
              <w:spacing w:line="0" w:lineRule="atLeast"/>
              <w:jc w:val="center"/>
              <w:rPr>
                <w:kern w:val="0"/>
                <w:sz w:val="22"/>
                <w:szCs w:val="22"/>
              </w:rPr>
            </w:pPr>
            <w:r>
              <w:rPr>
                <w:rFonts w:hint="eastAsia"/>
                <w:kern w:val="0"/>
                <w:sz w:val="22"/>
                <w:szCs w:val="22"/>
              </w:rPr>
              <w:t>4</w:t>
            </w:r>
          </w:p>
        </w:tc>
      </w:tr>
      <w:tr w14:paraId="0C67259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14:paraId="05B25E60">
            <w:pPr>
              <w:widowControl/>
              <w:spacing w:line="0" w:lineRule="atLeast"/>
              <w:jc w:val="center"/>
              <w:rPr>
                <w:kern w:val="0"/>
                <w:sz w:val="22"/>
                <w:szCs w:val="22"/>
              </w:rPr>
            </w:pPr>
            <w:r>
              <w:rPr>
                <w:kern w:val="0"/>
                <w:sz w:val="22"/>
                <w:szCs w:val="22"/>
              </w:rPr>
              <w:t>产出</w:t>
            </w:r>
          </w:p>
        </w:tc>
        <w:tc>
          <w:tcPr>
            <w:tcW w:w="990" w:type="dxa"/>
            <w:vMerge w:val="restart"/>
            <w:shd w:val="clear" w:color="auto" w:fill="FFFFFF"/>
            <w:vAlign w:val="center"/>
          </w:tcPr>
          <w:p w14:paraId="7DD5824F">
            <w:pPr>
              <w:widowControl/>
              <w:spacing w:line="0" w:lineRule="atLeast"/>
              <w:jc w:val="center"/>
              <w:rPr>
                <w:kern w:val="0"/>
                <w:sz w:val="22"/>
                <w:szCs w:val="22"/>
              </w:rPr>
            </w:pPr>
            <w:r>
              <w:rPr>
                <w:kern w:val="0"/>
                <w:sz w:val="22"/>
                <w:szCs w:val="22"/>
              </w:rPr>
              <w:t>40分</w:t>
            </w:r>
          </w:p>
        </w:tc>
        <w:tc>
          <w:tcPr>
            <w:tcW w:w="1283" w:type="dxa"/>
            <w:shd w:val="clear" w:color="auto" w:fill="FFFFFF"/>
            <w:vAlign w:val="center"/>
          </w:tcPr>
          <w:p w14:paraId="2F19C7CC">
            <w:pPr>
              <w:widowControl/>
              <w:spacing w:line="0" w:lineRule="atLeast"/>
              <w:jc w:val="center"/>
              <w:rPr>
                <w:kern w:val="0"/>
                <w:sz w:val="22"/>
                <w:szCs w:val="22"/>
              </w:rPr>
            </w:pPr>
            <w:r>
              <w:rPr>
                <w:kern w:val="0"/>
                <w:sz w:val="22"/>
                <w:szCs w:val="22"/>
              </w:rPr>
              <w:t>产出数量</w:t>
            </w:r>
          </w:p>
        </w:tc>
        <w:tc>
          <w:tcPr>
            <w:tcW w:w="1707" w:type="dxa"/>
            <w:shd w:val="clear" w:color="auto" w:fill="FFFFFF"/>
            <w:vAlign w:val="center"/>
          </w:tcPr>
          <w:p w14:paraId="312CA37F">
            <w:pPr>
              <w:widowControl/>
              <w:spacing w:line="0" w:lineRule="atLeast"/>
              <w:jc w:val="center"/>
              <w:rPr>
                <w:kern w:val="0"/>
                <w:sz w:val="22"/>
                <w:szCs w:val="22"/>
              </w:rPr>
            </w:pPr>
            <w:r>
              <w:rPr>
                <w:kern w:val="0"/>
                <w:sz w:val="22"/>
                <w:szCs w:val="22"/>
              </w:rPr>
              <w:t>实际完成率</w:t>
            </w:r>
          </w:p>
        </w:tc>
        <w:tc>
          <w:tcPr>
            <w:tcW w:w="727" w:type="dxa"/>
            <w:shd w:val="clear" w:color="000000" w:fill="FFFFFF"/>
            <w:vAlign w:val="center"/>
          </w:tcPr>
          <w:p w14:paraId="0AFB590E">
            <w:pPr>
              <w:widowControl/>
              <w:spacing w:line="0" w:lineRule="atLeast"/>
              <w:jc w:val="center"/>
              <w:rPr>
                <w:kern w:val="0"/>
                <w:sz w:val="22"/>
                <w:szCs w:val="22"/>
              </w:rPr>
            </w:pPr>
            <w:r>
              <w:rPr>
                <w:kern w:val="0"/>
                <w:sz w:val="22"/>
                <w:szCs w:val="22"/>
              </w:rPr>
              <w:t>10</w:t>
            </w:r>
          </w:p>
        </w:tc>
        <w:tc>
          <w:tcPr>
            <w:tcW w:w="1044" w:type="dxa"/>
            <w:shd w:val="clear" w:color="000000" w:fill="FFFFFF"/>
            <w:vAlign w:val="center"/>
          </w:tcPr>
          <w:p w14:paraId="761FD5C3">
            <w:pPr>
              <w:widowControl/>
              <w:spacing w:line="0" w:lineRule="atLeast"/>
              <w:jc w:val="center"/>
              <w:rPr>
                <w:kern w:val="0"/>
                <w:sz w:val="22"/>
                <w:szCs w:val="22"/>
              </w:rPr>
            </w:pPr>
            <w:r>
              <w:rPr>
                <w:kern w:val="0"/>
                <w:sz w:val="22"/>
                <w:szCs w:val="22"/>
              </w:rPr>
              <w:t>100%</w:t>
            </w:r>
          </w:p>
        </w:tc>
        <w:tc>
          <w:tcPr>
            <w:tcW w:w="924" w:type="dxa"/>
            <w:shd w:val="clear" w:color="000000" w:fill="FFFFFF"/>
            <w:vAlign w:val="center"/>
          </w:tcPr>
          <w:p w14:paraId="16215B9F">
            <w:pPr>
              <w:widowControl/>
              <w:spacing w:line="0" w:lineRule="atLeast"/>
              <w:jc w:val="center"/>
              <w:rPr>
                <w:kern w:val="0"/>
                <w:sz w:val="22"/>
                <w:szCs w:val="22"/>
              </w:rPr>
            </w:pPr>
            <w:r>
              <w:rPr>
                <w:rFonts w:hint="eastAsia"/>
                <w:kern w:val="0"/>
                <w:sz w:val="22"/>
                <w:szCs w:val="22"/>
              </w:rPr>
              <w:t>100</w:t>
            </w:r>
            <w:r>
              <w:rPr>
                <w:kern w:val="0"/>
                <w:sz w:val="22"/>
                <w:szCs w:val="22"/>
              </w:rPr>
              <w:t>%</w:t>
            </w:r>
          </w:p>
        </w:tc>
        <w:tc>
          <w:tcPr>
            <w:tcW w:w="1215" w:type="dxa"/>
            <w:shd w:val="clear" w:color="000000" w:fill="FFFFFF"/>
            <w:vAlign w:val="center"/>
          </w:tcPr>
          <w:p w14:paraId="64F04EB7">
            <w:pPr>
              <w:widowControl/>
              <w:spacing w:line="0" w:lineRule="atLeast"/>
              <w:jc w:val="center"/>
              <w:rPr>
                <w:kern w:val="0"/>
                <w:sz w:val="22"/>
                <w:szCs w:val="22"/>
              </w:rPr>
            </w:pPr>
            <w:r>
              <w:rPr>
                <w:rFonts w:hint="eastAsia"/>
                <w:kern w:val="0"/>
                <w:sz w:val="22"/>
                <w:szCs w:val="22"/>
              </w:rPr>
              <w:t>100</w:t>
            </w:r>
            <w:r>
              <w:rPr>
                <w:kern w:val="0"/>
                <w:sz w:val="22"/>
                <w:szCs w:val="22"/>
              </w:rPr>
              <w:t>%</w:t>
            </w:r>
          </w:p>
        </w:tc>
        <w:tc>
          <w:tcPr>
            <w:tcW w:w="960" w:type="dxa"/>
            <w:shd w:val="clear" w:color="000000" w:fill="FFFFFF"/>
            <w:vAlign w:val="center"/>
          </w:tcPr>
          <w:p w14:paraId="23ADBCAC">
            <w:pPr>
              <w:widowControl/>
              <w:spacing w:line="0" w:lineRule="atLeast"/>
              <w:jc w:val="center"/>
              <w:rPr>
                <w:kern w:val="0"/>
                <w:sz w:val="22"/>
                <w:szCs w:val="22"/>
              </w:rPr>
            </w:pPr>
            <w:r>
              <w:rPr>
                <w:rFonts w:hint="eastAsia"/>
                <w:kern w:val="0"/>
                <w:sz w:val="22"/>
                <w:szCs w:val="22"/>
              </w:rPr>
              <w:t>10</w:t>
            </w:r>
          </w:p>
        </w:tc>
      </w:tr>
      <w:tr w14:paraId="7A3BC4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14:paraId="74F81F12">
            <w:pPr>
              <w:widowControl/>
              <w:spacing w:line="0" w:lineRule="atLeast"/>
              <w:jc w:val="center"/>
              <w:rPr>
                <w:kern w:val="0"/>
                <w:sz w:val="22"/>
                <w:szCs w:val="22"/>
              </w:rPr>
            </w:pPr>
          </w:p>
        </w:tc>
        <w:tc>
          <w:tcPr>
            <w:tcW w:w="990" w:type="dxa"/>
            <w:vMerge w:val="continue"/>
            <w:shd w:val="clear" w:color="auto" w:fill="FFFFFF"/>
            <w:vAlign w:val="center"/>
          </w:tcPr>
          <w:p w14:paraId="1CD00B2D">
            <w:pPr>
              <w:widowControl/>
              <w:spacing w:line="0" w:lineRule="atLeast"/>
              <w:jc w:val="center"/>
              <w:rPr>
                <w:kern w:val="0"/>
                <w:sz w:val="22"/>
                <w:szCs w:val="22"/>
              </w:rPr>
            </w:pPr>
          </w:p>
        </w:tc>
        <w:tc>
          <w:tcPr>
            <w:tcW w:w="1283" w:type="dxa"/>
            <w:shd w:val="clear" w:color="auto" w:fill="FFFFFF"/>
            <w:vAlign w:val="center"/>
          </w:tcPr>
          <w:p w14:paraId="76FFFCDE">
            <w:pPr>
              <w:widowControl/>
              <w:spacing w:line="0" w:lineRule="atLeast"/>
              <w:jc w:val="center"/>
              <w:rPr>
                <w:kern w:val="0"/>
                <w:sz w:val="22"/>
                <w:szCs w:val="22"/>
              </w:rPr>
            </w:pPr>
            <w:r>
              <w:rPr>
                <w:kern w:val="0"/>
                <w:sz w:val="22"/>
                <w:szCs w:val="22"/>
              </w:rPr>
              <w:t>产出质量</w:t>
            </w:r>
          </w:p>
        </w:tc>
        <w:tc>
          <w:tcPr>
            <w:tcW w:w="1707" w:type="dxa"/>
            <w:shd w:val="clear" w:color="auto" w:fill="FFFFFF"/>
            <w:vAlign w:val="center"/>
          </w:tcPr>
          <w:p w14:paraId="15D8E014">
            <w:pPr>
              <w:widowControl/>
              <w:spacing w:line="0" w:lineRule="atLeast"/>
              <w:jc w:val="center"/>
              <w:rPr>
                <w:kern w:val="0"/>
                <w:sz w:val="22"/>
                <w:szCs w:val="22"/>
              </w:rPr>
            </w:pPr>
            <w:r>
              <w:rPr>
                <w:kern w:val="0"/>
                <w:sz w:val="22"/>
                <w:szCs w:val="22"/>
              </w:rPr>
              <w:t>质量达标率</w:t>
            </w:r>
          </w:p>
        </w:tc>
        <w:tc>
          <w:tcPr>
            <w:tcW w:w="727" w:type="dxa"/>
            <w:shd w:val="clear" w:color="000000" w:fill="FFFFFF"/>
            <w:vAlign w:val="center"/>
          </w:tcPr>
          <w:p w14:paraId="15FB35FF">
            <w:pPr>
              <w:widowControl/>
              <w:spacing w:line="0" w:lineRule="atLeast"/>
              <w:jc w:val="center"/>
              <w:rPr>
                <w:kern w:val="0"/>
                <w:sz w:val="22"/>
                <w:szCs w:val="22"/>
              </w:rPr>
            </w:pPr>
            <w:r>
              <w:rPr>
                <w:kern w:val="0"/>
                <w:sz w:val="22"/>
                <w:szCs w:val="22"/>
              </w:rPr>
              <w:t>10</w:t>
            </w:r>
          </w:p>
        </w:tc>
        <w:tc>
          <w:tcPr>
            <w:tcW w:w="1044" w:type="dxa"/>
            <w:shd w:val="clear" w:color="000000" w:fill="FFFFFF"/>
            <w:vAlign w:val="center"/>
          </w:tcPr>
          <w:p w14:paraId="2DC3BE29">
            <w:pPr>
              <w:widowControl/>
              <w:spacing w:line="0" w:lineRule="atLeast"/>
              <w:jc w:val="center"/>
              <w:rPr>
                <w:kern w:val="0"/>
                <w:sz w:val="22"/>
                <w:szCs w:val="22"/>
              </w:rPr>
            </w:pPr>
            <w:r>
              <w:rPr>
                <w:kern w:val="0"/>
                <w:sz w:val="22"/>
                <w:szCs w:val="22"/>
              </w:rPr>
              <w:t>100%</w:t>
            </w:r>
          </w:p>
        </w:tc>
        <w:tc>
          <w:tcPr>
            <w:tcW w:w="924" w:type="dxa"/>
            <w:shd w:val="clear" w:color="000000" w:fill="FFFFFF"/>
            <w:vAlign w:val="center"/>
          </w:tcPr>
          <w:p w14:paraId="6B96B2CF">
            <w:pPr>
              <w:widowControl/>
              <w:spacing w:line="0" w:lineRule="atLeast"/>
              <w:jc w:val="center"/>
              <w:rPr>
                <w:kern w:val="0"/>
                <w:sz w:val="22"/>
                <w:szCs w:val="22"/>
              </w:rPr>
            </w:pPr>
            <w:r>
              <w:rPr>
                <w:rFonts w:hint="eastAsia"/>
                <w:kern w:val="0"/>
                <w:sz w:val="22"/>
                <w:szCs w:val="22"/>
              </w:rPr>
              <w:t>100</w:t>
            </w:r>
            <w:r>
              <w:rPr>
                <w:kern w:val="0"/>
                <w:sz w:val="22"/>
                <w:szCs w:val="22"/>
              </w:rPr>
              <w:t>%</w:t>
            </w:r>
          </w:p>
        </w:tc>
        <w:tc>
          <w:tcPr>
            <w:tcW w:w="1215" w:type="dxa"/>
            <w:shd w:val="clear" w:color="000000" w:fill="FFFFFF"/>
            <w:vAlign w:val="center"/>
          </w:tcPr>
          <w:p w14:paraId="25E606C1">
            <w:pPr>
              <w:widowControl/>
              <w:spacing w:line="0" w:lineRule="atLeast"/>
              <w:jc w:val="center"/>
              <w:rPr>
                <w:kern w:val="0"/>
                <w:sz w:val="22"/>
                <w:szCs w:val="22"/>
              </w:rPr>
            </w:pPr>
            <w:r>
              <w:rPr>
                <w:rFonts w:hint="eastAsia"/>
                <w:kern w:val="0"/>
                <w:sz w:val="22"/>
                <w:szCs w:val="22"/>
              </w:rPr>
              <w:t>100</w:t>
            </w:r>
            <w:r>
              <w:rPr>
                <w:kern w:val="0"/>
                <w:sz w:val="22"/>
                <w:szCs w:val="22"/>
              </w:rPr>
              <w:t>%</w:t>
            </w:r>
          </w:p>
        </w:tc>
        <w:tc>
          <w:tcPr>
            <w:tcW w:w="960" w:type="dxa"/>
            <w:shd w:val="clear" w:color="000000" w:fill="FFFFFF"/>
            <w:vAlign w:val="center"/>
          </w:tcPr>
          <w:p w14:paraId="7D21D5A6">
            <w:pPr>
              <w:widowControl/>
              <w:spacing w:line="0" w:lineRule="atLeast"/>
              <w:jc w:val="center"/>
              <w:rPr>
                <w:kern w:val="0"/>
                <w:sz w:val="22"/>
                <w:szCs w:val="22"/>
              </w:rPr>
            </w:pPr>
            <w:r>
              <w:rPr>
                <w:rFonts w:hint="eastAsia"/>
                <w:kern w:val="0"/>
                <w:sz w:val="22"/>
                <w:szCs w:val="22"/>
              </w:rPr>
              <w:t>10</w:t>
            </w:r>
          </w:p>
        </w:tc>
      </w:tr>
      <w:tr w14:paraId="249A7C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14:paraId="1293CC05">
            <w:pPr>
              <w:spacing w:line="0" w:lineRule="atLeast"/>
              <w:jc w:val="center"/>
              <w:rPr>
                <w:kern w:val="0"/>
                <w:sz w:val="22"/>
                <w:szCs w:val="22"/>
              </w:rPr>
            </w:pPr>
          </w:p>
        </w:tc>
        <w:tc>
          <w:tcPr>
            <w:tcW w:w="990" w:type="dxa"/>
            <w:vMerge w:val="continue"/>
            <w:shd w:val="clear" w:color="auto" w:fill="FFFFFF"/>
            <w:vAlign w:val="center"/>
          </w:tcPr>
          <w:p w14:paraId="7847DC83">
            <w:pPr>
              <w:spacing w:line="0" w:lineRule="atLeast"/>
              <w:jc w:val="center"/>
              <w:rPr>
                <w:kern w:val="0"/>
                <w:sz w:val="22"/>
                <w:szCs w:val="22"/>
              </w:rPr>
            </w:pPr>
          </w:p>
        </w:tc>
        <w:tc>
          <w:tcPr>
            <w:tcW w:w="1283" w:type="dxa"/>
            <w:shd w:val="clear" w:color="auto" w:fill="FFFFFF"/>
            <w:vAlign w:val="center"/>
          </w:tcPr>
          <w:p w14:paraId="007DFC51">
            <w:pPr>
              <w:spacing w:line="0" w:lineRule="atLeast"/>
              <w:jc w:val="center"/>
              <w:rPr>
                <w:kern w:val="0"/>
                <w:sz w:val="22"/>
                <w:szCs w:val="22"/>
              </w:rPr>
            </w:pPr>
            <w:r>
              <w:rPr>
                <w:kern w:val="0"/>
                <w:sz w:val="22"/>
                <w:szCs w:val="22"/>
              </w:rPr>
              <w:t>产出时效</w:t>
            </w:r>
          </w:p>
        </w:tc>
        <w:tc>
          <w:tcPr>
            <w:tcW w:w="1707" w:type="dxa"/>
            <w:shd w:val="clear" w:color="auto" w:fill="FFFFFF"/>
            <w:vAlign w:val="center"/>
          </w:tcPr>
          <w:p w14:paraId="06B9B4E0">
            <w:pPr>
              <w:widowControl/>
              <w:spacing w:line="0" w:lineRule="atLeast"/>
              <w:jc w:val="center"/>
              <w:rPr>
                <w:kern w:val="0"/>
                <w:sz w:val="22"/>
                <w:szCs w:val="22"/>
              </w:rPr>
            </w:pPr>
            <w:r>
              <w:rPr>
                <w:kern w:val="0"/>
                <w:sz w:val="22"/>
                <w:szCs w:val="22"/>
              </w:rPr>
              <w:t>完成及时性</w:t>
            </w:r>
          </w:p>
        </w:tc>
        <w:tc>
          <w:tcPr>
            <w:tcW w:w="727" w:type="dxa"/>
            <w:shd w:val="clear" w:color="000000" w:fill="FFFFFF"/>
            <w:vAlign w:val="center"/>
          </w:tcPr>
          <w:p w14:paraId="3B2EFA48">
            <w:pPr>
              <w:widowControl/>
              <w:spacing w:line="0" w:lineRule="atLeast"/>
              <w:jc w:val="center"/>
              <w:rPr>
                <w:kern w:val="0"/>
                <w:sz w:val="22"/>
                <w:szCs w:val="22"/>
              </w:rPr>
            </w:pPr>
            <w:r>
              <w:rPr>
                <w:kern w:val="0"/>
                <w:sz w:val="22"/>
                <w:szCs w:val="22"/>
              </w:rPr>
              <w:t>10</w:t>
            </w:r>
          </w:p>
        </w:tc>
        <w:tc>
          <w:tcPr>
            <w:tcW w:w="1044" w:type="dxa"/>
            <w:shd w:val="clear" w:color="000000" w:fill="FFFFFF"/>
            <w:vAlign w:val="center"/>
          </w:tcPr>
          <w:p w14:paraId="7E08EA80">
            <w:pPr>
              <w:widowControl/>
              <w:spacing w:line="0" w:lineRule="atLeast"/>
              <w:jc w:val="center"/>
              <w:rPr>
                <w:kern w:val="0"/>
                <w:sz w:val="22"/>
                <w:szCs w:val="22"/>
              </w:rPr>
            </w:pPr>
            <w:r>
              <w:rPr>
                <w:kern w:val="0"/>
                <w:sz w:val="22"/>
                <w:szCs w:val="22"/>
              </w:rPr>
              <w:t>及时</w:t>
            </w:r>
          </w:p>
        </w:tc>
        <w:tc>
          <w:tcPr>
            <w:tcW w:w="924" w:type="dxa"/>
            <w:shd w:val="clear" w:color="000000" w:fill="FFFFFF"/>
            <w:vAlign w:val="center"/>
          </w:tcPr>
          <w:p w14:paraId="30FF40E2">
            <w:pPr>
              <w:widowControl/>
              <w:spacing w:line="0" w:lineRule="atLeast"/>
              <w:jc w:val="center"/>
              <w:rPr>
                <w:kern w:val="0"/>
                <w:sz w:val="22"/>
                <w:szCs w:val="22"/>
              </w:rPr>
            </w:pPr>
            <w:r>
              <w:rPr>
                <w:kern w:val="0"/>
                <w:sz w:val="22"/>
                <w:szCs w:val="22"/>
              </w:rPr>
              <w:t>及时</w:t>
            </w:r>
          </w:p>
        </w:tc>
        <w:tc>
          <w:tcPr>
            <w:tcW w:w="1215" w:type="dxa"/>
            <w:shd w:val="clear" w:color="000000" w:fill="FFFFFF"/>
            <w:vAlign w:val="center"/>
          </w:tcPr>
          <w:p w14:paraId="48B76A4A">
            <w:pPr>
              <w:widowControl/>
              <w:spacing w:line="0" w:lineRule="atLeast"/>
              <w:jc w:val="center"/>
              <w:rPr>
                <w:kern w:val="0"/>
                <w:sz w:val="22"/>
                <w:szCs w:val="22"/>
              </w:rPr>
            </w:pPr>
            <w:r>
              <w:rPr>
                <w:rFonts w:hint="eastAsia"/>
                <w:kern w:val="0"/>
                <w:sz w:val="22"/>
                <w:szCs w:val="22"/>
              </w:rPr>
              <w:t>100</w:t>
            </w:r>
            <w:r>
              <w:rPr>
                <w:kern w:val="0"/>
                <w:sz w:val="22"/>
                <w:szCs w:val="22"/>
              </w:rPr>
              <w:t>%</w:t>
            </w:r>
          </w:p>
        </w:tc>
        <w:tc>
          <w:tcPr>
            <w:tcW w:w="960" w:type="dxa"/>
            <w:shd w:val="clear" w:color="000000" w:fill="FFFFFF"/>
            <w:vAlign w:val="center"/>
          </w:tcPr>
          <w:p w14:paraId="028B72F3">
            <w:pPr>
              <w:widowControl/>
              <w:spacing w:line="0" w:lineRule="atLeast"/>
              <w:jc w:val="center"/>
              <w:rPr>
                <w:kern w:val="0"/>
                <w:sz w:val="22"/>
                <w:szCs w:val="22"/>
              </w:rPr>
            </w:pPr>
            <w:r>
              <w:rPr>
                <w:rFonts w:hint="eastAsia"/>
                <w:kern w:val="0"/>
                <w:sz w:val="22"/>
                <w:szCs w:val="22"/>
              </w:rPr>
              <w:t>10</w:t>
            </w:r>
          </w:p>
        </w:tc>
      </w:tr>
      <w:tr w14:paraId="29E532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14:paraId="5646BFC3">
            <w:pPr>
              <w:widowControl/>
              <w:spacing w:line="0" w:lineRule="atLeast"/>
              <w:jc w:val="center"/>
              <w:rPr>
                <w:kern w:val="0"/>
                <w:sz w:val="22"/>
                <w:szCs w:val="22"/>
              </w:rPr>
            </w:pPr>
          </w:p>
        </w:tc>
        <w:tc>
          <w:tcPr>
            <w:tcW w:w="990" w:type="dxa"/>
            <w:vMerge w:val="continue"/>
            <w:shd w:val="clear" w:color="auto" w:fill="FFFFFF"/>
            <w:vAlign w:val="center"/>
          </w:tcPr>
          <w:p w14:paraId="44DE4863">
            <w:pPr>
              <w:widowControl/>
              <w:spacing w:line="0" w:lineRule="atLeast"/>
              <w:jc w:val="center"/>
              <w:rPr>
                <w:kern w:val="0"/>
                <w:sz w:val="22"/>
                <w:szCs w:val="22"/>
              </w:rPr>
            </w:pPr>
          </w:p>
        </w:tc>
        <w:tc>
          <w:tcPr>
            <w:tcW w:w="1283" w:type="dxa"/>
            <w:shd w:val="clear" w:color="auto" w:fill="FFFFFF"/>
            <w:vAlign w:val="center"/>
          </w:tcPr>
          <w:p w14:paraId="5247025B">
            <w:pPr>
              <w:widowControl/>
              <w:spacing w:line="0" w:lineRule="atLeast"/>
              <w:jc w:val="center"/>
              <w:rPr>
                <w:kern w:val="0"/>
                <w:sz w:val="22"/>
                <w:szCs w:val="22"/>
              </w:rPr>
            </w:pPr>
            <w:r>
              <w:rPr>
                <w:kern w:val="0"/>
                <w:sz w:val="22"/>
                <w:szCs w:val="22"/>
              </w:rPr>
              <w:t>产出成本</w:t>
            </w:r>
          </w:p>
        </w:tc>
        <w:tc>
          <w:tcPr>
            <w:tcW w:w="1707" w:type="dxa"/>
            <w:shd w:val="clear" w:color="auto" w:fill="FFFFFF"/>
            <w:vAlign w:val="center"/>
          </w:tcPr>
          <w:p w14:paraId="005BD430">
            <w:pPr>
              <w:widowControl/>
              <w:spacing w:line="0" w:lineRule="atLeast"/>
              <w:jc w:val="center"/>
              <w:rPr>
                <w:kern w:val="0"/>
                <w:sz w:val="22"/>
                <w:szCs w:val="22"/>
              </w:rPr>
            </w:pPr>
            <w:r>
              <w:rPr>
                <w:kern w:val="0"/>
                <w:sz w:val="22"/>
                <w:szCs w:val="22"/>
              </w:rPr>
              <w:t>成本节约率</w:t>
            </w:r>
          </w:p>
        </w:tc>
        <w:tc>
          <w:tcPr>
            <w:tcW w:w="727" w:type="dxa"/>
            <w:shd w:val="clear" w:color="000000" w:fill="FFFFFF"/>
            <w:vAlign w:val="center"/>
          </w:tcPr>
          <w:p w14:paraId="6B4A2412">
            <w:pPr>
              <w:widowControl/>
              <w:spacing w:line="0" w:lineRule="atLeast"/>
              <w:jc w:val="center"/>
              <w:rPr>
                <w:kern w:val="0"/>
                <w:sz w:val="22"/>
                <w:szCs w:val="22"/>
              </w:rPr>
            </w:pPr>
            <w:r>
              <w:rPr>
                <w:kern w:val="0"/>
                <w:sz w:val="22"/>
                <w:szCs w:val="22"/>
              </w:rPr>
              <w:t>10</w:t>
            </w:r>
          </w:p>
        </w:tc>
        <w:tc>
          <w:tcPr>
            <w:tcW w:w="1044" w:type="dxa"/>
            <w:shd w:val="clear" w:color="000000" w:fill="FFFFFF"/>
            <w:vAlign w:val="center"/>
          </w:tcPr>
          <w:p w14:paraId="31698691">
            <w:pPr>
              <w:widowControl/>
              <w:spacing w:line="0" w:lineRule="atLeast"/>
              <w:jc w:val="center"/>
              <w:rPr>
                <w:kern w:val="0"/>
                <w:sz w:val="22"/>
                <w:szCs w:val="22"/>
              </w:rPr>
            </w:pPr>
            <w:r>
              <w:rPr>
                <w:kern w:val="0"/>
                <w:sz w:val="22"/>
                <w:szCs w:val="22"/>
              </w:rPr>
              <w:t>100%</w:t>
            </w:r>
          </w:p>
        </w:tc>
        <w:tc>
          <w:tcPr>
            <w:tcW w:w="924" w:type="dxa"/>
            <w:shd w:val="clear" w:color="000000" w:fill="FFFFFF"/>
            <w:vAlign w:val="center"/>
          </w:tcPr>
          <w:p w14:paraId="2B2F7203">
            <w:pPr>
              <w:widowControl/>
              <w:spacing w:line="0" w:lineRule="atLeast"/>
              <w:jc w:val="center"/>
              <w:rPr>
                <w:kern w:val="0"/>
                <w:sz w:val="22"/>
                <w:szCs w:val="22"/>
              </w:rPr>
            </w:pPr>
            <w:r>
              <w:rPr>
                <w:rFonts w:hint="eastAsia"/>
                <w:kern w:val="0"/>
                <w:sz w:val="22"/>
                <w:szCs w:val="22"/>
              </w:rPr>
              <w:t>100</w:t>
            </w:r>
            <w:r>
              <w:rPr>
                <w:kern w:val="0"/>
                <w:sz w:val="22"/>
                <w:szCs w:val="22"/>
              </w:rPr>
              <w:t>%</w:t>
            </w:r>
          </w:p>
        </w:tc>
        <w:tc>
          <w:tcPr>
            <w:tcW w:w="1215" w:type="dxa"/>
            <w:shd w:val="clear" w:color="000000" w:fill="FFFFFF"/>
            <w:vAlign w:val="center"/>
          </w:tcPr>
          <w:p w14:paraId="1F1C32FA">
            <w:pPr>
              <w:widowControl/>
              <w:spacing w:line="0" w:lineRule="atLeast"/>
              <w:jc w:val="center"/>
              <w:rPr>
                <w:kern w:val="0"/>
                <w:sz w:val="22"/>
                <w:szCs w:val="22"/>
              </w:rPr>
            </w:pPr>
            <w:r>
              <w:rPr>
                <w:rFonts w:hint="eastAsia"/>
                <w:kern w:val="0"/>
                <w:sz w:val="22"/>
                <w:szCs w:val="22"/>
              </w:rPr>
              <w:t>100</w:t>
            </w:r>
            <w:r>
              <w:rPr>
                <w:kern w:val="0"/>
                <w:sz w:val="22"/>
                <w:szCs w:val="22"/>
              </w:rPr>
              <w:t>%</w:t>
            </w:r>
          </w:p>
        </w:tc>
        <w:tc>
          <w:tcPr>
            <w:tcW w:w="960" w:type="dxa"/>
            <w:shd w:val="clear" w:color="000000" w:fill="FFFFFF"/>
            <w:vAlign w:val="center"/>
          </w:tcPr>
          <w:p w14:paraId="50F73AB7">
            <w:pPr>
              <w:widowControl/>
              <w:spacing w:line="0" w:lineRule="atLeast"/>
              <w:jc w:val="center"/>
              <w:rPr>
                <w:kern w:val="0"/>
                <w:sz w:val="22"/>
                <w:szCs w:val="22"/>
              </w:rPr>
            </w:pPr>
            <w:r>
              <w:rPr>
                <w:rFonts w:hint="eastAsia"/>
                <w:kern w:val="0"/>
                <w:sz w:val="22"/>
                <w:szCs w:val="22"/>
              </w:rPr>
              <w:t>10</w:t>
            </w:r>
          </w:p>
        </w:tc>
      </w:tr>
      <w:tr w14:paraId="1663D1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restart"/>
            <w:shd w:val="clear" w:color="auto" w:fill="FFFFFF"/>
            <w:vAlign w:val="center"/>
          </w:tcPr>
          <w:p w14:paraId="5D54FF35">
            <w:pPr>
              <w:widowControl/>
              <w:spacing w:line="0" w:lineRule="atLeast"/>
              <w:jc w:val="center"/>
              <w:rPr>
                <w:kern w:val="0"/>
                <w:sz w:val="22"/>
                <w:szCs w:val="22"/>
              </w:rPr>
            </w:pPr>
            <w:r>
              <w:rPr>
                <w:kern w:val="0"/>
                <w:sz w:val="22"/>
                <w:szCs w:val="22"/>
              </w:rPr>
              <w:t>效益　</w:t>
            </w:r>
          </w:p>
        </w:tc>
        <w:tc>
          <w:tcPr>
            <w:tcW w:w="990" w:type="dxa"/>
            <w:vMerge w:val="restart"/>
            <w:shd w:val="clear" w:color="auto" w:fill="FFFFFF"/>
            <w:vAlign w:val="center"/>
          </w:tcPr>
          <w:p w14:paraId="1673ADF9">
            <w:pPr>
              <w:widowControl/>
              <w:spacing w:line="0" w:lineRule="atLeast"/>
              <w:jc w:val="center"/>
              <w:rPr>
                <w:kern w:val="0"/>
                <w:sz w:val="22"/>
                <w:szCs w:val="22"/>
              </w:rPr>
            </w:pPr>
            <w:r>
              <w:rPr>
                <w:kern w:val="0"/>
                <w:sz w:val="22"/>
                <w:szCs w:val="22"/>
              </w:rPr>
              <w:t>20分</w:t>
            </w:r>
          </w:p>
        </w:tc>
        <w:tc>
          <w:tcPr>
            <w:tcW w:w="1283" w:type="dxa"/>
            <w:vMerge w:val="restart"/>
            <w:shd w:val="clear" w:color="auto" w:fill="FFFFFF"/>
            <w:vAlign w:val="center"/>
          </w:tcPr>
          <w:p w14:paraId="747B630E">
            <w:pPr>
              <w:widowControl/>
              <w:spacing w:line="0" w:lineRule="atLeast"/>
              <w:jc w:val="center"/>
              <w:rPr>
                <w:kern w:val="0"/>
                <w:sz w:val="22"/>
                <w:szCs w:val="22"/>
              </w:rPr>
            </w:pPr>
            <w:r>
              <w:rPr>
                <w:kern w:val="0"/>
                <w:sz w:val="22"/>
                <w:szCs w:val="22"/>
              </w:rPr>
              <w:t>项目效益　</w:t>
            </w:r>
          </w:p>
        </w:tc>
        <w:tc>
          <w:tcPr>
            <w:tcW w:w="1707" w:type="dxa"/>
            <w:shd w:val="clear" w:color="auto" w:fill="FFFFFF"/>
            <w:vAlign w:val="center"/>
          </w:tcPr>
          <w:p w14:paraId="32EAAF60">
            <w:pPr>
              <w:widowControl/>
              <w:spacing w:line="0" w:lineRule="atLeast"/>
              <w:jc w:val="center"/>
              <w:rPr>
                <w:kern w:val="0"/>
                <w:sz w:val="22"/>
                <w:szCs w:val="22"/>
              </w:rPr>
            </w:pPr>
            <w:r>
              <w:rPr>
                <w:kern w:val="0"/>
                <w:sz w:val="22"/>
                <w:szCs w:val="22"/>
              </w:rPr>
              <w:t>实施效益</w:t>
            </w:r>
          </w:p>
          <w:p w14:paraId="3856D0C9">
            <w:pPr>
              <w:widowControl/>
              <w:spacing w:line="0" w:lineRule="atLeast"/>
              <w:jc w:val="center"/>
              <w:rPr>
                <w:kern w:val="0"/>
                <w:sz w:val="22"/>
                <w:szCs w:val="22"/>
              </w:rPr>
            </w:pPr>
            <w:r>
              <w:rPr>
                <w:kern w:val="0"/>
                <w:sz w:val="22"/>
                <w:szCs w:val="22"/>
              </w:rPr>
              <w:t>（社会效益、经济效益、可持续效益）</w:t>
            </w:r>
          </w:p>
        </w:tc>
        <w:tc>
          <w:tcPr>
            <w:tcW w:w="727" w:type="dxa"/>
            <w:shd w:val="clear" w:color="auto" w:fill="FFFFFF"/>
            <w:vAlign w:val="center"/>
          </w:tcPr>
          <w:p w14:paraId="2C9E7C55">
            <w:pPr>
              <w:widowControl/>
              <w:spacing w:line="0" w:lineRule="atLeast"/>
              <w:jc w:val="center"/>
              <w:rPr>
                <w:kern w:val="0"/>
                <w:sz w:val="22"/>
                <w:szCs w:val="22"/>
              </w:rPr>
            </w:pPr>
            <w:r>
              <w:rPr>
                <w:kern w:val="0"/>
                <w:sz w:val="22"/>
                <w:szCs w:val="22"/>
              </w:rPr>
              <w:t>10</w:t>
            </w:r>
          </w:p>
        </w:tc>
        <w:tc>
          <w:tcPr>
            <w:tcW w:w="1044" w:type="dxa"/>
            <w:shd w:val="clear" w:color="auto" w:fill="FFFFFF"/>
            <w:vAlign w:val="center"/>
          </w:tcPr>
          <w:p w14:paraId="7D3EC779">
            <w:pPr>
              <w:widowControl/>
              <w:spacing w:line="0" w:lineRule="atLeast"/>
              <w:jc w:val="center"/>
              <w:rPr>
                <w:kern w:val="0"/>
                <w:sz w:val="22"/>
                <w:szCs w:val="22"/>
              </w:rPr>
            </w:pPr>
            <w:r>
              <w:rPr>
                <w:kern w:val="0"/>
                <w:sz w:val="22"/>
                <w:szCs w:val="22"/>
              </w:rPr>
              <w:t>有效</w:t>
            </w:r>
          </w:p>
        </w:tc>
        <w:tc>
          <w:tcPr>
            <w:tcW w:w="924" w:type="dxa"/>
            <w:shd w:val="clear" w:color="auto" w:fill="FFFFFF"/>
            <w:vAlign w:val="center"/>
          </w:tcPr>
          <w:p w14:paraId="4D27A563">
            <w:pPr>
              <w:widowControl/>
              <w:spacing w:line="0" w:lineRule="atLeast"/>
              <w:jc w:val="center"/>
              <w:rPr>
                <w:kern w:val="0"/>
                <w:sz w:val="22"/>
                <w:szCs w:val="22"/>
              </w:rPr>
            </w:pPr>
            <w:r>
              <w:rPr>
                <w:kern w:val="0"/>
                <w:sz w:val="22"/>
                <w:szCs w:val="22"/>
              </w:rPr>
              <w:t>有效</w:t>
            </w:r>
          </w:p>
        </w:tc>
        <w:tc>
          <w:tcPr>
            <w:tcW w:w="1215" w:type="dxa"/>
            <w:shd w:val="clear" w:color="auto" w:fill="FFFFFF"/>
            <w:vAlign w:val="center"/>
          </w:tcPr>
          <w:p w14:paraId="6B83A717">
            <w:pPr>
              <w:widowControl/>
              <w:spacing w:line="0" w:lineRule="atLeast"/>
              <w:jc w:val="center"/>
              <w:rPr>
                <w:kern w:val="0"/>
                <w:sz w:val="22"/>
                <w:szCs w:val="22"/>
              </w:rPr>
            </w:pPr>
            <w:r>
              <w:rPr>
                <w:rFonts w:hint="eastAsia"/>
                <w:kern w:val="0"/>
                <w:sz w:val="22"/>
                <w:szCs w:val="22"/>
              </w:rPr>
              <w:t>100</w:t>
            </w:r>
            <w:r>
              <w:rPr>
                <w:kern w:val="0"/>
                <w:sz w:val="22"/>
                <w:szCs w:val="22"/>
              </w:rPr>
              <w:t>%</w:t>
            </w:r>
          </w:p>
        </w:tc>
        <w:tc>
          <w:tcPr>
            <w:tcW w:w="960" w:type="dxa"/>
            <w:shd w:val="clear" w:color="auto" w:fill="FFFFFF"/>
            <w:vAlign w:val="center"/>
          </w:tcPr>
          <w:p w14:paraId="23528206">
            <w:pPr>
              <w:widowControl/>
              <w:spacing w:line="0" w:lineRule="atLeast"/>
              <w:jc w:val="center"/>
              <w:rPr>
                <w:kern w:val="0"/>
                <w:sz w:val="22"/>
                <w:szCs w:val="22"/>
              </w:rPr>
            </w:pPr>
            <w:r>
              <w:rPr>
                <w:rFonts w:hint="eastAsia"/>
                <w:kern w:val="0"/>
                <w:sz w:val="22"/>
                <w:szCs w:val="22"/>
              </w:rPr>
              <w:t>10</w:t>
            </w:r>
          </w:p>
        </w:tc>
      </w:tr>
      <w:tr w14:paraId="7D57B3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67" w:hRule="atLeast"/>
        </w:trPr>
        <w:tc>
          <w:tcPr>
            <w:tcW w:w="1104" w:type="dxa"/>
            <w:vMerge w:val="continue"/>
            <w:shd w:val="clear" w:color="auto" w:fill="FFFFFF"/>
            <w:vAlign w:val="center"/>
          </w:tcPr>
          <w:p w14:paraId="0121AC40">
            <w:pPr>
              <w:widowControl/>
              <w:spacing w:line="0" w:lineRule="atLeast"/>
              <w:jc w:val="center"/>
              <w:rPr>
                <w:kern w:val="0"/>
                <w:sz w:val="22"/>
                <w:szCs w:val="22"/>
              </w:rPr>
            </w:pPr>
          </w:p>
        </w:tc>
        <w:tc>
          <w:tcPr>
            <w:tcW w:w="990" w:type="dxa"/>
            <w:vMerge w:val="continue"/>
            <w:shd w:val="clear" w:color="auto" w:fill="FFFFFF"/>
            <w:vAlign w:val="center"/>
          </w:tcPr>
          <w:p w14:paraId="30E57420">
            <w:pPr>
              <w:widowControl/>
              <w:spacing w:line="0" w:lineRule="atLeast"/>
              <w:jc w:val="center"/>
              <w:rPr>
                <w:kern w:val="0"/>
                <w:sz w:val="22"/>
                <w:szCs w:val="22"/>
              </w:rPr>
            </w:pPr>
          </w:p>
        </w:tc>
        <w:tc>
          <w:tcPr>
            <w:tcW w:w="1283" w:type="dxa"/>
            <w:vMerge w:val="continue"/>
            <w:shd w:val="clear" w:color="auto" w:fill="FFFFFF"/>
            <w:vAlign w:val="center"/>
          </w:tcPr>
          <w:p w14:paraId="50C0861A">
            <w:pPr>
              <w:widowControl/>
              <w:spacing w:line="0" w:lineRule="atLeast"/>
              <w:jc w:val="center"/>
              <w:rPr>
                <w:kern w:val="0"/>
                <w:sz w:val="22"/>
                <w:szCs w:val="22"/>
              </w:rPr>
            </w:pPr>
          </w:p>
        </w:tc>
        <w:tc>
          <w:tcPr>
            <w:tcW w:w="1707" w:type="dxa"/>
            <w:shd w:val="clear" w:color="auto" w:fill="FFFFFF"/>
            <w:vAlign w:val="center"/>
          </w:tcPr>
          <w:p w14:paraId="53CF6CC5">
            <w:pPr>
              <w:widowControl/>
              <w:spacing w:line="0" w:lineRule="atLeast"/>
              <w:jc w:val="center"/>
              <w:rPr>
                <w:kern w:val="0"/>
                <w:sz w:val="22"/>
                <w:szCs w:val="22"/>
              </w:rPr>
            </w:pPr>
            <w:r>
              <w:rPr>
                <w:kern w:val="0"/>
                <w:sz w:val="22"/>
                <w:szCs w:val="22"/>
              </w:rPr>
              <w:t>满意度</w:t>
            </w:r>
          </w:p>
        </w:tc>
        <w:tc>
          <w:tcPr>
            <w:tcW w:w="727" w:type="dxa"/>
            <w:shd w:val="clear" w:color="000000" w:fill="FFFFFF"/>
            <w:vAlign w:val="center"/>
          </w:tcPr>
          <w:p w14:paraId="62242EA8">
            <w:pPr>
              <w:widowControl/>
              <w:spacing w:line="0" w:lineRule="atLeast"/>
              <w:jc w:val="center"/>
              <w:rPr>
                <w:kern w:val="0"/>
                <w:sz w:val="22"/>
                <w:szCs w:val="22"/>
              </w:rPr>
            </w:pPr>
            <w:r>
              <w:rPr>
                <w:kern w:val="0"/>
                <w:sz w:val="22"/>
                <w:szCs w:val="22"/>
              </w:rPr>
              <w:t>10</w:t>
            </w:r>
          </w:p>
        </w:tc>
        <w:tc>
          <w:tcPr>
            <w:tcW w:w="1044" w:type="dxa"/>
            <w:shd w:val="clear" w:color="000000" w:fill="FFFFFF"/>
            <w:vAlign w:val="center"/>
          </w:tcPr>
          <w:p w14:paraId="6930F54D">
            <w:pPr>
              <w:widowControl/>
              <w:spacing w:line="0" w:lineRule="atLeast"/>
              <w:jc w:val="center"/>
              <w:rPr>
                <w:kern w:val="0"/>
                <w:sz w:val="22"/>
                <w:szCs w:val="22"/>
              </w:rPr>
            </w:pPr>
            <w:r>
              <w:rPr>
                <w:kern w:val="0"/>
                <w:sz w:val="22"/>
                <w:szCs w:val="22"/>
              </w:rPr>
              <w:t>≥</w:t>
            </w:r>
            <w:r>
              <w:rPr>
                <w:rFonts w:hint="eastAsia"/>
                <w:kern w:val="0"/>
                <w:sz w:val="22"/>
                <w:szCs w:val="22"/>
              </w:rPr>
              <w:t>90</w:t>
            </w:r>
            <w:r>
              <w:rPr>
                <w:kern w:val="0"/>
                <w:sz w:val="22"/>
                <w:szCs w:val="22"/>
              </w:rPr>
              <w:t>%</w:t>
            </w:r>
          </w:p>
        </w:tc>
        <w:tc>
          <w:tcPr>
            <w:tcW w:w="924" w:type="dxa"/>
            <w:shd w:val="clear" w:color="000000" w:fill="FFFFFF"/>
            <w:vAlign w:val="center"/>
          </w:tcPr>
          <w:p w14:paraId="7FDF731E">
            <w:pPr>
              <w:widowControl/>
              <w:spacing w:line="0" w:lineRule="atLeast"/>
              <w:jc w:val="center"/>
              <w:rPr>
                <w:kern w:val="0"/>
                <w:sz w:val="22"/>
                <w:szCs w:val="22"/>
              </w:rPr>
            </w:pPr>
            <w:r>
              <w:rPr>
                <w:rFonts w:hint="eastAsia"/>
                <w:kern w:val="0"/>
                <w:sz w:val="22"/>
                <w:szCs w:val="22"/>
              </w:rPr>
              <w:t>80.56</w:t>
            </w:r>
            <w:r>
              <w:rPr>
                <w:kern w:val="0"/>
                <w:sz w:val="22"/>
                <w:szCs w:val="22"/>
              </w:rPr>
              <w:t>%</w:t>
            </w:r>
          </w:p>
        </w:tc>
        <w:tc>
          <w:tcPr>
            <w:tcW w:w="1215" w:type="dxa"/>
            <w:shd w:val="clear" w:color="000000" w:fill="FFFFFF"/>
            <w:vAlign w:val="center"/>
          </w:tcPr>
          <w:p w14:paraId="5A1FDCB5">
            <w:pPr>
              <w:widowControl/>
              <w:spacing w:line="0" w:lineRule="atLeast"/>
              <w:jc w:val="center"/>
              <w:rPr>
                <w:kern w:val="0"/>
                <w:sz w:val="22"/>
                <w:szCs w:val="22"/>
              </w:rPr>
            </w:pPr>
            <w:r>
              <w:rPr>
                <w:rFonts w:hint="eastAsia"/>
                <w:kern w:val="0"/>
                <w:sz w:val="22"/>
                <w:szCs w:val="22"/>
              </w:rPr>
              <w:t>89.51%</w:t>
            </w:r>
          </w:p>
        </w:tc>
        <w:tc>
          <w:tcPr>
            <w:tcW w:w="960" w:type="dxa"/>
            <w:shd w:val="clear" w:color="000000" w:fill="FFFFFF"/>
            <w:vAlign w:val="center"/>
          </w:tcPr>
          <w:p w14:paraId="1DDE84D6">
            <w:pPr>
              <w:widowControl/>
              <w:spacing w:line="0" w:lineRule="atLeast"/>
              <w:jc w:val="center"/>
              <w:rPr>
                <w:kern w:val="0"/>
                <w:sz w:val="22"/>
                <w:szCs w:val="22"/>
              </w:rPr>
            </w:pPr>
            <w:r>
              <w:rPr>
                <w:rFonts w:hint="eastAsia"/>
                <w:kern w:val="0"/>
                <w:sz w:val="22"/>
                <w:szCs w:val="22"/>
              </w:rPr>
              <w:t>8.95</w:t>
            </w:r>
          </w:p>
        </w:tc>
      </w:tr>
    </w:tbl>
    <w:p w14:paraId="50188306">
      <w:pPr>
        <w:spacing w:line="560" w:lineRule="exact"/>
        <w:ind w:firstLine="640" w:firstLineChars="200"/>
        <w:rPr>
          <w:rFonts w:eastAsia="黑体"/>
          <w:sz w:val="32"/>
          <w:szCs w:val="32"/>
        </w:rPr>
      </w:pPr>
      <w:r>
        <w:rPr>
          <w:rFonts w:eastAsia="黑体"/>
          <w:sz w:val="32"/>
          <w:szCs w:val="32"/>
        </w:rPr>
        <w:t>四、绩效评价指标分析</w:t>
      </w:r>
    </w:p>
    <w:p w14:paraId="2F81663D">
      <w:pPr>
        <w:pStyle w:val="9"/>
        <w:spacing w:before="0" w:after="0" w:line="560" w:lineRule="exact"/>
        <w:ind w:firstLine="643" w:firstLineChars="200"/>
        <w:jc w:val="both"/>
        <w:rPr>
          <w:rFonts w:ascii="Times New Roman" w:hAnsi="Times New Roman" w:eastAsia="楷体_GB2312"/>
        </w:rPr>
      </w:pPr>
      <w:r>
        <w:rPr>
          <w:rFonts w:ascii="Times New Roman" w:hAnsi="Times New Roman" w:eastAsia="楷体_GB2312"/>
        </w:rPr>
        <w:t>（一）项目决策情况</w:t>
      </w:r>
    </w:p>
    <w:p w14:paraId="05690992">
      <w:pPr>
        <w:spacing w:line="360" w:lineRule="auto"/>
        <w:ind w:firstLine="684" w:firstLineChars="213"/>
        <w:rPr>
          <w:rFonts w:ascii="仿宋_GB2312" w:hAnsi="仿宋_GB2312" w:eastAsia="仿宋_GB2312" w:cs="仿宋_GB2312"/>
          <w:b/>
          <w:sz w:val="32"/>
          <w:szCs w:val="32"/>
        </w:rPr>
      </w:pPr>
      <w:r>
        <w:rPr>
          <w:rFonts w:hint="eastAsia" w:ascii="仿宋_GB2312" w:hAnsi="仿宋_GB2312" w:eastAsia="仿宋_GB2312" w:cs="仿宋_GB2312"/>
          <w:b/>
          <w:sz w:val="32"/>
          <w:szCs w:val="32"/>
        </w:rPr>
        <w:t>1、立项依据充分性</w:t>
      </w:r>
    </w:p>
    <w:p w14:paraId="29437707">
      <w:pPr>
        <w:pStyle w:val="21"/>
        <w:spacing w:line="560" w:lineRule="exact"/>
        <w:ind w:firstLine="64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新疆维吾尔自治区第四人民医院由原志愿军511医院发展而来，历经新疆七一纺织职工医院、新疆纺织职工医院、新疆纺织医院，2003年更名为新疆维吾尔自治区第一济困医院，纳入自治区卫生健康委管理；2019年9月，经批准医院加挂“新疆维吾尔自治区第四人民医院”牌子；2021年1月，自治区卫生健康委员会批准我院规划建设为三级康复医院。经过 60多年发展变迁，目前医院已成为一所集济困、医疗、康复、教学、保健及社区卫生服务于一体的公益性国家二级甲等综合医院，力争在“十四五”期间，建成以养老为依托，以“康养”为特色，突出中医养生，康复指导全程的“大专科、强综合”的三级专科医院。是自治区、乌鲁木齐市和兵团职工、居民、低保的基本医疗保险、生育保险、工伤保险、商业保险及乌鲁木齐市长期护理保险定点医疗机构。医院为自治区人民医院协作医院，已加入自治区人民医院医疗联合体，同时分别与自治区人民医院急危重症、风湿免疫、神经内、呼吸、消化、眼科、乳腺甲状腺、放射专业与新疆医科大学第一附属医院高血压、房颤、肾病、糖尿病专业，新疆医科大学附属肿瘤医院肿瘤防治专业，自治区儿童医院，乌鲁木齐市第四人民医院等15个专业建立专科联盟，全面开通了与疆内外三甲医院之间的远程会诊、进修学习等技术指导和学术交流通道。</w:t>
      </w:r>
    </w:p>
    <w:p w14:paraId="70248512">
      <w:pPr>
        <w:spacing w:line="360" w:lineRule="auto"/>
        <w:ind w:firstLine="640" w:firstLineChars="200"/>
        <w:rPr>
          <w:rFonts w:eastAsia="仿宋_GB2312"/>
          <w:sz w:val="30"/>
        </w:rPr>
      </w:pPr>
      <w:r>
        <w:rPr>
          <w:rFonts w:hint="eastAsia" w:ascii="仿宋_GB2312" w:hAnsi="仿宋_GB2312" w:eastAsia="仿宋_GB2312" w:cs="仿宋_GB2312"/>
          <w:bCs/>
          <w:sz w:val="32"/>
          <w:szCs w:val="32"/>
        </w:rPr>
        <w:t>我院在严格遵守《预算法》等法律法规和政策文件的基础上，科学编制2023年度事业支出项目预算并获得财政批复，严格按照经批复的预算开展预算执行工作，对医院各项业务正常运行和患者诊疗救治起到良好支撑作用。</w:t>
      </w:r>
    </w:p>
    <w:p w14:paraId="3E70994F">
      <w:pPr>
        <w:spacing w:line="360" w:lineRule="auto"/>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2、立项程序规范性</w:t>
      </w:r>
    </w:p>
    <w:p w14:paraId="1F185D9A">
      <w:pPr>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该项目属于历史性延续项目，每年均按照财政规定的程序申请设立，经历一体化平台项目库申报-预算编制-编制批复流程，属于规范项目，符合项目规范立项要求。</w:t>
      </w:r>
    </w:p>
    <w:p w14:paraId="76C4C7D2">
      <w:pPr>
        <w:spacing w:line="360" w:lineRule="auto"/>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3、绩效目标合理性</w:t>
      </w:r>
    </w:p>
    <w:p w14:paraId="5FAF700F">
      <w:pPr>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2023年医院事业支出项目设立了项目绩效目标，与事业支出实际工作具有相关性，项目的预期产出效益和效果也均能符合正常的业绩水平，并且与预算确定的项目资金量相匹配。</w:t>
      </w:r>
    </w:p>
    <w:p w14:paraId="2301FDA7">
      <w:pPr>
        <w:spacing w:line="360" w:lineRule="auto"/>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4、绩效指标明确性</w:t>
      </w:r>
    </w:p>
    <w:p w14:paraId="392DD32E">
      <w:pPr>
        <w:spacing w:line="360" w:lineRule="auto"/>
        <w:ind w:firstLine="640" w:firstLineChars="200"/>
        <w:rPr>
          <w:rFonts w:ascii="仿宋_GB2312" w:hAnsi="仿宋_GB2312" w:eastAsia="仿宋_GB2312" w:cs="仿宋_GB2312"/>
          <w:bCs/>
          <w:sz w:val="32"/>
          <w:szCs w:val="32"/>
        </w:rPr>
      </w:pPr>
      <w:bookmarkStart w:id="7" w:name="_Hlk68699917"/>
      <w:r>
        <w:rPr>
          <w:rFonts w:hint="eastAsia" w:ascii="仿宋_GB2312" w:hAnsi="仿宋_GB2312" w:eastAsia="仿宋_GB2312" w:cs="仿宋_GB2312"/>
          <w:bCs/>
          <w:sz w:val="32"/>
          <w:szCs w:val="32"/>
        </w:rPr>
        <w:t>2023年医院事业支出项目将项目绩效目标细化分解为具体的绩效指标，一级指标共4条，二级指标共6条，三级指标共13条，其中量化指标条数共13条，所有绩效指标均通过清晰、可衡量的指标值予以体现，并且做到了与项目目标任务数、计划数相对应。</w:t>
      </w:r>
      <w:bookmarkEnd w:id="7"/>
    </w:p>
    <w:p w14:paraId="0225EBE4">
      <w:pPr>
        <w:spacing w:line="360" w:lineRule="auto"/>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5、预算编制科学性</w:t>
      </w:r>
    </w:p>
    <w:p w14:paraId="3EE67D61">
      <w:pPr>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2023年医院事业支出项目经过医院预算委员会讨论并同意，预算内容与事业支出内容匹配，预算额度测算依据充分，均按照医院实际支出标准编制，预算确定的资金量与工作任务相匹配。</w:t>
      </w:r>
    </w:p>
    <w:p w14:paraId="7A148A48">
      <w:pPr>
        <w:spacing w:line="360" w:lineRule="auto"/>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6、资金分配合理性</w:t>
      </w:r>
    </w:p>
    <w:p w14:paraId="520B98CD">
      <w:pPr>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2023年医院事业支出项目预算资金分配依据充分，为医院实际支出需要的资金，资金分配额度合理，充分考虑了医院实际收支状况，与项目单位实际相适应。</w:t>
      </w:r>
    </w:p>
    <w:p w14:paraId="73A739BA">
      <w:pPr>
        <w:pStyle w:val="9"/>
        <w:numPr>
          <w:ilvl w:val="0"/>
          <w:numId w:val="6"/>
        </w:numPr>
        <w:spacing w:before="0" w:after="0" w:line="560" w:lineRule="exact"/>
        <w:ind w:firstLine="643" w:firstLineChars="200"/>
        <w:jc w:val="both"/>
        <w:rPr>
          <w:rFonts w:ascii="楷体" w:hAnsi="楷体" w:eastAsia="楷体" w:cs="楷体"/>
        </w:rPr>
      </w:pPr>
      <w:r>
        <w:rPr>
          <w:rFonts w:hint="eastAsia" w:ascii="楷体" w:hAnsi="楷体" w:eastAsia="楷体" w:cs="楷体"/>
        </w:rPr>
        <w:t>项目过程情况</w:t>
      </w:r>
    </w:p>
    <w:p w14:paraId="067CACD0">
      <w:pPr>
        <w:spacing w:line="360" w:lineRule="auto"/>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1、资金到位率</w:t>
      </w:r>
    </w:p>
    <w:p w14:paraId="7AA77E55">
      <w:pPr>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实际到位资金6,964.52万元，预算资金6,964.52万元，资金到位率100%。</w:t>
      </w:r>
    </w:p>
    <w:p w14:paraId="4A07E665">
      <w:pPr>
        <w:spacing w:line="360" w:lineRule="auto"/>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2、预算执行率</w:t>
      </w:r>
    </w:p>
    <w:p w14:paraId="07D0D4D3">
      <w:pPr>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年初预算数6,221.79万元，全年预算数6,221.79万元，全年执行数6,964.52万元，预算执行率为111.94%。</w:t>
      </w:r>
    </w:p>
    <w:p w14:paraId="51AE4BAA">
      <w:pPr>
        <w:spacing w:line="360" w:lineRule="auto"/>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3、资金使用合规性</w:t>
      </w:r>
    </w:p>
    <w:p w14:paraId="029B2F06">
      <w:pPr>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2023年医院事业支出项目资金符合国家财经法规和财务管理制度以及有关专项资金管理办法的规定；资金的拨付均有完整的审批程序和手续，所有支出均需要有预算申请单和支出审批单，并按照内控制度，严格落实资金支付分层审批要求，做到了合规性与便捷性结合；资金支出均符合项目预算批复与合同规定的用途；不存在截留、挤占、挪用、虚列支出等情况。</w:t>
      </w:r>
    </w:p>
    <w:p w14:paraId="6E66DF2E">
      <w:pPr>
        <w:spacing w:line="360" w:lineRule="auto"/>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4、管理制度健全性</w:t>
      </w:r>
    </w:p>
    <w:p w14:paraId="08D2AAA5">
      <w:pPr>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我单位已制定符合医院实际情况的财务和业务管理制度并成文成册；财务和业务管理制度合法、合规、完整。</w:t>
      </w:r>
    </w:p>
    <w:p w14:paraId="2745E81E">
      <w:pPr>
        <w:spacing w:line="360" w:lineRule="auto"/>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5、制度执行有效性</w:t>
      </w:r>
    </w:p>
    <w:p w14:paraId="30623AC6">
      <w:pPr>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2023年医院事业支出项目均遵守相关法律法规和相关管理规定，年中项目无调整预算行为，资金支出手续均完备；医院事业支出项目实施的人员条件、场地设备、信息支撑等均到位。</w:t>
      </w:r>
    </w:p>
    <w:p w14:paraId="03C4562E">
      <w:pPr>
        <w:pStyle w:val="10"/>
        <w:numPr>
          <w:ilvl w:val="0"/>
          <w:numId w:val="6"/>
        </w:numPr>
        <w:spacing w:line="560" w:lineRule="exact"/>
        <w:ind w:firstLine="641"/>
        <w:rPr>
          <w:rFonts w:eastAsia="楷体_GB2312"/>
          <w:b/>
          <w:bCs/>
          <w:sz w:val="32"/>
          <w:szCs w:val="32"/>
        </w:rPr>
      </w:pPr>
      <w:r>
        <w:rPr>
          <w:rFonts w:eastAsia="楷体_GB2312"/>
          <w:b/>
          <w:bCs/>
          <w:sz w:val="32"/>
          <w:szCs w:val="32"/>
        </w:rPr>
        <w:t>项目产出</w:t>
      </w:r>
    </w:p>
    <w:p w14:paraId="198207E1">
      <w:pPr>
        <w:snapToGrid w:val="0"/>
        <w:spacing w:line="560" w:lineRule="exact"/>
        <w:ind w:firstLine="627" w:firstLineChars="200"/>
        <w:rPr>
          <w:rStyle w:val="14"/>
          <w:rFonts w:eastAsia="仿宋_GB2312"/>
          <w:bCs w:val="0"/>
          <w:spacing w:val="-4"/>
          <w:sz w:val="32"/>
          <w:szCs w:val="32"/>
        </w:rPr>
      </w:pPr>
      <w:r>
        <w:rPr>
          <w:rStyle w:val="14"/>
          <w:rFonts w:eastAsia="仿宋_GB2312"/>
          <w:bCs w:val="0"/>
          <w:spacing w:val="-4"/>
          <w:sz w:val="32"/>
          <w:szCs w:val="32"/>
        </w:rPr>
        <w:t>数量指标方面：</w:t>
      </w:r>
    </w:p>
    <w:p w14:paraId="2BC00CB8">
      <w:pPr>
        <w:snapToGrid w:val="0"/>
        <w:spacing w:line="560" w:lineRule="exact"/>
        <w:ind w:firstLine="624" w:firstLineChars="200"/>
        <w:rPr>
          <w:rStyle w:val="14"/>
          <w:rFonts w:eastAsia="仿宋_GB2312"/>
          <w:b w:val="0"/>
          <w:spacing w:val="-4"/>
          <w:sz w:val="32"/>
          <w:szCs w:val="32"/>
        </w:rPr>
      </w:pPr>
      <w:r>
        <w:rPr>
          <w:rStyle w:val="14"/>
          <w:rFonts w:eastAsia="仿宋_GB2312"/>
          <w:b w:val="0"/>
          <w:spacing w:val="-4"/>
          <w:sz w:val="32"/>
          <w:szCs w:val="32"/>
        </w:rPr>
        <w:t>指标1：</w:t>
      </w:r>
      <w:r>
        <w:rPr>
          <w:rStyle w:val="14"/>
          <w:rFonts w:hint="eastAsia" w:eastAsia="仿宋_GB2312"/>
          <w:b w:val="0"/>
          <w:spacing w:val="-4"/>
          <w:sz w:val="32"/>
          <w:szCs w:val="32"/>
        </w:rPr>
        <w:t>保障车辆运行数量</w:t>
      </w:r>
      <w:r>
        <w:rPr>
          <w:rStyle w:val="14"/>
          <w:rFonts w:eastAsia="仿宋_GB2312"/>
          <w:b w:val="0"/>
          <w:spacing w:val="-4"/>
          <w:sz w:val="32"/>
          <w:szCs w:val="32"/>
        </w:rPr>
        <w:t>，指标值</w:t>
      </w:r>
      <w:r>
        <w:rPr>
          <w:rStyle w:val="14"/>
          <w:rFonts w:hint="eastAsia" w:eastAsia="仿宋_GB2312"/>
          <w:b w:val="0"/>
          <w:spacing w:val="-4"/>
          <w:sz w:val="32"/>
          <w:szCs w:val="32"/>
          <w:lang w:eastAsia="zh-CN"/>
        </w:rPr>
        <w:t>：</w:t>
      </w:r>
      <w:r>
        <w:rPr>
          <w:rStyle w:val="14"/>
          <w:rFonts w:hint="eastAsia" w:eastAsia="仿宋_GB2312"/>
          <w:b w:val="0"/>
          <w:spacing w:val="-4"/>
          <w:sz w:val="32"/>
          <w:szCs w:val="32"/>
        </w:rPr>
        <w:t>=13辆</w:t>
      </w:r>
      <w:r>
        <w:rPr>
          <w:rStyle w:val="14"/>
          <w:rFonts w:eastAsia="仿宋_GB2312"/>
          <w:b w:val="0"/>
          <w:spacing w:val="-4"/>
          <w:sz w:val="32"/>
          <w:szCs w:val="32"/>
        </w:rPr>
        <w:t>，实际完成值：</w:t>
      </w:r>
      <w:r>
        <w:rPr>
          <w:rStyle w:val="14"/>
          <w:rFonts w:hint="eastAsia" w:ascii="宋体" w:hAnsi="宋体" w:cs="宋体"/>
          <w:b w:val="0"/>
          <w:spacing w:val="-4"/>
          <w:sz w:val="32"/>
          <w:szCs w:val="32"/>
        </w:rPr>
        <w:t>=</w:t>
      </w:r>
      <w:r>
        <w:rPr>
          <w:rStyle w:val="14"/>
          <w:rFonts w:hint="eastAsia" w:eastAsia="仿宋_GB2312"/>
          <w:b w:val="0"/>
          <w:spacing w:val="-4"/>
          <w:sz w:val="32"/>
          <w:szCs w:val="32"/>
        </w:rPr>
        <w:t>13辆</w:t>
      </w:r>
      <w:r>
        <w:rPr>
          <w:rStyle w:val="14"/>
          <w:rFonts w:eastAsia="仿宋_GB2312"/>
          <w:b w:val="0"/>
          <w:spacing w:val="-4"/>
          <w:sz w:val="32"/>
          <w:szCs w:val="32"/>
        </w:rPr>
        <w:t>，指标完成率</w:t>
      </w:r>
      <w:r>
        <w:rPr>
          <w:rStyle w:val="14"/>
          <w:rFonts w:hint="eastAsia" w:eastAsia="仿宋_GB2312"/>
          <w:b w:val="0"/>
          <w:spacing w:val="-4"/>
          <w:sz w:val="32"/>
          <w:szCs w:val="32"/>
        </w:rPr>
        <w:t>100</w:t>
      </w:r>
      <w:r>
        <w:rPr>
          <w:rStyle w:val="14"/>
          <w:rFonts w:eastAsia="仿宋_GB2312"/>
          <w:b w:val="0"/>
          <w:spacing w:val="-4"/>
          <w:sz w:val="32"/>
          <w:szCs w:val="32"/>
        </w:rPr>
        <w:t>%</w:t>
      </w:r>
      <w:r>
        <w:rPr>
          <w:rStyle w:val="14"/>
          <w:rFonts w:hint="eastAsia" w:eastAsia="仿宋_GB2312"/>
          <w:b w:val="0"/>
          <w:spacing w:val="-4"/>
          <w:sz w:val="32"/>
          <w:szCs w:val="32"/>
        </w:rPr>
        <w:t>；</w:t>
      </w:r>
    </w:p>
    <w:p w14:paraId="4960B255">
      <w:pPr>
        <w:spacing w:line="560" w:lineRule="exact"/>
        <w:ind w:firstLine="624" w:firstLineChars="200"/>
        <w:rPr>
          <w:rStyle w:val="14"/>
          <w:rFonts w:eastAsia="仿宋_GB2312"/>
          <w:b w:val="0"/>
          <w:spacing w:val="-4"/>
          <w:sz w:val="32"/>
          <w:szCs w:val="32"/>
        </w:rPr>
      </w:pPr>
      <w:r>
        <w:rPr>
          <w:rStyle w:val="14"/>
          <w:rFonts w:eastAsia="仿宋_GB2312"/>
          <w:b w:val="0"/>
          <w:spacing w:val="-4"/>
          <w:sz w:val="32"/>
          <w:szCs w:val="32"/>
        </w:rPr>
        <w:t>指标</w:t>
      </w:r>
      <w:r>
        <w:rPr>
          <w:rStyle w:val="14"/>
          <w:rFonts w:hint="eastAsia" w:eastAsia="仿宋_GB2312"/>
          <w:b w:val="0"/>
          <w:spacing w:val="-4"/>
          <w:sz w:val="32"/>
          <w:szCs w:val="32"/>
        </w:rPr>
        <w:t>2</w:t>
      </w:r>
      <w:r>
        <w:rPr>
          <w:rStyle w:val="14"/>
          <w:rFonts w:eastAsia="仿宋_GB2312"/>
          <w:b w:val="0"/>
          <w:spacing w:val="-4"/>
          <w:sz w:val="32"/>
          <w:szCs w:val="32"/>
        </w:rPr>
        <w:t>：</w:t>
      </w:r>
      <w:r>
        <w:rPr>
          <w:rStyle w:val="14"/>
          <w:rFonts w:hint="eastAsia" w:eastAsia="仿宋_GB2312"/>
          <w:b w:val="0"/>
          <w:spacing w:val="-4"/>
          <w:sz w:val="32"/>
          <w:szCs w:val="32"/>
        </w:rPr>
        <w:t>公立医院医疗服务收入（不含药品、耗材、检查、化验收入）占医疗收入的比例</w:t>
      </w:r>
      <w:r>
        <w:rPr>
          <w:rStyle w:val="14"/>
          <w:rFonts w:eastAsia="仿宋_GB2312"/>
          <w:b w:val="0"/>
          <w:spacing w:val="-4"/>
          <w:sz w:val="32"/>
          <w:szCs w:val="32"/>
        </w:rPr>
        <w:t>，指标值</w:t>
      </w:r>
      <w:r>
        <w:rPr>
          <w:rStyle w:val="14"/>
          <w:rFonts w:hint="eastAsia" w:eastAsia="仿宋_GB2312"/>
          <w:b w:val="0"/>
          <w:spacing w:val="-4"/>
          <w:sz w:val="32"/>
          <w:szCs w:val="32"/>
          <w:lang w:eastAsia="zh-CN"/>
        </w:rPr>
        <w:t>：</w:t>
      </w:r>
      <w:r>
        <w:rPr>
          <w:rStyle w:val="14"/>
          <w:rFonts w:hint="eastAsia" w:eastAsia="仿宋_GB2312"/>
          <w:b w:val="0"/>
          <w:spacing w:val="-4"/>
          <w:sz w:val="32"/>
          <w:szCs w:val="32"/>
        </w:rPr>
        <w:t>=30%</w:t>
      </w:r>
      <w:r>
        <w:rPr>
          <w:rStyle w:val="14"/>
          <w:rFonts w:eastAsia="仿宋_GB2312"/>
          <w:b w:val="0"/>
          <w:spacing w:val="-4"/>
          <w:sz w:val="32"/>
          <w:szCs w:val="32"/>
        </w:rPr>
        <w:t>，实际完成值：</w:t>
      </w:r>
      <w:r>
        <w:rPr>
          <w:rStyle w:val="14"/>
          <w:rFonts w:hint="eastAsia" w:eastAsia="仿宋_GB2312"/>
          <w:b w:val="0"/>
          <w:spacing w:val="-4"/>
          <w:sz w:val="32"/>
          <w:szCs w:val="32"/>
        </w:rPr>
        <w:t>=36.19%</w:t>
      </w:r>
      <w:r>
        <w:rPr>
          <w:rStyle w:val="14"/>
          <w:rFonts w:eastAsia="仿宋_GB2312"/>
          <w:b w:val="0"/>
          <w:spacing w:val="-4"/>
          <w:sz w:val="32"/>
          <w:szCs w:val="32"/>
        </w:rPr>
        <w:t>，指标完成率</w:t>
      </w:r>
      <w:r>
        <w:rPr>
          <w:rStyle w:val="14"/>
          <w:rFonts w:hint="eastAsia" w:eastAsia="仿宋_GB2312"/>
          <w:b w:val="0"/>
          <w:spacing w:val="-4"/>
          <w:sz w:val="32"/>
          <w:szCs w:val="32"/>
        </w:rPr>
        <w:t>100</w:t>
      </w:r>
      <w:r>
        <w:rPr>
          <w:rStyle w:val="14"/>
          <w:rFonts w:eastAsia="仿宋_GB2312"/>
          <w:b w:val="0"/>
          <w:spacing w:val="-4"/>
          <w:sz w:val="32"/>
          <w:szCs w:val="32"/>
        </w:rPr>
        <w:t>%；</w:t>
      </w:r>
    </w:p>
    <w:p w14:paraId="38E0ECBE">
      <w:pPr>
        <w:spacing w:line="560" w:lineRule="exact"/>
        <w:ind w:firstLine="624" w:firstLineChars="200"/>
        <w:rPr>
          <w:rStyle w:val="14"/>
          <w:rFonts w:eastAsia="仿宋_GB2312"/>
          <w:b w:val="0"/>
          <w:spacing w:val="-4"/>
          <w:sz w:val="32"/>
          <w:szCs w:val="32"/>
        </w:rPr>
      </w:pPr>
      <w:r>
        <w:rPr>
          <w:rStyle w:val="14"/>
          <w:rFonts w:eastAsia="仿宋_GB2312"/>
          <w:b w:val="0"/>
          <w:spacing w:val="-4"/>
          <w:sz w:val="32"/>
          <w:szCs w:val="32"/>
        </w:rPr>
        <w:t>指标</w:t>
      </w:r>
      <w:r>
        <w:rPr>
          <w:rStyle w:val="14"/>
          <w:rFonts w:hint="eastAsia" w:eastAsia="仿宋_GB2312"/>
          <w:b w:val="0"/>
          <w:spacing w:val="-4"/>
          <w:sz w:val="32"/>
          <w:szCs w:val="32"/>
        </w:rPr>
        <w:t>3</w:t>
      </w:r>
      <w:r>
        <w:rPr>
          <w:rStyle w:val="14"/>
          <w:rFonts w:eastAsia="仿宋_GB2312"/>
          <w:b w:val="0"/>
          <w:spacing w:val="-4"/>
          <w:sz w:val="32"/>
          <w:szCs w:val="32"/>
        </w:rPr>
        <w:t>：</w:t>
      </w:r>
      <w:r>
        <w:rPr>
          <w:rStyle w:val="14"/>
          <w:rFonts w:hint="eastAsia" w:eastAsia="仿宋_GB2312"/>
          <w:b w:val="0"/>
          <w:spacing w:val="-4"/>
          <w:sz w:val="32"/>
          <w:szCs w:val="32"/>
        </w:rPr>
        <w:t>公立医院资产负债率</w:t>
      </w:r>
      <w:r>
        <w:rPr>
          <w:rStyle w:val="14"/>
          <w:rFonts w:eastAsia="仿宋_GB2312"/>
          <w:b w:val="0"/>
          <w:spacing w:val="-4"/>
          <w:sz w:val="32"/>
          <w:szCs w:val="32"/>
        </w:rPr>
        <w:t>，指标值：</w:t>
      </w:r>
      <w:r>
        <w:rPr>
          <w:rStyle w:val="14"/>
          <w:rFonts w:hint="eastAsia" w:eastAsia="仿宋_GB2312"/>
          <w:b w:val="0"/>
          <w:spacing w:val="-4"/>
          <w:sz w:val="32"/>
          <w:szCs w:val="32"/>
          <w:lang w:eastAsia="zh-CN"/>
        </w:rPr>
        <w:t>〈</w:t>
      </w:r>
      <w:r>
        <w:rPr>
          <w:rStyle w:val="14"/>
          <w:rFonts w:hint="eastAsia" w:eastAsia="仿宋_GB2312"/>
          <w:b w:val="0"/>
          <w:spacing w:val="-4"/>
          <w:sz w:val="32"/>
          <w:szCs w:val="32"/>
        </w:rPr>
        <w:t>=60%</w:t>
      </w:r>
      <w:r>
        <w:rPr>
          <w:rStyle w:val="14"/>
          <w:rFonts w:eastAsia="仿宋_GB2312"/>
          <w:b w:val="0"/>
          <w:spacing w:val="-4"/>
          <w:sz w:val="32"/>
          <w:szCs w:val="32"/>
        </w:rPr>
        <w:t>，实际完成值：</w:t>
      </w:r>
      <w:r>
        <w:rPr>
          <w:rStyle w:val="14"/>
          <w:rFonts w:hint="eastAsia" w:eastAsia="仿宋_GB2312"/>
          <w:b w:val="0"/>
          <w:spacing w:val="-4"/>
          <w:sz w:val="32"/>
          <w:szCs w:val="32"/>
        </w:rPr>
        <w:t>=52.64%</w:t>
      </w:r>
      <w:r>
        <w:rPr>
          <w:rStyle w:val="14"/>
          <w:rFonts w:eastAsia="仿宋_GB2312"/>
          <w:b w:val="0"/>
          <w:spacing w:val="-4"/>
          <w:sz w:val="32"/>
          <w:szCs w:val="32"/>
        </w:rPr>
        <w:t>，指标完成率</w:t>
      </w:r>
      <w:r>
        <w:rPr>
          <w:rStyle w:val="14"/>
          <w:rFonts w:hint="eastAsia" w:eastAsia="仿宋_GB2312"/>
          <w:b w:val="0"/>
          <w:spacing w:val="-4"/>
          <w:sz w:val="32"/>
          <w:szCs w:val="32"/>
        </w:rPr>
        <w:t>100</w:t>
      </w:r>
      <w:r>
        <w:rPr>
          <w:rStyle w:val="14"/>
          <w:rFonts w:eastAsia="仿宋_GB2312"/>
          <w:b w:val="0"/>
          <w:spacing w:val="-4"/>
          <w:sz w:val="32"/>
          <w:szCs w:val="32"/>
        </w:rPr>
        <w:t>%；</w:t>
      </w:r>
    </w:p>
    <w:p w14:paraId="5861C421">
      <w:pPr>
        <w:spacing w:line="560" w:lineRule="exact"/>
        <w:ind w:firstLine="624" w:firstLineChars="200"/>
        <w:rPr>
          <w:rStyle w:val="14"/>
          <w:rFonts w:eastAsia="仿宋_GB2312"/>
          <w:b w:val="0"/>
          <w:spacing w:val="-4"/>
          <w:sz w:val="32"/>
          <w:szCs w:val="32"/>
        </w:rPr>
      </w:pPr>
      <w:r>
        <w:rPr>
          <w:rStyle w:val="14"/>
          <w:rFonts w:eastAsia="仿宋_GB2312"/>
          <w:b w:val="0"/>
          <w:spacing w:val="-4"/>
          <w:sz w:val="32"/>
          <w:szCs w:val="32"/>
        </w:rPr>
        <w:t>指标</w:t>
      </w:r>
      <w:r>
        <w:rPr>
          <w:rStyle w:val="14"/>
          <w:rFonts w:hint="eastAsia" w:eastAsia="仿宋_GB2312"/>
          <w:b w:val="0"/>
          <w:spacing w:val="-4"/>
          <w:sz w:val="32"/>
          <w:szCs w:val="32"/>
        </w:rPr>
        <w:t>4</w:t>
      </w:r>
      <w:r>
        <w:rPr>
          <w:rStyle w:val="14"/>
          <w:rFonts w:eastAsia="仿宋_GB2312"/>
          <w:b w:val="0"/>
          <w:spacing w:val="-4"/>
          <w:sz w:val="32"/>
          <w:szCs w:val="32"/>
        </w:rPr>
        <w:t>：</w:t>
      </w:r>
      <w:r>
        <w:rPr>
          <w:rStyle w:val="14"/>
          <w:rFonts w:hint="eastAsia" w:eastAsia="仿宋_GB2312"/>
          <w:b w:val="0"/>
          <w:spacing w:val="-4"/>
          <w:sz w:val="32"/>
          <w:szCs w:val="32"/>
        </w:rPr>
        <w:t>应发放工资人数</w:t>
      </w:r>
      <w:r>
        <w:rPr>
          <w:rStyle w:val="14"/>
          <w:rFonts w:eastAsia="仿宋_GB2312"/>
          <w:b w:val="0"/>
          <w:spacing w:val="-4"/>
          <w:sz w:val="32"/>
          <w:szCs w:val="32"/>
        </w:rPr>
        <w:t>，指标值</w:t>
      </w:r>
      <w:r>
        <w:rPr>
          <w:rStyle w:val="14"/>
          <w:rFonts w:hint="eastAsia" w:eastAsia="仿宋_GB2312"/>
          <w:b w:val="0"/>
          <w:spacing w:val="-4"/>
          <w:sz w:val="32"/>
          <w:szCs w:val="32"/>
          <w:lang w:eastAsia="zh-CN"/>
        </w:rPr>
        <w:t>：</w:t>
      </w:r>
      <w:r>
        <w:rPr>
          <w:rStyle w:val="14"/>
          <w:rFonts w:hint="eastAsia" w:eastAsia="仿宋_GB2312"/>
          <w:b w:val="0"/>
          <w:spacing w:val="-4"/>
          <w:sz w:val="32"/>
          <w:szCs w:val="32"/>
        </w:rPr>
        <w:t>=475人</w:t>
      </w:r>
      <w:r>
        <w:rPr>
          <w:rStyle w:val="14"/>
          <w:rFonts w:eastAsia="仿宋_GB2312"/>
          <w:b w:val="0"/>
          <w:spacing w:val="-4"/>
          <w:sz w:val="32"/>
          <w:szCs w:val="32"/>
        </w:rPr>
        <w:t>，实际完成值：</w:t>
      </w:r>
      <w:r>
        <w:rPr>
          <w:rStyle w:val="14"/>
          <w:rFonts w:hint="eastAsia" w:eastAsia="仿宋_GB2312"/>
          <w:b w:val="0"/>
          <w:spacing w:val="-4"/>
          <w:sz w:val="32"/>
          <w:szCs w:val="32"/>
        </w:rPr>
        <w:t>=489人</w:t>
      </w:r>
      <w:r>
        <w:rPr>
          <w:rStyle w:val="14"/>
          <w:rFonts w:eastAsia="仿宋_GB2312"/>
          <w:b w:val="0"/>
          <w:spacing w:val="-4"/>
          <w:sz w:val="32"/>
          <w:szCs w:val="32"/>
        </w:rPr>
        <w:t>，指标完成率</w:t>
      </w:r>
      <w:r>
        <w:rPr>
          <w:rStyle w:val="14"/>
          <w:rFonts w:hint="eastAsia" w:eastAsia="仿宋_GB2312"/>
          <w:b w:val="0"/>
          <w:spacing w:val="-4"/>
          <w:sz w:val="32"/>
          <w:szCs w:val="32"/>
        </w:rPr>
        <w:t>100</w:t>
      </w:r>
      <w:r>
        <w:rPr>
          <w:rStyle w:val="14"/>
          <w:rFonts w:eastAsia="仿宋_GB2312"/>
          <w:b w:val="0"/>
          <w:spacing w:val="-4"/>
          <w:sz w:val="32"/>
          <w:szCs w:val="32"/>
        </w:rPr>
        <w:t>%；</w:t>
      </w:r>
    </w:p>
    <w:p w14:paraId="0E285BDD">
      <w:pPr>
        <w:spacing w:line="560" w:lineRule="exact"/>
        <w:ind w:firstLine="643" w:firstLineChars="200"/>
        <w:rPr>
          <w:rStyle w:val="16"/>
          <w:rFonts w:ascii="Times New Roman" w:hAnsi="Times New Roman" w:cs="Times New Roman"/>
          <w:b/>
          <w:bCs/>
          <w:color w:val="auto"/>
        </w:rPr>
      </w:pPr>
      <w:r>
        <w:rPr>
          <w:rStyle w:val="16"/>
          <w:rFonts w:ascii="Times New Roman" w:hAnsi="Times New Roman" w:cs="Times New Roman"/>
          <w:b/>
          <w:bCs/>
          <w:color w:val="auto"/>
        </w:rPr>
        <w:t>质量指标方面：</w:t>
      </w:r>
    </w:p>
    <w:p w14:paraId="77B4D628">
      <w:pPr>
        <w:snapToGrid w:val="0"/>
        <w:spacing w:line="560" w:lineRule="exact"/>
        <w:ind w:firstLine="624" w:firstLineChars="200"/>
        <w:rPr>
          <w:rStyle w:val="14"/>
          <w:rFonts w:eastAsia="仿宋_GB2312"/>
          <w:b w:val="0"/>
          <w:spacing w:val="-4"/>
          <w:sz w:val="32"/>
          <w:szCs w:val="32"/>
        </w:rPr>
      </w:pPr>
      <w:r>
        <w:rPr>
          <w:rStyle w:val="14"/>
          <w:rFonts w:eastAsia="仿宋_GB2312"/>
          <w:b w:val="0"/>
          <w:spacing w:val="-4"/>
          <w:sz w:val="32"/>
          <w:szCs w:val="32"/>
        </w:rPr>
        <w:t>指标1：</w:t>
      </w:r>
      <w:r>
        <w:rPr>
          <w:rStyle w:val="14"/>
          <w:rFonts w:hint="eastAsia" w:eastAsia="仿宋_GB2312"/>
          <w:b w:val="0"/>
          <w:spacing w:val="-4"/>
          <w:sz w:val="32"/>
          <w:szCs w:val="32"/>
        </w:rPr>
        <w:t>院内感染率</w:t>
      </w:r>
      <w:r>
        <w:rPr>
          <w:rStyle w:val="14"/>
          <w:rFonts w:eastAsia="仿宋_GB2312"/>
          <w:b w:val="0"/>
          <w:spacing w:val="-4"/>
          <w:sz w:val="32"/>
          <w:szCs w:val="32"/>
        </w:rPr>
        <w:t>，指标值：</w:t>
      </w:r>
      <w:r>
        <w:rPr>
          <w:rStyle w:val="14"/>
          <w:rFonts w:hint="eastAsia" w:eastAsia="仿宋_GB2312"/>
          <w:b w:val="0"/>
          <w:spacing w:val="-4"/>
          <w:sz w:val="32"/>
          <w:szCs w:val="32"/>
          <w:lang w:eastAsia="zh-CN"/>
        </w:rPr>
        <w:t>〈</w:t>
      </w:r>
      <w:r>
        <w:rPr>
          <w:rStyle w:val="14"/>
          <w:rFonts w:hint="eastAsia" w:eastAsia="仿宋_GB2312"/>
          <w:b w:val="0"/>
          <w:spacing w:val="-4"/>
          <w:sz w:val="32"/>
          <w:szCs w:val="32"/>
        </w:rPr>
        <w:t>=10%</w:t>
      </w:r>
      <w:r>
        <w:rPr>
          <w:rStyle w:val="14"/>
          <w:rFonts w:eastAsia="仿宋_GB2312"/>
          <w:b w:val="0"/>
          <w:spacing w:val="-4"/>
          <w:sz w:val="32"/>
          <w:szCs w:val="32"/>
        </w:rPr>
        <w:t xml:space="preserve"> ，实际完成值：</w:t>
      </w:r>
      <w:r>
        <w:rPr>
          <w:rStyle w:val="14"/>
          <w:rFonts w:hint="eastAsia" w:eastAsia="仿宋_GB2312"/>
          <w:b w:val="0"/>
          <w:spacing w:val="-4"/>
          <w:sz w:val="32"/>
          <w:szCs w:val="32"/>
        </w:rPr>
        <w:t>=2.2%</w:t>
      </w:r>
      <w:r>
        <w:rPr>
          <w:rStyle w:val="14"/>
          <w:rFonts w:eastAsia="仿宋_GB2312"/>
          <w:b w:val="0"/>
          <w:spacing w:val="-4"/>
          <w:sz w:val="32"/>
          <w:szCs w:val="32"/>
        </w:rPr>
        <w:t xml:space="preserve"> ，指标完成率</w:t>
      </w:r>
      <w:r>
        <w:rPr>
          <w:rStyle w:val="14"/>
          <w:rFonts w:hint="eastAsia" w:eastAsia="仿宋_GB2312"/>
          <w:b w:val="0"/>
          <w:spacing w:val="-4"/>
          <w:sz w:val="32"/>
          <w:szCs w:val="32"/>
        </w:rPr>
        <w:t>100</w:t>
      </w:r>
      <w:r>
        <w:rPr>
          <w:rStyle w:val="14"/>
          <w:rFonts w:eastAsia="仿宋_GB2312"/>
          <w:b w:val="0"/>
          <w:spacing w:val="-4"/>
          <w:sz w:val="32"/>
          <w:szCs w:val="32"/>
        </w:rPr>
        <w:t>%；</w:t>
      </w:r>
    </w:p>
    <w:p w14:paraId="64823E5F">
      <w:pPr>
        <w:pStyle w:val="9"/>
        <w:spacing w:before="0" w:after="0" w:line="560" w:lineRule="exact"/>
        <w:ind w:firstLine="643" w:firstLineChars="200"/>
        <w:jc w:val="both"/>
        <w:rPr>
          <w:rStyle w:val="16"/>
          <w:rFonts w:ascii="Times New Roman" w:hAnsi="Times New Roman" w:cs="Times New Roman"/>
          <w:color w:val="auto"/>
        </w:rPr>
      </w:pPr>
      <w:r>
        <w:rPr>
          <w:rStyle w:val="16"/>
          <w:rFonts w:ascii="Times New Roman" w:hAnsi="Times New Roman" w:cs="Times New Roman"/>
          <w:color w:val="auto"/>
        </w:rPr>
        <w:t>成本指标方面：</w:t>
      </w:r>
    </w:p>
    <w:p w14:paraId="1FB7A12C">
      <w:pPr>
        <w:snapToGrid w:val="0"/>
        <w:spacing w:line="560" w:lineRule="exact"/>
        <w:ind w:firstLine="624" w:firstLineChars="200"/>
        <w:rPr>
          <w:rStyle w:val="14"/>
          <w:rFonts w:ascii="宋体" w:hAnsi="宋体" w:cs="宋体"/>
          <w:b w:val="0"/>
          <w:spacing w:val="-4"/>
          <w:sz w:val="32"/>
          <w:szCs w:val="32"/>
        </w:rPr>
      </w:pPr>
      <w:r>
        <w:rPr>
          <w:rStyle w:val="14"/>
          <w:rFonts w:eastAsia="仿宋_GB2312"/>
          <w:b w:val="0"/>
          <w:spacing w:val="-4"/>
          <w:sz w:val="32"/>
          <w:szCs w:val="32"/>
        </w:rPr>
        <w:t>指标1：</w:t>
      </w:r>
      <w:r>
        <w:rPr>
          <w:rStyle w:val="14"/>
          <w:rFonts w:hint="eastAsia" w:eastAsia="仿宋_GB2312"/>
          <w:b w:val="0"/>
          <w:spacing w:val="-4"/>
          <w:sz w:val="32"/>
          <w:szCs w:val="32"/>
        </w:rPr>
        <w:t>单位管理费用占费用总额的比重</w:t>
      </w:r>
      <w:r>
        <w:rPr>
          <w:rStyle w:val="14"/>
          <w:rFonts w:eastAsia="仿宋_GB2312"/>
          <w:b w:val="0"/>
          <w:spacing w:val="-4"/>
          <w:sz w:val="32"/>
          <w:szCs w:val="32"/>
        </w:rPr>
        <w:t>，指标值：</w:t>
      </w:r>
      <w:r>
        <w:rPr>
          <w:rStyle w:val="14"/>
          <w:rFonts w:hint="eastAsia" w:eastAsia="仿宋_GB2312"/>
          <w:b w:val="0"/>
          <w:spacing w:val="-4"/>
          <w:sz w:val="32"/>
          <w:szCs w:val="32"/>
          <w:lang w:eastAsia="zh-CN"/>
        </w:rPr>
        <w:t>〈</w:t>
      </w:r>
      <w:r>
        <w:rPr>
          <w:rStyle w:val="14"/>
          <w:rFonts w:hint="eastAsia" w:eastAsia="仿宋_GB2312"/>
          <w:b w:val="0"/>
          <w:spacing w:val="-4"/>
          <w:sz w:val="32"/>
          <w:szCs w:val="32"/>
        </w:rPr>
        <w:t>=20%</w:t>
      </w:r>
      <w:r>
        <w:rPr>
          <w:rStyle w:val="14"/>
          <w:rFonts w:eastAsia="仿宋_GB2312"/>
          <w:b w:val="0"/>
          <w:spacing w:val="-4"/>
          <w:sz w:val="32"/>
          <w:szCs w:val="32"/>
        </w:rPr>
        <w:t>，实际完成值：</w:t>
      </w:r>
      <w:r>
        <w:rPr>
          <w:rStyle w:val="14"/>
          <w:rFonts w:hint="eastAsia" w:eastAsia="仿宋_GB2312"/>
          <w:b w:val="0"/>
          <w:spacing w:val="-4"/>
          <w:sz w:val="32"/>
          <w:szCs w:val="32"/>
        </w:rPr>
        <w:t>=12.54%</w:t>
      </w:r>
      <w:r>
        <w:rPr>
          <w:rStyle w:val="14"/>
          <w:rFonts w:eastAsia="仿宋_GB2312"/>
          <w:b w:val="0"/>
          <w:spacing w:val="-4"/>
          <w:sz w:val="32"/>
          <w:szCs w:val="32"/>
        </w:rPr>
        <w:t>，指标完成率</w:t>
      </w:r>
      <w:r>
        <w:rPr>
          <w:rStyle w:val="14"/>
          <w:rFonts w:hint="eastAsia" w:eastAsia="仿宋_GB2312"/>
          <w:b w:val="0"/>
          <w:spacing w:val="-4"/>
          <w:sz w:val="32"/>
          <w:szCs w:val="32"/>
        </w:rPr>
        <w:t>100</w:t>
      </w:r>
      <w:r>
        <w:rPr>
          <w:rStyle w:val="14"/>
          <w:rFonts w:eastAsia="仿宋_GB2312"/>
          <w:b w:val="0"/>
          <w:spacing w:val="-4"/>
          <w:sz w:val="32"/>
          <w:szCs w:val="32"/>
        </w:rPr>
        <w:t>%</w:t>
      </w:r>
      <w:r>
        <w:rPr>
          <w:rStyle w:val="14"/>
          <w:rFonts w:hint="eastAsia" w:ascii="宋体" w:hAnsi="宋体" w:cs="宋体"/>
          <w:b w:val="0"/>
          <w:spacing w:val="-4"/>
          <w:sz w:val="32"/>
          <w:szCs w:val="32"/>
        </w:rPr>
        <w:t>；</w:t>
      </w:r>
    </w:p>
    <w:p w14:paraId="478DA9D1">
      <w:pPr>
        <w:spacing w:line="560" w:lineRule="exact"/>
        <w:ind w:firstLine="624" w:firstLineChars="200"/>
        <w:rPr>
          <w:rStyle w:val="14"/>
          <w:rFonts w:eastAsia="仿宋_GB2312"/>
          <w:b w:val="0"/>
          <w:spacing w:val="-4"/>
          <w:sz w:val="32"/>
          <w:szCs w:val="32"/>
        </w:rPr>
      </w:pPr>
      <w:r>
        <w:rPr>
          <w:rStyle w:val="14"/>
          <w:rFonts w:eastAsia="仿宋_GB2312"/>
          <w:b w:val="0"/>
          <w:spacing w:val="-4"/>
          <w:sz w:val="32"/>
          <w:szCs w:val="32"/>
        </w:rPr>
        <w:t>指标</w:t>
      </w:r>
      <w:r>
        <w:rPr>
          <w:rStyle w:val="14"/>
          <w:rFonts w:hint="eastAsia" w:eastAsia="仿宋_GB2312"/>
          <w:b w:val="0"/>
          <w:spacing w:val="-4"/>
          <w:sz w:val="32"/>
          <w:szCs w:val="32"/>
        </w:rPr>
        <w:t>2</w:t>
      </w:r>
      <w:r>
        <w:rPr>
          <w:rStyle w:val="14"/>
          <w:rFonts w:eastAsia="仿宋_GB2312"/>
          <w:b w:val="0"/>
          <w:spacing w:val="-4"/>
          <w:sz w:val="32"/>
          <w:szCs w:val="32"/>
        </w:rPr>
        <w:t>：</w:t>
      </w:r>
      <w:r>
        <w:rPr>
          <w:rStyle w:val="14"/>
          <w:rFonts w:hint="eastAsia" w:eastAsia="仿宋_GB2312"/>
          <w:b w:val="0"/>
          <w:spacing w:val="-4"/>
          <w:sz w:val="32"/>
          <w:szCs w:val="32"/>
        </w:rPr>
        <w:t>公立医院百元医疗收入的医疗支出（不含药品收入）</w:t>
      </w:r>
      <w:r>
        <w:rPr>
          <w:rStyle w:val="14"/>
          <w:rFonts w:eastAsia="仿宋_GB2312"/>
          <w:b w:val="0"/>
          <w:spacing w:val="-4"/>
          <w:sz w:val="32"/>
          <w:szCs w:val="32"/>
        </w:rPr>
        <w:t>，指标值：</w:t>
      </w:r>
      <w:r>
        <w:rPr>
          <w:rStyle w:val="14"/>
          <w:rFonts w:hint="eastAsia" w:eastAsia="仿宋_GB2312"/>
          <w:b w:val="0"/>
          <w:spacing w:val="-4"/>
          <w:sz w:val="32"/>
          <w:szCs w:val="32"/>
          <w:lang w:eastAsia="zh-CN"/>
        </w:rPr>
        <w:t>〈</w:t>
      </w:r>
      <w:r>
        <w:rPr>
          <w:rStyle w:val="14"/>
          <w:rFonts w:hint="eastAsia" w:eastAsia="仿宋_GB2312"/>
          <w:b w:val="0"/>
          <w:spacing w:val="-4"/>
          <w:sz w:val="32"/>
          <w:szCs w:val="32"/>
        </w:rPr>
        <w:t>=210元</w:t>
      </w:r>
      <w:r>
        <w:rPr>
          <w:rStyle w:val="14"/>
          <w:rFonts w:eastAsia="仿宋_GB2312"/>
          <w:b w:val="0"/>
          <w:spacing w:val="-4"/>
          <w:sz w:val="32"/>
          <w:szCs w:val="32"/>
        </w:rPr>
        <w:t>，实际完成值：</w:t>
      </w:r>
      <w:r>
        <w:rPr>
          <w:rStyle w:val="14"/>
          <w:rFonts w:hint="eastAsia" w:eastAsia="仿宋_GB2312"/>
          <w:b w:val="0"/>
          <w:spacing w:val="-4"/>
          <w:sz w:val="32"/>
          <w:szCs w:val="32"/>
        </w:rPr>
        <w:t>=168.61元</w:t>
      </w:r>
      <w:r>
        <w:rPr>
          <w:rStyle w:val="14"/>
          <w:rFonts w:eastAsia="仿宋_GB2312"/>
          <w:b w:val="0"/>
          <w:spacing w:val="-4"/>
          <w:sz w:val="32"/>
          <w:szCs w:val="32"/>
        </w:rPr>
        <w:t>，指标完成率</w:t>
      </w:r>
      <w:r>
        <w:rPr>
          <w:rStyle w:val="14"/>
          <w:rFonts w:hint="eastAsia" w:eastAsia="仿宋_GB2312"/>
          <w:b w:val="0"/>
          <w:spacing w:val="-4"/>
          <w:sz w:val="32"/>
          <w:szCs w:val="32"/>
        </w:rPr>
        <w:t>100</w:t>
      </w:r>
      <w:r>
        <w:rPr>
          <w:rStyle w:val="14"/>
          <w:rFonts w:eastAsia="仿宋_GB2312"/>
          <w:b w:val="0"/>
          <w:spacing w:val="-4"/>
          <w:sz w:val="32"/>
          <w:szCs w:val="32"/>
        </w:rPr>
        <w:t>%；</w:t>
      </w:r>
    </w:p>
    <w:p w14:paraId="63251219">
      <w:pPr>
        <w:spacing w:line="560" w:lineRule="exact"/>
        <w:ind w:firstLine="624" w:firstLineChars="200"/>
        <w:rPr>
          <w:rStyle w:val="14"/>
          <w:rFonts w:eastAsia="仿宋_GB2312"/>
          <w:b w:val="0"/>
          <w:spacing w:val="-4"/>
          <w:sz w:val="32"/>
          <w:szCs w:val="32"/>
        </w:rPr>
      </w:pPr>
      <w:r>
        <w:rPr>
          <w:rStyle w:val="14"/>
          <w:rFonts w:eastAsia="仿宋_GB2312"/>
          <w:b w:val="0"/>
          <w:spacing w:val="-4"/>
          <w:sz w:val="32"/>
          <w:szCs w:val="32"/>
        </w:rPr>
        <w:t>指标</w:t>
      </w:r>
      <w:r>
        <w:rPr>
          <w:rStyle w:val="14"/>
          <w:rFonts w:hint="eastAsia" w:eastAsia="仿宋_GB2312"/>
          <w:b w:val="0"/>
          <w:spacing w:val="-4"/>
          <w:sz w:val="32"/>
          <w:szCs w:val="32"/>
        </w:rPr>
        <w:t>3</w:t>
      </w:r>
      <w:r>
        <w:rPr>
          <w:rStyle w:val="14"/>
          <w:rFonts w:eastAsia="仿宋_GB2312"/>
          <w:b w:val="0"/>
          <w:spacing w:val="-4"/>
          <w:sz w:val="32"/>
          <w:szCs w:val="32"/>
        </w:rPr>
        <w:t>：</w:t>
      </w:r>
      <w:r>
        <w:rPr>
          <w:rStyle w:val="14"/>
          <w:rFonts w:hint="eastAsia" w:eastAsia="仿宋_GB2312"/>
          <w:b w:val="0"/>
          <w:spacing w:val="-4"/>
          <w:sz w:val="32"/>
          <w:szCs w:val="32"/>
        </w:rPr>
        <w:t>公立医院百元医疗收入消耗的卫生材料（不含药品）</w:t>
      </w:r>
      <w:r>
        <w:rPr>
          <w:rStyle w:val="14"/>
          <w:rFonts w:eastAsia="仿宋_GB2312"/>
          <w:b w:val="0"/>
          <w:spacing w:val="-4"/>
          <w:sz w:val="32"/>
          <w:szCs w:val="32"/>
        </w:rPr>
        <w:t>，指标值：</w:t>
      </w:r>
      <w:r>
        <w:rPr>
          <w:rStyle w:val="14"/>
          <w:rFonts w:hint="eastAsia" w:eastAsia="仿宋_GB2312"/>
          <w:b w:val="0"/>
          <w:spacing w:val="-4"/>
          <w:sz w:val="32"/>
          <w:szCs w:val="32"/>
          <w:lang w:eastAsia="zh-CN"/>
        </w:rPr>
        <w:t>〈</w:t>
      </w:r>
      <w:r>
        <w:rPr>
          <w:rStyle w:val="14"/>
          <w:rFonts w:hint="eastAsia" w:eastAsia="仿宋_GB2312"/>
          <w:b w:val="0"/>
          <w:spacing w:val="-4"/>
          <w:sz w:val="32"/>
          <w:szCs w:val="32"/>
        </w:rPr>
        <w:t>=30元</w:t>
      </w:r>
      <w:r>
        <w:rPr>
          <w:rStyle w:val="14"/>
          <w:rFonts w:eastAsia="仿宋_GB2312"/>
          <w:b w:val="0"/>
          <w:spacing w:val="-4"/>
          <w:sz w:val="32"/>
          <w:szCs w:val="32"/>
        </w:rPr>
        <w:t>，实际完成值：</w:t>
      </w:r>
      <w:r>
        <w:rPr>
          <w:rStyle w:val="14"/>
          <w:rFonts w:hint="eastAsia" w:eastAsia="仿宋_GB2312"/>
          <w:b w:val="0"/>
          <w:spacing w:val="-4"/>
          <w:sz w:val="32"/>
          <w:szCs w:val="32"/>
        </w:rPr>
        <w:t>=21.34元</w:t>
      </w:r>
      <w:r>
        <w:rPr>
          <w:rStyle w:val="14"/>
          <w:rFonts w:eastAsia="仿宋_GB2312"/>
          <w:b w:val="0"/>
          <w:spacing w:val="-4"/>
          <w:sz w:val="32"/>
          <w:szCs w:val="32"/>
        </w:rPr>
        <w:t>，指标完成率</w:t>
      </w:r>
      <w:r>
        <w:rPr>
          <w:rStyle w:val="14"/>
          <w:rFonts w:hint="eastAsia" w:eastAsia="仿宋_GB2312"/>
          <w:b w:val="0"/>
          <w:spacing w:val="-4"/>
          <w:sz w:val="32"/>
          <w:szCs w:val="32"/>
        </w:rPr>
        <w:t>100</w:t>
      </w:r>
      <w:r>
        <w:rPr>
          <w:rStyle w:val="14"/>
          <w:rFonts w:eastAsia="仿宋_GB2312"/>
          <w:b w:val="0"/>
          <w:spacing w:val="-4"/>
          <w:sz w:val="32"/>
          <w:szCs w:val="32"/>
        </w:rPr>
        <w:t>%；</w:t>
      </w:r>
    </w:p>
    <w:p w14:paraId="3A6FEAEF">
      <w:pPr>
        <w:spacing w:line="560" w:lineRule="exact"/>
        <w:ind w:firstLine="643" w:firstLineChars="200"/>
        <w:rPr>
          <w:rStyle w:val="16"/>
          <w:rFonts w:ascii="Times New Roman" w:hAnsi="Times New Roman" w:cs="Times New Roman"/>
          <w:b/>
          <w:bCs/>
          <w:color w:val="auto"/>
        </w:rPr>
      </w:pPr>
      <w:r>
        <w:rPr>
          <w:rStyle w:val="16"/>
          <w:rFonts w:ascii="Times New Roman" w:hAnsi="Times New Roman" w:cs="Times New Roman"/>
          <w:b/>
          <w:bCs/>
          <w:color w:val="auto"/>
        </w:rPr>
        <w:t>时效指标方面：</w:t>
      </w:r>
    </w:p>
    <w:p w14:paraId="6FE6551F">
      <w:pPr>
        <w:pStyle w:val="9"/>
        <w:ind w:firstLine="639" w:firstLineChars="205"/>
        <w:jc w:val="both"/>
      </w:pPr>
      <w:r>
        <w:rPr>
          <w:rStyle w:val="14"/>
          <w:rFonts w:hint="eastAsia" w:ascii="Times New Roman" w:hAnsi="Times New Roman" w:eastAsia="仿宋_GB2312"/>
          <w:b w:val="0"/>
          <w:bCs/>
          <w:spacing w:val="-4"/>
          <w:kern w:val="2"/>
        </w:rPr>
        <w:t>指标1：公立医</w:t>
      </w:r>
      <w:r>
        <w:rPr>
          <w:rStyle w:val="14"/>
          <w:rFonts w:hint="eastAsia" w:ascii="仿宋_GB2312" w:hAnsi="仿宋_GB2312" w:eastAsia="仿宋_GB2312" w:cs="仿宋_GB2312"/>
          <w:b w:val="0"/>
          <w:bCs/>
          <w:spacing w:val="-4"/>
        </w:rPr>
        <w:t>院平均住院日，指标值：</w:t>
      </w:r>
      <w:r>
        <w:rPr>
          <w:rStyle w:val="14"/>
          <w:rFonts w:hint="eastAsia" w:ascii="仿宋_GB2312" w:hAnsi="仿宋_GB2312" w:eastAsia="仿宋_GB2312" w:cs="仿宋_GB2312"/>
          <w:b w:val="0"/>
          <w:bCs/>
          <w:spacing w:val="-4"/>
          <w:lang w:eastAsia="zh-CN"/>
        </w:rPr>
        <w:t>〈</w:t>
      </w:r>
      <w:r>
        <w:rPr>
          <w:rStyle w:val="14"/>
          <w:rFonts w:hint="eastAsia" w:eastAsia="仿宋_GB2312"/>
          <w:b w:val="0"/>
          <w:bCs w:val="0"/>
          <w:spacing w:val="-4"/>
        </w:rPr>
        <w:t>=</w:t>
      </w:r>
      <w:r>
        <w:rPr>
          <w:rStyle w:val="14"/>
          <w:rFonts w:hint="eastAsia" w:ascii="仿宋_GB2312" w:hAnsi="仿宋_GB2312" w:eastAsia="仿宋_GB2312" w:cs="仿宋_GB2312"/>
          <w:b w:val="0"/>
          <w:bCs/>
          <w:spacing w:val="-4"/>
        </w:rPr>
        <w:t>9.40天，实际完成值：</w:t>
      </w:r>
      <w:r>
        <w:rPr>
          <w:rStyle w:val="14"/>
          <w:rFonts w:hint="eastAsia" w:ascii="宋体" w:hAnsi="宋体" w:eastAsia="宋体" w:cs="宋体"/>
          <w:b w:val="0"/>
          <w:bCs/>
          <w:spacing w:val="-4"/>
        </w:rPr>
        <w:t>=</w:t>
      </w:r>
      <w:r>
        <w:rPr>
          <w:rStyle w:val="14"/>
          <w:rFonts w:hint="eastAsia" w:ascii="仿宋_GB2312" w:hAnsi="仿宋_GB2312" w:eastAsia="仿宋_GB2312" w:cs="仿宋_GB2312"/>
          <w:b w:val="0"/>
          <w:bCs/>
          <w:spacing w:val="-4"/>
        </w:rPr>
        <w:t>9.17天，指标完成率100%；</w:t>
      </w:r>
    </w:p>
    <w:p w14:paraId="3429D84A">
      <w:pPr>
        <w:pStyle w:val="10"/>
        <w:numPr>
          <w:ilvl w:val="0"/>
          <w:numId w:val="6"/>
        </w:numPr>
        <w:spacing w:line="560" w:lineRule="exact"/>
        <w:ind w:firstLine="641"/>
        <w:rPr>
          <w:rFonts w:eastAsia="楷体_GB2312"/>
          <w:b/>
          <w:bCs/>
          <w:sz w:val="32"/>
          <w:szCs w:val="32"/>
        </w:rPr>
      </w:pPr>
      <w:r>
        <w:rPr>
          <w:rFonts w:eastAsia="楷体_GB2312"/>
          <w:b/>
          <w:bCs/>
          <w:sz w:val="32"/>
          <w:szCs w:val="32"/>
        </w:rPr>
        <w:t>效益情况</w:t>
      </w:r>
    </w:p>
    <w:p w14:paraId="11185595">
      <w:pPr>
        <w:spacing w:line="560" w:lineRule="exact"/>
        <w:ind w:firstLine="643" w:firstLineChars="200"/>
        <w:rPr>
          <w:rStyle w:val="16"/>
          <w:rFonts w:ascii="Times New Roman" w:hAnsi="Times New Roman" w:cs="Times New Roman"/>
          <w:b/>
          <w:bCs/>
          <w:color w:val="auto"/>
        </w:rPr>
      </w:pPr>
      <w:r>
        <w:rPr>
          <w:rStyle w:val="16"/>
          <w:rFonts w:ascii="Times New Roman" w:hAnsi="Times New Roman" w:cs="Times New Roman"/>
          <w:b/>
          <w:bCs/>
          <w:color w:val="auto"/>
        </w:rPr>
        <w:t>社会效益指标方面：</w:t>
      </w:r>
    </w:p>
    <w:p w14:paraId="337731FE">
      <w:pPr>
        <w:spacing w:line="560" w:lineRule="exact"/>
        <w:ind w:firstLine="640" w:firstLineChars="200"/>
        <w:rPr>
          <w:rStyle w:val="16"/>
          <w:rFonts w:cs="Times New Roman"/>
          <w:color w:val="auto"/>
        </w:rPr>
      </w:pPr>
      <w:r>
        <w:rPr>
          <w:rStyle w:val="16"/>
          <w:rFonts w:ascii="Times New Roman" w:hAnsi="Times New Roman" w:cs="Times New Roman"/>
          <w:color w:val="auto"/>
        </w:rPr>
        <w:t>指标1：</w:t>
      </w:r>
      <w:r>
        <w:rPr>
          <w:rStyle w:val="16"/>
          <w:rFonts w:hint="eastAsia" w:ascii="Times New Roman" w:hAnsi="Times New Roman" w:cs="Times New Roman"/>
          <w:color w:val="auto"/>
        </w:rPr>
        <w:t>出院者次均药品费用增幅</w:t>
      </w:r>
      <w:r>
        <w:rPr>
          <w:rStyle w:val="16"/>
          <w:rFonts w:ascii="Times New Roman" w:hAnsi="Times New Roman" w:cs="Times New Roman"/>
          <w:color w:val="auto"/>
        </w:rPr>
        <w:t>，指标值：</w:t>
      </w:r>
      <w:r>
        <w:rPr>
          <w:rStyle w:val="16"/>
          <w:rFonts w:hint="eastAsia" w:eastAsia="仿宋_GB2312" w:cs="Times New Roman"/>
          <w:color w:val="auto"/>
          <w:lang w:eastAsia="zh-CN"/>
        </w:rPr>
        <w:t>〈</w:t>
      </w:r>
      <w:r>
        <w:rPr>
          <w:rStyle w:val="16"/>
          <w:rFonts w:hint="eastAsia" w:ascii="Times New Roman" w:hAnsi="Times New Roman" w:cs="Times New Roman"/>
          <w:color w:val="auto"/>
        </w:rPr>
        <w:t>=5%</w:t>
      </w:r>
      <w:r>
        <w:rPr>
          <w:rStyle w:val="16"/>
          <w:rFonts w:ascii="Times New Roman" w:hAnsi="Times New Roman" w:cs="Times New Roman"/>
          <w:color w:val="auto"/>
        </w:rPr>
        <w:t>，实际完成值</w:t>
      </w:r>
      <w:r>
        <w:rPr>
          <w:rStyle w:val="16"/>
          <w:rFonts w:hint="eastAsia" w:ascii="Times New Roman" w:hAnsi="Times New Roman" w:cs="Times New Roman"/>
          <w:color w:val="auto"/>
        </w:rPr>
        <w:t>：</w:t>
      </w:r>
      <w:r>
        <w:rPr>
          <w:rStyle w:val="16"/>
          <w:rFonts w:hint="eastAsia" w:ascii="宋体" w:hAnsi="宋体" w:eastAsia="宋体" w:cs="宋体"/>
          <w:color w:val="auto"/>
        </w:rPr>
        <w:t>=</w:t>
      </w:r>
      <w:r>
        <w:rPr>
          <w:rStyle w:val="16"/>
          <w:rFonts w:hint="eastAsia" w:cs="Times New Roman"/>
          <w:color w:val="auto"/>
        </w:rPr>
        <w:t>-11.14%</w:t>
      </w:r>
      <w:r>
        <w:rPr>
          <w:rStyle w:val="16"/>
          <w:rFonts w:ascii="Times New Roman" w:hAnsi="Times New Roman" w:cs="Times New Roman"/>
          <w:color w:val="auto"/>
        </w:rPr>
        <w:t>，指标完成率</w:t>
      </w:r>
      <w:r>
        <w:rPr>
          <w:rStyle w:val="16"/>
          <w:rFonts w:hint="eastAsia" w:cs="Times New Roman"/>
          <w:color w:val="auto"/>
        </w:rPr>
        <w:t>100</w:t>
      </w:r>
      <w:r>
        <w:rPr>
          <w:rStyle w:val="16"/>
          <w:rFonts w:ascii="Times New Roman" w:hAnsi="Times New Roman" w:cs="Times New Roman"/>
          <w:color w:val="auto"/>
        </w:rPr>
        <w:t>%</w:t>
      </w:r>
      <w:r>
        <w:rPr>
          <w:rStyle w:val="16"/>
          <w:rFonts w:hint="eastAsia" w:cs="Times New Roman"/>
          <w:color w:val="auto"/>
        </w:rPr>
        <w:t>；</w:t>
      </w:r>
    </w:p>
    <w:p w14:paraId="2DB64593">
      <w:pPr>
        <w:spacing w:line="560" w:lineRule="exact"/>
        <w:ind w:firstLine="640" w:firstLineChars="200"/>
        <w:rPr>
          <w:rStyle w:val="16"/>
          <w:rFonts w:ascii="Times New Roman" w:hAnsi="Times New Roman" w:cs="Times New Roman"/>
          <w:color w:val="auto"/>
        </w:rPr>
      </w:pPr>
      <w:r>
        <w:rPr>
          <w:rStyle w:val="16"/>
          <w:rFonts w:ascii="Times New Roman" w:hAnsi="Times New Roman" w:cs="Times New Roman"/>
          <w:color w:val="auto"/>
        </w:rPr>
        <w:t>指</w:t>
      </w:r>
      <w:r>
        <w:rPr>
          <w:rStyle w:val="16"/>
          <w:rFonts w:hint="eastAsia" w:cs="Times New Roman"/>
          <w:color w:val="auto"/>
        </w:rPr>
        <w:t>标2：门诊次均药品费</w:t>
      </w:r>
      <w:r>
        <w:rPr>
          <w:rStyle w:val="16"/>
          <w:rFonts w:hint="eastAsia" w:ascii="Times New Roman" w:hAnsi="Times New Roman" w:cs="Times New Roman"/>
          <w:color w:val="auto"/>
        </w:rPr>
        <w:t>用增幅</w:t>
      </w:r>
      <w:r>
        <w:rPr>
          <w:rStyle w:val="16"/>
          <w:rFonts w:ascii="Times New Roman" w:hAnsi="Times New Roman" w:cs="Times New Roman"/>
          <w:color w:val="auto"/>
        </w:rPr>
        <w:t>，指标值：</w:t>
      </w:r>
      <w:r>
        <w:rPr>
          <w:rStyle w:val="16"/>
          <w:rFonts w:hint="eastAsia" w:eastAsia="仿宋_GB2312" w:cs="Times New Roman"/>
          <w:color w:val="auto"/>
          <w:lang w:eastAsia="zh-CN"/>
        </w:rPr>
        <w:t>〈</w:t>
      </w:r>
      <w:r>
        <w:rPr>
          <w:rStyle w:val="16"/>
          <w:rFonts w:hint="eastAsia" w:ascii="Times New Roman" w:hAnsi="Times New Roman" w:cs="Times New Roman"/>
          <w:color w:val="auto"/>
        </w:rPr>
        <w:t>=5%</w:t>
      </w:r>
      <w:r>
        <w:rPr>
          <w:rStyle w:val="16"/>
          <w:rFonts w:ascii="Times New Roman" w:hAnsi="Times New Roman" w:cs="Times New Roman"/>
          <w:color w:val="auto"/>
        </w:rPr>
        <w:t>，实际完成值</w:t>
      </w:r>
      <w:r>
        <w:rPr>
          <w:rStyle w:val="16"/>
          <w:rFonts w:hint="eastAsia" w:ascii="Times New Roman" w:hAnsi="Times New Roman" w:cs="Times New Roman"/>
          <w:color w:val="auto"/>
        </w:rPr>
        <w:t>：</w:t>
      </w:r>
      <w:r>
        <w:rPr>
          <w:rStyle w:val="16"/>
          <w:rFonts w:hint="eastAsia" w:ascii="宋体" w:hAnsi="宋体" w:eastAsia="宋体" w:cs="宋体"/>
          <w:color w:val="auto"/>
        </w:rPr>
        <w:t>=</w:t>
      </w:r>
      <w:r>
        <w:rPr>
          <w:rStyle w:val="16"/>
          <w:rFonts w:hint="eastAsia" w:cs="Times New Roman"/>
          <w:color w:val="auto"/>
        </w:rPr>
        <w:t>19.90%</w:t>
      </w:r>
      <w:r>
        <w:rPr>
          <w:rStyle w:val="16"/>
          <w:rFonts w:ascii="Times New Roman" w:hAnsi="Times New Roman" w:cs="Times New Roman"/>
          <w:color w:val="auto"/>
        </w:rPr>
        <w:t>，指标完成率</w:t>
      </w:r>
      <w:r>
        <w:rPr>
          <w:rStyle w:val="16"/>
          <w:rFonts w:hint="eastAsia" w:cs="Times New Roman"/>
          <w:color w:val="auto"/>
        </w:rPr>
        <w:t>80</w:t>
      </w:r>
      <w:r>
        <w:rPr>
          <w:rStyle w:val="16"/>
          <w:rFonts w:ascii="Times New Roman" w:hAnsi="Times New Roman" w:cs="Times New Roman"/>
          <w:color w:val="auto"/>
        </w:rPr>
        <w:t>%</w:t>
      </w:r>
      <w:r>
        <w:rPr>
          <w:rStyle w:val="16"/>
          <w:rFonts w:hint="eastAsia" w:cs="Times New Roman"/>
          <w:color w:val="auto"/>
        </w:rPr>
        <w:t>，偏差原因：由于2022年受新冠疫情影响导致门诊次均费用下降幅度较大，故较预期目标偏差过大，今后将进一步提升预算编制科学性与精确性</w:t>
      </w:r>
      <w:r>
        <w:rPr>
          <w:rStyle w:val="16"/>
          <w:rFonts w:ascii="Times New Roman" w:hAnsi="Times New Roman" w:cs="Times New Roman"/>
          <w:color w:val="auto"/>
        </w:rPr>
        <w:t>；</w:t>
      </w:r>
    </w:p>
    <w:p w14:paraId="26367A47">
      <w:pPr>
        <w:spacing w:line="560" w:lineRule="exact"/>
        <w:ind w:firstLine="643" w:firstLineChars="200"/>
        <w:rPr>
          <w:rStyle w:val="16"/>
          <w:rFonts w:ascii="Times New Roman" w:hAnsi="Times New Roman" w:cs="Times New Roman"/>
          <w:b/>
          <w:bCs/>
          <w:color w:val="auto"/>
        </w:rPr>
      </w:pPr>
      <w:r>
        <w:rPr>
          <w:rStyle w:val="16"/>
          <w:rFonts w:ascii="Times New Roman" w:hAnsi="Times New Roman" w:cs="Times New Roman"/>
          <w:b/>
          <w:bCs/>
          <w:color w:val="auto"/>
        </w:rPr>
        <w:t>满意度指标方面：</w:t>
      </w:r>
    </w:p>
    <w:p w14:paraId="49601277">
      <w:pPr>
        <w:spacing w:line="560" w:lineRule="exact"/>
        <w:ind w:firstLine="640" w:firstLineChars="200"/>
        <w:rPr>
          <w:rStyle w:val="16"/>
          <w:rFonts w:cs="Times New Roman"/>
          <w:color w:val="auto"/>
        </w:rPr>
      </w:pPr>
      <w:r>
        <w:rPr>
          <w:rStyle w:val="16"/>
          <w:rFonts w:hint="eastAsia" w:cs="Times New Roman"/>
          <w:color w:val="auto"/>
        </w:rPr>
        <w:t>指标1：公立医院病人满意度，指标值</w:t>
      </w:r>
      <w:r>
        <w:rPr>
          <w:rStyle w:val="16"/>
          <w:rFonts w:hint="eastAsia" w:eastAsia="仿宋_GB2312" w:cs="Times New Roman"/>
          <w:color w:val="auto"/>
          <w:lang w:eastAsia="zh-CN"/>
        </w:rPr>
        <w:t>：</w:t>
      </w:r>
      <w:r>
        <w:rPr>
          <w:rStyle w:val="14"/>
          <w:rFonts w:hint="eastAsia" w:eastAsia="仿宋_GB2312"/>
          <w:b w:val="0"/>
          <w:spacing w:val="-4"/>
          <w:sz w:val="32"/>
          <w:szCs w:val="32"/>
        </w:rPr>
        <w:t>=</w:t>
      </w:r>
      <w:r>
        <w:rPr>
          <w:rStyle w:val="16"/>
          <w:rFonts w:hint="eastAsia" w:cs="Times New Roman"/>
          <w:color w:val="auto"/>
        </w:rPr>
        <w:t>90%，实际完成值：</w:t>
      </w:r>
      <w:r>
        <w:rPr>
          <w:rStyle w:val="16"/>
          <w:rFonts w:hint="eastAsia" w:ascii="宋体" w:hAnsi="宋体" w:eastAsia="宋体" w:cs="宋体"/>
          <w:color w:val="auto"/>
        </w:rPr>
        <w:t>=</w:t>
      </w:r>
      <w:r>
        <w:rPr>
          <w:rStyle w:val="16"/>
          <w:rFonts w:hint="eastAsia" w:cs="Times New Roman"/>
          <w:color w:val="auto"/>
        </w:rPr>
        <w:t>85.45%，指标完成率95.00%，偏差原因：由于我院建成时间较长，院区部分基建设施较陈旧，部分患者就诊体验有待进一步提高，故满意度指标未达到预期，今后将在现有基建设施条件下提升医疗服务水平和护理质量，提升患者满意度；</w:t>
      </w:r>
    </w:p>
    <w:p w14:paraId="7843EAD1">
      <w:pPr>
        <w:spacing w:line="560" w:lineRule="exact"/>
        <w:ind w:firstLine="640" w:firstLineChars="200"/>
        <w:rPr>
          <w:rStyle w:val="16"/>
          <w:rFonts w:cs="Times New Roman"/>
          <w:color w:val="auto"/>
        </w:rPr>
      </w:pPr>
      <w:r>
        <w:rPr>
          <w:rStyle w:val="16"/>
          <w:rFonts w:hint="eastAsia" w:cs="Times New Roman"/>
          <w:color w:val="auto"/>
        </w:rPr>
        <w:t>指标2：公立医院病人满意度，指标值</w:t>
      </w:r>
      <w:r>
        <w:rPr>
          <w:rStyle w:val="16"/>
          <w:rFonts w:hint="eastAsia" w:eastAsia="仿宋_GB2312" w:cs="Times New Roman"/>
          <w:color w:val="auto"/>
          <w:lang w:eastAsia="zh-CN"/>
        </w:rPr>
        <w:t>：</w:t>
      </w:r>
      <w:r>
        <w:rPr>
          <w:rStyle w:val="14"/>
          <w:rFonts w:hint="eastAsia" w:eastAsia="仿宋_GB2312"/>
          <w:b w:val="0"/>
          <w:spacing w:val="-4"/>
          <w:sz w:val="32"/>
          <w:szCs w:val="32"/>
        </w:rPr>
        <w:t>=</w:t>
      </w:r>
      <w:r>
        <w:rPr>
          <w:rStyle w:val="16"/>
          <w:rFonts w:hint="eastAsia" w:cs="Times New Roman"/>
          <w:color w:val="auto"/>
        </w:rPr>
        <w:t>80%，实际完成值：</w:t>
      </w:r>
      <w:r>
        <w:rPr>
          <w:rStyle w:val="16"/>
          <w:rFonts w:hint="eastAsia" w:ascii="宋体" w:hAnsi="宋体" w:eastAsia="宋体" w:cs="宋体"/>
          <w:color w:val="auto"/>
        </w:rPr>
        <w:t>=</w:t>
      </w:r>
      <w:r>
        <w:rPr>
          <w:rStyle w:val="16"/>
          <w:rFonts w:hint="eastAsia" w:cs="Times New Roman"/>
          <w:color w:val="auto"/>
        </w:rPr>
        <w:t>70.77%，指标完成率88.46%，偏差原因：由于我院建成时间较长，院区部分基建设施较陈旧，职工工作环境有待进一步提高，故满意度指标未达到预期，今后将在现有基建设施条件下优化职工工作环境，提升职工满意度。</w:t>
      </w:r>
    </w:p>
    <w:p w14:paraId="3532171D">
      <w:pPr>
        <w:spacing w:line="560" w:lineRule="exact"/>
        <w:ind w:firstLine="640" w:firstLineChars="200"/>
        <w:rPr>
          <w:rFonts w:eastAsia="黑体"/>
          <w:sz w:val="32"/>
          <w:szCs w:val="32"/>
        </w:rPr>
      </w:pPr>
      <w:r>
        <w:rPr>
          <w:rFonts w:eastAsia="黑体"/>
          <w:sz w:val="32"/>
          <w:szCs w:val="32"/>
        </w:rPr>
        <w:t>五、</w:t>
      </w:r>
      <w:r>
        <w:rPr>
          <w:rFonts w:hint="eastAsia" w:eastAsia="黑体"/>
          <w:sz w:val="32"/>
          <w:szCs w:val="32"/>
        </w:rPr>
        <w:t>预算执行进度与绩效指标总体完成率偏差</w:t>
      </w:r>
    </w:p>
    <w:p w14:paraId="6E2ACBA5">
      <w:pPr>
        <w:pStyle w:val="17"/>
        <w:spacing w:line="560" w:lineRule="exact"/>
        <w:ind w:firstLine="640"/>
        <w:rPr>
          <w:rFonts w:eastAsia="方正仿宋_GBK" w:cs="方正仿宋_GBK"/>
          <w:sz w:val="32"/>
          <w:szCs w:val="32"/>
        </w:rPr>
      </w:pPr>
      <w:r>
        <w:rPr>
          <w:rFonts w:hint="eastAsia" w:ascii="仿宋_GB2312" w:hAnsi="仿宋_GB2312" w:eastAsia="仿宋_GB2312" w:cs="仿宋_GB2312"/>
          <w:sz w:val="32"/>
          <w:szCs w:val="32"/>
        </w:rPr>
        <w:t>2023医院事业支出项目预算6,221.79万元，到位6,964.52万元，实际支出6,964.52万元，预算执行率为111.94%，项目绩效指标总体完成率为113.96%，总体偏差率为13.96%</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偏差原因：由于我院厉行节约，尽量压缩行政费用开支，故管理费用占比较预期目标较低，今后将进一步提升预算编制科学性与精确性；由于2022年受新冠疫情影响导致次均住院费用下降幅度较大，故较预期目标偏差过大，今后将进一步提升预算编制科学性与精确性；由于2022年受新冠疫情影响导致门诊次均费用下降幅度较大，故较预期目标偏差过大，今后将进一步提升预算编制科学性与精确性；由于我院建成时间较长，院区部分基建设施较陈旧，部分患者就诊体验有待进一步提高，故病人满意度指标未达到预期，今后将在现有基建设施条件下提升医疗服务水平和护理质量，提升患者满意度；职工工作环境有待进一步提高，故职工满意度指标未达到预期，今后将在现有基建设施条件下优化职工工作环境，提升职工满意度。</w:t>
      </w:r>
    </w:p>
    <w:p w14:paraId="09DAA061">
      <w:pPr>
        <w:spacing w:line="560" w:lineRule="exact"/>
        <w:ind w:firstLine="640" w:firstLineChars="200"/>
        <w:rPr>
          <w:rStyle w:val="16"/>
          <w:rFonts w:ascii="Times New Roman" w:hAnsi="Times New Roman" w:cs="Times New Roman"/>
          <w:color w:val="auto"/>
        </w:rPr>
      </w:pPr>
      <w:r>
        <w:rPr>
          <w:rFonts w:hint="eastAsia" w:eastAsia="黑体"/>
          <w:sz w:val="32"/>
          <w:szCs w:val="32"/>
        </w:rPr>
        <w:t>六</w:t>
      </w:r>
      <w:r>
        <w:rPr>
          <w:rFonts w:eastAsia="黑体"/>
          <w:sz w:val="32"/>
          <w:szCs w:val="32"/>
        </w:rPr>
        <w:t>、主要经验及做法、存在的问题及原因分析</w:t>
      </w:r>
    </w:p>
    <w:p w14:paraId="284AD155">
      <w:pPr>
        <w:spacing w:line="560" w:lineRule="exact"/>
        <w:ind w:firstLine="627" w:firstLineChars="200"/>
        <w:rPr>
          <w:rFonts w:eastAsia="楷体"/>
          <w:b/>
          <w:spacing w:val="-4"/>
          <w:sz w:val="32"/>
          <w:szCs w:val="32"/>
        </w:rPr>
      </w:pPr>
      <w:r>
        <w:rPr>
          <w:rFonts w:eastAsia="楷体"/>
          <w:b/>
          <w:spacing w:val="-4"/>
          <w:sz w:val="32"/>
          <w:szCs w:val="32"/>
        </w:rPr>
        <w:t>（一）主要经验及做法</w:t>
      </w:r>
    </w:p>
    <w:p w14:paraId="6842B265">
      <w:pPr>
        <w:spacing w:line="560" w:lineRule="exact"/>
        <w:ind w:firstLine="640" w:firstLineChars="200"/>
        <w:rPr>
          <w:rFonts w:eastAsia="仿宋_GB2312"/>
          <w:sz w:val="32"/>
          <w:szCs w:val="32"/>
        </w:rPr>
      </w:pPr>
      <w:r>
        <w:rPr>
          <w:rFonts w:eastAsia="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3ADACCC3">
      <w:pPr>
        <w:pStyle w:val="9"/>
        <w:spacing w:before="0" w:after="0" w:line="560" w:lineRule="exact"/>
        <w:ind w:firstLine="640" w:firstLineChars="200"/>
        <w:jc w:val="left"/>
        <w:rPr>
          <w:rFonts w:ascii="Times New Roman" w:hAnsi="Times New Roman" w:eastAsia="仿宋_GB2312"/>
          <w:b w:val="0"/>
          <w:bCs w:val="0"/>
          <w:kern w:val="2"/>
        </w:rPr>
      </w:pPr>
      <w:r>
        <w:rPr>
          <w:rFonts w:ascii="Times New Roman" w:hAnsi="Times New Roman" w:eastAsia="仿宋_GB2312"/>
          <w:b w:val="0"/>
          <w:bCs w:val="0"/>
          <w:kern w:val="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5D88063A">
      <w:pPr>
        <w:keepNext/>
        <w:keepLines/>
        <w:numPr>
          <w:ilvl w:val="0"/>
          <w:numId w:val="7"/>
        </w:numPr>
        <w:spacing w:line="560" w:lineRule="exact"/>
        <w:ind w:firstLine="643" w:firstLineChars="200"/>
        <w:rPr>
          <w:rFonts w:eastAsia="楷体_GB2312"/>
          <w:b/>
          <w:bCs/>
          <w:sz w:val="32"/>
          <w:szCs w:val="32"/>
        </w:rPr>
      </w:pPr>
      <w:r>
        <w:rPr>
          <w:rFonts w:eastAsia="楷体_GB2312"/>
          <w:b/>
          <w:bCs/>
          <w:sz w:val="32"/>
          <w:szCs w:val="32"/>
        </w:rPr>
        <w:t>存在的问题及原因分析</w:t>
      </w:r>
    </w:p>
    <w:p w14:paraId="63A7D86E">
      <w:pPr>
        <w:pStyle w:val="9"/>
        <w:spacing w:before="0" w:after="0" w:line="600" w:lineRule="exact"/>
        <w:ind w:firstLine="640" w:firstLineChars="200"/>
        <w:jc w:val="both"/>
        <w:rPr>
          <w:rFonts w:ascii="Times New Roman" w:hAnsi="Times New Roman" w:eastAsia="仿宋_GB2312"/>
          <w:b w:val="0"/>
          <w:bCs w:val="0"/>
          <w:kern w:val="2"/>
        </w:rPr>
      </w:pPr>
      <w:r>
        <w:rPr>
          <w:rFonts w:hint="eastAsia" w:ascii="Times New Roman" w:hAnsi="Times New Roman" w:eastAsia="仿宋_GB2312"/>
          <w:b w:val="0"/>
          <w:bCs w:val="0"/>
          <w:kern w:val="2"/>
        </w:rPr>
        <w:t xml:space="preserve">我单位建有内控工作领导小组，建有各类医疗业务和资金支付审批制度，同时建有分层审批机制，每笔资金支出均遵循无预算不支出原则，均要求预算申请单和支出审批单签批完备才可支付，做到了预算约束，内控约束、财务监督相统一，同时做到了合规性与便捷性的结合。                                                                      </w:t>
      </w:r>
    </w:p>
    <w:p w14:paraId="4A0053C3">
      <w:pPr>
        <w:pStyle w:val="9"/>
        <w:spacing w:before="0" w:after="0" w:line="560" w:lineRule="exact"/>
        <w:ind w:firstLine="640" w:firstLineChars="200"/>
        <w:jc w:val="both"/>
        <w:rPr>
          <w:rFonts w:ascii="Times New Roman" w:hAnsi="Times New Roman" w:eastAsia="仿宋_GB2312"/>
          <w:b w:val="0"/>
          <w:bCs w:val="0"/>
          <w:kern w:val="2"/>
        </w:rPr>
      </w:pPr>
      <w:r>
        <w:rPr>
          <w:rFonts w:hint="eastAsia" w:ascii="Times New Roman" w:hAnsi="Times New Roman" w:eastAsia="仿宋_GB2312"/>
          <w:b w:val="0"/>
          <w:bCs w:val="0"/>
          <w:kern w:val="2"/>
        </w:rPr>
        <w:t>但是现有单位内控制度对于医院发展和财政要求的新形势和新业务还不能完全覆盖，部分内控制度不够细致，不够完整。下一步单位将结合财政有关内控制度新要求和医院整体业务实际情况，进一步完善内控制度，加强监管，进一步完整从严把握预算执行资金支付工作全流程。</w:t>
      </w:r>
    </w:p>
    <w:p w14:paraId="3E94BCFB">
      <w:pPr>
        <w:spacing w:line="560" w:lineRule="exact"/>
        <w:ind w:firstLine="640" w:firstLineChars="200"/>
        <w:rPr>
          <w:rFonts w:eastAsia="黑体"/>
          <w:sz w:val="32"/>
          <w:szCs w:val="32"/>
        </w:rPr>
      </w:pPr>
      <w:r>
        <w:rPr>
          <w:rFonts w:hint="eastAsia" w:eastAsia="黑体"/>
          <w:sz w:val="32"/>
          <w:szCs w:val="32"/>
        </w:rPr>
        <w:t>七、</w:t>
      </w:r>
      <w:r>
        <w:rPr>
          <w:rFonts w:eastAsia="黑体"/>
          <w:sz w:val="32"/>
          <w:szCs w:val="32"/>
        </w:rPr>
        <w:t>有关建议</w:t>
      </w:r>
    </w:p>
    <w:p w14:paraId="4722764A">
      <w:pPr>
        <w:spacing w:line="560" w:lineRule="exact"/>
        <w:ind w:firstLine="640" w:firstLineChars="200"/>
      </w:pPr>
      <w:r>
        <w:rPr>
          <w:rFonts w:hint="eastAsia" w:ascii="仿宋_GB2312" w:hAnsi="仿宋_GB2312" w:eastAsia="仿宋_GB2312" w:cs="仿宋_GB2312"/>
          <w:sz w:val="32"/>
          <w:szCs w:val="28"/>
        </w:rPr>
        <w:t>进一步加强对绩效管理工作的组织领导，提高对预算绩效管理工作重要性的认识，总结经验查找问题，抓紧研究制定更全面更完善的绩效评价管理办法。结合现代化考核建立绩效工作考核制度，加大全局对全面实施预算绩效管理和绩效管理工作的学习力度，让“花钱必问效，无效必问责”的理念深入工作每个环节。</w:t>
      </w:r>
    </w:p>
    <w:p w14:paraId="3929C6DE">
      <w:pPr>
        <w:spacing w:line="560" w:lineRule="exact"/>
        <w:ind w:firstLine="640" w:firstLineChars="200"/>
        <w:rPr>
          <w:rFonts w:eastAsia="黑体"/>
          <w:sz w:val="32"/>
          <w:szCs w:val="32"/>
        </w:rPr>
      </w:pPr>
      <w:r>
        <w:rPr>
          <w:rFonts w:hint="eastAsia" w:eastAsia="黑体"/>
          <w:sz w:val="32"/>
          <w:szCs w:val="32"/>
        </w:rPr>
        <w:t>八、</w:t>
      </w:r>
      <w:r>
        <w:rPr>
          <w:rFonts w:eastAsia="黑体"/>
          <w:sz w:val="32"/>
          <w:szCs w:val="32"/>
        </w:rPr>
        <w:t>其他需要说</w:t>
      </w:r>
      <w:bookmarkStart w:id="8" w:name="page8"/>
      <w:bookmarkEnd w:id="8"/>
      <w:r>
        <w:rPr>
          <w:rFonts w:eastAsia="黑体"/>
          <w:sz w:val="32"/>
          <w:szCs w:val="32"/>
        </w:rPr>
        <w:t>明的问题</w:t>
      </w:r>
    </w:p>
    <w:p w14:paraId="4EE62002">
      <w:pPr>
        <w:pStyle w:val="11"/>
        <w:spacing w:after="0" w:line="560" w:lineRule="exact"/>
        <w:ind w:left="0" w:leftChars="0"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本项目无其他需说明的问题。</w:t>
      </w:r>
    </w:p>
    <w:tbl>
      <w:tblPr>
        <w:tblStyle w:val="12"/>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97"/>
        <w:gridCol w:w="397"/>
        <w:gridCol w:w="397"/>
        <w:gridCol w:w="576"/>
        <w:gridCol w:w="846"/>
        <w:gridCol w:w="756"/>
        <w:gridCol w:w="936"/>
        <w:gridCol w:w="756"/>
        <w:gridCol w:w="666"/>
        <w:gridCol w:w="397"/>
        <w:gridCol w:w="846"/>
        <w:gridCol w:w="397"/>
        <w:gridCol w:w="397"/>
        <w:gridCol w:w="1000"/>
      </w:tblGrid>
      <w:tr w14:paraId="440508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4" w:hRule="atLeast"/>
        </w:trPr>
        <w:tc>
          <w:tcPr>
            <w:tcW w:w="5000" w:type="pct"/>
            <w:gridSpan w:val="14"/>
            <w:tcBorders>
              <w:top w:val="nil"/>
              <w:left w:val="nil"/>
              <w:bottom w:val="nil"/>
              <w:right w:val="nil"/>
            </w:tcBorders>
            <w:shd w:val="clear" w:color="auto" w:fill="auto"/>
            <w:vAlign w:val="center"/>
          </w:tcPr>
          <w:p w14:paraId="511E226F">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14:paraId="629678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5000" w:type="pct"/>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45414A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2"/>
                <w:szCs w:val="22"/>
                <w:u w:val="none"/>
                <w:lang w:val="en-US" w:eastAsia="zh-CN" w:bidi="ar"/>
              </w:rPr>
              <w:t>2023年度</w:t>
            </w:r>
            <w:r>
              <w:rPr>
                <w:rFonts w:hint="eastAsia" w:ascii="宋体" w:hAnsi="宋体" w:cs="宋体"/>
                <w:i w:val="0"/>
                <w:iCs w:val="0"/>
                <w:color w:val="000000"/>
                <w:kern w:val="0"/>
                <w:sz w:val="22"/>
                <w:szCs w:val="22"/>
                <w:u w:val="none"/>
                <w:lang w:val="en-US" w:eastAsia="zh-CN" w:bidi="ar"/>
              </w:rPr>
              <w:t>）</w:t>
            </w:r>
          </w:p>
        </w:tc>
      </w:tr>
      <w:tr w14:paraId="19D7FD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41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3F997F2">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项目名称</w:t>
            </w:r>
          </w:p>
        </w:tc>
        <w:tc>
          <w:tcPr>
            <w:tcW w:w="4583" w:type="pct"/>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36C68C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医院事业支出</w:t>
            </w:r>
          </w:p>
        </w:tc>
      </w:tr>
      <w:tr w14:paraId="0E3958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41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BBE985">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主管部门</w:t>
            </w:r>
          </w:p>
        </w:tc>
        <w:tc>
          <w:tcPr>
            <w:tcW w:w="1672"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63025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新疆维吾尔自治区卫生健康委员会</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88477D">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实施单位</w:t>
            </w:r>
          </w:p>
        </w:tc>
        <w:tc>
          <w:tcPr>
            <w:tcW w:w="2246"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DD0D4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新疆维吾尔自治区第一济困医院</w:t>
            </w:r>
          </w:p>
        </w:tc>
      </w:tr>
      <w:tr w14:paraId="68D3C1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416"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021B427">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项目资金</w:t>
            </w:r>
            <w:r>
              <w:rPr>
                <w:rFonts w:hint="eastAsia" w:ascii="宋体" w:hAnsi="宋体" w:eastAsia="宋体" w:cs="宋体"/>
                <w:b/>
                <w:bCs/>
                <w:i w:val="0"/>
                <w:iCs w:val="0"/>
                <w:color w:val="000000"/>
                <w:kern w:val="0"/>
                <w:sz w:val="18"/>
                <w:szCs w:val="18"/>
                <w:u w:val="none"/>
                <w:lang w:val="en-US" w:eastAsia="zh-CN" w:bidi="ar"/>
              </w:rPr>
              <w:br w:type="textWrapping"/>
            </w:r>
            <w:r>
              <w:rPr>
                <w:rFonts w:hint="eastAsia" w:ascii="宋体" w:hAnsi="宋体" w:eastAsia="宋体" w:cs="宋体"/>
                <w:b/>
                <w:bCs/>
                <w:i w:val="0"/>
                <w:iCs w:val="0"/>
                <w:color w:val="000000"/>
                <w:kern w:val="0"/>
                <w:sz w:val="18"/>
                <w:szCs w:val="18"/>
                <w:u w:val="none"/>
                <w:lang w:val="en-US" w:eastAsia="zh-CN" w:bidi="ar"/>
              </w:rPr>
              <w:t>（万元）</w:t>
            </w:r>
          </w:p>
        </w:tc>
        <w:tc>
          <w:tcPr>
            <w:tcW w:w="67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F11DC9">
            <w:pPr>
              <w:jc w:val="center"/>
              <w:rPr>
                <w:rFonts w:hint="eastAsia" w:ascii="宋体" w:hAnsi="宋体" w:eastAsia="宋体" w:cs="宋体"/>
                <w:b/>
                <w:bCs/>
                <w:i w:val="0"/>
                <w:iCs w:val="0"/>
                <w:color w:val="000000"/>
                <w:sz w:val="18"/>
                <w:szCs w:val="18"/>
                <w:u w:val="none"/>
              </w:rPr>
            </w:pP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130E8A">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年初预算数</w:t>
            </w:r>
          </w:p>
        </w:tc>
        <w:tc>
          <w:tcPr>
            <w:tcW w:w="66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6167D5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全年预算数</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8890FC">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全年执行数</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0FAE38">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分值</w:t>
            </w:r>
          </w:p>
        </w:tc>
        <w:tc>
          <w:tcPr>
            <w:tcW w:w="75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D30E534">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执行率</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0A757A">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得分</w:t>
            </w:r>
          </w:p>
        </w:tc>
      </w:tr>
      <w:tr w14:paraId="2BD27C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41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E2A75A">
            <w:pPr>
              <w:jc w:val="center"/>
              <w:rPr>
                <w:rFonts w:hint="eastAsia" w:ascii="宋体" w:hAnsi="宋体" w:eastAsia="宋体" w:cs="宋体"/>
                <w:b/>
                <w:bCs/>
                <w:i w:val="0"/>
                <w:iCs w:val="0"/>
                <w:color w:val="000000"/>
                <w:sz w:val="18"/>
                <w:szCs w:val="18"/>
                <w:u w:val="none"/>
              </w:rPr>
            </w:pPr>
          </w:p>
        </w:tc>
        <w:tc>
          <w:tcPr>
            <w:tcW w:w="67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B052D0A">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年度资金总额</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ADB4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6221.79</w:t>
            </w:r>
          </w:p>
        </w:tc>
        <w:tc>
          <w:tcPr>
            <w:tcW w:w="66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BC091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6964.52</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39DB8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6964.52</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7DEC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75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37FA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B70C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10.00分</w:t>
            </w:r>
          </w:p>
        </w:tc>
      </w:tr>
      <w:tr w14:paraId="0F4987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41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676328">
            <w:pPr>
              <w:jc w:val="center"/>
              <w:rPr>
                <w:rFonts w:hint="eastAsia" w:ascii="宋体" w:hAnsi="宋体" w:eastAsia="宋体" w:cs="宋体"/>
                <w:b/>
                <w:bCs/>
                <w:i w:val="0"/>
                <w:iCs w:val="0"/>
                <w:color w:val="000000"/>
                <w:sz w:val="18"/>
                <w:szCs w:val="18"/>
                <w:u w:val="none"/>
              </w:rPr>
            </w:pPr>
          </w:p>
        </w:tc>
        <w:tc>
          <w:tcPr>
            <w:tcW w:w="67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DB1971">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其中：当年财政拨款</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A726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6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5709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15547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1B08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75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09BA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6443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49A649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41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458F7D">
            <w:pPr>
              <w:jc w:val="center"/>
              <w:rPr>
                <w:rFonts w:hint="eastAsia" w:ascii="宋体" w:hAnsi="宋体" w:eastAsia="宋体" w:cs="宋体"/>
                <w:b/>
                <w:bCs/>
                <w:i w:val="0"/>
                <w:iCs w:val="0"/>
                <w:color w:val="000000"/>
                <w:sz w:val="18"/>
                <w:szCs w:val="18"/>
                <w:u w:val="none"/>
              </w:rPr>
            </w:pPr>
          </w:p>
        </w:tc>
        <w:tc>
          <w:tcPr>
            <w:tcW w:w="67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1996E1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 xml:space="preserve">  其他资金</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AA05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6221.79</w:t>
            </w:r>
          </w:p>
        </w:tc>
        <w:tc>
          <w:tcPr>
            <w:tcW w:w="66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9BF3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6964.52</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7DB4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6964.52</w:t>
            </w:r>
          </w:p>
        </w:tc>
        <w:tc>
          <w:tcPr>
            <w:tcW w:w="6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F95E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75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FEDF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0071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14:paraId="4ACCF9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20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2FDD605">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年度总体目标</w:t>
            </w:r>
          </w:p>
        </w:tc>
        <w:tc>
          <w:tcPr>
            <w:tcW w:w="1880"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6C12E537">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预期目标</w:t>
            </w:r>
          </w:p>
        </w:tc>
        <w:tc>
          <w:tcPr>
            <w:tcW w:w="2910"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4502FA7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实际完成情况</w:t>
            </w:r>
          </w:p>
        </w:tc>
      </w:tr>
      <w:tr w14:paraId="4FAB7E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2C6076">
            <w:pPr>
              <w:jc w:val="center"/>
              <w:rPr>
                <w:rFonts w:hint="eastAsia" w:ascii="宋体" w:hAnsi="宋体" w:eastAsia="宋体" w:cs="宋体"/>
                <w:b/>
                <w:bCs/>
                <w:i w:val="0"/>
                <w:iCs w:val="0"/>
                <w:color w:val="000000"/>
                <w:sz w:val="18"/>
                <w:szCs w:val="18"/>
                <w:u w:val="none"/>
              </w:rPr>
            </w:pPr>
          </w:p>
        </w:tc>
        <w:tc>
          <w:tcPr>
            <w:tcW w:w="1880"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D84FE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实现全面预算；2.建立起“坚持公益、调动积极性、保障可持续性”的新机制；3.贯彻落实公立医院综合改革工作，进一步推广深化医药卫生体制改革；4.超额完成政府的济困政策，有效帮扶弱势群体；5.保障医院基本运行；6.通过绩效考核等方法，有效控制成本；7.建立有效的内部控制机制；8.提高病人在我院就医时的满意度。</w:t>
            </w:r>
          </w:p>
        </w:tc>
        <w:tc>
          <w:tcPr>
            <w:tcW w:w="2910"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33337D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2023年我院保障了13辆车正常运行，每月发放工资人数完成了489人，公立医院平均住院日为9.17天，公立医院百元医疗收入的医疗支出（不含药品）完成168.61元，公立医院百元医疗收入消耗的卫生材料（不含药品）完成21.34元。通过项目的实施，我单位实现了全面预算；建立了“坚持公益、调动积极性、保障可持续性”的新机制；贯彻落实公立医院综合改革工作，进一步推广了深化医药卫生体制改革；超额完成了政府的济困政策，有效帮扶了弱势群体；保障了医院的基本运行；通过绩效考核等方法，有效</w:t>
            </w:r>
            <w:r>
              <w:rPr>
                <w:rFonts w:hint="eastAsia" w:ascii="宋体" w:hAnsi="宋体" w:cs="宋体"/>
                <w:i w:val="0"/>
                <w:iCs w:val="0"/>
                <w:color w:val="000000"/>
                <w:kern w:val="0"/>
                <w:sz w:val="18"/>
                <w:szCs w:val="18"/>
                <w:u w:val="none"/>
                <w:lang w:val="en-US" w:eastAsia="zh-CN" w:bidi="ar"/>
              </w:rPr>
              <w:t>地</w:t>
            </w:r>
            <w:r>
              <w:rPr>
                <w:rFonts w:hint="eastAsia" w:ascii="宋体" w:hAnsi="宋体" w:eastAsia="宋体" w:cs="宋体"/>
                <w:i w:val="0"/>
                <w:iCs w:val="0"/>
                <w:color w:val="000000"/>
                <w:kern w:val="0"/>
                <w:sz w:val="18"/>
                <w:szCs w:val="18"/>
                <w:u w:val="none"/>
                <w:lang w:val="en-US" w:eastAsia="zh-CN" w:bidi="ar"/>
              </w:rPr>
              <w:t>控制成本；建立了有效的内部控制机制；提高了病人在我院就医时的满意度。</w:t>
            </w:r>
          </w:p>
        </w:tc>
      </w:tr>
      <w:tr w14:paraId="109F8B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6" w:hRule="atLeast"/>
        </w:trPr>
        <w:tc>
          <w:tcPr>
            <w:tcW w:w="20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8CD5325">
            <w:pPr>
              <w:jc w:val="center"/>
              <w:rPr>
                <w:rFonts w:hint="eastAsia" w:ascii="宋体" w:hAnsi="宋体" w:eastAsia="宋体" w:cs="宋体"/>
                <w:i w:val="0"/>
                <w:iCs w:val="0"/>
                <w:color w:val="000000"/>
                <w:sz w:val="18"/>
                <w:szCs w:val="18"/>
                <w:u w:val="none"/>
              </w:rPr>
            </w:pPr>
          </w:p>
        </w:tc>
        <w:tc>
          <w:tcPr>
            <w:tcW w:w="20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BE423D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一级指标</w:t>
            </w:r>
          </w:p>
        </w:tc>
        <w:tc>
          <w:tcPr>
            <w:tcW w:w="20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D9D3AD5">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二级指标</w:t>
            </w:r>
          </w:p>
        </w:tc>
        <w:tc>
          <w:tcPr>
            <w:tcW w:w="46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F0F3924">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三级指标</w:t>
            </w:r>
          </w:p>
        </w:tc>
        <w:tc>
          <w:tcPr>
            <w:tcW w:w="3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5D2C256">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权重</w:t>
            </w:r>
          </w:p>
        </w:tc>
        <w:tc>
          <w:tcPr>
            <w:tcW w:w="3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4882BD0">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目标值</w:t>
            </w:r>
          </w:p>
        </w:tc>
        <w:tc>
          <w:tcPr>
            <w:tcW w:w="33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206ED5A">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业绩值</w:t>
            </w:r>
          </w:p>
        </w:tc>
        <w:tc>
          <w:tcPr>
            <w:tcW w:w="3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C0371E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完成率</w:t>
            </w:r>
          </w:p>
        </w:tc>
        <w:tc>
          <w:tcPr>
            <w:tcW w:w="3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84B2F5B">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指标得分</w:t>
            </w:r>
          </w:p>
        </w:tc>
        <w:tc>
          <w:tcPr>
            <w:tcW w:w="3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939CCF4">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指标值设定依据</w:t>
            </w:r>
          </w:p>
        </w:tc>
        <w:tc>
          <w:tcPr>
            <w:tcW w:w="3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7EB6BEC">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上年完成情况</w:t>
            </w:r>
          </w:p>
        </w:tc>
        <w:tc>
          <w:tcPr>
            <w:tcW w:w="39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BCD8C0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赋分规则</w:t>
            </w:r>
          </w:p>
        </w:tc>
        <w:tc>
          <w:tcPr>
            <w:tcW w:w="35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7C90766">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佐证资料</w:t>
            </w:r>
          </w:p>
        </w:tc>
        <w:tc>
          <w:tcPr>
            <w:tcW w:w="82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AB0F2B7">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偏差原因分析及改进措施</w:t>
            </w:r>
          </w:p>
        </w:tc>
      </w:tr>
      <w:tr w14:paraId="0203B4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6"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EDB1A0">
            <w:pPr>
              <w:jc w:val="center"/>
              <w:rPr>
                <w:rFonts w:hint="eastAsia" w:ascii="宋体" w:hAnsi="宋体" w:eastAsia="宋体" w:cs="宋体"/>
                <w:i w:val="0"/>
                <w:iCs w:val="0"/>
                <w:color w:val="000000"/>
                <w:sz w:val="18"/>
                <w:szCs w:val="18"/>
                <w:u w:val="none"/>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F21280">
            <w:pPr>
              <w:jc w:val="center"/>
              <w:rPr>
                <w:rFonts w:hint="eastAsia" w:ascii="宋体" w:hAnsi="宋体" w:eastAsia="宋体" w:cs="宋体"/>
                <w:b/>
                <w:bCs/>
                <w:i w:val="0"/>
                <w:iCs w:val="0"/>
                <w:color w:val="000000"/>
                <w:sz w:val="18"/>
                <w:szCs w:val="18"/>
                <w:u w:val="none"/>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8A2CE3">
            <w:pPr>
              <w:jc w:val="center"/>
              <w:rPr>
                <w:rFonts w:hint="eastAsia" w:ascii="宋体" w:hAnsi="宋体" w:eastAsia="宋体" w:cs="宋体"/>
                <w:b/>
                <w:bCs/>
                <w:i w:val="0"/>
                <w:iCs w:val="0"/>
                <w:color w:val="000000"/>
                <w:sz w:val="18"/>
                <w:szCs w:val="18"/>
                <w:u w:val="none"/>
              </w:rPr>
            </w:pPr>
          </w:p>
        </w:tc>
        <w:tc>
          <w:tcPr>
            <w:tcW w:w="46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C3124A">
            <w:pPr>
              <w:jc w:val="center"/>
              <w:rPr>
                <w:rFonts w:hint="eastAsia" w:ascii="宋体" w:hAnsi="宋体" w:eastAsia="宋体" w:cs="宋体"/>
                <w:b/>
                <w:bCs/>
                <w:i w:val="0"/>
                <w:iCs w:val="0"/>
                <w:color w:val="000000"/>
                <w:sz w:val="18"/>
                <w:szCs w:val="18"/>
                <w:u w:val="none"/>
              </w:rPr>
            </w:pPr>
          </w:p>
        </w:tc>
        <w:tc>
          <w:tcPr>
            <w:tcW w:w="3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08B047">
            <w:pPr>
              <w:jc w:val="center"/>
              <w:rPr>
                <w:rFonts w:hint="eastAsia" w:ascii="宋体" w:hAnsi="宋体" w:eastAsia="宋体" w:cs="宋体"/>
                <w:b/>
                <w:bCs/>
                <w:i w:val="0"/>
                <w:iCs w:val="0"/>
                <w:color w:val="000000"/>
                <w:sz w:val="18"/>
                <w:szCs w:val="18"/>
                <w:u w:val="none"/>
              </w:rPr>
            </w:pPr>
          </w:p>
        </w:tc>
        <w:tc>
          <w:tcPr>
            <w:tcW w:w="3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FB2CBA">
            <w:pPr>
              <w:jc w:val="center"/>
              <w:rPr>
                <w:rFonts w:hint="eastAsia" w:ascii="宋体" w:hAnsi="宋体" w:eastAsia="宋体" w:cs="宋体"/>
                <w:b/>
                <w:bCs/>
                <w:i w:val="0"/>
                <w:iCs w:val="0"/>
                <w:color w:val="000000"/>
                <w:sz w:val="18"/>
                <w:szCs w:val="18"/>
                <w:u w:val="none"/>
              </w:rPr>
            </w:pPr>
          </w:p>
        </w:tc>
        <w:tc>
          <w:tcPr>
            <w:tcW w:w="33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045A53">
            <w:pPr>
              <w:jc w:val="center"/>
              <w:rPr>
                <w:rFonts w:hint="eastAsia" w:ascii="宋体" w:hAnsi="宋体" w:eastAsia="宋体" w:cs="宋体"/>
                <w:b/>
                <w:bCs/>
                <w:i w:val="0"/>
                <w:iCs w:val="0"/>
                <w:color w:val="000000"/>
                <w:sz w:val="18"/>
                <w:szCs w:val="18"/>
                <w:u w:val="none"/>
              </w:rPr>
            </w:pPr>
          </w:p>
        </w:tc>
        <w:tc>
          <w:tcPr>
            <w:tcW w:w="3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C64CF8">
            <w:pPr>
              <w:jc w:val="center"/>
              <w:rPr>
                <w:rFonts w:hint="eastAsia" w:ascii="宋体" w:hAnsi="宋体" w:eastAsia="宋体" w:cs="宋体"/>
                <w:b/>
                <w:bCs/>
                <w:i w:val="0"/>
                <w:iCs w:val="0"/>
                <w:color w:val="000000"/>
                <w:sz w:val="18"/>
                <w:szCs w:val="18"/>
                <w:u w:val="none"/>
              </w:rPr>
            </w:pPr>
          </w:p>
        </w:tc>
        <w:tc>
          <w:tcPr>
            <w:tcW w:w="3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52E5D4">
            <w:pPr>
              <w:jc w:val="center"/>
              <w:rPr>
                <w:rFonts w:hint="eastAsia" w:ascii="宋体" w:hAnsi="宋体" w:eastAsia="宋体" w:cs="宋体"/>
                <w:b/>
                <w:bCs/>
                <w:i w:val="0"/>
                <w:iCs w:val="0"/>
                <w:color w:val="000000"/>
                <w:sz w:val="18"/>
                <w:szCs w:val="18"/>
                <w:u w:val="none"/>
              </w:rPr>
            </w:pPr>
          </w:p>
        </w:tc>
        <w:tc>
          <w:tcPr>
            <w:tcW w:w="3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4B2975">
            <w:pPr>
              <w:jc w:val="center"/>
              <w:rPr>
                <w:rFonts w:hint="eastAsia" w:ascii="宋体" w:hAnsi="宋体" w:eastAsia="宋体" w:cs="宋体"/>
                <w:b/>
                <w:bCs/>
                <w:i w:val="0"/>
                <w:iCs w:val="0"/>
                <w:color w:val="000000"/>
                <w:sz w:val="18"/>
                <w:szCs w:val="18"/>
                <w:u w:val="none"/>
              </w:rPr>
            </w:pPr>
          </w:p>
        </w:tc>
        <w:tc>
          <w:tcPr>
            <w:tcW w:w="3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A9795C">
            <w:pPr>
              <w:jc w:val="center"/>
              <w:rPr>
                <w:rFonts w:hint="eastAsia" w:ascii="宋体" w:hAnsi="宋体" w:eastAsia="宋体" w:cs="宋体"/>
                <w:b/>
                <w:bCs/>
                <w:i w:val="0"/>
                <w:iCs w:val="0"/>
                <w:color w:val="000000"/>
                <w:sz w:val="18"/>
                <w:szCs w:val="18"/>
                <w:u w:val="none"/>
              </w:rPr>
            </w:pPr>
          </w:p>
        </w:tc>
        <w:tc>
          <w:tcPr>
            <w:tcW w:w="39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F82799">
            <w:pPr>
              <w:jc w:val="center"/>
              <w:rPr>
                <w:rFonts w:hint="eastAsia" w:ascii="宋体" w:hAnsi="宋体" w:eastAsia="宋体" w:cs="宋体"/>
                <w:b/>
                <w:bCs/>
                <w:i w:val="0"/>
                <w:iCs w:val="0"/>
                <w:color w:val="000000"/>
                <w:sz w:val="18"/>
                <w:szCs w:val="18"/>
                <w:u w:val="none"/>
              </w:rPr>
            </w:pPr>
          </w:p>
        </w:tc>
        <w:tc>
          <w:tcPr>
            <w:tcW w:w="3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4E3BF5">
            <w:pPr>
              <w:jc w:val="center"/>
              <w:rPr>
                <w:rFonts w:hint="eastAsia" w:ascii="宋体" w:hAnsi="宋体" w:eastAsia="宋体" w:cs="宋体"/>
                <w:b/>
                <w:bCs/>
                <w:i w:val="0"/>
                <w:iCs w:val="0"/>
                <w:color w:val="000000"/>
                <w:sz w:val="18"/>
                <w:szCs w:val="18"/>
                <w:u w:val="none"/>
              </w:rPr>
            </w:pPr>
          </w:p>
        </w:tc>
        <w:tc>
          <w:tcPr>
            <w:tcW w:w="82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4787BA">
            <w:pPr>
              <w:jc w:val="center"/>
              <w:rPr>
                <w:rFonts w:hint="eastAsia" w:ascii="宋体" w:hAnsi="宋体" w:eastAsia="宋体" w:cs="宋体"/>
                <w:b/>
                <w:bCs/>
                <w:i w:val="0"/>
                <w:iCs w:val="0"/>
                <w:color w:val="000000"/>
                <w:sz w:val="18"/>
                <w:szCs w:val="18"/>
                <w:u w:val="none"/>
              </w:rPr>
            </w:pPr>
          </w:p>
        </w:tc>
      </w:tr>
      <w:tr w14:paraId="0C33F9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20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8B17B42">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年度绩效指标完成情况</w:t>
            </w:r>
          </w:p>
        </w:tc>
        <w:tc>
          <w:tcPr>
            <w:tcW w:w="20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ECB56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9E60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EBDD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公立医院资产负债率</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63AE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0B7D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&lt;=60%</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113D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=52.64%</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C029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1390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7432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历史标准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E6D9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64.95%</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C862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2D3A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说明材料</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01D26C">
            <w:pPr>
              <w:jc w:val="center"/>
              <w:rPr>
                <w:rFonts w:hint="eastAsia" w:ascii="宋体" w:hAnsi="宋体" w:eastAsia="宋体" w:cs="宋体"/>
                <w:i w:val="0"/>
                <w:iCs w:val="0"/>
                <w:color w:val="000000"/>
                <w:sz w:val="18"/>
                <w:szCs w:val="18"/>
                <w:u w:val="none"/>
              </w:rPr>
            </w:pPr>
          </w:p>
        </w:tc>
      </w:tr>
      <w:tr w14:paraId="40EB44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1F3EF8">
            <w:pPr>
              <w:jc w:val="center"/>
              <w:rPr>
                <w:rFonts w:hint="eastAsia" w:ascii="宋体" w:hAnsi="宋体" w:eastAsia="宋体" w:cs="宋体"/>
                <w:b/>
                <w:bCs/>
                <w:i w:val="0"/>
                <w:iCs w:val="0"/>
                <w:color w:val="000000"/>
                <w:sz w:val="18"/>
                <w:szCs w:val="18"/>
                <w:u w:val="none"/>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E5D8D1">
            <w:pPr>
              <w:jc w:val="center"/>
              <w:rPr>
                <w:rFonts w:hint="eastAsia" w:ascii="宋体" w:hAnsi="宋体" w:eastAsia="宋体" w:cs="宋体"/>
                <w:i w:val="0"/>
                <w:iCs w:val="0"/>
                <w:color w:val="000000"/>
                <w:sz w:val="18"/>
                <w:szCs w:val="18"/>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7691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DB6E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公立医院医疗服务收入（不含药品、耗材、检查、化验收入）占医疗收入的比例</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724D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FB64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&gt;=30%</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0D7E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=36.19%</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2C61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7201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8698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历史标准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78AC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33.95%</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4878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2340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说明材料</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C11BB0">
            <w:pPr>
              <w:jc w:val="center"/>
              <w:rPr>
                <w:rFonts w:hint="eastAsia" w:ascii="宋体" w:hAnsi="宋体" w:eastAsia="宋体" w:cs="宋体"/>
                <w:i w:val="0"/>
                <w:iCs w:val="0"/>
                <w:color w:val="000000"/>
                <w:sz w:val="18"/>
                <w:szCs w:val="18"/>
                <w:u w:val="none"/>
              </w:rPr>
            </w:pPr>
          </w:p>
        </w:tc>
      </w:tr>
      <w:tr w14:paraId="4337CE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094B46">
            <w:pPr>
              <w:jc w:val="center"/>
              <w:rPr>
                <w:rFonts w:hint="eastAsia" w:ascii="宋体" w:hAnsi="宋体" w:eastAsia="宋体" w:cs="宋体"/>
                <w:b/>
                <w:bCs/>
                <w:i w:val="0"/>
                <w:iCs w:val="0"/>
                <w:color w:val="000000"/>
                <w:sz w:val="18"/>
                <w:szCs w:val="18"/>
                <w:u w:val="none"/>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E7467C">
            <w:pPr>
              <w:jc w:val="center"/>
              <w:rPr>
                <w:rFonts w:hint="eastAsia" w:ascii="宋体" w:hAnsi="宋体" w:eastAsia="宋体" w:cs="宋体"/>
                <w:i w:val="0"/>
                <w:iCs w:val="0"/>
                <w:color w:val="000000"/>
                <w:sz w:val="18"/>
                <w:szCs w:val="18"/>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6857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FB5B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保障车辆运行数量</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007A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8414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&gt;=13辆</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B130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FBEE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744B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277A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E71C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13辆</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15B3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814A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说明材料</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5B19C3">
            <w:pPr>
              <w:jc w:val="center"/>
              <w:rPr>
                <w:rFonts w:hint="eastAsia" w:ascii="宋体" w:hAnsi="宋体" w:eastAsia="宋体" w:cs="宋体"/>
                <w:i w:val="0"/>
                <w:iCs w:val="0"/>
                <w:color w:val="000000"/>
                <w:sz w:val="18"/>
                <w:szCs w:val="18"/>
                <w:u w:val="none"/>
              </w:rPr>
            </w:pPr>
          </w:p>
        </w:tc>
      </w:tr>
      <w:tr w14:paraId="4268DF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85D9E5">
            <w:pPr>
              <w:jc w:val="center"/>
              <w:rPr>
                <w:rFonts w:hint="eastAsia" w:ascii="宋体" w:hAnsi="宋体" w:eastAsia="宋体" w:cs="宋体"/>
                <w:b/>
                <w:bCs/>
                <w:i w:val="0"/>
                <w:iCs w:val="0"/>
                <w:color w:val="000000"/>
                <w:sz w:val="18"/>
                <w:szCs w:val="18"/>
                <w:u w:val="none"/>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92C75C">
            <w:pPr>
              <w:jc w:val="center"/>
              <w:rPr>
                <w:rFonts w:hint="eastAsia" w:ascii="宋体" w:hAnsi="宋体" w:eastAsia="宋体" w:cs="宋体"/>
                <w:i w:val="0"/>
                <w:iCs w:val="0"/>
                <w:color w:val="000000"/>
                <w:sz w:val="18"/>
                <w:szCs w:val="18"/>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8E6C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6FC8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应发放工资人数</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DC6A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7B65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&gt;=475人</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CBDE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=489人</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F06F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01B7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2BA8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CBDD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478人</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FEAB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3F16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说明材料</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8C71D8">
            <w:pPr>
              <w:jc w:val="center"/>
              <w:rPr>
                <w:rFonts w:hint="eastAsia" w:ascii="宋体" w:hAnsi="宋体" w:eastAsia="宋体" w:cs="宋体"/>
                <w:i w:val="0"/>
                <w:iCs w:val="0"/>
                <w:color w:val="000000"/>
                <w:sz w:val="18"/>
                <w:szCs w:val="18"/>
                <w:u w:val="none"/>
              </w:rPr>
            </w:pPr>
          </w:p>
        </w:tc>
      </w:tr>
      <w:tr w14:paraId="46A89E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17BFDF">
            <w:pPr>
              <w:jc w:val="center"/>
              <w:rPr>
                <w:rFonts w:hint="eastAsia" w:ascii="宋体" w:hAnsi="宋体" w:eastAsia="宋体" w:cs="宋体"/>
                <w:b/>
                <w:bCs/>
                <w:i w:val="0"/>
                <w:iCs w:val="0"/>
                <w:color w:val="000000"/>
                <w:sz w:val="18"/>
                <w:szCs w:val="18"/>
                <w:u w:val="none"/>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7E05DA">
            <w:pPr>
              <w:jc w:val="center"/>
              <w:rPr>
                <w:rFonts w:hint="eastAsia" w:ascii="宋体" w:hAnsi="宋体" w:eastAsia="宋体" w:cs="宋体"/>
                <w:i w:val="0"/>
                <w:iCs w:val="0"/>
                <w:color w:val="000000"/>
                <w:sz w:val="18"/>
                <w:szCs w:val="18"/>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5B22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97DE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院内感染率</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1BC2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8286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&lt;=10%</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CE13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274D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7F5C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F555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行业标准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09FF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1.61%</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6C43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E473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说明材料</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BEBC2E">
            <w:pPr>
              <w:jc w:val="center"/>
              <w:rPr>
                <w:rFonts w:hint="eastAsia" w:ascii="宋体" w:hAnsi="宋体" w:eastAsia="宋体" w:cs="宋体"/>
                <w:i w:val="0"/>
                <w:iCs w:val="0"/>
                <w:color w:val="000000"/>
                <w:sz w:val="18"/>
                <w:szCs w:val="18"/>
                <w:u w:val="none"/>
              </w:rPr>
            </w:pPr>
          </w:p>
        </w:tc>
      </w:tr>
      <w:tr w14:paraId="407422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55BEA6">
            <w:pPr>
              <w:jc w:val="center"/>
              <w:rPr>
                <w:rFonts w:hint="eastAsia" w:ascii="宋体" w:hAnsi="宋体" w:eastAsia="宋体" w:cs="宋体"/>
                <w:b/>
                <w:bCs/>
                <w:i w:val="0"/>
                <w:iCs w:val="0"/>
                <w:color w:val="000000"/>
                <w:sz w:val="18"/>
                <w:szCs w:val="18"/>
                <w:u w:val="none"/>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2AD1C8">
            <w:pPr>
              <w:jc w:val="center"/>
              <w:rPr>
                <w:rFonts w:hint="eastAsia" w:ascii="宋体" w:hAnsi="宋体" w:eastAsia="宋体" w:cs="宋体"/>
                <w:i w:val="0"/>
                <w:iCs w:val="0"/>
                <w:color w:val="000000"/>
                <w:sz w:val="18"/>
                <w:szCs w:val="18"/>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2C47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8B22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公立医院平均住院日</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65ED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4BD2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&lt;=9.40天</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A098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=9.17天</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536C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497F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70D8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历史标准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37A9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9.43天</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2F01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1F3E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说明材料</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C73B60">
            <w:pPr>
              <w:jc w:val="center"/>
              <w:rPr>
                <w:rFonts w:hint="eastAsia" w:ascii="宋体" w:hAnsi="宋体" w:eastAsia="宋体" w:cs="宋体"/>
                <w:i w:val="0"/>
                <w:iCs w:val="0"/>
                <w:color w:val="000000"/>
                <w:sz w:val="18"/>
                <w:szCs w:val="18"/>
                <w:u w:val="none"/>
              </w:rPr>
            </w:pPr>
          </w:p>
        </w:tc>
      </w:tr>
      <w:tr w14:paraId="799D88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D95911">
            <w:pPr>
              <w:jc w:val="center"/>
              <w:rPr>
                <w:rFonts w:hint="eastAsia" w:ascii="宋体" w:hAnsi="宋体" w:eastAsia="宋体" w:cs="宋体"/>
                <w:b/>
                <w:bCs/>
                <w:i w:val="0"/>
                <w:iCs w:val="0"/>
                <w:color w:val="000000"/>
                <w:sz w:val="18"/>
                <w:szCs w:val="18"/>
                <w:u w:val="none"/>
              </w:rPr>
            </w:pPr>
          </w:p>
        </w:tc>
        <w:tc>
          <w:tcPr>
            <w:tcW w:w="20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044AD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B713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B8F4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公立医院百元医疗收入的医疗支出（不含药品收入）</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836E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77EB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&lt;=210元</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2449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=168.61元</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9116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A1FC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62FB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历史标准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D75C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256.18元</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3C9A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2200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说明材料</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2D6EEA">
            <w:pPr>
              <w:jc w:val="center"/>
              <w:rPr>
                <w:rFonts w:hint="eastAsia" w:ascii="宋体" w:hAnsi="宋体" w:eastAsia="宋体" w:cs="宋体"/>
                <w:i w:val="0"/>
                <w:iCs w:val="0"/>
                <w:color w:val="000000"/>
                <w:sz w:val="18"/>
                <w:szCs w:val="18"/>
                <w:u w:val="none"/>
              </w:rPr>
            </w:pPr>
          </w:p>
        </w:tc>
      </w:tr>
      <w:tr w14:paraId="0ECAB9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1BB7E0">
            <w:pPr>
              <w:jc w:val="center"/>
              <w:rPr>
                <w:rFonts w:hint="eastAsia" w:ascii="宋体" w:hAnsi="宋体" w:eastAsia="宋体" w:cs="宋体"/>
                <w:b/>
                <w:bCs/>
                <w:i w:val="0"/>
                <w:iCs w:val="0"/>
                <w:color w:val="000000"/>
                <w:sz w:val="18"/>
                <w:szCs w:val="18"/>
                <w:u w:val="none"/>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AD7563">
            <w:pPr>
              <w:jc w:val="center"/>
              <w:rPr>
                <w:rFonts w:hint="eastAsia" w:ascii="宋体" w:hAnsi="宋体" w:eastAsia="宋体" w:cs="宋体"/>
                <w:i w:val="0"/>
                <w:iCs w:val="0"/>
                <w:color w:val="000000"/>
                <w:sz w:val="18"/>
                <w:szCs w:val="18"/>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8176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574C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公立医院百元医疗收入消耗的卫生材料（不含药品）</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271C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5E3C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&lt;=30元</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E5ED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=21.34元</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26F0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0FA5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F5E1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历史标准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B424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32.35元</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769D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99D4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说明材料</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83751C">
            <w:pPr>
              <w:jc w:val="center"/>
              <w:rPr>
                <w:rFonts w:hint="eastAsia" w:ascii="宋体" w:hAnsi="宋体" w:eastAsia="宋体" w:cs="宋体"/>
                <w:i w:val="0"/>
                <w:iCs w:val="0"/>
                <w:color w:val="000000"/>
                <w:sz w:val="18"/>
                <w:szCs w:val="18"/>
                <w:u w:val="none"/>
              </w:rPr>
            </w:pPr>
          </w:p>
        </w:tc>
      </w:tr>
      <w:tr w14:paraId="2ECE39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E7DF4C">
            <w:pPr>
              <w:jc w:val="center"/>
              <w:rPr>
                <w:rFonts w:hint="eastAsia" w:ascii="宋体" w:hAnsi="宋体" w:eastAsia="宋体" w:cs="宋体"/>
                <w:b/>
                <w:bCs/>
                <w:i w:val="0"/>
                <w:iCs w:val="0"/>
                <w:color w:val="000000"/>
                <w:sz w:val="18"/>
                <w:szCs w:val="18"/>
                <w:u w:val="none"/>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9D8033">
            <w:pPr>
              <w:jc w:val="center"/>
              <w:rPr>
                <w:rFonts w:hint="eastAsia" w:ascii="宋体" w:hAnsi="宋体" w:eastAsia="宋体" w:cs="宋体"/>
                <w:i w:val="0"/>
                <w:iCs w:val="0"/>
                <w:color w:val="000000"/>
                <w:sz w:val="18"/>
                <w:szCs w:val="18"/>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2BF8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A5CF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单位管理费用占费用总额的比重</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F679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CA4E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&lt;=20%</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18EF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=12.54%</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F425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37E9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85E5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历史标准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3FCE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15.22%</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1D97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C0E5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说明材料</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4F525B">
            <w:pPr>
              <w:jc w:val="center"/>
              <w:rPr>
                <w:rFonts w:hint="eastAsia" w:ascii="宋体" w:hAnsi="宋体" w:eastAsia="宋体" w:cs="宋体"/>
                <w:i w:val="0"/>
                <w:iCs w:val="0"/>
                <w:color w:val="000000"/>
                <w:sz w:val="18"/>
                <w:szCs w:val="18"/>
                <w:u w:val="none"/>
              </w:rPr>
            </w:pPr>
          </w:p>
        </w:tc>
      </w:tr>
      <w:tr w14:paraId="0D391D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3B86BF">
            <w:pPr>
              <w:jc w:val="center"/>
              <w:rPr>
                <w:rFonts w:hint="eastAsia" w:ascii="宋体" w:hAnsi="宋体" w:eastAsia="宋体" w:cs="宋体"/>
                <w:b/>
                <w:bCs/>
                <w:i w:val="0"/>
                <w:iCs w:val="0"/>
                <w:color w:val="000000"/>
                <w:sz w:val="18"/>
                <w:szCs w:val="18"/>
                <w:u w:val="none"/>
              </w:rPr>
            </w:pPr>
          </w:p>
        </w:tc>
        <w:tc>
          <w:tcPr>
            <w:tcW w:w="20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3F3EA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AB54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F855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门诊次均药品费用增幅</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0EFE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1165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&lt;=5%</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CEC8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=19.9%</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F926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298%</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955F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6DC9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历史标准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BE6E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-18.66%</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DEC9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BD12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说明材料</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DE2E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由于2022年受新冠疫情影响导致门诊次均费用下降幅度较大，故较预期目标偏差过大，今后将进一步提升预算编制科学性与精确性。</w:t>
            </w:r>
          </w:p>
        </w:tc>
      </w:tr>
      <w:tr w14:paraId="533259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09DD80">
            <w:pPr>
              <w:jc w:val="center"/>
              <w:rPr>
                <w:rFonts w:hint="eastAsia" w:ascii="宋体" w:hAnsi="宋体" w:eastAsia="宋体" w:cs="宋体"/>
                <w:b/>
                <w:bCs/>
                <w:i w:val="0"/>
                <w:iCs w:val="0"/>
                <w:color w:val="000000"/>
                <w:sz w:val="18"/>
                <w:szCs w:val="18"/>
                <w:u w:val="none"/>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0635A1">
            <w:pPr>
              <w:jc w:val="center"/>
              <w:rPr>
                <w:rFonts w:hint="eastAsia" w:ascii="宋体" w:hAnsi="宋体" w:eastAsia="宋体" w:cs="宋体"/>
                <w:i w:val="0"/>
                <w:iCs w:val="0"/>
                <w:color w:val="000000"/>
                <w:sz w:val="18"/>
                <w:szCs w:val="18"/>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5F5F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9782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出院者次均药品费用增幅</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50BC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3EFD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&lt;=5%</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2450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=-11.14%</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4302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C8D1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6A10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历史标准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B9B0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-15.76%</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21E1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按照完成比例赋分</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0005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说明材料</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CAED08">
            <w:pPr>
              <w:jc w:val="center"/>
              <w:rPr>
                <w:rFonts w:hint="eastAsia" w:ascii="宋体" w:hAnsi="宋体" w:eastAsia="宋体" w:cs="宋体"/>
                <w:i w:val="0"/>
                <w:iCs w:val="0"/>
                <w:color w:val="000000"/>
                <w:sz w:val="18"/>
                <w:szCs w:val="18"/>
                <w:u w:val="none"/>
              </w:rPr>
            </w:pPr>
          </w:p>
        </w:tc>
      </w:tr>
      <w:tr w14:paraId="339248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3732D0">
            <w:pPr>
              <w:jc w:val="center"/>
              <w:rPr>
                <w:rFonts w:hint="eastAsia" w:ascii="宋体" w:hAnsi="宋体" w:eastAsia="宋体" w:cs="宋体"/>
                <w:b/>
                <w:bCs/>
                <w:i w:val="0"/>
                <w:iCs w:val="0"/>
                <w:color w:val="000000"/>
                <w:sz w:val="18"/>
                <w:szCs w:val="18"/>
                <w:u w:val="none"/>
              </w:rPr>
            </w:pPr>
          </w:p>
        </w:tc>
        <w:tc>
          <w:tcPr>
            <w:tcW w:w="20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B8E33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E66A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EADE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公立医院病人满意度</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E436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E1F8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&gt;=90%</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2F7F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=85.45%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84A2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98DA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2427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历史标准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76A8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92.04%</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2665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满意度赋分</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33FF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说明材料</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BDAF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由于我院建成时间较长，院区部分基建设施较陈旧，部分患者就诊体验有待进一步提高，故满意度指标未达到预期，今后将在现有基建设施条件下提升医疗服务水平和护理质量，提升患者满意度。</w:t>
            </w:r>
          </w:p>
        </w:tc>
      </w:tr>
      <w:tr w14:paraId="6100FD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77D007">
            <w:pPr>
              <w:jc w:val="center"/>
              <w:rPr>
                <w:rFonts w:hint="eastAsia" w:ascii="宋体" w:hAnsi="宋体" w:eastAsia="宋体" w:cs="宋体"/>
                <w:b/>
                <w:bCs/>
                <w:i w:val="0"/>
                <w:iCs w:val="0"/>
                <w:color w:val="000000"/>
                <w:sz w:val="18"/>
                <w:szCs w:val="18"/>
                <w:u w:val="none"/>
              </w:rPr>
            </w:pPr>
          </w:p>
        </w:tc>
        <w:tc>
          <w:tcPr>
            <w:tcW w:w="20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40A1A0">
            <w:pPr>
              <w:jc w:val="center"/>
              <w:rPr>
                <w:rFonts w:hint="eastAsia" w:ascii="宋体" w:hAnsi="宋体" w:eastAsia="宋体" w:cs="宋体"/>
                <w:i w:val="0"/>
                <w:iCs w:val="0"/>
                <w:color w:val="000000"/>
                <w:sz w:val="18"/>
                <w:szCs w:val="18"/>
                <w:u w:val="none"/>
              </w:rPr>
            </w:pPr>
          </w:p>
        </w:tc>
        <w:tc>
          <w:tcPr>
            <w:tcW w:w="20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D43D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46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FE79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公立医院职工满意度</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5814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1D24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&gt;=80%</w:t>
            </w: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B252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=70.77%</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192C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88.46%</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713F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3971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历史标准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E712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72.97%</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D724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满意度赋分</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0D8B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说明材料</w:t>
            </w: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7CB2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由于我院建成时间较长，院区部分基建设施较陈旧，职工工作环境有待进一步提高，故满意度指标未达到预期，今后将在现有基建设施条件下优化职工工作环境，提升职工满意度。</w:t>
            </w:r>
          </w:p>
        </w:tc>
      </w:tr>
      <w:tr w14:paraId="377371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9" w:hRule="atLeast"/>
        </w:trPr>
        <w:tc>
          <w:tcPr>
            <w:tcW w:w="1091" w:type="pct"/>
            <w:gridSpan w:val="4"/>
            <w:tcBorders>
              <w:top w:val="single" w:color="000000" w:sz="4" w:space="0"/>
              <w:left w:val="single" w:color="000000" w:sz="4" w:space="0"/>
              <w:bottom w:val="single" w:color="000000" w:sz="4" w:space="0"/>
              <w:right w:val="nil"/>
            </w:tcBorders>
            <w:shd w:val="clear" w:color="auto" w:fill="auto"/>
            <w:vAlign w:val="center"/>
          </w:tcPr>
          <w:p w14:paraId="140C3E00">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总分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23E5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32" w:type="pct"/>
            <w:tcBorders>
              <w:top w:val="single" w:color="000000" w:sz="4" w:space="0"/>
              <w:left w:val="nil"/>
              <w:bottom w:val="single" w:color="000000" w:sz="4" w:space="0"/>
              <w:right w:val="single" w:color="000000" w:sz="4" w:space="0"/>
            </w:tcBorders>
            <w:shd w:val="clear" w:color="auto" w:fill="auto"/>
            <w:vAlign w:val="center"/>
          </w:tcPr>
          <w:p w14:paraId="363EC513">
            <w:pPr>
              <w:rPr>
                <w:rFonts w:hint="eastAsia" w:ascii="宋体" w:hAnsi="宋体" w:eastAsia="宋体" w:cs="宋体"/>
                <w:b/>
                <w:bCs/>
                <w:i w:val="0"/>
                <w:iCs w:val="0"/>
                <w:color w:val="000000"/>
                <w:sz w:val="18"/>
                <w:szCs w:val="18"/>
                <w:u w:val="none"/>
              </w:rPr>
            </w:pPr>
          </w:p>
        </w:tc>
        <w:tc>
          <w:tcPr>
            <w:tcW w:w="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622C20">
            <w:pPr>
              <w:jc w:val="center"/>
              <w:rPr>
                <w:rFonts w:hint="eastAsia" w:ascii="宋体" w:hAnsi="宋体" w:eastAsia="宋体" w:cs="宋体"/>
                <w:i w:val="0"/>
                <w:iCs w:val="0"/>
                <w:color w:val="000000"/>
                <w:sz w:val="18"/>
                <w:szCs w:val="18"/>
                <w:u w:val="none"/>
              </w:rPr>
            </w:pP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FD954C">
            <w:pPr>
              <w:jc w:val="center"/>
              <w:rPr>
                <w:rFonts w:hint="eastAsia" w:ascii="宋体" w:hAnsi="宋体" w:eastAsia="宋体" w:cs="宋体"/>
                <w:i w:val="0"/>
                <w:iCs w:val="0"/>
                <w:color w:val="000000"/>
                <w:sz w:val="18"/>
                <w:szCs w:val="18"/>
                <w:u w:val="none"/>
              </w:rPr>
            </w:pP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F5F2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89.00分</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708C43">
            <w:pPr>
              <w:rPr>
                <w:rFonts w:hint="eastAsia" w:ascii="宋体" w:hAnsi="宋体" w:eastAsia="宋体" w:cs="宋体"/>
                <w:i w:val="0"/>
                <w:iCs w:val="0"/>
                <w:color w:val="000000"/>
                <w:sz w:val="18"/>
                <w:szCs w:val="18"/>
                <w:u w:val="none"/>
              </w:rPr>
            </w:pP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C13155">
            <w:pPr>
              <w:rPr>
                <w:rFonts w:hint="eastAsia" w:ascii="宋体" w:hAnsi="宋体" w:eastAsia="宋体" w:cs="宋体"/>
                <w:i w:val="0"/>
                <w:iCs w:val="0"/>
                <w:color w:val="000000"/>
                <w:sz w:val="18"/>
                <w:szCs w:val="18"/>
                <w:u w:val="none"/>
              </w:rPr>
            </w:pP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772640">
            <w:pPr>
              <w:rPr>
                <w:rFonts w:hint="eastAsia" w:ascii="宋体" w:hAnsi="宋体" w:eastAsia="宋体" w:cs="宋体"/>
                <w:i w:val="0"/>
                <w:iCs w:val="0"/>
                <w:color w:val="000000"/>
                <w:sz w:val="18"/>
                <w:szCs w:val="18"/>
                <w:u w:val="none"/>
              </w:rPr>
            </w:pP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339F10">
            <w:pPr>
              <w:rPr>
                <w:rFonts w:hint="eastAsia" w:ascii="宋体" w:hAnsi="宋体" w:eastAsia="宋体" w:cs="宋体"/>
                <w:i w:val="0"/>
                <w:iCs w:val="0"/>
                <w:color w:val="000000"/>
                <w:sz w:val="18"/>
                <w:szCs w:val="18"/>
                <w:u w:val="none"/>
              </w:rPr>
            </w:pPr>
          </w:p>
        </w:tc>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655940">
            <w:pPr>
              <w:rPr>
                <w:rFonts w:hint="eastAsia" w:ascii="宋体" w:hAnsi="宋体" w:eastAsia="宋体" w:cs="宋体"/>
                <w:i w:val="0"/>
                <w:iCs w:val="0"/>
                <w:color w:val="000000"/>
                <w:sz w:val="18"/>
                <w:szCs w:val="18"/>
                <w:u w:val="none"/>
              </w:rPr>
            </w:pPr>
          </w:p>
        </w:tc>
      </w:tr>
    </w:tbl>
    <w:p w14:paraId="469112FC">
      <w:pPr>
        <w:pStyle w:val="11"/>
        <w:spacing w:after="0" w:line="560" w:lineRule="exact"/>
        <w:ind w:left="0" w:leftChars="0" w:firstLine="0" w:firstLineChars="0"/>
        <w:rPr>
          <w:rFonts w:ascii="仿宋_GB2312" w:hAnsi="仿宋_GB2312" w:eastAsia="仿宋_GB2312" w:cs="仿宋_GB2312"/>
          <w:sz w:val="32"/>
          <w:szCs w:val="32"/>
        </w:rPr>
      </w:pPr>
    </w:p>
    <w:p w14:paraId="138115D4">
      <w:pPr>
        <w:pStyle w:val="9"/>
        <w:jc w:val="both"/>
        <w:rPr>
          <w:rFonts w:ascii="Times New Roman" w:hAnsi="Times New Roman" w:eastAsia="黑体"/>
          <w:b w:val="0"/>
          <w:bCs w:val="0"/>
        </w:rPr>
      </w:pPr>
    </w:p>
    <w:p w14:paraId="51D3A0A5">
      <w:pPr>
        <w:pStyle w:val="9"/>
        <w:rPr>
          <w:rFonts w:ascii="Times New Roman" w:hAnsi="Times New Roman" w:eastAsia="黑体"/>
          <w:b w:val="0"/>
          <w:bCs w:val="0"/>
        </w:rPr>
      </w:pPr>
    </w:p>
    <w:p w14:paraId="1D50054E">
      <w:pPr>
        <w:pStyle w:val="9"/>
        <w:jc w:val="both"/>
        <w:rPr>
          <w:rFonts w:ascii="Times New Roman" w:hAnsi="Times New Roman"/>
        </w:rPr>
        <w:sectPr>
          <w:footerReference r:id="rId3" w:type="default"/>
          <w:pgSz w:w="11906" w:h="16838"/>
          <w:pgMar w:top="1440" w:right="1558" w:bottom="1440" w:left="1800" w:header="851" w:footer="992" w:gutter="0"/>
          <w:cols w:space="425" w:num="1"/>
          <w:docGrid w:type="lines" w:linePitch="312" w:charSpace="0"/>
        </w:sectPr>
      </w:pPr>
    </w:p>
    <w:p w14:paraId="6224C2D1">
      <w:pPr>
        <w:spacing w:line="600" w:lineRule="exact"/>
        <w:rPr>
          <w:bCs/>
          <w:sz w:val="32"/>
          <w:szCs w:val="32"/>
        </w:rPr>
      </w:pPr>
      <w:r>
        <w:rPr>
          <w:bCs/>
          <w:sz w:val="32"/>
          <w:szCs w:val="32"/>
        </w:rPr>
        <w:t>附件1</w:t>
      </w:r>
    </w:p>
    <w:tbl>
      <w:tblPr>
        <w:tblStyle w:val="12"/>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839"/>
        <w:gridCol w:w="767"/>
        <w:gridCol w:w="873"/>
        <w:gridCol w:w="2353"/>
        <w:gridCol w:w="5188"/>
        <w:gridCol w:w="1300"/>
        <w:gridCol w:w="1363"/>
      </w:tblGrid>
      <w:tr w14:paraId="5370DB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331" w:type="pct"/>
            <w:shd w:val="clear" w:color="auto" w:fill="FFFFFF"/>
            <w:vAlign w:val="center"/>
          </w:tcPr>
          <w:p w14:paraId="6B39A289">
            <w:pPr>
              <w:widowControl/>
              <w:spacing w:line="0" w:lineRule="atLeast"/>
              <w:jc w:val="center"/>
              <w:rPr>
                <w:b/>
                <w:bCs/>
                <w:kern w:val="0"/>
                <w:sz w:val="22"/>
                <w:szCs w:val="22"/>
              </w:rPr>
            </w:pPr>
            <w:r>
              <w:rPr>
                <w:b/>
                <w:bCs/>
                <w:kern w:val="0"/>
                <w:sz w:val="22"/>
                <w:szCs w:val="22"/>
              </w:rPr>
              <w:t>一级指标</w:t>
            </w:r>
          </w:p>
        </w:tc>
        <w:tc>
          <w:tcPr>
            <w:tcW w:w="302" w:type="pct"/>
            <w:shd w:val="clear" w:color="auto" w:fill="FFFFFF"/>
            <w:vAlign w:val="center"/>
          </w:tcPr>
          <w:p w14:paraId="32A53873">
            <w:pPr>
              <w:widowControl/>
              <w:spacing w:line="0" w:lineRule="atLeast"/>
              <w:jc w:val="center"/>
              <w:rPr>
                <w:b/>
                <w:bCs/>
                <w:kern w:val="0"/>
                <w:sz w:val="22"/>
                <w:szCs w:val="22"/>
              </w:rPr>
            </w:pPr>
            <w:r>
              <w:rPr>
                <w:b/>
                <w:bCs/>
                <w:kern w:val="0"/>
                <w:sz w:val="22"/>
                <w:szCs w:val="22"/>
              </w:rPr>
              <w:t>二级指标</w:t>
            </w:r>
          </w:p>
        </w:tc>
        <w:tc>
          <w:tcPr>
            <w:tcW w:w="344" w:type="pct"/>
            <w:shd w:val="clear" w:color="auto" w:fill="FFFFFF"/>
            <w:vAlign w:val="center"/>
          </w:tcPr>
          <w:p w14:paraId="6D1E4E98">
            <w:pPr>
              <w:widowControl/>
              <w:spacing w:line="0" w:lineRule="atLeast"/>
              <w:jc w:val="center"/>
              <w:rPr>
                <w:b/>
                <w:bCs/>
                <w:kern w:val="0"/>
                <w:sz w:val="22"/>
                <w:szCs w:val="22"/>
              </w:rPr>
            </w:pPr>
            <w:r>
              <w:rPr>
                <w:b/>
                <w:bCs/>
                <w:kern w:val="0"/>
                <w:sz w:val="22"/>
                <w:szCs w:val="22"/>
              </w:rPr>
              <w:t>三级指标</w:t>
            </w:r>
          </w:p>
        </w:tc>
        <w:tc>
          <w:tcPr>
            <w:tcW w:w="927" w:type="pct"/>
            <w:shd w:val="clear" w:color="auto" w:fill="FFFFFF"/>
            <w:vAlign w:val="center"/>
          </w:tcPr>
          <w:p w14:paraId="0EE2C4AA">
            <w:pPr>
              <w:widowControl/>
              <w:spacing w:line="0" w:lineRule="atLeast"/>
              <w:jc w:val="center"/>
              <w:rPr>
                <w:b/>
                <w:bCs/>
                <w:kern w:val="0"/>
                <w:sz w:val="22"/>
                <w:szCs w:val="22"/>
              </w:rPr>
            </w:pPr>
            <w:r>
              <w:rPr>
                <w:b/>
                <w:bCs/>
                <w:kern w:val="0"/>
                <w:sz w:val="22"/>
                <w:szCs w:val="22"/>
              </w:rPr>
              <w:t>指标解释</w:t>
            </w:r>
          </w:p>
        </w:tc>
        <w:tc>
          <w:tcPr>
            <w:tcW w:w="2044" w:type="pct"/>
            <w:shd w:val="clear" w:color="auto" w:fill="FFFFFF"/>
            <w:vAlign w:val="center"/>
          </w:tcPr>
          <w:p w14:paraId="2353CA96">
            <w:pPr>
              <w:widowControl/>
              <w:spacing w:line="0" w:lineRule="atLeast"/>
              <w:jc w:val="center"/>
              <w:rPr>
                <w:b/>
                <w:bCs/>
                <w:kern w:val="0"/>
                <w:sz w:val="22"/>
                <w:szCs w:val="22"/>
              </w:rPr>
            </w:pPr>
            <w:r>
              <w:rPr>
                <w:b/>
                <w:bCs/>
                <w:kern w:val="0"/>
                <w:sz w:val="22"/>
                <w:szCs w:val="22"/>
              </w:rPr>
              <w:t>指标说明</w:t>
            </w:r>
          </w:p>
        </w:tc>
        <w:tc>
          <w:tcPr>
            <w:tcW w:w="512" w:type="pct"/>
            <w:shd w:val="clear" w:color="auto" w:fill="FFFFFF"/>
            <w:vAlign w:val="center"/>
          </w:tcPr>
          <w:p w14:paraId="2216B0A0">
            <w:pPr>
              <w:widowControl/>
              <w:spacing w:line="0" w:lineRule="atLeast"/>
              <w:jc w:val="center"/>
              <w:rPr>
                <w:b/>
                <w:bCs/>
                <w:kern w:val="0"/>
                <w:sz w:val="22"/>
                <w:szCs w:val="22"/>
              </w:rPr>
            </w:pPr>
            <w:r>
              <w:rPr>
                <w:b/>
                <w:bCs/>
                <w:kern w:val="0"/>
                <w:sz w:val="22"/>
                <w:szCs w:val="22"/>
              </w:rPr>
              <w:t>权重</w:t>
            </w:r>
          </w:p>
        </w:tc>
        <w:tc>
          <w:tcPr>
            <w:tcW w:w="537" w:type="pct"/>
            <w:shd w:val="clear" w:color="auto" w:fill="FFFFFF"/>
            <w:vAlign w:val="center"/>
          </w:tcPr>
          <w:p w14:paraId="6ED261E1">
            <w:pPr>
              <w:widowControl/>
              <w:spacing w:line="0" w:lineRule="atLeast"/>
              <w:jc w:val="center"/>
              <w:rPr>
                <w:b/>
                <w:bCs/>
                <w:kern w:val="0"/>
                <w:sz w:val="22"/>
                <w:szCs w:val="22"/>
              </w:rPr>
            </w:pPr>
            <w:r>
              <w:rPr>
                <w:b/>
                <w:bCs/>
                <w:kern w:val="0"/>
                <w:sz w:val="22"/>
                <w:szCs w:val="22"/>
              </w:rPr>
              <w:t>得分</w:t>
            </w:r>
          </w:p>
        </w:tc>
      </w:tr>
      <w:tr w14:paraId="2252A2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331" w:type="pct"/>
            <w:vMerge w:val="restart"/>
            <w:shd w:val="clear" w:color="auto" w:fill="FFFFFF"/>
            <w:vAlign w:val="center"/>
          </w:tcPr>
          <w:p w14:paraId="7682D8D7">
            <w:pPr>
              <w:widowControl/>
              <w:spacing w:line="0" w:lineRule="atLeast"/>
              <w:jc w:val="center"/>
              <w:rPr>
                <w:kern w:val="0"/>
                <w:sz w:val="22"/>
                <w:szCs w:val="22"/>
              </w:rPr>
            </w:pPr>
            <w:r>
              <w:rPr>
                <w:kern w:val="0"/>
                <w:sz w:val="22"/>
                <w:szCs w:val="22"/>
              </w:rPr>
              <w:t>决策　</w:t>
            </w:r>
          </w:p>
          <w:p w14:paraId="0D5516E2">
            <w:pPr>
              <w:widowControl/>
              <w:spacing w:line="0" w:lineRule="atLeast"/>
              <w:jc w:val="center"/>
              <w:rPr>
                <w:kern w:val="0"/>
                <w:sz w:val="22"/>
                <w:szCs w:val="22"/>
              </w:rPr>
            </w:pPr>
            <w:r>
              <w:rPr>
                <w:kern w:val="0"/>
                <w:sz w:val="22"/>
                <w:szCs w:val="22"/>
              </w:rPr>
              <w:t>　</w:t>
            </w:r>
          </w:p>
          <w:p w14:paraId="1C1944C0">
            <w:pPr>
              <w:spacing w:line="0" w:lineRule="atLeast"/>
              <w:jc w:val="center"/>
              <w:rPr>
                <w:kern w:val="0"/>
                <w:sz w:val="22"/>
                <w:szCs w:val="22"/>
              </w:rPr>
            </w:pPr>
            <w:r>
              <w:rPr>
                <w:kern w:val="0"/>
                <w:sz w:val="22"/>
                <w:szCs w:val="22"/>
              </w:rPr>
              <w:t>　</w:t>
            </w:r>
          </w:p>
        </w:tc>
        <w:tc>
          <w:tcPr>
            <w:tcW w:w="302" w:type="pct"/>
            <w:vMerge w:val="restart"/>
            <w:shd w:val="clear" w:color="auto" w:fill="FFFFFF"/>
            <w:vAlign w:val="center"/>
          </w:tcPr>
          <w:p w14:paraId="297085D7">
            <w:pPr>
              <w:widowControl/>
              <w:spacing w:line="0" w:lineRule="atLeast"/>
              <w:jc w:val="center"/>
              <w:rPr>
                <w:kern w:val="0"/>
                <w:sz w:val="22"/>
                <w:szCs w:val="22"/>
              </w:rPr>
            </w:pPr>
            <w:r>
              <w:rPr>
                <w:kern w:val="0"/>
                <w:sz w:val="22"/>
                <w:szCs w:val="22"/>
              </w:rPr>
              <w:t>项目立项　</w:t>
            </w:r>
          </w:p>
        </w:tc>
        <w:tc>
          <w:tcPr>
            <w:tcW w:w="344" w:type="pct"/>
            <w:shd w:val="clear" w:color="auto" w:fill="FFFFFF"/>
            <w:vAlign w:val="center"/>
          </w:tcPr>
          <w:p w14:paraId="0929FD47">
            <w:pPr>
              <w:widowControl/>
              <w:spacing w:line="0" w:lineRule="atLeast"/>
              <w:jc w:val="center"/>
              <w:rPr>
                <w:kern w:val="0"/>
                <w:sz w:val="22"/>
                <w:szCs w:val="22"/>
              </w:rPr>
            </w:pPr>
            <w:r>
              <w:rPr>
                <w:kern w:val="0"/>
                <w:sz w:val="22"/>
                <w:szCs w:val="22"/>
              </w:rPr>
              <w:t>立项依据</w:t>
            </w:r>
          </w:p>
          <w:p w14:paraId="08600F39">
            <w:pPr>
              <w:widowControl/>
              <w:spacing w:line="0" w:lineRule="atLeast"/>
              <w:jc w:val="center"/>
              <w:rPr>
                <w:kern w:val="0"/>
                <w:sz w:val="22"/>
                <w:szCs w:val="22"/>
              </w:rPr>
            </w:pPr>
            <w:r>
              <w:rPr>
                <w:kern w:val="0"/>
                <w:sz w:val="22"/>
                <w:szCs w:val="22"/>
              </w:rPr>
              <w:t>充分性</w:t>
            </w:r>
          </w:p>
        </w:tc>
        <w:tc>
          <w:tcPr>
            <w:tcW w:w="927" w:type="pct"/>
            <w:shd w:val="clear" w:color="auto" w:fill="FFFFFF"/>
            <w:vAlign w:val="center"/>
          </w:tcPr>
          <w:p w14:paraId="2301C291">
            <w:pPr>
              <w:widowControl/>
              <w:spacing w:line="0" w:lineRule="atLeast"/>
              <w:rPr>
                <w:kern w:val="0"/>
                <w:sz w:val="22"/>
                <w:szCs w:val="22"/>
              </w:rPr>
            </w:pPr>
            <w:r>
              <w:rPr>
                <w:kern w:val="0"/>
                <w:sz w:val="22"/>
                <w:szCs w:val="22"/>
              </w:rPr>
              <w:t>项目立项是否符合法律法规、相关政策、发展规划以及部门职责，用以反映和考核项目立项依据情况。</w:t>
            </w:r>
          </w:p>
        </w:tc>
        <w:tc>
          <w:tcPr>
            <w:tcW w:w="2044" w:type="pct"/>
            <w:shd w:val="clear" w:color="auto" w:fill="FFFFFF"/>
            <w:vAlign w:val="center"/>
          </w:tcPr>
          <w:p w14:paraId="71C7DF1B">
            <w:pPr>
              <w:widowControl/>
              <w:spacing w:line="0" w:lineRule="atLeast"/>
              <w:jc w:val="left"/>
              <w:rPr>
                <w:kern w:val="0"/>
                <w:sz w:val="22"/>
                <w:szCs w:val="22"/>
              </w:rPr>
            </w:pPr>
            <w:r>
              <w:rPr>
                <w:kern w:val="0"/>
                <w:sz w:val="22"/>
                <w:szCs w:val="22"/>
              </w:rPr>
              <w:t>评价要点：</w:t>
            </w:r>
            <w:r>
              <w:rPr>
                <w:kern w:val="0"/>
                <w:sz w:val="22"/>
                <w:szCs w:val="22"/>
              </w:rPr>
              <w:br w:type="textWrapping"/>
            </w:r>
            <w:r>
              <w:rPr>
                <w:kern w:val="0"/>
                <w:sz w:val="22"/>
                <w:szCs w:val="22"/>
              </w:rPr>
              <w:t>①项目立项是否符合国家法律法规、国民经济发展规划和相关政策；</w:t>
            </w:r>
            <w:r>
              <w:rPr>
                <w:kern w:val="0"/>
                <w:sz w:val="22"/>
                <w:szCs w:val="22"/>
              </w:rPr>
              <w:br w:type="textWrapping"/>
            </w:r>
            <w:r>
              <w:rPr>
                <w:kern w:val="0"/>
                <w:sz w:val="22"/>
                <w:szCs w:val="22"/>
              </w:rPr>
              <w:t>②项目立项是否符合行业发展规划和政策要求；</w:t>
            </w:r>
            <w:r>
              <w:rPr>
                <w:kern w:val="0"/>
                <w:sz w:val="22"/>
                <w:szCs w:val="22"/>
              </w:rPr>
              <w:br w:type="textWrapping"/>
            </w:r>
            <w:r>
              <w:rPr>
                <w:kern w:val="0"/>
                <w:sz w:val="22"/>
                <w:szCs w:val="22"/>
              </w:rPr>
              <w:t>③项目立项是否与部门职责范围相符，属于部门履职所需；</w:t>
            </w:r>
            <w:r>
              <w:rPr>
                <w:kern w:val="0"/>
                <w:sz w:val="22"/>
                <w:szCs w:val="22"/>
              </w:rPr>
              <w:br w:type="textWrapping"/>
            </w:r>
            <w:r>
              <w:rPr>
                <w:kern w:val="0"/>
                <w:sz w:val="22"/>
                <w:szCs w:val="22"/>
              </w:rPr>
              <w:t>④项目是否属于公共财政支持范围，是否符合中央、地方事权支出责任划分原则；</w:t>
            </w:r>
            <w:r>
              <w:rPr>
                <w:kern w:val="0"/>
                <w:sz w:val="22"/>
                <w:szCs w:val="22"/>
              </w:rPr>
              <w:br w:type="textWrapping"/>
            </w:r>
            <w:r>
              <w:rPr>
                <w:kern w:val="0"/>
                <w:sz w:val="22"/>
                <w:szCs w:val="22"/>
              </w:rPr>
              <w:t>⑤项目是否与相关部门同类项目或部门内部相关项目重复。</w:t>
            </w:r>
          </w:p>
        </w:tc>
        <w:tc>
          <w:tcPr>
            <w:tcW w:w="512" w:type="pct"/>
            <w:shd w:val="clear" w:color="auto" w:fill="FFFFFF"/>
            <w:vAlign w:val="center"/>
          </w:tcPr>
          <w:p w14:paraId="7DBBB843">
            <w:pPr>
              <w:widowControl/>
              <w:spacing w:line="0" w:lineRule="atLeast"/>
              <w:jc w:val="center"/>
              <w:rPr>
                <w:b/>
                <w:bCs/>
                <w:kern w:val="0"/>
                <w:sz w:val="22"/>
                <w:szCs w:val="22"/>
              </w:rPr>
            </w:pPr>
            <w:r>
              <w:rPr>
                <w:b/>
                <w:bCs/>
                <w:kern w:val="0"/>
                <w:sz w:val="22"/>
                <w:szCs w:val="22"/>
              </w:rPr>
              <w:t>3</w:t>
            </w:r>
          </w:p>
        </w:tc>
        <w:tc>
          <w:tcPr>
            <w:tcW w:w="537" w:type="pct"/>
            <w:shd w:val="clear" w:color="auto" w:fill="FFFFFF"/>
            <w:vAlign w:val="center"/>
          </w:tcPr>
          <w:p w14:paraId="18A6E2A2">
            <w:pPr>
              <w:widowControl/>
              <w:spacing w:line="0" w:lineRule="atLeast"/>
              <w:jc w:val="center"/>
              <w:rPr>
                <w:b/>
                <w:bCs/>
                <w:kern w:val="0"/>
                <w:sz w:val="22"/>
                <w:szCs w:val="22"/>
              </w:rPr>
            </w:pPr>
            <w:r>
              <w:rPr>
                <w:rFonts w:hint="eastAsia"/>
                <w:b/>
                <w:bCs/>
                <w:kern w:val="0"/>
                <w:sz w:val="22"/>
                <w:szCs w:val="22"/>
              </w:rPr>
              <w:t>3</w:t>
            </w:r>
          </w:p>
        </w:tc>
      </w:tr>
      <w:tr w14:paraId="098A68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331" w:type="pct"/>
            <w:vMerge w:val="continue"/>
            <w:shd w:val="clear" w:color="auto" w:fill="FFFFFF"/>
            <w:vAlign w:val="center"/>
          </w:tcPr>
          <w:p w14:paraId="7541E25D">
            <w:pPr>
              <w:spacing w:line="0" w:lineRule="atLeast"/>
              <w:jc w:val="center"/>
              <w:rPr>
                <w:kern w:val="0"/>
                <w:sz w:val="22"/>
                <w:szCs w:val="22"/>
              </w:rPr>
            </w:pPr>
          </w:p>
        </w:tc>
        <w:tc>
          <w:tcPr>
            <w:tcW w:w="302" w:type="pct"/>
            <w:vMerge w:val="continue"/>
            <w:shd w:val="clear" w:color="auto" w:fill="FFFFFF"/>
            <w:vAlign w:val="center"/>
          </w:tcPr>
          <w:p w14:paraId="44765A16">
            <w:pPr>
              <w:widowControl/>
              <w:spacing w:line="0" w:lineRule="atLeast"/>
              <w:jc w:val="center"/>
              <w:rPr>
                <w:kern w:val="0"/>
                <w:sz w:val="22"/>
                <w:szCs w:val="22"/>
              </w:rPr>
            </w:pPr>
          </w:p>
        </w:tc>
        <w:tc>
          <w:tcPr>
            <w:tcW w:w="344" w:type="pct"/>
            <w:shd w:val="clear" w:color="auto" w:fill="FFFFFF"/>
            <w:vAlign w:val="center"/>
          </w:tcPr>
          <w:p w14:paraId="06AFDDB3">
            <w:pPr>
              <w:widowControl/>
              <w:spacing w:line="0" w:lineRule="atLeast"/>
              <w:jc w:val="center"/>
              <w:rPr>
                <w:kern w:val="0"/>
                <w:sz w:val="22"/>
                <w:szCs w:val="22"/>
              </w:rPr>
            </w:pPr>
            <w:r>
              <w:rPr>
                <w:kern w:val="0"/>
                <w:sz w:val="22"/>
                <w:szCs w:val="22"/>
              </w:rPr>
              <w:t>立项程序</w:t>
            </w:r>
          </w:p>
          <w:p w14:paraId="3EDE0B24">
            <w:pPr>
              <w:widowControl/>
              <w:spacing w:line="0" w:lineRule="atLeast"/>
              <w:jc w:val="center"/>
              <w:rPr>
                <w:kern w:val="0"/>
                <w:sz w:val="22"/>
                <w:szCs w:val="22"/>
              </w:rPr>
            </w:pPr>
            <w:r>
              <w:rPr>
                <w:kern w:val="0"/>
                <w:sz w:val="22"/>
                <w:szCs w:val="22"/>
              </w:rPr>
              <w:t>规范性</w:t>
            </w:r>
          </w:p>
        </w:tc>
        <w:tc>
          <w:tcPr>
            <w:tcW w:w="927" w:type="pct"/>
            <w:shd w:val="clear" w:color="auto" w:fill="FFFFFF"/>
            <w:vAlign w:val="center"/>
          </w:tcPr>
          <w:p w14:paraId="2B632388">
            <w:pPr>
              <w:widowControl/>
              <w:spacing w:line="0" w:lineRule="atLeast"/>
              <w:rPr>
                <w:kern w:val="0"/>
                <w:sz w:val="22"/>
                <w:szCs w:val="22"/>
              </w:rPr>
            </w:pPr>
            <w:r>
              <w:rPr>
                <w:kern w:val="0"/>
                <w:sz w:val="22"/>
                <w:szCs w:val="22"/>
              </w:rPr>
              <w:t>项目申请、设立过程是否符合相关要求，用以反映和考核项目立项的规范情况。</w:t>
            </w:r>
          </w:p>
        </w:tc>
        <w:tc>
          <w:tcPr>
            <w:tcW w:w="2044" w:type="pct"/>
            <w:shd w:val="clear" w:color="auto" w:fill="FFFFFF"/>
            <w:vAlign w:val="center"/>
          </w:tcPr>
          <w:p w14:paraId="318171FB">
            <w:pPr>
              <w:widowControl/>
              <w:spacing w:line="0" w:lineRule="atLeast"/>
              <w:jc w:val="left"/>
              <w:rPr>
                <w:kern w:val="0"/>
                <w:sz w:val="22"/>
                <w:szCs w:val="22"/>
              </w:rPr>
            </w:pPr>
            <w:r>
              <w:rPr>
                <w:kern w:val="0"/>
                <w:sz w:val="22"/>
                <w:szCs w:val="22"/>
              </w:rPr>
              <w:t>评价要点：</w:t>
            </w:r>
            <w:r>
              <w:rPr>
                <w:kern w:val="0"/>
                <w:sz w:val="22"/>
                <w:szCs w:val="22"/>
              </w:rPr>
              <w:br w:type="textWrapping"/>
            </w:r>
            <w:r>
              <w:rPr>
                <w:kern w:val="0"/>
                <w:sz w:val="22"/>
                <w:szCs w:val="22"/>
              </w:rPr>
              <w:t>①项目是否按照规定的程序申请设立；</w:t>
            </w:r>
            <w:r>
              <w:rPr>
                <w:kern w:val="0"/>
                <w:sz w:val="22"/>
                <w:szCs w:val="22"/>
              </w:rPr>
              <w:br w:type="textWrapping"/>
            </w:r>
            <w:r>
              <w:rPr>
                <w:kern w:val="0"/>
                <w:sz w:val="22"/>
                <w:szCs w:val="22"/>
              </w:rPr>
              <w:t>②审批文件、材料是否符合相关要求；</w:t>
            </w:r>
            <w:r>
              <w:rPr>
                <w:kern w:val="0"/>
                <w:sz w:val="22"/>
                <w:szCs w:val="22"/>
              </w:rPr>
              <w:br w:type="textWrapping"/>
            </w:r>
            <w:r>
              <w:rPr>
                <w:kern w:val="0"/>
                <w:sz w:val="22"/>
                <w:szCs w:val="22"/>
              </w:rPr>
              <w:t>③事前是否已经过必要的可行性研究、专家论证、风险评估、绩效评估、集体决策。</w:t>
            </w:r>
          </w:p>
        </w:tc>
        <w:tc>
          <w:tcPr>
            <w:tcW w:w="512" w:type="pct"/>
            <w:shd w:val="clear" w:color="auto" w:fill="FFFFFF"/>
            <w:vAlign w:val="center"/>
          </w:tcPr>
          <w:p w14:paraId="7835EC4A">
            <w:pPr>
              <w:widowControl/>
              <w:spacing w:line="0" w:lineRule="atLeast"/>
              <w:jc w:val="center"/>
              <w:rPr>
                <w:b/>
                <w:bCs/>
                <w:kern w:val="0"/>
                <w:sz w:val="22"/>
                <w:szCs w:val="22"/>
              </w:rPr>
            </w:pPr>
            <w:r>
              <w:rPr>
                <w:b/>
                <w:bCs/>
                <w:kern w:val="0"/>
                <w:sz w:val="22"/>
                <w:szCs w:val="22"/>
              </w:rPr>
              <w:t>3</w:t>
            </w:r>
          </w:p>
        </w:tc>
        <w:tc>
          <w:tcPr>
            <w:tcW w:w="537" w:type="pct"/>
            <w:shd w:val="clear" w:color="auto" w:fill="FFFFFF"/>
            <w:vAlign w:val="center"/>
          </w:tcPr>
          <w:p w14:paraId="04962603">
            <w:pPr>
              <w:widowControl/>
              <w:spacing w:line="0" w:lineRule="atLeast"/>
              <w:jc w:val="center"/>
              <w:rPr>
                <w:b/>
                <w:bCs/>
                <w:kern w:val="0"/>
                <w:sz w:val="22"/>
                <w:szCs w:val="22"/>
              </w:rPr>
            </w:pPr>
            <w:r>
              <w:rPr>
                <w:rFonts w:hint="eastAsia"/>
                <w:b/>
                <w:bCs/>
                <w:kern w:val="0"/>
                <w:sz w:val="22"/>
                <w:szCs w:val="22"/>
              </w:rPr>
              <w:t>3</w:t>
            </w:r>
          </w:p>
        </w:tc>
      </w:tr>
      <w:tr w14:paraId="5F524A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331" w:type="pct"/>
            <w:vMerge w:val="continue"/>
            <w:shd w:val="clear" w:color="auto" w:fill="FFFFFF"/>
            <w:vAlign w:val="center"/>
          </w:tcPr>
          <w:p w14:paraId="0D121376">
            <w:pPr>
              <w:spacing w:line="0" w:lineRule="atLeast"/>
              <w:jc w:val="center"/>
              <w:rPr>
                <w:kern w:val="0"/>
                <w:sz w:val="22"/>
                <w:szCs w:val="22"/>
              </w:rPr>
            </w:pPr>
          </w:p>
        </w:tc>
        <w:tc>
          <w:tcPr>
            <w:tcW w:w="302" w:type="pct"/>
            <w:shd w:val="clear" w:color="auto" w:fill="FFFFFF"/>
            <w:vAlign w:val="center"/>
          </w:tcPr>
          <w:p w14:paraId="4CB48E59">
            <w:pPr>
              <w:widowControl/>
              <w:spacing w:line="0" w:lineRule="atLeast"/>
              <w:jc w:val="center"/>
              <w:rPr>
                <w:kern w:val="0"/>
                <w:sz w:val="22"/>
                <w:szCs w:val="22"/>
              </w:rPr>
            </w:pPr>
            <w:r>
              <w:rPr>
                <w:kern w:val="0"/>
                <w:sz w:val="22"/>
                <w:szCs w:val="22"/>
              </w:rPr>
              <w:t>绩效目标　</w:t>
            </w:r>
          </w:p>
        </w:tc>
        <w:tc>
          <w:tcPr>
            <w:tcW w:w="344" w:type="pct"/>
            <w:shd w:val="clear" w:color="auto" w:fill="FFFFFF"/>
            <w:vAlign w:val="center"/>
          </w:tcPr>
          <w:p w14:paraId="44C98E4F">
            <w:pPr>
              <w:widowControl/>
              <w:spacing w:line="0" w:lineRule="atLeast"/>
              <w:jc w:val="center"/>
              <w:rPr>
                <w:kern w:val="0"/>
                <w:sz w:val="22"/>
                <w:szCs w:val="22"/>
              </w:rPr>
            </w:pPr>
            <w:r>
              <w:rPr>
                <w:kern w:val="0"/>
                <w:sz w:val="22"/>
                <w:szCs w:val="22"/>
              </w:rPr>
              <w:t>绩效目标</w:t>
            </w:r>
          </w:p>
          <w:p w14:paraId="09E8C907">
            <w:pPr>
              <w:widowControl/>
              <w:spacing w:line="0" w:lineRule="atLeast"/>
              <w:jc w:val="center"/>
              <w:rPr>
                <w:kern w:val="0"/>
                <w:sz w:val="22"/>
                <w:szCs w:val="22"/>
              </w:rPr>
            </w:pPr>
            <w:r>
              <w:rPr>
                <w:kern w:val="0"/>
                <w:sz w:val="22"/>
                <w:szCs w:val="22"/>
              </w:rPr>
              <w:t>合理性</w:t>
            </w:r>
          </w:p>
        </w:tc>
        <w:tc>
          <w:tcPr>
            <w:tcW w:w="927" w:type="pct"/>
            <w:shd w:val="clear" w:color="000000" w:fill="FFFFFF"/>
            <w:vAlign w:val="center"/>
          </w:tcPr>
          <w:p w14:paraId="3243C21E">
            <w:pPr>
              <w:widowControl/>
              <w:spacing w:line="0" w:lineRule="atLeast"/>
              <w:rPr>
                <w:kern w:val="0"/>
                <w:sz w:val="22"/>
                <w:szCs w:val="22"/>
              </w:rPr>
            </w:pPr>
            <w:r>
              <w:rPr>
                <w:kern w:val="0"/>
                <w:sz w:val="22"/>
                <w:szCs w:val="22"/>
              </w:rPr>
              <w:t>项目所设定的绩效目标是否依据充分，是否符合客观实际，用以反映和考核项目绩效目标与项目实施的相符情况。</w:t>
            </w:r>
          </w:p>
        </w:tc>
        <w:tc>
          <w:tcPr>
            <w:tcW w:w="2044" w:type="pct"/>
            <w:shd w:val="clear" w:color="000000" w:fill="FFFFFF"/>
            <w:vAlign w:val="center"/>
          </w:tcPr>
          <w:p w14:paraId="08FAD78B">
            <w:pPr>
              <w:widowControl/>
              <w:spacing w:line="0" w:lineRule="atLeast"/>
              <w:jc w:val="left"/>
              <w:rPr>
                <w:kern w:val="0"/>
                <w:sz w:val="22"/>
                <w:szCs w:val="22"/>
              </w:rPr>
            </w:pPr>
            <w:r>
              <w:rPr>
                <w:kern w:val="0"/>
                <w:sz w:val="22"/>
                <w:szCs w:val="22"/>
              </w:rPr>
              <w:t>评价要点：</w:t>
            </w:r>
            <w:r>
              <w:rPr>
                <w:kern w:val="0"/>
                <w:sz w:val="22"/>
                <w:szCs w:val="22"/>
              </w:rPr>
              <w:br w:type="textWrapping"/>
            </w:r>
            <w:r>
              <w:rPr>
                <w:kern w:val="0"/>
                <w:sz w:val="22"/>
                <w:szCs w:val="22"/>
              </w:rPr>
              <w:t>（如未设定预算绩效目标，也可考核其他工作任务目标）</w:t>
            </w:r>
            <w:r>
              <w:rPr>
                <w:kern w:val="0"/>
                <w:sz w:val="22"/>
                <w:szCs w:val="22"/>
              </w:rPr>
              <w:br w:type="textWrapping"/>
            </w:r>
            <w:r>
              <w:rPr>
                <w:kern w:val="0"/>
                <w:sz w:val="22"/>
                <w:szCs w:val="22"/>
              </w:rPr>
              <w:t>①项目是否有绩效目标；</w:t>
            </w:r>
            <w:r>
              <w:rPr>
                <w:kern w:val="0"/>
                <w:sz w:val="22"/>
                <w:szCs w:val="22"/>
              </w:rPr>
              <w:br w:type="textWrapping"/>
            </w:r>
            <w:r>
              <w:rPr>
                <w:kern w:val="0"/>
                <w:sz w:val="22"/>
                <w:szCs w:val="22"/>
              </w:rPr>
              <w:t>②项目绩效目标与实际工作内容是否具有相关性；</w:t>
            </w:r>
            <w:r>
              <w:rPr>
                <w:kern w:val="0"/>
                <w:sz w:val="22"/>
                <w:szCs w:val="22"/>
              </w:rPr>
              <w:br w:type="textWrapping"/>
            </w:r>
            <w:r>
              <w:rPr>
                <w:kern w:val="0"/>
                <w:sz w:val="22"/>
                <w:szCs w:val="22"/>
              </w:rPr>
              <w:t>③项目预期产出效益和效果是否符合正常的业绩水平；</w:t>
            </w:r>
          </w:p>
          <w:p w14:paraId="0FC492F8">
            <w:pPr>
              <w:widowControl/>
              <w:spacing w:line="0" w:lineRule="atLeast"/>
              <w:jc w:val="left"/>
              <w:rPr>
                <w:kern w:val="0"/>
                <w:sz w:val="22"/>
                <w:szCs w:val="22"/>
              </w:rPr>
            </w:pPr>
            <w:r>
              <w:rPr>
                <w:kern w:val="0"/>
                <w:sz w:val="22"/>
                <w:szCs w:val="22"/>
              </w:rPr>
              <w:t>④是否与预算确定的项目投资额或资金量相匹配。</w:t>
            </w:r>
          </w:p>
        </w:tc>
        <w:tc>
          <w:tcPr>
            <w:tcW w:w="512" w:type="pct"/>
            <w:shd w:val="clear" w:color="000000" w:fill="FFFFFF"/>
            <w:vAlign w:val="center"/>
          </w:tcPr>
          <w:p w14:paraId="26C96D6B">
            <w:pPr>
              <w:widowControl/>
              <w:spacing w:line="0" w:lineRule="atLeast"/>
              <w:jc w:val="center"/>
              <w:rPr>
                <w:b/>
                <w:bCs/>
                <w:kern w:val="0"/>
                <w:sz w:val="22"/>
                <w:szCs w:val="22"/>
              </w:rPr>
            </w:pPr>
            <w:r>
              <w:rPr>
                <w:b/>
                <w:bCs/>
                <w:kern w:val="0"/>
                <w:sz w:val="22"/>
                <w:szCs w:val="22"/>
              </w:rPr>
              <w:t>3</w:t>
            </w:r>
          </w:p>
        </w:tc>
        <w:tc>
          <w:tcPr>
            <w:tcW w:w="537" w:type="pct"/>
            <w:shd w:val="clear" w:color="000000" w:fill="FFFFFF"/>
            <w:vAlign w:val="center"/>
          </w:tcPr>
          <w:p w14:paraId="20180CCC">
            <w:pPr>
              <w:widowControl/>
              <w:spacing w:line="0" w:lineRule="atLeast"/>
              <w:jc w:val="center"/>
              <w:rPr>
                <w:b/>
                <w:bCs/>
                <w:kern w:val="0"/>
                <w:sz w:val="22"/>
                <w:szCs w:val="22"/>
              </w:rPr>
            </w:pPr>
            <w:r>
              <w:rPr>
                <w:rFonts w:hint="eastAsia"/>
                <w:b/>
                <w:bCs/>
                <w:kern w:val="0"/>
                <w:sz w:val="22"/>
                <w:szCs w:val="22"/>
              </w:rPr>
              <w:t>3</w:t>
            </w:r>
          </w:p>
        </w:tc>
      </w:tr>
      <w:tr w14:paraId="12B9B9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31" w:type="pct"/>
            <w:vMerge w:val="restart"/>
            <w:shd w:val="clear" w:color="auto" w:fill="FFFFFF"/>
            <w:vAlign w:val="center"/>
          </w:tcPr>
          <w:p w14:paraId="6CE8F24F">
            <w:pPr>
              <w:widowControl/>
              <w:spacing w:line="0" w:lineRule="atLeast"/>
              <w:jc w:val="center"/>
              <w:rPr>
                <w:kern w:val="0"/>
                <w:sz w:val="22"/>
                <w:szCs w:val="22"/>
              </w:rPr>
            </w:pPr>
            <w:r>
              <w:rPr>
                <w:kern w:val="0"/>
                <w:sz w:val="22"/>
                <w:szCs w:val="22"/>
              </w:rPr>
              <w:t>决策　</w:t>
            </w:r>
          </w:p>
        </w:tc>
        <w:tc>
          <w:tcPr>
            <w:tcW w:w="302" w:type="pct"/>
            <w:shd w:val="clear" w:color="auto" w:fill="FFFFFF"/>
            <w:vAlign w:val="center"/>
          </w:tcPr>
          <w:p w14:paraId="08208FB8">
            <w:pPr>
              <w:widowControl/>
              <w:spacing w:line="0" w:lineRule="atLeast"/>
              <w:jc w:val="center"/>
              <w:rPr>
                <w:kern w:val="0"/>
                <w:sz w:val="22"/>
                <w:szCs w:val="22"/>
              </w:rPr>
            </w:pPr>
            <w:r>
              <w:rPr>
                <w:kern w:val="0"/>
                <w:sz w:val="22"/>
                <w:szCs w:val="22"/>
              </w:rPr>
              <w:t>绩效目标</w:t>
            </w:r>
          </w:p>
        </w:tc>
        <w:tc>
          <w:tcPr>
            <w:tcW w:w="344" w:type="pct"/>
            <w:shd w:val="clear" w:color="auto" w:fill="FFFFFF"/>
            <w:vAlign w:val="center"/>
          </w:tcPr>
          <w:p w14:paraId="1670FE26">
            <w:pPr>
              <w:widowControl/>
              <w:spacing w:line="0" w:lineRule="atLeast"/>
              <w:jc w:val="center"/>
              <w:rPr>
                <w:kern w:val="0"/>
                <w:sz w:val="22"/>
                <w:szCs w:val="22"/>
              </w:rPr>
            </w:pPr>
            <w:r>
              <w:rPr>
                <w:kern w:val="0"/>
                <w:sz w:val="22"/>
                <w:szCs w:val="22"/>
              </w:rPr>
              <w:t>绩效指标</w:t>
            </w:r>
          </w:p>
          <w:p w14:paraId="76EE6BD1">
            <w:pPr>
              <w:widowControl/>
              <w:spacing w:line="0" w:lineRule="atLeast"/>
              <w:jc w:val="center"/>
              <w:rPr>
                <w:kern w:val="0"/>
                <w:sz w:val="22"/>
                <w:szCs w:val="22"/>
              </w:rPr>
            </w:pPr>
            <w:r>
              <w:rPr>
                <w:kern w:val="0"/>
                <w:sz w:val="22"/>
                <w:szCs w:val="22"/>
              </w:rPr>
              <w:t>明确性</w:t>
            </w:r>
          </w:p>
        </w:tc>
        <w:tc>
          <w:tcPr>
            <w:tcW w:w="927" w:type="pct"/>
            <w:shd w:val="clear" w:color="000000" w:fill="FFFFFF"/>
            <w:vAlign w:val="center"/>
          </w:tcPr>
          <w:p w14:paraId="142F0B62">
            <w:pPr>
              <w:widowControl/>
              <w:spacing w:line="0" w:lineRule="atLeast"/>
              <w:rPr>
                <w:kern w:val="0"/>
                <w:sz w:val="22"/>
                <w:szCs w:val="22"/>
              </w:rPr>
            </w:pPr>
            <w:r>
              <w:rPr>
                <w:kern w:val="0"/>
                <w:sz w:val="22"/>
                <w:szCs w:val="22"/>
              </w:rPr>
              <w:t>依据绩效目标设定的绩效指标是否清晰、细化、可衡量等，用以反映和考核项目绩效目标的明细化情况。</w:t>
            </w:r>
          </w:p>
        </w:tc>
        <w:tc>
          <w:tcPr>
            <w:tcW w:w="2044" w:type="pct"/>
            <w:shd w:val="clear" w:color="000000" w:fill="FFFFFF"/>
            <w:vAlign w:val="center"/>
          </w:tcPr>
          <w:p w14:paraId="4B00EE4C">
            <w:pPr>
              <w:widowControl/>
              <w:spacing w:line="0" w:lineRule="atLeast"/>
              <w:rPr>
                <w:kern w:val="0"/>
                <w:sz w:val="22"/>
                <w:szCs w:val="22"/>
              </w:rPr>
            </w:pPr>
            <w:r>
              <w:rPr>
                <w:kern w:val="0"/>
                <w:sz w:val="22"/>
                <w:szCs w:val="22"/>
              </w:rPr>
              <w:t>评价要点：</w:t>
            </w:r>
            <w:r>
              <w:rPr>
                <w:kern w:val="0"/>
                <w:sz w:val="22"/>
                <w:szCs w:val="22"/>
              </w:rPr>
              <w:br w:type="textWrapping"/>
            </w:r>
            <w:r>
              <w:rPr>
                <w:kern w:val="0"/>
                <w:sz w:val="22"/>
                <w:szCs w:val="22"/>
              </w:rPr>
              <w:t>①是否将项目绩效目标细化分解为具体的绩效指标；</w:t>
            </w:r>
            <w:r>
              <w:rPr>
                <w:kern w:val="0"/>
                <w:sz w:val="22"/>
                <w:szCs w:val="22"/>
              </w:rPr>
              <w:br w:type="textWrapping"/>
            </w:r>
            <w:r>
              <w:rPr>
                <w:kern w:val="0"/>
                <w:sz w:val="22"/>
                <w:szCs w:val="22"/>
              </w:rPr>
              <w:t>②是否通过清晰、可衡量的指标值予以体现；</w:t>
            </w:r>
            <w:r>
              <w:rPr>
                <w:kern w:val="0"/>
                <w:sz w:val="22"/>
                <w:szCs w:val="22"/>
              </w:rPr>
              <w:br w:type="textWrapping"/>
            </w:r>
            <w:r>
              <w:rPr>
                <w:kern w:val="0"/>
                <w:sz w:val="22"/>
                <w:szCs w:val="22"/>
              </w:rPr>
              <w:t>③是否与项目目标任务数或计划数相对应。</w:t>
            </w:r>
            <w:r>
              <w:rPr>
                <w:kern w:val="0"/>
                <w:sz w:val="22"/>
                <w:szCs w:val="22"/>
              </w:rPr>
              <w:br w:type="textWrapping"/>
            </w:r>
          </w:p>
        </w:tc>
        <w:tc>
          <w:tcPr>
            <w:tcW w:w="512" w:type="pct"/>
            <w:shd w:val="clear" w:color="000000" w:fill="FFFFFF"/>
            <w:vAlign w:val="center"/>
          </w:tcPr>
          <w:p w14:paraId="3ED4F723">
            <w:pPr>
              <w:widowControl/>
              <w:spacing w:line="0" w:lineRule="atLeast"/>
              <w:jc w:val="center"/>
              <w:rPr>
                <w:b/>
                <w:bCs/>
                <w:kern w:val="0"/>
                <w:sz w:val="22"/>
                <w:szCs w:val="22"/>
              </w:rPr>
            </w:pPr>
            <w:r>
              <w:rPr>
                <w:b/>
                <w:bCs/>
                <w:kern w:val="0"/>
                <w:sz w:val="22"/>
                <w:szCs w:val="22"/>
              </w:rPr>
              <w:t>3</w:t>
            </w:r>
          </w:p>
        </w:tc>
        <w:tc>
          <w:tcPr>
            <w:tcW w:w="537" w:type="pct"/>
            <w:shd w:val="clear" w:color="000000" w:fill="FFFFFF"/>
            <w:vAlign w:val="center"/>
          </w:tcPr>
          <w:p w14:paraId="56AFAEAA">
            <w:pPr>
              <w:widowControl/>
              <w:spacing w:line="0" w:lineRule="atLeast"/>
              <w:jc w:val="center"/>
              <w:rPr>
                <w:b/>
                <w:bCs/>
                <w:kern w:val="0"/>
                <w:sz w:val="22"/>
                <w:szCs w:val="22"/>
              </w:rPr>
            </w:pPr>
            <w:r>
              <w:rPr>
                <w:rFonts w:hint="eastAsia"/>
                <w:b/>
                <w:bCs/>
                <w:kern w:val="0"/>
                <w:sz w:val="22"/>
                <w:szCs w:val="22"/>
              </w:rPr>
              <w:t>3</w:t>
            </w:r>
          </w:p>
        </w:tc>
      </w:tr>
      <w:tr w14:paraId="40011A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31" w:type="pct"/>
            <w:vMerge w:val="continue"/>
            <w:shd w:val="clear" w:color="auto" w:fill="FFFFFF"/>
            <w:vAlign w:val="center"/>
          </w:tcPr>
          <w:p w14:paraId="387BC6BE">
            <w:pPr>
              <w:spacing w:line="0" w:lineRule="atLeast"/>
              <w:jc w:val="center"/>
              <w:rPr>
                <w:kern w:val="0"/>
                <w:sz w:val="22"/>
                <w:szCs w:val="22"/>
              </w:rPr>
            </w:pPr>
          </w:p>
        </w:tc>
        <w:tc>
          <w:tcPr>
            <w:tcW w:w="302" w:type="pct"/>
            <w:vMerge w:val="restart"/>
            <w:shd w:val="clear" w:color="auto" w:fill="FFFFFF"/>
            <w:vAlign w:val="center"/>
          </w:tcPr>
          <w:p w14:paraId="1862D352">
            <w:pPr>
              <w:widowControl/>
              <w:spacing w:line="0" w:lineRule="atLeast"/>
              <w:jc w:val="center"/>
              <w:rPr>
                <w:kern w:val="0"/>
                <w:sz w:val="22"/>
                <w:szCs w:val="22"/>
              </w:rPr>
            </w:pPr>
            <w:r>
              <w:rPr>
                <w:kern w:val="0"/>
                <w:sz w:val="22"/>
                <w:szCs w:val="22"/>
              </w:rPr>
              <w:t>资金投入</w:t>
            </w:r>
          </w:p>
          <w:p w14:paraId="4EEA2850">
            <w:pPr>
              <w:spacing w:line="0" w:lineRule="atLeast"/>
              <w:jc w:val="center"/>
              <w:rPr>
                <w:kern w:val="0"/>
                <w:sz w:val="22"/>
                <w:szCs w:val="22"/>
              </w:rPr>
            </w:pPr>
            <w:r>
              <w:rPr>
                <w:kern w:val="0"/>
                <w:sz w:val="22"/>
                <w:szCs w:val="22"/>
              </w:rPr>
              <w:t>　</w:t>
            </w:r>
          </w:p>
        </w:tc>
        <w:tc>
          <w:tcPr>
            <w:tcW w:w="344" w:type="pct"/>
            <w:shd w:val="clear" w:color="auto" w:fill="FFFFFF"/>
            <w:vAlign w:val="center"/>
          </w:tcPr>
          <w:p w14:paraId="1B80BC18">
            <w:pPr>
              <w:widowControl/>
              <w:spacing w:line="0" w:lineRule="atLeast"/>
              <w:jc w:val="center"/>
              <w:rPr>
                <w:kern w:val="0"/>
                <w:sz w:val="22"/>
                <w:szCs w:val="22"/>
              </w:rPr>
            </w:pPr>
            <w:r>
              <w:rPr>
                <w:kern w:val="0"/>
                <w:sz w:val="22"/>
                <w:szCs w:val="22"/>
              </w:rPr>
              <w:t>预算编制</w:t>
            </w:r>
          </w:p>
          <w:p w14:paraId="0E94082B">
            <w:pPr>
              <w:widowControl/>
              <w:spacing w:line="0" w:lineRule="atLeast"/>
              <w:jc w:val="center"/>
              <w:rPr>
                <w:kern w:val="0"/>
                <w:sz w:val="22"/>
                <w:szCs w:val="22"/>
              </w:rPr>
            </w:pPr>
            <w:r>
              <w:rPr>
                <w:kern w:val="0"/>
                <w:sz w:val="22"/>
                <w:szCs w:val="22"/>
              </w:rPr>
              <w:t>科学性</w:t>
            </w:r>
          </w:p>
        </w:tc>
        <w:tc>
          <w:tcPr>
            <w:tcW w:w="927" w:type="pct"/>
            <w:shd w:val="clear" w:color="auto" w:fill="FFFFFF"/>
            <w:vAlign w:val="center"/>
          </w:tcPr>
          <w:p w14:paraId="26D8C986">
            <w:pPr>
              <w:widowControl/>
              <w:spacing w:line="0" w:lineRule="atLeast"/>
              <w:rPr>
                <w:kern w:val="0"/>
                <w:sz w:val="22"/>
                <w:szCs w:val="22"/>
              </w:rPr>
            </w:pPr>
            <w:r>
              <w:rPr>
                <w:kern w:val="0"/>
                <w:sz w:val="22"/>
                <w:szCs w:val="22"/>
              </w:rPr>
              <w:t>项目预算编制是否经过科学论证、有明确标准，资金额度与年度目标是否相适应，用以反映和考核项目预算编制的科学性、合理性情况。</w:t>
            </w:r>
          </w:p>
        </w:tc>
        <w:tc>
          <w:tcPr>
            <w:tcW w:w="2044" w:type="pct"/>
            <w:shd w:val="clear" w:color="auto" w:fill="FFFFFF"/>
            <w:vAlign w:val="center"/>
          </w:tcPr>
          <w:p w14:paraId="220916C3">
            <w:pPr>
              <w:widowControl/>
              <w:spacing w:line="0" w:lineRule="atLeast"/>
              <w:rPr>
                <w:kern w:val="0"/>
                <w:sz w:val="22"/>
                <w:szCs w:val="22"/>
              </w:rPr>
            </w:pPr>
            <w:r>
              <w:rPr>
                <w:kern w:val="0"/>
                <w:sz w:val="22"/>
                <w:szCs w:val="22"/>
              </w:rPr>
              <w:t>评价要点：</w:t>
            </w:r>
            <w:r>
              <w:rPr>
                <w:kern w:val="0"/>
                <w:sz w:val="22"/>
                <w:szCs w:val="22"/>
              </w:rPr>
              <w:br w:type="textWrapping"/>
            </w:r>
            <w:r>
              <w:rPr>
                <w:kern w:val="0"/>
                <w:sz w:val="22"/>
                <w:szCs w:val="22"/>
              </w:rPr>
              <w:t>①预算编制是否经过科学论证；</w:t>
            </w:r>
            <w:r>
              <w:rPr>
                <w:kern w:val="0"/>
                <w:sz w:val="22"/>
                <w:szCs w:val="22"/>
              </w:rPr>
              <w:br w:type="textWrapping"/>
            </w:r>
            <w:r>
              <w:rPr>
                <w:kern w:val="0"/>
                <w:sz w:val="22"/>
                <w:szCs w:val="22"/>
              </w:rPr>
              <w:t>②预算内容与项目内容是否匹配；</w:t>
            </w:r>
            <w:r>
              <w:rPr>
                <w:kern w:val="0"/>
                <w:sz w:val="22"/>
                <w:szCs w:val="22"/>
              </w:rPr>
              <w:br w:type="textWrapping"/>
            </w:r>
            <w:r>
              <w:rPr>
                <w:kern w:val="0"/>
                <w:sz w:val="22"/>
                <w:szCs w:val="22"/>
              </w:rPr>
              <w:t>③预算额度测算依据是否充分，是否按照标准编制；</w:t>
            </w:r>
            <w:r>
              <w:rPr>
                <w:kern w:val="0"/>
                <w:sz w:val="22"/>
                <w:szCs w:val="22"/>
              </w:rPr>
              <w:br w:type="textWrapping"/>
            </w:r>
            <w:r>
              <w:rPr>
                <w:kern w:val="0"/>
                <w:sz w:val="22"/>
                <w:szCs w:val="22"/>
              </w:rPr>
              <w:t>④预算确定的项目投资额或资金量是否与工作任务相匹配。</w:t>
            </w:r>
          </w:p>
        </w:tc>
        <w:tc>
          <w:tcPr>
            <w:tcW w:w="512" w:type="pct"/>
            <w:shd w:val="clear" w:color="auto" w:fill="FFFFFF"/>
            <w:vAlign w:val="center"/>
          </w:tcPr>
          <w:p w14:paraId="1FF0E854">
            <w:pPr>
              <w:widowControl/>
              <w:spacing w:line="0" w:lineRule="atLeast"/>
              <w:jc w:val="center"/>
              <w:rPr>
                <w:b/>
                <w:bCs/>
                <w:kern w:val="0"/>
                <w:sz w:val="22"/>
                <w:szCs w:val="22"/>
              </w:rPr>
            </w:pPr>
            <w:r>
              <w:rPr>
                <w:b/>
                <w:bCs/>
                <w:kern w:val="0"/>
                <w:sz w:val="22"/>
                <w:szCs w:val="22"/>
              </w:rPr>
              <w:t>4</w:t>
            </w:r>
          </w:p>
        </w:tc>
        <w:tc>
          <w:tcPr>
            <w:tcW w:w="537" w:type="pct"/>
            <w:shd w:val="clear" w:color="auto" w:fill="FFFFFF"/>
            <w:vAlign w:val="center"/>
          </w:tcPr>
          <w:p w14:paraId="4843F1A2">
            <w:pPr>
              <w:widowControl/>
              <w:spacing w:line="0" w:lineRule="atLeast"/>
              <w:jc w:val="center"/>
              <w:rPr>
                <w:b/>
                <w:bCs/>
                <w:kern w:val="0"/>
                <w:sz w:val="22"/>
                <w:szCs w:val="22"/>
              </w:rPr>
            </w:pPr>
            <w:r>
              <w:rPr>
                <w:rFonts w:hint="eastAsia"/>
                <w:b/>
                <w:bCs/>
                <w:kern w:val="0"/>
                <w:sz w:val="22"/>
                <w:szCs w:val="22"/>
              </w:rPr>
              <w:t>4</w:t>
            </w:r>
          </w:p>
        </w:tc>
      </w:tr>
      <w:tr w14:paraId="74801A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331" w:type="pct"/>
            <w:vMerge w:val="continue"/>
            <w:shd w:val="clear" w:color="auto" w:fill="FFFFFF"/>
            <w:vAlign w:val="center"/>
          </w:tcPr>
          <w:p w14:paraId="1C1FB8D2">
            <w:pPr>
              <w:widowControl/>
              <w:spacing w:line="0" w:lineRule="atLeast"/>
              <w:jc w:val="center"/>
              <w:rPr>
                <w:kern w:val="0"/>
                <w:sz w:val="22"/>
                <w:szCs w:val="22"/>
              </w:rPr>
            </w:pPr>
          </w:p>
        </w:tc>
        <w:tc>
          <w:tcPr>
            <w:tcW w:w="302" w:type="pct"/>
            <w:vMerge w:val="continue"/>
            <w:shd w:val="clear" w:color="auto" w:fill="FFFFFF"/>
            <w:vAlign w:val="center"/>
          </w:tcPr>
          <w:p w14:paraId="21F88C42">
            <w:pPr>
              <w:widowControl/>
              <w:spacing w:line="0" w:lineRule="atLeast"/>
              <w:jc w:val="center"/>
              <w:rPr>
                <w:kern w:val="0"/>
                <w:sz w:val="22"/>
                <w:szCs w:val="22"/>
              </w:rPr>
            </w:pPr>
          </w:p>
        </w:tc>
        <w:tc>
          <w:tcPr>
            <w:tcW w:w="344" w:type="pct"/>
            <w:shd w:val="clear" w:color="auto" w:fill="FFFFFF"/>
            <w:vAlign w:val="center"/>
          </w:tcPr>
          <w:p w14:paraId="5D29068B">
            <w:pPr>
              <w:widowControl/>
              <w:spacing w:line="0" w:lineRule="atLeast"/>
              <w:jc w:val="center"/>
              <w:rPr>
                <w:kern w:val="0"/>
                <w:sz w:val="22"/>
                <w:szCs w:val="22"/>
              </w:rPr>
            </w:pPr>
            <w:r>
              <w:rPr>
                <w:kern w:val="0"/>
                <w:sz w:val="22"/>
                <w:szCs w:val="22"/>
              </w:rPr>
              <w:t>资金分配</w:t>
            </w:r>
          </w:p>
          <w:p w14:paraId="781723DC">
            <w:pPr>
              <w:widowControl/>
              <w:spacing w:line="0" w:lineRule="atLeast"/>
              <w:jc w:val="center"/>
              <w:rPr>
                <w:kern w:val="0"/>
                <w:sz w:val="22"/>
                <w:szCs w:val="22"/>
              </w:rPr>
            </w:pPr>
            <w:r>
              <w:rPr>
                <w:kern w:val="0"/>
                <w:sz w:val="22"/>
                <w:szCs w:val="22"/>
              </w:rPr>
              <w:t>合理性</w:t>
            </w:r>
          </w:p>
        </w:tc>
        <w:tc>
          <w:tcPr>
            <w:tcW w:w="927" w:type="pct"/>
            <w:shd w:val="clear" w:color="auto" w:fill="FFFFFF"/>
            <w:vAlign w:val="center"/>
          </w:tcPr>
          <w:p w14:paraId="6192CA23">
            <w:pPr>
              <w:widowControl/>
              <w:spacing w:line="0" w:lineRule="atLeast"/>
              <w:rPr>
                <w:kern w:val="0"/>
                <w:sz w:val="22"/>
                <w:szCs w:val="22"/>
              </w:rPr>
            </w:pPr>
            <w:r>
              <w:rPr>
                <w:kern w:val="0"/>
                <w:sz w:val="22"/>
                <w:szCs w:val="22"/>
              </w:rPr>
              <w:t>项目预算资金分配是否有测算依据，与补助单位或地方实际是否相适应，用以反映和考核项目预算资金分配的科学性、合理性情况。</w:t>
            </w:r>
          </w:p>
        </w:tc>
        <w:tc>
          <w:tcPr>
            <w:tcW w:w="2044" w:type="pct"/>
            <w:shd w:val="clear" w:color="auto" w:fill="FFFFFF"/>
            <w:vAlign w:val="center"/>
          </w:tcPr>
          <w:p w14:paraId="47419CA2">
            <w:pPr>
              <w:widowControl/>
              <w:spacing w:line="0" w:lineRule="atLeast"/>
              <w:rPr>
                <w:kern w:val="0"/>
                <w:sz w:val="22"/>
                <w:szCs w:val="22"/>
              </w:rPr>
            </w:pPr>
            <w:r>
              <w:rPr>
                <w:kern w:val="0"/>
                <w:sz w:val="22"/>
                <w:szCs w:val="22"/>
              </w:rPr>
              <w:t>评价要点：</w:t>
            </w:r>
            <w:r>
              <w:rPr>
                <w:kern w:val="0"/>
                <w:sz w:val="22"/>
                <w:szCs w:val="22"/>
              </w:rPr>
              <w:br w:type="textWrapping"/>
            </w:r>
            <w:r>
              <w:rPr>
                <w:kern w:val="0"/>
                <w:sz w:val="22"/>
                <w:szCs w:val="22"/>
              </w:rPr>
              <w:t>①预算资金分配依据是否充分；</w:t>
            </w:r>
            <w:r>
              <w:rPr>
                <w:kern w:val="0"/>
                <w:sz w:val="22"/>
                <w:szCs w:val="22"/>
              </w:rPr>
              <w:br w:type="textWrapping"/>
            </w:r>
            <w:r>
              <w:rPr>
                <w:kern w:val="0"/>
                <w:sz w:val="22"/>
                <w:szCs w:val="22"/>
              </w:rPr>
              <w:t>②资金分配额度是否合理，与项目单位或地方实际是否相适应。</w:t>
            </w:r>
          </w:p>
        </w:tc>
        <w:tc>
          <w:tcPr>
            <w:tcW w:w="512" w:type="pct"/>
            <w:shd w:val="clear" w:color="auto" w:fill="FFFFFF"/>
            <w:vAlign w:val="center"/>
          </w:tcPr>
          <w:p w14:paraId="477628FD">
            <w:pPr>
              <w:widowControl/>
              <w:spacing w:line="0" w:lineRule="atLeast"/>
              <w:jc w:val="center"/>
              <w:rPr>
                <w:b/>
                <w:bCs/>
                <w:kern w:val="0"/>
                <w:sz w:val="22"/>
                <w:szCs w:val="22"/>
              </w:rPr>
            </w:pPr>
            <w:r>
              <w:rPr>
                <w:b/>
                <w:bCs/>
                <w:kern w:val="0"/>
                <w:sz w:val="22"/>
                <w:szCs w:val="22"/>
              </w:rPr>
              <w:t>4</w:t>
            </w:r>
          </w:p>
        </w:tc>
        <w:tc>
          <w:tcPr>
            <w:tcW w:w="537" w:type="pct"/>
            <w:shd w:val="clear" w:color="auto" w:fill="FFFFFF"/>
            <w:vAlign w:val="center"/>
          </w:tcPr>
          <w:p w14:paraId="45CDBDE5">
            <w:pPr>
              <w:widowControl/>
              <w:spacing w:line="0" w:lineRule="atLeast"/>
              <w:jc w:val="center"/>
              <w:rPr>
                <w:b/>
                <w:bCs/>
                <w:kern w:val="0"/>
                <w:sz w:val="22"/>
                <w:szCs w:val="22"/>
              </w:rPr>
            </w:pPr>
            <w:r>
              <w:rPr>
                <w:rFonts w:hint="eastAsia"/>
                <w:b/>
                <w:bCs/>
                <w:kern w:val="0"/>
                <w:sz w:val="22"/>
                <w:szCs w:val="22"/>
              </w:rPr>
              <w:t>4</w:t>
            </w:r>
          </w:p>
        </w:tc>
      </w:tr>
      <w:tr w14:paraId="30291E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31" w:type="pct"/>
            <w:vMerge w:val="restart"/>
            <w:shd w:val="clear" w:color="auto" w:fill="FFFFFF"/>
            <w:vAlign w:val="center"/>
          </w:tcPr>
          <w:p w14:paraId="1018E24D">
            <w:pPr>
              <w:spacing w:line="0" w:lineRule="atLeast"/>
              <w:jc w:val="center"/>
              <w:rPr>
                <w:kern w:val="0"/>
                <w:sz w:val="22"/>
                <w:szCs w:val="22"/>
              </w:rPr>
            </w:pPr>
            <w:r>
              <w:rPr>
                <w:kern w:val="0"/>
                <w:sz w:val="22"/>
                <w:szCs w:val="22"/>
              </w:rPr>
              <w:t>过程</w:t>
            </w:r>
          </w:p>
        </w:tc>
        <w:tc>
          <w:tcPr>
            <w:tcW w:w="302" w:type="pct"/>
            <w:vMerge w:val="restart"/>
            <w:shd w:val="clear" w:color="auto" w:fill="FFFFFF"/>
            <w:vAlign w:val="center"/>
          </w:tcPr>
          <w:p w14:paraId="1C8FEC28">
            <w:pPr>
              <w:widowControl/>
              <w:spacing w:line="0" w:lineRule="atLeast"/>
              <w:jc w:val="center"/>
              <w:rPr>
                <w:kern w:val="0"/>
                <w:sz w:val="22"/>
                <w:szCs w:val="22"/>
              </w:rPr>
            </w:pPr>
            <w:r>
              <w:rPr>
                <w:kern w:val="0"/>
                <w:sz w:val="22"/>
                <w:szCs w:val="22"/>
              </w:rPr>
              <w:t>资金管理</w:t>
            </w:r>
          </w:p>
        </w:tc>
        <w:tc>
          <w:tcPr>
            <w:tcW w:w="344" w:type="pct"/>
            <w:shd w:val="clear" w:color="auto" w:fill="FFFFFF"/>
            <w:vAlign w:val="center"/>
          </w:tcPr>
          <w:p w14:paraId="14F2AF8A">
            <w:pPr>
              <w:widowControl/>
              <w:spacing w:line="0" w:lineRule="atLeast"/>
              <w:jc w:val="center"/>
              <w:rPr>
                <w:kern w:val="0"/>
                <w:sz w:val="22"/>
                <w:szCs w:val="22"/>
              </w:rPr>
            </w:pPr>
            <w:r>
              <w:rPr>
                <w:kern w:val="0"/>
                <w:sz w:val="22"/>
                <w:szCs w:val="22"/>
              </w:rPr>
              <w:t>资金到位率</w:t>
            </w:r>
          </w:p>
        </w:tc>
        <w:tc>
          <w:tcPr>
            <w:tcW w:w="927" w:type="pct"/>
            <w:shd w:val="clear" w:color="000000" w:fill="FFFFFF"/>
            <w:vAlign w:val="center"/>
          </w:tcPr>
          <w:p w14:paraId="22D572B4">
            <w:pPr>
              <w:widowControl/>
              <w:spacing w:line="0" w:lineRule="atLeast"/>
              <w:rPr>
                <w:kern w:val="0"/>
                <w:sz w:val="22"/>
                <w:szCs w:val="22"/>
              </w:rPr>
            </w:pPr>
            <w:r>
              <w:rPr>
                <w:kern w:val="0"/>
                <w:sz w:val="22"/>
                <w:szCs w:val="22"/>
              </w:rPr>
              <w:t>实际到位资金与预算资金的比率，用以反映和考核资金落实情况对项目实施的总体保障程度。</w:t>
            </w:r>
          </w:p>
        </w:tc>
        <w:tc>
          <w:tcPr>
            <w:tcW w:w="2044" w:type="pct"/>
            <w:shd w:val="clear" w:color="000000" w:fill="FFFFFF"/>
            <w:vAlign w:val="center"/>
          </w:tcPr>
          <w:p w14:paraId="76F28A19">
            <w:pPr>
              <w:widowControl/>
              <w:spacing w:line="0" w:lineRule="atLeast"/>
              <w:rPr>
                <w:kern w:val="0"/>
                <w:sz w:val="22"/>
                <w:szCs w:val="22"/>
              </w:rPr>
            </w:pPr>
            <w:r>
              <w:rPr>
                <w:kern w:val="0"/>
                <w:sz w:val="22"/>
                <w:szCs w:val="22"/>
              </w:rPr>
              <w:t>资金到位率=（实际到位资金/预算资金）×100%。</w:t>
            </w:r>
          </w:p>
          <w:p w14:paraId="60E8C4A1">
            <w:pPr>
              <w:widowControl/>
              <w:spacing w:line="0" w:lineRule="atLeast"/>
              <w:rPr>
                <w:kern w:val="0"/>
                <w:sz w:val="22"/>
                <w:szCs w:val="22"/>
              </w:rPr>
            </w:pPr>
            <w:r>
              <w:rPr>
                <w:kern w:val="0"/>
                <w:sz w:val="22"/>
                <w:szCs w:val="22"/>
              </w:rPr>
              <w:t>实际到位资金：一定时期（本年度或项目期）内落实到具体项目的资金。</w:t>
            </w:r>
          </w:p>
          <w:p w14:paraId="759FBE39">
            <w:pPr>
              <w:widowControl/>
              <w:spacing w:line="0" w:lineRule="atLeast"/>
              <w:rPr>
                <w:kern w:val="0"/>
                <w:sz w:val="22"/>
                <w:szCs w:val="22"/>
              </w:rPr>
            </w:pPr>
            <w:r>
              <w:rPr>
                <w:kern w:val="0"/>
                <w:sz w:val="22"/>
                <w:szCs w:val="22"/>
              </w:rPr>
              <w:t>预算资金：一定时期（本年度或项目期）内预算安排到具体项目的资金。</w:t>
            </w:r>
          </w:p>
        </w:tc>
        <w:tc>
          <w:tcPr>
            <w:tcW w:w="512" w:type="pct"/>
            <w:shd w:val="clear" w:color="000000" w:fill="FFFFFF"/>
            <w:vAlign w:val="center"/>
          </w:tcPr>
          <w:p w14:paraId="4174B7BE">
            <w:pPr>
              <w:widowControl/>
              <w:spacing w:line="0" w:lineRule="atLeast"/>
              <w:jc w:val="center"/>
              <w:rPr>
                <w:b/>
                <w:bCs/>
                <w:kern w:val="0"/>
                <w:sz w:val="22"/>
                <w:szCs w:val="22"/>
              </w:rPr>
            </w:pPr>
            <w:r>
              <w:rPr>
                <w:b/>
                <w:bCs/>
                <w:kern w:val="0"/>
                <w:sz w:val="22"/>
                <w:szCs w:val="22"/>
              </w:rPr>
              <w:t>4</w:t>
            </w:r>
          </w:p>
        </w:tc>
        <w:tc>
          <w:tcPr>
            <w:tcW w:w="537" w:type="pct"/>
            <w:shd w:val="clear" w:color="000000" w:fill="FFFFFF"/>
            <w:vAlign w:val="center"/>
          </w:tcPr>
          <w:p w14:paraId="73EF6599">
            <w:pPr>
              <w:widowControl/>
              <w:spacing w:line="0" w:lineRule="atLeast"/>
              <w:jc w:val="center"/>
              <w:rPr>
                <w:b/>
                <w:bCs/>
                <w:kern w:val="0"/>
                <w:sz w:val="22"/>
                <w:szCs w:val="22"/>
              </w:rPr>
            </w:pPr>
            <w:r>
              <w:rPr>
                <w:rFonts w:hint="eastAsia"/>
                <w:b/>
                <w:bCs/>
                <w:kern w:val="0"/>
                <w:sz w:val="22"/>
                <w:szCs w:val="22"/>
              </w:rPr>
              <w:t>4</w:t>
            </w:r>
          </w:p>
        </w:tc>
      </w:tr>
      <w:tr w14:paraId="77E528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31" w:type="pct"/>
            <w:vMerge w:val="continue"/>
            <w:shd w:val="clear" w:color="auto" w:fill="FFFFFF"/>
            <w:vAlign w:val="center"/>
          </w:tcPr>
          <w:p w14:paraId="6DFB8B9B">
            <w:pPr>
              <w:spacing w:line="0" w:lineRule="atLeast"/>
              <w:jc w:val="center"/>
              <w:rPr>
                <w:kern w:val="0"/>
                <w:sz w:val="22"/>
                <w:szCs w:val="22"/>
              </w:rPr>
            </w:pPr>
          </w:p>
        </w:tc>
        <w:tc>
          <w:tcPr>
            <w:tcW w:w="302" w:type="pct"/>
            <w:vMerge w:val="continue"/>
            <w:shd w:val="clear" w:color="auto" w:fill="FFFFFF"/>
            <w:vAlign w:val="center"/>
          </w:tcPr>
          <w:p w14:paraId="5E122124">
            <w:pPr>
              <w:spacing w:line="0" w:lineRule="atLeast"/>
              <w:jc w:val="center"/>
              <w:rPr>
                <w:kern w:val="0"/>
                <w:sz w:val="22"/>
                <w:szCs w:val="22"/>
              </w:rPr>
            </w:pPr>
          </w:p>
        </w:tc>
        <w:tc>
          <w:tcPr>
            <w:tcW w:w="344" w:type="pct"/>
            <w:shd w:val="clear" w:color="auto" w:fill="FFFFFF"/>
            <w:vAlign w:val="center"/>
          </w:tcPr>
          <w:p w14:paraId="7A3B310F">
            <w:pPr>
              <w:widowControl/>
              <w:spacing w:line="0" w:lineRule="atLeast"/>
              <w:jc w:val="center"/>
              <w:rPr>
                <w:kern w:val="0"/>
                <w:sz w:val="22"/>
                <w:szCs w:val="22"/>
              </w:rPr>
            </w:pPr>
            <w:r>
              <w:rPr>
                <w:kern w:val="0"/>
                <w:sz w:val="22"/>
                <w:szCs w:val="22"/>
              </w:rPr>
              <w:t>预算执行率</w:t>
            </w:r>
          </w:p>
        </w:tc>
        <w:tc>
          <w:tcPr>
            <w:tcW w:w="927" w:type="pct"/>
            <w:shd w:val="clear" w:color="auto" w:fill="FFFFFF"/>
            <w:vAlign w:val="center"/>
          </w:tcPr>
          <w:p w14:paraId="0AFA1FED">
            <w:pPr>
              <w:widowControl/>
              <w:spacing w:line="0" w:lineRule="atLeast"/>
              <w:rPr>
                <w:kern w:val="0"/>
                <w:sz w:val="22"/>
                <w:szCs w:val="22"/>
              </w:rPr>
            </w:pPr>
            <w:r>
              <w:rPr>
                <w:kern w:val="0"/>
                <w:sz w:val="22"/>
                <w:szCs w:val="22"/>
              </w:rPr>
              <w:t>项目预算资金是否按照计划执行，用以反映或考核项目预算执行情况。</w:t>
            </w:r>
          </w:p>
        </w:tc>
        <w:tc>
          <w:tcPr>
            <w:tcW w:w="2044" w:type="pct"/>
            <w:shd w:val="clear" w:color="auto" w:fill="FFFFFF"/>
            <w:vAlign w:val="center"/>
          </w:tcPr>
          <w:p w14:paraId="1D06B9A1">
            <w:pPr>
              <w:widowControl/>
              <w:spacing w:line="0" w:lineRule="atLeast"/>
              <w:rPr>
                <w:kern w:val="0"/>
                <w:sz w:val="22"/>
                <w:szCs w:val="22"/>
              </w:rPr>
            </w:pPr>
            <w:r>
              <w:rPr>
                <w:kern w:val="0"/>
                <w:sz w:val="22"/>
                <w:szCs w:val="22"/>
              </w:rPr>
              <w:t>预算执行率=（实际支出资金/实际到位资金）×100%。</w:t>
            </w:r>
            <w:r>
              <w:rPr>
                <w:kern w:val="0"/>
                <w:sz w:val="22"/>
                <w:szCs w:val="22"/>
              </w:rPr>
              <w:br w:type="textWrapping"/>
            </w:r>
            <w:r>
              <w:rPr>
                <w:kern w:val="0"/>
                <w:sz w:val="22"/>
                <w:szCs w:val="22"/>
              </w:rPr>
              <w:t>实际支出资金：一定时期（本年度或项目期）内项目实际拨付的资金。</w:t>
            </w:r>
          </w:p>
        </w:tc>
        <w:tc>
          <w:tcPr>
            <w:tcW w:w="512" w:type="pct"/>
            <w:shd w:val="clear" w:color="auto" w:fill="FFFFFF"/>
            <w:vAlign w:val="center"/>
          </w:tcPr>
          <w:p w14:paraId="63064A58">
            <w:pPr>
              <w:widowControl/>
              <w:spacing w:line="0" w:lineRule="atLeast"/>
              <w:jc w:val="center"/>
              <w:rPr>
                <w:b/>
                <w:bCs/>
                <w:kern w:val="0"/>
                <w:sz w:val="22"/>
                <w:szCs w:val="22"/>
              </w:rPr>
            </w:pPr>
            <w:r>
              <w:rPr>
                <w:b/>
                <w:bCs/>
                <w:kern w:val="0"/>
                <w:sz w:val="22"/>
                <w:szCs w:val="22"/>
              </w:rPr>
              <w:t>4</w:t>
            </w:r>
          </w:p>
        </w:tc>
        <w:tc>
          <w:tcPr>
            <w:tcW w:w="537" w:type="pct"/>
            <w:shd w:val="clear" w:color="auto" w:fill="FFFFFF"/>
            <w:vAlign w:val="center"/>
          </w:tcPr>
          <w:p w14:paraId="057AE214">
            <w:pPr>
              <w:widowControl/>
              <w:spacing w:line="0" w:lineRule="atLeast"/>
              <w:jc w:val="center"/>
              <w:rPr>
                <w:b/>
                <w:bCs/>
                <w:kern w:val="0"/>
                <w:sz w:val="22"/>
                <w:szCs w:val="22"/>
              </w:rPr>
            </w:pPr>
            <w:r>
              <w:rPr>
                <w:rFonts w:hint="eastAsia"/>
                <w:b/>
                <w:bCs/>
                <w:kern w:val="0"/>
                <w:sz w:val="22"/>
                <w:szCs w:val="22"/>
              </w:rPr>
              <w:t>4</w:t>
            </w:r>
          </w:p>
        </w:tc>
      </w:tr>
      <w:tr w14:paraId="100326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31" w:type="pct"/>
            <w:vMerge w:val="restart"/>
            <w:shd w:val="clear" w:color="auto" w:fill="FFFFFF"/>
            <w:vAlign w:val="center"/>
          </w:tcPr>
          <w:p w14:paraId="5EE97BC7">
            <w:pPr>
              <w:widowControl/>
              <w:spacing w:line="0" w:lineRule="atLeast"/>
              <w:jc w:val="center"/>
              <w:rPr>
                <w:kern w:val="0"/>
                <w:sz w:val="22"/>
                <w:szCs w:val="22"/>
              </w:rPr>
            </w:pPr>
            <w:r>
              <w:rPr>
                <w:kern w:val="0"/>
                <w:sz w:val="22"/>
                <w:szCs w:val="22"/>
              </w:rPr>
              <w:t>　</w:t>
            </w:r>
          </w:p>
          <w:p w14:paraId="3DA5351E">
            <w:pPr>
              <w:spacing w:line="0" w:lineRule="atLeast"/>
              <w:jc w:val="center"/>
              <w:rPr>
                <w:kern w:val="0"/>
                <w:sz w:val="22"/>
                <w:szCs w:val="22"/>
              </w:rPr>
            </w:pPr>
            <w:r>
              <w:rPr>
                <w:kern w:val="0"/>
                <w:sz w:val="22"/>
                <w:szCs w:val="22"/>
              </w:rPr>
              <w:t>过程　</w:t>
            </w:r>
          </w:p>
        </w:tc>
        <w:tc>
          <w:tcPr>
            <w:tcW w:w="302" w:type="pct"/>
            <w:shd w:val="clear" w:color="auto" w:fill="FFFFFF"/>
            <w:vAlign w:val="center"/>
          </w:tcPr>
          <w:p w14:paraId="3D7D93BE">
            <w:pPr>
              <w:widowControl/>
              <w:spacing w:line="0" w:lineRule="atLeast"/>
              <w:jc w:val="center"/>
              <w:rPr>
                <w:kern w:val="0"/>
                <w:sz w:val="22"/>
                <w:szCs w:val="22"/>
              </w:rPr>
            </w:pPr>
            <w:r>
              <w:rPr>
                <w:kern w:val="0"/>
                <w:sz w:val="22"/>
                <w:szCs w:val="22"/>
              </w:rPr>
              <w:t>资金管理</w:t>
            </w:r>
          </w:p>
        </w:tc>
        <w:tc>
          <w:tcPr>
            <w:tcW w:w="344" w:type="pct"/>
            <w:shd w:val="clear" w:color="auto" w:fill="FFFFFF"/>
            <w:vAlign w:val="center"/>
          </w:tcPr>
          <w:p w14:paraId="5B6A5339">
            <w:pPr>
              <w:widowControl/>
              <w:spacing w:line="0" w:lineRule="atLeast"/>
              <w:jc w:val="center"/>
              <w:rPr>
                <w:kern w:val="0"/>
                <w:sz w:val="22"/>
                <w:szCs w:val="22"/>
              </w:rPr>
            </w:pPr>
            <w:r>
              <w:rPr>
                <w:kern w:val="0"/>
                <w:sz w:val="22"/>
                <w:szCs w:val="22"/>
              </w:rPr>
              <w:t>资金使用</w:t>
            </w:r>
          </w:p>
          <w:p w14:paraId="00190D24">
            <w:pPr>
              <w:widowControl/>
              <w:spacing w:line="0" w:lineRule="atLeast"/>
              <w:jc w:val="center"/>
              <w:rPr>
                <w:kern w:val="0"/>
                <w:sz w:val="22"/>
                <w:szCs w:val="22"/>
              </w:rPr>
            </w:pPr>
            <w:r>
              <w:rPr>
                <w:kern w:val="0"/>
                <w:sz w:val="22"/>
                <w:szCs w:val="22"/>
              </w:rPr>
              <w:t>合规性</w:t>
            </w:r>
          </w:p>
        </w:tc>
        <w:tc>
          <w:tcPr>
            <w:tcW w:w="927" w:type="pct"/>
            <w:shd w:val="clear" w:color="000000" w:fill="FFFFFF"/>
            <w:vAlign w:val="center"/>
          </w:tcPr>
          <w:p w14:paraId="26FADE35">
            <w:pPr>
              <w:widowControl/>
              <w:spacing w:line="0" w:lineRule="atLeast"/>
              <w:rPr>
                <w:kern w:val="0"/>
                <w:sz w:val="22"/>
                <w:szCs w:val="22"/>
              </w:rPr>
            </w:pPr>
            <w:r>
              <w:rPr>
                <w:kern w:val="0"/>
                <w:sz w:val="22"/>
                <w:szCs w:val="22"/>
              </w:rPr>
              <w:t>项目资金使用是否符合相关的财务管理制度规定，用以反映和考核项目资金的规范运行情况。</w:t>
            </w:r>
          </w:p>
        </w:tc>
        <w:tc>
          <w:tcPr>
            <w:tcW w:w="2044" w:type="pct"/>
            <w:shd w:val="clear" w:color="000000" w:fill="FFFFFF"/>
            <w:vAlign w:val="center"/>
          </w:tcPr>
          <w:p w14:paraId="23FFAC69">
            <w:pPr>
              <w:widowControl/>
              <w:spacing w:line="0" w:lineRule="atLeast"/>
              <w:rPr>
                <w:kern w:val="0"/>
                <w:sz w:val="22"/>
                <w:szCs w:val="22"/>
              </w:rPr>
            </w:pPr>
            <w:r>
              <w:rPr>
                <w:kern w:val="0"/>
                <w:sz w:val="22"/>
                <w:szCs w:val="22"/>
              </w:rPr>
              <w:t>评价要点：</w:t>
            </w:r>
            <w:r>
              <w:rPr>
                <w:kern w:val="0"/>
                <w:sz w:val="22"/>
                <w:szCs w:val="22"/>
              </w:rPr>
              <w:br w:type="textWrapping"/>
            </w:r>
            <w:r>
              <w:rPr>
                <w:kern w:val="0"/>
                <w:sz w:val="22"/>
                <w:szCs w:val="22"/>
              </w:rPr>
              <w:t>①是否符合国家财经法规和财务管理制度以及有关专项资金管理办法的规定；</w:t>
            </w:r>
            <w:r>
              <w:rPr>
                <w:kern w:val="0"/>
                <w:sz w:val="22"/>
                <w:szCs w:val="22"/>
              </w:rPr>
              <w:br w:type="textWrapping"/>
            </w:r>
            <w:r>
              <w:rPr>
                <w:kern w:val="0"/>
                <w:sz w:val="22"/>
                <w:szCs w:val="22"/>
              </w:rPr>
              <w:t>②资金的拨付是否有完整的审批程序和手续；</w:t>
            </w:r>
            <w:r>
              <w:rPr>
                <w:kern w:val="0"/>
                <w:sz w:val="22"/>
                <w:szCs w:val="22"/>
              </w:rPr>
              <w:br w:type="textWrapping"/>
            </w:r>
            <w:r>
              <w:rPr>
                <w:kern w:val="0"/>
                <w:sz w:val="22"/>
                <w:szCs w:val="22"/>
              </w:rPr>
              <w:t>③是否符合项目预算批复或合同规定的用途；</w:t>
            </w:r>
            <w:r>
              <w:rPr>
                <w:kern w:val="0"/>
                <w:sz w:val="22"/>
                <w:szCs w:val="22"/>
              </w:rPr>
              <w:br w:type="textWrapping"/>
            </w:r>
            <w:r>
              <w:rPr>
                <w:kern w:val="0"/>
                <w:sz w:val="22"/>
                <w:szCs w:val="22"/>
              </w:rPr>
              <w:t>④是否存在截留、挤占、挪用、虚列支出等情况。</w:t>
            </w:r>
          </w:p>
        </w:tc>
        <w:tc>
          <w:tcPr>
            <w:tcW w:w="512" w:type="pct"/>
            <w:shd w:val="clear" w:color="000000" w:fill="FFFFFF"/>
            <w:vAlign w:val="center"/>
          </w:tcPr>
          <w:p w14:paraId="2B65ABD2">
            <w:pPr>
              <w:widowControl/>
              <w:spacing w:line="0" w:lineRule="atLeast"/>
              <w:jc w:val="center"/>
              <w:rPr>
                <w:b/>
                <w:bCs/>
                <w:kern w:val="0"/>
                <w:sz w:val="22"/>
                <w:szCs w:val="22"/>
              </w:rPr>
            </w:pPr>
            <w:r>
              <w:rPr>
                <w:b/>
                <w:bCs/>
                <w:kern w:val="0"/>
                <w:sz w:val="22"/>
                <w:szCs w:val="22"/>
              </w:rPr>
              <w:t>4</w:t>
            </w:r>
          </w:p>
        </w:tc>
        <w:tc>
          <w:tcPr>
            <w:tcW w:w="537" w:type="pct"/>
            <w:shd w:val="clear" w:color="000000" w:fill="FFFFFF"/>
            <w:vAlign w:val="center"/>
          </w:tcPr>
          <w:p w14:paraId="504F27BC">
            <w:pPr>
              <w:widowControl/>
              <w:spacing w:line="0" w:lineRule="atLeast"/>
              <w:jc w:val="center"/>
              <w:rPr>
                <w:b/>
                <w:bCs/>
                <w:kern w:val="0"/>
                <w:sz w:val="22"/>
                <w:szCs w:val="22"/>
              </w:rPr>
            </w:pPr>
            <w:r>
              <w:rPr>
                <w:rFonts w:hint="eastAsia"/>
                <w:b/>
                <w:bCs/>
                <w:kern w:val="0"/>
                <w:sz w:val="22"/>
                <w:szCs w:val="22"/>
              </w:rPr>
              <w:t>4</w:t>
            </w:r>
          </w:p>
        </w:tc>
      </w:tr>
      <w:tr w14:paraId="473247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31" w:type="pct"/>
            <w:vMerge w:val="continue"/>
            <w:shd w:val="clear" w:color="auto" w:fill="FFFFFF"/>
            <w:vAlign w:val="center"/>
          </w:tcPr>
          <w:p w14:paraId="2F891D6E">
            <w:pPr>
              <w:spacing w:line="0" w:lineRule="atLeast"/>
              <w:jc w:val="center"/>
              <w:rPr>
                <w:kern w:val="0"/>
                <w:sz w:val="22"/>
                <w:szCs w:val="22"/>
              </w:rPr>
            </w:pPr>
          </w:p>
        </w:tc>
        <w:tc>
          <w:tcPr>
            <w:tcW w:w="302" w:type="pct"/>
            <w:vMerge w:val="restart"/>
            <w:shd w:val="clear" w:color="auto" w:fill="FFFFFF"/>
            <w:vAlign w:val="center"/>
          </w:tcPr>
          <w:p w14:paraId="264987E1">
            <w:pPr>
              <w:widowControl/>
              <w:spacing w:line="0" w:lineRule="atLeast"/>
              <w:jc w:val="center"/>
              <w:rPr>
                <w:kern w:val="0"/>
                <w:sz w:val="22"/>
                <w:szCs w:val="22"/>
              </w:rPr>
            </w:pPr>
            <w:r>
              <w:rPr>
                <w:kern w:val="0"/>
                <w:sz w:val="22"/>
                <w:szCs w:val="22"/>
              </w:rPr>
              <w:t>组织实施</w:t>
            </w:r>
          </w:p>
          <w:p w14:paraId="30744B07">
            <w:pPr>
              <w:spacing w:line="0" w:lineRule="atLeast"/>
              <w:jc w:val="center"/>
              <w:rPr>
                <w:kern w:val="0"/>
                <w:sz w:val="22"/>
                <w:szCs w:val="22"/>
              </w:rPr>
            </w:pPr>
            <w:r>
              <w:rPr>
                <w:kern w:val="0"/>
                <w:sz w:val="22"/>
                <w:szCs w:val="22"/>
              </w:rPr>
              <w:t>　</w:t>
            </w:r>
          </w:p>
        </w:tc>
        <w:tc>
          <w:tcPr>
            <w:tcW w:w="344" w:type="pct"/>
            <w:shd w:val="clear" w:color="auto" w:fill="FFFFFF"/>
            <w:vAlign w:val="center"/>
          </w:tcPr>
          <w:p w14:paraId="4DD8C2B6">
            <w:pPr>
              <w:widowControl/>
              <w:spacing w:line="0" w:lineRule="atLeast"/>
              <w:jc w:val="center"/>
              <w:rPr>
                <w:kern w:val="0"/>
                <w:sz w:val="22"/>
                <w:szCs w:val="22"/>
              </w:rPr>
            </w:pPr>
            <w:r>
              <w:rPr>
                <w:kern w:val="0"/>
                <w:sz w:val="22"/>
                <w:szCs w:val="22"/>
              </w:rPr>
              <w:t>管理制度</w:t>
            </w:r>
          </w:p>
          <w:p w14:paraId="5692485C">
            <w:pPr>
              <w:widowControl/>
              <w:spacing w:line="0" w:lineRule="atLeast"/>
              <w:jc w:val="center"/>
              <w:rPr>
                <w:kern w:val="0"/>
                <w:sz w:val="22"/>
                <w:szCs w:val="22"/>
              </w:rPr>
            </w:pPr>
            <w:r>
              <w:rPr>
                <w:kern w:val="0"/>
                <w:sz w:val="22"/>
                <w:szCs w:val="22"/>
              </w:rPr>
              <w:t>健全性</w:t>
            </w:r>
          </w:p>
        </w:tc>
        <w:tc>
          <w:tcPr>
            <w:tcW w:w="927" w:type="pct"/>
            <w:shd w:val="clear" w:color="000000" w:fill="FFFFFF"/>
            <w:vAlign w:val="center"/>
          </w:tcPr>
          <w:p w14:paraId="14595559">
            <w:pPr>
              <w:widowControl/>
              <w:spacing w:line="0" w:lineRule="atLeast"/>
              <w:rPr>
                <w:kern w:val="0"/>
                <w:sz w:val="22"/>
                <w:szCs w:val="22"/>
              </w:rPr>
            </w:pPr>
            <w:r>
              <w:rPr>
                <w:kern w:val="0"/>
                <w:sz w:val="22"/>
                <w:szCs w:val="22"/>
              </w:rPr>
              <w:t>项目实施单位的财务和业务管理制度是否健全，用以反映和考核财务和业务管理制度对项目顺利实施的保障情况。</w:t>
            </w:r>
          </w:p>
        </w:tc>
        <w:tc>
          <w:tcPr>
            <w:tcW w:w="2044" w:type="pct"/>
            <w:shd w:val="clear" w:color="000000" w:fill="FFFFFF"/>
            <w:vAlign w:val="center"/>
          </w:tcPr>
          <w:p w14:paraId="50D22B4B">
            <w:pPr>
              <w:widowControl/>
              <w:spacing w:line="0" w:lineRule="atLeast"/>
              <w:rPr>
                <w:kern w:val="0"/>
                <w:sz w:val="22"/>
                <w:szCs w:val="22"/>
              </w:rPr>
            </w:pPr>
            <w:r>
              <w:rPr>
                <w:kern w:val="0"/>
                <w:sz w:val="22"/>
                <w:szCs w:val="22"/>
              </w:rPr>
              <w:t>评价要点：</w:t>
            </w:r>
            <w:r>
              <w:rPr>
                <w:kern w:val="0"/>
                <w:sz w:val="22"/>
                <w:szCs w:val="22"/>
              </w:rPr>
              <w:br w:type="textWrapping"/>
            </w:r>
            <w:r>
              <w:rPr>
                <w:kern w:val="0"/>
                <w:sz w:val="22"/>
                <w:szCs w:val="22"/>
              </w:rPr>
              <w:t>①是否已制定或具有相应的财务和业务管理制度；</w:t>
            </w:r>
            <w:r>
              <w:rPr>
                <w:kern w:val="0"/>
                <w:sz w:val="22"/>
                <w:szCs w:val="22"/>
              </w:rPr>
              <w:br w:type="textWrapping"/>
            </w:r>
            <w:r>
              <w:rPr>
                <w:kern w:val="0"/>
                <w:sz w:val="22"/>
                <w:szCs w:val="22"/>
              </w:rPr>
              <w:t>②财务和业务管理制度是否合法、合规、完整。</w:t>
            </w:r>
          </w:p>
        </w:tc>
        <w:tc>
          <w:tcPr>
            <w:tcW w:w="512" w:type="pct"/>
            <w:shd w:val="clear" w:color="000000" w:fill="FFFFFF"/>
            <w:vAlign w:val="center"/>
          </w:tcPr>
          <w:p w14:paraId="74158B32">
            <w:pPr>
              <w:widowControl/>
              <w:spacing w:line="0" w:lineRule="atLeast"/>
              <w:jc w:val="center"/>
              <w:rPr>
                <w:b/>
                <w:bCs/>
                <w:kern w:val="0"/>
                <w:sz w:val="22"/>
                <w:szCs w:val="22"/>
              </w:rPr>
            </w:pPr>
            <w:r>
              <w:rPr>
                <w:b/>
                <w:bCs/>
                <w:kern w:val="0"/>
                <w:sz w:val="22"/>
                <w:szCs w:val="22"/>
              </w:rPr>
              <w:t>4</w:t>
            </w:r>
          </w:p>
        </w:tc>
        <w:tc>
          <w:tcPr>
            <w:tcW w:w="537" w:type="pct"/>
            <w:shd w:val="clear" w:color="000000" w:fill="FFFFFF"/>
            <w:vAlign w:val="center"/>
          </w:tcPr>
          <w:p w14:paraId="195A3556">
            <w:pPr>
              <w:widowControl/>
              <w:spacing w:line="0" w:lineRule="atLeast"/>
              <w:jc w:val="center"/>
              <w:rPr>
                <w:b/>
                <w:bCs/>
                <w:kern w:val="0"/>
                <w:sz w:val="22"/>
                <w:szCs w:val="22"/>
              </w:rPr>
            </w:pPr>
            <w:r>
              <w:rPr>
                <w:rFonts w:hint="eastAsia"/>
                <w:b/>
                <w:bCs/>
                <w:kern w:val="0"/>
                <w:sz w:val="22"/>
                <w:szCs w:val="22"/>
              </w:rPr>
              <w:t>4</w:t>
            </w:r>
          </w:p>
        </w:tc>
      </w:tr>
      <w:tr w14:paraId="3B532F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31" w:type="pct"/>
            <w:vMerge w:val="continue"/>
            <w:shd w:val="clear" w:color="auto" w:fill="FFFFFF"/>
            <w:vAlign w:val="center"/>
          </w:tcPr>
          <w:p w14:paraId="6FD9DD42">
            <w:pPr>
              <w:widowControl/>
              <w:spacing w:line="0" w:lineRule="atLeast"/>
              <w:jc w:val="center"/>
              <w:rPr>
                <w:kern w:val="0"/>
                <w:sz w:val="22"/>
                <w:szCs w:val="22"/>
              </w:rPr>
            </w:pPr>
          </w:p>
        </w:tc>
        <w:tc>
          <w:tcPr>
            <w:tcW w:w="302" w:type="pct"/>
            <w:vMerge w:val="continue"/>
            <w:shd w:val="clear" w:color="auto" w:fill="FFFFFF"/>
            <w:vAlign w:val="center"/>
          </w:tcPr>
          <w:p w14:paraId="07A9582E">
            <w:pPr>
              <w:widowControl/>
              <w:spacing w:line="0" w:lineRule="atLeast"/>
              <w:jc w:val="center"/>
              <w:rPr>
                <w:kern w:val="0"/>
                <w:sz w:val="22"/>
                <w:szCs w:val="22"/>
              </w:rPr>
            </w:pPr>
          </w:p>
        </w:tc>
        <w:tc>
          <w:tcPr>
            <w:tcW w:w="344" w:type="pct"/>
            <w:shd w:val="clear" w:color="auto" w:fill="FFFFFF"/>
            <w:vAlign w:val="center"/>
          </w:tcPr>
          <w:p w14:paraId="7BF37952">
            <w:pPr>
              <w:widowControl/>
              <w:spacing w:line="0" w:lineRule="atLeast"/>
              <w:jc w:val="center"/>
              <w:rPr>
                <w:kern w:val="0"/>
                <w:sz w:val="22"/>
                <w:szCs w:val="22"/>
              </w:rPr>
            </w:pPr>
            <w:r>
              <w:rPr>
                <w:kern w:val="0"/>
                <w:sz w:val="22"/>
                <w:szCs w:val="22"/>
              </w:rPr>
              <w:t>制度执行</w:t>
            </w:r>
          </w:p>
          <w:p w14:paraId="2A32C2E5">
            <w:pPr>
              <w:widowControl/>
              <w:spacing w:line="0" w:lineRule="atLeast"/>
              <w:jc w:val="center"/>
              <w:rPr>
                <w:kern w:val="0"/>
                <w:sz w:val="22"/>
                <w:szCs w:val="22"/>
              </w:rPr>
            </w:pPr>
            <w:r>
              <w:rPr>
                <w:kern w:val="0"/>
                <w:sz w:val="22"/>
                <w:szCs w:val="22"/>
              </w:rPr>
              <w:t>有效性</w:t>
            </w:r>
          </w:p>
        </w:tc>
        <w:tc>
          <w:tcPr>
            <w:tcW w:w="927" w:type="pct"/>
            <w:shd w:val="clear" w:color="000000" w:fill="FFFFFF"/>
            <w:vAlign w:val="center"/>
          </w:tcPr>
          <w:p w14:paraId="5BB735A6">
            <w:pPr>
              <w:widowControl/>
              <w:spacing w:line="0" w:lineRule="atLeast"/>
              <w:rPr>
                <w:kern w:val="0"/>
                <w:sz w:val="22"/>
                <w:szCs w:val="22"/>
              </w:rPr>
            </w:pPr>
            <w:r>
              <w:rPr>
                <w:kern w:val="0"/>
                <w:sz w:val="22"/>
                <w:szCs w:val="22"/>
              </w:rPr>
              <w:t>项目实施是否符合相关管理规定，用以反映和考核相关管理制度的有效执行情况。</w:t>
            </w:r>
          </w:p>
        </w:tc>
        <w:tc>
          <w:tcPr>
            <w:tcW w:w="2044" w:type="pct"/>
            <w:shd w:val="clear" w:color="000000" w:fill="FFFFFF"/>
            <w:vAlign w:val="center"/>
          </w:tcPr>
          <w:p w14:paraId="5FF4720B">
            <w:pPr>
              <w:widowControl/>
              <w:spacing w:line="0" w:lineRule="atLeast"/>
              <w:rPr>
                <w:kern w:val="0"/>
                <w:sz w:val="22"/>
                <w:szCs w:val="22"/>
              </w:rPr>
            </w:pPr>
            <w:r>
              <w:rPr>
                <w:kern w:val="0"/>
                <w:sz w:val="22"/>
                <w:szCs w:val="22"/>
              </w:rPr>
              <w:t>评价要点：</w:t>
            </w:r>
            <w:r>
              <w:rPr>
                <w:kern w:val="0"/>
                <w:sz w:val="22"/>
                <w:szCs w:val="22"/>
              </w:rPr>
              <w:br w:type="textWrapping"/>
            </w:r>
            <w:r>
              <w:rPr>
                <w:kern w:val="0"/>
                <w:sz w:val="22"/>
                <w:szCs w:val="22"/>
              </w:rPr>
              <w:t>①是否遵守相关法律法规和相关管理规定；</w:t>
            </w:r>
            <w:r>
              <w:rPr>
                <w:kern w:val="0"/>
                <w:sz w:val="22"/>
                <w:szCs w:val="22"/>
              </w:rPr>
              <w:br w:type="textWrapping"/>
            </w:r>
            <w:r>
              <w:rPr>
                <w:kern w:val="0"/>
                <w:sz w:val="22"/>
                <w:szCs w:val="22"/>
              </w:rPr>
              <w:t>②项目调整及支出调整手续是否完备；</w:t>
            </w:r>
            <w:r>
              <w:rPr>
                <w:kern w:val="0"/>
                <w:sz w:val="22"/>
                <w:szCs w:val="22"/>
              </w:rPr>
              <w:br w:type="textWrapping"/>
            </w:r>
            <w:r>
              <w:rPr>
                <w:kern w:val="0"/>
                <w:sz w:val="22"/>
                <w:szCs w:val="22"/>
              </w:rPr>
              <w:t>③项目合同书、验收报告、技术鉴定等资料是否齐全并及时归档；</w:t>
            </w:r>
            <w:r>
              <w:rPr>
                <w:kern w:val="0"/>
                <w:sz w:val="22"/>
                <w:szCs w:val="22"/>
              </w:rPr>
              <w:br w:type="textWrapping"/>
            </w:r>
            <w:r>
              <w:rPr>
                <w:kern w:val="0"/>
                <w:sz w:val="22"/>
                <w:szCs w:val="22"/>
              </w:rPr>
              <w:t>④项目实施的人员条件、场地设备、信息支撑等是否落实到位。</w:t>
            </w:r>
          </w:p>
        </w:tc>
        <w:tc>
          <w:tcPr>
            <w:tcW w:w="512" w:type="pct"/>
            <w:shd w:val="clear" w:color="000000" w:fill="FFFFFF"/>
            <w:vAlign w:val="center"/>
          </w:tcPr>
          <w:p w14:paraId="236E9E24">
            <w:pPr>
              <w:widowControl/>
              <w:spacing w:line="0" w:lineRule="atLeast"/>
              <w:jc w:val="center"/>
              <w:rPr>
                <w:b/>
                <w:bCs/>
                <w:kern w:val="0"/>
                <w:sz w:val="22"/>
                <w:szCs w:val="22"/>
              </w:rPr>
            </w:pPr>
            <w:r>
              <w:rPr>
                <w:b/>
                <w:bCs/>
                <w:kern w:val="0"/>
                <w:sz w:val="22"/>
                <w:szCs w:val="22"/>
              </w:rPr>
              <w:t>4</w:t>
            </w:r>
          </w:p>
        </w:tc>
        <w:tc>
          <w:tcPr>
            <w:tcW w:w="537" w:type="pct"/>
            <w:shd w:val="clear" w:color="000000" w:fill="FFFFFF"/>
            <w:vAlign w:val="center"/>
          </w:tcPr>
          <w:p w14:paraId="400D5D65">
            <w:pPr>
              <w:widowControl/>
              <w:spacing w:line="0" w:lineRule="atLeast"/>
              <w:jc w:val="center"/>
              <w:rPr>
                <w:b/>
                <w:bCs/>
                <w:kern w:val="0"/>
                <w:sz w:val="22"/>
                <w:szCs w:val="22"/>
              </w:rPr>
            </w:pPr>
            <w:r>
              <w:rPr>
                <w:rFonts w:hint="eastAsia"/>
                <w:b/>
                <w:bCs/>
                <w:kern w:val="0"/>
                <w:sz w:val="22"/>
                <w:szCs w:val="22"/>
              </w:rPr>
              <w:t>4</w:t>
            </w:r>
          </w:p>
        </w:tc>
      </w:tr>
      <w:tr w14:paraId="46B8BF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331" w:type="pct"/>
            <w:shd w:val="clear" w:color="auto" w:fill="FFFFFF"/>
            <w:vAlign w:val="center"/>
          </w:tcPr>
          <w:p w14:paraId="7C711E7D">
            <w:pPr>
              <w:widowControl/>
              <w:spacing w:line="0" w:lineRule="atLeast"/>
              <w:jc w:val="center"/>
              <w:rPr>
                <w:kern w:val="0"/>
                <w:sz w:val="22"/>
                <w:szCs w:val="22"/>
              </w:rPr>
            </w:pPr>
            <w:r>
              <w:rPr>
                <w:kern w:val="0"/>
                <w:sz w:val="22"/>
                <w:szCs w:val="22"/>
              </w:rPr>
              <w:t>产出</w:t>
            </w:r>
          </w:p>
        </w:tc>
        <w:tc>
          <w:tcPr>
            <w:tcW w:w="302" w:type="pct"/>
            <w:shd w:val="clear" w:color="auto" w:fill="FFFFFF"/>
            <w:vAlign w:val="center"/>
          </w:tcPr>
          <w:p w14:paraId="2B4DBE9D">
            <w:pPr>
              <w:widowControl/>
              <w:spacing w:line="0" w:lineRule="atLeast"/>
              <w:jc w:val="center"/>
              <w:rPr>
                <w:kern w:val="0"/>
                <w:sz w:val="22"/>
                <w:szCs w:val="22"/>
              </w:rPr>
            </w:pPr>
            <w:r>
              <w:rPr>
                <w:kern w:val="0"/>
                <w:sz w:val="22"/>
                <w:szCs w:val="22"/>
              </w:rPr>
              <w:t>产出数量</w:t>
            </w:r>
          </w:p>
        </w:tc>
        <w:tc>
          <w:tcPr>
            <w:tcW w:w="344" w:type="pct"/>
            <w:shd w:val="clear" w:color="auto" w:fill="FFFFFF"/>
            <w:vAlign w:val="center"/>
          </w:tcPr>
          <w:p w14:paraId="261746AC">
            <w:pPr>
              <w:widowControl/>
              <w:spacing w:line="0" w:lineRule="atLeast"/>
              <w:jc w:val="center"/>
              <w:rPr>
                <w:kern w:val="0"/>
                <w:sz w:val="22"/>
                <w:szCs w:val="22"/>
              </w:rPr>
            </w:pPr>
            <w:r>
              <w:rPr>
                <w:kern w:val="0"/>
                <w:sz w:val="22"/>
                <w:szCs w:val="22"/>
              </w:rPr>
              <w:t>实际完成率</w:t>
            </w:r>
          </w:p>
        </w:tc>
        <w:tc>
          <w:tcPr>
            <w:tcW w:w="927" w:type="pct"/>
            <w:shd w:val="clear" w:color="000000" w:fill="FFFFFF"/>
            <w:vAlign w:val="center"/>
          </w:tcPr>
          <w:p w14:paraId="0C7BF867">
            <w:pPr>
              <w:widowControl/>
              <w:spacing w:line="0" w:lineRule="atLeast"/>
              <w:rPr>
                <w:kern w:val="0"/>
                <w:sz w:val="22"/>
                <w:szCs w:val="22"/>
              </w:rPr>
            </w:pPr>
            <w:r>
              <w:rPr>
                <w:kern w:val="0"/>
                <w:sz w:val="22"/>
                <w:szCs w:val="22"/>
              </w:rPr>
              <w:t>项目实施的实际产出数与计划产出数的比率，用以反映和考核项目产出数量目标的实现程度。</w:t>
            </w:r>
          </w:p>
        </w:tc>
        <w:tc>
          <w:tcPr>
            <w:tcW w:w="2044" w:type="pct"/>
            <w:shd w:val="clear" w:color="000000" w:fill="FFFFFF"/>
            <w:vAlign w:val="center"/>
          </w:tcPr>
          <w:p w14:paraId="7A27DB43">
            <w:pPr>
              <w:widowControl/>
              <w:spacing w:line="0" w:lineRule="atLeast"/>
              <w:rPr>
                <w:kern w:val="0"/>
                <w:sz w:val="22"/>
                <w:szCs w:val="22"/>
              </w:rPr>
            </w:pPr>
            <w:r>
              <w:rPr>
                <w:kern w:val="0"/>
                <w:sz w:val="22"/>
                <w:szCs w:val="22"/>
              </w:rPr>
              <w:t>实际完成率=（实际产出数/计划产出数）×100%。</w:t>
            </w:r>
            <w:r>
              <w:rPr>
                <w:kern w:val="0"/>
                <w:sz w:val="22"/>
                <w:szCs w:val="22"/>
              </w:rPr>
              <w:br w:type="textWrapping"/>
            </w:r>
            <w:r>
              <w:rPr>
                <w:kern w:val="0"/>
                <w:sz w:val="22"/>
                <w:szCs w:val="22"/>
              </w:rPr>
              <w:t>实际产出数：一定时期（本年度或项目期）内项目实际产出的产品或提供的服务数量。</w:t>
            </w:r>
            <w:r>
              <w:rPr>
                <w:kern w:val="0"/>
                <w:sz w:val="22"/>
                <w:szCs w:val="22"/>
              </w:rPr>
              <w:br w:type="textWrapping"/>
            </w:r>
            <w:r>
              <w:rPr>
                <w:kern w:val="0"/>
                <w:sz w:val="22"/>
                <w:szCs w:val="22"/>
              </w:rPr>
              <w:t>计划产出数：项目绩效目标确定的在一定时期（本年度或项目期）内计划产出的产品或提供的服务数量。</w:t>
            </w:r>
          </w:p>
        </w:tc>
        <w:tc>
          <w:tcPr>
            <w:tcW w:w="512" w:type="pct"/>
            <w:shd w:val="clear" w:color="000000" w:fill="FFFFFF"/>
            <w:vAlign w:val="center"/>
          </w:tcPr>
          <w:p w14:paraId="4A15CEFE">
            <w:pPr>
              <w:widowControl/>
              <w:spacing w:line="0" w:lineRule="atLeast"/>
              <w:jc w:val="center"/>
              <w:rPr>
                <w:b/>
                <w:bCs/>
                <w:kern w:val="0"/>
                <w:sz w:val="22"/>
                <w:szCs w:val="22"/>
              </w:rPr>
            </w:pPr>
            <w:r>
              <w:rPr>
                <w:b/>
                <w:bCs/>
                <w:kern w:val="0"/>
                <w:sz w:val="22"/>
                <w:szCs w:val="22"/>
              </w:rPr>
              <w:t>10</w:t>
            </w:r>
          </w:p>
        </w:tc>
        <w:tc>
          <w:tcPr>
            <w:tcW w:w="537" w:type="pct"/>
            <w:shd w:val="clear" w:color="000000" w:fill="FFFFFF"/>
            <w:vAlign w:val="center"/>
          </w:tcPr>
          <w:p w14:paraId="56B0775A">
            <w:pPr>
              <w:widowControl/>
              <w:spacing w:line="0" w:lineRule="atLeast"/>
              <w:jc w:val="center"/>
              <w:rPr>
                <w:b/>
                <w:bCs/>
                <w:kern w:val="0"/>
                <w:sz w:val="22"/>
                <w:szCs w:val="22"/>
              </w:rPr>
            </w:pPr>
            <w:r>
              <w:rPr>
                <w:rFonts w:hint="eastAsia"/>
                <w:b/>
                <w:bCs/>
                <w:kern w:val="0"/>
                <w:sz w:val="22"/>
                <w:szCs w:val="22"/>
              </w:rPr>
              <w:t>10</w:t>
            </w:r>
          </w:p>
        </w:tc>
      </w:tr>
      <w:tr w14:paraId="5EB2544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331" w:type="pct"/>
            <w:vMerge w:val="restart"/>
            <w:shd w:val="clear" w:color="auto" w:fill="FFFFFF"/>
            <w:vAlign w:val="center"/>
          </w:tcPr>
          <w:p w14:paraId="08EE26F1">
            <w:pPr>
              <w:widowControl/>
              <w:spacing w:line="0" w:lineRule="atLeast"/>
              <w:jc w:val="center"/>
              <w:rPr>
                <w:kern w:val="0"/>
                <w:sz w:val="22"/>
                <w:szCs w:val="22"/>
              </w:rPr>
            </w:pPr>
            <w:r>
              <w:rPr>
                <w:kern w:val="0"/>
                <w:sz w:val="22"/>
                <w:szCs w:val="22"/>
              </w:rPr>
              <w:t>产出</w:t>
            </w:r>
          </w:p>
        </w:tc>
        <w:tc>
          <w:tcPr>
            <w:tcW w:w="302" w:type="pct"/>
            <w:shd w:val="clear" w:color="auto" w:fill="FFFFFF"/>
            <w:vAlign w:val="center"/>
          </w:tcPr>
          <w:p w14:paraId="2988BC67">
            <w:pPr>
              <w:widowControl/>
              <w:spacing w:line="0" w:lineRule="atLeast"/>
              <w:jc w:val="center"/>
              <w:rPr>
                <w:kern w:val="0"/>
                <w:sz w:val="22"/>
                <w:szCs w:val="22"/>
              </w:rPr>
            </w:pPr>
            <w:r>
              <w:rPr>
                <w:kern w:val="0"/>
                <w:sz w:val="22"/>
                <w:szCs w:val="22"/>
              </w:rPr>
              <w:t>产出质量</w:t>
            </w:r>
          </w:p>
        </w:tc>
        <w:tc>
          <w:tcPr>
            <w:tcW w:w="344" w:type="pct"/>
            <w:shd w:val="clear" w:color="auto" w:fill="FFFFFF"/>
            <w:vAlign w:val="center"/>
          </w:tcPr>
          <w:p w14:paraId="1BE593C9">
            <w:pPr>
              <w:widowControl/>
              <w:spacing w:line="0" w:lineRule="atLeast"/>
              <w:jc w:val="center"/>
              <w:rPr>
                <w:kern w:val="0"/>
                <w:sz w:val="22"/>
                <w:szCs w:val="22"/>
              </w:rPr>
            </w:pPr>
            <w:r>
              <w:rPr>
                <w:kern w:val="0"/>
                <w:sz w:val="22"/>
                <w:szCs w:val="22"/>
              </w:rPr>
              <w:t>质量达标率</w:t>
            </w:r>
          </w:p>
        </w:tc>
        <w:tc>
          <w:tcPr>
            <w:tcW w:w="927" w:type="pct"/>
            <w:shd w:val="clear" w:color="000000" w:fill="FFFFFF"/>
            <w:vAlign w:val="center"/>
          </w:tcPr>
          <w:p w14:paraId="52794AAC">
            <w:pPr>
              <w:widowControl/>
              <w:spacing w:line="0" w:lineRule="atLeast"/>
              <w:rPr>
                <w:kern w:val="0"/>
                <w:sz w:val="22"/>
                <w:szCs w:val="22"/>
              </w:rPr>
            </w:pPr>
            <w:r>
              <w:rPr>
                <w:kern w:val="0"/>
                <w:sz w:val="22"/>
                <w:szCs w:val="22"/>
              </w:rPr>
              <w:t>项目完成的质量达标产出数与实际产出数的比率，用以反映和考核项目产出质量目标的实现程度。</w:t>
            </w:r>
          </w:p>
        </w:tc>
        <w:tc>
          <w:tcPr>
            <w:tcW w:w="2044" w:type="pct"/>
            <w:shd w:val="clear" w:color="000000" w:fill="FFFFFF"/>
            <w:vAlign w:val="center"/>
          </w:tcPr>
          <w:p w14:paraId="6D7256A7">
            <w:pPr>
              <w:widowControl/>
              <w:spacing w:line="0" w:lineRule="atLeast"/>
              <w:rPr>
                <w:kern w:val="0"/>
                <w:sz w:val="22"/>
                <w:szCs w:val="22"/>
              </w:rPr>
            </w:pPr>
            <w:r>
              <w:rPr>
                <w:kern w:val="0"/>
                <w:sz w:val="22"/>
                <w:szCs w:val="22"/>
              </w:rPr>
              <w:t>质量达标率=（质量达标产出数/实际产出数）×100%。</w:t>
            </w:r>
          </w:p>
          <w:p w14:paraId="71479AEF">
            <w:pPr>
              <w:widowControl/>
              <w:spacing w:line="0" w:lineRule="atLeast"/>
              <w:rPr>
                <w:kern w:val="0"/>
                <w:sz w:val="22"/>
                <w:szCs w:val="22"/>
              </w:rPr>
            </w:pPr>
            <w:r>
              <w:rPr>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14:paraId="051066EF">
            <w:pPr>
              <w:widowControl/>
              <w:spacing w:line="0" w:lineRule="atLeast"/>
              <w:jc w:val="center"/>
              <w:rPr>
                <w:b/>
                <w:bCs/>
                <w:kern w:val="0"/>
                <w:sz w:val="22"/>
                <w:szCs w:val="22"/>
              </w:rPr>
            </w:pPr>
            <w:r>
              <w:rPr>
                <w:b/>
                <w:bCs/>
                <w:kern w:val="0"/>
                <w:sz w:val="22"/>
                <w:szCs w:val="22"/>
              </w:rPr>
              <w:t>10</w:t>
            </w:r>
          </w:p>
        </w:tc>
        <w:tc>
          <w:tcPr>
            <w:tcW w:w="537" w:type="pct"/>
            <w:shd w:val="clear" w:color="000000" w:fill="FFFFFF"/>
            <w:vAlign w:val="center"/>
          </w:tcPr>
          <w:p w14:paraId="4F790F6B">
            <w:pPr>
              <w:widowControl/>
              <w:spacing w:line="0" w:lineRule="atLeast"/>
              <w:jc w:val="center"/>
              <w:rPr>
                <w:b/>
                <w:bCs/>
                <w:kern w:val="0"/>
                <w:sz w:val="22"/>
                <w:szCs w:val="22"/>
              </w:rPr>
            </w:pPr>
            <w:r>
              <w:rPr>
                <w:rFonts w:hint="eastAsia"/>
                <w:b/>
                <w:bCs/>
                <w:kern w:val="0"/>
                <w:sz w:val="22"/>
                <w:szCs w:val="22"/>
              </w:rPr>
              <w:t>10</w:t>
            </w:r>
          </w:p>
        </w:tc>
      </w:tr>
      <w:tr w14:paraId="448E98F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31" w:type="pct"/>
            <w:vMerge w:val="continue"/>
            <w:shd w:val="clear" w:color="auto" w:fill="FFFFFF"/>
            <w:vAlign w:val="center"/>
          </w:tcPr>
          <w:p w14:paraId="716EB1BE">
            <w:pPr>
              <w:spacing w:line="0" w:lineRule="atLeast"/>
              <w:jc w:val="center"/>
              <w:rPr>
                <w:kern w:val="0"/>
                <w:sz w:val="22"/>
                <w:szCs w:val="22"/>
              </w:rPr>
            </w:pPr>
          </w:p>
        </w:tc>
        <w:tc>
          <w:tcPr>
            <w:tcW w:w="302" w:type="pct"/>
            <w:shd w:val="clear" w:color="auto" w:fill="FFFFFF"/>
            <w:vAlign w:val="center"/>
          </w:tcPr>
          <w:p w14:paraId="6999A617">
            <w:pPr>
              <w:spacing w:line="0" w:lineRule="atLeast"/>
              <w:jc w:val="center"/>
              <w:rPr>
                <w:kern w:val="0"/>
                <w:sz w:val="22"/>
                <w:szCs w:val="22"/>
              </w:rPr>
            </w:pPr>
            <w:r>
              <w:rPr>
                <w:kern w:val="0"/>
                <w:sz w:val="22"/>
                <w:szCs w:val="22"/>
              </w:rPr>
              <w:t>产出时效</w:t>
            </w:r>
          </w:p>
        </w:tc>
        <w:tc>
          <w:tcPr>
            <w:tcW w:w="344" w:type="pct"/>
            <w:shd w:val="clear" w:color="auto" w:fill="FFFFFF"/>
            <w:vAlign w:val="center"/>
          </w:tcPr>
          <w:p w14:paraId="2E366C26">
            <w:pPr>
              <w:widowControl/>
              <w:spacing w:line="0" w:lineRule="atLeast"/>
              <w:jc w:val="center"/>
              <w:rPr>
                <w:kern w:val="0"/>
                <w:sz w:val="22"/>
                <w:szCs w:val="22"/>
              </w:rPr>
            </w:pPr>
            <w:r>
              <w:rPr>
                <w:kern w:val="0"/>
                <w:sz w:val="22"/>
                <w:szCs w:val="22"/>
              </w:rPr>
              <w:t>完成及时性</w:t>
            </w:r>
          </w:p>
        </w:tc>
        <w:tc>
          <w:tcPr>
            <w:tcW w:w="927" w:type="pct"/>
            <w:shd w:val="clear" w:color="000000" w:fill="FFFFFF"/>
            <w:vAlign w:val="center"/>
          </w:tcPr>
          <w:p w14:paraId="7187E459">
            <w:pPr>
              <w:widowControl/>
              <w:spacing w:line="0" w:lineRule="atLeast"/>
              <w:rPr>
                <w:kern w:val="0"/>
                <w:sz w:val="22"/>
                <w:szCs w:val="22"/>
              </w:rPr>
            </w:pPr>
            <w:r>
              <w:rPr>
                <w:kern w:val="0"/>
                <w:sz w:val="22"/>
                <w:szCs w:val="22"/>
              </w:rPr>
              <w:t>项目实际完成时间与计划完成时间的比较，用以反映和考核项目产出时效目标的实现程度。</w:t>
            </w:r>
          </w:p>
        </w:tc>
        <w:tc>
          <w:tcPr>
            <w:tcW w:w="2044" w:type="pct"/>
            <w:shd w:val="clear" w:color="000000" w:fill="FFFFFF"/>
            <w:vAlign w:val="center"/>
          </w:tcPr>
          <w:p w14:paraId="3DB871EA">
            <w:pPr>
              <w:widowControl/>
              <w:spacing w:line="0" w:lineRule="atLeast"/>
              <w:rPr>
                <w:kern w:val="0"/>
                <w:sz w:val="22"/>
                <w:szCs w:val="22"/>
              </w:rPr>
            </w:pPr>
            <w:r>
              <w:rPr>
                <w:kern w:val="0"/>
                <w:sz w:val="22"/>
                <w:szCs w:val="22"/>
              </w:rPr>
              <w:t>实际完成时间：项目实施单位完成该项目实际所耗用的时间。</w:t>
            </w:r>
            <w:r>
              <w:rPr>
                <w:kern w:val="0"/>
                <w:sz w:val="22"/>
                <w:szCs w:val="22"/>
              </w:rPr>
              <w:br w:type="textWrapping"/>
            </w:r>
            <w:r>
              <w:rPr>
                <w:kern w:val="0"/>
                <w:sz w:val="22"/>
                <w:szCs w:val="22"/>
              </w:rPr>
              <w:t>计划完成时间：按照项目实施计划或相关规定完成该项目所需的时间。</w:t>
            </w:r>
          </w:p>
        </w:tc>
        <w:tc>
          <w:tcPr>
            <w:tcW w:w="512" w:type="pct"/>
            <w:shd w:val="clear" w:color="000000" w:fill="FFFFFF"/>
            <w:vAlign w:val="center"/>
          </w:tcPr>
          <w:p w14:paraId="73CCE7EA">
            <w:pPr>
              <w:widowControl/>
              <w:spacing w:line="0" w:lineRule="atLeast"/>
              <w:jc w:val="center"/>
              <w:rPr>
                <w:b/>
                <w:bCs/>
                <w:kern w:val="0"/>
                <w:sz w:val="22"/>
                <w:szCs w:val="22"/>
              </w:rPr>
            </w:pPr>
            <w:r>
              <w:rPr>
                <w:b/>
                <w:bCs/>
                <w:kern w:val="0"/>
                <w:sz w:val="22"/>
                <w:szCs w:val="22"/>
              </w:rPr>
              <w:t>10</w:t>
            </w:r>
          </w:p>
        </w:tc>
        <w:tc>
          <w:tcPr>
            <w:tcW w:w="537" w:type="pct"/>
            <w:shd w:val="clear" w:color="000000" w:fill="FFFFFF"/>
            <w:vAlign w:val="center"/>
          </w:tcPr>
          <w:p w14:paraId="3478CDF6">
            <w:pPr>
              <w:widowControl/>
              <w:spacing w:line="0" w:lineRule="atLeast"/>
              <w:jc w:val="center"/>
              <w:rPr>
                <w:b/>
                <w:bCs/>
                <w:kern w:val="0"/>
                <w:sz w:val="22"/>
                <w:szCs w:val="22"/>
              </w:rPr>
            </w:pPr>
            <w:r>
              <w:rPr>
                <w:rFonts w:hint="eastAsia"/>
                <w:b/>
                <w:bCs/>
                <w:kern w:val="0"/>
                <w:sz w:val="22"/>
                <w:szCs w:val="22"/>
              </w:rPr>
              <w:t>10</w:t>
            </w:r>
          </w:p>
        </w:tc>
      </w:tr>
      <w:tr w14:paraId="474219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31" w:type="pct"/>
            <w:vMerge w:val="continue"/>
            <w:shd w:val="clear" w:color="auto" w:fill="FFFFFF"/>
            <w:vAlign w:val="center"/>
          </w:tcPr>
          <w:p w14:paraId="459FE927">
            <w:pPr>
              <w:widowControl/>
              <w:spacing w:line="0" w:lineRule="atLeast"/>
              <w:jc w:val="center"/>
              <w:rPr>
                <w:kern w:val="0"/>
                <w:sz w:val="22"/>
                <w:szCs w:val="22"/>
              </w:rPr>
            </w:pPr>
          </w:p>
        </w:tc>
        <w:tc>
          <w:tcPr>
            <w:tcW w:w="302" w:type="pct"/>
            <w:shd w:val="clear" w:color="auto" w:fill="FFFFFF"/>
            <w:vAlign w:val="center"/>
          </w:tcPr>
          <w:p w14:paraId="4E3DA91A">
            <w:pPr>
              <w:widowControl/>
              <w:spacing w:line="0" w:lineRule="atLeast"/>
              <w:jc w:val="center"/>
              <w:rPr>
                <w:kern w:val="0"/>
                <w:sz w:val="22"/>
                <w:szCs w:val="22"/>
              </w:rPr>
            </w:pPr>
            <w:r>
              <w:rPr>
                <w:kern w:val="0"/>
                <w:sz w:val="22"/>
                <w:szCs w:val="22"/>
              </w:rPr>
              <w:t>产出成本</w:t>
            </w:r>
          </w:p>
        </w:tc>
        <w:tc>
          <w:tcPr>
            <w:tcW w:w="344" w:type="pct"/>
            <w:shd w:val="clear" w:color="auto" w:fill="FFFFFF"/>
            <w:vAlign w:val="center"/>
          </w:tcPr>
          <w:p w14:paraId="1D2AED81">
            <w:pPr>
              <w:widowControl/>
              <w:spacing w:line="0" w:lineRule="atLeast"/>
              <w:jc w:val="center"/>
              <w:rPr>
                <w:kern w:val="0"/>
                <w:sz w:val="22"/>
                <w:szCs w:val="22"/>
              </w:rPr>
            </w:pPr>
            <w:r>
              <w:rPr>
                <w:kern w:val="0"/>
                <w:sz w:val="22"/>
                <w:szCs w:val="22"/>
              </w:rPr>
              <w:t>成本节约率</w:t>
            </w:r>
          </w:p>
        </w:tc>
        <w:tc>
          <w:tcPr>
            <w:tcW w:w="927" w:type="pct"/>
            <w:shd w:val="clear" w:color="000000" w:fill="FFFFFF"/>
            <w:vAlign w:val="center"/>
          </w:tcPr>
          <w:p w14:paraId="1B393D41">
            <w:pPr>
              <w:widowControl/>
              <w:spacing w:line="0" w:lineRule="atLeast"/>
              <w:rPr>
                <w:kern w:val="0"/>
                <w:sz w:val="22"/>
                <w:szCs w:val="22"/>
              </w:rPr>
            </w:pPr>
            <w:r>
              <w:rPr>
                <w:kern w:val="0"/>
                <w:sz w:val="22"/>
                <w:szCs w:val="22"/>
              </w:rPr>
              <w:t>完成项目计划工作目标的实际节约成本与计划成本的比率，用以反映和考核项目的成本节约程度。</w:t>
            </w:r>
          </w:p>
        </w:tc>
        <w:tc>
          <w:tcPr>
            <w:tcW w:w="2044" w:type="pct"/>
            <w:shd w:val="clear" w:color="000000" w:fill="FFFFFF"/>
            <w:vAlign w:val="center"/>
          </w:tcPr>
          <w:p w14:paraId="679A0271">
            <w:pPr>
              <w:widowControl/>
              <w:spacing w:line="0" w:lineRule="atLeast"/>
              <w:rPr>
                <w:kern w:val="0"/>
                <w:sz w:val="22"/>
                <w:szCs w:val="22"/>
              </w:rPr>
            </w:pPr>
            <w:r>
              <w:rPr>
                <w:kern w:val="0"/>
                <w:sz w:val="22"/>
                <w:szCs w:val="22"/>
              </w:rPr>
              <w:br w:type="textWrapping"/>
            </w:r>
            <w:r>
              <w:rPr>
                <w:kern w:val="0"/>
                <w:sz w:val="22"/>
                <w:szCs w:val="22"/>
              </w:rPr>
              <w:t>成本节约率=[（计划成本-实际成本）/计划成本]×100%。</w:t>
            </w:r>
            <w:r>
              <w:rPr>
                <w:kern w:val="0"/>
                <w:sz w:val="22"/>
                <w:szCs w:val="22"/>
              </w:rPr>
              <w:br w:type="textWrapping"/>
            </w:r>
            <w:r>
              <w:rPr>
                <w:kern w:val="0"/>
                <w:sz w:val="22"/>
                <w:szCs w:val="22"/>
              </w:rPr>
              <w:t>实际成本：项目实施单位如期、保质、保量完成既定工作目标实际所耗费的支出。</w:t>
            </w:r>
            <w:r>
              <w:rPr>
                <w:kern w:val="0"/>
                <w:sz w:val="22"/>
                <w:szCs w:val="22"/>
              </w:rPr>
              <w:br w:type="textWrapping"/>
            </w:r>
            <w:r>
              <w:rPr>
                <w:kern w:val="0"/>
                <w:sz w:val="22"/>
                <w:szCs w:val="22"/>
              </w:rPr>
              <w:t>计划成本：项目实施单位为完成工作目标计划安排的支出，一般以项目预算为参考。</w:t>
            </w:r>
          </w:p>
        </w:tc>
        <w:tc>
          <w:tcPr>
            <w:tcW w:w="512" w:type="pct"/>
            <w:shd w:val="clear" w:color="000000" w:fill="FFFFFF"/>
            <w:vAlign w:val="center"/>
          </w:tcPr>
          <w:p w14:paraId="7B6C2880">
            <w:pPr>
              <w:widowControl/>
              <w:spacing w:line="0" w:lineRule="atLeast"/>
              <w:jc w:val="center"/>
              <w:rPr>
                <w:b/>
                <w:bCs/>
                <w:kern w:val="0"/>
                <w:sz w:val="22"/>
                <w:szCs w:val="22"/>
              </w:rPr>
            </w:pPr>
            <w:r>
              <w:rPr>
                <w:b/>
                <w:bCs/>
                <w:kern w:val="0"/>
                <w:sz w:val="22"/>
                <w:szCs w:val="22"/>
              </w:rPr>
              <w:t>10</w:t>
            </w:r>
          </w:p>
        </w:tc>
        <w:tc>
          <w:tcPr>
            <w:tcW w:w="537" w:type="pct"/>
            <w:shd w:val="clear" w:color="000000" w:fill="FFFFFF"/>
            <w:vAlign w:val="center"/>
          </w:tcPr>
          <w:p w14:paraId="063FB54A">
            <w:pPr>
              <w:widowControl/>
              <w:spacing w:line="0" w:lineRule="atLeast"/>
              <w:jc w:val="center"/>
              <w:rPr>
                <w:b/>
                <w:bCs/>
                <w:kern w:val="0"/>
                <w:sz w:val="22"/>
                <w:szCs w:val="22"/>
              </w:rPr>
            </w:pPr>
            <w:r>
              <w:rPr>
                <w:rFonts w:hint="eastAsia"/>
                <w:b/>
                <w:bCs/>
                <w:kern w:val="0"/>
                <w:sz w:val="22"/>
                <w:szCs w:val="22"/>
              </w:rPr>
              <w:t>10</w:t>
            </w:r>
          </w:p>
        </w:tc>
      </w:tr>
      <w:tr w14:paraId="2810C4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31" w:type="pct"/>
            <w:vMerge w:val="restart"/>
            <w:shd w:val="clear" w:color="auto" w:fill="FFFFFF"/>
            <w:vAlign w:val="center"/>
          </w:tcPr>
          <w:p w14:paraId="1F72D0A2">
            <w:pPr>
              <w:widowControl/>
              <w:spacing w:line="0" w:lineRule="atLeast"/>
              <w:jc w:val="center"/>
              <w:rPr>
                <w:kern w:val="0"/>
                <w:sz w:val="22"/>
                <w:szCs w:val="22"/>
              </w:rPr>
            </w:pPr>
            <w:r>
              <w:rPr>
                <w:kern w:val="0"/>
                <w:sz w:val="22"/>
                <w:szCs w:val="22"/>
              </w:rPr>
              <w:t>效益　</w:t>
            </w:r>
          </w:p>
        </w:tc>
        <w:tc>
          <w:tcPr>
            <w:tcW w:w="302" w:type="pct"/>
            <w:vMerge w:val="restart"/>
            <w:shd w:val="clear" w:color="auto" w:fill="FFFFFF"/>
            <w:vAlign w:val="center"/>
          </w:tcPr>
          <w:p w14:paraId="34D85747">
            <w:pPr>
              <w:widowControl/>
              <w:spacing w:line="0" w:lineRule="atLeast"/>
              <w:jc w:val="center"/>
              <w:rPr>
                <w:kern w:val="0"/>
                <w:sz w:val="22"/>
                <w:szCs w:val="22"/>
              </w:rPr>
            </w:pPr>
            <w:r>
              <w:rPr>
                <w:kern w:val="0"/>
                <w:sz w:val="22"/>
                <w:szCs w:val="22"/>
              </w:rPr>
              <w:t>项目效益　</w:t>
            </w:r>
          </w:p>
        </w:tc>
        <w:tc>
          <w:tcPr>
            <w:tcW w:w="344" w:type="pct"/>
            <w:shd w:val="clear" w:color="auto" w:fill="FFFFFF"/>
            <w:vAlign w:val="center"/>
          </w:tcPr>
          <w:p w14:paraId="4F0F3DE4">
            <w:pPr>
              <w:widowControl/>
              <w:spacing w:line="0" w:lineRule="atLeast"/>
              <w:jc w:val="center"/>
              <w:rPr>
                <w:kern w:val="0"/>
                <w:sz w:val="22"/>
                <w:szCs w:val="22"/>
              </w:rPr>
            </w:pPr>
            <w:r>
              <w:rPr>
                <w:kern w:val="0"/>
                <w:sz w:val="22"/>
                <w:szCs w:val="22"/>
              </w:rPr>
              <w:t>实施效益</w:t>
            </w:r>
          </w:p>
        </w:tc>
        <w:tc>
          <w:tcPr>
            <w:tcW w:w="927" w:type="pct"/>
            <w:shd w:val="clear" w:color="auto" w:fill="FFFFFF"/>
            <w:vAlign w:val="center"/>
          </w:tcPr>
          <w:p w14:paraId="018DE5D2">
            <w:pPr>
              <w:widowControl/>
              <w:spacing w:line="0" w:lineRule="atLeast"/>
              <w:jc w:val="left"/>
              <w:rPr>
                <w:kern w:val="0"/>
                <w:sz w:val="22"/>
                <w:szCs w:val="22"/>
              </w:rPr>
            </w:pPr>
            <w:r>
              <w:rPr>
                <w:kern w:val="0"/>
                <w:sz w:val="22"/>
                <w:szCs w:val="22"/>
              </w:rPr>
              <w:t>项目实施所产生的效益。</w:t>
            </w:r>
          </w:p>
        </w:tc>
        <w:tc>
          <w:tcPr>
            <w:tcW w:w="2044" w:type="pct"/>
            <w:shd w:val="clear" w:color="auto" w:fill="FFFFFF"/>
            <w:vAlign w:val="center"/>
          </w:tcPr>
          <w:p w14:paraId="45EB76B9">
            <w:pPr>
              <w:widowControl/>
              <w:spacing w:line="0" w:lineRule="atLeast"/>
              <w:rPr>
                <w:kern w:val="0"/>
                <w:sz w:val="22"/>
                <w:szCs w:val="22"/>
              </w:rPr>
            </w:pPr>
            <w:r>
              <w:rPr>
                <w:kern w:val="0"/>
                <w:sz w:val="22"/>
                <w:szCs w:val="22"/>
              </w:rPr>
              <w:t>项目实施所产生的社会效益、经济效益、生态效益、可持续影响等。可根据项目实际情况有选择地设置和细化。</w:t>
            </w:r>
          </w:p>
        </w:tc>
        <w:tc>
          <w:tcPr>
            <w:tcW w:w="512" w:type="pct"/>
            <w:shd w:val="clear" w:color="auto" w:fill="FFFFFF"/>
            <w:vAlign w:val="center"/>
          </w:tcPr>
          <w:p w14:paraId="70D06437">
            <w:pPr>
              <w:widowControl/>
              <w:spacing w:line="0" w:lineRule="atLeast"/>
              <w:jc w:val="center"/>
              <w:rPr>
                <w:b/>
                <w:bCs/>
                <w:kern w:val="0"/>
                <w:sz w:val="22"/>
                <w:szCs w:val="22"/>
              </w:rPr>
            </w:pPr>
            <w:r>
              <w:rPr>
                <w:b/>
                <w:bCs/>
                <w:kern w:val="0"/>
                <w:sz w:val="22"/>
                <w:szCs w:val="22"/>
              </w:rPr>
              <w:t>10</w:t>
            </w:r>
          </w:p>
        </w:tc>
        <w:tc>
          <w:tcPr>
            <w:tcW w:w="537" w:type="pct"/>
            <w:shd w:val="clear" w:color="auto" w:fill="FFFFFF"/>
            <w:vAlign w:val="center"/>
          </w:tcPr>
          <w:p w14:paraId="1AD09AE6">
            <w:pPr>
              <w:widowControl/>
              <w:spacing w:line="0" w:lineRule="atLeast"/>
              <w:jc w:val="center"/>
              <w:rPr>
                <w:b/>
                <w:bCs/>
                <w:kern w:val="0"/>
                <w:sz w:val="22"/>
                <w:szCs w:val="22"/>
              </w:rPr>
            </w:pPr>
            <w:r>
              <w:rPr>
                <w:rFonts w:hint="eastAsia"/>
                <w:b/>
                <w:bCs/>
                <w:kern w:val="0"/>
                <w:sz w:val="22"/>
                <w:szCs w:val="22"/>
              </w:rPr>
              <w:t>10</w:t>
            </w:r>
          </w:p>
        </w:tc>
      </w:tr>
      <w:tr w14:paraId="79AF171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331" w:type="pct"/>
            <w:vMerge w:val="continue"/>
            <w:shd w:val="clear" w:color="auto" w:fill="FFFFFF"/>
            <w:vAlign w:val="center"/>
          </w:tcPr>
          <w:p w14:paraId="57D2FF87">
            <w:pPr>
              <w:widowControl/>
              <w:spacing w:line="0" w:lineRule="atLeast"/>
              <w:jc w:val="center"/>
              <w:rPr>
                <w:kern w:val="0"/>
                <w:sz w:val="22"/>
                <w:szCs w:val="22"/>
              </w:rPr>
            </w:pPr>
          </w:p>
        </w:tc>
        <w:tc>
          <w:tcPr>
            <w:tcW w:w="302" w:type="pct"/>
            <w:vMerge w:val="continue"/>
            <w:shd w:val="clear" w:color="auto" w:fill="FFFFFF"/>
            <w:vAlign w:val="center"/>
          </w:tcPr>
          <w:p w14:paraId="7C15C5E2">
            <w:pPr>
              <w:widowControl/>
              <w:spacing w:line="0" w:lineRule="atLeast"/>
              <w:jc w:val="center"/>
              <w:rPr>
                <w:kern w:val="0"/>
                <w:sz w:val="22"/>
                <w:szCs w:val="22"/>
              </w:rPr>
            </w:pPr>
          </w:p>
        </w:tc>
        <w:tc>
          <w:tcPr>
            <w:tcW w:w="344" w:type="pct"/>
            <w:shd w:val="clear" w:color="auto" w:fill="FFFFFF"/>
            <w:vAlign w:val="center"/>
          </w:tcPr>
          <w:p w14:paraId="424281AA">
            <w:pPr>
              <w:widowControl/>
              <w:spacing w:line="0" w:lineRule="atLeast"/>
              <w:jc w:val="center"/>
              <w:rPr>
                <w:kern w:val="0"/>
                <w:sz w:val="22"/>
                <w:szCs w:val="22"/>
              </w:rPr>
            </w:pPr>
            <w:r>
              <w:rPr>
                <w:kern w:val="0"/>
                <w:sz w:val="22"/>
                <w:szCs w:val="22"/>
              </w:rPr>
              <w:t>满意度</w:t>
            </w:r>
          </w:p>
        </w:tc>
        <w:tc>
          <w:tcPr>
            <w:tcW w:w="927" w:type="pct"/>
            <w:shd w:val="clear" w:color="000000" w:fill="FFFFFF"/>
            <w:vAlign w:val="center"/>
          </w:tcPr>
          <w:p w14:paraId="7B7AB904">
            <w:pPr>
              <w:widowControl/>
              <w:spacing w:line="0" w:lineRule="atLeast"/>
              <w:rPr>
                <w:kern w:val="0"/>
                <w:sz w:val="22"/>
                <w:szCs w:val="22"/>
              </w:rPr>
            </w:pPr>
            <w:r>
              <w:rPr>
                <w:kern w:val="0"/>
                <w:sz w:val="22"/>
                <w:szCs w:val="22"/>
              </w:rPr>
              <w:t>社会公众或服务对象对项目实施效果的满意程度。</w:t>
            </w:r>
          </w:p>
        </w:tc>
        <w:tc>
          <w:tcPr>
            <w:tcW w:w="2044" w:type="pct"/>
            <w:shd w:val="clear" w:color="000000" w:fill="FFFFFF"/>
            <w:vAlign w:val="center"/>
          </w:tcPr>
          <w:p w14:paraId="5261C110">
            <w:pPr>
              <w:widowControl/>
              <w:spacing w:line="0" w:lineRule="atLeast"/>
              <w:rPr>
                <w:kern w:val="0"/>
                <w:sz w:val="22"/>
                <w:szCs w:val="22"/>
              </w:rPr>
            </w:pPr>
            <w:r>
              <w:rPr>
                <w:kern w:val="0"/>
                <w:sz w:val="22"/>
                <w:szCs w:val="22"/>
              </w:rPr>
              <w:t>社会公众或服务对象是指因该项目实施而受到影响的部门（单位）、群体或个人。一般采取社会调查的方式。</w:t>
            </w:r>
          </w:p>
        </w:tc>
        <w:tc>
          <w:tcPr>
            <w:tcW w:w="512" w:type="pct"/>
            <w:shd w:val="clear" w:color="000000" w:fill="FFFFFF"/>
            <w:vAlign w:val="center"/>
          </w:tcPr>
          <w:p w14:paraId="43CA305C">
            <w:pPr>
              <w:widowControl/>
              <w:spacing w:line="0" w:lineRule="atLeast"/>
              <w:jc w:val="center"/>
              <w:rPr>
                <w:b/>
                <w:bCs/>
                <w:kern w:val="0"/>
                <w:sz w:val="22"/>
                <w:szCs w:val="22"/>
              </w:rPr>
            </w:pPr>
            <w:r>
              <w:rPr>
                <w:b/>
                <w:bCs/>
                <w:kern w:val="0"/>
                <w:sz w:val="22"/>
                <w:szCs w:val="22"/>
              </w:rPr>
              <w:t>10</w:t>
            </w:r>
          </w:p>
        </w:tc>
        <w:tc>
          <w:tcPr>
            <w:tcW w:w="537" w:type="pct"/>
            <w:shd w:val="clear" w:color="000000" w:fill="FFFFFF"/>
            <w:vAlign w:val="center"/>
          </w:tcPr>
          <w:p w14:paraId="0A992CE3">
            <w:pPr>
              <w:widowControl/>
              <w:spacing w:line="0" w:lineRule="atLeast"/>
              <w:jc w:val="center"/>
              <w:rPr>
                <w:b/>
                <w:bCs/>
                <w:kern w:val="0"/>
                <w:sz w:val="22"/>
                <w:szCs w:val="22"/>
              </w:rPr>
            </w:pPr>
            <w:r>
              <w:rPr>
                <w:rFonts w:hint="eastAsia"/>
                <w:b/>
                <w:bCs/>
                <w:kern w:val="0"/>
                <w:sz w:val="22"/>
                <w:szCs w:val="22"/>
              </w:rPr>
              <w:t>8.95</w:t>
            </w:r>
          </w:p>
        </w:tc>
      </w:tr>
    </w:tbl>
    <w:p w14:paraId="1C8BA516">
      <w:pPr>
        <w:pStyle w:val="9"/>
        <w:rPr>
          <w:rFonts w:ascii="Times New Roman" w:hAnsi="Times New Roman"/>
        </w:rPr>
      </w:pPr>
    </w:p>
    <w:p w14:paraId="05CD3AC1"/>
    <w:p w14:paraId="4BDD7D92">
      <w:pPr>
        <w:spacing w:line="540" w:lineRule="exact"/>
        <w:ind w:firstLine="640"/>
        <w:rPr>
          <w:rStyle w:val="14"/>
          <w:rFonts w:eastAsia="黑体"/>
          <w:bCs w:val="0"/>
          <w:spacing w:val="-4"/>
          <w:sz w:val="32"/>
          <w:szCs w:val="32"/>
        </w:rPr>
      </w:pPr>
    </w:p>
    <w:p w14:paraId="5874AAB8">
      <w:pPr>
        <w:spacing w:line="540" w:lineRule="exact"/>
        <w:ind w:firstLine="640"/>
        <w:rPr>
          <w:rStyle w:val="14"/>
          <w:rFonts w:eastAsia="黑体"/>
          <w:bCs w:val="0"/>
          <w:spacing w:val="-4"/>
          <w:sz w:val="32"/>
          <w:szCs w:val="32"/>
        </w:rPr>
      </w:pPr>
    </w:p>
    <w:p w14:paraId="2BABD92E">
      <w:pPr>
        <w:spacing w:line="540" w:lineRule="exact"/>
        <w:ind w:firstLine="640"/>
        <w:rPr>
          <w:rStyle w:val="14"/>
          <w:rFonts w:eastAsia="黑体"/>
          <w:bCs w:val="0"/>
          <w:spacing w:val="-4"/>
          <w:sz w:val="32"/>
          <w:szCs w:val="32"/>
        </w:rPr>
      </w:pPr>
    </w:p>
    <w:p w14:paraId="583297FF">
      <w:pPr>
        <w:spacing w:line="540" w:lineRule="exact"/>
        <w:ind w:firstLine="640"/>
        <w:rPr>
          <w:rStyle w:val="14"/>
          <w:rFonts w:eastAsia="黑体"/>
          <w:bCs w:val="0"/>
          <w:spacing w:val="-4"/>
          <w:sz w:val="32"/>
          <w:szCs w:val="32"/>
        </w:rPr>
      </w:pPr>
    </w:p>
    <w:p w14:paraId="64FD6E96">
      <w:pPr>
        <w:spacing w:line="540" w:lineRule="exact"/>
        <w:ind w:firstLine="640"/>
        <w:rPr>
          <w:rStyle w:val="14"/>
          <w:rFonts w:eastAsia="黑体"/>
          <w:bCs w:val="0"/>
          <w:spacing w:val="-4"/>
          <w:sz w:val="32"/>
          <w:szCs w:val="32"/>
        </w:rPr>
      </w:pPr>
    </w:p>
    <w:p w14:paraId="76C50B9E">
      <w:pPr>
        <w:spacing w:line="540" w:lineRule="exact"/>
        <w:ind w:firstLine="640"/>
        <w:rPr>
          <w:rStyle w:val="14"/>
          <w:rFonts w:eastAsia="黑体"/>
          <w:bCs w:val="0"/>
          <w:spacing w:val="-4"/>
          <w:sz w:val="32"/>
          <w:szCs w:val="32"/>
        </w:rPr>
      </w:pPr>
    </w:p>
    <w:p w14:paraId="66EFA850">
      <w:pPr>
        <w:spacing w:line="540" w:lineRule="exact"/>
        <w:rPr>
          <w:rStyle w:val="14"/>
          <w:rFonts w:eastAsia="仿宋"/>
          <w:b w:val="0"/>
          <w:spacing w:val="-4"/>
          <w:sz w:val="32"/>
          <w:szCs w:val="32"/>
        </w:rPr>
      </w:pPr>
    </w:p>
    <w:p w14:paraId="1DF3550B"/>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48FEBE6-5E75-4DB7-A180-4D5D3D8EF59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1921D1F9-6B8B-40E0-9B48-FB5D08CFFBB8}"/>
  </w:font>
  <w:font w:name="华文中宋">
    <w:panose1 w:val="02010600040101010101"/>
    <w:charset w:val="86"/>
    <w:family w:val="auto"/>
    <w:pitch w:val="default"/>
    <w:sig w:usb0="00000287" w:usb1="080F0000" w:usb2="00000000" w:usb3="00000000" w:csb0="0004009F" w:csb1="DFD70000"/>
    <w:embedRegular r:id="rId3" w:fontKey="{3F6C915D-F572-419C-8145-3FEAB1E3B86B}"/>
  </w:font>
  <w:font w:name="方正小标宋_GBK">
    <w:panose1 w:val="02000000000000000000"/>
    <w:charset w:val="86"/>
    <w:family w:val="script"/>
    <w:pitch w:val="default"/>
    <w:sig w:usb0="A00002BF" w:usb1="38CF7CFA" w:usb2="00082016" w:usb3="00000000" w:csb0="00040001" w:csb1="00000000"/>
    <w:embedRegular r:id="rId4" w:fontKey="{5E629388-B206-42ED-B9D3-C8022C172E07}"/>
  </w:font>
  <w:font w:name="楷体_GB2312">
    <w:panose1 w:val="02010609030101010101"/>
    <w:charset w:val="86"/>
    <w:family w:val="auto"/>
    <w:pitch w:val="default"/>
    <w:sig w:usb0="00000001" w:usb1="080E0000" w:usb2="00000000" w:usb3="00000000" w:csb0="00040000" w:csb1="00000000"/>
    <w:embedRegular r:id="rId5" w:fontKey="{9F1E6DDC-0F19-4756-BA4C-EC90A823FD33}"/>
  </w:font>
  <w:font w:name="方正仿宋_GBK">
    <w:panose1 w:val="02000000000000000000"/>
    <w:charset w:val="86"/>
    <w:family w:val="auto"/>
    <w:pitch w:val="default"/>
    <w:sig w:usb0="A00002BF" w:usb1="38CF7CFA" w:usb2="00082016" w:usb3="00000000" w:csb0="00040001" w:csb1="00000000"/>
    <w:embedRegular r:id="rId6" w:fontKey="{B300E192-FAD3-46AE-BD00-18CE81269FB3}"/>
  </w:font>
  <w:font w:name="楷体">
    <w:panose1 w:val="02010609060101010101"/>
    <w:charset w:val="86"/>
    <w:family w:val="modern"/>
    <w:pitch w:val="default"/>
    <w:sig w:usb0="800002BF" w:usb1="38CF7CFA" w:usb2="00000016" w:usb3="00000000" w:csb0="00040001" w:csb1="00000000"/>
    <w:embedRegular r:id="rId7" w:fontKey="{0F0E89F5-C34D-4820-A2A8-FBBFD24B5C9F}"/>
  </w:font>
  <w:font w:name="仿宋">
    <w:panose1 w:val="02010609060101010101"/>
    <w:charset w:val="86"/>
    <w:family w:val="modern"/>
    <w:pitch w:val="default"/>
    <w:sig w:usb0="800002BF" w:usb1="38CF7CFA" w:usb2="00000016" w:usb3="00000000" w:csb0="00040001" w:csb1="00000000"/>
    <w:embedRegular r:id="rId8" w:fontKey="{BBD9461A-2C01-4418-ACE0-C5A74B7A26E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3C792103">
        <w:pPr>
          <w:pStyle w:val="7"/>
          <w:jc w:val="center"/>
        </w:pPr>
        <w:r>
          <w:fldChar w:fldCharType="begin"/>
        </w:r>
        <w:r>
          <w:instrText xml:space="preserve">PAGE   \* MERGEFORMAT</w:instrText>
        </w:r>
        <w:r>
          <w:fldChar w:fldCharType="separate"/>
        </w:r>
        <w:r>
          <w:rPr>
            <w:lang w:val="zh-CN"/>
          </w:rPr>
          <w:t>13</w:t>
        </w:r>
        <w:r>
          <w:fldChar w:fldCharType="end"/>
        </w:r>
      </w:p>
    </w:sdtContent>
  </w:sdt>
  <w:p w14:paraId="6401F835">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F60FE1"/>
    <w:multiLevelType w:val="singleLevel"/>
    <w:tmpl w:val="DEF60FE1"/>
    <w:lvl w:ilvl="0" w:tentative="0">
      <w:start w:val="1"/>
      <w:numFmt w:val="decimal"/>
      <w:suff w:val="nothing"/>
      <w:lvlText w:val="（%1）"/>
      <w:lvlJc w:val="left"/>
    </w:lvl>
  </w:abstractNum>
  <w:abstractNum w:abstractNumId="1">
    <w:nsid w:val="E83853AE"/>
    <w:multiLevelType w:val="singleLevel"/>
    <w:tmpl w:val="E83853AE"/>
    <w:lvl w:ilvl="0" w:tentative="0">
      <w:start w:val="2"/>
      <w:numFmt w:val="decimal"/>
      <w:suff w:val="nothing"/>
      <w:lvlText w:val="%1、"/>
      <w:lvlJc w:val="left"/>
    </w:lvl>
  </w:abstractNum>
  <w:abstractNum w:abstractNumId="2">
    <w:nsid w:val="FF9379A8"/>
    <w:multiLevelType w:val="singleLevel"/>
    <w:tmpl w:val="FF9379A8"/>
    <w:lvl w:ilvl="0" w:tentative="0">
      <w:start w:val="2"/>
      <w:numFmt w:val="chineseCounting"/>
      <w:suff w:val="nothing"/>
      <w:lvlText w:val="（%1）"/>
      <w:lvlJc w:val="left"/>
      <w:rPr>
        <w:rFonts w:hint="eastAsia"/>
      </w:rPr>
    </w:lvl>
  </w:abstractNum>
  <w:abstractNum w:abstractNumId="3">
    <w:nsid w:val="116B29BF"/>
    <w:multiLevelType w:val="singleLevel"/>
    <w:tmpl w:val="116B29BF"/>
    <w:lvl w:ilvl="0" w:tentative="0">
      <w:start w:val="3"/>
      <w:numFmt w:val="chineseCounting"/>
      <w:suff w:val="nothing"/>
      <w:lvlText w:val="%1、"/>
      <w:lvlJc w:val="left"/>
      <w:rPr>
        <w:rFonts w:hint="eastAsia"/>
      </w:rPr>
    </w:lvl>
  </w:abstractNum>
  <w:abstractNum w:abstractNumId="4">
    <w:nsid w:val="27813159"/>
    <w:multiLevelType w:val="singleLevel"/>
    <w:tmpl w:val="27813159"/>
    <w:lvl w:ilvl="0" w:tentative="0">
      <w:start w:val="3"/>
      <w:numFmt w:val="chineseCounting"/>
      <w:suff w:val="nothing"/>
      <w:lvlText w:val="（%1）"/>
      <w:lvlJc w:val="left"/>
      <w:rPr>
        <w:rFonts w:hint="eastAsia"/>
      </w:rPr>
    </w:lvl>
  </w:abstractNum>
  <w:abstractNum w:abstractNumId="5">
    <w:nsid w:val="38F0C646"/>
    <w:multiLevelType w:val="singleLevel"/>
    <w:tmpl w:val="38F0C646"/>
    <w:lvl w:ilvl="0" w:tentative="0">
      <w:start w:val="1"/>
      <w:numFmt w:val="decimal"/>
      <w:suff w:val="nothing"/>
      <w:lvlText w:val="%1、"/>
      <w:lvlJc w:val="left"/>
    </w:lvl>
  </w:abstractNum>
  <w:abstractNum w:abstractNumId="6">
    <w:nsid w:val="6FAA0AB1"/>
    <w:multiLevelType w:val="singleLevel"/>
    <w:tmpl w:val="6FAA0AB1"/>
    <w:lvl w:ilvl="0" w:tentative="0">
      <w:start w:val="2"/>
      <w:numFmt w:val="chineseCounting"/>
      <w:suff w:val="nothing"/>
      <w:lvlText w:val="（%1）"/>
      <w:lvlJc w:val="left"/>
      <w:rPr>
        <w:rFonts w:hint="eastAsia"/>
      </w:rPr>
    </w:lvl>
  </w:abstractNum>
  <w:num w:numId="1">
    <w:abstractNumId w:val="1"/>
  </w:num>
  <w:num w:numId="2">
    <w:abstractNumId w:val="0"/>
  </w:num>
  <w:num w:numId="3">
    <w:abstractNumId w:val="4"/>
  </w:num>
  <w:num w:numId="4">
    <w:abstractNumId w:val="5"/>
  </w:num>
  <w:num w:numId="5">
    <w:abstractNumId w:val="3"/>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DViY2JkMjU3NGYzZTEwMzZmMGFkZWViYmNkYWU3NDIifQ=="/>
  </w:docVars>
  <w:rsids>
    <w:rsidRoot w:val="FF6C4049"/>
    <w:rsid w:val="00006C2B"/>
    <w:rsid w:val="000355B2"/>
    <w:rsid w:val="00095176"/>
    <w:rsid w:val="002462E9"/>
    <w:rsid w:val="00272BE5"/>
    <w:rsid w:val="002A5FFF"/>
    <w:rsid w:val="00335D20"/>
    <w:rsid w:val="004271D6"/>
    <w:rsid w:val="004712B7"/>
    <w:rsid w:val="00481ADE"/>
    <w:rsid w:val="00510DAA"/>
    <w:rsid w:val="00514C3A"/>
    <w:rsid w:val="005E6FCB"/>
    <w:rsid w:val="0066715C"/>
    <w:rsid w:val="00714727"/>
    <w:rsid w:val="007D45B4"/>
    <w:rsid w:val="00865C3A"/>
    <w:rsid w:val="008B2650"/>
    <w:rsid w:val="008B6A62"/>
    <w:rsid w:val="00943ED7"/>
    <w:rsid w:val="0098700C"/>
    <w:rsid w:val="009D54B5"/>
    <w:rsid w:val="00A07A2D"/>
    <w:rsid w:val="00A22FFF"/>
    <w:rsid w:val="00A32063"/>
    <w:rsid w:val="00A8420F"/>
    <w:rsid w:val="00C95B11"/>
    <w:rsid w:val="00E32861"/>
    <w:rsid w:val="00E42948"/>
    <w:rsid w:val="00ED711C"/>
    <w:rsid w:val="00F560BF"/>
    <w:rsid w:val="00FC7F82"/>
    <w:rsid w:val="00FD3DF8"/>
    <w:rsid w:val="0BC868AF"/>
    <w:rsid w:val="0C470A17"/>
    <w:rsid w:val="0EF4592A"/>
    <w:rsid w:val="0F8B6700"/>
    <w:rsid w:val="11052525"/>
    <w:rsid w:val="13B90F01"/>
    <w:rsid w:val="1584081F"/>
    <w:rsid w:val="1C671E73"/>
    <w:rsid w:val="25485ABA"/>
    <w:rsid w:val="269659BA"/>
    <w:rsid w:val="292A2A81"/>
    <w:rsid w:val="2B9035CC"/>
    <w:rsid w:val="2BD14587"/>
    <w:rsid w:val="2E277D71"/>
    <w:rsid w:val="2E546F16"/>
    <w:rsid w:val="2F377504"/>
    <w:rsid w:val="310149B3"/>
    <w:rsid w:val="395F2B56"/>
    <w:rsid w:val="3A150057"/>
    <w:rsid w:val="3BECE841"/>
    <w:rsid w:val="3C155098"/>
    <w:rsid w:val="3F0208D3"/>
    <w:rsid w:val="3FF7797D"/>
    <w:rsid w:val="40F015F2"/>
    <w:rsid w:val="481D4BC7"/>
    <w:rsid w:val="4AEF273A"/>
    <w:rsid w:val="519C4558"/>
    <w:rsid w:val="5308565F"/>
    <w:rsid w:val="546928EB"/>
    <w:rsid w:val="5BFF6039"/>
    <w:rsid w:val="5D76A616"/>
    <w:rsid w:val="5D7F20B9"/>
    <w:rsid w:val="5DAC7D0E"/>
    <w:rsid w:val="5DCC3CA6"/>
    <w:rsid w:val="5FFE8511"/>
    <w:rsid w:val="5FFEACE2"/>
    <w:rsid w:val="643EE26D"/>
    <w:rsid w:val="6474054E"/>
    <w:rsid w:val="66FD57B4"/>
    <w:rsid w:val="68F44821"/>
    <w:rsid w:val="696B70B3"/>
    <w:rsid w:val="6FAF6C78"/>
    <w:rsid w:val="7317C656"/>
    <w:rsid w:val="75F57246"/>
    <w:rsid w:val="77FD8BE9"/>
    <w:rsid w:val="79A9BD3F"/>
    <w:rsid w:val="7BFFFDD0"/>
    <w:rsid w:val="7D7A5F86"/>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 w:val="FFB767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autoRedefine/>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0"/>
    <w:autoRedefine/>
    <w:qFormat/>
    <w:uiPriority w:val="99"/>
    <w:pPr>
      <w:jc w:val="left"/>
    </w:pPr>
  </w:style>
  <w:style w:type="paragraph" w:styleId="4">
    <w:name w:val="Body Text"/>
    <w:basedOn w:val="1"/>
    <w:autoRedefine/>
    <w:qFormat/>
    <w:uiPriority w:val="0"/>
    <w:pPr>
      <w:spacing w:after="120"/>
    </w:pPr>
  </w:style>
  <w:style w:type="paragraph" w:styleId="5">
    <w:name w:val="Body Text Indent"/>
    <w:basedOn w:val="1"/>
    <w:autoRedefine/>
    <w:qFormat/>
    <w:uiPriority w:val="0"/>
    <w:pPr>
      <w:spacing w:after="120"/>
      <w:ind w:left="420" w:leftChars="200"/>
    </w:pPr>
    <w:rPr>
      <w:rFonts w:ascii="Calibri" w:hAnsi="Calibri"/>
    </w:rPr>
  </w:style>
  <w:style w:type="paragraph" w:styleId="6">
    <w:name w:val="Balloon Text"/>
    <w:basedOn w:val="1"/>
    <w:link w:val="25"/>
    <w:autoRedefine/>
    <w:qFormat/>
    <w:uiPriority w:val="0"/>
    <w:rPr>
      <w:sz w:val="18"/>
      <w:szCs w:val="18"/>
    </w:rPr>
  </w:style>
  <w:style w:type="paragraph" w:styleId="7">
    <w:name w:val="footer"/>
    <w:basedOn w:val="1"/>
    <w:autoRedefine/>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19"/>
    <w:autoRedefine/>
    <w:qFormat/>
    <w:uiPriority w:val="0"/>
    <w:pPr>
      <w:tabs>
        <w:tab w:val="center" w:pos="4153"/>
        <w:tab w:val="right" w:pos="8306"/>
      </w:tabs>
      <w:snapToGrid w:val="0"/>
      <w:jc w:val="center"/>
    </w:pPr>
    <w:rPr>
      <w:sz w:val="18"/>
      <w:szCs w:val="18"/>
    </w:rPr>
  </w:style>
  <w:style w:type="paragraph" w:styleId="9">
    <w:name w:val="Title"/>
    <w:basedOn w:val="1"/>
    <w:next w:val="1"/>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0">
    <w:name w:val="Body Text First Indent"/>
    <w:basedOn w:val="4"/>
    <w:autoRedefine/>
    <w:qFormat/>
    <w:uiPriority w:val="0"/>
    <w:pPr>
      <w:spacing w:after="0"/>
      <w:ind w:firstLine="200" w:firstLineChars="200"/>
    </w:pPr>
  </w:style>
  <w:style w:type="paragraph" w:styleId="11">
    <w:name w:val="Body Text First Indent 2"/>
    <w:basedOn w:val="5"/>
    <w:autoRedefine/>
    <w:qFormat/>
    <w:uiPriority w:val="0"/>
    <w:pPr>
      <w:ind w:firstLine="420" w:firstLineChars="200"/>
    </w:pPr>
  </w:style>
  <w:style w:type="character" w:styleId="14">
    <w:name w:val="Strong"/>
    <w:basedOn w:val="13"/>
    <w:autoRedefine/>
    <w:qFormat/>
    <w:uiPriority w:val="0"/>
    <w:rPr>
      <w:b/>
      <w:bCs/>
    </w:rPr>
  </w:style>
  <w:style w:type="character" w:styleId="15">
    <w:name w:val="annotation reference"/>
    <w:basedOn w:val="13"/>
    <w:autoRedefine/>
    <w:qFormat/>
    <w:uiPriority w:val="99"/>
    <w:rPr>
      <w:sz w:val="21"/>
      <w:szCs w:val="21"/>
    </w:rPr>
  </w:style>
  <w:style w:type="character" w:customStyle="1" w:styleId="16">
    <w:name w:val="fontstyle01"/>
    <w:autoRedefine/>
    <w:qFormat/>
    <w:uiPriority w:val="0"/>
    <w:rPr>
      <w:rFonts w:ascii="仿宋_GB2312" w:hAnsi="仿宋_GB2312" w:eastAsia="仿宋_GB2312" w:cs="仿宋_GB2312"/>
      <w:color w:val="000000"/>
      <w:sz w:val="32"/>
      <w:szCs w:val="32"/>
    </w:rPr>
  </w:style>
  <w:style w:type="paragraph" w:customStyle="1" w:styleId="17">
    <w:name w:val="闻政-正文段落文字"/>
    <w:basedOn w:val="1"/>
    <w:autoRedefine/>
    <w:qFormat/>
    <w:uiPriority w:val="3"/>
    <w:pPr>
      <w:spacing w:line="500" w:lineRule="exact"/>
      <w:ind w:firstLine="200"/>
    </w:pPr>
    <w:rPr>
      <w:kern w:val="0"/>
      <w:szCs w:val="28"/>
    </w:rPr>
  </w:style>
  <w:style w:type="paragraph" w:customStyle="1" w:styleId="18">
    <w:name w:val="修订1"/>
    <w:autoRedefine/>
    <w:hidden/>
    <w:unhideWhenUsed/>
    <w:qFormat/>
    <w:uiPriority w:val="99"/>
    <w:rPr>
      <w:rFonts w:ascii="Times New Roman" w:hAnsi="Times New Roman" w:eastAsia="宋体" w:cs="Times New Roman"/>
      <w:kern w:val="2"/>
      <w:sz w:val="21"/>
      <w:szCs w:val="24"/>
      <w:lang w:val="en-US" w:eastAsia="zh-CN" w:bidi="ar-SA"/>
    </w:rPr>
  </w:style>
  <w:style w:type="character" w:customStyle="1" w:styleId="19">
    <w:name w:val="页眉 Char"/>
    <w:basedOn w:val="13"/>
    <w:link w:val="8"/>
    <w:autoRedefine/>
    <w:qFormat/>
    <w:uiPriority w:val="0"/>
    <w:rPr>
      <w:rFonts w:ascii="Times New Roman" w:hAnsi="Times New Roman" w:eastAsia="宋体" w:cs="Times New Roman"/>
      <w:kern w:val="2"/>
      <w:sz w:val="18"/>
      <w:szCs w:val="18"/>
    </w:rPr>
  </w:style>
  <w:style w:type="character" w:customStyle="1" w:styleId="20">
    <w:name w:val="批注文字 Char"/>
    <w:basedOn w:val="13"/>
    <w:link w:val="3"/>
    <w:autoRedefine/>
    <w:qFormat/>
    <w:uiPriority w:val="99"/>
    <w:rPr>
      <w:rFonts w:ascii="Times New Roman" w:hAnsi="Times New Roman" w:eastAsia="宋体" w:cs="Times New Roman"/>
      <w:kern w:val="2"/>
      <w:sz w:val="21"/>
      <w:szCs w:val="24"/>
    </w:rPr>
  </w:style>
  <w:style w:type="paragraph" w:styleId="21">
    <w:name w:val="List Paragraph"/>
    <w:basedOn w:val="1"/>
    <w:autoRedefine/>
    <w:unhideWhenUsed/>
    <w:qFormat/>
    <w:uiPriority w:val="99"/>
    <w:pPr>
      <w:ind w:firstLine="420" w:firstLineChars="200"/>
    </w:pPr>
  </w:style>
  <w:style w:type="character" w:customStyle="1" w:styleId="22">
    <w:name w:val="font31"/>
    <w:basedOn w:val="13"/>
    <w:autoRedefine/>
    <w:qFormat/>
    <w:uiPriority w:val="0"/>
    <w:rPr>
      <w:rFonts w:hint="eastAsia" w:ascii="宋体" w:hAnsi="宋体" w:eastAsia="宋体" w:cs="宋体"/>
      <w:color w:val="000000"/>
      <w:sz w:val="18"/>
      <w:szCs w:val="18"/>
      <w:u w:val="none"/>
    </w:rPr>
  </w:style>
  <w:style w:type="character" w:customStyle="1" w:styleId="23">
    <w:name w:val="font61"/>
    <w:basedOn w:val="13"/>
    <w:autoRedefine/>
    <w:qFormat/>
    <w:uiPriority w:val="0"/>
    <w:rPr>
      <w:rFonts w:hint="eastAsia" w:ascii="宋体" w:hAnsi="宋体" w:eastAsia="宋体" w:cs="宋体"/>
      <w:color w:val="000000"/>
      <w:sz w:val="16"/>
      <w:szCs w:val="16"/>
      <w:u w:val="none"/>
    </w:rPr>
  </w:style>
  <w:style w:type="character" w:customStyle="1" w:styleId="24">
    <w:name w:val="font51"/>
    <w:basedOn w:val="13"/>
    <w:autoRedefine/>
    <w:qFormat/>
    <w:uiPriority w:val="0"/>
    <w:rPr>
      <w:rFonts w:hint="eastAsia" w:ascii="宋体" w:hAnsi="宋体" w:eastAsia="宋体" w:cs="宋体"/>
      <w:color w:val="000000"/>
      <w:sz w:val="18"/>
      <w:szCs w:val="18"/>
      <w:u w:val="none"/>
    </w:rPr>
  </w:style>
  <w:style w:type="character" w:customStyle="1" w:styleId="25">
    <w:name w:val="批注框文本 Char"/>
    <w:basedOn w:val="13"/>
    <w:link w:val="6"/>
    <w:autoRedefine/>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28</Pages>
  <Words>11839</Words>
  <Characters>12704</Characters>
  <Lines>94</Lines>
  <Paragraphs>26</Paragraphs>
  <TotalTime>5</TotalTime>
  <ScaleCrop>false</ScaleCrop>
  <LinksUpToDate>false</LinksUpToDate>
  <CharactersWithSpaces>12809</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薛俊璇</cp:lastModifiedBy>
  <cp:lastPrinted>2024-03-11T10:17:00Z</cp:lastPrinted>
  <dcterms:modified xsi:type="dcterms:W3CDTF">2024-08-27T11:19:03Z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0CA58AF8364FF55815C8066417B177EA</vt:lpwstr>
  </property>
</Properties>
</file>