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8B1B7C">
      <w:pPr>
        <w:spacing w:line="540" w:lineRule="exact"/>
        <w:jc w:val="center"/>
        <w:rPr>
          <w:rFonts w:hint="default" w:ascii="Times New Roman" w:hAnsi="Times New Roman" w:eastAsia="华文中宋" w:cs="Times New Roman"/>
          <w:b/>
          <w:kern w:val="0"/>
          <w:sz w:val="52"/>
          <w:szCs w:val="52"/>
        </w:rPr>
      </w:pPr>
    </w:p>
    <w:p w14:paraId="5FD3347A">
      <w:pPr>
        <w:spacing w:line="540" w:lineRule="exact"/>
        <w:rPr>
          <w:rFonts w:hint="default" w:ascii="Times New Roman" w:hAnsi="Times New Roman" w:eastAsia="华文中宋" w:cs="Times New Roman"/>
          <w:b/>
          <w:kern w:val="0"/>
          <w:sz w:val="52"/>
          <w:szCs w:val="52"/>
        </w:rPr>
      </w:pPr>
    </w:p>
    <w:p w14:paraId="07DBDBAF">
      <w:pPr>
        <w:spacing w:line="540" w:lineRule="exact"/>
        <w:jc w:val="center"/>
        <w:rPr>
          <w:rFonts w:hint="default" w:ascii="Times New Roman" w:hAnsi="Times New Roman" w:eastAsia="华文中宋" w:cs="Times New Roman"/>
          <w:b/>
          <w:kern w:val="0"/>
          <w:sz w:val="52"/>
          <w:szCs w:val="52"/>
        </w:rPr>
      </w:pPr>
    </w:p>
    <w:p w14:paraId="79798547">
      <w:pPr>
        <w:spacing w:line="540" w:lineRule="exact"/>
        <w:jc w:val="center"/>
        <w:rPr>
          <w:rFonts w:hint="default" w:ascii="Times New Roman" w:hAnsi="Times New Roman" w:eastAsia="华文中宋" w:cs="Times New Roman"/>
          <w:b/>
          <w:kern w:val="0"/>
          <w:sz w:val="52"/>
          <w:szCs w:val="52"/>
        </w:rPr>
      </w:pPr>
    </w:p>
    <w:p w14:paraId="03C36FAE">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医院政府采购项目绩效评价报告</w:t>
      </w:r>
    </w:p>
    <w:p w14:paraId="2FBE4731">
      <w:pPr>
        <w:spacing w:line="540" w:lineRule="exact"/>
        <w:jc w:val="center"/>
        <w:rPr>
          <w:rFonts w:hint="default" w:ascii="Times New Roman" w:hAnsi="Times New Roman" w:eastAsia="华文中宋" w:cs="Times New Roman"/>
          <w:b/>
          <w:kern w:val="0"/>
          <w:sz w:val="52"/>
          <w:szCs w:val="52"/>
        </w:rPr>
      </w:pPr>
    </w:p>
    <w:p w14:paraId="756393AF">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2023年度）</w:t>
      </w:r>
    </w:p>
    <w:p w14:paraId="35113743">
      <w:pPr>
        <w:spacing w:line="540" w:lineRule="exact"/>
        <w:jc w:val="center"/>
        <w:rPr>
          <w:rFonts w:hint="default" w:ascii="Times New Roman" w:hAnsi="Times New Roman" w:eastAsia="仿宋_GB2312" w:cs="Times New Roman"/>
          <w:kern w:val="0"/>
          <w:sz w:val="30"/>
          <w:szCs w:val="30"/>
        </w:rPr>
      </w:pPr>
    </w:p>
    <w:p w14:paraId="4A52A56A">
      <w:pPr>
        <w:spacing w:line="540" w:lineRule="exact"/>
        <w:jc w:val="center"/>
        <w:rPr>
          <w:rFonts w:hint="default" w:ascii="Times New Roman" w:hAnsi="Times New Roman" w:eastAsia="仿宋_GB2312" w:cs="Times New Roman"/>
          <w:kern w:val="0"/>
          <w:sz w:val="30"/>
          <w:szCs w:val="30"/>
        </w:rPr>
      </w:pPr>
    </w:p>
    <w:p w14:paraId="0A5CCFED">
      <w:pPr>
        <w:spacing w:line="540" w:lineRule="exact"/>
        <w:jc w:val="center"/>
        <w:rPr>
          <w:rFonts w:hint="default" w:ascii="Times New Roman" w:hAnsi="Times New Roman" w:eastAsia="仿宋_GB2312" w:cs="Times New Roman"/>
          <w:kern w:val="0"/>
          <w:sz w:val="30"/>
          <w:szCs w:val="30"/>
        </w:rPr>
      </w:pPr>
    </w:p>
    <w:p w14:paraId="696F50D2">
      <w:pPr>
        <w:spacing w:line="540" w:lineRule="exact"/>
        <w:jc w:val="center"/>
        <w:rPr>
          <w:rFonts w:hint="default" w:ascii="Times New Roman" w:hAnsi="Times New Roman" w:eastAsia="仿宋_GB2312" w:cs="Times New Roman"/>
          <w:kern w:val="0"/>
          <w:sz w:val="30"/>
          <w:szCs w:val="30"/>
        </w:rPr>
      </w:pPr>
    </w:p>
    <w:p w14:paraId="3F33ECAC">
      <w:pPr>
        <w:spacing w:line="540" w:lineRule="exact"/>
        <w:rPr>
          <w:rFonts w:hint="default" w:ascii="Times New Roman" w:hAnsi="Times New Roman" w:eastAsia="仿宋_GB2312" w:cs="Times New Roman"/>
          <w:kern w:val="0"/>
          <w:sz w:val="30"/>
          <w:szCs w:val="30"/>
        </w:rPr>
      </w:pPr>
    </w:p>
    <w:p w14:paraId="260246B1">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项目名称：医院政府采购项目</w:t>
      </w:r>
    </w:p>
    <w:p w14:paraId="4E871912">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实施单位（公章）：新疆维吾尔自治区第一济困医院</w:t>
      </w:r>
    </w:p>
    <w:p w14:paraId="6EA1F5FE">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（自治区第四人民医院）</w:t>
      </w:r>
    </w:p>
    <w:p w14:paraId="5CA81D8D">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主管部门（公章）：新疆维吾尔自治区卫生健康委员会</w:t>
      </w:r>
    </w:p>
    <w:p w14:paraId="154DB7AC">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项目负责人（签章）：龚小丽</w:t>
      </w:r>
    </w:p>
    <w:p w14:paraId="0D4FE376">
      <w:pPr>
        <w:keepNext w:val="0"/>
        <w:keepLines w:val="0"/>
        <w:pageBreakBefore w:val="0"/>
        <w:widowControl w:val="0"/>
        <w:kinsoku/>
        <w:wordWrap/>
        <w:overflowPunct/>
        <w:topLinePunct w:val="0"/>
        <w:autoSpaceDE/>
        <w:autoSpaceDN/>
        <w:bidi w:val="0"/>
        <w:adjustRightInd/>
        <w:snapToGrid/>
        <w:spacing w:line="700" w:lineRule="exact"/>
        <w:ind w:firstLine="640" w:firstLineChars="200"/>
        <w:jc w:val="left"/>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填报时间：2024年3月9日</w:t>
      </w:r>
    </w:p>
    <w:p w14:paraId="74A8802E">
      <w:pPr>
        <w:spacing w:line="540" w:lineRule="exact"/>
        <w:jc w:val="center"/>
        <w:rPr>
          <w:rFonts w:hint="default" w:ascii="Times New Roman" w:hAnsi="Times New Roman" w:eastAsia="仿宋_GB2312" w:cs="Times New Roman"/>
          <w:kern w:val="0"/>
          <w:sz w:val="30"/>
          <w:szCs w:val="30"/>
        </w:rPr>
      </w:pPr>
    </w:p>
    <w:p w14:paraId="226B513E">
      <w:pPr>
        <w:spacing w:line="540" w:lineRule="exact"/>
        <w:rPr>
          <w:rStyle w:val="14"/>
          <w:rFonts w:hint="default" w:ascii="Times New Roman" w:hAnsi="Times New Roman" w:eastAsia="黑体" w:cs="Times New Roman"/>
          <w:b w:val="0"/>
          <w:spacing w:val="-4"/>
          <w:sz w:val="32"/>
          <w:szCs w:val="32"/>
        </w:rPr>
      </w:pPr>
    </w:p>
    <w:p w14:paraId="388A58FB">
      <w:pPr>
        <w:spacing w:line="540" w:lineRule="exact"/>
        <w:ind w:firstLine="640"/>
        <w:rPr>
          <w:rStyle w:val="14"/>
          <w:rFonts w:hint="default" w:ascii="Times New Roman" w:hAnsi="Times New Roman" w:eastAsia="黑体" w:cs="Times New Roman"/>
          <w:b w:val="0"/>
          <w:spacing w:val="-4"/>
          <w:sz w:val="32"/>
          <w:szCs w:val="32"/>
        </w:rPr>
      </w:pPr>
    </w:p>
    <w:p w14:paraId="6CCC7A54">
      <w:pPr>
        <w:spacing w:line="600" w:lineRule="exact"/>
        <w:rPr>
          <w:rFonts w:hint="default" w:ascii="Times New Roman" w:hAnsi="Times New Roman" w:eastAsia="黑体" w:cs="Times New Roman"/>
          <w:bCs/>
          <w:sz w:val="32"/>
          <w:szCs w:val="32"/>
        </w:rPr>
      </w:pPr>
    </w:p>
    <w:p w14:paraId="4A2BD94A">
      <w:pPr>
        <w:pStyle w:val="2"/>
        <w:rPr>
          <w:rFonts w:hint="default" w:ascii="Times New Roman" w:hAnsi="Times New Roman" w:cs="Times New Roman"/>
        </w:rPr>
      </w:pPr>
    </w:p>
    <w:p w14:paraId="5DF98171">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1F71B836">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215A8784">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1、项目背景</w:t>
      </w:r>
    </w:p>
    <w:p w14:paraId="6D1D548F">
      <w:pPr>
        <w:pStyle w:val="21"/>
        <w:keepNext w:val="0"/>
        <w:keepLines w:val="0"/>
        <w:pageBreakBefore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新疆维吾尔自治区第四人民医院由原志愿军511医院发展而来，历经新疆七一纺织职工医院、新疆纺织职工医院、新疆纺织医院，2003年更名为新疆维吾尔自治区第一济困医院，纳入自治区卫生健康委管理；2019年9月，经批准医院加挂“新疆维吾尔自治区第四人民医院”牌子；2021年1月，自治区卫生健康委员会批准我院规划建设为三级康复医院。经过 60多年发展变迁，目前医院已成为一所集济困、医疗、康复、教学、保健及社区卫生服务于一体的公益性国家二级甲等综合医院，力争在“十四五”期间，建成以养老为依托，以“康养”为特色，突出中医养生，康复指导全程的“大专科、强综合”的三级专科医院。</w:t>
      </w:r>
    </w:p>
    <w:p w14:paraId="44BE8D29">
      <w:pPr>
        <w:pStyle w:val="21"/>
        <w:keepNext w:val="0"/>
        <w:keepLines w:val="0"/>
        <w:pageBreakBefore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Cs/>
          <w:kern w:val="2"/>
          <w:sz w:val="32"/>
          <w:szCs w:val="32"/>
          <w:lang w:val="en-US" w:eastAsia="zh-CN" w:bidi="ar-SA"/>
        </w:rPr>
      </w:pPr>
      <w:r>
        <w:rPr>
          <w:rFonts w:hint="default" w:ascii="Times New Roman" w:hAnsi="Times New Roman" w:eastAsia="仿宋_GB2312" w:cs="Times New Roman"/>
          <w:bCs/>
          <w:kern w:val="2"/>
          <w:sz w:val="32"/>
          <w:szCs w:val="32"/>
          <w:lang w:val="en-US" w:eastAsia="zh-CN" w:bidi="ar-SA"/>
        </w:rPr>
        <w:t>医院现有编制床位500张，拥有1.5T核磁共振、128层螺旋CT、多功能数字胃肠机、纤维支气管镜、DR、口腔全景机、双能骨密度仪、超声乳化仪、客观听觉测试平台、磁场刺激仪、电子气管内窥镜系统、移动X线拍片机、C形臂X光机、高端四维彩超、动态心电、动态血压监测仪、无线多床位胎儿超声监护系统、宫腔镜、数字化彩色多普勒超声宫腔检测诊疗系统、床旁血液滤过系统、高清腹腔镜、电子胃镜、电子肠镜、阴道镜、胆道镜、气压弹道碎石系统、输尿管肾镜、电子鼻咽喉镜、睡眠监测仪、电子测听仪、血液透析机、有创和无创呼吸机、心电网络系统、糖尿病诊断和检查及治疗系统、高压氧舱、规范化的生化及微生物实验室检验设备、PCR实验室及发热门诊的配套医疗设备。</w:t>
      </w:r>
    </w:p>
    <w:p w14:paraId="14EF7CE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Style w:val="14"/>
          <w:rFonts w:hint="default" w:ascii="Times New Roman" w:hAnsi="Times New Roman" w:eastAsia="黑体" w:cs="Times New Roman"/>
          <w:bCs w:val="0"/>
          <w:spacing w:val="-4"/>
          <w:sz w:val="32"/>
          <w:szCs w:val="32"/>
        </w:rPr>
      </w:pPr>
      <w:r>
        <w:rPr>
          <w:rFonts w:hint="default" w:ascii="Times New Roman" w:hAnsi="Times New Roman" w:eastAsia="仿宋_GB2312" w:cs="Times New Roman"/>
          <w:bCs/>
          <w:sz w:val="32"/>
          <w:szCs w:val="32"/>
        </w:rPr>
        <w:t>2023年我院在严格遵守《预算法</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政府采购法</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自治区政府集中采购目录及标准》等法律法规和政策文件的基础上，科学编制2023年度政府采购项目预算并获得财政批复，严格按照经批复的预算开展预算执行工作，对医院各项业务正常运行和患者诊疗救治起到良好支撑作用。</w:t>
      </w:r>
    </w:p>
    <w:p w14:paraId="7F5F1720">
      <w:pPr>
        <w:pStyle w:val="2"/>
        <w:keepNext w:val="0"/>
        <w:keepLines w:val="0"/>
        <w:pageBreakBefore w:val="0"/>
        <w:numPr>
          <w:ilvl w:val="0"/>
          <w:numId w:val="1"/>
        </w:numPr>
        <w:kinsoku/>
        <w:wordWrap/>
        <w:overflowPunct/>
        <w:topLinePunct w:val="0"/>
        <w:autoSpaceDE/>
        <w:autoSpaceDN/>
        <w:bidi w:val="0"/>
        <w:adjustRightInd/>
        <w:snapToGrid/>
        <w:spacing w:before="0" w:after="0" w:line="540" w:lineRule="exact"/>
        <w:ind w:firstLine="643" w:firstLineChars="200"/>
        <w:jc w:val="both"/>
        <w:textAlignment w:val="auto"/>
        <w:rPr>
          <w:rFonts w:hint="default" w:ascii="Times New Roman" w:hAnsi="Times New Roman" w:eastAsia="仿宋_GB2312" w:cs="Times New Roman"/>
          <w:kern w:val="2"/>
        </w:rPr>
      </w:pPr>
      <w:r>
        <w:rPr>
          <w:rFonts w:hint="default" w:ascii="Times New Roman" w:hAnsi="Times New Roman" w:eastAsia="仿宋_GB2312" w:cs="Times New Roman"/>
          <w:kern w:val="2"/>
        </w:rPr>
        <w:t>项目主要内容：</w:t>
      </w:r>
    </w:p>
    <w:p w14:paraId="780CE2F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依据《国家卫生健康委关于进一步规范和加强政府采购管理工作的通知》（国卫财务函〔2020〕250号）、《国家卫生健康委办公厅关于全面落实规范和加强政府采购管理三年专项行动工作的通知》（国卫办财务函〔2020〕633号）和《新疆维吾尔自治区卫生健康委员会全面落实规范和加强政府采购管理三年专项行动实施方案（2020-2022）》文件精神，我院积极组织实施专项行动，以防止政府采购工作违法违规违纪问题发生。通过以完善制度，强化执行，提高效率为重点，以制度建设、内部监督、日常监督为抓手，围绕影响政府采购工作提升的“痛点”和“堵点”，逐步建立行为规范、服务高效、监管有力，切实加强我院政府采购管理工作，落实政府采购监管主体责任，进一步规范政府采购行为，强化财政支出管理，提高资金使用效益。</w:t>
      </w:r>
    </w:p>
    <w:p w14:paraId="2B7ADF99">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项目自筹资金（事业收入），根据医院发展及临床需求合理安排采购项目。办公设备及医疗设备及时采购到位，提高医疗质量和效率。为广大患者提供舒适的就医环境。</w:t>
      </w:r>
    </w:p>
    <w:p w14:paraId="4EBC6A2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2C5B9C05">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3、资金投入和使用情况</w:t>
      </w:r>
    </w:p>
    <w:p w14:paraId="07458D8A">
      <w:pPr>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（1）资金投入情况</w:t>
      </w:r>
    </w:p>
    <w:p w14:paraId="2B13D58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该项目年初预算数6503.21万元，全年预算数6503.21万元，该项目资金已全部落实到位，资金来源为其他资金。</w:t>
      </w:r>
    </w:p>
    <w:p w14:paraId="60B26522">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（2）资金使用情况</w:t>
      </w:r>
    </w:p>
    <w:p w14:paraId="2BF24D5E">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该项目年初预算数6503.21万元，全年预算数6503.21万元，全年执行数6459.26万元，预算执行率为99.32%，主要用于：支付项目实施进程中的各项费用。</w:t>
      </w:r>
    </w:p>
    <w:p w14:paraId="72919C4B">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37A098B4">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1、总体目标</w:t>
      </w:r>
    </w:p>
    <w:p w14:paraId="6DF0A90F">
      <w:pPr>
        <w:pStyle w:val="21"/>
        <w:keepNext w:val="0"/>
        <w:keepLines w:val="0"/>
        <w:pageBreakBefore w:val="0"/>
        <w:kinsoku/>
        <w:wordWrap/>
        <w:overflowPunct/>
        <w:topLinePunct w:val="0"/>
        <w:autoSpaceDE/>
        <w:autoSpaceDN/>
        <w:bidi w:val="0"/>
        <w:adjustRightInd/>
        <w:snapToGrid/>
        <w:spacing w:line="540" w:lineRule="exact"/>
        <w:ind w:firstLine="64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自筹资金合理分配，根据医院发展及临床需求合理安排采购项目；严格按照内控标准实施采购；办公设备及医疗设备及时采购到位，提高医疗质量和效率；按时完成我院大型修缮项目，为广大患者提供舒适的就医环境。</w:t>
      </w:r>
    </w:p>
    <w:p w14:paraId="4B3B4C8F">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cs="Times New Roman"/>
          <w:b/>
          <w:bCs/>
        </w:rPr>
      </w:pPr>
      <w:r>
        <w:rPr>
          <w:rFonts w:hint="default" w:ascii="Times New Roman" w:hAnsi="Times New Roman" w:eastAsia="仿宋_GB2312" w:cs="Times New Roman"/>
          <w:b/>
          <w:bCs/>
          <w:sz w:val="32"/>
          <w:szCs w:val="32"/>
        </w:rPr>
        <w:t>2、阶段性目标</w:t>
      </w:r>
    </w:p>
    <w:p w14:paraId="447B125D">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（1）前期准备：通过制定项目实施方案，经项目负责人审核通过后，有序开展后续工作。</w:t>
      </w:r>
    </w:p>
    <w:p w14:paraId="72642D4B">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（2）组织实施：资金一到位，立即根据项目要求实施项目。项目责任人按照项目实施方案要求逐一进行项目部署安排，提高项目质量及</w:t>
      </w:r>
      <w:r>
        <w:rPr>
          <w:rFonts w:hint="eastAsia" w:eastAsia="仿宋_GB2312" w:cs="Times New Roman"/>
          <w:sz w:val="32"/>
          <w:szCs w:val="32"/>
          <w:lang w:eastAsia="zh-CN"/>
        </w:rPr>
        <w:t>效率</w:t>
      </w:r>
      <w:bookmarkStart w:id="8" w:name="_GoBack"/>
      <w:bookmarkEnd w:id="8"/>
      <w:r>
        <w:rPr>
          <w:rFonts w:hint="default" w:ascii="Times New Roman" w:hAnsi="Times New Roman" w:eastAsia="仿宋_GB2312" w:cs="Times New Roman"/>
          <w:sz w:val="32"/>
          <w:szCs w:val="32"/>
        </w:rPr>
        <w:t>。</w:t>
      </w:r>
    </w:p>
    <w:p w14:paraId="7E271F6A">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1588CE8">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7E7D8DC">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1、绩效评价的目的</w:t>
      </w:r>
    </w:p>
    <w:p w14:paraId="4A383637">
      <w:pPr>
        <w:pStyle w:val="17"/>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kern w:val="2"/>
          <w:sz w:val="32"/>
          <w:szCs w:val="32"/>
        </w:rPr>
      </w:pPr>
      <w:r>
        <w:rPr>
          <w:rFonts w:hint="default" w:ascii="Times New Roman" w:hAnsi="Times New Roman" w:eastAsia="仿宋_GB2312" w:cs="Times New Roman"/>
          <w:sz w:val="32"/>
          <w:szCs w:val="32"/>
        </w:rPr>
        <w:t>通过开展有效的财政支出绩效评价管理，</w:t>
      </w:r>
      <w:r>
        <w:rPr>
          <w:rFonts w:hint="default" w:ascii="Times New Roman" w:hAnsi="Times New Roman" w:eastAsia="仿宋_GB2312" w:cs="Times New Roman"/>
          <w:kern w:val="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987B252">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2、绩效评价的对象</w:t>
      </w:r>
    </w:p>
    <w:p w14:paraId="6F70A820">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2023年医院政府采购项目所包含的全部项目内容。</w:t>
      </w:r>
    </w:p>
    <w:p w14:paraId="4FFAF17A">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3" w:firstLineChars="200"/>
        <w:jc w:val="both"/>
        <w:textAlignment w:val="auto"/>
        <w:outlineLvl w:val="9"/>
        <w:rPr>
          <w:rFonts w:hint="default" w:ascii="Times New Roman" w:hAnsi="Times New Roman" w:eastAsia="仿宋_GB2312" w:cs="Times New Roman"/>
        </w:rPr>
      </w:pPr>
      <w:r>
        <w:rPr>
          <w:rFonts w:hint="default" w:ascii="Times New Roman" w:hAnsi="Times New Roman" w:eastAsia="仿宋_GB2312" w:cs="Times New Roman"/>
        </w:rPr>
        <w:t>3、绩效评价的范围</w:t>
      </w:r>
    </w:p>
    <w:p w14:paraId="6C24BE44">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2023年医院政府采购项目的决策、过程、产出、效益等。</w:t>
      </w:r>
    </w:p>
    <w:p w14:paraId="3491A37E">
      <w:pPr>
        <w:keepNext w:val="0"/>
        <w:keepLines w:val="0"/>
        <w:pageBreakBefore w:val="0"/>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2E161EFC">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1、绩效评价原则</w:t>
      </w:r>
    </w:p>
    <w:p w14:paraId="54A08748">
      <w:pPr>
        <w:keepNext w:val="0"/>
        <w:keepLines w:val="0"/>
        <w:pageBreakBefore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20D17061">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w:t>
      </w:r>
      <w:r>
        <w:rPr>
          <w:rFonts w:hint="eastAsia" w:ascii="Times New Roman" w:hAnsi="Times New Roman" w:eastAsia="仿宋_GB2312" w:cs="Times New Roman"/>
          <w:b w:val="0"/>
          <w:bCs w:val="0"/>
          <w:lang w:eastAsia="zh-CN"/>
        </w:rPr>
        <w:t>地</w:t>
      </w:r>
      <w:r>
        <w:rPr>
          <w:rFonts w:hint="default" w:ascii="Times New Roman" w:hAnsi="Times New Roman" w:eastAsia="仿宋_GB2312" w:cs="Times New Roman"/>
          <w:b w:val="0"/>
          <w:bCs w:val="0"/>
        </w:rPr>
        <w:t>反映。</w:t>
      </w:r>
    </w:p>
    <w:p w14:paraId="74151036">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14406365">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23495720">
      <w:pPr>
        <w:pStyle w:val="2"/>
        <w:keepNext w:val="0"/>
        <w:keepLines w:val="0"/>
        <w:pageBreakBefore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2CD8ACFF">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2、评价指标体系</w:t>
      </w:r>
    </w:p>
    <w:p w14:paraId="7547A5B2">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cs="Times New Roman"/>
          <w:spacing w:val="17"/>
          <w:sz w:val="32"/>
          <w:szCs w:val="32"/>
        </w:rPr>
      </w:pPr>
      <w:r>
        <w:rPr>
          <w:rFonts w:hint="default" w:ascii="Times New Roman" w:hAnsi="Times New Roman" w:eastAsia="仿宋_GB2312" w:cs="Times New Roman"/>
          <w:spacing w:val="17"/>
          <w:sz w:val="32"/>
          <w:szCs w:val="32"/>
        </w:rPr>
        <w:t>绩效评价框架是开展绩效评价的核心。绩效评价框架包括评价准则、关键评价问题、评价指标、数据来源、数据收集方法等。指标体系建立过程如下：</w:t>
      </w:r>
    </w:p>
    <w:p w14:paraId="1424ED82">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（1）确定评价指标</w:t>
      </w:r>
    </w:p>
    <w:p w14:paraId="12B3F10C">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2ABA962">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（2）确定权重</w:t>
      </w:r>
    </w:p>
    <w:p w14:paraId="4D2A1B81">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确定各个指标相对于项目总体绩效的权重分值。在绩效评价指标体系中，项目决策权重为20分，项目过程权重为20分，项目产出权重为40分，项目效益权重为20分。</w:t>
      </w:r>
    </w:p>
    <w:p w14:paraId="4874F824">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（3）确定指标标准值</w:t>
      </w:r>
    </w:p>
    <w:p w14:paraId="56FE191B">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指标标准值是绩效评价指标的尺度，既要反映同类项目的先进水平，又要符合项目的实际绩效水平。具体采用计划标准等确定此次绩效评价指标标准值。</w:t>
      </w:r>
    </w:p>
    <w:p w14:paraId="6771C1CA">
      <w:pPr>
        <w:pStyle w:val="2"/>
        <w:keepNext w:val="0"/>
        <w:keepLines w:val="0"/>
        <w:pageBreakBefore w:val="0"/>
        <w:kinsoku/>
        <w:wordWrap/>
        <w:overflowPunct/>
        <w:topLinePunct w:val="0"/>
        <w:autoSpaceDE/>
        <w:autoSpaceDN/>
        <w:bidi w:val="0"/>
        <w:adjustRightInd/>
        <w:snapToGrid/>
        <w:spacing w:before="0" w:after="0" w:line="540" w:lineRule="exact"/>
        <w:ind w:firstLine="708" w:firstLineChars="200"/>
        <w:jc w:val="both"/>
        <w:textAlignment w:val="auto"/>
        <w:rPr>
          <w:rFonts w:hint="default" w:ascii="Times New Roman" w:hAnsi="Times New Roman" w:eastAsia="仿宋_GB2312" w:cs="Times New Roman"/>
          <w:b w:val="0"/>
          <w:bCs w:val="0"/>
          <w:spacing w:val="17"/>
          <w:kern w:val="2"/>
        </w:rPr>
      </w:pPr>
      <w:r>
        <w:rPr>
          <w:rFonts w:hint="default" w:ascii="Times New Roman" w:hAnsi="Times New Roman" w:eastAsia="仿宋_GB2312" w:cs="Times New Roman"/>
          <w:b w:val="0"/>
          <w:bCs w:val="0"/>
          <w:spacing w:val="17"/>
          <w:kern w:val="2"/>
        </w:rPr>
        <w:t>绩效评价总分值100分，根据综合评分结果，评价计分90分</w:t>
      </w:r>
      <w:r>
        <w:rPr>
          <w:rFonts w:hint="default" w:ascii="Times New Roman" w:hAnsi="Times New Roman" w:eastAsia="仿宋_GB2312" w:cs="Times New Roman"/>
          <w:b w:val="0"/>
          <w:bCs w:val="0"/>
          <w:spacing w:val="17"/>
          <w:kern w:val="2"/>
          <w:lang w:eastAsia="zh-CN"/>
        </w:rPr>
        <w:t>—</w:t>
      </w:r>
      <w:r>
        <w:rPr>
          <w:rFonts w:hint="default" w:ascii="Times New Roman" w:hAnsi="Times New Roman" w:eastAsia="仿宋_GB2312" w:cs="Times New Roman"/>
          <w:b w:val="0"/>
          <w:bCs w:val="0"/>
          <w:spacing w:val="17"/>
          <w:kern w:val="2"/>
        </w:rPr>
        <w:t>100分（含90分）对应的评分结果级别为优，80</w:t>
      </w:r>
      <w:r>
        <w:rPr>
          <w:rFonts w:hint="default" w:ascii="Times New Roman" w:hAnsi="Times New Roman" w:eastAsia="仿宋_GB2312" w:cs="Times New Roman"/>
          <w:b w:val="0"/>
          <w:bCs w:val="0"/>
          <w:spacing w:val="17"/>
          <w:kern w:val="2"/>
          <w:lang w:eastAsia="zh-CN"/>
        </w:rPr>
        <w:t>—</w:t>
      </w:r>
      <w:r>
        <w:rPr>
          <w:rFonts w:hint="default" w:ascii="Times New Roman" w:hAnsi="Times New Roman" w:eastAsia="仿宋_GB2312" w:cs="Times New Roman"/>
          <w:b w:val="0"/>
          <w:bCs w:val="0"/>
          <w:spacing w:val="17"/>
          <w:kern w:val="2"/>
        </w:rPr>
        <w:t>90分（含80分）对应的评分结果级别为良，60</w:t>
      </w:r>
      <w:r>
        <w:rPr>
          <w:rFonts w:hint="default" w:ascii="Times New Roman" w:hAnsi="Times New Roman" w:eastAsia="仿宋_GB2312" w:cs="Times New Roman"/>
          <w:b w:val="0"/>
          <w:bCs w:val="0"/>
          <w:spacing w:val="17"/>
          <w:kern w:val="2"/>
          <w:lang w:eastAsia="zh-CN"/>
        </w:rPr>
        <w:t>—</w:t>
      </w:r>
      <w:r>
        <w:rPr>
          <w:rFonts w:hint="default" w:ascii="Times New Roman" w:hAnsi="Times New Roman" w:eastAsia="仿宋_GB2312" w:cs="Times New Roman"/>
          <w:b w:val="0"/>
          <w:bCs w:val="0"/>
          <w:spacing w:val="17"/>
          <w:kern w:val="2"/>
        </w:rPr>
        <w:t>80分（含60分）对应的评分结果级别为中，60分以下对应的评分结果级别为差。</w:t>
      </w:r>
    </w:p>
    <w:p w14:paraId="3EF98753">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708" w:firstLineChars="200"/>
        <w:jc w:val="both"/>
        <w:textAlignment w:val="auto"/>
        <w:outlineLvl w:val="9"/>
        <w:rPr>
          <w:rFonts w:hint="default" w:ascii="Times New Roman" w:hAnsi="Times New Roman" w:eastAsia="仿宋_GB2312" w:cs="Times New Roman"/>
          <w:b w:val="0"/>
          <w:bCs w:val="0"/>
          <w:spacing w:val="17"/>
        </w:rPr>
      </w:pPr>
      <w:r>
        <w:rPr>
          <w:rFonts w:hint="default" w:ascii="Times New Roman" w:hAnsi="Times New Roman" w:eastAsia="仿宋_GB2312" w:cs="Times New Roman"/>
          <w:b w:val="0"/>
          <w:bCs w:val="0"/>
          <w:spacing w:val="17"/>
        </w:rPr>
        <w:t>具体评价指标体系详情见附件1</w:t>
      </w:r>
    </w:p>
    <w:p w14:paraId="1540CFD3">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3、绩效评价方法</w:t>
      </w:r>
    </w:p>
    <w:p w14:paraId="0A768D79">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绩效评价从项目决策、项目过程、项目产出、项目效益四个维度进行评价。评价对象为项目目标实施情况，  评价核心为资金的支出完成情况和项目的产出效益。</w:t>
      </w:r>
    </w:p>
    <w:p w14:paraId="5CEBB530">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本次评价指标中，既有定性指标又有定量指标，各类指标因考核内容不同和客观标准不同存在较大差异，因此核定具体指标时采用了不同方法，具体评价方法如下：</w:t>
      </w:r>
    </w:p>
    <w:p w14:paraId="5A0EA17B">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（1）比较法</w:t>
      </w:r>
    </w:p>
    <w:p w14:paraId="11714FEC">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通过对绩效目标与实施效果、历史与当期情况，综合分析绩效目标实现程度。对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spacing w:val="17"/>
          <w:sz w:val="32"/>
          <w:szCs w:val="32"/>
        </w:rPr>
        <w:t>最终验收情况与年度绩效目标对比、预算资金执行情况等相关因素进行比较。</w:t>
      </w:r>
    </w:p>
    <w:p w14:paraId="28311DAD">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（2）因素分析法</w:t>
      </w:r>
    </w:p>
    <w:p w14:paraId="1BCFB856">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通过综合分析影响绩效目标实现、实施效果的内外因素，评价绩效目标实现程度。通过对</w:t>
      </w:r>
      <w:r>
        <w:rPr>
          <w:rFonts w:hint="default" w:ascii="Times New Roman" w:hAnsi="Times New Roman" w:eastAsia="仿宋_GB2312" w:cs="Times New Roman"/>
          <w:sz w:val="32"/>
          <w:szCs w:val="32"/>
        </w:rPr>
        <w:t>项目</w:t>
      </w:r>
      <w:r>
        <w:rPr>
          <w:rFonts w:hint="default" w:ascii="Times New Roman" w:hAnsi="Times New Roman" w:eastAsia="仿宋_GB2312" w:cs="Times New Roman"/>
          <w:spacing w:val="17"/>
          <w:sz w:val="32"/>
          <w:szCs w:val="32"/>
        </w:rPr>
        <w:t>的开展情况、项目产出数量、成本控制、资金拨付文件及自评报告等相关资料的收集和审核，综合分析各因素对绩效目标实现的影响。</w:t>
      </w:r>
    </w:p>
    <w:p w14:paraId="0437D25E">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4、评价标准</w:t>
      </w:r>
    </w:p>
    <w:p w14:paraId="41D3BFCC">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r>
        <w:rPr>
          <w:rFonts w:hint="default" w:ascii="Times New Roman" w:hAnsi="Times New Roman" w:eastAsia="仿宋_GB2312" w:cs="Times New Roman"/>
          <w:spacing w:val="17"/>
          <w:sz w:val="32"/>
          <w:szCs w:val="32"/>
        </w:rPr>
        <w:t>绩效评价标准通常包括计划标准、行业标准、历史标准等，用于对绩效指标完成情况进行比较、分析、评价。本次包括计划标准、行业标准和历史标准。</w:t>
      </w:r>
    </w:p>
    <w:p w14:paraId="115F2A8B">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bookmarkStart w:id="0" w:name="_Toc31464"/>
      <w:bookmarkStart w:id="1" w:name="_Toc17882"/>
      <w:r>
        <w:rPr>
          <w:rFonts w:hint="default" w:ascii="Times New Roman" w:hAnsi="Times New Roman" w:eastAsia="仿宋_GB2312" w:cs="Times New Roman"/>
          <w:spacing w:val="17"/>
          <w:sz w:val="32"/>
          <w:szCs w:val="32"/>
        </w:rPr>
        <w:t>计划标准：指以预先制定的目标、计划、预算、定额等作为评价标准。</w:t>
      </w:r>
      <w:bookmarkEnd w:id="0"/>
      <w:bookmarkEnd w:id="1"/>
    </w:p>
    <w:p w14:paraId="6CB63089">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仿宋_GB2312" w:cs="Times New Roman"/>
          <w:spacing w:val="17"/>
          <w:sz w:val="32"/>
          <w:szCs w:val="32"/>
        </w:rPr>
      </w:pPr>
      <w:bookmarkStart w:id="2" w:name="_Toc2318"/>
      <w:bookmarkStart w:id="3" w:name="_Toc5633"/>
      <w:r>
        <w:rPr>
          <w:rFonts w:hint="default" w:ascii="Times New Roman" w:hAnsi="Times New Roman" w:eastAsia="仿宋_GB2312" w:cs="Times New Roman"/>
          <w:spacing w:val="17"/>
          <w:sz w:val="32"/>
          <w:szCs w:val="32"/>
        </w:rPr>
        <w:t>行业标准：指参照国家公布的行业指标数据制定的评价标准。</w:t>
      </w:r>
      <w:bookmarkEnd w:id="2"/>
      <w:bookmarkEnd w:id="3"/>
    </w:p>
    <w:p w14:paraId="003EADD4">
      <w:pPr>
        <w:keepNext w:val="0"/>
        <w:keepLines w:val="0"/>
        <w:pageBreakBefore w:val="0"/>
        <w:kinsoku/>
        <w:wordWrap/>
        <w:overflowPunct/>
        <w:topLinePunct w:val="0"/>
        <w:autoSpaceDE/>
        <w:autoSpaceDN/>
        <w:bidi w:val="0"/>
        <w:adjustRightInd/>
        <w:snapToGrid/>
        <w:spacing w:line="540" w:lineRule="exact"/>
        <w:ind w:firstLine="708" w:firstLineChars="200"/>
        <w:textAlignment w:val="auto"/>
        <w:rPr>
          <w:rFonts w:hint="default" w:ascii="Times New Roman" w:hAnsi="Times New Roman" w:eastAsia="方正仿宋_GBK" w:cs="Times New Roman"/>
          <w:sz w:val="32"/>
          <w:szCs w:val="32"/>
        </w:rPr>
      </w:pPr>
      <w:bookmarkStart w:id="4" w:name="_Toc430"/>
      <w:bookmarkStart w:id="5" w:name="_Toc16028"/>
      <w:r>
        <w:rPr>
          <w:rFonts w:hint="default" w:ascii="Times New Roman" w:hAnsi="Times New Roman" w:eastAsia="仿宋_GB2312" w:cs="Times New Roman"/>
          <w:spacing w:val="17"/>
          <w:sz w:val="32"/>
          <w:szCs w:val="32"/>
        </w:rPr>
        <w:t>历史标准：指参照历史数据制定的评价标准，为体现绩效改进的原则，在可实现的条件下应当确定相对较高的评价标准。</w:t>
      </w:r>
      <w:bookmarkEnd w:id="4"/>
      <w:bookmarkEnd w:id="5"/>
    </w:p>
    <w:p w14:paraId="541E94F9">
      <w:pPr>
        <w:pStyle w:val="2"/>
        <w:keepNext w:val="0"/>
        <w:keepLines w:val="0"/>
        <w:pageBreakBefore w:val="0"/>
        <w:numPr>
          <w:ilvl w:val="0"/>
          <w:numId w:val="2"/>
        </w:numPr>
        <w:kinsoku/>
        <w:wordWrap/>
        <w:overflowPunct/>
        <w:topLinePunct w:val="0"/>
        <w:autoSpaceDE/>
        <w:autoSpaceDN/>
        <w:bidi w:val="0"/>
        <w:adjustRightInd/>
        <w:snapToGrid/>
        <w:spacing w:before="0" w:after="0" w:line="540" w:lineRule="exact"/>
        <w:ind w:firstLine="711" w:firstLineChars="200"/>
        <w:jc w:val="both"/>
        <w:textAlignment w:val="auto"/>
        <w:rPr>
          <w:rFonts w:hint="default" w:ascii="Times New Roman" w:hAnsi="Times New Roman" w:eastAsia="楷体" w:cs="Times New Roman"/>
          <w:spacing w:val="17"/>
        </w:rPr>
      </w:pPr>
      <w:r>
        <w:rPr>
          <w:rFonts w:hint="default" w:ascii="Times New Roman" w:hAnsi="Times New Roman" w:eastAsia="楷体" w:cs="Times New Roman"/>
          <w:spacing w:val="17"/>
        </w:rPr>
        <w:t>绩效评价工作过程</w:t>
      </w:r>
    </w:p>
    <w:p w14:paraId="0A51FF69">
      <w:pPr>
        <w:keepNext w:val="0"/>
        <w:keepLines w:val="0"/>
        <w:pageBreakBefore w:val="0"/>
        <w:numPr>
          <w:ilvl w:val="0"/>
          <w:numId w:val="3"/>
        </w:numPr>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sz w:val="32"/>
          <w:szCs w:val="32"/>
        </w:rPr>
        <w:t>前期准备。</w:t>
      </w:r>
      <w:r>
        <w:rPr>
          <w:rFonts w:hint="default" w:ascii="Times New Roman" w:hAnsi="Times New Roman" w:eastAsia="仿宋_GB2312" w:cs="Times New Roman"/>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39E3F088">
      <w:pPr>
        <w:keepNext w:val="0"/>
        <w:keepLines w:val="0"/>
        <w:pageBreakBefore w:val="0"/>
        <w:numPr>
          <w:ilvl w:val="0"/>
          <w:numId w:val="3"/>
        </w:numPr>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
          <w:sz w:val="32"/>
          <w:szCs w:val="32"/>
        </w:rPr>
        <w:t>组织实施。</w:t>
      </w:r>
      <w:r>
        <w:rPr>
          <w:rFonts w:hint="default" w:ascii="Times New Roman" w:hAnsi="Times New Roman" w:eastAsia="仿宋_GB2312" w:cs="Times New Roman"/>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E64429C">
      <w:pPr>
        <w:keepNext w:val="0"/>
        <w:keepLines w:val="0"/>
        <w:pageBreakBefore w:val="0"/>
        <w:numPr>
          <w:ilvl w:val="0"/>
          <w:numId w:val="3"/>
        </w:numPr>
        <w:kinsoku/>
        <w:wordWrap/>
        <w:overflowPunct/>
        <w:topLinePunct w:val="0"/>
        <w:autoSpaceDE/>
        <w:autoSpaceDN/>
        <w:bidi w:val="0"/>
        <w:adjustRightInd/>
        <w:snapToGrid/>
        <w:spacing w:line="540" w:lineRule="exact"/>
        <w:ind w:firstLine="643" w:firstLineChars="200"/>
        <w:textAlignment w:val="auto"/>
        <w:rPr>
          <w:rFonts w:hint="default" w:ascii="Times New Roman" w:hAnsi="Times New Roman" w:cs="Times New Roman"/>
          <w:sz w:val="32"/>
          <w:szCs w:val="32"/>
        </w:rPr>
      </w:pPr>
      <w:r>
        <w:rPr>
          <w:rFonts w:hint="default" w:ascii="Times New Roman" w:hAnsi="Times New Roman" w:eastAsia="仿宋_GB2312" w:cs="Times New Roman"/>
          <w:b/>
          <w:sz w:val="32"/>
          <w:szCs w:val="32"/>
        </w:rPr>
        <w:t>分析评价。</w:t>
      </w:r>
      <w:r>
        <w:rPr>
          <w:rFonts w:hint="default" w:ascii="Times New Roman" w:hAnsi="Times New Roman" w:eastAsia="仿宋_GB2312" w:cs="Times New Roman"/>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585CCFB9">
      <w:pPr>
        <w:keepNext w:val="0"/>
        <w:keepLines w:val="0"/>
        <w:pageBreakBefore w:val="0"/>
        <w:numPr>
          <w:ilvl w:val="0"/>
          <w:numId w:val="4"/>
        </w:numPr>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8EFF227">
      <w:pPr>
        <w:pStyle w:val="2"/>
        <w:keepNext w:val="0"/>
        <w:keepLines w:val="0"/>
        <w:pageBreakBefore w:val="0"/>
        <w:kinsoku/>
        <w:wordWrap/>
        <w:overflowPunct/>
        <w:topLinePunct w:val="0"/>
        <w:autoSpaceDE/>
        <w:autoSpaceDN/>
        <w:bidi w:val="0"/>
        <w:adjustRightInd/>
        <w:snapToGrid/>
        <w:spacing w:before="0" w:after="0" w:line="54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（一）评价情况</w:t>
      </w:r>
    </w:p>
    <w:p w14:paraId="3F026011">
      <w:pPr>
        <w:keepNext w:val="0"/>
        <w:keepLines w:val="0"/>
        <w:pageBreakBefore w:val="0"/>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仿宋_GB2312" w:cs="Times New Roman"/>
          <w:kern w:val="28"/>
          <w:sz w:val="32"/>
          <w:szCs w:val="32"/>
        </w:rPr>
      </w:pPr>
      <w:r>
        <w:rPr>
          <w:rFonts w:hint="default" w:ascii="Times New Roman" w:hAnsi="Times New Roman" w:eastAsia="仿宋_GB2312" w:cs="Times New Roman"/>
          <w:kern w:val="28"/>
          <w:sz w:val="32"/>
          <w:szCs w:val="32"/>
        </w:rPr>
        <w:t>项目总体组织规范，在项目实施过</w:t>
      </w:r>
      <w:r>
        <w:rPr>
          <w:rFonts w:hint="eastAsia" w:eastAsia="仿宋_GB2312" w:cs="Times New Roman"/>
          <w:kern w:val="28"/>
          <w:sz w:val="32"/>
          <w:szCs w:val="32"/>
          <w:lang w:eastAsia="zh-CN"/>
        </w:rPr>
        <w:t>程中</w:t>
      </w:r>
      <w:r>
        <w:rPr>
          <w:rFonts w:hint="default" w:ascii="Times New Roman" w:hAnsi="Times New Roman" w:eastAsia="仿宋_GB2312" w:cs="Times New Roman"/>
          <w:kern w:val="28"/>
          <w:sz w:val="32"/>
          <w:szCs w:val="32"/>
        </w:rPr>
        <w:t>做到认真履职，监督到位。按照相关制度的要求，项目负责人对项目绩效监控执行情况进行跟踪监督，有效完成了本项目的工作目标，确保资金使用安全和最大效益</w:t>
      </w:r>
      <w:r>
        <w:rPr>
          <w:rFonts w:hint="default" w:ascii="Times New Roman" w:hAnsi="Times New Roman" w:eastAsia="仿宋_GB2312" w:cs="Times New Roman"/>
          <w:kern w:val="28"/>
          <w:sz w:val="32"/>
          <w:szCs w:val="32"/>
          <w:lang w:eastAsia="zh-CN"/>
        </w:rPr>
        <w:t>地</w:t>
      </w:r>
      <w:r>
        <w:rPr>
          <w:rFonts w:hint="default" w:ascii="Times New Roman" w:hAnsi="Times New Roman" w:eastAsia="仿宋_GB2312" w:cs="Times New Roman"/>
          <w:kern w:val="28"/>
          <w:sz w:val="32"/>
          <w:szCs w:val="32"/>
        </w:rPr>
        <w:t>发挥，保障项目如期按要求完成。规范了项目档案资料的整理。项目的实施达到项目预期效果。</w:t>
      </w:r>
    </w:p>
    <w:p w14:paraId="40DF7F22">
      <w:pPr>
        <w:pStyle w:val="2"/>
        <w:keepNext w:val="0"/>
        <w:keepLines w:val="0"/>
        <w:pageBreakBefore w:val="0"/>
        <w:kinsoku/>
        <w:wordWrap/>
        <w:overflowPunct/>
        <w:topLinePunct w:val="0"/>
        <w:autoSpaceDE/>
        <w:autoSpaceDN/>
        <w:bidi w:val="0"/>
        <w:adjustRightInd/>
        <w:snapToGrid/>
        <w:spacing w:before="0" w:after="0" w:line="54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（二）评价结论</w:t>
      </w:r>
    </w:p>
    <w:p w14:paraId="7EB24BDA">
      <w:pPr>
        <w:pStyle w:val="2"/>
        <w:keepNext w:val="0"/>
        <w:keepLines w:val="0"/>
        <w:pageBreakBefore w:val="0"/>
        <w:widowControl w:val="0"/>
        <w:kinsoku/>
        <w:wordWrap/>
        <w:overflowPunct/>
        <w:topLinePunct w:val="0"/>
        <w:autoSpaceDE/>
        <w:autoSpaceDN/>
        <w:bidi w:val="0"/>
        <w:adjustRightInd/>
        <w:snapToGrid/>
        <w:spacing w:before="0" w:after="0" w:line="540" w:lineRule="exact"/>
        <w:ind w:firstLine="640" w:firstLineChars="200"/>
        <w:jc w:val="both"/>
        <w:textAlignment w:val="auto"/>
        <w:outlineLvl w:val="9"/>
        <w:rPr>
          <w:rFonts w:hint="default" w:ascii="Times New Roman" w:hAnsi="Times New Roman" w:eastAsia="仿宋_GB2312" w:cs="Times New Roman"/>
          <w:sz w:val="30"/>
          <w:szCs w:val="30"/>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2023年医院政府采购项目进行客观评价，最终评分结果：总得分为100分，属于“优”。其中，项目决策类指标权重为20分，得分为 20分，得分率为100%。项目过程类指标权重为20分，得分为20分，得分率为100%。项目产出类指标权重为40分，得分为40分，得分率为100%。项目效益类指标权重为20分，得分为20分，得分率为100%。具体打分情况详见：附件1综合评分表。</w:t>
      </w:r>
    </w:p>
    <w:p w14:paraId="41D3E856">
      <w:pPr>
        <w:pStyle w:val="2"/>
        <w:rPr>
          <w:rFonts w:hint="default" w:ascii="Times New Roman" w:hAnsi="Times New Roman" w:eastAsia="黑体" w:cs="Times New Roman"/>
        </w:rPr>
      </w:pPr>
      <w:r>
        <w:rPr>
          <w:rFonts w:hint="default" w:ascii="Times New Roman" w:hAnsi="Times New Roman" w:eastAsia="仿宋_GB2312" w:cs="Times New Roman"/>
          <w:sz w:val="30"/>
          <w:szCs w:val="30"/>
        </w:rPr>
        <w:t>表1综合评分表</w:t>
      </w:r>
    </w:p>
    <w:tbl>
      <w:tblPr>
        <w:tblStyle w:val="12"/>
        <w:tblpPr w:leftFromText="180" w:rightFromText="180" w:vertAnchor="text" w:horzAnchor="page" w:tblpX="1785" w:tblpY="302"/>
        <w:tblOverlap w:val="never"/>
        <w:tblW w:w="4997" w:type="pct"/>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75"/>
        <w:gridCol w:w="792"/>
        <w:gridCol w:w="1215"/>
        <w:gridCol w:w="1513"/>
        <w:gridCol w:w="638"/>
        <w:gridCol w:w="920"/>
        <w:gridCol w:w="895"/>
        <w:gridCol w:w="1075"/>
        <w:gridCol w:w="736"/>
      </w:tblGrid>
      <w:tr w14:paraId="7A9D92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4" w:hRule="atLeast"/>
          <w:tblHeader/>
        </w:trPr>
        <w:tc>
          <w:tcPr>
            <w:tcW w:w="561" w:type="pct"/>
            <w:shd w:val="clear" w:color="auto" w:fill="BFBFBF"/>
            <w:vAlign w:val="center"/>
          </w:tcPr>
          <w:p w14:paraId="2A43F2E5">
            <w:pPr>
              <w:widowControl/>
              <w:spacing w:line="0" w:lineRule="atLeast"/>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一级指标</w:t>
            </w:r>
          </w:p>
        </w:tc>
        <w:tc>
          <w:tcPr>
            <w:tcW w:w="457" w:type="pct"/>
            <w:shd w:val="clear" w:color="auto" w:fill="BFBFBF"/>
            <w:vAlign w:val="center"/>
          </w:tcPr>
          <w:p w14:paraId="3C25853A">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分值</w:t>
            </w:r>
          </w:p>
        </w:tc>
        <w:tc>
          <w:tcPr>
            <w:tcW w:w="698" w:type="pct"/>
            <w:shd w:val="clear" w:color="auto" w:fill="BFBFBF"/>
            <w:vAlign w:val="center"/>
          </w:tcPr>
          <w:p w14:paraId="28BDEAD5">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二级指标</w:t>
            </w:r>
          </w:p>
        </w:tc>
        <w:tc>
          <w:tcPr>
            <w:tcW w:w="868" w:type="pct"/>
            <w:shd w:val="clear" w:color="auto" w:fill="BFBFBF"/>
            <w:vAlign w:val="center"/>
          </w:tcPr>
          <w:p w14:paraId="3FF89583">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三级指标</w:t>
            </w:r>
          </w:p>
        </w:tc>
        <w:tc>
          <w:tcPr>
            <w:tcW w:w="369" w:type="pct"/>
            <w:shd w:val="clear" w:color="auto" w:fill="BFBFBF"/>
            <w:vAlign w:val="center"/>
          </w:tcPr>
          <w:p w14:paraId="395FCF1B">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权重</w:t>
            </w:r>
          </w:p>
        </w:tc>
        <w:tc>
          <w:tcPr>
            <w:tcW w:w="530" w:type="pct"/>
            <w:shd w:val="clear" w:color="auto" w:fill="BFBFBF"/>
            <w:vAlign w:val="center"/>
          </w:tcPr>
          <w:p w14:paraId="7C4F1388">
            <w:pPr>
              <w:widowControl/>
              <w:tabs>
                <w:tab w:val="left" w:pos="1333"/>
                <w:tab w:val="center" w:pos="3623"/>
              </w:tabs>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目标值</w:t>
            </w:r>
          </w:p>
        </w:tc>
        <w:tc>
          <w:tcPr>
            <w:tcW w:w="469" w:type="pct"/>
            <w:shd w:val="clear" w:color="auto" w:fill="BFBFBF"/>
            <w:vAlign w:val="center"/>
          </w:tcPr>
          <w:p w14:paraId="76D4BB35">
            <w:pPr>
              <w:widowControl/>
              <w:tabs>
                <w:tab w:val="left" w:pos="1333"/>
                <w:tab w:val="center" w:pos="3623"/>
              </w:tabs>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业绩值</w:t>
            </w:r>
          </w:p>
        </w:tc>
        <w:tc>
          <w:tcPr>
            <w:tcW w:w="618" w:type="pct"/>
            <w:shd w:val="clear" w:color="auto" w:fill="BFBFBF"/>
            <w:vAlign w:val="center"/>
          </w:tcPr>
          <w:p w14:paraId="6C2E820C">
            <w:pPr>
              <w:widowControl/>
              <w:tabs>
                <w:tab w:val="left" w:pos="1333"/>
                <w:tab w:val="center" w:pos="3623"/>
              </w:tabs>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得分率</w:t>
            </w:r>
          </w:p>
        </w:tc>
        <w:tc>
          <w:tcPr>
            <w:tcW w:w="425" w:type="pct"/>
            <w:shd w:val="clear" w:color="auto" w:fill="BFBFBF"/>
            <w:vAlign w:val="center"/>
          </w:tcPr>
          <w:p w14:paraId="7BD48F59">
            <w:pPr>
              <w:widowControl/>
              <w:tabs>
                <w:tab w:val="left" w:pos="1333"/>
                <w:tab w:val="center" w:pos="3623"/>
              </w:tabs>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得分</w:t>
            </w:r>
          </w:p>
        </w:tc>
      </w:tr>
      <w:tr w14:paraId="24090B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restart"/>
            <w:shd w:val="clear" w:color="auto" w:fill="FFFFFF"/>
            <w:vAlign w:val="center"/>
          </w:tcPr>
          <w:p w14:paraId="488EEE7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决策　</w:t>
            </w:r>
          </w:p>
          <w:p w14:paraId="245AE32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p w14:paraId="69CAD054">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p w14:paraId="7157796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tc>
        <w:tc>
          <w:tcPr>
            <w:tcW w:w="457" w:type="pct"/>
            <w:vMerge w:val="restart"/>
            <w:shd w:val="clear" w:color="auto" w:fill="FFFFFF"/>
            <w:vAlign w:val="center"/>
          </w:tcPr>
          <w:p w14:paraId="764FB3A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20分</w:t>
            </w:r>
          </w:p>
        </w:tc>
        <w:tc>
          <w:tcPr>
            <w:tcW w:w="698" w:type="pct"/>
            <w:vMerge w:val="restart"/>
            <w:shd w:val="clear" w:color="auto" w:fill="FFFFFF"/>
            <w:vAlign w:val="center"/>
          </w:tcPr>
          <w:p w14:paraId="4B9D10E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项目立项　</w:t>
            </w:r>
          </w:p>
        </w:tc>
        <w:tc>
          <w:tcPr>
            <w:tcW w:w="868" w:type="pct"/>
            <w:shd w:val="clear" w:color="auto" w:fill="FFFFFF"/>
            <w:vAlign w:val="center"/>
          </w:tcPr>
          <w:p w14:paraId="443C7DC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立项依据</w:t>
            </w:r>
          </w:p>
          <w:p w14:paraId="515B0D8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充分性</w:t>
            </w:r>
          </w:p>
        </w:tc>
        <w:tc>
          <w:tcPr>
            <w:tcW w:w="369" w:type="pct"/>
            <w:shd w:val="clear" w:color="auto" w:fill="FFFFFF"/>
            <w:vAlign w:val="center"/>
          </w:tcPr>
          <w:p w14:paraId="7807BD09">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3</w:t>
            </w:r>
          </w:p>
        </w:tc>
        <w:tc>
          <w:tcPr>
            <w:tcW w:w="530" w:type="pct"/>
            <w:shd w:val="clear" w:color="auto" w:fill="FFFFFF"/>
            <w:vAlign w:val="center"/>
          </w:tcPr>
          <w:p w14:paraId="4715006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充分</w:t>
            </w:r>
          </w:p>
        </w:tc>
        <w:tc>
          <w:tcPr>
            <w:tcW w:w="469" w:type="pct"/>
            <w:shd w:val="clear" w:color="auto" w:fill="FFFFFF"/>
            <w:vAlign w:val="center"/>
          </w:tcPr>
          <w:p w14:paraId="3196D57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充分</w:t>
            </w:r>
          </w:p>
        </w:tc>
        <w:tc>
          <w:tcPr>
            <w:tcW w:w="618" w:type="pct"/>
            <w:shd w:val="clear" w:color="auto" w:fill="FFFFFF"/>
            <w:vAlign w:val="center"/>
          </w:tcPr>
          <w:p w14:paraId="13EAB5B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auto" w:fill="FFFFFF"/>
            <w:vAlign w:val="center"/>
          </w:tcPr>
          <w:p w14:paraId="691A320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3</w:t>
            </w:r>
          </w:p>
        </w:tc>
      </w:tr>
      <w:tr w14:paraId="4457D4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36B860DC">
            <w:pPr>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0611BD33">
            <w:pPr>
              <w:widowControl/>
              <w:spacing w:line="0" w:lineRule="atLeast"/>
              <w:jc w:val="center"/>
              <w:rPr>
                <w:rFonts w:hint="default" w:ascii="Times New Roman" w:hAnsi="Times New Roman" w:cs="Times New Roman"/>
                <w:kern w:val="0"/>
                <w:sz w:val="22"/>
                <w:szCs w:val="22"/>
              </w:rPr>
            </w:pPr>
          </w:p>
        </w:tc>
        <w:tc>
          <w:tcPr>
            <w:tcW w:w="698" w:type="pct"/>
            <w:vMerge w:val="continue"/>
            <w:shd w:val="clear" w:color="auto" w:fill="FFFFFF"/>
            <w:vAlign w:val="center"/>
          </w:tcPr>
          <w:p w14:paraId="60060D15">
            <w:pPr>
              <w:widowControl/>
              <w:spacing w:line="0" w:lineRule="atLeast"/>
              <w:jc w:val="center"/>
              <w:rPr>
                <w:rFonts w:hint="default" w:ascii="Times New Roman" w:hAnsi="Times New Roman" w:cs="Times New Roman"/>
                <w:kern w:val="0"/>
                <w:sz w:val="22"/>
                <w:szCs w:val="22"/>
              </w:rPr>
            </w:pPr>
          </w:p>
        </w:tc>
        <w:tc>
          <w:tcPr>
            <w:tcW w:w="868" w:type="pct"/>
            <w:shd w:val="clear" w:color="auto" w:fill="FFFFFF"/>
            <w:vAlign w:val="center"/>
          </w:tcPr>
          <w:p w14:paraId="4F96B50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立项程序</w:t>
            </w:r>
          </w:p>
          <w:p w14:paraId="554CEEE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规范性</w:t>
            </w:r>
          </w:p>
        </w:tc>
        <w:tc>
          <w:tcPr>
            <w:tcW w:w="369" w:type="pct"/>
            <w:shd w:val="clear" w:color="auto" w:fill="FFFFFF"/>
            <w:vAlign w:val="center"/>
          </w:tcPr>
          <w:p w14:paraId="3A4DA9A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3</w:t>
            </w:r>
          </w:p>
        </w:tc>
        <w:tc>
          <w:tcPr>
            <w:tcW w:w="530" w:type="pct"/>
            <w:shd w:val="clear" w:color="auto" w:fill="FFFFFF"/>
            <w:vAlign w:val="center"/>
          </w:tcPr>
          <w:p w14:paraId="66D3703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规范</w:t>
            </w:r>
          </w:p>
        </w:tc>
        <w:tc>
          <w:tcPr>
            <w:tcW w:w="469" w:type="pct"/>
            <w:shd w:val="clear" w:color="auto" w:fill="FFFFFF"/>
            <w:vAlign w:val="center"/>
          </w:tcPr>
          <w:p w14:paraId="6F91544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规范</w:t>
            </w:r>
          </w:p>
        </w:tc>
        <w:tc>
          <w:tcPr>
            <w:tcW w:w="618" w:type="pct"/>
            <w:shd w:val="clear" w:color="auto" w:fill="FFFFFF"/>
            <w:vAlign w:val="center"/>
          </w:tcPr>
          <w:p w14:paraId="125C772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auto" w:fill="FFFFFF"/>
            <w:vAlign w:val="center"/>
          </w:tcPr>
          <w:p w14:paraId="0EA64E1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3</w:t>
            </w:r>
          </w:p>
        </w:tc>
      </w:tr>
      <w:tr w14:paraId="3AF70F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40D13615">
            <w:pPr>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3C95D185">
            <w:pPr>
              <w:widowControl/>
              <w:spacing w:line="0" w:lineRule="atLeast"/>
              <w:jc w:val="center"/>
              <w:rPr>
                <w:rFonts w:hint="default" w:ascii="Times New Roman" w:hAnsi="Times New Roman" w:cs="Times New Roman"/>
                <w:kern w:val="0"/>
                <w:sz w:val="22"/>
                <w:szCs w:val="22"/>
              </w:rPr>
            </w:pPr>
          </w:p>
        </w:tc>
        <w:tc>
          <w:tcPr>
            <w:tcW w:w="698" w:type="pct"/>
            <w:vMerge w:val="restart"/>
            <w:shd w:val="clear" w:color="auto" w:fill="FFFFFF"/>
            <w:vAlign w:val="center"/>
          </w:tcPr>
          <w:p w14:paraId="6B7C613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绩效目标　</w:t>
            </w:r>
          </w:p>
        </w:tc>
        <w:tc>
          <w:tcPr>
            <w:tcW w:w="868" w:type="pct"/>
            <w:shd w:val="clear" w:color="auto" w:fill="FFFFFF"/>
            <w:vAlign w:val="center"/>
          </w:tcPr>
          <w:p w14:paraId="6C33362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绩效目标</w:t>
            </w:r>
          </w:p>
          <w:p w14:paraId="6EF587C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合理性</w:t>
            </w:r>
          </w:p>
        </w:tc>
        <w:tc>
          <w:tcPr>
            <w:tcW w:w="369" w:type="pct"/>
            <w:shd w:val="clear" w:color="000000" w:fill="FFFFFF"/>
            <w:vAlign w:val="center"/>
          </w:tcPr>
          <w:p w14:paraId="2EB7D93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3</w:t>
            </w:r>
          </w:p>
        </w:tc>
        <w:tc>
          <w:tcPr>
            <w:tcW w:w="530" w:type="pct"/>
            <w:shd w:val="clear" w:color="000000" w:fill="FFFFFF"/>
            <w:vAlign w:val="center"/>
          </w:tcPr>
          <w:p w14:paraId="300137D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w:t>
            </w:r>
          </w:p>
        </w:tc>
        <w:tc>
          <w:tcPr>
            <w:tcW w:w="469" w:type="pct"/>
            <w:shd w:val="clear" w:color="000000" w:fill="FFFFFF"/>
            <w:vAlign w:val="center"/>
          </w:tcPr>
          <w:p w14:paraId="22DA3F7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w:t>
            </w:r>
          </w:p>
        </w:tc>
        <w:tc>
          <w:tcPr>
            <w:tcW w:w="618" w:type="pct"/>
            <w:shd w:val="clear" w:color="000000" w:fill="FFFFFF"/>
            <w:vAlign w:val="center"/>
          </w:tcPr>
          <w:p w14:paraId="19C814E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15009AB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3</w:t>
            </w:r>
          </w:p>
        </w:tc>
      </w:tr>
      <w:tr w14:paraId="1E3BF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06872FCD">
            <w:pPr>
              <w:widowControl/>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20EC2A9D">
            <w:pPr>
              <w:widowControl/>
              <w:spacing w:line="0" w:lineRule="atLeast"/>
              <w:jc w:val="center"/>
              <w:rPr>
                <w:rFonts w:hint="default" w:ascii="Times New Roman" w:hAnsi="Times New Roman" w:cs="Times New Roman"/>
                <w:kern w:val="0"/>
                <w:sz w:val="22"/>
                <w:szCs w:val="22"/>
              </w:rPr>
            </w:pPr>
          </w:p>
        </w:tc>
        <w:tc>
          <w:tcPr>
            <w:tcW w:w="698" w:type="pct"/>
            <w:vMerge w:val="continue"/>
            <w:shd w:val="clear" w:color="auto" w:fill="FFFFFF"/>
            <w:vAlign w:val="center"/>
          </w:tcPr>
          <w:p w14:paraId="1C33ED21">
            <w:pPr>
              <w:widowControl/>
              <w:spacing w:line="0" w:lineRule="atLeast"/>
              <w:jc w:val="center"/>
              <w:rPr>
                <w:rFonts w:hint="default" w:ascii="Times New Roman" w:hAnsi="Times New Roman" w:cs="Times New Roman"/>
                <w:kern w:val="0"/>
                <w:sz w:val="22"/>
                <w:szCs w:val="22"/>
              </w:rPr>
            </w:pPr>
          </w:p>
        </w:tc>
        <w:tc>
          <w:tcPr>
            <w:tcW w:w="868" w:type="pct"/>
            <w:shd w:val="clear" w:color="auto" w:fill="FFFFFF"/>
            <w:vAlign w:val="center"/>
          </w:tcPr>
          <w:p w14:paraId="75A6F7D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绩效指标</w:t>
            </w:r>
          </w:p>
          <w:p w14:paraId="272705A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明确性</w:t>
            </w:r>
          </w:p>
        </w:tc>
        <w:tc>
          <w:tcPr>
            <w:tcW w:w="369" w:type="pct"/>
            <w:shd w:val="clear" w:color="000000" w:fill="FFFFFF"/>
            <w:vAlign w:val="center"/>
          </w:tcPr>
          <w:p w14:paraId="16E0058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3</w:t>
            </w:r>
          </w:p>
        </w:tc>
        <w:tc>
          <w:tcPr>
            <w:tcW w:w="530" w:type="pct"/>
            <w:shd w:val="clear" w:color="000000" w:fill="FFFFFF"/>
            <w:vAlign w:val="center"/>
          </w:tcPr>
          <w:p w14:paraId="6C76FE5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明确</w:t>
            </w:r>
          </w:p>
        </w:tc>
        <w:tc>
          <w:tcPr>
            <w:tcW w:w="469" w:type="pct"/>
            <w:shd w:val="clear" w:color="000000" w:fill="FFFFFF"/>
            <w:vAlign w:val="center"/>
          </w:tcPr>
          <w:p w14:paraId="7788903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明确</w:t>
            </w:r>
          </w:p>
        </w:tc>
        <w:tc>
          <w:tcPr>
            <w:tcW w:w="618" w:type="pct"/>
            <w:shd w:val="clear" w:color="000000" w:fill="FFFFFF"/>
            <w:vAlign w:val="center"/>
          </w:tcPr>
          <w:p w14:paraId="70DCC72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1AF1F8F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3</w:t>
            </w:r>
          </w:p>
        </w:tc>
      </w:tr>
      <w:tr w14:paraId="1B352E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15B1FB8C">
            <w:pPr>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733879FE">
            <w:pPr>
              <w:spacing w:line="0" w:lineRule="atLeast"/>
              <w:jc w:val="center"/>
              <w:rPr>
                <w:rFonts w:hint="default" w:ascii="Times New Roman" w:hAnsi="Times New Roman" w:cs="Times New Roman"/>
                <w:kern w:val="0"/>
                <w:sz w:val="22"/>
                <w:szCs w:val="22"/>
              </w:rPr>
            </w:pPr>
          </w:p>
        </w:tc>
        <w:tc>
          <w:tcPr>
            <w:tcW w:w="698" w:type="pct"/>
            <w:vMerge w:val="restart"/>
            <w:shd w:val="clear" w:color="auto" w:fill="FFFFFF"/>
            <w:vAlign w:val="center"/>
          </w:tcPr>
          <w:p w14:paraId="2B92B81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资金投入</w:t>
            </w:r>
          </w:p>
        </w:tc>
        <w:tc>
          <w:tcPr>
            <w:tcW w:w="868" w:type="pct"/>
            <w:shd w:val="clear" w:color="auto" w:fill="FFFFFF"/>
            <w:vAlign w:val="center"/>
          </w:tcPr>
          <w:p w14:paraId="0DF8752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预算编制</w:t>
            </w:r>
          </w:p>
          <w:p w14:paraId="37C20E9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科学性</w:t>
            </w:r>
          </w:p>
        </w:tc>
        <w:tc>
          <w:tcPr>
            <w:tcW w:w="369" w:type="pct"/>
            <w:shd w:val="clear" w:color="auto" w:fill="FFFFFF"/>
            <w:vAlign w:val="center"/>
          </w:tcPr>
          <w:p w14:paraId="6B7715B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c>
          <w:tcPr>
            <w:tcW w:w="530" w:type="pct"/>
            <w:shd w:val="clear" w:color="auto" w:fill="FFFFFF"/>
            <w:vAlign w:val="center"/>
          </w:tcPr>
          <w:p w14:paraId="03AB837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科学</w:t>
            </w:r>
          </w:p>
        </w:tc>
        <w:tc>
          <w:tcPr>
            <w:tcW w:w="469" w:type="pct"/>
            <w:shd w:val="clear" w:color="auto" w:fill="FFFFFF"/>
            <w:vAlign w:val="center"/>
          </w:tcPr>
          <w:p w14:paraId="4C23E30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科学</w:t>
            </w:r>
          </w:p>
        </w:tc>
        <w:tc>
          <w:tcPr>
            <w:tcW w:w="618" w:type="pct"/>
            <w:shd w:val="clear" w:color="auto" w:fill="FFFFFF"/>
            <w:vAlign w:val="center"/>
          </w:tcPr>
          <w:p w14:paraId="796DDE4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auto" w:fill="FFFFFF"/>
            <w:vAlign w:val="center"/>
          </w:tcPr>
          <w:p w14:paraId="1A51A96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r>
      <w:tr w14:paraId="70814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1785071F">
            <w:pPr>
              <w:widowControl/>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5C117BBE">
            <w:pPr>
              <w:widowControl/>
              <w:spacing w:line="0" w:lineRule="atLeast"/>
              <w:jc w:val="center"/>
              <w:rPr>
                <w:rFonts w:hint="default" w:ascii="Times New Roman" w:hAnsi="Times New Roman" w:cs="Times New Roman"/>
                <w:kern w:val="0"/>
                <w:sz w:val="22"/>
                <w:szCs w:val="22"/>
              </w:rPr>
            </w:pPr>
          </w:p>
        </w:tc>
        <w:tc>
          <w:tcPr>
            <w:tcW w:w="698" w:type="pct"/>
            <w:vMerge w:val="continue"/>
            <w:shd w:val="clear" w:color="auto" w:fill="FFFFFF"/>
            <w:vAlign w:val="center"/>
          </w:tcPr>
          <w:p w14:paraId="582E16AB">
            <w:pPr>
              <w:widowControl/>
              <w:spacing w:line="0" w:lineRule="atLeast"/>
              <w:jc w:val="center"/>
              <w:rPr>
                <w:rFonts w:hint="default" w:ascii="Times New Roman" w:hAnsi="Times New Roman" w:cs="Times New Roman"/>
                <w:kern w:val="0"/>
                <w:sz w:val="22"/>
                <w:szCs w:val="22"/>
              </w:rPr>
            </w:pPr>
          </w:p>
        </w:tc>
        <w:tc>
          <w:tcPr>
            <w:tcW w:w="868" w:type="pct"/>
            <w:shd w:val="clear" w:color="auto" w:fill="FFFFFF"/>
            <w:vAlign w:val="center"/>
          </w:tcPr>
          <w:p w14:paraId="70EEF62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资金分配</w:t>
            </w:r>
          </w:p>
          <w:p w14:paraId="66E34E9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合理性</w:t>
            </w:r>
          </w:p>
        </w:tc>
        <w:tc>
          <w:tcPr>
            <w:tcW w:w="369" w:type="pct"/>
            <w:shd w:val="clear" w:color="auto" w:fill="FFFFFF"/>
            <w:vAlign w:val="center"/>
          </w:tcPr>
          <w:p w14:paraId="4EE561B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c>
          <w:tcPr>
            <w:tcW w:w="530" w:type="pct"/>
            <w:shd w:val="clear" w:color="auto" w:fill="FFFFFF"/>
            <w:vAlign w:val="center"/>
          </w:tcPr>
          <w:p w14:paraId="17EAA04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w:t>
            </w:r>
          </w:p>
        </w:tc>
        <w:tc>
          <w:tcPr>
            <w:tcW w:w="469" w:type="pct"/>
            <w:shd w:val="clear" w:color="auto" w:fill="FFFFFF"/>
            <w:vAlign w:val="center"/>
          </w:tcPr>
          <w:p w14:paraId="5266EFA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w:t>
            </w:r>
          </w:p>
        </w:tc>
        <w:tc>
          <w:tcPr>
            <w:tcW w:w="618" w:type="pct"/>
            <w:shd w:val="clear" w:color="auto" w:fill="FFFFFF"/>
            <w:vAlign w:val="center"/>
          </w:tcPr>
          <w:p w14:paraId="5974260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auto" w:fill="FFFFFF"/>
            <w:vAlign w:val="center"/>
          </w:tcPr>
          <w:p w14:paraId="4163019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r>
      <w:tr w14:paraId="3804F6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restart"/>
            <w:shd w:val="clear" w:color="auto" w:fill="FFFFFF"/>
            <w:vAlign w:val="center"/>
          </w:tcPr>
          <w:p w14:paraId="0E0B9A0D">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过程</w:t>
            </w:r>
          </w:p>
          <w:p w14:paraId="46B72827">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tc>
        <w:tc>
          <w:tcPr>
            <w:tcW w:w="457" w:type="pct"/>
            <w:vMerge w:val="restart"/>
            <w:shd w:val="clear" w:color="auto" w:fill="FFFFFF"/>
            <w:vAlign w:val="center"/>
          </w:tcPr>
          <w:p w14:paraId="6BF4E7C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20分</w:t>
            </w:r>
          </w:p>
        </w:tc>
        <w:tc>
          <w:tcPr>
            <w:tcW w:w="698" w:type="pct"/>
            <w:vMerge w:val="restart"/>
            <w:shd w:val="clear" w:color="auto" w:fill="FFFFFF"/>
            <w:vAlign w:val="center"/>
          </w:tcPr>
          <w:p w14:paraId="6F6ECDA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资金管理</w:t>
            </w:r>
          </w:p>
        </w:tc>
        <w:tc>
          <w:tcPr>
            <w:tcW w:w="868" w:type="pct"/>
            <w:shd w:val="clear" w:color="auto" w:fill="FFFFFF"/>
            <w:vAlign w:val="center"/>
          </w:tcPr>
          <w:p w14:paraId="4F4DDFC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资金到位率</w:t>
            </w:r>
          </w:p>
        </w:tc>
        <w:tc>
          <w:tcPr>
            <w:tcW w:w="369" w:type="pct"/>
            <w:shd w:val="clear" w:color="000000" w:fill="FFFFFF"/>
            <w:vAlign w:val="center"/>
          </w:tcPr>
          <w:p w14:paraId="4702003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c>
          <w:tcPr>
            <w:tcW w:w="530" w:type="pct"/>
            <w:shd w:val="clear" w:color="000000" w:fill="FFFFFF"/>
            <w:vAlign w:val="center"/>
          </w:tcPr>
          <w:p w14:paraId="2616FD9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69" w:type="pct"/>
            <w:shd w:val="clear" w:color="000000" w:fill="FFFFFF"/>
            <w:vAlign w:val="center"/>
          </w:tcPr>
          <w:p w14:paraId="0D8F6C0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618" w:type="pct"/>
            <w:shd w:val="clear" w:color="000000" w:fill="FFFFFF"/>
            <w:vAlign w:val="center"/>
          </w:tcPr>
          <w:p w14:paraId="2A1F0A1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6F56D24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r>
      <w:tr w14:paraId="690B14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4F0FEAD5">
            <w:pPr>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4F97C5F4">
            <w:pPr>
              <w:spacing w:line="0" w:lineRule="atLeast"/>
              <w:jc w:val="center"/>
              <w:rPr>
                <w:rFonts w:hint="default" w:ascii="Times New Roman" w:hAnsi="Times New Roman" w:cs="Times New Roman"/>
                <w:kern w:val="0"/>
                <w:sz w:val="22"/>
                <w:szCs w:val="22"/>
              </w:rPr>
            </w:pPr>
          </w:p>
        </w:tc>
        <w:tc>
          <w:tcPr>
            <w:tcW w:w="698" w:type="pct"/>
            <w:vMerge w:val="continue"/>
            <w:shd w:val="clear" w:color="auto" w:fill="FFFFFF"/>
            <w:vAlign w:val="center"/>
          </w:tcPr>
          <w:p w14:paraId="581B9DD6">
            <w:pPr>
              <w:spacing w:line="0" w:lineRule="atLeast"/>
              <w:jc w:val="center"/>
              <w:rPr>
                <w:rFonts w:hint="default" w:ascii="Times New Roman" w:hAnsi="Times New Roman" w:cs="Times New Roman"/>
                <w:kern w:val="0"/>
                <w:sz w:val="22"/>
                <w:szCs w:val="22"/>
              </w:rPr>
            </w:pPr>
          </w:p>
        </w:tc>
        <w:tc>
          <w:tcPr>
            <w:tcW w:w="868" w:type="pct"/>
            <w:shd w:val="clear" w:color="auto" w:fill="FFFFFF"/>
            <w:vAlign w:val="center"/>
          </w:tcPr>
          <w:p w14:paraId="0CAAC06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预算执行率</w:t>
            </w:r>
          </w:p>
        </w:tc>
        <w:tc>
          <w:tcPr>
            <w:tcW w:w="369" w:type="pct"/>
            <w:shd w:val="clear" w:color="auto" w:fill="FFFFFF"/>
            <w:vAlign w:val="center"/>
          </w:tcPr>
          <w:p w14:paraId="7B75E51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c>
          <w:tcPr>
            <w:tcW w:w="530" w:type="pct"/>
            <w:shd w:val="clear" w:color="auto" w:fill="FFFFFF"/>
            <w:vAlign w:val="center"/>
          </w:tcPr>
          <w:p w14:paraId="7B6F568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69" w:type="pct"/>
            <w:shd w:val="clear" w:color="auto" w:fill="FFFFFF"/>
            <w:vAlign w:val="center"/>
          </w:tcPr>
          <w:p w14:paraId="4814898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618" w:type="pct"/>
            <w:shd w:val="clear" w:color="auto" w:fill="FFFFFF"/>
            <w:vAlign w:val="center"/>
          </w:tcPr>
          <w:p w14:paraId="1B0C4D9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auto" w:fill="FFFFFF"/>
            <w:vAlign w:val="center"/>
          </w:tcPr>
          <w:p w14:paraId="2B2FEAD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r>
      <w:tr w14:paraId="455C7E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2EC4E75D">
            <w:pPr>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59F6241D">
            <w:pPr>
              <w:widowControl/>
              <w:spacing w:line="0" w:lineRule="atLeast"/>
              <w:jc w:val="center"/>
              <w:rPr>
                <w:rFonts w:hint="default" w:ascii="Times New Roman" w:hAnsi="Times New Roman" w:cs="Times New Roman"/>
                <w:kern w:val="0"/>
                <w:sz w:val="22"/>
                <w:szCs w:val="22"/>
              </w:rPr>
            </w:pPr>
          </w:p>
        </w:tc>
        <w:tc>
          <w:tcPr>
            <w:tcW w:w="698" w:type="pct"/>
            <w:shd w:val="clear" w:color="auto" w:fill="FFFFFF"/>
            <w:vAlign w:val="center"/>
          </w:tcPr>
          <w:p w14:paraId="38145EF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资金管理</w:t>
            </w:r>
          </w:p>
        </w:tc>
        <w:tc>
          <w:tcPr>
            <w:tcW w:w="868" w:type="pct"/>
            <w:shd w:val="clear" w:color="auto" w:fill="FFFFFF"/>
            <w:vAlign w:val="center"/>
          </w:tcPr>
          <w:p w14:paraId="27C28E5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资金使用</w:t>
            </w:r>
          </w:p>
          <w:p w14:paraId="04650D9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合规性</w:t>
            </w:r>
          </w:p>
        </w:tc>
        <w:tc>
          <w:tcPr>
            <w:tcW w:w="369" w:type="pct"/>
            <w:shd w:val="clear" w:color="000000" w:fill="FFFFFF"/>
            <w:vAlign w:val="center"/>
          </w:tcPr>
          <w:p w14:paraId="614F346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c>
          <w:tcPr>
            <w:tcW w:w="530" w:type="pct"/>
            <w:shd w:val="clear" w:color="000000" w:fill="FFFFFF"/>
            <w:vAlign w:val="center"/>
          </w:tcPr>
          <w:p w14:paraId="216A4B8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合格</w:t>
            </w:r>
          </w:p>
        </w:tc>
        <w:tc>
          <w:tcPr>
            <w:tcW w:w="469" w:type="pct"/>
            <w:shd w:val="clear" w:color="000000" w:fill="FFFFFF"/>
            <w:vAlign w:val="center"/>
          </w:tcPr>
          <w:p w14:paraId="4E752719">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合格</w:t>
            </w:r>
          </w:p>
        </w:tc>
        <w:tc>
          <w:tcPr>
            <w:tcW w:w="618" w:type="pct"/>
            <w:shd w:val="clear" w:color="000000" w:fill="FFFFFF"/>
            <w:vAlign w:val="center"/>
          </w:tcPr>
          <w:p w14:paraId="3296FD8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73D50FF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r>
      <w:tr w14:paraId="0C1D8D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589D7121">
            <w:pPr>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4B765A45">
            <w:pPr>
              <w:spacing w:line="0" w:lineRule="atLeast"/>
              <w:jc w:val="center"/>
              <w:rPr>
                <w:rFonts w:hint="default" w:ascii="Times New Roman" w:hAnsi="Times New Roman" w:cs="Times New Roman"/>
                <w:kern w:val="0"/>
                <w:sz w:val="22"/>
                <w:szCs w:val="22"/>
              </w:rPr>
            </w:pPr>
          </w:p>
        </w:tc>
        <w:tc>
          <w:tcPr>
            <w:tcW w:w="698" w:type="pct"/>
            <w:vMerge w:val="restart"/>
            <w:shd w:val="clear" w:color="auto" w:fill="FFFFFF"/>
            <w:vAlign w:val="center"/>
          </w:tcPr>
          <w:p w14:paraId="7759074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组织实施</w:t>
            </w:r>
          </w:p>
        </w:tc>
        <w:tc>
          <w:tcPr>
            <w:tcW w:w="868" w:type="pct"/>
            <w:shd w:val="clear" w:color="auto" w:fill="FFFFFF"/>
            <w:vAlign w:val="center"/>
          </w:tcPr>
          <w:p w14:paraId="3345F4E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管理制度</w:t>
            </w:r>
          </w:p>
          <w:p w14:paraId="4BBBA61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健全性</w:t>
            </w:r>
          </w:p>
        </w:tc>
        <w:tc>
          <w:tcPr>
            <w:tcW w:w="369" w:type="pct"/>
            <w:shd w:val="clear" w:color="000000" w:fill="FFFFFF"/>
            <w:vAlign w:val="center"/>
          </w:tcPr>
          <w:p w14:paraId="527D06D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c>
          <w:tcPr>
            <w:tcW w:w="530" w:type="pct"/>
            <w:shd w:val="clear" w:color="000000" w:fill="FFFFFF"/>
            <w:vAlign w:val="center"/>
          </w:tcPr>
          <w:p w14:paraId="0612671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健全</w:t>
            </w:r>
          </w:p>
        </w:tc>
        <w:tc>
          <w:tcPr>
            <w:tcW w:w="469" w:type="pct"/>
            <w:shd w:val="clear" w:color="000000" w:fill="FFFFFF"/>
            <w:vAlign w:val="center"/>
          </w:tcPr>
          <w:p w14:paraId="62425D4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健全</w:t>
            </w:r>
          </w:p>
        </w:tc>
        <w:tc>
          <w:tcPr>
            <w:tcW w:w="618" w:type="pct"/>
            <w:shd w:val="clear" w:color="000000" w:fill="FFFFFF"/>
            <w:vAlign w:val="center"/>
          </w:tcPr>
          <w:p w14:paraId="06D3F6C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4044126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r>
      <w:tr w14:paraId="7DD27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6237AB0A">
            <w:pPr>
              <w:widowControl/>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71637F93">
            <w:pPr>
              <w:widowControl/>
              <w:spacing w:line="0" w:lineRule="atLeast"/>
              <w:jc w:val="center"/>
              <w:rPr>
                <w:rFonts w:hint="default" w:ascii="Times New Roman" w:hAnsi="Times New Roman" w:cs="Times New Roman"/>
                <w:kern w:val="0"/>
                <w:sz w:val="22"/>
                <w:szCs w:val="22"/>
              </w:rPr>
            </w:pPr>
          </w:p>
        </w:tc>
        <w:tc>
          <w:tcPr>
            <w:tcW w:w="698" w:type="pct"/>
            <w:vMerge w:val="continue"/>
            <w:shd w:val="clear" w:color="auto" w:fill="FFFFFF"/>
            <w:vAlign w:val="center"/>
          </w:tcPr>
          <w:p w14:paraId="59C25BC1">
            <w:pPr>
              <w:widowControl/>
              <w:spacing w:line="0" w:lineRule="atLeast"/>
              <w:jc w:val="center"/>
              <w:rPr>
                <w:rFonts w:hint="default" w:ascii="Times New Roman" w:hAnsi="Times New Roman" w:cs="Times New Roman"/>
                <w:kern w:val="0"/>
                <w:sz w:val="22"/>
                <w:szCs w:val="22"/>
              </w:rPr>
            </w:pPr>
          </w:p>
        </w:tc>
        <w:tc>
          <w:tcPr>
            <w:tcW w:w="868" w:type="pct"/>
            <w:shd w:val="clear" w:color="auto" w:fill="FFFFFF"/>
            <w:vAlign w:val="center"/>
          </w:tcPr>
          <w:p w14:paraId="5C28EE4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制度执行</w:t>
            </w:r>
          </w:p>
          <w:p w14:paraId="7676685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有效性</w:t>
            </w:r>
          </w:p>
        </w:tc>
        <w:tc>
          <w:tcPr>
            <w:tcW w:w="369" w:type="pct"/>
            <w:shd w:val="clear" w:color="000000" w:fill="FFFFFF"/>
            <w:vAlign w:val="center"/>
          </w:tcPr>
          <w:p w14:paraId="075F79B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c>
          <w:tcPr>
            <w:tcW w:w="530" w:type="pct"/>
            <w:shd w:val="clear" w:color="000000" w:fill="FFFFFF"/>
            <w:vAlign w:val="center"/>
          </w:tcPr>
          <w:p w14:paraId="75226FD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有效</w:t>
            </w:r>
          </w:p>
        </w:tc>
        <w:tc>
          <w:tcPr>
            <w:tcW w:w="469" w:type="pct"/>
            <w:shd w:val="clear" w:color="000000" w:fill="FFFFFF"/>
            <w:vAlign w:val="center"/>
          </w:tcPr>
          <w:p w14:paraId="75AA615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有效</w:t>
            </w:r>
          </w:p>
        </w:tc>
        <w:tc>
          <w:tcPr>
            <w:tcW w:w="618" w:type="pct"/>
            <w:shd w:val="clear" w:color="000000" w:fill="FFFFFF"/>
            <w:vAlign w:val="center"/>
          </w:tcPr>
          <w:p w14:paraId="587A169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2AAE8E1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w:t>
            </w:r>
          </w:p>
        </w:tc>
      </w:tr>
      <w:tr w14:paraId="1CB676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restart"/>
            <w:shd w:val="clear" w:color="auto" w:fill="FFFFFF"/>
            <w:vAlign w:val="center"/>
          </w:tcPr>
          <w:p w14:paraId="17A2807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w:t>
            </w:r>
          </w:p>
        </w:tc>
        <w:tc>
          <w:tcPr>
            <w:tcW w:w="457" w:type="pct"/>
            <w:vMerge w:val="restart"/>
            <w:shd w:val="clear" w:color="auto" w:fill="FFFFFF"/>
            <w:vAlign w:val="center"/>
          </w:tcPr>
          <w:p w14:paraId="7E0BA4C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40分</w:t>
            </w:r>
          </w:p>
        </w:tc>
        <w:tc>
          <w:tcPr>
            <w:tcW w:w="698" w:type="pct"/>
            <w:shd w:val="clear" w:color="auto" w:fill="FFFFFF"/>
            <w:vAlign w:val="center"/>
          </w:tcPr>
          <w:p w14:paraId="5E2C248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产出数量</w:t>
            </w:r>
          </w:p>
        </w:tc>
        <w:tc>
          <w:tcPr>
            <w:tcW w:w="868" w:type="pct"/>
            <w:shd w:val="clear" w:color="auto" w:fill="FFFFFF"/>
            <w:vAlign w:val="center"/>
          </w:tcPr>
          <w:p w14:paraId="3118936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实际完成率</w:t>
            </w:r>
          </w:p>
        </w:tc>
        <w:tc>
          <w:tcPr>
            <w:tcW w:w="369" w:type="pct"/>
            <w:shd w:val="clear" w:color="000000" w:fill="FFFFFF"/>
            <w:vAlign w:val="center"/>
          </w:tcPr>
          <w:p w14:paraId="35A6E36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c>
          <w:tcPr>
            <w:tcW w:w="530" w:type="pct"/>
            <w:shd w:val="clear" w:color="000000" w:fill="FFFFFF"/>
            <w:vAlign w:val="center"/>
          </w:tcPr>
          <w:p w14:paraId="31F5BFC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69" w:type="pct"/>
            <w:shd w:val="clear" w:color="000000" w:fill="FFFFFF"/>
            <w:vAlign w:val="center"/>
          </w:tcPr>
          <w:p w14:paraId="3D2D5B5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618" w:type="pct"/>
            <w:shd w:val="clear" w:color="000000" w:fill="FFFFFF"/>
            <w:vAlign w:val="center"/>
          </w:tcPr>
          <w:p w14:paraId="0CEDFF9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7EC56C2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r>
      <w:tr w14:paraId="4B2673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1A0B19BB">
            <w:pPr>
              <w:widowControl/>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05706CB5">
            <w:pPr>
              <w:widowControl/>
              <w:spacing w:line="0" w:lineRule="atLeast"/>
              <w:jc w:val="center"/>
              <w:rPr>
                <w:rFonts w:hint="default" w:ascii="Times New Roman" w:hAnsi="Times New Roman" w:cs="Times New Roman"/>
                <w:kern w:val="0"/>
                <w:sz w:val="22"/>
                <w:szCs w:val="22"/>
              </w:rPr>
            </w:pPr>
          </w:p>
        </w:tc>
        <w:tc>
          <w:tcPr>
            <w:tcW w:w="698" w:type="pct"/>
            <w:shd w:val="clear" w:color="auto" w:fill="FFFFFF"/>
            <w:vAlign w:val="center"/>
          </w:tcPr>
          <w:p w14:paraId="1F8E72B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产出质量</w:t>
            </w:r>
          </w:p>
        </w:tc>
        <w:tc>
          <w:tcPr>
            <w:tcW w:w="868" w:type="pct"/>
            <w:shd w:val="clear" w:color="auto" w:fill="FFFFFF"/>
            <w:vAlign w:val="center"/>
          </w:tcPr>
          <w:p w14:paraId="545BD2E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质量达标率</w:t>
            </w:r>
          </w:p>
        </w:tc>
        <w:tc>
          <w:tcPr>
            <w:tcW w:w="369" w:type="pct"/>
            <w:shd w:val="clear" w:color="000000" w:fill="FFFFFF"/>
            <w:vAlign w:val="center"/>
          </w:tcPr>
          <w:p w14:paraId="0A8507F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c>
          <w:tcPr>
            <w:tcW w:w="530" w:type="pct"/>
            <w:shd w:val="clear" w:color="000000" w:fill="FFFFFF"/>
            <w:vAlign w:val="center"/>
          </w:tcPr>
          <w:p w14:paraId="426963C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69" w:type="pct"/>
            <w:shd w:val="clear" w:color="000000" w:fill="FFFFFF"/>
            <w:vAlign w:val="center"/>
          </w:tcPr>
          <w:p w14:paraId="585463A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618" w:type="pct"/>
            <w:shd w:val="clear" w:color="000000" w:fill="FFFFFF"/>
            <w:vAlign w:val="center"/>
          </w:tcPr>
          <w:p w14:paraId="1CD15F3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4E02ED6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r>
      <w:tr w14:paraId="6F7864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1FDF1FCC">
            <w:pPr>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7C303AC6">
            <w:pPr>
              <w:spacing w:line="0" w:lineRule="atLeast"/>
              <w:jc w:val="center"/>
              <w:rPr>
                <w:rFonts w:hint="default" w:ascii="Times New Roman" w:hAnsi="Times New Roman" w:cs="Times New Roman"/>
                <w:kern w:val="0"/>
                <w:sz w:val="22"/>
                <w:szCs w:val="22"/>
              </w:rPr>
            </w:pPr>
          </w:p>
        </w:tc>
        <w:tc>
          <w:tcPr>
            <w:tcW w:w="698" w:type="pct"/>
            <w:shd w:val="clear" w:color="auto" w:fill="FFFFFF"/>
            <w:vAlign w:val="center"/>
          </w:tcPr>
          <w:p w14:paraId="4946B945">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产出时效</w:t>
            </w:r>
          </w:p>
        </w:tc>
        <w:tc>
          <w:tcPr>
            <w:tcW w:w="868" w:type="pct"/>
            <w:shd w:val="clear" w:color="auto" w:fill="FFFFFF"/>
            <w:vAlign w:val="center"/>
          </w:tcPr>
          <w:p w14:paraId="32F3FBE9">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完成及时性</w:t>
            </w:r>
          </w:p>
        </w:tc>
        <w:tc>
          <w:tcPr>
            <w:tcW w:w="369" w:type="pct"/>
            <w:shd w:val="clear" w:color="000000" w:fill="FFFFFF"/>
            <w:vAlign w:val="center"/>
          </w:tcPr>
          <w:p w14:paraId="6F9DA17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c>
          <w:tcPr>
            <w:tcW w:w="530" w:type="pct"/>
            <w:shd w:val="clear" w:color="000000" w:fill="FFFFFF"/>
            <w:vAlign w:val="center"/>
          </w:tcPr>
          <w:p w14:paraId="111BAF7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及时</w:t>
            </w:r>
          </w:p>
        </w:tc>
        <w:tc>
          <w:tcPr>
            <w:tcW w:w="469" w:type="pct"/>
            <w:shd w:val="clear" w:color="000000" w:fill="FFFFFF"/>
            <w:vAlign w:val="center"/>
          </w:tcPr>
          <w:p w14:paraId="1981661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及时</w:t>
            </w:r>
          </w:p>
        </w:tc>
        <w:tc>
          <w:tcPr>
            <w:tcW w:w="618" w:type="pct"/>
            <w:shd w:val="clear" w:color="000000" w:fill="FFFFFF"/>
            <w:vAlign w:val="center"/>
          </w:tcPr>
          <w:p w14:paraId="7EF406D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19E80F8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r>
      <w:tr w14:paraId="35BB3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5238CB01">
            <w:pPr>
              <w:widowControl/>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364F3372">
            <w:pPr>
              <w:widowControl/>
              <w:spacing w:line="0" w:lineRule="atLeast"/>
              <w:jc w:val="center"/>
              <w:rPr>
                <w:rFonts w:hint="default" w:ascii="Times New Roman" w:hAnsi="Times New Roman" w:cs="Times New Roman"/>
                <w:kern w:val="0"/>
                <w:sz w:val="22"/>
                <w:szCs w:val="22"/>
              </w:rPr>
            </w:pPr>
          </w:p>
        </w:tc>
        <w:tc>
          <w:tcPr>
            <w:tcW w:w="698" w:type="pct"/>
            <w:shd w:val="clear" w:color="auto" w:fill="FFFFFF"/>
            <w:vAlign w:val="center"/>
          </w:tcPr>
          <w:p w14:paraId="447F1F5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产出成本</w:t>
            </w:r>
          </w:p>
        </w:tc>
        <w:tc>
          <w:tcPr>
            <w:tcW w:w="868" w:type="pct"/>
            <w:shd w:val="clear" w:color="auto" w:fill="FFFFFF"/>
            <w:vAlign w:val="center"/>
          </w:tcPr>
          <w:p w14:paraId="5F7FD3C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成本节约率</w:t>
            </w:r>
          </w:p>
        </w:tc>
        <w:tc>
          <w:tcPr>
            <w:tcW w:w="369" w:type="pct"/>
            <w:shd w:val="clear" w:color="000000" w:fill="FFFFFF"/>
            <w:vAlign w:val="center"/>
          </w:tcPr>
          <w:p w14:paraId="51C5179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c>
          <w:tcPr>
            <w:tcW w:w="530" w:type="pct"/>
            <w:shd w:val="clear" w:color="000000" w:fill="FFFFFF"/>
            <w:vAlign w:val="center"/>
          </w:tcPr>
          <w:p w14:paraId="6DDC572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69" w:type="pct"/>
            <w:shd w:val="clear" w:color="000000" w:fill="FFFFFF"/>
            <w:vAlign w:val="center"/>
          </w:tcPr>
          <w:p w14:paraId="591F109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618" w:type="pct"/>
            <w:shd w:val="clear" w:color="000000" w:fill="FFFFFF"/>
            <w:vAlign w:val="center"/>
          </w:tcPr>
          <w:p w14:paraId="33148AB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22D46A8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r>
      <w:tr w14:paraId="2C5BA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restart"/>
            <w:shd w:val="clear" w:color="auto" w:fill="FFFFFF"/>
            <w:vAlign w:val="center"/>
          </w:tcPr>
          <w:p w14:paraId="06C9754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效益　</w:t>
            </w:r>
          </w:p>
        </w:tc>
        <w:tc>
          <w:tcPr>
            <w:tcW w:w="457" w:type="pct"/>
            <w:vMerge w:val="restart"/>
            <w:shd w:val="clear" w:color="auto" w:fill="FFFFFF"/>
            <w:vAlign w:val="center"/>
          </w:tcPr>
          <w:p w14:paraId="6226F999">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20分</w:t>
            </w:r>
          </w:p>
        </w:tc>
        <w:tc>
          <w:tcPr>
            <w:tcW w:w="698" w:type="pct"/>
            <w:vMerge w:val="restart"/>
            <w:shd w:val="clear" w:color="auto" w:fill="FFFFFF"/>
            <w:vAlign w:val="center"/>
          </w:tcPr>
          <w:p w14:paraId="43744D0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项目效益　</w:t>
            </w:r>
          </w:p>
        </w:tc>
        <w:tc>
          <w:tcPr>
            <w:tcW w:w="868" w:type="pct"/>
            <w:shd w:val="clear" w:color="auto" w:fill="FFFFFF"/>
            <w:vAlign w:val="center"/>
          </w:tcPr>
          <w:p w14:paraId="39FEBA89">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实施效益</w:t>
            </w:r>
          </w:p>
          <w:p w14:paraId="7610097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（社会效益、经济效益、可持续效益）</w:t>
            </w:r>
          </w:p>
        </w:tc>
        <w:tc>
          <w:tcPr>
            <w:tcW w:w="369" w:type="pct"/>
            <w:shd w:val="clear" w:color="auto" w:fill="FFFFFF"/>
            <w:vAlign w:val="center"/>
          </w:tcPr>
          <w:p w14:paraId="023620E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c>
          <w:tcPr>
            <w:tcW w:w="530" w:type="pct"/>
            <w:shd w:val="clear" w:color="auto" w:fill="FFFFFF"/>
            <w:vAlign w:val="center"/>
          </w:tcPr>
          <w:p w14:paraId="3D47390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有效</w:t>
            </w:r>
          </w:p>
        </w:tc>
        <w:tc>
          <w:tcPr>
            <w:tcW w:w="469" w:type="pct"/>
            <w:shd w:val="clear" w:color="auto" w:fill="FFFFFF"/>
            <w:vAlign w:val="center"/>
          </w:tcPr>
          <w:p w14:paraId="0BF8261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有效</w:t>
            </w:r>
          </w:p>
        </w:tc>
        <w:tc>
          <w:tcPr>
            <w:tcW w:w="618" w:type="pct"/>
            <w:shd w:val="clear" w:color="auto" w:fill="FFFFFF"/>
            <w:vAlign w:val="center"/>
          </w:tcPr>
          <w:p w14:paraId="5C4110F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auto" w:fill="FFFFFF"/>
            <w:vAlign w:val="center"/>
          </w:tcPr>
          <w:p w14:paraId="234A9F5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r>
      <w:tr w14:paraId="0B9E7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561" w:type="pct"/>
            <w:vMerge w:val="continue"/>
            <w:shd w:val="clear" w:color="auto" w:fill="FFFFFF"/>
            <w:vAlign w:val="center"/>
          </w:tcPr>
          <w:p w14:paraId="246469C7">
            <w:pPr>
              <w:widowControl/>
              <w:spacing w:line="0" w:lineRule="atLeast"/>
              <w:jc w:val="center"/>
              <w:rPr>
                <w:rFonts w:hint="default" w:ascii="Times New Roman" w:hAnsi="Times New Roman" w:cs="Times New Roman"/>
                <w:kern w:val="0"/>
                <w:sz w:val="22"/>
                <w:szCs w:val="22"/>
              </w:rPr>
            </w:pPr>
          </w:p>
        </w:tc>
        <w:tc>
          <w:tcPr>
            <w:tcW w:w="457" w:type="pct"/>
            <w:vMerge w:val="continue"/>
            <w:shd w:val="clear" w:color="auto" w:fill="FFFFFF"/>
            <w:vAlign w:val="center"/>
          </w:tcPr>
          <w:p w14:paraId="7291B7A6">
            <w:pPr>
              <w:widowControl/>
              <w:spacing w:line="0" w:lineRule="atLeast"/>
              <w:jc w:val="center"/>
              <w:rPr>
                <w:rFonts w:hint="default" w:ascii="Times New Roman" w:hAnsi="Times New Roman" w:cs="Times New Roman"/>
                <w:kern w:val="0"/>
                <w:sz w:val="22"/>
                <w:szCs w:val="22"/>
              </w:rPr>
            </w:pPr>
          </w:p>
        </w:tc>
        <w:tc>
          <w:tcPr>
            <w:tcW w:w="698" w:type="pct"/>
            <w:vMerge w:val="continue"/>
            <w:shd w:val="clear" w:color="auto" w:fill="FFFFFF"/>
            <w:vAlign w:val="center"/>
          </w:tcPr>
          <w:p w14:paraId="4B344C49">
            <w:pPr>
              <w:widowControl/>
              <w:spacing w:line="0" w:lineRule="atLeast"/>
              <w:jc w:val="center"/>
              <w:rPr>
                <w:rFonts w:hint="default" w:ascii="Times New Roman" w:hAnsi="Times New Roman" w:cs="Times New Roman"/>
                <w:kern w:val="0"/>
                <w:sz w:val="22"/>
                <w:szCs w:val="22"/>
              </w:rPr>
            </w:pPr>
          </w:p>
        </w:tc>
        <w:tc>
          <w:tcPr>
            <w:tcW w:w="868" w:type="pct"/>
            <w:shd w:val="clear" w:color="auto" w:fill="FFFFFF"/>
            <w:vAlign w:val="center"/>
          </w:tcPr>
          <w:p w14:paraId="43E190A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满意度</w:t>
            </w:r>
          </w:p>
        </w:tc>
        <w:tc>
          <w:tcPr>
            <w:tcW w:w="369" w:type="pct"/>
            <w:shd w:val="clear" w:color="000000" w:fill="FFFFFF"/>
            <w:vAlign w:val="center"/>
          </w:tcPr>
          <w:p w14:paraId="5F302F0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c>
          <w:tcPr>
            <w:tcW w:w="530" w:type="pct"/>
            <w:shd w:val="clear" w:color="000000" w:fill="FFFFFF"/>
            <w:vAlign w:val="center"/>
          </w:tcPr>
          <w:p w14:paraId="73DFA09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≥90%</w:t>
            </w:r>
          </w:p>
        </w:tc>
        <w:tc>
          <w:tcPr>
            <w:tcW w:w="469" w:type="pct"/>
            <w:shd w:val="clear" w:color="000000" w:fill="FFFFFF"/>
            <w:vAlign w:val="center"/>
          </w:tcPr>
          <w:p w14:paraId="62858AA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80.56%</w:t>
            </w:r>
          </w:p>
        </w:tc>
        <w:tc>
          <w:tcPr>
            <w:tcW w:w="618" w:type="pct"/>
            <w:shd w:val="clear" w:color="000000" w:fill="FFFFFF"/>
            <w:vAlign w:val="center"/>
          </w:tcPr>
          <w:p w14:paraId="278C2BD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100%</w:t>
            </w:r>
          </w:p>
        </w:tc>
        <w:tc>
          <w:tcPr>
            <w:tcW w:w="425" w:type="pct"/>
            <w:shd w:val="clear" w:color="000000" w:fill="FFFFFF"/>
            <w:vAlign w:val="center"/>
          </w:tcPr>
          <w:p w14:paraId="5352F0C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10</w:t>
            </w:r>
          </w:p>
        </w:tc>
      </w:tr>
    </w:tbl>
    <w:p w14:paraId="1B1F1370">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56AD11FF">
      <w:pPr>
        <w:pStyle w:val="2"/>
        <w:pageBreakBefore w:val="0"/>
        <w:kinsoku/>
        <w:wordWrap/>
        <w:overflowPunct/>
        <w:topLinePunct w:val="0"/>
        <w:autoSpaceDE/>
        <w:autoSpaceDN/>
        <w:bidi w:val="0"/>
        <w:adjustRightIn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69997039">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1、立项依据充分性</w:t>
      </w:r>
    </w:p>
    <w:p w14:paraId="67C504A9">
      <w:pPr>
        <w:pStyle w:val="21"/>
        <w:pageBreakBefore w:val="0"/>
        <w:kinsoku/>
        <w:wordWrap/>
        <w:overflowPunct/>
        <w:topLinePunct w:val="0"/>
        <w:autoSpaceDE/>
        <w:autoSpaceDN/>
        <w:bidi w:val="0"/>
        <w:adjustRightInd/>
        <w:spacing w:line="560" w:lineRule="exact"/>
        <w:ind w:firstLine="64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新疆维吾尔自治区第四人民医院由原志愿军511医院发展而来，历经新疆七一纺织职工医院、新疆纺织职工医院、新疆纺织医院，2003年更名为新疆维吾尔自治区第一济困医院，纳入自治区卫生健康委管理；2019年9月，经批准医院加挂“新疆维吾尔自治区第四人民医院”牌子；2021年1月，自治区卫生健康委员会批准我院规划建设为三级康复医院。经过 60多年发展变迁，目前医院已成为一所集济困、医疗、康复、教学、保健及社区卫生服务于一体的公益性国家二级甲等综合医院，力争在“十四五”期间，建成以养老为依托，以“康养”为特色，突出中医养生，康复指导全程的“大专科、强综合”的三级专科医院。是自治区、乌鲁木齐市和兵团职工、居民、低保的基本医疗保险、生育保险、工伤保险、商业保险及乌鲁木齐市长期护理保险定点医疗机构。医院为自治区人民医院协作医院，已加入自治区人民医院医疗联合体，同时分别与自治区人民医院急危重症、风湿免疫、神经内、呼吸、消化、眼科、乳腺甲状腺、放射专业与新疆医科大学第一附属医院高血压、房颤、肾病、糖尿病专业，新疆医科大学附属肿瘤医院肿瘤防治专业，自治区儿童医院，乌鲁木齐市第四人民医院等15个专业建立专科联盟，全面开通了与疆内外三甲医院之间的远程会诊、进修学习等技术指导和学术交流通道。</w:t>
      </w:r>
    </w:p>
    <w:p w14:paraId="30565BC2">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sz w:val="30"/>
        </w:rPr>
      </w:pPr>
      <w:r>
        <w:rPr>
          <w:rFonts w:hint="default" w:ascii="Times New Roman" w:hAnsi="Times New Roman" w:eastAsia="仿宋_GB2312" w:cs="Times New Roman"/>
          <w:bCs/>
          <w:sz w:val="32"/>
          <w:szCs w:val="32"/>
        </w:rPr>
        <w:t>我院在</w:t>
      </w:r>
      <w:r>
        <w:rPr>
          <w:rFonts w:hint="default" w:ascii="Times New Roman" w:hAnsi="Times New Roman" w:eastAsia="仿宋_GB2312" w:cs="Times New Roman"/>
          <w:bCs/>
          <w:sz w:val="32"/>
          <w:szCs w:val="32"/>
          <w:lang w:eastAsia="zh-CN"/>
        </w:rPr>
        <w:t>严格遵守</w:t>
      </w:r>
      <w:r>
        <w:rPr>
          <w:rFonts w:hint="default" w:ascii="Times New Roman" w:hAnsi="Times New Roman" w:eastAsia="仿宋_GB2312" w:cs="Times New Roman"/>
          <w:bCs/>
          <w:sz w:val="32"/>
          <w:szCs w:val="32"/>
        </w:rPr>
        <w:t>《预算法</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政府采购法</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自治区政府集中采购目录及标准》等法律法规和政策文件的基础上，科学编制2023年度政府采购项目预算并获得财政批复，严格按照经批复的预算开展预算执行工作，对医院各项业务正常运行和患者诊疗救治起到良好支撑作用。</w:t>
      </w:r>
    </w:p>
    <w:p w14:paraId="1CEADFA6">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2、立项程序规范性</w:t>
      </w:r>
    </w:p>
    <w:p w14:paraId="233EF98B">
      <w:pPr>
        <w:pageBreakBefore w:val="0"/>
        <w:kinsoku/>
        <w:wordWrap/>
        <w:overflowPunct/>
        <w:topLinePunct w:val="0"/>
        <w:autoSpaceDE/>
        <w:autoSpaceDN/>
        <w:bidi w:val="0"/>
        <w:adjustRightInd/>
        <w:spacing w:line="560" w:lineRule="exact"/>
        <w:ind w:firstLine="681" w:firstLineChars="213"/>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该项目属于历史性延续项目，每年均按照财政规定的程序申请设立，经历一体化平台项目库申报-预算编制-编制批复流程，属于规范项目，符合项目规范立项要求。</w:t>
      </w:r>
    </w:p>
    <w:p w14:paraId="17867E9F">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3、绩效目标合理性</w:t>
      </w:r>
    </w:p>
    <w:p w14:paraId="4F831625">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2023年医院政府采购项目设立了项目绩效目标，与政府采购实际工作具有相关性，项目的预期产出效益和效果也均能符合正常的业绩水平，并且与预算确定的项目资金量相匹配。</w:t>
      </w:r>
    </w:p>
    <w:p w14:paraId="60568357">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4、绩效指标明确性</w:t>
      </w:r>
    </w:p>
    <w:p w14:paraId="3B54726C">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bCs/>
          <w:sz w:val="32"/>
          <w:szCs w:val="32"/>
        </w:rPr>
      </w:pPr>
      <w:bookmarkStart w:id="6" w:name="_Hlk68699917"/>
      <w:r>
        <w:rPr>
          <w:rFonts w:hint="default" w:ascii="Times New Roman" w:hAnsi="Times New Roman" w:eastAsia="仿宋_GB2312" w:cs="Times New Roman"/>
          <w:bCs/>
          <w:sz w:val="32"/>
          <w:szCs w:val="32"/>
        </w:rPr>
        <w:t>2023年医院政府采购项目将项目绩效目标细化分解为具体的绩效指标，一级指标共4条，二级指标共7条，三级指标共10条，其中量化指标条数共10条，所有绩效指标均通过清晰、可衡量的指标值予以体现，并且做到了与项目目标任务数、计划数相对应。</w:t>
      </w:r>
      <w:bookmarkEnd w:id="6"/>
    </w:p>
    <w:p w14:paraId="32EA28A5">
      <w:pPr>
        <w:pageBreakBefore w:val="0"/>
        <w:kinsoku/>
        <w:wordWrap/>
        <w:overflowPunct/>
        <w:topLinePunct w:val="0"/>
        <w:autoSpaceDE/>
        <w:autoSpaceDN/>
        <w:bidi w:val="0"/>
        <w:adjustRightInd/>
        <w:spacing w:line="560" w:lineRule="exact"/>
        <w:ind w:firstLine="643" w:firstLineChars="200"/>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5、预算编制科学性</w:t>
      </w:r>
    </w:p>
    <w:p w14:paraId="7BDA5D9A">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医院政府采购项目经过医院预算委员会讨论并同意，预算内容与支撑医院运行的政府采购内容匹配，预算额度测算依据充分，采购项目均经过装备委员会论证，均按照医院实际支出标准编制，预算确定的资金量与工作任务相匹配</w:t>
      </w:r>
    </w:p>
    <w:p w14:paraId="1D856849">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6、资金分配合理性</w:t>
      </w:r>
    </w:p>
    <w:p w14:paraId="3467927E">
      <w:pPr>
        <w:pageBreakBefore w:val="0"/>
        <w:kinsoku/>
        <w:wordWrap/>
        <w:overflowPunct/>
        <w:topLinePunct w:val="0"/>
        <w:autoSpaceDE/>
        <w:autoSpaceDN/>
        <w:bidi w:val="0"/>
        <w:adjustRightInd/>
        <w:spacing w:line="560" w:lineRule="exact"/>
        <w:ind w:firstLine="681" w:firstLineChars="213"/>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2023年医院政府采购项目预算资金分配依据充分，为医院发展所需采购项目实际支出需要的资金，资金分配额度合理，充分考虑了医院实际收支状况，与项目单位实际相适应。</w:t>
      </w:r>
    </w:p>
    <w:p w14:paraId="42E4CBF7">
      <w:pPr>
        <w:pStyle w:val="2"/>
        <w:pageBreakBefore w:val="0"/>
        <w:numPr>
          <w:ilvl w:val="0"/>
          <w:numId w:val="5"/>
        </w:numPr>
        <w:kinsoku/>
        <w:wordWrap/>
        <w:overflowPunct/>
        <w:topLinePunct w:val="0"/>
        <w:autoSpaceDE/>
        <w:autoSpaceDN/>
        <w:bidi w:val="0"/>
        <w:adjustRightInd/>
        <w:spacing w:before="0" w:after="0" w:line="560" w:lineRule="exact"/>
        <w:ind w:firstLine="643" w:firstLineChars="200"/>
        <w:jc w:val="both"/>
        <w:textAlignment w:val="auto"/>
        <w:rPr>
          <w:rFonts w:hint="default" w:ascii="Times New Roman" w:hAnsi="Times New Roman" w:eastAsia="仿宋_GB2312" w:cs="Times New Roman"/>
          <w:bCs w:val="0"/>
          <w:kern w:val="2"/>
        </w:rPr>
      </w:pPr>
      <w:r>
        <w:rPr>
          <w:rFonts w:hint="default" w:ascii="Times New Roman" w:hAnsi="Times New Roman" w:eastAsia="仿宋_GB2312" w:cs="Times New Roman"/>
          <w:bCs w:val="0"/>
          <w:kern w:val="2"/>
        </w:rPr>
        <w:t>项目过程情况</w:t>
      </w:r>
    </w:p>
    <w:p w14:paraId="0CEEC2E5">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1、资金到位率</w:t>
      </w:r>
    </w:p>
    <w:p w14:paraId="35428DAB">
      <w:pPr>
        <w:pageBreakBefore w:val="0"/>
        <w:kinsoku/>
        <w:wordWrap/>
        <w:overflowPunct/>
        <w:topLinePunct w:val="0"/>
        <w:autoSpaceDE/>
        <w:autoSpaceDN/>
        <w:bidi w:val="0"/>
        <w:adjustRightInd/>
        <w:spacing w:line="560" w:lineRule="exact"/>
        <w:ind w:firstLine="681" w:firstLineChars="213"/>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实际到位资金6503.21万元，预算资金6503.21万元，资金到位率100%；</w:t>
      </w:r>
    </w:p>
    <w:p w14:paraId="3783B1D2">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2、预算执行率</w:t>
      </w:r>
    </w:p>
    <w:p w14:paraId="03D42126">
      <w:pPr>
        <w:pageBreakBefore w:val="0"/>
        <w:kinsoku/>
        <w:wordWrap/>
        <w:overflowPunct/>
        <w:topLinePunct w:val="0"/>
        <w:autoSpaceDE/>
        <w:autoSpaceDN/>
        <w:bidi w:val="0"/>
        <w:adjustRightInd/>
        <w:spacing w:line="560" w:lineRule="exact"/>
        <w:ind w:firstLine="681" w:firstLineChars="213"/>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年初预算数6,503.21万元，全年预算数6,503.21万元，全年执行数6,459.26万元，预算执行率为99.32%；</w:t>
      </w:r>
    </w:p>
    <w:p w14:paraId="754219DA">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3、资金使用合规性</w:t>
      </w:r>
    </w:p>
    <w:p w14:paraId="40031D38">
      <w:pPr>
        <w:pageBreakBefore w:val="0"/>
        <w:kinsoku/>
        <w:wordWrap/>
        <w:overflowPunct/>
        <w:topLinePunct w:val="0"/>
        <w:autoSpaceDE/>
        <w:autoSpaceDN/>
        <w:bidi w:val="0"/>
        <w:adjustRightInd/>
        <w:spacing w:line="560" w:lineRule="exact"/>
        <w:ind w:firstLine="681" w:firstLineChars="213"/>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医院政府采购项目资金符合国家财经法规和财务管理制度以及有关专项资金管理办法的规定；资金的拨付均有完整的审批程序和手续，所有支出均需要有预算申请单和支出审批单，采购项目严格按照预算批复</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招标申请</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参数论证</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政采云采购意向公开-政采云做采购计划</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委托集中采购机构或社会代理机构招标</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开标</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公示</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确定中标商</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签订合同</w:t>
      </w:r>
      <w:r>
        <w:rPr>
          <w:rFonts w:hint="default" w:ascii="Times New Roman" w:hAnsi="Times New Roman" w:eastAsia="仿宋_GB2312" w:cs="Times New Roman"/>
          <w:bCs/>
          <w:sz w:val="32"/>
          <w:szCs w:val="32"/>
          <w:lang w:eastAsia="zh-CN"/>
        </w:rPr>
        <w:t>－</w:t>
      </w:r>
      <w:r>
        <w:rPr>
          <w:rFonts w:hint="default" w:ascii="Times New Roman" w:hAnsi="Times New Roman" w:eastAsia="仿宋_GB2312" w:cs="Times New Roman"/>
          <w:bCs/>
          <w:sz w:val="32"/>
          <w:szCs w:val="32"/>
        </w:rPr>
        <w:t>按合同执行的院内政府采购内控制度流程进行，并按照内控制度，严格落实资金支付分层审批要求，做到了合规性与便捷性结合；资金支出均符合项目预算批复与合同规定的用途；不存在截留、挤占、挪用、虚列支出等情况。</w:t>
      </w:r>
    </w:p>
    <w:p w14:paraId="73FCCDE2">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4、管理制度健全性</w:t>
      </w:r>
    </w:p>
    <w:p w14:paraId="7ADA98D6">
      <w:pPr>
        <w:pageBreakBefore w:val="0"/>
        <w:kinsoku/>
        <w:wordWrap/>
        <w:overflowPunct/>
        <w:topLinePunct w:val="0"/>
        <w:autoSpaceDE/>
        <w:autoSpaceDN/>
        <w:bidi w:val="0"/>
        <w:adjustRightInd/>
        <w:spacing w:line="560" w:lineRule="exact"/>
        <w:ind w:firstLine="681" w:firstLineChars="213"/>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我单位已制定符合医院实际情况的财务和业务管理制度并成文成册；专门制定有医院招标采购管理办法，财务和业务管理制度合法、合规、完整。</w:t>
      </w:r>
    </w:p>
    <w:p w14:paraId="2A2A6430">
      <w:pPr>
        <w:pageBreakBefore w:val="0"/>
        <w:kinsoku/>
        <w:wordWrap/>
        <w:overflowPunct/>
        <w:topLinePunct w:val="0"/>
        <w:autoSpaceDE/>
        <w:autoSpaceDN/>
        <w:bidi w:val="0"/>
        <w:adjustRightInd/>
        <w:spacing w:line="560" w:lineRule="exact"/>
        <w:ind w:firstLine="684" w:firstLineChars="213"/>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5、制度执行有效性</w:t>
      </w:r>
    </w:p>
    <w:p w14:paraId="0AA3787D">
      <w:pPr>
        <w:pageBreakBefore w:val="0"/>
        <w:kinsoku/>
        <w:wordWrap/>
        <w:overflowPunct/>
        <w:topLinePunct w:val="0"/>
        <w:autoSpaceDE/>
        <w:autoSpaceDN/>
        <w:bidi w:val="0"/>
        <w:adjustRightInd/>
        <w:spacing w:line="560" w:lineRule="exact"/>
        <w:ind w:firstLine="681" w:firstLineChars="213"/>
        <w:textAlignment w:val="auto"/>
        <w:rPr>
          <w:rFonts w:hint="default" w:ascii="Times New Roman" w:hAnsi="Times New Roman" w:eastAsia="仿宋_GB2312" w:cs="Times New Roman"/>
          <w:bCs/>
          <w:sz w:val="32"/>
          <w:szCs w:val="32"/>
        </w:rPr>
      </w:pPr>
      <w:r>
        <w:rPr>
          <w:rFonts w:hint="default" w:ascii="Times New Roman" w:hAnsi="Times New Roman" w:eastAsia="仿宋_GB2312" w:cs="Times New Roman"/>
          <w:bCs/>
          <w:sz w:val="32"/>
          <w:szCs w:val="32"/>
        </w:rPr>
        <w:t>2023年医院政府采购项目均遵守相关法律法规和相关管理规定，年中项目无调整预算行为，资金支出手续均完备；医院政府采购项目实施的人员条件、场地设备、信息支撑等均到位，医院专门建有招标采购办公室用于招标采购事宜。</w:t>
      </w:r>
    </w:p>
    <w:p w14:paraId="7E979245">
      <w:pPr>
        <w:pStyle w:val="10"/>
        <w:pageBreakBefore w:val="0"/>
        <w:numPr>
          <w:ilvl w:val="0"/>
          <w:numId w:val="5"/>
        </w:numPr>
        <w:kinsoku/>
        <w:wordWrap/>
        <w:overflowPunct/>
        <w:topLinePunct w:val="0"/>
        <w:autoSpaceDE/>
        <w:autoSpaceDN/>
        <w:bidi w:val="0"/>
        <w:adjustRightInd/>
        <w:spacing w:line="560" w:lineRule="exact"/>
        <w:ind w:firstLine="641"/>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p>
    <w:p w14:paraId="2AE2DBC9">
      <w:pPr>
        <w:pageBreakBefore w:val="0"/>
        <w:kinsoku/>
        <w:wordWrap/>
        <w:overflowPunct/>
        <w:topLinePunct w:val="0"/>
        <w:autoSpaceDE/>
        <w:autoSpaceDN/>
        <w:bidi w:val="0"/>
        <w:adjustRightInd/>
        <w:snapToGrid w:val="0"/>
        <w:spacing w:line="560" w:lineRule="exact"/>
        <w:ind w:firstLine="627" w:firstLineChars="200"/>
        <w:textAlignment w:val="auto"/>
        <w:rPr>
          <w:rStyle w:val="14"/>
          <w:rFonts w:hint="default" w:ascii="Times New Roman" w:hAnsi="Times New Roman" w:eastAsia="仿宋_GB2312" w:cs="Times New Roman"/>
          <w:bCs w:val="0"/>
          <w:spacing w:val="-4"/>
          <w:sz w:val="32"/>
          <w:szCs w:val="32"/>
        </w:rPr>
      </w:pPr>
      <w:r>
        <w:rPr>
          <w:rStyle w:val="14"/>
          <w:rFonts w:hint="default" w:ascii="Times New Roman" w:hAnsi="Times New Roman" w:eastAsia="仿宋_GB2312" w:cs="Times New Roman"/>
          <w:bCs w:val="0"/>
          <w:spacing w:val="-4"/>
          <w:sz w:val="32"/>
          <w:szCs w:val="32"/>
        </w:rPr>
        <w:t>数量指标方面：</w:t>
      </w:r>
    </w:p>
    <w:p w14:paraId="7A97FAF7">
      <w:pPr>
        <w:pageBreakBefore w:val="0"/>
        <w:kinsoku/>
        <w:wordWrap/>
        <w:overflowPunct/>
        <w:topLinePunct w:val="0"/>
        <w:autoSpaceDE/>
        <w:autoSpaceDN/>
        <w:bidi w:val="0"/>
        <w:adjustRightInd/>
        <w:snapToGrid w:val="0"/>
        <w:spacing w:line="560" w:lineRule="exact"/>
        <w:ind w:firstLine="624" w:firstLineChars="200"/>
        <w:textAlignment w:val="auto"/>
        <w:rPr>
          <w:rStyle w:val="14"/>
          <w:rFonts w:hint="default" w:ascii="Times New Roman" w:hAnsi="Times New Roman" w:cs="Times New Roman"/>
          <w:b w:val="0"/>
          <w:spacing w:val="-4"/>
          <w:sz w:val="32"/>
          <w:szCs w:val="32"/>
        </w:rPr>
      </w:pPr>
      <w:r>
        <w:rPr>
          <w:rStyle w:val="14"/>
          <w:rFonts w:hint="default" w:ascii="Times New Roman" w:hAnsi="Times New Roman" w:eastAsia="仿宋_GB2312" w:cs="Times New Roman"/>
          <w:b w:val="0"/>
          <w:spacing w:val="-4"/>
          <w:sz w:val="32"/>
          <w:szCs w:val="32"/>
        </w:rPr>
        <w:t>指标1：设备采购数量</w:t>
      </w:r>
      <w:r>
        <w:rPr>
          <w:rStyle w:val="14"/>
          <w:rFonts w:hint="default" w:ascii="Times New Roman" w:hAnsi="Times New Roman" w:cs="Times New Roman"/>
          <w:b w:val="0"/>
          <w:spacing w:val="-4"/>
          <w:sz w:val="32"/>
          <w:szCs w:val="32"/>
        </w:rPr>
        <w:t>(台)</w:t>
      </w:r>
      <w:r>
        <w:rPr>
          <w:rStyle w:val="14"/>
          <w:rFonts w:hint="default" w:ascii="Times New Roman" w:hAnsi="Times New Roman" w:eastAsia="仿宋_GB2312" w:cs="Times New Roman"/>
          <w:b w:val="0"/>
          <w:spacing w:val="-4"/>
          <w:sz w:val="32"/>
          <w:szCs w:val="32"/>
        </w:rPr>
        <w:t>，指标值</w:t>
      </w:r>
      <w:r>
        <w:rPr>
          <w:rStyle w:val="14"/>
          <w:rFonts w:hint="default" w:ascii="Times New Roman" w:hAnsi="Times New Roman" w:eastAsia="仿宋_GB2312" w:cs="Times New Roman"/>
          <w:b w:val="0"/>
          <w:spacing w:val="-4"/>
          <w:sz w:val="32"/>
          <w:szCs w:val="32"/>
          <w:lang w:eastAsia="zh-CN"/>
        </w:rPr>
        <w:t>：</w:t>
      </w:r>
      <w:r>
        <w:rPr>
          <w:rStyle w:val="14"/>
          <w:rFonts w:hint="default" w:ascii="Times New Roman" w:hAnsi="Times New Roman" w:eastAsia="仿宋_GB2312" w:cs="Times New Roman"/>
          <w:b w:val="0"/>
          <w:spacing w:val="-4"/>
          <w:sz w:val="32"/>
          <w:szCs w:val="32"/>
        </w:rPr>
        <w:t>=30台，实际完成值：39台，指标完成率130%，偏差原因：2023年我院购入打印机设备等通过线上政府采购方式，故政府采购设备采购数量增加，今后将进一步提升预算编制科学性与准确性</w:t>
      </w:r>
      <w:r>
        <w:rPr>
          <w:rStyle w:val="14"/>
          <w:rFonts w:hint="default" w:ascii="Times New Roman" w:hAnsi="Times New Roman" w:cs="Times New Roman"/>
          <w:b w:val="0"/>
          <w:spacing w:val="-4"/>
          <w:sz w:val="32"/>
          <w:szCs w:val="32"/>
        </w:rPr>
        <w:t>；</w:t>
      </w:r>
    </w:p>
    <w:p w14:paraId="5C32081B">
      <w:pPr>
        <w:pageBreakBefore w:val="0"/>
        <w:kinsoku/>
        <w:wordWrap/>
        <w:overflowPunct/>
        <w:topLinePunct w:val="0"/>
        <w:autoSpaceDE/>
        <w:autoSpaceDN/>
        <w:bidi w:val="0"/>
        <w:adjustRightInd/>
        <w:snapToGrid w:val="0"/>
        <w:spacing w:line="560" w:lineRule="exact"/>
        <w:ind w:firstLine="643" w:firstLineChars="200"/>
        <w:textAlignment w:val="auto"/>
        <w:rPr>
          <w:rStyle w:val="16"/>
          <w:rFonts w:hint="default" w:ascii="Times New Roman" w:hAnsi="Times New Roman" w:cs="Times New Roman"/>
          <w:b/>
          <w:bCs/>
          <w:color w:val="auto"/>
        </w:rPr>
      </w:pPr>
      <w:r>
        <w:rPr>
          <w:rStyle w:val="16"/>
          <w:rFonts w:hint="default" w:ascii="Times New Roman" w:hAnsi="Times New Roman" w:cs="Times New Roman"/>
          <w:b/>
          <w:bCs/>
          <w:color w:val="auto"/>
        </w:rPr>
        <w:t>质量指标方面：</w:t>
      </w:r>
    </w:p>
    <w:p w14:paraId="57EB4B2B">
      <w:pPr>
        <w:pageBreakBefore w:val="0"/>
        <w:kinsoku/>
        <w:wordWrap/>
        <w:overflowPunct/>
        <w:topLinePunct w:val="0"/>
        <w:autoSpaceDE/>
        <w:autoSpaceDN/>
        <w:bidi w:val="0"/>
        <w:adjustRightInd/>
        <w:snapToGrid w:val="0"/>
        <w:spacing w:line="560" w:lineRule="exact"/>
        <w:ind w:firstLine="624" w:firstLineChars="200"/>
        <w:textAlignment w:val="auto"/>
        <w:rPr>
          <w:rStyle w:val="14"/>
          <w:rFonts w:hint="default" w:ascii="Times New Roman" w:hAnsi="Times New Roman" w:eastAsia="仿宋_GB2312" w:cs="Times New Roman"/>
          <w:b w:val="0"/>
          <w:spacing w:val="-4"/>
          <w:sz w:val="32"/>
          <w:szCs w:val="32"/>
        </w:rPr>
      </w:pPr>
      <w:r>
        <w:rPr>
          <w:rStyle w:val="14"/>
          <w:rFonts w:hint="default" w:ascii="Times New Roman" w:hAnsi="Times New Roman" w:eastAsia="仿宋_GB2312" w:cs="Times New Roman"/>
          <w:b w:val="0"/>
          <w:spacing w:val="-4"/>
          <w:sz w:val="32"/>
          <w:szCs w:val="32"/>
        </w:rPr>
        <w:t>指标1：固定资产增值保值率，指标值</w:t>
      </w:r>
      <w:r>
        <w:rPr>
          <w:rStyle w:val="14"/>
          <w:rFonts w:hint="default" w:ascii="Times New Roman" w:hAnsi="Times New Roman" w:eastAsia="仿宋_GB2312" w:cs="Times New Roman"/>
          <w:b w:val="0"/>
          <w:spacing w:val="-4"/>
          <w:sz w:val="32"/>
          <w:szCs w:val="32"/>
          <w:lang w:eastAsia="zh-CN"/>
        </w:rPr>
        <w:t>：</w:t>
      </w:r>
      <w:r>
        <w:rPr>
          <w:rStyle w:val="14"/>
          <w:rFonts w:hint="default" w:ascii="Times New Roman" w:hAnsi="Times New Roman" w:eastAsia="仿宋_GB2312" w:cs="Times New Roman"/>
          <w:b w:val="0"/>
          <w:spacing w:val="-4"/>
          <w:sz w:val="32"/>
          <w:szCs w:val="32"/>
        </w:rPr>
        <w:t>=1% ，实际完成值：13.73%，指标完成率100%；</w:t>
      </w:r>
    </w:p>
    <w:p w14:paraId="21DE2B03">
      <w:pPr>
        <w:pageBreakBefore w:val="0"/>
        <w:kinsoku/>
        <w:wordWrap/>
        <w:overflowPunct/>
        <w:topLinePunct w:val="0"/>
        <w:autoSpaceDE/>
        <w:autoSpaceDN/>
        <w:bidi w:val="0"/>
        <w:adjustRightInd/>
        <w:snapToGrid w:val="0"/>
        <w:spacing w:line="560" w:lineRule="exact"/>
        <w:ind w:firstLine="624" w:firstLineChars="200"/>
        <w:textAlignment w:val="auto"/>
        <w:rPr>
          <w:rStyle w:val="14"/>
          <w:rFonts w:hint="default" w:ascii="Times New Roman" w:hAnsi="Times New Roman" w:eastAsia="仿宋_GB2312" w:cs="Times New Roman"/>
          <w:b w:val="0"/>
          <w:spacing w:val="-4"/>
          <w:sz w:val="32"/>
          <w:szCs w:val="32"/>
        </w:rPr>
      </w:pPr>
      <w:r>
        <w:rPr>
          <w:rStyle w:val="14"/>
          <w:rFonts w:hint="default" w:ascii="Times New Roman" w:hAnsi="Times New Roman" w:eastAsia="仿宋_GB2312" w:cs="Times New Roman"/>
          <w:b w:val="0"/>
          <w:spacing w:val="-4"/>
          <w:sz w:val="32"/>
          <w:szCs w:val="32"/>
        </w:rPr>
        <w:t>指标2：设备验收合格率，指标值</w:t>
      </w:r>
      <w:r>
        <w:rPr>
          <w:rStyle w:val="14"/>
          <w:rFonts w:hint="default" w:ascii="Times New Roman" w:hAnsi="Times New Roman" w:eastAsia="仿宋_GB2312" w:cs="Times New Roman"/>
          <w:b w:val="0"/>
          <w:spacing w:val="-4"/>
          <w:sz w:val="32"/>
          <w:szCs w:val="32"/>
          <w:lang w:eastAsia="zh-CN"/>
        </w:rPr>
        <w:t>：</w:t>
      </w:r>
      <w:r>
        <w:rPr>
          <w:rStyle w:val="14"/>
          <w:rFonts w:hint="default" w:ascii="Times New Roman" w:hAnsi="Times New Roman" w:eastAsia="仿宋_GB2312" w:cs="Times New Roman"/>
          <w:b w:val="0"/>
          <w:spacing w:val="-4"/>
          <w:sz w:val="32"/>
          <w:szCs w:val="32"/>
        </w:rPr>
        <w:t>=95% ，实际完成值：100% ，指标完成率100%；</w:t>
      </w:r>
    </w:p>
    <w:p w14:paraId="6748BC80">
      <w:pPr>
        <w:pStyle w:val="3"/>
        <w:pageBreakBefore w:val="0"/>
        <w:kinsoku/>
        <w:wordWrap/>
        <w:overflowPunct/>
        <w:topLinePunct w:val="0"/>
        <w:autoSpaceDE/>
        <w:autoSpaceDN/>
        <w:bidi w:val="0"/>
        <w:adjustRightInd/>
        <w:spacing w:line="560" w:lineRule="exact"/>
        <w:ind w:firstLine="624" w:firstLineChars="200"/>
        <w:textAlignment w:val="auto"/>
        <w:rPr>
          <w:rStyle w:val="14"/>
          <w:rFonts w:hint="default" w:ascii="Times New Roman" w:hAnsi="Times New Roman" w:eastAsia="仿宋_GB2312" w:cs="Times New Roman"/>
          <w:b w:val="0"/>
          <w:bCs/>
          <w:spacing w:val="-4"/>
          <w:kern w:val="2"/>
          <w:sz w:val="32"/>
          <w:szCs w:val="32"/>
        </w:rPr>
      </w:pPr>
      <w:r>
        <w:rPr>
          <w:rStyle w:val="14"/>
          <w:rFonts w:hint="default" w:ascii="Times New Roman" w:hAnsi="Times New Roman" w:eastAsia="仿宋_GB2312" w:cs="Times New Roman"/>
          <w:b w:val="0"/>
          <w:bCs/>
          <w:spacing w:val="-4"/>
          <w:kern w:val="2"/>
          <w:sz w:val="32"/>
          <w:szCs w:val="32"/>
        </w:rPr>
        <w:t>指标3：政府采购率，指标值</w:t>
      </w:r>
      <w:r>
        <w:rPr>
          <w:rStyle w:val="14"/>
          <w:rFonts w:hint="default" w:ascii="Times New Roman" w:hAnsi="Times New Roman" w:eastAsia="仿宋_GB2312" w:cs="Times New Roman"/>
          <w:b w:val="0"/>
          <w:bCs/>
          <w:spacing w:val="-4"/>
          <w:kern w:val="2"/>
          <w:sz w:val="32"/>
          <w:szCs w:val="32"/>
          <w:lang w:eastAsia="zh-CN"/>
        </w:rPr>
        <w:t>：</w:t>
      </w:r>
      <w:r>
        <w:rPr>
          <w:rStyle w:val="14"/>
          <w:rFonts w:hint="default" w:ascii="Times New Roman" w:hAnsi="Times New Roman" w:eastAsia="仿宋_GB2312" w:cs="Times New Roman"/>
          <w:b w:val="0"/>
          <w:bCs/>
          <w:spacing w:val="-4"/>
          <w:kern w:val="2"/>
          <w:sz w:val="32"/>
          <w:szCs w:val="32"/>
        </w:rPr>
        <w:t>=90% ，实际完成值：100% ，指标完成率100%；</w:t>
      </w:r>
    </w:p>
    <w:p w14:paraId="02AC6807">
      <w:pPr>
        <w:pStyle w:val="2"/>
        <w:pageBreakBefore w:val="0"/>
        <w:kinsoku/>
        <w:wordWrap/>
        <w:overflowPunct/>
        <w:topLinePunct w:val="0"/>
        <w:autoSpaceDE/>
        <w:autoSpaceDN/>
        <w:bidi w:val="0"/>
        <w:adjustRightInd/>
        <w:spacing w:before="0" w:after="0" w:line="560" w:lineRule="exact"/>
        <w:ind w:firstLine="643" w:firstLineChars="200"/>
        <w:jc w:val="both"/>
        <w:textAlignment w:val="auto"/>
        <w:rPr>
          <w:rStyle w:val="16"/>
          <w:rFonts w:hint="default" w:ascii="Times New Roman" w:hAnsi="Times New Roman" w:cs="Times New Roman"/>
          <w:color w:val="auto"/>
        </w:rPr>
      </w:pPr>
      <w:r>
        <w:rPr>
          <w:rStyle w:val="16"/>
          <w:rFonts w:hint="default" w:ascii="Times New Roman" w:hAnsi="Times New Roman" w:cs="Times New Roman"/>
          <w:color w:val="auto"/>
        </w:rPr>
        <w:t>成本指标方面：</w:t>
      </w:r>
    </w:p>
    <w:p w14:paraId="0A3AEA61">
      <w:pPr>
        <w:pageBreakBefore w:val="0"/>
        <w:kinsoku/>
        <w:wordWrap/>
        <w:overflowPunct/>
        <w:topLinePunct w:val="0"/>
        <w:autoSpaceDE/>
        <w:autoSpaceDN/>
        <w:bidi w:val="0"/>
        <w:adjustRightInd/>
        <w:snapToGrid w:val="0"/>
        <w:spacing w:line="560" w:lineRule="exact"/>
        <w:ind w:firstLine="624" w:firstLineChars="200"/>
        <w:textAlignment w:val="auto"/>
        <w:rPr>
          <w:rStyle w:val="14"/>
          <w:rFonts w:hint="default" w:ascii="Times New Roman" w:hAnsi="Times New Roman" w:eastAsia="仿宋_GB2312" w:cs="Times New Roman"/>
          <w:b w:val="0"/>
          <w:spacing w:val="-4"/>
          <w:sz w:val="32"/>
          <w:szCs w:val="32"/>
        </w:rPr>
      </w:pPr>
      <w:r>
        <w:rPr>
          <w:rStyle w:val="14"/>
          <w:rFonts w:hint="default" w:ascii="Times New Roman" w:hAnsi="Times New Roman" w:eastAsia="仿宋_GB2312" w:cs="Times New Roman"/>
          <w:b w:val="0"/>
          <w:spacing w:val="-4"/>
          <w:sz w:val="32"/>
          <w:szCs w:val="32"/>
        </w:rPr>
        <w:t>指标1：百元固定资产医疗收入（不含药品收入），指标值</w:t>
      </w:r>
      <w:r>
        <w:rPr>
          <w:rStyle w:val="14"/>
          <w:rFonts w:hint="default" w:ascii="Times New Roman" w:hAnsi="Times New Roman" w:eastAsia="仿宋_GB2312" w:cs="Times New Roman"/>
          <w:b w:val="0"/>
          <w:spacing w:val="-4"/>
          <w:sz w:val="32"/>
          <w:szCs w:val="32"/>
          <w:lang w:eastAsia="zh-CN"/>
        </w:rPr>
        <w:t>：</w:t>
      </w:r>
      <w:r>
        <w:rPr>
          <w:rStyle w:val="14"/>
          <w:rFonts w:hint="default" w:ascii="Times New Roman" w:hAnsi="Times New Roman" w:eastAsia="仿宋_GB2312" w:cs="Times New Roman"/>
          <w:b w:val="0"/>
          <w:spacing w:val="-4"/>
          <w:sz w:val="32"/>
          <w:szCs w:val="32"/>
        </w:rPr>
        <w:t>=25元，实际完成值：40.32元，指标完成率100%；</w:t>
      </w:r>
    </w:p>
    <w:p w14:paraId="2DDEF753">
      <w:pPr>
        <w:pStyle w:val="3"/>
        <w:pageBreakBefore w:val="0"/>
        <w:kinsoku/>
        <w:wordWrap/>
        <w:overflowPunct/>
        <w:topLinePunct w:val="0"/>
        <w:autoSpaceDE/>
        <w:autoSpaceDN/>
        <w:bidi w:val="0"/>
        <w:adjustRightInd/>
        <w:spacing w:line="560" w:lineRule="exact"/>
        <w:ind w:firstLine="624" w:firstLineChars="200"/>
        <w:textAlignment w:val="auto"/>
        <w:rPr>
          <w:rStyle w:val="14"/>
          <w:rFonts w:hint="default" w:ascii="Times New Roman" w:hAnsi="Times New Roman" w:eastAsia="仿宋_GB2312" w:cs="Times New Roman"/>
          <w:b w:val="0"/>
          <w:bCs/>
          <w:spacing w:val="-4"/>
          <w:kern w:val="2"/>
          <w:sz w:val="32"/>
          <w:szCs w:val="32"/>
        </w:rPr>
      </w:pPr>
      <w:r>
        <w:rPr>
          <w:rStyle w:val="14"/>
          <w:rFonts w:hint="default" w:ascii="Times New Roman" w:hAnsi="Times New Roman" w:eastAsia="仿宋_GB2312" w:cs="Times New Roman"/>
          <w:b w:val="0"/>
          <w:bCs/>
          <w:spacing w:val="-4"/>
          <w:kern w:val="2"/>
          <w:sz w:val="32"/>
          <w:szCs w:val="32"/>
        </w:rPr>
        <w:t>指标2：每床位占用固定资产，指标值：</w:t>
      </w:r>
      <w:r>
        <w:rPr>
          <w:rStyle w:val="14"/>
          <w:rFonts w:hint="default" w:ascii="Times New Roman" w:hAnsi="Times New Roman" w:eastAsia="仿宋_GB2312" w:cs="Times New Roman"/>
          <w:b w:val="0"/>
          <w:bCs/>
          <w:spacing w:val="-4"/>
          <w:kern w:val="2"/>
          <w:sz w:val="32"/>
          <w:szCs w:val="32"/>
          <w:lang w:eastAsia="zh-CN"/>
        </w:rPr>
        <w:t>〈</w:t>
      </w:r>
      <w:r>
        <w:rPr>
          <w:rStyle w:val="14"/>
          <w:rFonts w:hint="default" w:ascii="Times New Roman" w:hAnsi="Times New Roman" w:eastAsia="仿宋_GB2312" w:cs="Times New Roman"/>
          <w:b w:val="0"/>
          <w:bCs/>
          <w:spacing w:val="-4"/>
          <w:kern w:val="2"/>
          <w:sz w:val="32"/>
          <w:szCs w:val="32"/>
        </w:rPr>
        <w:t>=36万元，实际完成值：38.38万元，指标完成率106.61%，偏差原因：2023年在全院的共同努力下，医院规模扩大使得固定资产价值随之增加；</w:t>
      </w:r>
    </w:p>
    <w:p w14:paraId="2EE5B04E">
      <w:pPr>
        <w:pageBreakBefore w:val="0"/>
        <w:kinsoku/>
        <w:wordWrap/>
        <w:overflowPunct/>
        <w:topLinePunct w:val="0"/>
        <w:autoSpaceDE/>
        <w:autoSpaceDN/>
        <w:bidi w:val="0"/>
        <w:adjustRightInd/>
        <w:spacing w:line="560" w:lineRule="exact"/>
        <w:ind w:firstLine="643" w:firstLineChars="200"/>
        <w:textAlignment w:val="auto"/>
        <w:rPr>
          <w:rStyle w:val="16"/>
          <w:rFonts w:hint="default" w:ascii="Times New Roman" w:hAnsi="Times New Roman" w:cs="Times New Roman"/>
          <w:b/>
          <w:bCs/>
          <w:color w:val="auto"/>
        </w:rPr>
      </w:pPr>
      <w:r>
        <w:rPr>
          <w:rStyle w:val="16"/>
          <w:rFonts w:hint="default" w:ascii="Times New Roman" w:hAnsi="Times New Roman" w:cs="Times New Roman"/>
          <w:b/>
          <w:bCs/>
          <w:color w:val="auto"/>
        </w:rPr>
        <w:t>时效指标方面：</w:t>
      </w:r>
    </w:p>
    <w:p w14:paraId="50EB23BB">
      <w:pPr>
        <w:pageBreakBefore w:val="0"/>
        <w:kinsoku/>
        <w:wordWrap/>
        <w:overflowPunct/>
        <w:topLinePunct w:val="0"/>
        <w:autoSpaceDE/>
        <w:autoSpaceDN/>
        <w:bidi w:val="0"/>
        <w:adjustRightInd/>
        <w:snapToGrid w:val="0"/>
        <w:spacing w:line="560" w:lineRule="exact"/>
        <w:ind w:firstLine="624" w:firstLineChars="200"/>
        <w:textAlignment w:val="auto"/>
        <w:rPr>
          <w:rStyle w:val="14"/>
          <w:rFonts w:hint="default" w:ascii="Times New Roman" w:hAnsi="Times New Roman" w:eastAsia="仿宋_GB2312" w:cs="Times New Roman"/>
          <w:b w:val="0"/>
          <w:spacing w:val="-4"/>
          <w:sz w:val="32"/>
          <w:szCs w:val="32"/>
        </w:rPr>
      </w:pPr>
      <w:r>
        <w:rPr>
          <w:rStyle w:val="14"/>
          <w:rFonts w:hint="default" w:ascii="Times New Roman" w:hAnsi="Times New Roman" w:eastAsia="仿宋_GB2312" w:cs="Times New Roman"/>
          <w:b w:val="0"/>
          <w:spacing w:val="-4"/>
          <w:sz w:val="32"/>
          <w:szCs w:val="32"/>
        </w:rPr>
        <w:t>指标1：设备采购完成时间，指标值：2023年12月，实际完成值：2023年12月，指标完成率100%；</w:t>
      </w:r>
    </w:p>
    <w:p w14:paraId="4373FD33">
      <w:pPr>
        <w:pStyle w:val="10"/>
        <w:pageBreakBefore w:val="0"/>
        <w:numPr>
          <w:ilvl w:val="0"/>
          <w:numId w:val="5"/>
        </w:numPr>
        <w:kinsoku/>
        <w:wordWrap/>
        <w:overflowPunct/>
        <w:topLinePunct w:val="0"/>
        <w:autoSpaceDE/>
        <w:autoSpaceDN/>
        <w:bidi w:val="0"/>
        <w:adjustRightInd/>
        <w:spacing w:line="560" w:lineRule="exact"/>
        <w:ind w:firstLine="641"/>
        <w:textAlignment w:val="auto"/>
        <w:rPr>
          <w:rStyle w:val="16"/>
          <w:rFonts w:hint="default" w:ascii="Times New Roman" w:hAnsi="Times New Roman" w:cs="Times New Roman"/>
          <w:b/>
          <w:bCs/>
          <w:color w:val="auto"/>
        </w:rPr>
      </w:pPr>
      <w:r>
        <w:rPr>
          <w:rFonts w:hint="default" w:ascii="Times New Roman" w:hAnsi="Times New Roman" w:eastAsia="楷体_GB2312" w:cs="Times New Roman"/>
          <w:b/>
          <w:bCs/>
          <w:sz w:val="32"/>
          <w:szCs w:val="32"/>
        </w:rPr>
        <w:t>效益情况</w:t>
      </w:r>
    </w:p>
    <w:p w14:paraId="4124AC77">
      <w:pPr>
        <w:pageBreakBefore w:val="0"/>
        <w:kinsoku/>
        <w:wordWrap/>
        <w:overflowPunct/>
        <w:topLinePunct w:val="0"/>
        <w:autoSpaceDE/>
        <w:autoSpaceDN/>
        <w:bidi w:val="0"/>
        <w:adjustRightInd/>
        <w:spacing w:line="560" w:lineRule="exact"/>
        <w:ind w:firstLine="643" w:firstLineChars="200"/>
        <w:textAlignment w:val="auto"/>
        <w:rPr>
          <w:rStyle w:val="16"/>
          <w:rFonts w:hint="default" w:ascii="Times New Roman" w:hAnsi="Times New Roman" w:cs="Times New Roman"/>
          <w:b/>
          <w:bCs/>
          <w:color w:val="auto"/>
        </w:rPr>
      </w:pPr>
      <w:r>
        <w:rPr>
          <w:rStyle w:val="16"/>
          <w:rFonts w:hint="default" w:ascii="Times New Roman" w:hAnsi="Times New Roman" w:cs="Times New Roman"/>
          <w:b/>
          <w:bCs/>
          <w:color w:val="auto"/>
        </w:rPr>
        <w:t>经济效益指标方面：</w:t>
      </w:r>
    </w:p>
    <w:p w14:paraId="2E8A9784">
      <w:pPr>
        <w:pageBreakBefore w:val="0"/>
        <w:kinsoku/>
        <w:wordWrap/>
        <w:overflowPunct/>
        <w:topLinePunct w:val="0"/>
        <w:autoSpaceDE/>
        <w:autoSpaceDN/>
        <w:bidi w:val="0"/>
        <w:adjustRightInd/>
        <w:spacing w:line="560" w:lineRule="exact"/>
        <w:ind w:firstLine="640" w:firstLineChars="200"/>
        <w:textAlignment w:val="auto"/>
        <w:rPr>
          <w:rStyle w:val="16"/>
          <w:rFonts w:hint="default" w:ascii="Times New Roman" w:hAnsi="Times New Roman" w:cs="Times New Roman"/>
          <w:color w:val="auto"/>
        </w:rPr>
      </w:pPr>
      <w:r>
        <w:rPr>
          <w:rStyle w:val="16"/>
          <w:rFonts w:hint="default" w:ascii="Times New Roman" w:hAnsi="Times New Roman" w:cs="Times New Roman"/>
          <w:color w:val="auto"/>
        </w:rPr>
        <w:t>指标1：设备利用率，指标值</w:t>
      </w:r>
      <w:r>
        <w:rPr>
          <w:rStyle w:val="16"/>
          <w:rFonts w:hint="default" w:ascii="Times New Roman" w:hAnsi="Times New Roman" w:eastAsia="仿宋_GB2312" w:cs="Times New Roman"/>
          <w:color w:val="auto"/>
          <w:lang w:eastAsia="zh-CN"/>
        </w:rPr>
        <w:t>：</w:t>
      </w:r>
      <w:r>
        <w:rPr>
          <w:rStyle w:val="16"/>
          <w:rFonts w:hint="default" w:ascii="Times New Roman" w:hAnsi="Times New Roman" w:cs="Times New Roman"/>
          <w:color w:val="auto"/>
        </w:rPr>
        <w:t>=85%，实际完成值：87%，指标完成率100%；</w:t>
      </w:r>
    </w:p>
    <w:p w14:paraId="6F558D6B">
      <w:pPr>
        <w:pageBreakBefore w:val="0"/>
        <w:kinsoku/>
        <w:wordWrap/>
        <w:overflowPunct/>
        <w:topLinePunct w:val="0"/>
        <w:autoSpaceDE/>
        <w:autoSpaceDN/>
        <w:bidi w:val="0"/>
        <w:adjustRightInd/>
        <w:spacing w:line="560" w:lineRule="exact"/>
        <w:ind w:firstLine="643" w:firstLineChars="200"/>
        <w:textAlignment w:val="auto"/>
        <w:rPr>
          <w:rStyle w:val="16"/>
          <w:rFonts w:hint="default" w:ascii="Times New Roman" w:hAnsi="Times New Roman" w:cs="Times New Roman"/>
          <w:b/>
          <w:bCs/>
          <w:color w:val="auto"/>
        </w:rPr>
      </w:pPr>
      <w:r>
        <w:rPr>
          <w:rStyle w:val="16"/>
          <w:rFonts w:hint="default" w:ascii="Times New Roman" w:hAnsi="Times New Roman" w:cs="Times New Roman"/>
          <w:b/>
          <w:bCs/>
          <w:color w:val="auto"/>
        </w:rPr>
        <w:t>社会效益指标方面：</w:t>
      </w:r>
    </w:p>
    <w:p w14:paraId="69FFBBF8">
      <w:pPr>
        <w:pageBreakBefore w:val="0"/>
        <w:kinsoku/>
        <w:wordWrap/>
        <w:overflowPunct/>
        <w:topLinePunct w:val="0"/>
        <w:autoSpaceDE/>
        <w:autoSpaceDN/>
        <w:bidi w:val="0"/>
        <w:adjustRightInd/>
        <w:spacing w:line="560" w:lineRule="exact"/>
        <w:ind w:firstLine="640" w:firstLineChars="200"/>
        <w:textAlignment w:val="auto"/>
        <w:rPr>
          <w:rStyle w:val="16"/>
          <w:rFonts w:hint="default" w:ascii="Times New Roman" w:hAnsi="Times New Roman" w:cs="Times New Roman"/>
          <w:color w:val="auto"/>
        </w:rPr>
      </w:pPr>
      <w:r>
        <w:rPr>
          <w:rStyle w:val="16"/>
          <w:rFonts w:hint="default" w:ascii="Times New Roman" w:hAnsi="Times New Roman" w:cs="Times New Roman"/>
          <w:color w:val="auto"/>
        </w:rPr>
        <w:t>指标1：为医疗事业发展提供有效支持，指标值：有效支持，实际完成值：有效支持，指标完成率100%；</w:t>
      </w:r>
    </w:p>
    <w:p w14:paraId="3D57684D">
      <w:pPr>
        <w:pageBreakBefore w:val="0"/>
        <w:kinsoku/>
        <w:wordWrap/>
        <w:overflowPunct/>
        <w:topLinePunct w:val="0"/>
        <w:autoSpaceDE/>
        <w:autoSpaceDN/>
        <w:bidi w:val="0"/>
        <w:adjustRightInd/>
        <w:spacing w:line="560" w:lineRule="exact"/>
        <w:ind w:firstLine="643" w:firstLineChars="200"/>
        <w:textAlignment w:val="auto"/>
        <w:rPr>
          <w:rStyle w:val="16"/>
          <w:rFonts w:hint="default" w:ascii="Times New Roman" w:hAnsi="Times New Roman" w:cs="Times New Roman"/>
          <w:b/>
          <w:bCs/>
          <w:color w:val="auto"/>
        </w:rPr>
      </w:pPr>
      <w:r>
        <w:rPr>
          <w:rStyle w:val="16"/>
          <w:rFonts w:hint="default" w:ascii="Times New Roman" w:hAnsi="Times New Roman" w:cs="Times New Roman"/>
          <w:b/>
          <w:bCs/>
          <w:color w:val="auto"/>
        </w:rPr>
        <w:t>满意度指标方面：</w:t>
      </w:r>
    </w:p>
    <w:p w14:paraId="554EA009">
      <w:pPr>
        <w:pageBreakBefore w:val="0"/>
        <w:kinsoku/>
        <w:wordWrap/>
        <w:overflowPunct/>
        <w:topLinePunct w:val="0"/>
        <w:autoSpaceDE/>
        <w:autoSpaceDN/>
        <w:bidi w:val="0"/>
        <w:adjustRightInd/>
        <w:snapToGrid w:val="0"/>
        <w:spacing w:line="560" w:lineRule="exact"/>
        <w:ind w:firstLine="624" w:firstLineChars="200"/>
        <w:textAlignment w:val="auto"/>
        <w:rPr>
          <w:rStyle w:val="14"/>
          <w:rFonts w:hint="default" w:ascii="Times New Roman" w:hAnsi="Times New Roman" w:eastAsia="仿宋_GB2312" w:cs="Times New Roman"/>
          <w:b w:val="0"/>
          <w:spacing w:val="-4"/>
          <w:sz w:val="32"/>
          <w:szCs w:val="32"/>
        </w:rPr>
      </w:pPr>
      <w:r>
        <w:rPr>
          <w:rStyle w:val="14"/>
          <w:rFonts w:hint="default" w:ascii="Times New Roman" w:hAnsi="Times New Roman" w:eastAsia="仿宋_GB2312" w:cs="Times New Roman"/>
          <w:b w:val="0"/>
          <w:spacing w:val="-4"/>
          <w:sz w:val="32"/>
          <w:szCs w:val="32"/>
        </w:rPr>
        <w:t>指标1：设备使用人员满意度，指标值</w:t>
      </w:r>
      <w:r>
        <w:rPr>
          <w:rStyle w:val="14"/>
          <w:rFonts w:hint="default" w:ascii="Times New Roman" w:hAnsi="Times New Roman" w:eastAsia="仿宋_GB2312" w:cs="Times New Roman"/>
          <w:b w:val="0"/>
          <w:spacing w:val="-4"/>
          <w:sz w:val="32"/>
          <w:szCs w:val="32"/>
          <w:lang w:eastAsia="zh-CN"/>
        </w:rPr>
        <w:t>：</w:t>
      </w:r>
      <w:r>
        <w:rPr>
          <w:rStyle w:val="14"/>
          <w:rFonts w:hint="default" w:ascii="Times New Roman" w:hAnsi="Times New Roman" w:eastAsia="仿宋_GB2312" w:cs="Times New Roman"/>
          <w:b w:val="0"/>
          <w:spacing w:val="-4"/>
          <w:sz w:val="32"/>
          <w:szCs w:val="32"/>
        </w:rPr>
        <w:t>=80%，实际完成值：80.56%，指标完成率100%；</w:t>
      </w:r>
    </w:p>
    <w:p w14:paraId="11520FB1">
      <w:pPr>
        <w:pageBreakBefore w:val="0"/>
        <w:numPr>
          <w:ilvl w:val="0"/>
          <w:numId w:val="4"/>
        </w:numPr>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预算执行进度与绩效指标总体完成率偏差</w:t>
      </w:r>
    </w:p>
    <w:p w14:paraId="5FD13F58">
      <w:pPr>
        <w:pageBreakBefore w:val="0"/>
        <w:kinsoku/>
        <w:wordWrap/>
        <w:overflowPunct/>
        <w:topLinePunct w:val="0"/>
        <w:autoSpaceDE/>
        <w:autoSpaceDN/>
        <w:bidi w:val="0"/>
        <w:adjustRightInd/>
        <w:snapToGrid w:val="0"/>
        <w:spacing w:line="560" w:lineRule="exact"/>
        <w:ind w:firstLine="624" w:firstLineChars="200"/>
        <w:textAlignment w:val="auto"/>
        <w:rPr>
          <w:rFonts w:hint="default" w:ascii="Times New Roman" w:hAnsi="Times New Roman" w:cs="Times New Roman"/>
        </w:rPr>
      </w:pPr>
      <w:r>
        <w:rPr>
          <w:rStyle w:val="14"/>
          <w:rFonts w:hint="default" w:ascii="Times New Roman" w:hAnsi="Times New Roman" w:eastAsia="仿宋_GB2312" w:cs="Times New Roman"/>
          <w:b w:val="0"/>
          <w:spacing w:val="-4"/>
          <w:sz w:val="32"/>
          <w:szCs w:val="32"/>
        </w:rPr>
        <w:t>2023医院政府采购项目预算6,503.21万元，到位6,503.21万元，实际支出6,459.26万元，预算执行率为99.32%，项目绩效指标总体完成率为103.66%，总体偏差率为3.66%</w:t>
      </w:r>
      <w:r>
        <w:rPr>
          <w:rStyle w:val="14"/>
          <w:rFonts w:hint="default" w:ascii="Times New Roman" w:hAnsi="Times New Roman" w:eastAsia="仿宋_GB2312" w:cs="Times New Roman"/>
          <w:b w:val="0"/>
          <w:spacing w:val="-4"/>
          <w:sz w:val="32"/>
          <w:szCs w:val="32"/>
          <w:lang w:eastAsia="zh-CN"/>
        </w:rPr>
        <w:t>，</w:t>
      </w:r>
      <w:r>
        <w:rPr>
          <w:rStyle w:val="14"/>
          <w:rFonts w:hint="default" w:ascii="Times New Roman" w:hAnsi="Times New Roman" w:eastAsia="仿宋_GB2312" w:cs="Times New Roman"/>
          <w:b w:val="0"/>
          <w:spacing w:val="-4"/>
          <w:sz w:val="32"/>
          <w:szCs w:val="32"/>
        </w:rPr>
        <w:t>偏差原因：随着科技进步，2023年我院医疗服务质量和水平不断提高，医疗设备更新换代，运营成本增加；2023年在全院的共同努力下，医院规模扩大使得固定资产价值随之增加。</w:t>
      </w:r>
    </w:p>
    <w:p w14:paraId="4B07B771">
      <w:pPr>
        <w:pageBreakBefore w:val="0"/>
        <w:kinsoku/>
        <w:wordWrap/>
        <w:overflowPunct/>
        <w:topLinePunct w:val="0"/>
        <w:autoSpaceDE/>
        <w:autoSpaceDN/>
        <w:bidi w:val="0"/>
        <w:adjustRightInd/>
        <w:spacing w:line="560" w:lineRule="exact"/>
        <w:ind w:firstLine="640" w:firstLineChars="200"/>
        <w:textAlignment w:val="auto"/>
        <w:rPr>
          <w:rStyle w:val="16"/>
          <w:rFonts w:hint="default" w:ascii="Times New Roman" w:hAnsi="Times New Roman" w:cs="Times New Roman"/>
          <w:color w:val="auto"/>
        </w:rPr>
      </w:pPr>
      <w:r>
        <w:rPr>
          <w:rFonts w:hint="default" w:ascii="Times New Roman" w:hAnsi="Times New Roman" w:eastAsia="黑体" w:cs="Times New Roman"/>
          <w:sz w:val="32"/>
          <w:szCs w:val="32"/>
        </w:rPr>
        <w:t>六、主要经验及做法、存在的问题及原因分析</w:t>
      </w:r>
    </w:p>
    <w:p w14:paraId="078E96DF">
      <w:pPr>
        <w:pageBreakBefore w:val="0"/>
        <w:kinsoku/>
        <w:wordWrap/>
        <w:overflowPunct/>
        <w:topLinePunct w:val="0"/>
        <w:autoSpaceDE/>
        <w:autoSpaceDN/>
        <w:bidi w:val="0"/>
        <w:adjustRightIn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4C56F076">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2646CC0">
      <w:pPr>
        <w:pStyle w:val="2"/>
        <w:pageBreakBefore w:val="0"/>
        <w:kinsoku/>
        <w:wordWrap/>
        <w:overflowPunct/>
        <w:topLinePunct w:val="0"/>
        <w:autoSpaceDE/>
        <w:autoSpaceDN/>
        <w:bidi w:val="0"/>
        <w:adjustRightInd/>
        <w:spacing w:before="0" w:after="0" w:line="560" w:lineRule="exact"/>
        <w:ind w:firstLine="640" w:firstLineChars="200"/>
        <w:jc w:val="left"/>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43EF13E">
      <w:pPr>
        <w:keepNext/>
        <w:keepLines/>
        <w:pageBreakBefore w:val="0"/>
        <w:numPr>
          <w:ilvl w:val="0"/>
          <w:numId w:val="6"/>
        </w:numPr>
        <w:kinsoku/>
        <w:wordWrap/>
        <w:overflowPunct/>
        <w:topLinePunct w:val="0"/>
        <w:autoSpaceDE/>
        <w:autoSpaceDN/>
        <w:bidi w:val="0"/>
        <w:adjustRightIn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15FDD2BB">
      <w:pPr>
        <w:pStyle w:val="2"/>
        <w:pageBreakBefore w:val="0"/>
        <w:kinsoku/>
        <w:wordWrap/>
        <w:overflowPunct/>
        <w:topLinePunct w:val="0"/>
        <w:autoSpaceDE/>
        <w:autoSpaceDN/>
        <w:bidi w:val="0"/>
        <w:adjustRightIn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 xml:space="preserve">我单位建有政府采购工作领导小组及政府采购工作监管领导小组，建有政府采购工作制度。严格按照自治区财政厅政采云平台规定进行网采计划申报，通过政采云流程进行招标采购。政府采购项目的技术参数，严格按照满足需求的最低参数进行，不得添加任何指向性、排他性参数。                                                                      </w:t>
      </w:r>
    </w:p>
    <w:p w14:paraId="01AA3ABC">
      <w:pPr>
        <w:pStyle w:val="2"/>
        <w:pageBreakBefore w:val="0"/>
        <w:kinsoku/>
        <w:wordWrap/>
        <w:overflowPunct/>
        <w:topLinePunct w:val="0"/>
        <w:autoSpaceDE/>
        <w:autoSpaceDN/>
        <w:bidi w:val="0"/>
        <w:adjustRightInd/>
        <w:spacing w:before="0" w:after="0" w:line="560" w:lineRule="exact"/>
        <w:ind w:firstLine="640" w:firstLineChars="200"/>
        <w:jc w:val="both"/>
        <w:textAlignment w:val="auto"/>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单位内控制度对于政府采购的新形势和新业务不能完全覆盖，部分内控制度不够细致，不够完整。下一步单位将结合政府采购工作和医院整体业务实际情况，进一步完善内控制度，加强监管，进一步完整从严把控政府采购工作流程。</w:t>
      </w:r>
    </w:p>
    <w:p w14:paraId="223CACEF">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七、有关建议</w:t>
      </w:r>
    </w:p>
    <w:p w14:paraId="7DEFF633">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cs="Times New Roman"/>
        </w:rPr>
      </w:pPr>
      <w:r>
        <w:rPr>
          <w:rFonts w:hint="default" w:ascii="Times New Roman" w:hAnsi="Times New Roman" w:eastAsia="仿宋_GB2312" w:cs="Times New Roman"/>
          <w:sz w:val="32"/>
          <w:szCs w:val="28"/>
        </w:rPr>
        <w:t>进一步加强对绩效管理工作的组织领导，提高对预算绩效管理工作重要性的认识，总结经验查找问题，抓紧研究制定更全面更完善的绩效评价管理办法。结合现代化考核建立绩效工作考核制度，加大全局对全面实施预算绩效管理和绩效管理工作的学习力度，让“花钱必问效，无效必问责”的理念深入工作每个环节。</w:t>
      </w:r>
    </w:p>
    <w:p w14:paraId="43B20B1F">
      <w:pPr>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八、其他需要说</w:t>
      </w:r>
      <w:bookmarkStart w:id="7" w:name="page8"/>
      <w:bookmarkEnd w:id="7"/>
      <w:r>
        <w:rPr>
          <w:rFonts w:hint="default" w:ascii="Times New Roman" w:hAnsi="Times New Roman" w:eastAsia="黑体" w:cs="Times New Roman"/>
          <w:sz w:val="32"/>
          <w:szCs w:val="32"/>
        </w:rPr>
        <w:t>明的问题</w:t>
      </w:r>
    </w:p>
    <w:p w14:paraId="50B75505">
      <w:pPr>
        <w:pStyle w:val="11"/>
        <w:pageBreakBefore w:val="0"/>
        <w:kinsoku/>
        <w:wordWrap/>
        <w:overflowPunct/>
        <w:topLinePunct w:val="0"/>
        <w:autoSpaceDE/>
        <w:autoSpaceDN/>
        <w:bidi w:val="0"/>
        <w:adjustRightInd/>
        <w:spacing w:after="0" w:line="560" w:lineRule="exact"/>
        <w:ind w:left="0" w:leftChars="0" w:firstLine="64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79CD7484">
      <w:pPr>
        <w:pStyle w:val="11"/>
        <w:pageBreakBefore w:val="0"/>
        <w:kinsoku/>
        <w:wordWrap/>
        <w:overflowPunct/>
        <w:topLinePunct w:val="0"/>
        <w:autoSpaceDE/>
        <w:autoSpaceDN/>
        <w:bidi w:val="0"/>
        <w:adjustRightInd/>
        <w:spacing w:after="0" w:line="560" w:lineRule="exact"/>
        <w:ind w:left="0" w:leftChars="0" w:firstLine="0" w:firstLineChars="0"/>
        <w:textAlignment w:val="auto"/>
        <w:rPr>
          <w:rFonts w:hint="default" w:ascii="Times New Roman" w:hAnsi="Times New Roman" w:eastAsia="仿宋_GB2312" w:cs="Times New Roman"/>
          <w:sz w:val="32"/>
          <w:szCs w:val="32"/>
        </w:rPr>
      </w:pPr>
    </w:p>
    <w:p w14:paraId="66264344">
      <w:pPr>
        <w:pStyle w:val="2"/>
        <w:pageBreakBefore w:val="0"/>
        <w:kinsoku/>
        <w:wordWrap/>
        <w:overflowPunct/>
        <w:topLinePunct w:val="0"/>
        <w:autoSpaceDE/>
        <w:autoSpaceDN/>
        <w:bidi w:val="0"/>
        <w:adjustRightInd/>
        <w:spacing w:line="560" w:lineRule="exact"/>
        <w:jc w:val="both"/>
        <w:textAlignment w:val="auto"/>
        <w:rPr>
          <w:rFonts w:hint="default" w:ascii="Times New Roman" w:hAnsi="Times New Roman" w:cs="Times New Roman"/>
        </w:rPr>
        <w:sectPr>
          <w:footerReference r:id="rId3" w:type="default"/>
          <w:pgSz w:w="11906" w:h="16838"/>
          <w:pgMar w:top="1440" w:right="1558" w:bottom="1440" w:left="1800" w:header="851" w:footer="992" w:gutter="0"/>
          <w:cols w:space="425" w:num="1"/>
          <w:docGrid w:type="lines" w:linePitch="312" w:charSpace="0"/>
        </w:sectPr>
      </w:pP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0"/>
        <w:gridCol w:w="590"/>
        <w:gridCol w:w="590"/>
        <w:gridCol w:w="1327"/>
        <w:gridCol w:w="941"/>
        <w:gridCol w:w="941"/>
        <w:gridCol w:w="944"/>
        <w:gridCol w:w="941"/>
        <w:gridCol w:w="941"/>
        <w:gridCol w:w="941"/>
        <w:gridCol w:w="941"/>
        <w:gridCol w:w="1131"/>
        <w:gridCol w:w="1006"/>
        <w:gridCol w:w="2350"/>
      </w:tblGrid>
      <w:tr w14:paraId="0819A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2CFAB37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1AA24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87D81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02795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E11DB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3A1CA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医院政府采购项目</w:t>
            </w:r>
          </w:p>
        </w:tc>
      </w:tr>
      <w:tr w14:paraId="41B42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C065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3"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A84D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73CD0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2810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新疆维吾尔自治区第一济困医院</w:t>
            </w:r>
          </w:p>
        </w:tc>
      </w:tr>
      <w:tr w14:paraId="7C33B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6829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50DA3A">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8CEB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9FB5B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26B05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BD799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B78FE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8EC4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38B77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F8D26">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520E6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C724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6503.21</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7828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6503.21</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DD35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6459.26</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04AB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8B6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99.32%</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4A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9.93分</w:t>
            </w:r>
          </w:p>
        </w:tc>
      </w:tr>
      <w:tr w14:paraId="1B68B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C2D184">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2574B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4CB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B184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9613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F2B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842D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9D0A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5DD3B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619489">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BD8E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B7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6503.21</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9E37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6503.21</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C557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6459.26</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4F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F220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A86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22096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54B66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2D371F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885622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29425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81B914">
            <w:pPr>
              <w:jc w:val="center"/>
              <w:rPr>
                <w:rFonts w:hint="eastAsia" w:ascii="宋体" w:hAnsi="宋体" w:eastAsia="宋体" w:cs="宋体"/>
                <w:b/>
                <w:bCs/>
                <w:i w:val="0"/>
                <w:iCs w:val="0"/>
                <w:color w:val="000000"/>
                <w:sz w:val="18"/>
                <w:szCs w:val="18"/>
                <w:u w:val="none"/>
              </w:rPr>
            </w:pPr>
          </w:p>
        </w:tc>
        <w:tc>
          <w:tcPr>
            <w:tcW w:w="1881"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679D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自筹资金合理分配，根据医院发展及临床需求合理安排采购项目。2、严格按照内控标准实施采购。3、办公设备及医疗设备及时采购到位，提高医疗质量和效率。4、按时完成我院大型修缮项目，为广大患者提供舒适的就医环境。</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6C3B2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在我院领导和工作人员的共同努力下，采购设备111台，设备验收全部合格，政府采购率100%。通过项目的实施，我院医疗服务质量和水平不断提高，医疗技术不断提高，医疗设备更新换代；办公设备及医疗设备及时采购到位，提高医疗质量和效率；按时完成我院大型修缮项目，为广大患者提供舒适的就医环境。</w:t>
            </w:r>
          </w:p>
        </w:tc>
      </w:tr>
      <w:tr w14:paraId="21717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C98762">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98C3D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5CDD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DDFBA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04B2E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471D7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B4E4B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F2FD3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39588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20483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5CD01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9C43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035AF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4264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35C55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4D56E">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F1191">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B5D5EB">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F5ECA">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DD468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78C0F">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DB3BA">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F14F45">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BC9CD">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AE0CB">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AE94C">
            <w:pPr>
              <w:jc w:val="center"/>
              <w:rPr>
                <w:rFonts w:hint="eastAsia" w:ascii="宋体" w:hAnsi="宋体" w:eastAsia="宋体" w:cs="宋体"/>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E56804">
            <w:pPr>
              <w:jc w:val="center"/>
              <w:rPr>
                <w:rFonts w:hint="eastAsia" w:ascii="宋体" w:hAnsi="宋体" w:eastAsia="宋体" w:cs="宋体"/>
                <w:b/>
                <w:bCs/>
                <w:i w:val="0"/>
                <w:iCs w:val="0"/>
                <w:color w:val="000000"/>
                <w:sz w:val="18"/>
                <w:szCs w:val="18"/>
                <w:u w:val="none"/>
              </w:rPr>
            </w:pPr>
          </w:p>
        </w:tc>
        <w:tc>
          <w:tcPr>
            <w:tcW w:w="3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A60D3">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1E3AA8">
            <w:pPr>
              <w:jc w:val="center"/>
              <w:rPr>
                <w:rFonts w:hint="eastAsia" w:ascii="宋体" w:hAnsi="宋体" w:eastAsia="宋体" w:cs="宋体"/>
                <w:b/>
                <w:bCs/>
                <w:i w:val="0"/>
                <w:iCs w:val="0"/>
                <w:color w:val="000000"/>
                <w:sz w:val="18"/>
                <w:szCs w:val="18"/>
                <w:u w:val="none"/>
              </w:rPr>
            </w:pPr>
          </w:p>
        </w:tc>
      </w:tr>
      <w:tr w14:paraId="736BD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9436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3840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E79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464E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设备采购数量（台）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AC4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21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&gt;=30台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6B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03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522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7C0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4E91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67台</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D92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6FE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CB1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2023年我院购入打印机设备等通过线上政府采购方式，故政府采购设备采购数量增加，今后将进一步提升预算编制科学性与准确性。</w:t>
            </w:r>
          </w:p>
        </w:tc>
      </w:tr>
      <w:tr w14:paraId="70053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43A603">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30A0F7">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DE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CDDD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E07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743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77A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A5C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EE0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684F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FB1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142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AC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E6E93">
            <w:pPr>
              <w:jc w:val="center"/>
              <w:rPr>
                <w:rFonts w:hint="eastAsia" w:ascii="宋体" w:hAnsi="宋体" w:eastAsia="宋体" w:cs="宋体"/>
                <w:i w:val="0"/>
                <w:iCs w:val="0"/>
                <w:color w:val="000000"/>
                <w:sz w:val="18"/>
                <w:szCs w:val="18"/>
                <w:u w:val="none"/>
              </w:rPr>
            </w:pPr>
          </w:p>
        </w:tc>
      </w:tr>
      <w:tr w14:paraId="6E4C2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0C8D9">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88242">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CC6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0B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固定资产增值保值率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A00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308E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EFF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=13.73%</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A9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6A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4F9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975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317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3344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452F66">
            <w:pPr>
              <w:jc w:val="center"/>
              <w:rPr>
                <w:rFonts w:hint="eastAsia" w:ascii="宋体" w:hAnsi="宋体" w:eastAsia="宋体" w:cs="宋体"/>
                <w:i w:val="0"/>
                <w:iCs w:val="0"/>
                <w:color w:val="000000"/>
                <w:sz w:val="18"/>
                <w:szCs w:val="18"/>
                <w:u w:val="none"/>
              </w:rPr>
            </w:pPr>
          </w:p>
        </w:tc>
      </w:tr>
      <w:tr w14:paraId="00DE0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0E6A36">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E3047">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FE02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82E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设备验收合格率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6F94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32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48D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866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A0EC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894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CB45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A45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724D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5050D7">
            <w:pPr>
              <w:jc w:val="center"/>
              <w:rPr>
                <w:rFonts w:hint="eastAsia" w:ascii="宋体" w:hAnsi="宋体" w:eastAsia="宋体" w:cs="宋体"/>
                <w:i w:val="0"/>
                <w:iCs w:val="0"/>
                <w:color w:val="000000"/>
                <w:sz w:val="18"/>
                <w:szCs w:val="18"/>
                <w:u w:val="none"/>
              </w:rPr>
            </w:pPr>
          </w:p>
        </w:tc>
      </w:tr>
      <w:tr w14:paraId="085A9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FE3FC6">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3939C">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E93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675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设备采购完成时间</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225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9812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B9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=2023年12月</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6E3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17A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6C80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4415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2022年12月</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1314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直接赋分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66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89B4A4">
            <w:pPr>
              <w:jc w:val="center"/>
              <w:rPr>
                <w:rFonts w:hint="eastAsia" w:ascii="宋体" w:hAnsi="宋体" w:eastAsia="宋体" w:cs="宋体"/>
                <w:i w:val="0"/>
                <w:iCs w:val="0"/>
                <w:color w:val="000000"/>
                <w:sz w:val="18"/>
                <w:szCs w:val="18"/>
                <w:u w:val="none"/>
              </w:rPr>
            </w:pPr>
          </w:p>
        </w:tc>
      </w:tr>
      <w:tr w14:paraId="3DB7D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B8FF4">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BE55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205C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6856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百元固定资产医疗收入（不含药品收入）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BC14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0EE2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&gt;=25元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0FE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=40.32元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DBD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2075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F46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5FF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23.25元</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BA9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6BF4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574C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随着科技进步，2023年我院医疗服务质量和水平不断提高，医疗设备更新换代，运营成本增加。</w:t>
            </w:r>
          </w:p>
        </w:tc>
      </w:tr>
      <w:tr w14:paraId="7075CD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05F20">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8282E">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87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80F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每床位占用固定资产</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AE2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196C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&lt;=36万元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090C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=38.38万元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A66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106.61%</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83E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3686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150A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35.07万元</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C71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B2B0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7B9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2023年在全院的共同努力下，医院规模扩大使得固定资产价值随之增加。</w:t>
            </w:r>
          </w:p>
        </w:tc>
      </w:tr>
      <w:tr w14:paraId="06D04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47FF8A">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180B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797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53A1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设备利用率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B8B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FA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E4EA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D3CB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4A3E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5A5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F2F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EC7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6A5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453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按照2023年单位实际设备利用率填报。</w:t>
            </w:r>
          </w:p>
        </w:tc>
      </w:tr>
      <w:tr w14:paraId="36476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6476A">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B25157">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09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E5F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为医疗事业发展提供有效支持</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0DC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5D47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有效支持</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977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有效支持</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262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776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42D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DD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有效支持</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5EF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按评判等级赋分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51A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611FA">
            <w:pPr>
              <w:jc w:val="center"/>
              <w:rPr>
                <w:rFonts w:hint="eastAsia" w:ascii="宋体" w:hAnsi="宋体" w:eastAsia="宋体" w:cs="宋体"/>
                <w:i w:val="0"/>
                <w:iCs w:val="0"/>
                <w:color w:val="000000"/>
                <w:sz w:val="18"/>
                <w:szCs w:val="18"/>
                <w:u w:val="none"/>
              </w:rPr>
            </w:pPr>
          </w:p>
        </w:tc>
      </w:tr>
      <w:tr w14:paraId="33BB9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971EE7">
            <w:pPr>
              <w:jc w:val="center"/>
              <w:rPr>
                <w:rFonts w:hint="eastAsia" w:ascii="宋体" w:hAnsi="宋体" w:eastAsia="宋体" w:cs="宋体"/>
                <w:b/>
                <w:bCs/>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9A0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CF4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50A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设备使用人员满意度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E10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26E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60F6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=80.56%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8E4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37A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29B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55B9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72.97%</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CF7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9990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B8F95">
            <w:pPr>
              <w:jc w:val="center"/>
              <w:rPr>
                <w:rFonts w:hint="eastAsia" w:ascii="宋体" w:hAnsi="宋体" w:eastAsia="宋体" w:cs="宋体"/>
                <w:i w:val="0"/>
                <w:iCs w:val="0"/>
                <w:color w:val="000000"/>
                <w:sz w:val="18"/>
                <w:szCs w:val="18"/>
                <w:u w:val="none"/>
              </w:rPr>
            </w:pPr>
          </w:p>
        </w:tc>
      </w:tr>
      <w:tr w14:paraId="7DD61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092" w:type="pct"/>
            <w:gridSpan w:val="4"/>
            <w:tcBorders>
              <w:top w:val="single" w:color="000000" w:sz="4" w:space="0"/>
              <w:left w:val="single" w:color="000000" w:sz="4" w:space="0"/>
              <w:bottom w:val="single" w:color="000000" w:sz="4" w:space="0"/>
              <w:right w:val="nil"/>
            </w:tcBorders>
            <w:shd w:val="clear" w:color="auto" w:fill="auto"/>
            <w:vAlign w:val="center"/>
          </w:tcPr>
          <w:p w14:paraId="1FFA6C7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20ED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3ADEADA8">
            <w:pP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6C1B2E">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F3267">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4938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97.77分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9DE5D7">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67769">
            <w:pP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2D43D2">
            <w:pPr>
              <w:rPr>
                <w:rFonts w:hint="eastAsia" w:ascii="宋体" w:hAnsi="宋体" w:eastAsia="宋体" w:cs="宋体"/>
                <w:i w:val="0"/>
                <w:iCs w:val="0"/>
                <w:color w:val="000000"/>
                <w:sz w:val="18"/>
                <w:szCs w:val="18"/>
                <w:u w:val="none"/>
              </w:rPr>
            </w:pPr>
          </w:p>
        </w:tc>
        <w:tc>
          <w:tcPr>
            <w:tcW w:w="35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38082">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7DAA4">
            <w:pPr>
              <w:rPr>
                <w:rFonts w:hint="eastAsia" w:ascii="宋体" w:hAnsi="宋体" w:eastAsia="宋体" w:cs="宋体"/>
                <w:i w:val="0"/>
                <w:iCs w:val="0"/>
                <w:color w:val="000000"/>
                <w:sz w:val="18"/>
                <w:szCs w:val="18"/>
                <w:u w:val="none"/>
              </w:rPr>
            </w:pPr>
          </w:p>
        </w:tc>
      </w:tr>
    </w:tbl>
    <w:p w14:paraId="3733CC64">
      <w:pPr>
        <w:spacing w:line="600" w:lineRule="exact"/>
        <w:rPr>
          <w:rFonts w:hint="default" w:ascii="Times New Roman" w:hAnsi="Times New Roman" w:cs="Times New Roman"/>
          <w:bCs/>
          <w:sz w:val="32"/>
          <w:szCs w:val="32"/>
        </w:rPr>
      </w:pPr>
      <w:r>
        <w:rPr>
          <w:rFonts w:hint="default" w:ascii="Times New Roman" w:hAnsi="Times New Roman" w:cs="Times New Roman"/>
          <w:bCs/>
          <w:sz w:val="32"/>
          <w:szCs w:val="32"/>
        </w:rPr>
        <w:t>附件1</w:t>
      </w:r>
    </w:p>
    <w:tbl>
      <w:tblPr>
        <w:tblStyle w:val="1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2B0214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7360FE06">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一级指标</w:t>
            </w:r>
          </w:p>
        </w:tc>
        <w:tc>
          <w:tcPr>
            <w:tcW w:w="302" w:type="pct"/>
            <w:shd w:val="clear" w:color="auto" w:fill="FFFFFF"/>
            <w:vAlign w:val="center"/>
          </w:tcPr>
          <w:p w14:paraId="652205D5">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二级指标</w:t>
            </w:r>
          </w:p>
        </w:tc>
        <w:tc>
          <w:tcPr>
            <w:tcW w:w="344" w:type="pct"/>
            <w:shd w:val="clear" w:color="auto" w:fill="FFFFFF"/>
            <w:vAlign w:val="center"/>
          </w:tcPr>
          <w:p w14:paraId="7EE2D1FB">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三级指标</w:t>
            </w:r>
          </w:p>
        </w:tc>
        <w:tc>
          <w:tcPr>
            <w:tcW w:w="927" w:type="pct"/>
            <w:shd w:val="clear" w:color="auto" w:fill="FFFFFF"/>
            <w:vAlign w:val="center"/>
          </w:tcPr>
          <w:p w14:paraId="5B16D715">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指标解释</w:t>
            </w:r>
          </w:p>
        </w:tc>
        <w:tc>
          <w:tcPr>
            <w:tcW w:w="2044" w:type="pct"/>
            <w:shd w:val="clear" w:color="auto" w:fill="FFFFFF"/>
            <w:vAlign w:val="center"/>
          </w:tcPr>
          <w:p w14:paraId="289B949A">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指标说明</w:t>
            </w:r>
          </w:p>
        </w:tc>
        <w:tc>
          <w:tcPr>
            <w:tcW w:w="512" w:type="pct"/>
            <w:shd w:val="clear" w:color="auto" w:fill="FFFFFF"/>
            <w:vAlign w:val="center"/>
          </w:tcPr>
          <w:p w14:paraId="6DB6D13B">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权重</w:t>
            </w:r>
          </w:p>
        </w:tc>
        <w:tc>
          <w:tcPr>
            <w:tcW w:w="537" w:type="pct"/>
            <w:shd w:val="clear" w:color="auto" w:fill="FFFFFF"/>
            <w:vAlign w:val="center"/>
          </w:tcPr>
          <w:p w14:paraId="2D0F0083">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得分</w:t>
            </w:r>
          </w:p>
        </w:tc>
      </w:tr>
      <w:tr w14:paraId="187F6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31" w:type="pct"/>
            <w:vMerge w:val="restart"/>
            <w:shd w:val="clear" w:color="auto" w:fill="FFFFFF"/>
            <w:vAlign w:val="center"/>
          </w:tcPr>
          <w:p w14:paraId="0B8E5C2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决策　</w:t>
            </w:r>
          </w:p>
          <w:p w14:paraId="0F43A53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p w14:paraId="61A4B43E">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tc>
        <w:tc>
          <w:tcPr>
            <w:tcW w:w="302" w:type="pct"/>
            <w:vMerge w:val="restart"/>
            <w:shd w:val="clear" w:color="auto" w:fill="FFFFFF"/>
            <w:vAlign w:val="center"/>
          </w:tcPr>
          <w:p w14:paraId="00B35F4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项目立项　</w:t>
            </w:r>
          </w:p>
        </w:tc>
        <w:tc>
          <w:tcPr>
            <w:tcW w:w="344" w:type="pct"/>
            <w:shd w:val="clear" w:color="auto" w:fill="FFFFFF"/>
            <w:vAlign w:val="center"/>
          </w:tcPr>
          <w:p w14:paraId="586610A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立项依据</w:t>
            </w:r>
          </w:p>
          <w:p w14:paraId="5736304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充分性</w:t>
            </w:r>
          </w:p>
        </w:tc>
        <w:tc>
          <w:tcPr>
            <w:tcW w:w="927" w:type="pct"/>
            <w:shd w:val="clear" w:color="auto" w:fill="FFFFFF"/>
            <w:vAlign w:val="center"/>
          </w:tcPr>
          <w:p w14:paraId="504D1288">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6409E648">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①项目立项是否符合国家法律法规、国民经济发展规划和相关政策；</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②项目立项是否符合行业发展规划和政策要求；</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③项目立项是否与部门职责范围相符，属于部门履职所需；</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④项目是否属于公共财政支持范围，是否符合中央、地方事权支出责任划分原则；</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⑤项目是否与相关部门同类项目或部门内部相关项目重复。</w:t>
            </w:r>
          </w:p>
        </w:tc>
        <w:tc>
          <w:tcPr>
            <w:tcW w:w="512" w:type="pct"/>
            <w:shd w:val="clear" w:color="auto" w:fill="FFFFFF"/>
            <w:vAlign w:val="center"/>
          </w:tcPr>
          <w:p w14:paraId="5BFB3571">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c>
          <w:tcPr>
            <w:tcW w:w="537" w:type="pct"/>
            <w:shd w:val="clear" w:color="auto" w:fill="FFFFFF"/>
            <w:vAlign w:val="center"/>
          </w:tcPr>
          <w:p w14:paraId="3EA4A563">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r>
      <w:tr w14:paraId="5FED28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134676A6">
            <w:pPr>
              <w:spacing w:line="0" w:lineRule="atLeast"/>
              <w:jc w:val="center"/>
              <w:rPr>
                <w:rFonts w:hint="default" w:ascii="Times New Roman" w:hAnsi="Times New Roman" w:cs="Times New Roman"/>
                <w:kern w:val="0"/>
                <w:sz w:val="22"/>
                <w:szCs w:val="22"/>
              </w:rPr>
            </w:pPr>
          </w:p>
        </w:tc>
        <w:tc>
          <w:tcPr>
            <w:tcW w:w="302" w:type="pct"/>
            <w:vMerge w:val="continue"/>
            <w:shd w:val="clear" w:color="auto" w:fill="FFFFFF"/>
            <w:vAlign w:val="center"/>
          </w:tcPr>
          <w:p w14:paraId="06E2149E">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7117D4C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立项程序</w:t>
            </w:r>
          </w:p>
          <w:p w14:paraId="3FD586B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规范性</w:t>
            </w:r>
          </w:p>
        </w:tc>
        <w:tc>
          <w:tcPr>
            <w:tcW w:w="927" w:type="pct"/>
            <w:shd w:val="clear" w:color="auto" w:fill="FFFFFF"/>
            <w:vAlign w:val="center"/>
          </w:tcPr>
          <w:p w14:paraId="09367623">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项目申请、设立过程是否符合相关要求，用以反映和考核项目立项的规范情况。</w:t>
            </w:r>
          </w:p>
        </w:tc>
        <w:tc>
          <w:tcPr>
            <w:tcW w:w="2044" w:type="pct"/>
            <w:shd w:val="clear" w:color="auto" w:fill="FFFFFF"/>
            <w:vAlign w:val="center"/>
          </w:tcPr>
          <w:p w14:paraId="6544D2A3">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①项目是否按照规定的程序申请设立；</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②审批文件、材料是否符合相关要求；</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③事前是否已经过必要的可行性研究、专家论证、风险评估、绩效评估、集体决策。</w:t>
            </w:r>
          </w:p>
        </w:tc>
        <w:tc>
          <w:tcPr>
            <w:tcW w:w="512" w:type="pct"/>
            <w:shd w:val="clear" w:color="auto" w:fill="FFFFFF"/>
            <w:vAlign w:val="center"/>
          </w:tcPr>
          <w:p w14:paraId="757C7B31">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c>
          <w:tcPr>
            <w:tcW w:w="537" w:type="pct"/>
            <w:shd w:val="clear" w:color="auto" w:fill="FFFFFF"/>
            <w:vAlign w:val="center"/>
          </w:tcPr>
          <w:p w14:paraId="3C97848F">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r>
      <w:tr w14:paraId="0F78F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4CA21B7C">
            <w:pPr>
              <w:spacing w:line="0" w:lineRule="atLeast"/>
              <w:jc w:val="center"/>
              <w:rPr>
                <w:rFonts w:hint="default" w:ascii="Times New Roman" w:hAnsi="Times New Roman" w:cs="Times New Roman"/>
                <w:kern w:val="0"/>
                <w:sz w:val="22"/>
                <w:szCs w:val="22"/>
              </w:rPr>
            </w:pPr>
          </w:p>
        </w:tc>
        <w:tc>
          <w:tcPr>
            <w:tcW w:w="302" w:type="pct"/>
            <w:shd w:val="clear" w:color="auto" w:fill="FFFFFF"/>
            <w:vAlign w:val="center"/>
          </w:tcPr>
          <w:p w14:paraId="5A63F6F3">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绩效目标　</w:t>
            </w:r>
          </w:p>
        </w:tc>
        <w:tc>
          <w:tcPr>
            <w:tcW w:w="344" w:type="pct"/>
            <w:shd w:val="clear" w:color="auto" w:fill="FFFFFF"/>
            <w:vAlign w:val="center"/>
          </w:tcPr>
          <w:p w14:paraId="6D738265">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绩效目标</w:t>
            </w:r>
          </w:p>
          <w:p w14:paraId="3B03A58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合理性</w:t>
            </w:r>
          </w:p>
        </w:tc>
        <w:tc>
          <w:tcPr>
            <w:tcW w:w="927" w:type="pct"/>
            <w:shd w:val="clear" w:color="000000" w:fill="FFFFFF"/>
            <w:vAlign w:val="center"/>
          </w:tcPr>
          <w:p w14:paraId="40A00C73">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20F37769">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（如未设定预算绩效目标，也可考核其他工作任务目标）</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①项目是否有绩效目标；</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②项目绩效目标与实际工作内容是否具有相关性；</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③项目预期产出效益和效果是否符合正常的业绩水平；</w:t>
            </w:r>
          </w:p>
          <w:p w14:paraId="2D8D566C">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④是否与预算确定的项目投资额或资金量相匹配。</w:t>
            </w:r>
          </w:p>
        </w:tc>
        <w:tc>
          <w:tcPr>
            <w:tcW w:w="512" w:type="pct"/>
            <w:shd w:val="clear" w:color="000000" w:fill="FFFFFF"/>
            <w:vAlign w:val="center"/>
          </w:tcPr>
          <w:p w14:paraId="5CB01EC0">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c>
          <w:tcPr>
            <w:tcW w:w="537" w:type="pct"/>
            <w:shd w:val="clear" w:color="000000" w:fill="FFFFFF"/>
            <w:vAlign w:val="center"/>
          </w:tcPr>
          <w:p w14:paraId="326C8BC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r>
      <w:tr w14:paraId="5179DA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3EE7533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决策　</w:t>
            </w:r>
          </w:p>
        </w:tc>
        <w:tc>
          <w:tcPr>
            <w:tcW w:w="302" w:type="pct"/>
            <w:shd w:val="clear" w:color="auto" w:fill="FFFFFF"/>
            <w:vAlign w:val="center"/>
          </w:tcPr>
          <w:p w14:paraId="75DDF38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绩效目标</w:t>
            </w:r>
          </w:p>
        </w:tc>
        <w:tc>
          <w:tcPr>
            <w:tcW w:w="344" w:type="pct"/>
            <w:shd w:val="clear" w:color="auto" w:fill="FFFFFF"/>
            <w:vAlign w:val="center"/>
          </w:tcPr>
          <w:p w14:paraId="4862E73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绩效指标</w:t>
            </w:r>
          </w:p>
          <w:p w14:paraId="11406E7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明确性</w:t>
            </w:r>
          </w:p>
        </w:tc>
        <w:tc>
          <w:tcPr>
            <w:tcW w:w="927" w:type="pct"/>
            <w:shd w:val="clear" w:color="000000" w:fill="FFFFFF"/>
            <w:vAlign w:val="center"/>
          </w:tcPr>
          <w:p w14:paraId="49CE2290">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7EC1AE2B">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①是否将项目绩效目标细化分解为具体的绩效指标；</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②是否通过清晰、可衡量的指标值予以体现；</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③是否与项目目标任务数或计划数相对应。</w:t>
            </w:r>
            <w:r>
              <w:rPr>
                <w:rFonts w:hint="default" w:ascii="Times New Roman" w:hAnsi="Times New Roman" w:cs="Times New Roman"/>
                <w:kern w:val="0"/>
                <w:sz w:val="22"/>
                <w:szCs w:val="22"/>
              </w:rPr>
              <w:br w:type="textWrapping"/>
            </w:r>
          </w:p>
        </w:tc>
        <w:tc>
          <w:tcPr>
            <w:tcW w:w="512" w:type="pct"/>
            <w:shd w:val="clear" w:color="000000" w:fill="FFFFFF"/>
            <w:vAlign w:val="center"/>
          </w:tcPr>
          <w:p w14:paraId="10880F28">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c>
          <w:tcPr>
            <w:tcW w:w="537" w:type="pct"/>
            <w:shd w:val="clear" w:color="000000" w:fill="FFFFFF"/>
            <w:vAlign w:val="center"/>
          </w:tcPr>
          <w:p w14:paraId="74FA409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3</w:t>
            </w:r>
          </w:p>
        </w:tc>
      </w:tr>
      <w:tr w14:paraId="6E30B0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08E73784">
            <w:pPr>
              <w:spacing w:line="0" w:lineRule="atLeast"/>
              <w:jc w:val="center"/>
              <w:rPr>
                <w:rFonts w:hint="default" w:ascii="Times New Roman" w:hAnsi="Times New Roman" w:cs="Times New Roman"/>
                <w:kern w:val="0"/>
                <w:sz w:val="22"/>
                <w:szCs w:val="22"/>
              </w:rPr>
            </w:pPr>
          </w:p>
        </w:tc>
        <w:tc>
          <w:tcPr>
            <w:tcW w:w="302" w:type="pct"/>
            <w:vMerge w:val="restart"/>
            <w:shd w:val="clear" w:color="auto" w:fill="FFFFFF"/>
            <w:vAlign w:val="center"/>
          </w:tcPr>
          <w:p w14:paraId="384B424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资金投入</w:t>
            </w:r>
          </w:p>
          <w:p w14:paraId="2C7D5853">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tc>
        <w:tc>
          <w:tcPr>
            <w:tcW w:w="344" w:type="pct"/>
            <w:shd w:val="clear" w:color="auto" w:fill="FFFFFF"/>
            <w:vAlign w:val="center"/>
          </w:tcPr>
          <w:p w14:paraId="0009D37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预算编制</w:t>
            </w:r>
          </w:p>
          <w:p w14:paraId="4057C6B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科学性</w:t>
            </w:r>
          </w:p>
        </w:tc>
        <w:tc>
          <w:tcPr>
            <w:tcW w:w="927" w:type="pct"/>
            <w:shd w:val="clear" w:color="auto" w:fill="FFFFFF"/>
            <w:vAlign w:val="center"/>
          </w:tcPr>
          <w:p w14:paraId="66E18251">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3958BF03">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①预算编制是否经过科学论证；</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②预算内容与项目内容是否匹配；</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③预算额度测算依据是否充分，是否按照标准编制；</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④预算确定的项目投资额或资金量是否与工作任务相匹配。</w:t>
            </w:r>
          </w:p>
        </w:tc>
        <w:tc>
          <w:tcPr>
            <w:tcW w:w="512" w:type="pct"/>
            <w:shd w:val="clear" w:color="auto" w:fill="FFFFFF"/>
            <w:vAlign w:val="center"/>
          </w:tcPr>
          <w:p w14:paraId="7016E748">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auto" w:fill="FFFFFF"/>
            <w:vAlign w:val="center"/>
          </w:tcPr>
          <w:p w14:paraId="63DD4F1A">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7AF18D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03C87FDA">
            <w:pPr>
              <w:widowControl/>
              <w:spacing w:line="0" w:lineRule="atLeast"/>
              <w:jc w:val="center"/>
              <w:rPr>
                <w:rFonts w:hint="default" w:ascii="Times New Roman" w:hAnsi="Times New Roman" w:cs="Times New Roman"/>
                <w:kern w:val="0"/>
                <w:sz w:val="22"/>
                <w:szCs w:val="22"/>
              </w:rPr>
            </w:pPr>
          </w:p>
        </w:tc>
        <w:tc>
          <w:tcPr>
            <w:tcW w:w="302" w:type="pct"/>
            <w:vMerge w:val="continue"/>
            <w:shd w:val="clear" w:color="auto" w:fill="FFFFFF"/>
            <w:vAlign w:val="center"/>
          </w:tcPr>
          <w:p w14:paraId="3E16CED7">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2E7AF58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资金分配</w:t>
            </w:r>
          </w:p>
          <w:p w14:paraId="4E0BCF3F">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合理性</w:t>
            </w:r>
          </w:p>
        </w:tc>
        <w:tc>
          <w:tcPr>
            <w:tcW w:w="927" w:type="pct"/>
            <w:shd w:val="clear" w:color="auto" w:fill="FFFFFF"/>
            <w:vAlign w:val="center"/>
          </w:tcPr>
          <w:p w14:paraId="77FEEB38">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3733C11C">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①预算资金分配依据是否充分；</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②资金分配额度是否合理，与项目单位或地方实际是否相适应。</w:t>
            </w:r>
          </w:p>
        </w:tc>
        <w:tc>
          <w:tcPr>
            <w:tcW w:w="512" w:type="pct"/>
            <w:shd w:val="clear" w:color="auto" w:fill="FFFFFF"/>
            <w:vAlign w:val="center"/>
          </w:tcPr>
          <w:p w14:paraId="0F5CF144">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auto" w:fill="FFFFFF"/>
            <w:vAlign w:val="center"/>
          </w:tcPr>
          <w:p w14:paraId="70FE9FF9">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3C608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19B7E1D6">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过程</w:t>
            </w:r>
          </w:p>
        </w:tc>
        <w:tc>
          <w:tcPr>
            <w:tcW w:w="302" w:type="pct"/>
            <w:vMerge w:val="restart"/>
            <w:shd w:val="clear" w:color="auto" w:fill="FFFFFF"/>
            <w:vAlign w:val="center"/>
          </w:tcPr>
          <w:p w14:paraId="2B17ACE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资金管理</w:t>
            </w:r>
          </w:p>
        </w:tc>
        <w:tc>
          <w:tcPr>
            <w:tcW w:w="344" w:type="pct"/>
            <w:shd w:val="clear" w:color="auto" w:fill="FFFFFF"/>
            <w:vAlign w:val="center"/>
          </w:tcPr>
          <w:p w14:paraId="2FAFDC3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资金到位率</w:t>
            </w:r>
          </w:p>
        </w:tc>
        <w:tc>
          <w:tcPr>
            <w:tcW w:w="927" w:type="pct"/>
            <w:shd w:val="clear" w:color="000000" w:fill="FFFFFF"/>
            <w:vAlign w:val="center"/>
          </w:tcPr>
          <w:p w14:paraId="46AED5BF">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21D6C9BA">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资金到位率=（实际到位资金/预算资金）×100%。</w:t>
            </w:r>
          </w:p>
          <w:p w14:paraId="310D5DE4">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实际到位资金：一定时期（本年度或项目期）内落实到具体项目的资金。</w:t>
            </w:r>
          </w:p>
          <w:p w14:paraId="23DEFA12">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预算资金：一定时期（本年度或项目期）内预算安排到具体项目的资金。</w:t>
            </w:r>
          </w:p>
        </w:tc>
        <w:tc>
          <w:tcPr>
            <w:tcW w:w="512" w:type="pct"/>
            <w:shd w:val="clear" w:color="000000" w:fill="FFFFFF"/>
            <w:vAlign w:val="center"/>
          </w:tcPr>
          <w:p w14:paraId="48736376">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000000" w:fill="FFFFFF"/>
            <w:vAlign w:val="center"/>
          </w:tcPr>
          <w:p w14:paraId="651191C5">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7C5CC5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1CF96ED5">
            <w:pPr>
              <w:spacing w:line="0" w:lineRule="atLeast"/>
              <w:jc w:val="center"/>
              <w:rPr>
                <w:rFonts w:hint="default" w:ascii="Times New Roman" w:hAnsi="Times New Roman" w:cs="Times New Roman"/>
                <w:kern w:val="0"/>
                <w:sz w:val="22"/>
                <w:szCs w:val="22"/>
              </w:rPr>
            </w:pPr>
          </w:p>
        </w:tc>
        <w:tc>
          <w:tcPr>
            <w:tcW w:w="302" w:type="pct"/>
            <w:vMerge w:val="continue"/>
            <w:shd w:val="clear" w:color="auto" w:fill="FFFFFF"/>
            <w:vAlign w:val="center"/>
          </w:tcPr>
          <w:p w14:paraId="7D3ABEFB">
            <w:pPr>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522F7318">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预算执行率</w:t>
            </w:r>
          </w:p>
        </w:tc>
        <w:tc>
          <w:tcPr>
            <w:tcW w:w="927" w:type="pct"/>
            <w:shd w:val="clear" w:color="auto" w:fill="FFFFFF"/>
            <w:vAlign w:val="center"/>
          </w:tcPr>
          <w:p w14:paraId="643CDE73">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项目预算资金是否按照计划执行，用以反映或考核项目预算执行情况。</w:t>
            </w:r>
          </w:p>
        </w:tc>
        <w:tc>
          <w:tcPr>
            <w:tcW w:w="2044" w:type="pct"/>
            <w:shd w:val="clear" w:color="auto" w:fill="FFFFFF"/>
            <w:vAlign w:val="center"/>
          </w:tcPr>
          <w:p w14:paraId="48F11B16">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预算执行率=（实际支出资金/实际到位资金）×100%。</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实际支出资金：一定时期（本年度或项目期）内项目实际拨付的资金。</w:t>
            </w:r>
          </w:p>
        </w:tc>
        <w:tc>
          <w:tcPr>
            <w:tcW w:w="512" w:type="pct"/>
            <w:shd w:val="clear" w:color="auto" w:fill="FFFFFF"/>
            <w:vAlign w:val="center"/>
          </w:tcPr>
          <w:p w14:paraId="132E8252">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auto" w:fill="FFFFFF"/>
            <w:vAlign w:val="center"/>
          </w:tcPr>
          <w:p w14:paraId="5550E0C0">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712B2D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45C7ADF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p w14:paraId="6BB2EB47">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过程　</w:t>
            </w:r>
          </w:p>
        </w:tc>
        <w:tc>
          <w:tcPr>
            <w:tcW w:w="302" w:type="pct"/>
            <w:shd w:val="clear" w:color="auto" w:fill="FFFFFF"/>
            <w:vAlign w:val="center"/>
          </w:tcPr>
          <w:p w14:paraId="3108AB3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资金管理</w:t>
            </w:r>
          </w:p>
        </w:tc>
        <w:tc>
          <w:tcPr>
            <w:tcW w:w="344" w:type="pct"/>
            <w:shd w:val="clear" w:color="auto" w:fill="FFFFFF"/>
            <w:vAlign w:val="center"/>
          </w:tcPr>
          <w:p w14:paraId="1E0BD21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资金使用</w:t>
            </w:r>
          </w:p>
          <w:p w14:paraId="40196D3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合规性</w:t>
            </w:r>
          </w:p>
        </w:tc>
        <w:tc>
          <w:tcPr>
            <w:tcW w:w="927" w:type="pct"/>
            <w:shd w:val="clear" w:color="000000" w:fill="FFFFFF"/>
            <w:vAlign w:val="center"/>
          </w:tcPr>
          <w:p w14:paraId="2213FDEB">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20012246">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①是否符合国家财经法规和财务管理制度以及有关专项资金管理办法的规定；</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②资金的拨付是否有完整的审批程序和手续；</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③是否符合项目预算批复或合同规定的用途；</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④是否存在截留、挤占、挪用、虚列支出等情况。</w:t>
            </w:r>
          </w:p>
        </w:tc>
        <w:tc>
          <w:tcPr>
            <w:tcW w:w="512" w:type="pct"/>
            <w:shd w:val="clear" w:color="000000" w:fill="FFFFFF"/>
            <w:vAlign w:val="center"/>
          </w:tcPr>
          <w:p w14:paraId="4DAEF95E">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000000" w:fill="FFFFFF"/>
            <w:vAlign w:val="center"/>
          </w:tcPr>
          <w:p w14:paraId="6FBA91D4">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4F5D11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3DA2A212">
            <w:pPr>
              <w:spacing w:line="0" w:lineRule="atLeast"/>
              <w:jc w:val="center"/>
              <w:rPr>
                <w:rFonts w:hint="default" w:ascii="Times New Roman" w:hAnsi="Times New Roman" w:cs="Times New Roman"/>
                <w:kern w:val="0"/>
                <w:sz w:val="22"/>
                <w:szCs w:val="22"/>
              </w:rPr>
            </w:pPr>
          </w:p>
        </w:tc>
        <w:tc>
          <w:tcPr>
            <w:tcW w:w="302" w:type="pct"/>
            <w:vMerge w:val="restart"/>
            <w:shd w:val="clear" w:color="auto" w:fill="FFFFFF"/>
            <w:vAlign w:val="center"/>
          </w:tcPr>
          <w:p w14:paraId="2DFB27BA">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组织实施</w:t>
            </w:r>
          </w:p>
          <w:p w14:paraId="69069219">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　</w:t>
            </w:r>
          </w:p>
        </w:tc>
        <w:tc>
          <w:tcPr>
            <w:tcW w:w="344" w:type="pct"/>
            <w:shd w:val="clear" w:color="auto" w:fill="FFFFFF"/>
            <w:vAlign w:val="center"/>
          </w:tcPr>
          <w:p w14:paraId="7A34F5D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管理制度</w:t>
            </w:r>
          </w:p>
          <w:p w14:paraId="14FC44C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健全性</w:t>
            </w:r>
          </w:p>
        </w:tc>
        <w:tc>
          <w:tcPr>
            <w:tcW w:w="927" w:type="pct"/>
            <w:shd w:val="clear" w:color="000000" w:fill="FFFFFF"/>
            <w:vAlign w:val="center"/>
          </w:tcPr>
          <w:p w14:paraId="77C896D2">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334FA66D">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①是否已制定或具有相应的财务和业务管理制度；</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②财务和业务管理制度是否合法、合规、完整。</w:t>
            </w:r>
          </w:p>
        </w:tc>
        <w:tc>
          <w:tcPr>
            <w:tcW w:w="512" w:type="pct"/>
            <w:shd w:val="clear" w:color="000000" w:fill="FFFFFF"/>
            <w:vAlign w:val="center"/>
          </w:tcPr>
          <w:p w14:paraId="280315C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000000" w:fill="FFFFFF"/>
            <w:vAlign w:val="center"/>
          </w:tcPr>
          <w:p w14:paraId="48CF0748">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102E2A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4CB5D023">
            <w:pPr>
              <w:widowControl/>
              <w:spacing w:line="0" w:lineRule="atLeast"/>
              <w:jc w:val="center"/>
              <w:rPr>
                <w:rFonts w:hint="default" w:ascii="Times New Roman" w:hAnsi="Times New Roman" w:cs="Times New Roman"/>
                <w:kern w:val="0"/>
                <w:sz w:val="22"/>
                <w:szCs w:val="22"/>
              </w:rPr>
            </w:pPr>
          </w:p>
        </w:tc>
        <w:tc>
          <w:tcPr>
            <w:tcW w:w="302" w:type="pct"/>
            <w:vMerge w:val="continue"/>
            <w:shd w:val="clear" w:color="auto" w:fill="FFFFFF"/>
            <w:vAlign w:val="center"/>
          </w:tcPr>
          <w:p w14:paraId="69816C01">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79B5BC2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制度执行</w:t>
            </w:r>
          </w:p>
          <w:p w14:paraId="4951396D">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有效性</w:t>
            </w:r>
          </w:p>
        </w:tc>
        <w:tc>
          <w:tcPr>
            <w:tcW w:w="927" w:type="pct"/>
            <w:shd w:val="clear" w:color="000000" w:fill="FFFFFF"/>
            <w:vAlign w:val="center"/>
          </w:tcPr>
          <w:p w14:paraId="111DB9A5">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项目实施是否符合相关管理规定，用以反映和考核相关管理制度的有效执行情况。</w:t>
            </w:r>
          </w:p>
        </w:tc>
        <w:tc>
          <w:tcPr>
            <w:tcW w:w="2044" w:type="pct"/>
            <w:shd w:val="clear" w:color="000000" w:fill="FFFFFF"/>
            <w:vAlign w:val="center"/>
          </w:tcPr>
          <w:p w14:paraId="61EC1ABC">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评价要点：</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①是否遵守相关法律法规和相关管理规定；</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②项目调整及支出调整手续是否完备；</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③项目合同书、验收报告、技术鉴定等资料是否齐全并及时归档；</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④项目实施的人员条件、场地设备、信息支撑等是否落实到位。</w:t>
            </w:r>
          </w:p>
        </w:tc>
        <w:tc>
          <w:tcPr>
            <w:tcW w:w="512" w:type="pct"/>
            <w:shd w:val="clear" w:color="000000" w:fill="FFFFFF"/>
            <w:vAlign w:val="center"/>
          </w:tcPr>
          <w:p w14:paraId="04712811">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c>
          <w:tcPr>
            <w:tcW w:w="537" w:type="pct"/>
            <w:shd w:val="clear" w:color="000000" w:fill="FFFFFF"/>
            <w:vAlign w:val="center"/>
          </w:tcPr>
          <w:p w14:paraId="51BDA30E">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4</w:t>
            </w:r>
          </w:p>
        </w:tc>
      </w:tr>
      <w:tr w14:paraId="2FDCCC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5ADB30FB">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w:t>
            </w:r>
          </w:p>
        </w:tc>
        <w:tc>
          <w:tcPr>
            <w:tcW w:w="302" w:type="pct"/>
            <w:shd w:val="clear" w:color="auto" w:fill="FFFFFF"/>
            <w:vAlign w:val="center"/>
          </w:tcPr>
          <w:p w14:paraId="0D48B1C7">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产出数量</w:t>
            </w:r>
          </w:p>
        </w:tc>
        <w:tc>
          <w:tcPr>
            <w:tcW w:w="344" w:type="pct"/>
            <w:shd w:val="clear" w:color="auto" w:fill="FFFFFF"/>
            <w:vAlign w:val="center"/>
          </w:tcPr>
          <w:p w14:paraId="50CEA2A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实际完成率</w:t>
            </w:r>
          </w:p>
        </w:tc>
        <w:tc>
          <w:tcPr>
            <w:tcW w:w="927" w:type="pct"/>
            <w:shd w:val="clear" w:color="000000" w:fill="FFFFFF"/>
            <w:vAlign w:val="center"/>
          </w:tcPr>
          <w:p w14:paraId="01D7954A">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1FE5A778">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实际完成率=（实际产出数/计划产出数）×100%。</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实际产出数：一定时期（本年度或项目期）内项目实际产出的产品或提供的服务数量。</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16A6E5CD">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03E61D6B">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311FBB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16485F5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w:t>
            </w:r>
          </w:p>
        </w:tc>
        <w:tc>
          <w:tcPr>
            <w:tcW w:w="302" w:type="pct"/>
            <w:shd w:val="clear" w:color="auto" w:fill="FFFFFF"/>
            <w:vAlign w:val="center"/>
          </w:tcPr>
          <w:p w14:paraId="2321641E">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产出质量</w:t>
            </w:r>
          </w:p>
        </w:tc>
        <w:tc>
          <w:tcPr>
            <w:tcW w:w="344" w:type="pct"/>
            <w:shd w:val="clear" w:color="auto" w:fill="FFFFFF"/>
            <w:vAlign w:val="center"/>
          </w:tcPr>
          <w:p w14:paraId="3633F51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质量达标率</w:t>
            </w:r>
          </w:p>
        </w:tc>
        <w:tc>
          <w:tcPr>
            <w:tcW w:w="927" w:type="pct"/>
            <w:shd w:val="clear" w:color="000000" w:fill="FFFFFF"/>
            <w:vAlign w:val="center"/>
          </w:tcPr>
          <w:p w14:paraId="1E88504D">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769490C9">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质量达标率=（质量达标产出数/实际产出数）×100%。</w:t>
            </w:r>
          </w:p>
          <w:p w14:paraId="5DDADF5A">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3E430244">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6E8F5B6A">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2D581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71FFB195">
            <w:pPr>
              <w:spacing w:line="0" w:lineRule="atLeast"/>
              <w:jc w:val="center"/>
              <w:rPr>
                <w:rFonts w:hint="default" w:ascii="Times New Roman" w:hAnsi="Times New Roman" w:cs="Times New Roman"/>
                <w:kern w:val="0"/>
                <w:sz w:val="22"/>
                <w:szCs w:val="22"/>
              </w:rPr>
            </w:pPr>
          </w:p>
        </w:tc>
        <w:tc>
          <w:tcPr>
            <w:tcW w:w="302" w:type="pct"/>
            <w:shd w:val="clear" w:color="auto" w:fill="FFFFFF"/>
            <w:vAlign w:val="center"/>
          </w:tcPr>
          <w:p w14:paraId="17F44039">
            <w:pPr>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产出时效</w:t>
            </w:r>
          </w:p>
        </w:tc>
        <w:tc>
          <w:tcPr>
            <w:tcW w:w="344" w:type="pct"/>
            <w:shd w:val="clear" w:color="auto" w:fill="FFFFFF"/>
            <w:vAlign w:val="center"/>
          </w:tcPr>
          <w:p w14:paraId="1729FA7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完成及时性</w:t>
            </w:r>
          </w:p>
        </w:tc>
        <w:tc>
          <w:tcPr>
            <w:tcW w:w="927" w:type="pct"/>
            <w:shd w:val="clear" w:color="000000" w:fill="FFFFFF"/>
            <w:vAlign w:val="center"/>
          </w:tcPr>
          <w:p w14:paraId="3985E8D9">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项目实际完成时间与计划完成时间的比较，用以反映和考核项目产出时效目标的实现程度。</w:t>
            </w:r>
          </w:p>
        </w:tc>
        <w:tc>
          <w:tcPr>
            <w:tcW w:w="2044" w:type="pct"/>
            <w:shd w:val="clear" w:color="000000" w:fill="FFFFFF"/>
            <w:vAlign w:val="center"/>
          </w:tcPr>
          <w:p w14:paraId="30DA8D97">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实际完成时间：项目实施单位完成该项目实际所耗用的时间。</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计划完成时间：按照项目实施计划或相关规定完成该项目所需的时间。</w:t>
            </w:r>
          </w:p>
        </w:tc>
        <w:tc>
          <w:tcPr>
            <w:tcW w:w="512" w:type="pct"/>
            <w:shd w:val="clear" w:color="000000" w:fill="FFFFFF"/>
            <w:vAlign w:val="center"/>
          </w:tcPr>
          <w:p w14:paraId="3D518008">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01FA1D5A">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4D9F9C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2C68A54E">
            <w:pPr>
              <w:widowControl/>
              <w:spacing w:line="0" w:lineRule="atLeast"/>
              <w:jc w:val="center"/>
              <w:rPr>
                <w:rFonts w:hint="default" w:ascii="Times New Roman" w:hAnsi="Times New Roman" w:cs="Times New Roman"/>
                <w:kern w:val="0"/>
                <w:sz w:val="22"/>
                <w:szCs w:val="22"/>
              </w:rPr>
            </w:pPr>
          </w:p>
        </w:tc>
        <w:tc>
          <w:tcPr>
            <w:tcW w:w="302" w:type="pct"/>
            <w:shd w:val="clear" w:color="auto" w:fill="FFFFFF"/>
            <w:vAlign w:val="center"/>
          </w:tcPr>
          <w:p w14:paraId="36838DEC">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产出成本</w:t>
            </w:r>
          </w:p>
        </w:tc>
        <w:tc>
          <w:tcPr>
            <w:tcW w:w="344" w:type="pct"/>
            <w:shd w:val="clear" w:color="auto" w:fill="FFFFFF"/>
            <w:vAlign w:val="center"/>
          </w:tcPr>
          <w:p w14:paraId="3807D676">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成本节约率</w:t>
            </w:r>
          </w:p>
        </w:tc>
        <w:tc>
          <w:tcPr>
            <w:tcW w:w="927" w:type="pct"/>
            <w:shd w:val="clear" w:color="000000" w:fill="FFFFFF"/>
            <w:vAlign w:val="center"/>
          </w:tcPr>
          <w:p w14:paraId="56ED682A">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442B12F6">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成本节约率=[（计划成本-实际成本）/计划成本]×100%。</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实际成本：项目实施单位如期、保质、保量完成既定工作目标实际所耗费的支出。</w:t>
            </w:r>
            <w:r>
              <w:rPr>
                <w:rFonts w:hint="default" w:ascii="Times New Roman" w:hAnsi="Times New Roman" w:cs="Times New Roman"/>
                <w:kern w:val="0"/>
                <w:sz w:val="22"/>
                <w:szCs w:val="22"/>
              </w:rPr>
              <w:br w:type="textWrapping"/>
            </w:r>
            <w:r>
              <w:rPr>
                <w:rFonts w:hint="default" w:ascii="Times New Roman" w:hAnsi="Times New Roman" w:cs="Times New Roman"/>
                <w:kern w:val="0"/>
                <w:sz w:val="22"/>
                <w:szCs w:val="22"/>
              </w:rPr>
              <w:t>计划成本：项目实施单位为完成工作目标计划安排的支出，一般以项目预算为参考。</w:t>
            </w:r>
          </w:p>
        </w:tc>
        <w:tc>
          <w:tcPr>
            <w:tcW w:w="512" w:type="pct"/>
            <w:shd w:val="clear" w:color="000000" w:fill="FFFFFF"/>
            <w:vAlign w:val="center"/>
          </w:tcPr>
          <w:p w14:paraId="389AEBB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461C7960">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213A8B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1A0CCEC4">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效益　</w:t>
            </w:r>
          </w:p>
        </w:tc>
        <w:tc>
          <w:tcPr>
            <w:tcW w:w="302" w:type="pct"/>
            <w:vMerge w:val="restart"/>
            <w:shd w:val="clear" w:color="auto" w:fill="FFFFFF"/>
            <w:vAlign w:val="center"/>
          </w:tcPr>
          <w:p w14:paraId="492DDFF1">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项目效益　</w:t>
            </w:r>
          </w:p>
        </w:tc>
        <w:tc>
          <w:tcPr>
            <w:tcW w:w="344" w:type="pct"/>
            <w:shd w:val="clear" w:color="auto" w:fill="FFFFFF"/>
            <w:vAlign w:val="center"/>
          </w:tcPr>
          <w:p w14:paraId="17133AE2">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实施效益</w:t>
            </w:r>
          </w:p>
        </w:tc>
        <w:tc>
          <w:tcPr>
            <w:tcW w:w="927" w:type="pct"/>
            <w:shd w:val="clear" w:color="auto" w:fill="FFFFFF"/>
            <w:vAlign w:val="center"/>
          </w:tcPr>
          <w:p w14:paraId="17CC3849">
            <w:pPr>
              <w:widowControl/>
              <w:spacing w:line="0" w:lineRule="atLeast"/>
              <w:jc w:val="lef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项目实施所产生的效益。</w:t>
            </w:r>
          </w:p>
        </w:tc>
        <w:tc>
          <w:tcPr>
            <w:tcW w:w="2044" w:type="pct"/>
            <w:shd w:val="clear" w:color="auto" w:fill="FFFFFF"/>
            <w:vAlign w:val="center"/>
          </w:tcPr>
          <w:p w14:paraId="2228B63E">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265AAFA2">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auto" w:fill="FFFFFF"/>
            <w:vAlign w:val="center"/>
          </w:tcPr>
          <w:p w14:paraId="0C8E551E">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r>
      <w:tr w14:paraId="5FA56C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2E1BF2F7">
            <w:pPr>
              <w:widowControl/>
              <w:spacing w:line="0" w:lineRule="atLeast"/>
              <w:jc w:val="center"/>
              <w:rPr>
                <w:rFonts w:hint="default" w:ascii="Times New Roman" w:hAnsi="Times New Roman" w:cs="Times New Roman"/>
                <w:kern w:val="0"/>
                <w:sz w:val="22"/>
                <w:szCs w:val="22"/>
              </w:rPr>
            </w:pPr>
          </w:p>
        </w:tc>
        <w:tc>
          <w:tcPr>
            <w:tcW w:w="302" w:type="pct"/>
            <w:vMerge w:val="continue"/>
            <w:shd w:val="clear" w:color="auto" w:fill="FFFFFF"/>
            <w:vAlign w:val="center"/>
          </w:tcPr>
          <w:p w14:paraId="35F471BD">
            <w:pPr>
              <w:widowControl/>
              <w:spacing w:line="0" w:lineRule="atLeast"/>
              <w:jc w:val="center"/>
              <w:rPr>
                <w:rFonts w:hint="default" w:ascii="Times New Roman" w:hAnsi="Times New Roman" w:cs="Times New Roman"/>
                <w:kern w:val="0"/>
                <w:sz w:val="22"/>
                <w:szCs w:val="22"/>
              </w:rPr>
            </w:pPr>
          </w:p>
        </w:tc>
        <w:tc>
          <w:tcPr>
            <w:tcW w:w="344" w:type="pct"/>
            <w:shd w:val="clear" w:color="auto" w:fill="FFFFFF"/>
            <w:vAlign w:val="center"/>
          </w:tcPr>
          <w:p w14:paraId="45EE89B0">
            <w:pPr>
              <w:widowControl/>
              <w:spacing w:line="0" w:lineRule="atLeast"/>
              <w:jc w:val="center"/>
              <w:rPr>
                <w:rFonts w:hint="default" w:ascii="Times New Roman" w:hAnsi="Times New Roman" w:cs="Times New Roman"/>
                <w:kern w:val="0"/>
                <w:sz w:val="22"/>
                <w:szCs w:val="22"/>
              </w:rPr>
            </w:pPr>
            <w:r>
              <w:rPr>
                <w:rFonts w:hint="default" w:ascii="Times New Roman" w:hAnsi="Times New Roman" w:cs="Times New Roman"/>
                <w:kern w:val="0"/>
                <w:sz w:val="22"/>
                <w:szCs w:val="22"/>
              </w:rPr>
              <w:t>满意度</w:t>
            </w:r>
          </w:p>
        </w:tc>
        <w:tc>
          <w:tcPr>
            <w:tcW w:w="927" w:type="pct"/>
            <w:shd w:val="clear" w:color="000000" w:fill="FFFFFF"/>
            <w:vAlign w:val="center"/>
          </w:tcPr>
          <w:p w14:paraId="0982B3F0">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社会公众或服务对象对项目实施效果的满意程度。</w:t>
            </w:r>
          </w:p>
        </w:tc>
        <w:tc>
          <w:tcPr>
            <w:tcW w:w="2044" w:type="pct"/>
            <w:shd w:val="clear" w:color="000000" w:fill="FFFFFF"/>
            <w:vAlign w:val="center"/>
          </w:tcPr>
          <w:p w14:paraId="5FDA96AC">
            <w:pPr>
              <w:widowControl/>
              <w:spacing w:line="0" w:lineRule="atLeast"/>
              <w:rPr>
                <w:rFonts w:hint="default" w:ascii="Times New Roman" w:hAnsi="Times New Roman" w:cs="Times New Roman"/>
                <w:kern w:val="0"/>
                <w:sz w:val="22"/>
                <w:szCs w:val="22"/>
              </w:rPr>
            </w:pPr>
            <w:r>
              <w:rPr>
                <w:rFonts w:hint="default" w:ascii="Times New Roman" w:hAnsi="Times New Roman" w:cs="Times New Roman"/>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0D7E3867">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10</w:t>
            </w:r>
          </w:p>
        </w:tc>
        <w:tc>
          <w:tcPr>
            <w:tcW w:w="537" w:type="pct"/>
            <w:shd w:val="clear" w:color="000000" w:fill="FFFFFF"/>
            <w:vAlign w:val="center"/>
          </w:tcPr>
          <w:p w14:paraId="4B41A22E">
            <w:pPr>
              <w:widowControl/>
              <w:spacing w:line="0" w:lineRule="atLeast"/>
              <w:jc w:val="center"/>
              <w:rPr>
                <w:rFonts w:hint="default" w:ascii="Times New Roman" w:hAnsi="Times New Roman" w:cs="Times New Roman"/>
                <w:b/>
                <w:bCs/>
                <w:kern w:val="0"/>
                <w:sz w:val="22"/>
                <w:szCs w:val="22"/>
              </w:rPr>
            </w:pPr>
            <w:r>
              <w:rPr>
                <w:rFonts w:hint="default" w:ascii="Times New Roman" w:hAnsi="Times New Roman" w:cs="Times New Roman"/>
                <w:b/>
                <w:bCs/>
                <w:kern w:val="0"/>
                <w:sz w:val="22"/>
                <w:szCs w:val="22"/>
              </w:rPr>
              <w:t>8.95</w:t>
            </w:r>
          </w:p>
        </w:tc>
      </w:tr>
    </w:tbl>
    <w:p w14:paraId="64ED8294">
      <w:pPr>
        <w:pStyle w:val="2"/>
        <w:rPr>
          <w:rFonts w:hint="default" w:ascii="Times New Roman" w:hAnsi="Times New Roman" w:cs="Times New Roman"/>
        </w:rPr>
      </w:pPr>
    </w:p>
    <w:p w14:paraId="21AFE90B">
      <w:pPr>
        <w:rPr>
          <w:rFonts w:hint="default" w:ascii="Times New Roman" w:hAnsi="Times New Roman" w:cs="Times New Roman"/>
        </w:rPr>
      </w:pPr>
    </w:p>
    <w:p w14:paraId="00CF9B88">
      <w:pPr>
        <w:spacing w:line="540" w:lineRule="exact"/>
        <w:ind w:firstLine="640"/>
        <w:rPr>
          <w:rStyle w:val="14"/>
          <w:rFonts w:hint="default" w:ascii="Times New Roman" w:hAnsi="Times New Roman" w:eastAsia="黑体" w:cs="Times New Roman"/>
          <w:bCs w:val="0"/>
          <w:spacing w:val="-4"/>
          <w:sz w:val="32"/>
          <w:szCs w:val="32"/>
        </w:rPr>
      </w:pPr>
    </w:p>
    <w:p w14:paraId="72654319">
      <w:pPr>
        <w:spacing w:line="540" w:lineRule="exact"/>
        <w:ind w:firstLine="640"/>
        <w:rPr>
          <w:rStyle w:val="14"/>
          <w:rFonts w:hint="default" w:ascii="Times New Roman" w:hAnsi="Times New Roman" w:eastAsia="黑体" w:cs="Times New Roman"/>
          <w:bCs w:val="0"/>
          <w:spacing w:val="-4"/>
          <w:sz w:val="32"/>
          <w:szCs w:val="32"/>
        </w:rPr>
      </w:pPr>
    </w:p>
    <w:p w14:paraId="20A48113">
      <w:pPr>
        <w:spacing w:line="540" w:lineRule="exact"/>
        <w:ind w:firstLine="640"/>
        <w:rPr>
          <w:rStyle w:val="14"/>
          <w:rFonts w:hint="default" w:ascii="Times New Roman" w:hAnsi="Times New Roman" w:eastAsia="黑体" w:cs="Times New Roman"/>
          <w:bCs w:val="0"/>
          <w:spacing w:val="-4"/>
          <w:sz w:val="32"/>
          <w:szCs w:val="32"/>
        </w:rPr>
      </w:pPr>
    </w:p>
    <w:p w14:paraId="791D4368">
      <w:pPr>
        <w:spacing w:line="540" w:lineRule="exact"/>
        <w:ind w:firstLine="640"/>
        <w:rPr>
          <w:rStyle w:val="14"/>
          <w:rFonts w:hint="default" w:ascii="Times New Roman" w:hAnsi="Times New Roman" w:eastAsia="黑体" w:cs="Times New Roman"/>
          <w:bCs w:val="0"/>
          <w:spacing w:val="-4"/>
          <w:sz w:val="32"/>
          <w:szCs w:val="32"/>
        </w:rPr>
      </w:pPr>
    </w:p>
    <w:p w14:paraId="112DB4A6">
      <w:pPr>
        <w:spacing w:line="540" w:lineRule="exact"/>
        <w:ind w:firstLine="640"/>
        <w:rPr>
          <w:rStyle w:val="14"/>
          <w:rFonts w:hint="default" w:ascii="Times New Roman" w:hAnsi="Times New Roman" w:eastAsia="黑体" w:cs="Times New Roman"/>
          <w:bCs w:val="0"/>
          <w:spacing w:val="-4"/>
          <w:sz w:val="32"/>
          <w:szCs w:val="32"/>
        </w:rPr>
      </w:pPr>
    </w:p>
    <w:p w14:paraId="6269D03E">
      <w:pPr>
        <w:spacing w:line="540" w:lineRule="exact"/>
        <w:ind w:firstLine="640"/>
        <w:rPr>
          <w:rStyle w:val="14"/>
          <w:rFonts w:hint="default" w:ascii="Times New Roman" w:hAnsi="Times New Roman" w:eastAsia="黑体" w:cs="Times New Roman"/>
          <w:bCs w:val="0"/>
          <w:spacing w:val="-4"/>
          <w:sz w:val="32"/>
          <w:szCs w:val="32"/>
        </w:rPr>
      </w:pPr>
    </w:p>
    <w:p w14:paraId="6B420C95">
      <w:pPr>
        <w:spacing w:line="540" w:lineRule="exact"/>
        <w:rPr>
          <w:rStyle w:val="14"/>
          <w:rFonts w:hint="default" w:ascii="Times New Roman" w:hAnsi="Times New Roman" w:eastAsia="仿宋" w:cs="Times New Roman"/>
          <w:b w:val="0"/>
          <w:spacing w:val="-4"/>
          <w:sz w:val="32"/>
          <w:szCs w:val="32"/>
        </w:rPr>
      </w:pPr>
    </w:p>
    <w:p w14:paraId="664CB785">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FA0F9AC-FF69-4F59-8E40-0C968C6C58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A6BD142E-C259-403D-B3C7-E348AD7014C3}"/>
  </w:font>
  <w:font w:name="华文中宋">
    <w:panose1 w:val="02010600040101010101"/>
    <w:charset w:val="86"/>
    <w:family w:val="auto"/>
    <w:pitch w:val="default"/>
    <w:sig w:usb0="00000287" w:usb1="080F0000" w:usb2="00000000" w:usb3="00000000" w:csb0="0004009F" w:csb1="DFD70000"/>
    <w:embedRegular r:id="rId3" w:fontKey="{83EC347B-5B80-4CB9-B95E-9DBB05844EDB}"/>
  </w:font>
  <w:font w:name="方正小标宋_GBK">
    <w:panose1 w:val="02000000000000000000"/>
    <w:charset w:val="86"/>
    <w:family w:val="script"/>
    <w:pitch w:val="default"/>
    <w:sig w:usb0="A00002BF" w:usb1="38CF7CFA" w:usb2="00082016" w:usb3="00000000" w:csb0="00040001" w:csb1="00000000"/>
    <w:embedRegular r:id="rId4" w:fontKey="{288B236E-8199-4ED8-899A-1A13633E8984}"/>
  </w:font>
  <w:font w:name="楷体_GB2312">
    <w:panose1 w:val="02010609030101010101"/>
    <w:charset w:val="86"/>
    <w:family w:val="auto"/>
    <w:pitch w:val="default"/>
    <w:sig w:usb0="00000001" w:usb1="080E0000" w:usb2="00000000" w:usb3="00000000" w:csb0="00040000" w:csb1="00000000"/>
    <w:embedRegular r:id="rId5" w:fontKey="{35432C4A-13E3-488D-9E2C-989183F2EB50}"/>
  </w:font>
  <w:font w:name="方正仿宋_GBK">
    <w:panose1 w:val="02000000000000000000"/>
    <w:charset w:val="86"/>
    <w:family w:val="auto"/>
    <w:pitch w:val="default"/>
    <w:sig w:usb0="A00002BF" w:usb1="38CF7CFA" w:usb2="00082016" w:usb3="00000000" w:csb0="00040001" w:csb1="00000000"/>
    <w:embedRegular r:id="rId6" w:fontKey="{CC20F423-B194-4EA6-814C-5FA7B973143D}"/>
  </w:font>
  <w:font w:name="楷体">
    <w:panose1 w:val="02010609060101010101"/>
    <w:charset w:val="86"/>
    <w:family w:val="modern"/>
    <w:pitch w:val="default"/>
    <w:sig w:usb0="800002BF" w:usb1="38CF7CFA" w:usb2="00000016" w:usb3="00000000" w:csb0="00040001" w:csb1="00000000"/>
    <w:embedRegular r:id="rId7" w:fontKey="{FD5EF2F7-DDE1-440D-83D0-0386ED84CEDA}"/>
  </w:font>
  <w:font w:name="仿宋">
    <w:panose1 w:val="02010609060101010101"/>
    <w:charset w:val="86"/>
    <w:family w:val="modern"/>
    <w:pitch w:val="default"/>
    <w:sig w:usb0="800002BF" w:usb1="38CF7CFA" w:usb2="00000016" w:usb3="00000000" w:csb0="00040001" w:csb1="00000000"/>
    <w:embedRegular r:id="rId8" w:fontKey="{E17F76BF-E016-4736-A10F-23BA3B97AE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927B64D">
        <w:pPr>
          <w:pStyle w:val="8"/>
          <w:jc w:val="center"/>
        </w:pPr>
        <w:r>
          <w:fldChar w:fldCharType="begin"/>
        </w:r>
        <w:r>
          <w:instrText xml:space="preserve">PAGE   \* MERGEFORMAT</w:instrText>
        </w:r>
        <w:r>
          <w:fldChar w:fldCharType="separate"/>
        </w:r>
        <w:r>
          <w:rPr>
            <w:lang w:val="zh-CN"/>
          </w:rPr>
          <w:t>18</w:t>
        </w:r>
        <w:r>
          <w:fldChar w:fldCharType="end"/>
        </w:r>
      </w:p>
    </w:sdtContent>
  </w:sdt>
  <w:p w14:paraId="10FFC76A">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3853AE"/>
    <w:multiLevelType w:val="singleLevel"/>
    <w:tmpl w:val="E83853AE"/>
    <w:lvl w:ilvl="0" w:tentative="0">
      <w:start w:val="2"/>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38F0C646"/>
    <w:multiLevelType w:val="singleLevel"/>
    <w:tmpl w:val="38F0C646"/>
    <w:lvl w:ilvl="0" w:tentative="0">
      <w:start w:val="1"/>
      <w:numFmt w:val="decimal"/>
      <w:suff w:val="nothing"/>
      <w:lvlText w:val="%1、"/>
      <w:lvlJc w:val="left"/>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ViY2JkMjU3NGYzZTEwMzZmMGFkZWViYmNkYWU3NDIifQ=="/>
  </w:docVars>
  <w:rsids>
    <w:rsidRoot w:val="FF6C4049"/>
    <w:rsid w:val="000246C7"/>
    <w:rsid w:val="00092E99"/>
    <w:rsid w:val="0009399F"/>
    <w:rsid w:val="00095176"/>
    <w:rsid w:val="000A3F7F"/>
    <w:rsid w:val="000E74EC"/>
    <w:rsid w:val="00106246"/>
    <w:rsid w:val="00126EC4"/>
    <w:rsid w:val="00137D9A"/>
    <w:rsid w:val="00184E44"/>
    <w:rsid w:val="001B1FFD"/>
    <w:rsid w:val="001D4FD0"/>
    <w:rsid w:val="0022224B"/>
    <w:rsid w:val="00246845"/>
    <w:rsid w:val="003415B0"/>
    <w:rsid w:val="00361693"/>
    <w:rsid w:val="003964F4"/>
    <w:rsid w:val="004712B7"/>
    <w:rsid w:val="004C7F4B"/>
    <w:rsid w:val="00557964"/>
    <w:rsid w:val="005C5088"/>
    <w:rsid w:val="006A44F2"/>
    <w:rsid w:val="006B5EB6"/>
    <w:rsid w:val="006C5A86"/>
    <w:rsid w:val="00714727"/>
    <w:rsid w:val="00734D01"/>
    <w:rsid w:val="00760F2C"/>
    <w:rsid w:val="007A6BA8"/>
    <w:rsid w:val="007C1A68"/>
    <w:rsid w:val="007C3EAE"/>
    <w:rsid w:val="008251FE"/>
    <w:rsid w:val="00843DD5"/>
    <w:rsid w:val="008B268B"/>
    <w:rsid w:val="009E0760"/>
    <w:rsid w:val="00AE1122"/>
    <w:rsid w:val="00AE1303"/>
    <w:rsid w:val="00B14270"/>
    <w:rsid w:val="00B47E74"/>
    <w:rsid w:val="00B53DDA"/>
    <w:rsid w:val="00BB4607"/>
    <w:rsid w:val="00C20988"/>
    <w:rsid w:val="00C74692"/>
    <w:rsid w:val="00D13149"/>
    <w:rsid w:val="00D83EA1"/>
    <w:rsid w:val="00E01DEB"/>
    <w:rsid w:val="00E064C6"/>
    <w:rsid w:val="00E57321"/>
    <w:rsid w:val="00ED711C"/>
    <w:rsid w:val="00EF7039"/>
    <w:rsid w:val="00F04C7F"/>
    <w:rsid w:val="00F11424"/>
    <w:rsid w:val="00FC7F82"/>
    <w:rsid w:val="00FD3DF8"/>
    <w:rsid w:val="00FF48CD"/>
    <w:rsid w:val="024A7E79"/>
    <w:rsid w:val="0C4F3090"/>
    <w:rsid w:val="13B90F01"/>
    <w:rsid w:val="15E46F00"/>
    <w:rsid w:val="16B26FFE"/>
    <w:rsid w:val="1B8D4F44"/>
    <w:rsid w:val="1C1D76A9"/>
    <w:rsid w:val="1C671E73"/>
    <w:rsid w:val="1F7625B2"/>
    <w:rsid w:val="1FFA7152"/>
    <w:rsid w:val="26A12BEB"/>
    <w:rsid w:val="297A7E50"/>
    <w:rsid w:val="2A4E1CDE"/>
    <w:rsid w:val="2F377504"/>
    <w:rsid w:val="30974E58"/>
    <w:rsid w:val="30F828E0"/>
    <w:rsid w:val="35630713"/>
    <w:rsid w:val="37C86300"/>
    <w:rsid w:val="395F2B56"/>
    <w:rsid w:val="399530F8"/>
    <w:rsid w:val="3BECE841"/>
    <w:rsid w:val="3C7E335B"/>
    <w:rsid w:val="3C9D519E"/>
    <w:rsid w:val="3FDF9A1A"/>
    <w:rsid w:val="3FF7797D"/>
    <w:rsid w:val="40F015F2"/>
    <w:rsid w:val="41B825BB"/>
    <w:rsid w:val="42C158EA"/>
    <w:rsid w:val="4489310A"/>
    <w:rsid w:val="476D46F8"/>
    <w:rsid w:val="480A4BD3"/>
    <w:rsid w:val="48561630"/>
    <w:rsid w:val="485D4B3C"/>
    <w:rsid w:val="49613A8C"/>
    <w:rsid w:val="4AD11400"/>
    <w:rsid w:val="4D1C1AB9"/>
    <w:rsid w:val="4EE551A6"/>
    <w:rsid w:val="4FE47521"/>
    <w:rsid w:val="513F10F3"/>
    <w:rsid w:val="54C47921"/>
    <w:rsid w:val="572F0255"/>
    <w:rsid w:val="59941C1B"/>
    <w:rsid w:val="5A7631A9"/>
    <w:rsid w:val="5BFF6039"/>
    <w:rsid w:val="5D76A616"/>
    <w:rsid w:val="5D7F20B9"/>
    <w:rsid w:val="5DAC7D0E"/>
    <w:rsid w:val="5E5A354E"/>
    <w:rsid w:val="5FFE8511"/>
    <w:rsid w:val="5FFEACE2"/>
    <w:rsid w:val="61A46529"/>
    <w:rsid w:val="61B27EEA"/>
    <w:rsid w:val="643EE26D"/>
    <w:rsid w:val="6C513E49"/>
    <w:rsid w:val="6C5B3EB0"/>
    <w:rsid w:val="6C7D3F91"/>
    <w:rsid w:val="6D620CC7"/>
    <w:rsid w:val="6DB62A2B"/>
    <w:rsid w:val="6FAF6C78"/>
    <w:rsid w:val="72AF7D9A"/>
    <w:rsid w:val="7317C656"/>
    <w:rsid w:val="77676A44"/>
    <w:rsid w:val="77FD8BE9"/>
    <w:rsid w:val="79A9BD3F"/>
    <w:rsid w:val="7BFFFDD0"/>
    <w:rsid w:val="7D6F57DA"/>
    <w:rsid w:val="7D7A5F86"/>
    <w:rsid w:val="7D8050DF"/>
    <w:rsid w:val="7DEB18F7"/>
    <w:rsid w:val="7EB24F63"/>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0"/>
    <w:autoRedefine/>
    <w:qFormat/>
    <w:uiPriority w:val="99"/>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Balloon Text"/>
    <w:basedOn w:val="1"/>
    <w:link w:val="26"/>
    <w:autoRedefine/>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19"/>
    <w:autoRedefine/>
    <w:qFormat/>
    <w:uiPriority w:val="0"/>
    <w:pPr>
      <w:tabs>
        <w:tab w:val="center" w:pos="4153"/>
        <w:tab w:val="right" w:pos="8306"/>
      </w:tabs>
      <w:snapToGrid w:val="0"/>
      <w:jc w:val="center"/>
    </w:pPr>
    <w:rPr>
      <w:sz w:val="18"/>
      <w:szCs w:val="18"/>
    </w:rPr>
  </w:style>
  <w:style w:type="paragraph" w:styleId="10">
    <w:name w:val="Body Text First Indent"/>
    <w:basedOn w:val="5"/>
    <w:autoRedefine/>
    <w:qFormat/>
    <w:uiPriority w:val="0"/>
    <w:pPr>
      <w:spacing w:after="0"/>
      <w:ind w:firstLine="200" w:firstLineChars="200"/>
    </w:pPr>
  </w:style>
  <w:style w:type="paragraph" w:styleId="11">
    <w:name w:val="Body Text First Indent 2"/>
    <w:basedOn w:val="6"/>
    <w:autoRedefine/>
    <w:qFormat/>
    <w:uiPriority w:val="0"/>
    <w:pPr>
      <w:ind w:firstLine="420" w:firstLineChars="200"/>
    </w:pPr>
  </w:style>
  <w:style w:type="character" w:styleId="14">
    <w:name w:val="Strong"/>
    <w:basedOn w:val="13"/>
    <w:autoRedefine/>
    <w:qFormat/>
    <w:uiPriority w:val="0"/>
    <w:rPr>
      <w:b/>
      <w:bCs/>
    </w:rPr>
  </w:style>
  <w:style w:type="character" w:styleId="15">
    <w:name w:val="annotation reference"/>
    <w:basedOn w:val="13"/>
    <w:autoRedefine/>
    <w:qFormat/>
    <w:uiPriority w:val="99"/>
    <w:rPr>
      <w:sz w:val="21"/>
      <w:szCs w:val="21"/>
    </w:rPr>
  </w:style>
  <w:style w:type="character" w:customStyle="1" w:styleId="16">
    <w:name w:val="fontstyle01"/>
    <w:autoRedefine/>
    <w:qFormat/>
    <w:uiPriority w:val="0"/>
    <w:rPr>
      <w:rFonts w:ascii="仿宋_GB2312" w:hAnsi="仿宋_GB2312" w:eastAsia="仿宋_GB2312" w:cs="仿宋_GB2312"/>
      <w:color w:val="000000"/>
      <w:sz w:val="32"/>
      <w:szCs w:val="32"/>
    </w:rPr>
  </w:style>
  <w:style w:type="paragraph" w:customStyle="1" w:styleId="17">
    <w:name w:val="闻政-正文段落文字"/>
    <w:basedOn w:val="1"/>
    <w:autoRedefine/>
    <w:qFormat/>
    <w:uiPriority w:val="3"/>
    <w:pPr>
      <w:spacing w:line="500" w:lineRule="exact"/>
      <w:ind w:firstLine="200"/>
    </w:pPr>
    <w:rPr>
      <w:kern w:val="0"/>
      <w:szCs w:val="28"/>
    </w:rPr>
  </w:style>
  <w:style w:type="paragraph" w:customStyle="1" w:styleId="18">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眉 Char"/>
    <w:basedOn w:val="13"/>
    <w:link w:val="9"/>
    <w:autoRedefine/>
    <w:qFormat/>
    <w:uiPriority w:val="0"/>
    <w:rPr>
      <w:rFonts w:ascii="Times New Roman" w:hAnsi="Times New Roman" w:eastAsia="宋体" w:cs="Times New Roman"/>
      <w:kern w:val="2"/>
      <w:sz w:val="18"/>
      <w:szCs w:val="18"/>
    </w:rPr>
  </w:style>
  <w:style w:type="character" w:customStyle="1" w:styleId="20">
    <w:name w:val="批注文字 Char"/>
    <w:basedOn w:val="13"/>
    <w:link w:val="4"/>
    <w:autoRedefine/>
    <w:qFormat/>
    <w:uiPriority w:val="99"/>
    <w:rPr>
      <w:rFonts w:ascii="Times New Roman" w:hAnsi="Times New Roman" w:eastAsia="宋体" w:cs="Times New Roman"/>
      <w:kern w:val="2"/>
      <w:sz w:val="21"/>
      <w:szCs w:val="24"/>
    </w:rPr>
  </w:style>
  <w:style w:type="paragraph" w:styleId="21">
    <w:name w:val="List Paragraph"/>
    <w:basedOn w:val="1"/>
    <w:autoRedefine/>
    <w:unhideWhenUsed/>
    <w:qFormat/>
    <w:uiPriority w:val="99"/>
    <w:pPr>
      <w:ind w:firstLine="420" w:firstLineChars="200"/>
    </w:pPr>
  </w:style>
  <w:style w:type="character" w:customStyle="1" w:styleId="22">
    <w:name w:val="font31"/>
    <w:basedOn w:val="13"/>
    <w:autoRedefine/>
    <w:qFormat/>
    <w:uiPriority w:val="0"/>
    <w:rPr>
      <w:rFonts w:hint="eastAsia" w:ascii="宋体" w:hAnsi="宋体" w:eastAsia="宋体" w:cs="宋体"/>
      <w:color w:val="000000"/>
      <w:sz w:val="18"/>
      <w:szCs w:val="18"/>
      <w:u w:val="none"/>
    </w:rPr>
  </w:style>
  <w:style w:type="character" w:customStyle="1" w:styleId="23">
    <w:name w:val="font61"/>
    <w:basedOn w:val="13"/>
    <w:autoRedefine/>
    <w:qFormat/>
    <w:uiPriority w:val="0"/>
    <w:rPr>
      <w:rFonts w:hint="eastAsia" w:ascii="宋体" w:hAnsi="宋体" w:eastAsia="宋体" w:cs="宋体"/>
      <w:color w:val="000000"/>
      <w:sz w:val="16"/>
      <w:szCs w:val="16"/>
      <w:u w:val="none"/>
    </w:rPr>
  </w:style>
  <w:style w:type="character" w:customStyle="1" w:styleId="24">
    <w:name w:val="font51"/>
    <w:basedOn w:val="13"/>
    <w:autoRedefine/>
    <w:qFormat/>
    <w:uiPriority w:val="0"/>
    <w:rPr>
      <w:rFonts w:hint="eastAsia" w:ascii="宋体" w:hAnsi="宋体" w:eastAsia="宋体" w:cs="宋体"/>
      <w:color w:val="000000"/>
      <w:sz w:val="18"/>
      <w:szCs w:val="18"/>
      <w:u w:val="none"/>
    </w:rPr>
  </w:style>
  <w:style w:type="character" w:customStyle="1" w:styleId="25">
    <w:name w:val="font41"/>
    <w:basedOn w:val="13"/>
    <w:autoRedefine/>
    <w:qFormat/>
    <w:uiPriority w:val="0"/>
    <w:rPr>
      <w:rFonts w:hint="eastAsia" w:ascii="宋体" w:hAnsi="宋体" w:eastAsia="宋体" w:cs="宋体"/>
      <w:color w:val="000000"/>
      <w:sz w:val="18"/>
      <w:szCs w:val="18"/>
      <w:u w:val="none"/>
    </w:rPr>
  </w:style>
  <w:style w:type="character" w:customStyle="1" w:styleId="26">
    <w:name w:val="批注框文本 Char"/>
    <w:basedOn w:val="13"/>
    <w:link w:val="7"/>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10605</Words>
  <Characters>11337</Characters>
  <Lines>87</Lines>
  <Paragraphs>24</Paragraphs>
  <TotalTime>24</TotalTime>
  <ScaleCrop>false</ScaleCrop>
  <LinksUpToDate>false</LinksUpToDate>
  <CharactersWithSpaces>11442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薛俊璇</cp:lastModifiedBy>
  <cp:lastPrinted>2024-03-09T23:43:00Z</cp:lastPrinted>
  <dcterms:modified xsi:type="dcterms:W3CDTF">2024-08-27T11:22:58Z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0CA58AF8364FF55815C8066417B177EA</vt:lpwstr>
  </property>
</Properties>
</file>