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C3412">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color w:val="auto"/>
          <w:sz w:val="32"/>
          <w:szCs w:val="32"/>
          <w:highlight w:val="none"/>
        </w:rPr>
      </w:pPr>
    </w:p>
    <w:p w14:paraId="4932922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210792C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新疆维吾尔自治区妇幼保健中心</w:t>
      </w:r>
    </w:p>
    <w:p w14:paraId="139CDB8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w:t>
      </w:r>
      <w:r>
        <w:rPr>
          <w:rFonts w:hint="default" w:ascii="Times New Roman" w:hAnsi="Times New Roman" w:eastAsia="方正小标宋_GBK" w:cs="Times New Roman"/>
          <w:color w:val="auto"/>
          <w:sz w:val="44"/>
          <w:szCs w:val="44"/>
          <w:highlight w:val="none"/>
          <w:lang w:eastAsia="zh-CN"/>
        </w:rPr>
        <w:t>2023</w:t>
      </w:r>
      <w:r>
        <w:rPr>
          <w:rFonts w:hint="eastAsia" w:ascii="方正小标宋_GBK" w:hAnsi="宋体" w:eastAsia="方正小标宋_GBK"/>
          <w:color w:val="auto"/>
          <w:sz w:val="44"/>
          <w:szCs w:val="44"/>
          <w:highlight w:val="none"/>
          <w:lang w:eastAsia="zh-CN"/>
        </w:rPr>
        <w:t>年度</w:t>
      </w:r>
      <w:r>
        <w:rPr>
          <w:rFonts w:hint="eastAsia" w:ascii="方正小标宋_GBK" w:hAnsi="宋体" w:eastAsia="方正小标宋_GBK"/>
          <w:color w:val="auto"/>
          <w:sz w:val="44"/>
          <w:szCs w:val="44"/>
          <w:highlight w:val="none"/>
        </w:rPr>
        <w:t>部门决算公开说明</w:t>
      </w:r>
    </w:p>
    <w:p w14:paraId="574B57F3">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06ADD96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7E31F6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DC9F3D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5488A64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BF1DDD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34F9101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453282C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3EBC430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7C2AB2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26F89F4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E793D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6A01D36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2750D5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E71EC2E">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70F494D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F20401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59CC740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601CCF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10CAD06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2E87552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250CDD3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1211288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7891DEE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637872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8B9FB5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5D98D3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2391D77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435F7E5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1EE2300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109E08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FB16A3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6CF9EB4E">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BBB0C47">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69251A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0785C9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139B2A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新疆维吾尔自治区妇幼保健中心位于乌鲁木齐市沙依巴克区友好北路</w:t>
      </w:r>
      <w:r>
        <w:rPr>
          <w:rFonts w:hint="default" w:ascii="Times New Roman" w:hAnsi="Times New Roman" w:eastAsia="仿宋_GB2312" w:cs="Times New Roman"/>
          <w:color w:val="auto"/>
          <w:sz w:val="32"/>
          <w:szCs w:val="32"/>
          <w:highlight w:val="none"/>
          <w:lang w:val="en-US" w:eastAsia="zh-CN"/>
        </w:rPr>
        <w:t>789</w:t>
      </w:r>
      <w:r>
        <w:rPr>
          <w:rFonts w:hint="eastAsia" w:ascii="仿宋_GB2312" w:eastAsia="仿宋_GB2312"/>
          <w:color w:val="auto"/>
          <w:sz w:val="32"/>
          <w:szCs w:val="32"/>
          <w:highlight w:val="none"/>
          <w:lang w:val="en-US" w:eastAsia="zh-CN"/>
        </w:rPr>
        <w:t>号，是全额拨款事业单位。目前承担全区母婴保健监测和技术指导工作，为基层妇女、儿童提供健康教育和预防保健公共卫生服务等工作。</w:t>
      </w:r>
    </w:p>
    <w:p w14:paraId="6EF93B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506C37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新疆维吾尔自治区妇幼保健中心</w:t>
      </w:r>
      <w:r>
        <w:rPr>
          <w:rFonts w:hint="eastAsia" w:ascii="Times New Roman" w:hAnsi="Times New Roman" w:eastAsia="仿宋_GB2312" w:cs="Times New Roman"/>
          <w:color w:val="auto"/>
          <w:sz w:val="32"/>
          <w:szCs w:val="32"/>
          <w:highlight w:val="none"/>
          <w:lang w:val="en-US" w:eastAsia="zh-CN"/>
        </w:rPr>
        <w:t>2023</w:t>
      </w:r>
      <w:r>
        <w:rPr>
          <w:rFonts w:hint="eastAsia" w:ascii="仿宋_GB2312" w:eastAsia="仿宋_GB2312"/>
          <w:color w:val="auto"/>
          <w:sz w:val="32"/>
          <w:szCs w:val="32"/>
          <w:highlight w:val="none"/>
          <w:lang w:eastAsia="zh-CN"/>
        </w:rPr>
        <w:t>年度，</w:t>
      </w:r>
      <w:r>
        <w:rPr>
          <w:rFonts w:hint="eastAsia" w:ascii="仿宋_GB2312" w:eastAsia="仿宋_GB2312"/>
          <w:color w:val="auto"/>
          <w:sz w:val="32"/>
          <w:szCs w:val="32"/>
          <w:highlight w:val="none"/>
        </w:rPr>
        <w:t>实有人数</w:t>
      </w:r>
      <w:r>
        <w:rPr>
          <w:rFonts w:hint="eastAsia" w:ascii="Times New Roman" w:hAnsi="Times New Roman" w:eastAsia="仿宋_GB2312" w:cs="Times New Roman"/>
          <w:color w:val="auto"/>
          <w:sz w:val="32"/>
          <w:szCs w:val="32"/>
          <w:highlight w:val="none"/>
          <w:lang w:val="zh-CN" w:eastAsia="zh-CN"/>
        </w:rPr>
        <w:t>24</w:t>
      </w:r>
      <w:r>
        <w:rPr>
          <w:rFonts w:hint="eastAsia" w:ascii="仿宋_GB2312" w:eastAsia="仿宋_GB2312"/>
          <w:color w:val="auto"/>
          <w:sz w:val="32"/>
          <w:szCs w:val="32"/>
          <w:highlight w:val="none"/>
        </w:rPr>
        <w:t>人，其中：在职人员</w:t>
      </w:r>
      <w:r>
        <w:rPr>
          <w:rFonts w:hint="eastAsia" w:ascii="Times New Roman" w:hAnsi="Times New Roman" w:eastAsia="仿宋_GB2312" w:cs="Times New Roman"/>
          <w:color w:val="auto"/>
          <w:sz w:val="32"/>
          <w:szCs w:val="32"/>
          <w:highlight w:val="none"/>
          <w:lang w:val="zh-CN" w:eastAsia="zh-CN"/>
        </w:rPr>
        <w:t>18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Times New Roman" w:hAnsi="Times New Roman" w:eastAsia="仿宋_GB2312" w:cs="Times New Roman"/>
          <w:color w:val="auto"/>
          <w:sz w:val="32"/>
          <w:szCs w:val="32"/>
          <w:highlight w:val="none"/>
          <w:lang w:val="zh-CN" w:eastAsia="zh-CN"/>
        </w:rPr>
        <w:t>6</w:t>
      </w:r>
      <w:r>
        <w:rPr>
          <w:rFonts w:hint="eastAsia" w:ascii="仿宋_GB2312" w:eastAsia="仿宋_GB2312"/>
          <w:color w:val="auto"/>
          <w:sz w:val="32"/>
          <w:szCs w:val="32"/>
          <w:highlight w:val="none"/>
        </w:rPr>
        <w:t>人。</w:t>
      </w:r>
    </w:p>
    <w:p w14:paraId="4ACF42DD">
      <w:pPr>
        <w:ind w:firstLine="640" w:firstLineChars="200"/>
        <w:rPr>
          <w:rFonts w:ascii="仿宋_GB2312" w:eastAsia="仿宋_GB2312"/>
          <w:sz w:val="32"/>
          <w:szCs w:val="32"/>
          <w:highlight w:val="none"/>
        </w:rPr>
      </w:pPr>
      <w:r>
        <w:rPr>
          <w:rFonts w:hint="eastAsia" w:ascii="仿宋_GB2312" w:hAnsi="黑体" w:eastAsia="仿宋_GB2312" w:cs="宋体"/>
          <w:bCs/>
          <w:color w:val="auto"/>
          <w:kern w:val="0"/>
          <w:sz w:val="32"/>
          <w:szCs w:val="32"/>
          <w:highlight w:val="none"/>
        </w:rPr>
        <w:t>单位无下属预算单位，下设</w:t>
      </w:r>
      <w:r>
        <w:rPr>
          <w:rFonts w:hint="eastAsia" w:ascii="Times New Roman" w:hAnsi="Times New Roman" w:eastAsia="仿宋_GB2312" w:cs="Times New Roman"/>
          <w:color w:val="auto"/>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kern w:val="0"/>
          <w:sz w:val="32"/>
          <w:szCs w:val="32"/>
          <w:highlight w:val="none"/>
        </w:rPr>
        <w:t>妇女保健科、孕产保健科、保健部、儿童保健科</w:t>
      </w:r>
      <w:r>
        <w:rPr>
          <w:rFonts w:hint="eastAsia" w:ascii="仿宋_GB2312" w:hAnsi="宋体" w:eastAsia="仿宋_GB2312" w:cs="宋体"/>
          <w:kern w:val="0"/>
          <w:sz w:val="32"/>
          <w:szCs w:val="32"/>
          <w:highlight w:val="none"/>
        </w:rPr>
        <w:t>。</w:t>
      </w:r>
    </w:p>
    <w:p w14:paraId="0F65E19C">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279C5A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547746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3F5194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2023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pacing w:val="0"/>
          <w:sz w:val="32"/>
          <w:szCs w:val="32"/>
          <w:highlight w:val="none"/>
          <w:lang w:val="en-US" w:eastAsia="zh-CN"/>
        </w:rPr>
        <w:t>收入总计</w:t>
      </w:r>
      <w:r>
        <w:rPr>
          <w:rFonts w:hint="eastAsia" w:ascii="Times New Roman" w:hAnsi="Times New Roman" w:eastAsia="仿宋_GB2312" w:cs="Times New Roman"/>
          <w:color w:val="auto"/>
          <w:sz w:val="32"/>
          <w:szCs w:val="32"/>
          <w:highlight w:val="none"/>
          <w:lang w:val="en-US" w:eastAsia="zh-CN"/>
        </w:rPr>
        <w:t>511.60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其中：本年收入合计</w:t>
      </w:r>
      <w:r>
        <w:rPr>
          <w:rFonts w:hint="eastAsia" w:ascii="Times New Roman" w:hAnsi="Times New Roman" w:eastAsia="仿宋_GB2312" w:cs="Times New Roman"/>
          <w:color w:val="auto"/>
          <w:sz w:val="32"/>
          <w:szCs w:val="32"/>
          <w:highlight w:val="none"/>
          <w:lang w:val="en-US" w:eastAsia="zh-CN"/>
        </w:rPr>
        <w:t>502.39</w:t>
      </w:r>
      <w:r>
        <w:rPr>
          <w:rFonts w:hint="eastAsia" w:ascii="仿宋_GB2312" w:eastAsia="仿宋_GB2312"/>
          <w:color w:val="auto"/>
          <w:spacing w:val="0"/>
          <w:sz w:val="32"/>
          <w:szCs w:val="32"/>
          <w:highlight w:val="none"/>
          <w:lang w:eastAsia="zh-CN"/>
        </w:rPr>
        <w:t>万元，使用非财政拨款结余</w:t>
      </w:r>
      <w:r>
        <w:rPr>
          <w:rFonts w:hint="eastAsia" w:ascii="Times New Roman" w:hAnsi="Times New Roman" w:eastAsia="仿宋_GB2312" w:cs="Times New Roman"/>
          <w:color w:val="auto"/>
          <w:sz w:val="32"/>
          <w:szCs w:val="32"/>
          <w:highlight w:val="none"/>
          <w:lang w:val="en-US" w:eastAsia="zh-CN"/>
        </w:rPr>
        <w:t>0.01</w:t>
      </w:r>
      <w:r>
        <w:rPr>
          <w:rFonts w:hint="eastAsia" w:ascii="仿宋_GB2312" w:eastAsia="仿宋_GB2312"/>
          <w:color w:val="auto"/>
          <w:spacing w:val="0"/>
          <w:sz w:val="32"/>
          <w:szCs w:val="32"/>
          <w:highlight w:val="none"/>
          <w:lang w:eastAsia="zh-CN"/>
        </w:rPr>
        <w:t>万元，年初结转和结余</w:t>
      </w:r>
      <w:r>
        <w:rPr>
          <w:rFonts w:hint="eastAsia" w:ascii="Times New Roman" w:hAnsi="Times New Roman" w:eastAsia="仿宋_GB2312" w:cs="Times New Roman"/>
          <w:color w:val="auto"/>
          <w:sz w:val="32"/>
          <w:szCs w:val="32"/>
          <w:highlight w:val="none"/>
          <w:lang w:val="en-US" w:eastAsia="zh-CN"/>
        </w:rPr>
        <w:t>9.21</w:t>
      </w:r>
      <w:r>
        <w:rPr>
          <w:rFonts w:hint="eastAsia" w:ascii="仿宋_GB2312" w:eastAsia="仿宋_GB2312"/>
          <w:color w:val="auto"/>
          <w:spacing w:val="0"/>
          <w:sz w:val="32"/>
          <w:szCs w:val="32"/>
          <w:highlight w:val="none"/>
          <w:lang w:eastAsia="zh-CN"/>
        </w:rPr>
        <w:t>万元。</w:t>
      </w:r>
    </w:p>
    <w:p w14:paraId="71A1F2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Times New Roman"/>
          <w:color w:val="auto"/>
          <w:sz w:val="32"/>
          <w:szCs w:val="32"/>
          <w:highlight w:val="none"/>
          <w:lang w:val="en-US" w:eastAsia="zh-CN"/>
        </w:rPr>
        <w:t>511.60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其中：本年支出合计</w:t>
      </w:r>
      <w:r>
        <w:rPr>
          <w:rFonts w:hint="eastAsia" w:ascii="Times New Roman" w:hAnsi="Times New Roman" w:eastAsia="仿宋_GB2312" w:cs="Times New Roman"/>
          <w:color w:val="auto"/>
          <w:sz w:val="32"/>
          <w:szCs w:val="32"/>
          <w:highlight w:val="none"/>
          <w:lang w:val="en-US" w:eastAsia="zh-CN"/>
        </w:rPr>
        <w:t>507.96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结余分配</w:t>
      </w:r>
      <w:r>
        <w:rPr>
          <w:rFonts w:hint="eastAsia" w:ascii="Times New Roman" w:hAnsi="Times New Roman" w:eastAsia="仿宋_GB2312" w:cs="Times New Roman"/>
          <w:color w:val="auto"/>
          <w:sz w:val="32"/>
          <w:szCs w:val="32"/>
          <w:highlight w:val="none"/>
          <w:lang w:val="en-US" w:eastAsia="zh-CN"/>
        </w:rPr>
        <w:t>0.00</w:t>
      </w:r>
      <w:r>
        <w:rPr>
          <w:rFonts w:hint="eastAsia" w:ascii="仿宋_GB2312" w:eastAsia="仿宋_GB2312"/>
          <w:color w:val="auto"/>
          <w:spacing w:val="0"/>
          <w:sz w:val="32"/>
          <w:szCs w:val="32"/>
          <w:highlight w:val="none"/>
          <w:lang w:eastAsia="zh-CN"/>
        </w:rPr>
        <w:t>万元，年末结转和结余</w:t>
      </w:r>
      <w:r>
        <w:rPr>
          <w:rFonts w:hint="eastAsia" w:ascii="Times New Roman" w:hAnsi="Times New Roman" w:eastAsia="仿宋_GB2312" w:cs="Times New Roman"/>
          <w:color w:val="auto"/>
          <w:sz w:val="32"/>
          <w:szCs w:val="32"/>
          <w:highlight w:val="none"/>
          <w:lang w:val="en-US" w:eastAsia="zh-CN"/>
        </w:rPr>
        <w:t>3.64</w:t>
      </w:r>
      <w:r>
        <w:rPr>
          <w:rFonts w:hint="eastAsia" w:ascii="仿宋_GB2312" w:eastAsia="仿宋_GB2312"/>
          <w:color w:val="auto"/>
          <w:spacing w:val="0"/>
          <w:sz w:val="32"/>
          <w:szCs w:val="32"/>
          <w:highlight w:val="none"/>
          <w:lang w:eastAsia="zh-CN"/>
        </w:rPr>
        <w:t>万元。</w:t>
      </w:r>
    </w:p>
    <w:p w14:paraId="502D1F5F">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Times New Roman" w:hAnsi="Times New Roman" w:eastAsia="仿宋_GB2312" w:cs="Times New Roman"/>
          <w:color w:val="auto"/>
          <w:sz w:val="32"/>
          <w:szCs w:val="32"/>
          <w:highlight w:val="none"/>
          <w:lang w:val="zh-CN" w:eastAsia="zh-CN"/>
        </w:rPr>
        <w:t>51.71</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Times New Roman" w:hAnsi="Times New Roman" w:eastAsia="仿宋_GB2312" w:cs="Times New Roman"/>
          <w:color w:val="auto"/>
          <w:sz w:val="32"/>
          <w:szCs w:val="32"/>
          <w:highlight w:val="none"/>
          <w:lang w:val="zh-CN" w:eastAsia="zh-CN"/>
        </w:rPr>
        <w:t>11.24%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因</w:t>
      </w:r>
      <w:r>
        <w:rPr>
          <w:rFonts w:hint="eastAsia" w:ascii="仿宋_GB2312" w:eastAsia="仿宋_GB2312"/>
          <w:sz w:val="32"/>
          <w:szCs w:val="32"/>
          <w:lang w:val="en-US" w:eastAsia="zh-CN"/>
        </w:rPr>
        <w:t>人员工资调整及</w:t>
      </w:r>
      <w:r>
        <w:rPr>
          <w:rFonts w:hint="eastAsia" w:ascii="仿宋_GB2312" w:eastAsia="仿宋_GB2312"/>
          <w:sz w:val="32"/>
          <w:szCs w:val="32"/>
        </w:rPr>
        <w:t>社保公积金基数上调，导致相关收入增加。</w:t>
      </w:r>
    </w:p>
    <w:p w14:paraId="3581FC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06FC7B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Times New Roman" w:hAnsi="Times New Roman" w:eastAsia="仿宋_GB2312" w:cs="Times New Roman"/>
          <w:color w:val="auto"/>
          <w:sz w:val="32"/>
          <w:szCs w:val="32"/>
          <w:highlight w:val="none"/>
          <w:lang w:val="en-US" w:eastAsia="zh-CN"/>
        </w:rPr>
        <w:t>502.39</w:t>
      </w:r>
      <w:r>
        <w:rPr>
          <w:rFonts w:hint="eastAsia" w:ascii="仿宋_GB2312" w:eastAsia="仿宋_GB2312"/>
          <w:color w:val="auto"/>
          <w:sz w:val="32"/>
          <w:szCs w:val="32"/>
          <w:highlight w:val="none"/>
        </w:rPr>
        <w:t>万元，其中：财政拨款收入</w:t>
      </w:r>
      <w:r>
        <w:rPr>
          <w:rFonts w:hint="eastAsia" w:ascii="Times New Roman" w:hAnsi="Times New Roman" w:eastAsia="仿宋_GB2312" w:cs="Times New Roman"/>
          <w:color w:val="auto"/>
          <w:sz w:val="32"/>
          <w:szCs w:val="32"/>
          <w:highlight w:val="none"/>
          <w:lang w:val="zh-CN" w:eastAsia="zh-CN"/>
        </w:rPr>
        <w:t>502.28</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99.98</w:t>
      </w:r>
      <w:r>
        <w:rPr>
          <w:rFonts w:hint="eastAsia" w:ascii="Times New Roman" w:hAnsi="Times New Roman" w:eastAsia="仿宋_GB2312" w:cs="Times New Roman"/>
          <w:color w:val="auto"/>
          <w:sz w:val="32"/>
          <w:szCs w:val="32"/>
          <w:highlight w:val="none"/>
          <w:lang w:val="en-US" w:eastAsia="zh-CN"/>
        </w:rPr>
        <w:t>%</w:t>
      </w:r>
      <w:r>
        <w:rPr>
          <w:rFonts w:hint="eastAsia" w:ascii="仿宋_GB2312" w:eastAsia="仿宋_GB2312"/>
          <w:color w:val="auto"/>
          <w:sz w:val="32"/>
          <w:szCs w:val="32"/>
          <w:highlight w:val="none"/>
        </w:rPr>
        <w:t>；上级补助收入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Times New Roman" w:hAnsi="Times New Roman" w:eastAsia="仿宋_GB2312" w:cs="Times New Roman"/>
          <w:color w:val="auto"/>
          <w:sz w:val="32"/>
          <w:szCs w:val="32"/>
          <w:highlight w:val="none"/>
          <w:lang w:val="en-US" w:eastAsia="zh-CN"/>
        </w:rPr>
        <w:t>%</w:t>
      </w:r>
      <w:r>
        <w:rPr>
          <w:rFonts w:hint="eastAsia" w:ascii="仿宋_GB2312" w:eastAsia="仿宋_GB2312"/>
          <w:color w:val="auto"/>
          <w:sz w:val="32"/>
          <w:szCs w:val="32"/>
          <w:highlight w:val="none"/>
        </w:rPr>
        <w:t>；事业收入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Times New Roman" w:hAnsi="Times New Roman" w:eastAsia="仿宋_GB2312" w:cs="Times New Roman"/>
          <w:color w:val="auto"/>
          <w:sz w:val="32"/>
          <w:szCs w:val="32"/>
          <w:highlight w:val="none"/>
          <w:lang w:val="en-US" w:eastAsia="zh-CN"/>
        </w:rPr>
        <w:t>%</w:t>
      </w:r>
      <w:r>
        <w:rPr>
          <w:rFonts w:hint="eastAsia" w:ascii="仿宋_GB2312" w:eastAsia="仿宋_GB2312"/>
          <w:color w:val="auto"/>
          <w:sz w:val="32"/>
          <w:szCs w:val="32"/>
          <w:highlight w:val="none"/>
        </w:rPr>
        <w:t>；经营收入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Times New Roman" w:hAnsi="Times New Roman" w:eastAsia="仿宋_GB2312" w:cs="Times New Roman"/>
          <w:color w:val="auto"/>
          <w:sz w:val="32"/>
          <w:szCs w:val="32"/>
          <w:highlight w:val="none"/>
          <w:lang w:val="en-US"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Times New Roman" w:hAnsi="Times New Roman" w:eastAsia="仿宋_GB2312" w:cs="Times New Roman"/>
          <w:color w:val="auto"/>
          <w:sz w:val="32"/>
          <w:szCs w:val="32"/>
          <w:highlight w:val="none"/>
          <w:lang w:val="en-US" w:eastAsia="zh-CN"/>
        </w:rPr>
        <w:t>%</w:t>
      </w:r>
      <w:r>
        <w:rPr>
          <w:rFonts w:hint="eastAsia" w:ascii="仿宋_GB2312" w:eastAsia="仿宋_GB2312"/>
          <w:color w:val="auto"/>
          <w:sz w:val="32"/>
          <w:szCs w:val="32"/>
          <w:highlight w:val="none"/>
        </w:rPr>
        <w:t>；其他收入</w:t>
      </w:r>
      <w:r>
        <w:rPr>
          <w:rFonts w:hint="eastAsia" w:ascii="Times New Roman" w:hAnsi="Times New Roman" w:eastAsia="仿宋_GB2312" w:cs="Times New Roman"/>
          <w:color w:val="auto"/>
          <w:sz w:val="32"/>
          <w:szCs w:val="32"/>
          <w:highlight w:val="none"/>
          <w:lang w:val="zh-CN" w:eastAsia="zh-CN"/>
        </w:rPr>
        <w:t>0.11</w:t>
      </w:r>
      <w:r>
        <w:rPr>
          <w:rFonts w:hint="eastAsia" w:ascii="仿宋_GB2312" w:eastAsia="仿宋_GB2312"/>
          <w:color w:val="auto"/>
          <w:sz w:val="32"/>
          <w:szCs w:val="32"/>
          <w:highlight w:val="none"/>
        </w:rPr>
        <w:t>万元，占</w:t>
      </w:r>
      <w:r>
        <w:rPr>
          <w:rFonts w:hint="eastAsia" w:ascii="Times New Roman" w:hAnsi="Times New Roman" w:eastAsia="仿宋_GB2312" w:cs="Times New Roman"/>
          <w:color w:val="auto"/>
          <w:sz w:val="32"/>
          <w:szCs w:val="32"/>
          <w:highlight w:val="none"/>
          <w:lang w:val="zh-CN" w:eastAsia="zh-CN"/>
        </w:rPr>
        <w:t>0.02</w:t>
      </w:r>
      <w:r>
        <w:rPr>
          <w:rFonts w:hint="eastAsia" w:ascii="Times New Roman" w:hAnsi="Times New Roman" w:eastAsia="仿宋_GB2312" w:cs="Times New Roman"/>
          <w:color w:val="auto"/>
          <w:sz w:val="32"/>
          <w:szCs w:val="32"/>
          <w:highlight w:val="none"/>
          <w:lang w:val="en-US" w:eastAsia="zh-CN"/>
        </w:rPr>
        <w:t>%</w:t>
      </w:r>
      <w:r>
        <w:rPr>
          <w:rFonts w:hint="eastAsia" w:ascii="仿宋_GB2312" w:eastAsia="仿宋_GB2312"/>
          <w:color w:val="auto"/>
          <w:sz w:val="32"/>
          <w:szCs w:val="32"/>
          <w:highlight w:val="none"/>
        </w:rPr>
        <w:t>。</w:t>
      </w:r>
    </w:p>
    <w:p w14:paraId="247BE4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0BCB48F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w:t>
      </w:r>
      <w:r>
        <w:rPr>
          <w:rFonts w:hint="eastAsia" w:ascii="Times New Roman" w:hAnsi="Times New Roman" w:eastAsia="仿宋_GB2312" w:cs="Times New Roman"/>
          <w:color w:val="auto"/>
          <w:sz w:val="32"/>
          <w:szCs w:val="32"/>
          <w:highlight w:val="none"/>
          <w:lang w:val="zh-CN" w:eastAsia="zh-CN"/>
        </w:rPr>
        <w:t>507.96</w:t>
      </w:r>
      <w:r>
        <w:rPr>
          <w:rFonts w:hint="eastAsia" w:ascii="Times New Roman" w:hAnsi="Times New Roman" w:eastAsia="仿宋_GB2312" w:cs="仿宋_GB2312"/>
          <w:color w:val="auto"/>
          <w:sz w:val="32"/>
          <w:szCs w:val="32"/>
          <w:highlight w:val="none"/>
          <w:lang w:val="zh-CN" w:eastAsia="zh-CN"/>
        </w:rPr>
        <w:t>万元，其中：基本支出</w:t>
      </w:r>
      <w:r>
        <w:rPr>
          <w:rFonts w:hint="eastAsia" w:ascii="Times New Roman" w:hAnsi="Times New Roman" w:eastAsia="仿宋_GB2312" w:cs="Times New Roman"/>
          <w:color w:val="auto"/>
          <w:sz w:val="32"/>
          <w:szCs w:val="32"/>
          <w:highlight w:val="none"/>
          <w:lang w:val="zh-CN" w:eastAsia="zh-CN"/>
        </w:rPr>
        <w:t>402.40</w:t>
      </w:r>
      <w:r>
        <w:rPr>
          <w:rFonts w:hint="eastAsia" w:ascii="Times New Roman" w:hAnsi="Times New Roman" w:eastAsia="仿宋_GB2312" w:cs="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79.22%</w:t>
      </w:r>
      <w:r>
        <w:rPr>
          <w:rFonts w:hint="eastAsia" w:ascii="Times New Roman" w:hAnsi="Times New Roman" w:eastAsia="仿宋_GB2312" w:cs="仿宋_GB2312"/>
          <w:color w:val="auto"/>
          <w:sz w:val="32"/>
          <w:szCs w:val="32"/>
          <w:highlight w:val="none"/>
          <w:lang w:val="zh-CN" w:eastAsia="zh-CN"/>
        </w:rPr>
        <w:t>；项目支出</w:t>
      </w:r>
      <w:r>
        <w:rPr>
          <w:rFonts w:hint="eastAsia" w:ascii="Times New Roman" w:hAnsi="Times New Roman" w:eastAsia="仿宋_GB2312" w:cs="Times New Roman"/>
          <w:color w:val="auto"/>
          <w:sz w:val="32"/>
          <w:szCs w:val="32"/>
          <w:highlight w:val="none"/>
          <w:lang w:val="zh-CN" w:eastAsia="zh-CN"/>
        </w:rPr>
        <w:t>105.56</w:t>
      </w:r>
      <w:r>
        <w:rPr>
          <w:rFonts w:hint="eastAsia" w:ascii="Times New Roman" w:hAnsi="Times New Roman" w:eastAsia="仿宋_GB2312" w:cs="仿宋_GB2312"/>
          <w:color w:val="auto"/>
          <w:sz w:val="32"/>
          <w:szCs w:val="32"/>
          <w:highlight w:val="none"/>
          <w:lang w:val="zh-CN" w:eastAsia="zh-CN"/>
        </w:rPr>
        <w:t>万元，占20.78%；上缴上级支出0.00万元，占0.00%；经营支出0.00万元，占0.00%；对附属单位补助支出0.00万元，占0.00%。</w:t>
      </w:r>
    </w:p>
    <w:p w14:paraId="600653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7D2FA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sz w:val="32"/>
          <w:szCs w:val="32"/>
          <w:highlight w:val="none"/>
          <w:lang w:val="zh-CN" w:eastAsia="zh-CN"/>
        </w:rPr>
        <w:t>2023</w:t>
      </w:r>
      <w:r>
        <w:rPr>
          <w:rFonts w:hint="eastAsia" w:ascii="仿宋_GB2312" w:eastAsia="仿宋_GB2312"/>
          <w:color w:val="auto"/>
          <w:spacing w:val="0"/>
          <w:sz w:val="32"/>
          <w:szCs w:val="32"/>
          <w:highlight w:val="none"/>
          <w:lang w:eastAsia="zh-CN"/>
        </w:rPr>
        <w:t>年度财政拨款收入</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Times New Roman"/>
          <w:color w:val="auto"/>
          <w:sz w:val="32"/>
          <w:szCs w:val="32"/>
          <w:highlight w:val="none"/>
          <w:lang w:val="zh-CN" w:eastAsia="zh-CN"/>
        </w:rPr>
        <w:t>502.28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Times New Roman" w:hAnsi="Times New Roman" w:eastAsia="仿宋_GB2312" w:cs="Times New Roman"/>
          <w:color w:val="auto"/>
          <w:sz w:val="32"/>
          <w:szCs w:val="32"/>
          <w:highlight w:val="none"/>
          <w:lang w:val="zh-CN" w:eastAsia="zh-CN"/>
        </w:rPr>
        <w:t>502.28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Times New Roman" w:hAnsi="Times New Roman" w:eastAsia="仿宋_GB2312" w:cs="Times New Roman"/>
          <w:color w:val="auto"/>
          <w:sz w:val="32"/>
          <w:szCs w:val="32"/>
          <w:highlight w:val="none"/>
          <w:lang w:val="zh-CN" w:eastAsia="zh-CN"/>
        </w:rPr>
        <w:t>502.28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Times New Roman" w:hAnsi="Times New Roman" w:eastAsia="仿宋_GB2312" w:cs="Times New Roman"/>
          <w:color w:val="auto"/>
          <w:sz w:val="32"/>
          <w:szCs w:val="32"/>
          <w:highlight w:val="none"/>
          <w:lang w:val="zh-CN" w:eastAsia="zh-CN"/>
        </w:rPr>
        <w:t>502.28</w:t>
      </w:r>
      <w:r>
        <w:rPr>
          <w:rFonts w:hint="eastAsia" w:ascii="仿宋_GB2312" w:eastAsia="仿宋_GB2312"/>
          <w:color w:val="auto"/>
          <w:spacing w:val="0"/>
          <w:sz w:val="32"/>
          <w:szCs w:val="32"/>
          <w:highlight w:val="none"/>
          <w:lang w:eastAsia="zh-CN"/>
        </w:rPr>
        <w:t>万元。</w:t>
      </w:r>
    </w:p>
    <w:p w14:paraId="19C784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eastAsia" w:ascii="Times New Roman" w:hAnsi="Times New Roman" w:eastAsia="仿宋_GB2312" w:cs="Times New Roman"/>
          <w:color w:val="auto"/>
          <w:sz w:val="32"/>
          <w:szCs w:val="32"/>
          <w:highlight w:val="none"/>
          <w:lang w:val="zh-CN" w:eastAsia="zh-CN"/>
        </w:rPr>
        <w:t>53.82</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Times New Roman" w:hAnsi="Times New Roman" w:eastAsia="仿宋_GB2312" w:cs="Times New Roman"/>
          <w:color w:val="auto"/>
          <w:sz w:val="32"/>
          <w:szCs w:val="32"/>
          <w:highlight w:val="none"/>
          <w:lang w:val="zh-CN" w:eastAsia="zh-CN"/>
        </w:rPr>
        <w:t>12.00%</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因</w:t>
      </w:r>
      <w:r>
        <w:rPr>
          <w:rFonts w:hint="eastAsia" w:ascii="仿宋_GB2312" w:eastAsia="仿宋_GB2312"/>
          <w:sz w:val="32"/>
          <w:szCs w:val="32"/>
          <w:lang w:val="en-US" w:eastAsia="zh-CN"/>
        </w:rPr>
        <w:t>人员工资调整及</w:t>
      </w:r>
      <w:r>
        <w:rPr>
          <w:rFonts w:hint="eastAsia" w:ascii="仿宋_GB2312" w:eastAsia="仿宋_GB2312"/>
          <w:sz w:val="32"/>
          <w:szCs w:val="32"/>
        </w:rPr>
        <w:t>社保公积金基数上调，导致</w:t>
      </w:r>
      <w:r>
        <w:rPr>
          <w:rFonts w:hint="eastAsia" w:ascii="仿宋_GB2312" w:eastAsia="仿宋_GB2312"/>
          <w:sz w:val="32"/>
          <w:szCs w:val="32"/>
          <w:lang w:val="en-US" w:eastAsia="zh-CN"/>
        </w:rPr>
        <w:t>财政拨款</w:t>
      </w:r>
      <w:r>
        <w:rPr>
          <w:rFonts w:hint="eastAsia" w:ascii="仿宋_GB2312" w:eastAsia="仿宋_GB2312"/>
          <w:sz w:val="32"/>
          <w:szCs w:val="32"/>
        </w:rPr>
        <w:t>收入增加</w:t>
      </w:r>
      <w:r>
        <w:rPr>
          <w:rFonts w:hint="eastAsia" w:ascii="仿宋_GB2312" w:eastAsia="仿宋_GB2312"/>
          <w:color w:val="auto"/>
          <w:spacing w:val="0"/>
          <w:sz w:val="32"/>
          <w:szCs w:val="32"/>
          <w:highlight w:val="none"/>
          <w:lang w:eastAsia="zh-CN"/>
        </w:rPr>
        <w:t>。与年初预算相比，年初预算数</w:t>
      </w:r>
      <w:r>
        <w:rPr>
          <w:rFonts w:hint="eastAsia" w:ascii="Times New Roman" w:hAnsi="Times New Roman" w:eastAsia="仿宋_GB2312" w:cs="Times New Roman"/>
          <w:color w:val="auto"/>
          <w:sz w:val="32"/>
          <w:szCs w:val="32"/>
          <w:highlight w:val="none"/>
          <w:lang w:val="zh-CN" w:eastAsia="zh-CN"/>
        </w:rPr>
        <w:t>471.20</w:t>
      </w:r>
      <w:r>
        <w:rPr>
          <w:rFonts w:hint="eastAsia" w:ascii="仿宋_GB2312" w:eastAsia="仿宋_GB2312"/>
          <w:color w:val="auto"/>
          <w:spacing w:val="0"/>
          <w:sz w:val="32"/>
          <w:szCs w:val="32"/>
          <w:highlight w:val="none"/>
          <w:lang w:eastAsia="zh-CN"/>
        </w:rPr>
        <w:t>万元，决算数</w:t>
      </w:r>
      <w:r>
        <w:rPr>
          <w:rFonts w:hint="eastAsia" w:ascii="Times New Roman" w:hAnsi="Times New Roman" w:eastAsia="仿宋_GB2312" w:cs="Times New Roman"/>
          <w:color w:val="auto"/>
          <w:sz w:val="32"/>
          <w:szCs w:val="32"/>
          <w:highlight w:val="none"/>
          <w:lang w:val="zh-CN" w:eastAsia="zh-CN"/>
        </w:rPr>
        <w:t>502.28</w:t>
      </w:r>
      <w:r>
        <w:rPr>
          <w:rFonts w:hint="eastAsia" w:ascii="仿宋_GB2312" w:eastAsia="仿宋_GB2312"/>
          <w:color w:val="auto"/>
          <w:spacing w:val="0"/>
          <w:sz w:val="32"/>
          <w:szCs w:val="32"/>
          <w:highlight w:val="none"/>
          <w:lang w:eastAsia="zh-CN"/>
        </w:rPr>
        <w:t>万元，预决算差异率</w:t>
      </w:r>
      <w:r>
        <w:rPr>
          <w:rFonts w:hint="eastAsia" w:ascii="Times New Roman" w:hAnsi="Times New Roman" w:eastAsia="仿宋_GB2312" w:cs="Times New Roman"/>
          <w:color w:val="auto"/>
          <w:sz w:val="32"/>
          <w:szCs w:val="32"/>
          <w:highlight w:val="none"/>
          <w:lang w:val="zh-CN" w:eastAsia="zh-CN"/>
        </w:rPr>
        <w:t>6.60%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因</w:t>
      </w:r>
      <w:r>
        <w:rPr>
          <w:rFonts w:hint="eastAsia" w:ascii="仿宋_GB2312" w:eastAsia="仿宋_GB2312"/>
          <w:sz w:val="32"/>
          <w:szCs w:val="32"/>
          <w:lang w:val="en-US" w:eastAsia="zh-CN"/>
        </w:rPr>
        <w:t>人员工资追加预算，财政拨款收入增加。</w:t>
      </w:r>
    </w:p>
    <w:p w14:paraId="6EB3DA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1745FA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663836D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2023</w:t>
      </w:r>
      <w:r>
        <w:rPr>
          <w:rFonts w:hint="eastAsia" w:ascii="仿宋_GB2312" w:eastAsia="仿宋_GB2312"/>
          <w:color w:val="auto"/>
          <w:spacing w:val="0"/>
          <w:sz w:val="32"/>
          <w:szCs w:val="32"/>
          <w:highlight w:val="none"/>
          <w:lang w:eastAsia="zh-CN"/>
        </w:rPr>
        <w:t>年度一般公共预算财政拨款支出</w:t>
      </w:r>
      <w:r>
        <w:rPr>
          <w:rFonts w:hint="eastAsia" w:ascii="Times New Roman" w:hAnsi="Times New Roman" w:eastAsia="仿宋_GB2312" w:cs="Times New Roman"/>
          <w:color w:val="auto"/>
          <w:sz w:val="32"/>
          <w:szCs w:val="32"/>
          <w:highlight w:val="none"/>
          <w:lang w:val="zh-CN" w:eastAsia="zh-CN"/>
        </w:rPr>
        <w:t>502.28</w:t>
      </w:r>
      <w:r>
        <w:rPr>
          <w:rFonts w:hint="eastAsia" w:ascii="仿宋_GB2312" w:eastAsia="仿宋_GB2312"/>
          <w:color w:val="auto"/>
          <w:spacing w:val="0"/>
          <w:sz w:val="32"/>
          <w:szCs w:val="32"/>
          <w:highlight w:val="none"/>
          <w:lang w:eastAsia="zh-CN"/>
        </w:rPr>
        <w:t>万元，占本年支出合计的</w:t>
      </w:r>
      <w:r>
        <w:rPr>
          <w:rFonts w:hint="eastAsia" w:ascii="Times New Roman" w:hAnsi="Times New Roman" w:eastAsia="仿宋_GB2312" w:cs="Times New Roman"/>
          <w:color w:val="auto"/>
          <w:sz w:val="32"/>
          <w:szCs w:val="32"/>
          <w:highlight w:val="none"/>
          <w:lang w:val="zh-CN" w:eastAsia="zh-CN"/>
        </w:rPr>
        <w:t>98.88%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Times New Roman" w:hAnsi="Times New Roman" w:eastAsia="仿宋_GB2312" w:cs="Times New Roman"/>
          <w:color w:val="auto"/>
          <w:sz w:val="32"/>
          <w:szCs w:val="32"/>
          <w:highlight w:val="none"/>
          <w:lang w:val="zh-CN" w:eastAsia="zh-CN"/>
        </w:rPr>
        <w:t>53.82</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Times New Roman" w:hAnsi="Times New Roman" w:eastAsia="仿宋_GB2312" w:cs="Times New Roman"/>
          <w:color w:val="auto"/>
          <w:sz w:val="32"/>
          <w:szCs w:val="32"/>
          <w:highlight w:val="none"/>
          <w:lang w:val="zh-CN" w:eastAsia="zh-CN"/>
        </w:rPr>
        <w:t>12.00%</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因</w:t>
      </w:r>
      <w:r>
        <w:rPr>
          <w:rFonts w:hint="eastAsia" w:ascii="仿宋_GB2312" w:eastAsia="仿宋_GB2312"/>
          <w:sz w:val="32"/>
          <w:szCs w:val="32"/>
          <w:lang w:val="en-US" w:eastAsia="zh-CN"/>
        </w:rPr>
        <w:t>人员工资及社保基数调整，财政拨款支出增加</w:t>
      </w:r>
      <w:r>
        <w:rPr>
          <w:rFonts w:hint="eastAsia" w:ascii="仿宋_GB2312" w:eastAsia="仿宋_GB2312"/>
          <w:color w:val="auto"/>
          <w:spacing w:val="0"/>
          <w:sz w:val="32"/>
          <w:szCs w:val="32"/>
          <w:highlight w:val="none"/>
          <w:lang w:eastAsia="zh-CN"/>
        </w:rPr>
        <w:t>。与年初预算相比，年初预算数</w:t>
      </w:r>
      <w:r>
        <w:rPr>
          <w:rFonts w:hint="eastAsia" w:ascii="Times New Roman" w:hAnsi="Times New Roman" w:eastAsia="仿宋_GB2312" w:cs="Times New Roman"/>
          <w:color w:val="auto"/>
          <w:sz w:val="32"/>
          <w:szCs w:val="32"/>
          <w:highlight w:val="none"/>
          <w:lang w:val="zh-CN" w:eastAsia="zh-CN"/>
        </w:rPr>
        <w:t>471.20</w:t>
      </w:r>
      <w:r>
        <w:rPr>
          <w:rFonts w:hint="eastAsia" w:ascii="仿宋_GB2312" w:eastAsia="仿宋_GB2312"/>
          <w:color w:val="auto"/>
          <w:spacing w:val="0"/>
          <w:sz w:val="32"/>
          <w:szCs w:val="32"/>
          <w:highlight w:val="none"/>
          <w:lang w:eastAsia="zh-CN"/>
        </w:rPr>
        <w:t>万元，决算数</w:t>
      </w:r>
      <w:r>
        <w:rPr>
          <w:rFonts w:hint="eastAsia" w:ascii="Times New Roman" w:hAnsi="Times New Roman" w:eastAsia="仿宋_GB2312" w:cs="Times New Roman"/>
          <w:color w:val="auto"/>
          <w:sz w:val="32"/>
          <w:szCs w:val="32"/>
          <w:highlight w:val="none"/>
          <w:lang w:val="zh-CN" w:eastAsia="zh-CN"/>
        </w:rPr>
        <w:t>502.28</w:t>
      </w:r>
      <w:r>
        <w:rPr>
          <w:rFonts w:hint="eastAsia" w:ascii="仿宋_GB2312" w:eastAsia="仿宋_GB2312"/>
          <w:color w:val="auto"/>
          <w:spacing w:val="0"/>
          <w:sz w:val="32"/>
          <w:szCs w:val="32"/>
          <w:highlight w:val="none"/>
          <w:lang w:eastAsia="zh-CN"/>
        </w:rPr>
        <w:t>万元，预决算差异率</w:t>
      </w:r>
      <w:r>
        <w:rPr>
          <w:rFonts w:hint="eastAsia" w:ascii="Times New Roman" w:hAnsi="Times New Roman" w:eastAsia="仿宋_GB2312" w:cs="Times New Roman"/>
          <w:color w:val="auto"/>
          <w:sz w:val="32"/>
          <w:szCs w:val="32"/>
          <w:highlight w:val="none"/>
          <w:lang w:val="zh-CN" w:eastAsia="zh-CN"/>
        </w:rPr>
        <w:t>6.60%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因</w:t>
      </w:r>
      <w:r>
        <w:rPr>
          <w:rFonts w:hint="eastAsia" w:ascii="仿宋_GB2312" w:eastAsia="仿宋_GB2312"/>
          <w:sz w:val="32"/>
          <w:szCs w:val="32"/>
          <w:lang w:val="en-US" w:eastAsia="zh-CN"/>
        </w:rPr>
        <w:t>人员工资追加预算，财政拨款支出增加</w:t>
      </w:r>
      <w:r>
        <w:rPr>
          <w:rFonts w:hint="eastAsia" w:ascii="仿宋_GB2312" w:eastAsia="仿宋_GB2312"/>
          <w:color w:val="auto"/>
          <w:spacing w:val="0"/>
          <w:sz w:val="32"/>
          <w:szCs w:val="32"/>
          <w:highlight w:val="none"/>
          <w:lang w:eastAsia="zh-CN"/>
        </w:rPr>
        <w:t>。</w:t>
      </w:r>
    </w:p>
    <w:p w14:paraId="7BA033B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F25FD1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Times New Roman" w:hAnsi="Times New Roman" w:eastAsia="仿宋_GB2312" w:cs="Times New Roman"/>
          <w:color w:val="auto"/>
          <w:kern w:val="2"/>
          <w:sz w:val="32"/>
          <w:szCs w:val="32"/>
          <w:highlight w:val="none"/>
          <w:lang w:val="zh-CN" w:eastAsia="zh-CN" w:bidi="ar-SA"/>
        </w:rPr>
        <w:t>47.98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9.55</w:t>
      </w:r>
      <w:r>
        <w:rPr>
          <w:rFonts w:hint="default" w:ascii="Times New Roman" w:hAnsi="Times New Roman" w:eastAsia="仿宋_GB2312" w:cs="Times New Roman"/>
          <w:color w:val="auto"/>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56E567A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Times New Roman" w:hAnsi="Times New Roman" w:eastAsia="仿宋_GB2312" w:cs="Times New Roman"/>
          <w:color w:val="auto"/>
          <w:kern w:val="2"/>
          <w:sz w:val="32"/>
          <w:szCs w:val="32"/>
          <w:highlight w:val="none"/>
          <w:lang w:val="zh-CN" w:eastAsia="zh-CN" w:bidi="ar-SA"/>
        </w:rPr>
        <w:t>427.84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85.18</w:t>
      </w:r>
      <w:r>
        <w:rPr>
          <w:rFonts w:hint="default" w:ascii="Times New Roman" w:hAnsi="Times New Roman" w:eastAsia="仿宋_GB2312" w:cs="Times New Roman"/>
          <w:color w:val="auto"/>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612B11D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Times New Roman" w:hAnsi="Times New Roman" w:eastAsia="仿宋_GB2312" w:cs="Times New Roman"/>
          <w:color w:val="auto"/>
          <w:kern w:val="2"/>
          <w:sz w:val="32"/>
          <w:szCs w:val="32"/>
          <w:highlight w:val="none"/>
          <w:lang w:val="zh-CN" w:eastAsia="zh-CN" w:bidi="ar-SA"/>
        </w:rPr>
        <w:t>26.46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5.27</w:t>
      </w:r>
      <w:r>
        <w:rPr>
          <w:rFonts w:hint="default" w:ascii="Times New Roman" w:hAnsi="Times New Roman" w:eastAsia="仿宋_GB2312" w:cs="Times New Roman"/>
          <w:color w:val="auto"/>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28DB6C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7816ECD8">
      <w:pPr>
        <w:ind w:firstLine="640" w:firstLineChars="200"/>
        <w:outlineLvl w:val="1"/>
        <w:rPr>
          <w:rFonts w:hint="eastAsia" w:ascii="仿宋_GB2312" w:eastAsia="仿宋_GB2312"/>
          <w:sz w:val="32"/>
          <w:szCs w:val="32"/>
          <w:highlight w:val="none"/>
        </w:rPr>
      </w:pP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社会保障和就业支出（类）行政事业单位养老支出（款）事业单位离退休（项）:支出决算数为</w:t>
      </w:r>
      <w:r>
        <w:rPr>
          <w:rFonts w:hint="eastAsia" w:ascii="Times New Roman" w:hAnsi="Times New Roman" w:eastAsia="仿宋_GB2312" w:cs="Times New Roman"/>
          <w:color w:val="auto"/>
          <w:sz w:val="32"/>
          <w:szCs w:val="32"/>
          <w:highlight w:val="none"/>
          <w:lang w:val="en-US" w:eastAsia="zh-CN"/>
        </w:rPr>
        <w:t>12.71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sz w:val="32"/>
          <w:szCs w:val="32"/>
          <w:highlight w:val="none"/>
          <w:lang w:val="en-US" w:eastAsia="zh-CN"/>
        </w:rPr>
        <w:t>3.18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sz w:val="32"/>
          <w:szCs w:val="32"/>
          <w:highlight w:val="none"/>
          <w:lang w:val="en-US" w:eastAsia="zh-CN"/>
        </w:rPr>
        <w:t>33.37%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highlight w:val="none"/>
        </w:rPr>
        <w:t>因</w:t>
      </w:r>
      <w:r>
        <w:rPr>
          <w:rFonts w:hint="eastAsia" w:ascii="仿宋_GB2312" w:eastAsia="仿宋_GB2312"/>
          <w:sz w:val="32"/>
          <w:szCs w:val="32"/>
          <w:highlight w:val="none"/>
          <w:lang w:val="en-US" w:eastAsia="zh-CN"/>
        </w:rPr>
        <w:t>人员工资调</w:t>
      </w:r>
      <w:r>
        <w:rPr>
          <w:rFonts w:hint="eastAsia" w:ascii="仿宋_GB2312" w:eastAsia="仿宋_GB2312"/>
          <w:sz w:val="32"/>
          <w:szCs w:val="32"/>
          <w:highlight w:val="none"/>
        </w:rPr>
        <w:t>整，导致</w:t>
      </w:r>
      <w:r>
        <w:rPr>
          <w:rFonts w:hint="eastAsia" w:ascii="仿宋_GB2312" w:eastAsia="仿宋_GB2312"/>
          <w:sz w:val="32"/>
          <w:szCs w:val="32"/>
          <w:highlight w:val="none"/>
          <w:lang w:val="en-US" w:eastAsia="zh-CN"/>
        </w:rPr>
        <w:t>相关</w:t>
      </w:r>
      <w:r>
        <w:rPr>
          <w:rFonts w:hint="eastAsia" w:ascii="仿宋_GB2312" w:eastAsia="仿宋_GB2312"/>
          <w:sz w:val="32"/>
          <w:szCs w:val="32"/>
          <w:highlight w:val="none"/>
        </w:rPr>
        <w:t>支出增加。</w:t>
      </w:r>
    </w:p>
    <w:p w14:paraId="48BBDFB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w:t>
      </w:r>
      <w:r>
        <w:rPr>
          <w:rFonts w:hint="eastAsia" w:ascii="Times New Roman" w:hAnsi="Times New Roman" w:eastAsia="仿宋_GB2312" w:cs="Times New Roman"/>
          <w:color w:val="auto"/>
          <w:sz w:val="32"/>
          <w:szCs w:val="32"/>
          <w:highlight w:val="none"/>
          <w:lang w:val="en-US" w:eastAsia="zh-CN"/>
        </w:rPr>
        <w:t>35.28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sz w:val="32"/>
          <w:szCs w:val="32"/>
          <w:highlight w:val="none"/>
          <w:lang w:val="en-US" w:eastAsia="zh-CN"/>
        </w:rPr>
        <w:t>10.30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sz w:val="32"/>
          <w:szCs w:val="32"/>
          <w:highlight w:val="none"/>
          <w:lang w:val="en-US" w:eastAsia="zh-CN"/>
        </w:rPr>
        <w:t>41.23%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因本年度社保基数调整，导致</w:t>
      </w:r>
      <w:r>
        <w:rPr>
          <w:rFonts w:hint="eastAsia" w:ascii="仿宋_GB2312" w:eastAsia="仿宋_GB2312"/>
          <w:sz w:val="32"/>
          <w:szCs w:val="32"/>
          <w:lang w:val="en-US" w:eastAsia="zh-CN"/>
        </w:rPr>
        <w:t>相关</w:t>
      </w:r>
      <w:r>
        <w:rPr>
          <w:rFonts w:hint="eastAsia" w:ascii="仿宋_GB2312" w:eastAsia="仿宋_GB2312"/>
          <w:sz w:val="32"/>
          <w:szCs w:val="32"/>
        </w:rPr>
        <w:t>支出增加。</w:t>
      </w:r>
    </w:p>
    <w:p w14:paraId="210659B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kern w:val="2"/>
          <w:sz w:val="32"/>
          <w:szCs w:val="32"/>
          <w:highlight w:val="none"/>
          <w:lang w:val="en-US" w:eastAsia="zh-CN" w:bidi="ar-SA"/>
        </w:rPr>
        <w:t>卫生健康支出（类）公共卫生（款）妇幼保健机构（项）:支出决算数为</w:t>
      </w:r>
      <w:r>
        <w:rPr>
          <w:rFonts w:hint="eastAsia" w:ascii="Times New Roman" w:hAnsi="Times New Roman" w:eastAsia="仿宋_GB2312" w:cs="Times New Roman"/>
          <w:color w:val="auto"/>
          <w:sz w:val="32"/>
          <w:szCs w:val="32"/>
          <w:highlight w:val="none"/>
          <w:lang w:val="en-US" w:eastAsia="zh-CN"/>
        </w:rPr>
        <w:t>311.30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sz w:val="32"/>
          <w:szCs w:val="32"/>
          <w:highlight w:val="none"/>
          <w:lang w:val="en-US" w:eastAsia="zh-CN"/>
        </w:rPr>
        <w:t>57.16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sz w:val="32"/>
          <w:szCs w:val="32"/>
          <w:highlight w:val="none"/>
          <w:lang w:val="en-US" w:eastAsia="zh-CN"/>
        </w:rPr>
        <w:t>15.51%</w:t>
      </w:r>
      <w:r>
        <w:rPr>
          <w:rFonts w:hint="eastAsia" w:ascii="Times New Roman" w:hAnsi="Times New Roman" w:eastAsia="仿宋_GB2312" w:cs="Times New Roman"/>
          <w:color w:val="auto"/>
          <w:kern w:val="2"/>
          <w:sz w:val="32"/>
          <w:szCs w:val="32"/>
          <w:highlight w:val="none"/>
          <w:lang w:val="en-US" w:eastAsia="zh-CN" w:bidi="ar-SA"/>
        </w:rPr>
        <w:t>，主要原因是：妇幼保健机构</w:t>
      </w:r>
      <w:r>
        <w:rPr>
          <w:rFonts w:hint="eastAsia" w:eastAsia="仿宋_GB2312" w:cs="Times New Roman"/>
          <w:color w:val="auto"/>
          <w:kern w:val="2"/>
          <w:sz w:val="32"/>
          <w:szCs w:val="32"/>
          <w:highlight w:val="none"/>
          <w:lang w:val="en-US" w:eastAsia="zh-CN" w:bidi="ar-SA"/>
        </w:rPr>
        <w:t>（项）中</w:t>
      </w:r>
      <w:r>
        <w:rPr>
          <w:rFonts w:hint="eastAsia" w:ascii="Times New Roman" w:hAnsi="Times New Roman" w:eastAsia="仿宋_GB2312" w:cs="Times New Roman"/>
          <w:color w:val="auto"/>
          <w:kern w:val="2"/>
          <w:sz w:val="32"/>
          <w:szCs w:val="32"/>
          <w:highlight w:val="none"/>
          <w:lang w:val="zh-CN" w:eastAsia="zh-CN" w:bidi="ar-SA"/>
        </w:rPr>
        <w:t>传染病防治项目</w:t>
      </w:r>
      <w:r>
        <w:rPr>
          <w:rFonts w:hint="eastAsia" w:eastAsia="仿宋_GB2312" w:cs="Times New Roman"/>
          <w:color w:val="auto"/>
          <w:kern w:val="2"/>
          <w:sz w:val="32"/>
          <w:szCs w:val="32"/>
          <w:highlight w:val="none"/>
          <w:lang w:val="en-US" w:eastAsia="zh-CN" w:bidi="ar-SA"/>
        </w:rPr>
        <w:t>经费减少，故相关支出减少。</w:t>
      </w:r>
    </w:p>
    <w:p w14:paraId="1E6DBF66">
      <w:pPr>
        <w:ind w:firstLine="640" w:firstLineChars="200"/>
        <w:outlineLvl w:val="1"/>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kern w:val="2"/>
          <w:sz w:val="32"/>
          <w:szCs w:val="32"/>
          <w:highlight w:val="none"/>
          <w:lang w:val="en-US" w:eastAsia="zh-CN" w:bidi="ar-SA"/>
        </w:rPr>
        <w:t>卫生健康支出（类）公共卫生（款）基本公共卫生服务（项）:支出决算数为</w:t>
      </w:r>
      <w:r>
        <w:rPr>
          <w:rFonts w:hint="eastAsia" w:ascii="Times New Roman" w:hAnsi="Times New Roman" w:eastAsia="仿宋_GB2312" w:cs="Times New Roman"/>
          <w:color w:val="auto"/>
          <w:sz w:val="32"/>
          <w:szCs w:val="32"/>
          <w:highlight w:val="none"/>
          <w:lang w:val="en-US" w:eastAsia="zh-CN"/>
        </w:rPr>
        <w:t>100.00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sz w:val="32"/>
          <w:szCs w:val="32"/>
          <w:highlight w:val="none"/>
          <w:lang w:val="en-US" w:eastAsia="zh-CN"/>
        </w:rPr>
        <w:t>97.19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sz w:val="32"/>
          <w:szCs w:val="32"/>
          <w:highlight w:val="none"/>
          <w:lang w:val="en-US" w:eastAsia="zh-CN"/>
        </w:rPr>
        <w:t>3458.72%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highlight w:val="none"/>
          <w:lang w:val="en-US" w:eastAsia="zh-CN"/>
        </w:rPr>
        <w:t>因</w:t>
      </w:r>
      <w:r>
        <w:rPr>
          <w:rFonts w:hint="eastAsia" w:ascii="仿宋_GB2312" w:eastAsia="仿宋_GB2312"/>
          <w:sz w:val="32"/>
          <w:szCs w:val="32"/>
          <w:highlight w:val="none"/>
        </w:rPr>
        <w:t>本年度</w:t>
      </w:r>
      <w:r>
        <w:rPr>
          <w:rFonts w:hint="eastAsia" w:ascii="仿宋_GB2312" w:eastAsia="仿宋_GB2312"/>
          <w:sz w:val="32"/>
          <w:szCs w:val="32"/>
          <w:highlight w:val="none"/>
          <w:lang w:val="en-US" w:eastAsia="zh-CN"/>
        </w:rPr>
        <w:t>增加基本公共卫生服务（项）中的妇幼卫生发展项目经费，故相关支出</w:t>
      </w:r>
      <w:r>
        <w:rPr>
          <w:rFonts w:hint="eastAsia" w:ascii="仿宋_GB2312" w:eastAsia="仿宋_GB2312"/>
          <w:sz w:val="32"/>
          <w:szCs w:val="32"/>
          <w:highlight w:val="none"/>
        </w:rPr>
        <w:t>增加。</w:t>
      </w:r>
    </w:p>
    <w:p w14:paraId="44C67913">
      <w:pPr>
        <w:ind w:firstLine="640" w:firstLineChars="200"/>
        <w:outlineLvl w:val="1"/>
        <w:rPr>
          <w:rFonts w:hint="eastAsia" w:ascii="仿宋_GB2312" w:eastAsia="仿宋_GB2312"/>
          <w:sz w:val="32"/>
          <w:szCs w:val="32"/>
        </w:rPr>
      </w:pPr>
      <w:r>
        <w:rPr>
          <w:rFonts w:hint="eastAsia" w:ascii="Times New Roman" w:hAnsi="Times New Roman" w:eastAsia="仿宋_GB2312" w:cs="Times New Roman"/>
          <w:color w:val="auto"/>
          <w:sz w:val="32"/>
          <w:szCs w:val="32"/>
          <w:highlight w:val="none"/>
          <w:lang w:val="en-US" w:eastAsia="zh-CN"/>
        </w:rPr>
        <w:t>5.</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卫生健康支出（类）行政事业单位医疗（款）事业单位医疗（项）:支出决算数为</w:t>
      </w:r>
      <w:r>
        <w:rPr>
          <w:rFonts w:hint="eastAsia" w:ascii="Times New Roman" w:hAnsi="Times New Roman" w:eastAsia="仿宋_GB2312" w:cs="Times New Roman"/>
          <w:color w:val="auto"/>
          <w:sz w:val="32"/>
          <w:szCs w:val="32"/>
          <w:highlight w:val="none"/>
          <w:lang w:val="en-US" w:eastAsia="zh-CN"/>
        </w:rPr>
        <w:t>16.54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sz w:val="32"/>
          <w:szCs w:val="32"/>
          <w:highlight w:val="none"/>
          <w:lang w:val="en-US" w:eastAsia="zh-CN"/>
        </w:rPr>
        <w:t>3.07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sz w:val="32"/>
          <w:szCs w:val="32"/>
          <w:highlight w:val="none"/>
          <w:lang w:val="en-US" w:eastAsia="zh-CN"/>
        </w:rPr>
        <w:t>22.79%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因本年度社保基数调整，导致</w:t>
      </w:r>
      <w:r>
        <w:rPr>
          <w:rFonts w:hint="eastAsia" w:ascii="仿宋_GB2312" w:eastAsia="仿宋_GB2312"/>
          <w:sz w:val="32"/>
          <w:szCs w:val="32"/>
          <w:lang w:val="en-US" w:eastAsia="zh-CN"/>
        </w:rPr>
        <w:t>相关</w:t>
      </w:r>
      <w:r>
        <w:rPr>
          <w:rFonts w:hint="eastAsia" w:ascii="仿宋_GB2312" w:eastAsia="仿宋_GB2312"/>
          <w:sz w:val="32"/>
          <w:szCs w:val="32"/>
        </w:rPr>
        <w:t>支出增加。</w:t>
      </w:r>
    </w:p>
    <w:p w14:paraId="7797A84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Times New Roman" w:hAnsi="Times New Roman" w:eastAsia="仿宋_GB2312" w:cs="Times New Roman"/>
          <w:color w:val="auto"/>
          <w:sz w:val="32"/>
          <w:szCs w:val="32"/>
          <w:highlight w:val="none"/>
          <w:lang w:val="en-US" w:eastAsia="zh-CN"/>
        </w:rPr>
        <w:t>6.</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w:t>
      </w:r>
      <w:r>
        <w:rPr>
          <w:rFonts w:hint="eastAsia" w:ascii="Times New Roman" w:hAnsi="Times New Roman" w:eastAsia="仿宋_GB2312" w:cs="Times New Roman"/>
          <w:color w:val="auto"/>
          <w:sz w:val="32"/>
          <w:szCs w:val="32"/>
          <w:highlight w:val="none"/>
          <w:lang w:val="en-US" w:eastAsia="zh-CN"/>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sz w:val="32"/>
          <w:szCs w:val="32"/>
          <w:highlight w:val="none"/>
          <w:lang w:val="en-US" w:eastAsia="zh-CN"/>
        </w:rPr>
        <w:t>10.47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本年度此款项拨款取消，故相关支出减少</w:t>
      </w:r>
      <w:r>
        <w:rPr>
          <w:rFonts w:hint="eastAsia" w:eastAsia="仿宋_GB2312" w:cs="Times New Roman"/>
          <w:color w:val="auto"/>
          <w:kern w:val="2"/>
          <w:sz w:val="32"/>
          <w:szCs w:val="32"/>
          <w:highlight w:val="none"/>
          <w:lang w:val="zh-CN" w:eastAsia="zh-CN" w:bidi="ar-SA"/>
        </w:rPr>
        <w:t>。</w:t>
      </w:r>
    </w:p>
    <w:p w14:paraId="262C4B51">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sz w:val="32"/>
          <w:szCs w:val="32"/>
          <w:highlight w:val="none"/>
          <w:lang w:val="en-US" w:eastAsia="zh-CN"/>
        </w:rPr>
        <w:t>7.住</w:t>
      </w:r>
      <w:r>
        <w:rPr>
          <w:rFonts w:hint="eastAsia" w:ascii="Times New Roman" w:hAnsi="Times New Roman" w:eastAsia="仿宋_GB2312" w:cs="Times New Roman"/>
          <w:color w:val="auto"/>
          <w:kern w:val="2"/>
          <w:sz w:val="32"/>
          <w:szCs w:val="32"/>
          <w:highlight w:val="none"/>
          <w:lang w:val="en-US" w:eastAsia="zh-CN" w:bidi="ar-SA"/>
        </w:rPr>
        <w:t>房保障</w:t>
      </w:r>
      <w:r>
        <w:rPr>
          <w:rFonts w:hint="eastAsia" w:ascii="Times New Roman" w:hAnsi="Times New Roman" w:eastAsia="仿宋_GB2312" w:cs="Times New Roman"/>
          <w:color w:val="auto"/>
          <w:sz w:val="32"/>
          <w:szCs w:val="32"/>
          <w:highlight w:val="none"/>
          <w:lang w:val="en-US" w:eastAsia="zh-CN"/>
        </w:rPr>
        <w:t>支出</w:t>
      </w:r>
      <w:r>
        <w:rPr>
          <w:rFonts w:hint="eastAsia" w:ascii="Times New Roman" w:hAnsi="Times New Roman" w:eastAsia="仿宋_GB2312" w:cs="Times New Roman"/>
          <w:color w:val="auto"/>
          <w:kern w:val="2"/>
          <w:sz w:val="32"/>
          <w:szCs w:val="32"/>
          <w:highlight w:val="none"/>
          <w:lang w:val="en-US" w:eastAsia="zh-CN" w:bidi="ar-SA"/>
        </w:rPr>
        <w:t>（类）住房</w:t>
      </w:r>
      <w:r>
        <w:rPr>
          <w:rFonts w:hint="eastAsia" w:ascii="Times New Roman" w:hAnsi="Times New Roman" w:eastAsia="仿宋_GB2312" w:cs="Times New Roman"/>
          <w:color w:val="auto"/>
          <w:sz w:val="32"/>
          <w:szCs w:val="32"/>
          <w:highlight w:val="none"/>
          <w:lang w:val="en-US" w:eastAsia="zh-CN"/>
        </w:rPr>
        <w:t>改革</w:t>
      </w:r>
      <w:r>
        <w:rPr>
          <w:rFonts w:hint="eastAsia" w:ascii="Times New Roman" w:hAnsi="Times New Roman" w:eastAsia="仿宋_GB2312" w:cs="Times New Roman"/>
          <w:color w:val="auto"/>
          <w:kern w:val="2"/>
          <w:sz w:val="32"/>
          <w:szCs w:val="32"/>
          <w:highlight w:val="none"/>
          <w:lang w:val="en-US" w:eastAsia="zh-CN" w:bidi="ar-SA"/>
        </w:rPr>
        <w:t>支出（款）住房公积金（项）:支出决算数为</w:t>
      </w:r>
      <w:r>
        <w:rPr>
          <w:rFonts w:hint="eastAsia" w:ascii="Times New Roman" w:hAnsi="Times New Roman" w:eastAsia="仿宋_GB2312" w:cs="Times New Roman"/>
          <w:color w:val="auto"/>
          <w:sz w:val="32"/>
          <w:szCs w:val="32"/>
          <w:highlight w:val="none"/>
          <w:lang w:val="en-US" w:eastAsia="zh-CN"/>
        </w:rPr>
        <w:t>26.46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sz w:val="32"/>
          <w:szCs w:val="32"/>
          <w:highlight w:val="none"/>
          <w:lang w:val="en-US" w:eastAsia="zh-CN"/>
        </w:rPr>
        <w:t>7.72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sz w:val="32"/>
          <w:szCs w:val="32"/>
          <w:highlight w:val="none"/>
          <w:lang w:val="en-US" w:eastAsia="zh-CN"/>
        </w:rPr>
        <w:t>41.20%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因本年度</w:t>
      </w:r>
      <w:r>
        <w:rPr>
          <w:rFonts w:hint="eastAsia" w:ascii="仿宋_GB2312" w:eastAsia="仿宋_GB2312"/>
          <w:sz w:val="32"/>
          <w:szCs w:val="32"/>
          <w:lang w:val="en-US" w:eastAsia="zh-CN"/>
        </w:rPr>
        <w:t>公积金</w:t>
      </w:r>
      <w:r>
        <w:rPr>
          <w:rFonts w:hint="eastAsia" w:ascii="仿宋_GB2312" w:eastAsia="仿宋_GB2312"/>
          <w:sz w:val="32"/>
          <w:szCs w:val="32"/>
        </w:rPr>
        <w:t>基数调整，导致</w:t>
      </w:r>
      <w:r>
        <w:rPr>
          <w:rFonts w:hint="eastAsia" w:ascii="仿宋_GB2312" w:eastAsia="仿宋_GB2312"/>
          <w:sz w:val="32"/>
          <w:szCs w:val="32"/>
          <w:lang w:val="en-US" w:eastAsia="zh-CN"/>
        </w:rPr>
        <w:t>相关</w:t>
      </w:r>
      <w:r>
        <w:rPr>
          <w:rFonts w:hint="eastAsia" w:ascii="仿宋_GB2312" w:eastAsia="仿宋_GB2312"/>
          <w:sz w:val="32"/>
          <w:szCs w:val="32"/>
        </w:rPr>
        <w:t>支出增加。</w:t>
      </w:r>
    </w:p>
    <w:p w14:paraId="547493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1DE876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2023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z w:val="32"/>
          <w:szCs w:val="32"/>
          <w:highlight w:val="none"/>
        </w:rPr>
        <w:t>一般公共预算财政拨款基本支出</w:t>
      </w:r>
      <w:r>
        <w:rPr>
          <w:rFonts w:hint="eastAsia" w:ascii="Times New Roman" w:hAnsi="Times New Roman" w:eastAsia="仿宋_GB2312" w:cs="Times New Roman"/>
          <w:color w:val="auto"/>
          <w:sz w:val="32"/>
          <w:szCs w:val="32"/>
          <w:highlight w:val="none"/>
          <w:lang w:val="zh-CN" w:eastAsia="zh-CN"/>
        </w:rPr>
        <w:t>402.28</w:t>
      </w:r>
      <w:r>
        <w:rPr>
          <w:rFonts w:hint="eastAsia" w:ascii="仿宋_GB2312" w:eastAsia="仿宋_GB2312"/>
          <w:color w:val="auto"/>
          <w:sz w:val="32"/>
          <w:szCs w:val="32"/>
          <w:highlight w:val="none"/>
        </w:rPr>
        <w:t>万元，其中：人员经费</w:t>
      </w:r>
      <w:r>
        <w:rPr>
          <w:rFonts w:hint="eastAsia" w:ascii="Times New Roman" w:hAnsi="Times New Roman" w:eastAsia="仿宋_GB2312" w:cs="Times New Roman"/>
          <w:color w:val="auto"/>
          <w:sz w:val="32"/>
          <w:szCs w:val="32"/>
          <w:highlight w:val="none"/>
          <w:lang w:val="zh-CN" w:eastAsia="zh-CN"/>
        </w:rPr>
        <w:t>381.75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基本工资、津贴补贴、奖金、绩效工资、机关事业单位基本养老保险缴费、职工基本医疗保险缴费、公务员医疗补助缴费、其他社会保障缴费、住房公积金、退休费、其他对个人和家庭的补助。</w:t>
      </w:r>
    </w:p>
    <w:p w14:paraId="4463443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Times New Roman" w:hAnsi="Times New Roman" w:eastAsia="仿宋_GB2312" w:cs="Times New Roman"/>
          <w:color w:val="auto"/>
          <w:sz w:val="32"/>
          <w:szCs w:val="32"/>
          <w:highlight w:val="none"/>
          <w:lang w:val="zh-CN" w:eastAsia="zh-CN"/>
        </w:rPr>
        <w:t>20.53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办公费、水费、电费、邮电费、差旅费、工会经费、福利费、其他商品和服务支出。</w:t>
      </w:r>
    </w:p>
    <w:p w14:paraId="61401E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1386377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w:t>
      </w:r>
      <w:r>
        <w:rPr>
          <w:rFonts w:hint="eastAsia" w:ascii="仿宋_GB2312" w:eastAsia="仿宋_GB2312"/>
          <w:color w:val="auto"/>
          <w:sz w:val="32"/>
          <w:szCs w:val="32"/>
          <w:highlight w:val="none"/>
          <w:lang w:val="zh-CN" w:eastAsia="zh-CN"/>
        </w:rPr>
        <w:t>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610BCCD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1725A33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个，因公出国（境）</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14:paraId="4C8556C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万元，其中：公务用车购置费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万元。公务用车运行维护费开支内容包括</w:t>
      </w:r>
      <w:r>
        <w:rPr>
          <w:rFonts w:hint="eastAsia" w:ascii="仿宋_GB2312" w:eastAsia="仿宋_GB2312"/>
          <w:sz w:val="32"/>
          <w:szCs w:val="32"/>
        </w:rPr>
        <w:t>我单位无公务用车</w:t>
      </w:r>
      <w:r>
        <w:rPr>
          <w:rFonts w:hint="eastAsia" w:ascii="仿宋_GB2312" w:eastAsia="仿宋_GB2312"/>
          <w:color w:val="auto"/>
          <w:sz w:val="32"/>
          <w:szCs w:val="32"/>
          <w:highlight w:val="none"/>
          <w:lang w:val="zh-CN" w:eastAsia="zh-CN"/>
        </w:rPr>
        <w:t>购置及</w:t>
      </w:r>
      <w:r>
        <w:rPr>
          <w:rFonts w:hint="eastAsia" w:ascii="仿宋_GB2312" w:eastAsia="仿宋_GB2312"/>
          <w:sz w:val="32"/>
          <w:szCs w:val="32"/>
        </w:rPr>
        <w:t>运行维护费</w:t>
      </w:r>
      <w:r>
        <w:rPr>
          <w:rFonts w:hint="eastAsia" w:ascii="仿宋_GB2312" w:eastAsia="仿宋_GB2312"/>
          <w:color w:val="auto"/>
          <w:sz w:val="32"/>
          <w:szCs w:val="32"/>
          <w:highlight w:val="none"/>
          <w:lang w:val="zh-CN" w:eastAsia="zh-CN"/>
        </w:rPr>
        <w:t>。公务用车购置数</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辆，公务用车保有量</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14:paraId="60BCC73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批次，</w:t>
      </w:r>
      <w:r>
        <w:rPr>
          <w:rFonts w:hint="eastAsia"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14:paraId="368FACE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我单位无公务用车运行费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3D560C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27FBF1F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3B381B5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670BD13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0E9BF75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251A76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920E3BD">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新疆维吾尔自治区妇幼保健中心</w:t>
      </w:r>
      <w:r>
        <w:rPr>
          <w:rFonts w:hint="eastAsia" w:ascii="Times New Roman" w:hAnsi="Times New Roman" w:eastAsia="仿宋_GB2312" w:cs="Times New Roman"/>
          <w:color w:val="auto"/>
          <w:sz w:val="32"/>
          <w:szCs w:val="32"/>
          <w:highlight w:val="none"/>
          <w:lang w:val="zh-CN" w:eastAsia="zh-CN"/>
        </w:rPr>
        <w:t>（事业单位）公用经费20.53万元，比上年增加1.40万元，增长7.3</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zh-CN" w:eastAsia="zh-CN"/>
        </w:rPr>
        <w:t>%，主要原因是：</w:t>
      </w:r>
      <w:r>
        <w:rPr>
          <w:rFonts w:hint="eastAsia" w:ascii="仿宋_GB2312" w:eastAsia="仿宋_GB2312"/>
          <w:sz w:val="32"/>
          <w:szCs w:val="32"/>
        </w:rPr>
        <w:t>人员职级职称提高，对应公用经费拨款增加</w:t>
      </w:r>
      <w:r>
        <w:rPr>
          <w:rFonts w:hint="eastAsia" w:ascii="Times New Roman" w:hAnsi="Times New Roman" w:eastAsia="仿宋_GB2312" w:cs="Times New Roman"/>
          <w:color w:val="auto"/>
          <w:sz w:val="32"/>
          <w:szCs w:val="32"/>
          <w:highlight w:val="none"/>
          <w:lang w:val="zh-CN" w:eastAsia="zh-CN"/>
        </w:rPr>
        <w:t>。</w:t>
      </w:r>
    </w:p>
    <w:p w14:paraId="5527F45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F305A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3E6D66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04579BA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70D4CA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0.00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4420E9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FC9756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Times New Roman" w:hAnsi="Times New Roman" w:eastAsia="仿宋_GB2312" w:cs="Times New Roman"/>
          <w:color w:val="auto"/>
          <w:sz w:val="32"/>
          <w:szCs w:val="32"/>
          <w:highlight w:val="none"/>
          <w:lang w:val="en-US" w:eastAsia="zh-CN"/>
        </w:rPr>
        <w:t>2023</w:t>
      </w:r>
      <w:r>
        <w:rPr>
          <w:rFonts w:hint="eastAsia" w:ascii="仿宋_GB2312" w:eastAsia="仿宋_GB2312"/>
          <w:color w:val="auto"/>
          <w:sz w:val="32"/>
          <w:szCs w:val="32"/>
          <w:highlight w:val="none"/>
          <w:lang w:eastAsia="zh-CN"/>
        </w:rPr>
        <w:t>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Times New Roman" w:hAnsi="Times New Roman" w:eastAsia="仿宋_GB2312" w:cs="Times New Roman"/>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Times New Roman" w:hAnsi="Times New Roman" w:eastAsia="仿宋_GB2312" w:cs="Times New Roman"/>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Times New Roman" w:hAnsi="Times New Roman" w:eastAsia="仿宋_GB2312" w:cs="Times New Roman"/>
          <w:color w:val="auto"/>
          <w:sz w:val="32"/>
          <w:szCs w:val="32"/>
          <w:highlight w:val="none"/>
          <w:lang w:val="en-US" w:eastAsia="zh-CN"/>
        </w:rPr>
        <w:t>112.8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Times New Roman" w:hAnsi="Times New Roman" w:eastAsia="仿宋_GB2312" w:cs="Times New Roman"/>
          <w:color w:val="auto"/>
          <w:sz w:val="32"/>
          <w:szCs w:val="32"/>
          <w:highlight w:val="none"/>
          <w:lang w:val="en-US" w:eastAsia="zh-CN"/>
        </w:rPr>
        <w:t>109.2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ascii="仿宋_GB2312" w:eastAsia="仿宋_GB2312"/>
          <w:sz w:val="32"/>
          <w:szCs w:val="32"/>
        </w:rPr>
        <w:t>通过绩效评价，提高了项目管理水平及资金使用效率</w:t>
      </w:r>
      <w:r>
        <w:rPr>
          <w:rFonts w:hint="eastAsia" w:ascii="仿宋_GB2312" w:eastAsia="仿宋_GB2312"/>
          <w:color w:val="auto"/>
          <w:sz w:val="32"/>
          <w:szCs w:val="32"/>
          <w:highlight w:val="none"/>
          <w:lang w:eastAsia="zh-CN"/>
        </w:rPr>
        <w:t>；二是</w:t>
      </w:r>
      <w:r>
        <w:rPr>
          <w:rFonts w:ascii="仿宋_GB2312" w:eastAsia="仿宋_GB2312"/>
          <w:sz w:val="32"/>
          <w:szCs w:val="32"/>
        </w:rPr>
        <w:t>根据项目完成情况进行总结，为下一年度预算绩效执行提供参考</w:t>
      </w:r>
      <w:r>
        <w:rPr>
          <w:rFonts w:hint="eastAsia" w:ascii="仿宋_GB2312" w:eastAsia="仿宋_GB2312"/>
          <w:color w:val="auto"/>
          <w:sz w:val="32"/>
          <w:szCs w:val="32"/>
          <w:highlight w:val="none"/>
          <w:lang w:eastAsia="zh-CN"/>
        </w:rPr>
        <w:t>。发现的问题及原因：</w:t>
      </w:r>
      <w:r>
        <w:rPr>
          <w:rFonts w:ascii="仿宋_GB2312" w:eastAsia="仿宋_GB2312"/>
          <w:sz w:val="32"/>
          <w:szCs w:val="32"/>
        </w:rPr>
        <w:t>一是资金使用者对财政预算绩效管理意识淡漠，相关专业培训较少</w:t>
      </w:r>
      <w:r>
        <w:rPr>
          <w:rFonts w:hint="eastAsia" w:ascii="仿宋_GB2312" w:eastAsia="仿宋_GB2312"/>
          <w:color w:val="auto"/>
          <w:sz w:val="32"/>
          <w:szCs w:val="32"/>
          <w:highlight w:val="none"/>
          <w:lang w:eastAsia="zh-CN"/>
        </w:rPr>
        <w:t>；</w:t>
      </w:r>
      <w:r>
        <w:rPr>
          <w:rFonts w:ascii="仿宋_GB2312" w:eastAsia="仿宋_GB2312"/>
          <w:sz w:val="32"/>
          <w:szCs w:val="32"/>
        </w:rPr>
        <w:t>二是相关制度还有待完善</w:t>
      </w:r>
      <w:r>
        <w:rPr>
          <w:rFonts w:hint="eastAsia" w:ascii="仿宋_GB2312" w:eastAsia="仿宋_GB2312"/>
          <w:color w:val="auto"/>
          <w:sz w:val="32"/>
          <w:szCs w:val="32"/>
          <w:highlight w:val="none"/>
          <w:lang w:eastAsia="zh-CN"/>
        </w:rPr>
        <w:t>。下一步改进措施：</w:t>
      </w:r>
      <w:r>
        <w:rPr>
          <w:rFonts w:ascii="仿宋_GB2312" w:eastAsia="仿宋_GB2312"/>
          <w:sz w:val="32"/>
          <w:szCs w:val="32"/>
        </w:rPr>
        <w:t>一是进一步加强对绩效管理工作人员的培训</w:t>
      </w:r>
      <w:r>
        <w:rPr>
          <w:rFonts w:hint="eastAsia" w:ascii="仿宋_GB2312" w:eastAsia="仿宋_GB2312"/>
          <w:color w:val="auto"/>
          <w:sz w:val="32"/>
          <w:szCs w:val="32"/>
          <w:highlight w:val="none"/>
          <w:lang w:eastAsia="zh-CN"/>
        </w:rPr>
        <w:t>；</w:t>
      </w:r>
      <w:r>
        <w:rPr>
          <w:rFonts w:ascii="仿宋_GB2312" w:eastAsia="仿宋_GB2312"/>
          <w:sz w:val="32"/>
          <w:szCs w:val="32"/>
        </w:rPr>
        <w:t>二是加强组织领导、完善政策措施，强化监督考核</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7B074AA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49E691E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本单位本年未产生政府采购业务，故授予中小企业合同金额、授予小微企业合同金额为0万元。</w:t>
      </w:r>
      <w:bookmarkStart w:id="48" w:name="_GoBack"/>
      <w:bookmarkEnd w:id="48"/>
    </w:p>
    <w:p w14:paraId="179F5F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5C0425A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037EB6A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FAA3EB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BD729A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1058E9F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59DD68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4D52A20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6C14FC4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6846C1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08A3D3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531D90B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ED66FB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137BAB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13C40064">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06526E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EB3D6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213C67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354765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7EABAA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0EA01C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602A21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4BA946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44827F7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ECD9B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7AAADDB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22F4D9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64C424-E11A-4C38-ACE8-B7612836F5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F4CDB98-85E1-46F3-856A-DB451D36850C}"/>
  </w:font>
  <w:font w:name="仿宋_GB2312">
    <w:panose1 w:val="02010609030101010101"/>
    <w:charset w:val="86"/>
    <w:family w:val="modern"/>
    <w:pitch w:val="default"/>
    <w:sig w:usb0="00000001" w:usb1="080E0000" w:usb2="00000000" w:usb3="00000000" w:csb0="00040000" w:csb1="00000000"/>
    <w:embedRegular r:id="rId3" w:fontKey="{F9A4DE1B-00D7-47BA-8EA5-4CB1FCD71EF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6F03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25A72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325A72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ZWU3YTE2MTg0MmFjZGY4ZGU3MzE1ZTAyMTExNjgifQ=="/>
    <w:docVar w:name="KSO_WPS_MARK_KEY" w:val="41ee2a61-2d54-4f93-83be-afdb9a40d732"/>
  </w:docVars>
  <w:rsids>
    <w:rsidRoot w:val="00000000"/>
    <w:rsid w:val="00213C59"/>
    <w:rsid w:val="003210CE"/>
    <w:rsid w:val="00B70D59"/>
    <w:rsid w:val="00F52A8D"/>
    <w:rsid w:val="00F56658"/>
    <w:rsid w:val="011C1C74"/>
    <w:rsid w:val="013D5884"/>
    <w:rsid w:val="019404F8"/>
    <w:rsid w:val="020E50E5"/>
    <w:rsid w:val="024A56EE"/>
    <w:rsid w:val="027C4CDC"/>
    <w:rsid w:val="02843E3A"/>
    <w:rsid w:val="02BD3108"/>
    <w:rsid w:val="02F73D26"/>
    <w:rsid w:val="034D4FEF"/>
    <w:rsid w:val="03554CA4"/>
    <w:rsid w:val="035D1785"/>
    <w:rsid w:val="037E169F"/>
    <w:rsid w:val="039F47CE"/>
    <w:rsid w:val="03B51174"/>
    <w:rsid w:val="03B57241"/>
    <w:rsid w:val="03CA2CE8"/>
    <w:rsid w:val="03CB3A4C"/>
    <w:rsid w:val="03E05CE8"/>
    <w:rsid w:val="03F973EE"/>
    <w:rsid w:val="043E5B56"/>
    <w:rsid w:val="04851989"/>
    <w:rsid w:val="04B32F3C"/>
    <w:rsid w:val="04C04386"/>
    <w:rsid w:val="04C77398"/>
    <w:rsid w:val="04E27412"/>
    <w:rsid w:val="04FA68C4"/>
    <w:rsid w:val="053F5AE6"/>
    <w:rsid w:val="055A1331"/>
    <w:rsid w:val="055D277F"/>
    <w:rsid w:val="057C0B0F"/>
    <w:rsid w:val="059D0859"/>
    <w:rsid w:val="05EE2638"/>
    <w:rsid w:val="05EF4B48"/>
    <w:rsid w:val="05F76ECA"/>
    <w:rsid w:val="05FB3714"/>
    <w:rsid w:val="06482C18"/>
    <w:rsid w:val="06792773"/>
    <w:rsid w:val="06D66375"/>
    <w:rsid w:val="07071FC6"/>
    <w:rsid w:val="07093795"/>
    <w:rsid w:val="07804730"/>
    <w:rsid w:val="079052BE"/>
    <w:rsid w:val="08145C21"/>
    <w:rsid w:val="08422688"/>
    <w:rsid w:val="085854ED"/>
    <w:rsid w:val="0879188F"/>
    <w:rsid w:val="08925457"/>
    <w:rsid w:val="08A0354D"/>
    <w:rsid w:val="08BD2FC0"/>
    <w:rsid w:val="08CD4C49"/>
    <w:rsid w:val="08F367AC"/>
    <w:rsid w:val="09114954"/>
    <w:rsid w:val="092A1193"/>
    <w:rsid w:val="092C2320"/>
    <w:rsid w:val="095A5B83"/>
    <w:rsid w:val="096466E3"/>
    <w:rsid w:val="0968304D"/>
    <w:rsid w:val="0980220A"/>
    <w:rsid w:val="09AF3D17"/>
    <w:rsid w:val="09F760B7"/>
    <w:rsid w:val="0A1326D8"/>
    <w:rsid w:val="0A611286"/>
    <w:rsid w:val="0A627528"/>
    <w:rsid w:val="0A7809B7"/>
    <w:rsid w:val="0A7B4867"/>
    <w:rsid w:val="0A840954"/>
    <w:rsid w:val="0A9928ED"/>
    <w:rsid w:val="0B61769D"/>
    <w:rsid w:val="0B8C3ECC"/>
    <w:rsid w:val="0B9C639D"/>
    <w:rsid w:val="0BB052B2"/>
    <w:rsid w:val="0BD33FFC"/>
    <w:rsid w:val="0BE70B6C"/>
    <w:rsid w:val="0BE97AC1"/>
    <w:rsid w:val="0C1C4780"/>
    <w:rsid w:val="0C211164"/>
    <w:rsid w:val="0C3613A3"/>
    <w:rsid w:val="0C5E519C"/>
    <w:rsid w:val="0C640953"/>
    <w:rsid w:val="0C7227A7"/>
    <w:rsid w:val="0C753FC0"/>
    <w:rsid w:val="0CA52EE8"/>
    <w:rsid w:val="0CBD6988"/>
    <w:rsid w:val="0CD208AC"/>
    <w:rsid w:val="0CD5160A"/>
    <w:rsid w:val="0CF46C8F"/>
    <w:rsid w:val="0D3C7E50"/>
    <w:rsid w:val="0D4903E8"/>
    <w:rsid w:val="0D7A4A46"/>
    <w:rsid w:val="0D7A7D5F"/>
    <w:rsid w:val="0DA20C21"/>
    <w:rsid w:val="0DA4548F"/>
    <w:rsid w:val="0DE95583"/>
    <w:rsid w:val="0E221B54"/>
    <w:rsid w:val="0E2E1837"/>
    <w:rsid w:val="0E381D7F"/>
    <w:rsid w:val="0E640559"/>
    <w:rsid w:val="0EC116BE"/>
    <w:rsid w:val="0EDC1FFB"/>
    <w:rsid w:val="0EDC7504"/>
    <w:rsid w:val="0F1113DA"/>
    <w:rsid w:val="0F472A15"/>
    <w:rsid w:val="0F78534A"/>
    <w:rsid w:val="0F89358A"/>
    <w:rsid w:val="0F8C6D51"/>
    <w:rsid w:val="0FD9730B"/>
    <w:rsid w:val="10566742"/>
    <w:rsid w:val="105B0B5E"/>
    <w:rsid w:val="10A60C04"/>
    <w:rsid w:val="112E58D0"/>
    <w:rsid w:val="114F0DF9"/>
    <w:rsid w:val="11731CAC"/>
    <w:rsid w:val="119500A0"/>
    <w:rsid w:val="11C0733B"/>
    <w:rsid w:val="11D50D17"/>
    <w:rsid w:val="120E0809"/>
    <w:rsid w:val="12156D07"/>
    <w:rsid w:val="125C7BBD"/>
    <w:rsid w:val="12685570"/>
    <w:rsid w:val="127104DC"/>
    <w:rsid w:val="127F665A"/>
    <w:rsid w:val="12812983"/>
    <w:rsid w:val="12D43E04"/>
    <w:rsid w:val="12E63F12"/>
    <w:rsid w:val="12EF15C6"/>
    <w:rsid w:val="12F572A6"/>
    <w:rsid w:val="12F7068C"/>
    <w:rsid w:val="13127FD9"/>
    <w:rsid w:val="13291F34"/>
    <w:rsid w:val="136312A7"/>
    <w:rsid w:val="13BB2938"/>
    <w:rsid w:val="13D877B2"/>
    <w:rsid w:val="14207DC0"/>
    <w:rsid w:val="145D594C"/>
    <w:rsid w:val="14B932DA"/>
    <w:rsid w:val="14FB2951"/>
    <w:rsid w:val="150A66AF"/>
    <w:rsid w:val="15136621"/>
    <w:rsid w:val="154C1139"/>
    <w:rsid w:val="15683955"/>
    <w:rsid w:val="158C5B77"/>
    <w:rsid w:val="160304B6"/>
    <w:rsid w:val="160D1149"/>
    <w:rsid w:val="1624310C"/>
    <w:rsid w:val="163563C0"/>
    <w:rsid w:val="164315EF"/>
    <w:rsid w:val="165343B5"/>
    <w:rsid w:val="16557DFE"/>
    <w:rsid w:val="167268FB"/>
    <w:rsid w:val="169B393B"/>
    <w:rsid w:val="16BE65E5"/>
    <w:rsid w:val="16CB2669"/>
    <w:rsid w:val="16D50C50"/>
    <w:rsid w:val="16E120E1"/>
    <w:rsid w:val="17357297"/>
    <w:rsid w:val="17385A05"/>
    <w:rsid w:val="173B3901"/>
    <w:rsid w:val="176747F9"/>
    <w:rsid w:val="17954A6E"/>
    <w:rsid w:val="180059E9"/>
    <w:rsid w:val="184510FD"/>
    <w:rsid w:val="18851E37"/>
    <w:rsid w:val="190648B0"/>
    <w:rsid w:val="19071D6C"/>
    <w:rsid w:val="19081223"/>
    <w:rsid w:val="19180AB9"/>
    <w:rsid w:val="195E15B2"/>
    <w:rsid w:val="19B4774E"/>
    <w:rsid w:val="19D26CD4"/>
    <w:rsid w:val="19E23CA6"/>
    <w:rsid w:val="19E60D19"/>
    <w:rsid w:val="1A1253C0"/>
    <w:rsid w:val="1A242CF4"/>
    <w:rsid w:val="1A3E3450"/>
    <w:rsid w:val="1AA825B6"/>
    <w:rsid w:val="1AAC148A"/>
    <w:rsid w:val="1AD807E5"/>
    <w:rsid w:val="1B39345B"/>
    <w:rsid w:val="1B494327"/>
    <w:rsid w:val="1B7B77BF"/>
    <w:rsid w:val="1B8B1B39"/>
    <w:rsid w:val="1B9432DE"/>
    <w:rsid w:val="1BC32BBA"/>
    <w:rsid w:val="1BFB2A1F"/>
    <w:rsid w:val="1C015D4A"/>
    <w:rsid w:val="1C133261"/>
    <w:rsid w:val="1C290ED5"/>
    <w:rsid w:val="1C317E4F"/>
    <w:rsid w:val="1C472464"/>
    <w:rsid w:val="1C665D89"/>
    <w:rsid w:val="1C955421"/>
    <w:rsid w:val="1CBD27A8"/>
    <w:rsid w:val="1CC45E09"/>
    <w:rsid w:val="1D1E045A"/>
    <w:rsid w:val="1D22799A"/>
    <w:rsid w:val="1D43731C"/>
    <w:rsid w:val="1D5C1A72"/>
    <w:rsid w:val="1DAF458D"/>
    <w:rsid w:val="1E086ACE"/>
    <w:rsid w:val="1E23618E"/>
    <w:rsid w:val="1E2B59F8"/>
    <w:rsid w:val="1E5664D4"/>
    <w:rsid w:val="1E62130A"/>
    <w:rsid w:val="1E947F11"/>
    <w:rsid w:val="1E97358B"/>
    <w:rsid w:val="1EAA4A5F"/>
    <w:rsid w:val="1ED70BBD"/>
    <w:rsid w:val="1EE869A7"/>
    <w:rsid w:val="1EF36DE9"/>
    <w:rsid w:val="1F383FE6"/>
    <w:rsid w:val="1F897176"/>
    <w:rsid w:val="1FA15E62"/>
    <w:rsid w:val="1FED69B6"/>
    <w:rsid w:val="1FF93265"/>
    <w:rsid w:val="2064678E"/>
    <w:rsid w:val="2068102B"/>
    <w:rsid w:val="20C72932"/>
    <w:rsid w:val="20DC1AB9"/>
    <w:rsid w:val="20DD6197"/>
    <w:rsid w:val="212631E0"/>
    <w:rsid w:val="2127438D"/>
    <w:rsid w:val="216D64F7"/>
    <w:rsid w:val="217578A6"/>
    <w:rsid w:val="21762EC1"/>
    <w:rsid w:val="21A53757"/>
    <w:rsid w:val="221236C6"/>
    <w:rsid w:val="22470A7A"/>
    <w:rsid w:val="227F7DC1"/>
    <w:rsid w:val="22AC2AD1"/>
    <w:rsid w:val="22BC3308"/>
    <w:rsid w:val="22D7662C"/>
    <w:rsid w:val="23326B7F"/>
    <w:rsid w:val="23546851"/>
    <w:rsid w:val="236A71FA"/>
    <w:rsid w:val="237029FE"/>
    <w:rsid w:val="2380045B"/>
    <w:rsid w:val="23A02544"/>
    <w:rsid w:val="23BC04D2"/>
    <w:rsid w:val="23D92247"/>
    <w:rsid w:val="23EF1892"/>
    <w:rsid w:val="245B0320"/>
    <w:rsid w:val="2483647E"/>
    <w:rsid w:val="24A32D55"/>
    <w:rsid w:val="25292727"/>
    <w:rsid w:val="252E5CA9"/>
    <w:rsid w:val="256F7692"/>
    <w:rsid w:val="2595708F"/>
    <w:rsid w:val="25BA2154"/>
    <w:rsid w:val="25C8773F"/>
    <w:rsid w:val="25D90E4B"/>
    <w:rsid w:val="260012FA"/>
    <w:rsid w:val="26186CDA"/>
    <w:rsid w:val="264A7253"/>
    <w:rsid w:val="264C3DF8"/>
    <w:rsid w:val="26AC07C4"/>
    <w:rsid w:val="26F0170C"/>
    <w:rsid w:val="26FB3AD9"/>
    <w:rsid w:val="27201D62"/>
    <w:rsid w:val="27286E73"/>
    <w:rsid w:val="278258B4"/>
    <w:rsid w:val="27CF2642"/>
    <w:rsid w:val="27E777F5"/>
    <w:rsid w:val="27EA1D4C"/>
    <w:rsid w:val="27EA2E41"/>
    <w:rsid w:val="282459E2"/>
    <w:rsid w:val="283A7FE5"/>
    <w:rsid w:val="285F51FF"/>
    <w:rsid w:val="286511EC"/>
    <w:rsid w:val="288F310E"/>
    <w:rsid w:val="28903DD0"/>
    <w:rsid w:val="28C50E02"/>
    <w:rsid w:val="28DF2665"/>
    <w:rsid w:val="29072599"/>
    <w:rsid w:val="291029F3"/>
    <w:rsid w:val="29430B6B"/>
    <w:rsid w:val="29CB58F0"/>
    <w:rsid w:val="29CF26C8"/>
    <w:rsid w:val="29DB14DD"/>
    <w:rsid w:val="2A00174B"/>
    <w:rsid w:val="2A053397"/>
    <w:rsid w:val="2A145E96"/>
    <w:rsid w:val="2A2E28DD"/>
    <w:rsid w:val="2AA32BA6"/>
    <w:rsid w:val="2AA33556"/>
    <w:rsid w:val="2AC24D8B"/>
    <w:rsid w:val="2ACA1CCE"/>
    <w:rsid w:val="2AF5378F"/>
    <w:rsid w:val="2B286DAF"/>
    <w:rsid w:val="2B33402E"/>
    <w:rsid w:val="2BB94DBF"/>
    <w:rsid w:val="2BC32B6F"/>
    <w:rsid w:val="2C341ADB"/>
    <w:rsid w:val="2C6F314E"/>
    <w:rsid w:val="2CC206BE"/>
    <w:rsid w:val="2CEC1146"/>
    <w:rsid w:val="2D1136DF"/>
    <w:rsid w:val="2D20606D"/>
    <w:rsid w:val="2D7D4767"/>
    <w:rsid w:val="2D996D89"/>
    <w:rsid w:val="2DB87198"/>
    <w:rsid w:val="2DB93C54"/>
    <w:rsid w:val="2E3D144C"/>
    <w:rsid w:val="2E891204"/>
    <w:rsid w:val="2EEC283C"/>
    <w:rsid w:val="2F3F0A28"/>
    <w:rsid w:val="2F830BCD"/>
    <w:rsid w:val="2FA23679"/>
    <w:rsid w:val="2FBF7029"/>
    <w:rsid w:val="2FCE2246"/>
    <w:rsid w:val="2FD0187F"/>
    <w:rsid w:val="2FD27414"/>
    <w:rsid w:val="2FFE4BB0"/>
    <w:rsid w:val="300E7B60"/>
    <w:rsid w:val="300F6E18"/>
    <w:rsid w:val="3052147F"/>
    <w:rsid w:val="307A0A1B"/>
    <w:rsid w:val="30862F5F"/>
    <w:rsid w:val="308D6111"/>
    <w:rsid w:val="30AD781A"/>
    <w:rsid w:val="30B57DEF"/>
    <w:rsid w:val="30BA008D"/>
    <w:rsid w:val="30CB1900"/>
    <w:rsid w:val="30E13209"/>
    <w:rsid w:val="31242030"/>
    <w:rsid w:val="314029C9"/>
    <w:rsid w:val="314303BF"/>
    <w:rsid w:val="315E147A"/>
    <w:rsid w:val="316849D0"/>
    <w:rsid w:val="317C42F9"/>
    <w:rsid w:val="31A13408"/>
    <w:rsid w:val="31B572F1"/>
    <w:rsid w:val="31C63837"/>
    <w:rsid w:val="31C82E39"/>
    <w:rsid w:val="322B5B4A"/>
    <w:rsid w:val="32601BAD"/>
    <w:rsid w:val="329F6389"/>
    <w:rsid w:val="32B1237C"/>
    <w:rsid w:val="3333366C"/>
    <w:rsid w:val="33493FB3"/>
    <w:rsid w:val="33525D9F"/>
    <w:rsid w:val="33531689"/>
    <w:rsid w:val="3379369B"/>
    <w:rsid w:val="3389023A"/>
    <w:rsid w:val="339211F4"/>
    <w:rsid w:val="33CB74FA"/>
    <w:rsid w:val="343642F2"/>
    <w:rsid w:val="343F3010"/>
    <w:rsid w:val="345D0A00"/>
    <w:rsid w:val="34713BFD"/>
    <w:rsid w:val="34AF5F06"/>
    <w:rsid w:val="34C13589"/>
    <w:rsid w:val="34FE042A"/>
    <w:rsid w:val="353369E3"/>
    <w:rsid w:val="3594700F"/>
    <w:rsid w:val="35E00D72"/>
    <w:rsid w:val="35F21272"/>
    <w:rsid w:val="36036384"/>
    <w:rsid w:val="36727412"/>
    <w:rsid w:val="368D5CD8"/>
    <w:rsid w:val="36965B9D"/>
    <w:rsid w:val="36A4034C"/>
    <w:rsid w:val="36B3766E"/>
    <w:rsid w:val="36BF35D1"/>
    <w:rsid w:val="36C549FD"/>
    <w:rsid w:val="36EB1046"/>
    <w:rsid w:val="36FC5115"/>
    <w:rsid w:val="37966C2F"/>
    <w:rsid w:val="37991CD3"/>
    <w:rsid w:val="37A755DD"/>
    <w:rsid w:val="37F94FA0"/>
    <w:rsid w:val="380D3381"/>
    <w:rsid w:val="38115B1F"/>
    <w:rsid w:val="38443C9B"/>
    <w:rsid w:val="38590599"/>
    <w:rsid w:val="385E3AC3"/>
    <w:rsid w:val="3875606F"/>
    <w:rsid w:val="387C40F6"/>
    <w:rsid w:val="387D6B9E"/>
    <w:rsid w:val="38B75FF0"/>
    <w:rsid w:val="38D45016"/>
    <w:rsid w:val="38D90432"/>
    <w:rsid w:val="391055F6"/>
    <w:rsid w:val="3914510A"/>
    <w:rsid w:val="3926770B"/>
    <w:rsid w:val="398D3668"/>
    <w:rsid w:val="39DA0497"/>
    <w:rsid w:val="39F66D40"/>
    <w:rsid w:val="3A893816"/>
    <w:rsid w:val="3A893B6D"/>
    <w:rsid w:val="3AC03DBA"/>
    <w:rsid w:val="3AD1763A"/>
    <w:rsid w:val="3B6716E3"/>
    <w:rsid w:val="3B6C6B2D"/>
    <w:rsid w:val="3B795DD8"/>
    <w:rsid w:val="3BA00B38"/>
    <w:rsid w:val="3BBE2086"/>
    <w:rsid w:val="3C242659"/>
    <w:rsid w:val="3C96719C"/>
    <w:rsid w:val="3C996CC3"/>
    <w:rsid w:val="3CA72BE8"/>
    <w:rsid w:val="3CF37F8C"/>
    <w:rsid w:val="3CFD008C"/>
    <w:rsid w:val="3D137554"/>
    <w:rsid w:val="3D2B3EFB"/>
    <w:rsid w:val="3D5275AC"/>
    <w:rsid w:val="3D613DF4"/>
    <w:rsid w:val="3D7953CC"/>
    <w:rsid w:val="3DCC2473"/>
    <w:rsid w:val="3DEB0883"/>
    <w:rsid w:val="3DFA21CA"/>
    <w:rsid w:val="3E2527BF"/>
    <w:rsid w:val="3E536E4E"/>
    <w:rsid w:val="3E731662"/>
    <w:rsid w:val="3E8168DD"/>
    <w:rsid w:val="3EA7725F"/>
    <w:rsid w:val="3EB03713"/>
    <w:rsid w:val="3EBF1A11"/>
    <w:rsid w:val="3EC52607"/>
    <w:rsid w:val="3EC54BB5"/>
    <w:rsid w:val="3EEC6CEF"/>
    <w:rsid w:val="3F183429"/>
    <w:rsid w:val="3F5220BC"/>
    <w:rsid w:val="3F702026"/>
    <w:rsid w:val="3FAA40A6"/>
    <w:rsid w:val="3FB77A1D"/>
    <w:rsid w:val="3FDC3674"/>
    <w:rsid w:val="3FED7F8A"/>
    <w:rsid w:val="40094AEF"/>
    <w:rsid w:val="40291CB6"/>
    <w:rsid w:val="405470BD"/>
    <w:rsid w:val="406316BC"/>
    <w:rsid w:val="40794A29"/>
    <w:rsid w:val="40834692"/>
    <w:rsid w:val="40930EE3"/>
    <w:rsid w:val="40BE27C4"/>
    <w:rsid w:val="41386F6B"/>
    <w:rsid w:val="41424AFA"/>
    <w:rsid w:val="41431AD5"/>
    <w:rsid w:val="414B3C0F"/>
    <w:rsid w:val="417C1CE7"/>
    <w:rsid w:val="41857C06"/>
    <w:rsid w:val="41900018"/>
    <w:rsid w:val="41944406"/>
    <w:rsid w:val="41CE128F"/>
    <w:rsid w:val="41DA6F12"/>
    <w:rsid w:val="42171FB1"/>
    <w:rsid w:val="42301718"/>
    <w:rsid w:val="425E4027"/>
    <w:rsid w:val="426C660E"/>
    <w:rsid w:val="42827D2D"/>
    <w:rsid w:val="434E6957"/>
    <w:rsid w:val="4363203C"/>
    <w:rsid w:val="43BA0E31"/>
    <w:rsid w:val="43C15147"/>
    <w:rsid w:val="43E14DD2"/>
    <w:rsid w:val="43F800E9"/>
    <w:rsid w:val="442757C9"/>
    <w:rsid w:val="443A7E4B"/>
    <w:rsid w:val="443D1EBA"/>
    <w:rsid w:val="44C07BA8"/>
    <w:rsid w:val="452D4C2B"/>
    <w:rsid w:val="452F5B3A"/>
    <w:rsid w:val="453E0BB6"/>
    <w:rsid w:val="454E7FD2"/>
    <w:rsid w:val="46061BDC"/>
    <w:rsid w:val="461404F8"/>
    <w:rsid w:val="46357713"/>
    <w:rsid w:val="46413018"/>
    <w:rsid w:val="464B7E04"/>
    <w:rsid w:val="468041AA"/>
    <w:rsid w:val="468123C6"/>
    <w:rsid w:val="46901EEE"/>
    <w:rsid w:val="4695704B"/>
    <w:rsid w:val="469C74D2"/>
    <w:rsid w:val="46E079D6"/>
    <w:rsid w:val="46EA599D"/>
    <w:rsid w:val="4702651B"/>
    <w:rsid w:val="47374636"/>
    <w:rsid w:val="47445515"/>
    <w:rsid w:val="474B4782"/>
    <w:rsid w:val="47903393"/>
    <w:rsid w:val="47D90D14"/>
    <w:rsid w:val="47FB5B0F"/>
    <w:rsid w:val="48010322"/>
    <w:rsid w:val="48387FB0"/>
    <w:rsid w:val="483A6114"/>
    <w:rsid w:val="48492EDF"/>
    <w:rsid w:val="488727DB"/>
    <w:rsid w:val="48AE03FF"/>
    <w:rsid w:val="48B41864"/>
    <w:rsid w:val="48B82268"/>
    <w:rsid w:val="48B854A3"/>
    <w:rsid w:val="48C354B3"/>
    <w:rsid w:val="493D58B5"/>
    <w:rsid w:val="49477533"/>
    <w:rsid w:val="494A7A04"/>
    <w:rsid w:val="49C12805"/>
    <w:rsid w:val="49CB198D"/>
    <w:rsid w:val="49FB48FD"/>
    <w:rsid w:val="4A0A26D2"/>
    <w:rsid w:val="4A2019A5"/>
    <w:rsid w:val="4A241A0B"/>
    <w:rsid w:val="4A7B2875"/>
    <w:rsid w:val="4A805E77"/>
    <w:rsid w:val="4A934476"/>
    <w:rsid w:val="4AAA220A"/>
    <w:rsid w:val="4AE12E67"/>
    <w:rsid w:val="4B41748D"/>
    <w:rsid w:val="4B4C0111"/>
    <w:rsid w:val="4B762C80"/>
    <w:rsid w:val="4B7A72EA"/>
    <w:rsid w:val="4B8553A9"/>
    <w:rsid w:val="4B8814B7"/>
    <w:rsid w:val="4B9F197D"/>
    <w:rsid w:val="4BBD7903"/>
    <w:rsid w:val="4BDB3730"/>
    <w:rsid w:val="4C027C7A"/>
    <w:rsid w:val="4C200F7A"/>
    <w:rsid w:val="4C2A7399"/>
    <w:rsid w:val="4C7B79DA"/>
    <w:rsid w:val="4C8C0D58"/>
    <w:rsid w:val="4CC3413E"/>
    <w:rsid w:val="4CEE3180"/>
    <w:rsid w:val="4D0F4AF6"/>
    <w:rsid w:val="4D1D68E2"/>
    <w:rsid w:val="4D5A19E4"/>
    <w:rsid w:val="4DA16891"/>
    <w:rsid w:val="4DED716F"/>
    <w:rsid w:val="4DF94F37"/>
    <w:rsid w:val="4E067D0E"/>
    <w:rsid w:val="4E0A1DD5"/>
    <w:rsid w:val="4E3030A1"/>
    <w:rsid w:val="4E3160E5"/>
    <w:rsid w:val="4E4D37AF"/>
    <w:rsid w:val="4E7F2ABC"/>
    <w:rsid w:val="4E8C6496"/>
    <w:rsid w:val="4E9E1897"/>
    <w:rsid w:val="4EB00871"/>
    <w:rsid w:val="4EBB352E"/>
    <w:rsid w:val="4EFD18DE"/>
    <w:rsid w:val="4F144236"/>
    <w:rsid w:val="4F663C87"/>
    <w:rsid w:val="4F7E29A8"/>
    <w:rsid w:val="4F9E1FFC"/>
    <w:rsid w:val="4FB60966"/>
    <w:rsid w:val="4FF82286"/>
    <w:rsid w:val="500A18A0"/>
    <w:rsid w:val="50447CC2"/>
    <w:rsid w:val="506710AE"/>
    <w:rsid w:val="506A1FD6"/>
    <w:rsid w:val="50874A7C"/>
    <w:rsid w:val="50895EE7"/>
    <w:rsid w:val="50921B9D"/>
    <w:rsid w:val="50D16158"/>
    <w:rsid w:val="50DB5F45"/>
    <w:rsid w:val="51025EB1"/>
    <w:rsid w:val="51141503"/>
    <w:rsid w:val="513F0710"/>
    <w:rsid w:val="518D0ED5"/>
    <w:rsid w:val="51FF0EE7"/>
    <w:rsid w:val="52044F6A"/>
    <w:rsid w:val="525C687F"/>
    <w:rsid w:val="52F647F7"/>
    <w:rsid w:val="52F92565"/>
    <w:rsid w:val="53102A48"/>
    <w:rsid w:val="53BF1547"/>
    <w:rsid w:val="53D03877"/>
    <w:rsid w:val="54173410"/>
    <w:rsid w:val="542E79CF"/>
    <w:rsid w:val="542F73CA"/>
    <w:rsid w:val="5430786D"/>
    <w:rsid w:val="54C811C0"/>
    <w:rsid w:val="551D60B8"/>
    <w:rsid w:val="554E3784"/>
    <w:rsid w:val="55661F8D"/>
    <w:rsid w:val="556A442D"/>
    <w:rsid w:val="557604E7"/>
    <w:rsid w:val="55796516"/>
    <w:rsid w:val="55836578"/>
    <w:rsid w:val="558F4499"/>
    <w:rsid w:val="5597526B"/>
    <w:rsid w:val="559A5E1A"/>
    <w:rsid w:val="55DA564E"/>
    <w:rsid w:val="56016F08"/>
    <w:rsid w:val="5604127D"/>
    <w:rsid w:val="56166703"/>
    <w:rsid w:val="56510474"/>
    <w:rsid w:val="56725D13"/>
    <w:rsid w:val="56861525"/>
    <w:rsid w:val="56A93273"/>
    <w:rsid w:val="56BD550C"/>
    <w:rsid w:val="56E07045"/>
    <w:rsid w:val="56FF28AF"/>
    <w:rsid w:val="57540E7D"/>
    <w:rsid w:val="577B4878"/>
    <w:rsid w:val="57926973"/>
    <w:rsid w:val="57A967E7"/>
    <w:rsid w:val="57BE0A4A"/>
    <w:rsid w:val="57E07B89"/>
    <w:rsid w:val="580A4706"/>
    <w:rsid w:val="58175352"/>
    <w:rsid w:val="581F2200"/>
    <w:rsid w:val="583059FA"/>
    <w:rsid w:val="584A0929"/>
    <w:rsid w:val="58CD2491"/>
    <w:rsid w:val="590E50A6"/>
    <w:rsid w:val="591B41B2"/>
    <w:rsid w:val="59254A26"/>
    <w:rsid w:val="59326325"/>
    <w:rsid w:val="594A35F9"/>
    <w:rsid w:val="595C505B"/>
    <w:rsid w:val="595E55C3"/>
    <w:rsid w:val="596E7E20"/>
    <w:rsid w:val="59EC5E5E"/>
    <w:rsid w:val="5A60780B"/>
    <w:rsid w:val="5A9C7259"/>
    <w:rsid w:val="5AB34579"/>
    <w:rsid w:val="5ACD6BF3"/>
    <w:rsid w:val="5AFC6609"/>
    <w:rsid w:val="5B0E6740"/>
    <w:rsid w:val="5B113480"/>
    <w:rsid w:val="5B26605E"/>
    <w:rsid w:val="5BCE1E42"/>
    <w:rsid w:val="5BD456CE"/>
    <w:rsid w:val="5C0D1F49"/>
    <w:rsid w:val="5C2932A9"/>
    <w:rsid w:val="5C3012C9"/>
    <w:rsid w:val="5C364C0C"/>
    <w:rsid w:val="5C3F4356"/>
    <w:rsid w:val="5C8F371D"/>
    <w:rsid w:val="5CAC35AA"/>
    <w:rsid w:val="5CBB0CE2"/>
    <w:rsid w:val="5CC17177"/>
    <w:rsid w:val="5CE52A0B"/>
    <w:rsid w:val="5CF306BC"/>
    <w:rsid w:val="5D3F3D64"/>
    <w:rsid w:val="5D5A793F"/>
    <w:rsid w:val="5D833043"/>
    <w:rsid w:val="5DB1083D"/>
    <w:rsid w:val="5DD92690"/>
    <w:rsid w:val="5DDB1CFD"/>
    <w:rsid w:val="5E675C4A"/>
    <w:rsid w:val="5E7E6D93"/>
    <w:rsid w:val="5EA06CD1"/>
    <w:rsid w:val="5ED44800"/>
    <w:rsid w:val="5EEF6763"/>
    <w:rsid w:val="5F350BDE"/>
    <w:rsid w:val="5F3E0000"/>
    <w:rsid w:val="5F61632C"/>
    <w:rsid w:val="5FA17648"/>
    <w:rsid w:val="5FE705CB"/>
    <w:rsid w:val="600B6A9C"/>
    <w:rsid w:val="603D5080"/>
    <w:rsid w:val="608B1921"/>
    <w:rsid w:val="60D0261B"/>
    <w:rsid w:val="612A05DE"/>
    <w:rsid w:val="61487E2B"/>
    <w:rsid w:val="61546CFB"/>
    <w:rsid w:val="615A2141"/>
    <w:rsid w:val="618E3791"/>
    <w:rsid w:val="61947DCA"/>
    <w:rsid w:val="61A46A97"/>
    <w:rsid w:val="61A81440"/>
    <w:rsid w:val="61BD0150"/>
    <w:rsid w:val="61D1382F"/>
    <w:rsid w:val="61F114A2"/>
    <w:rsid w:val="62512BB4"/>
    <w:rsid w:val="625D7D1A"/>
    <w:rsid w:val="626116B7"/>
    <w:rsid w:val="62C21C64"/>
    <w:rsid w:val="62DD7D21"/>
    <w:rsid w:val="62F00267"/>
    <w:rsid w:val="62FA5879"/>
    <w:rsid w:val="63514353"/>
    <w:rsid w:val="637D586B"/>
    <w:rsid w:val="63A5560B"/>
    <w:rsid w:val="63A8367C"/>
    <w:rsid w:val="63E9091F"/>
    <w:rsid w:val="63E9392C"/>
    <w:rsid w:val="64025F65"/>
    <w:rsid w:val="64322AF9"/>
    <w:rsid w:val="64D6010D"/>
    <w:rsid w:val="64D82665"/>
    <w:rsid w:val="64E47C96"/>
    <w:rsid w:val="651E5741"/>
    <w:rsid w:val="658A4877"/>
    <w:rsid w:val="65A00902"/>
    <w:rsid w:val="65AC6EDD"/>
    <w:rsid w:val="65D97752"/>
    <w:rsid w:val="66085536"/>
    <w:rsid w:val="66105BF7"/>
    <w:rsid w:val="66150023"/>
    <w:rsid w:val="6628010D"/>
    <w:rsid w:val="66512122"/>
    <w:rsid w:val="669B4528"/>
    <w:rsid w:val="66CC12D7"/>
    <w:rsid w:val="67134CEF"/>
    <w:rsid w:val="671F1ABD"/>
    <w:rsid w:val="67521A59"/>
    <w:rsid w:val="679B6052"/>
    <w:rsid w:val="67A87A83"/>
    <w:rsid w:val="67C304AB"/>
    <w:rsid w:val="680E7A88"/>
    <w:rsid w:val="683F0658"/>
    <w:rsid w:val="68417E5E"/>
    <w:rsid w:val="68665912"/>
    <w:rsid w:val="689C6793"/>
    <w:rsid w:val="68DB0208"/>
    <w:rsid w:val="68FB170C"/>
    <w:rsid w:val="691B3D98"/>
    <w:rsid w:val="693748F0"/>
    <w:rsid w:val="696A55C6"/>
    <w:rsid w:val="69846A0E"/>
    <w:rsid w:val="69AD798C"/>
    <w:rsid w:val="69D005C0"/>
    <w:rsid w:val="69D80B96"/>
    <w:rsid w:val="6A155F82"/>
    <w:rsid w:val="6A290370"/>
    <w:rsid w:val="6B102919"/>
    <w:rsid w:val="6B3263B9"/>
    <w:rsid w:val="6B68175F"/>
    <w:rsid w:val="6B7C6178"/>
    <w:rsid w:val="6BA47264"/>
    <w:rsid w:val="6BB916E1"/>
    <w:rsid w:val="6BC02B4C"/>
    <w:rsid w:val="6BD739E0"/>
    <w:rsid w:val="6BFD799F"/>
    <w:rsid w:val="6C412EC3"/>
    <w:rsid w:val="6C4A2E5A"/>
    <w:rsid w:val="6C6647A8"/>
    <w:rsid w:val="6C8138D0"/>
    <w:rsid w:val="6C9B46F1"/>
    <w:rsid w:val="6CEF0725"/>
    <w:rsid w:val="6D411AFB"/>
    <w:rsid w:val="6D4B2604"/>
    <w:rsid w:val="6D6432C6"/>
    <w:rsid w:val="6D8030E4"/>
    <w:rsid w:val="6E0E35C4"/>
    <w:rsid w:val="6E0F7A08"/>
    <w:rsid w:val="6E3947F5"/>
    <w:rsid w:val="6E9C74ED"/>
    <w:rsid w:val="6EE60DD5"/>
    <w:rsid w:val="6EF72976"/>
    <w:rsid w:val="6F481369"/>
    <w:rsid w:val="6F5F2AB2"/>
    <w:rsid w:val="6F795A80"/>
    <w:rsid w:val="6F7C1D2E"/>
    <w:rsid w:val="6F8E0407"/>
    <w:rsid w:val="6F937D2D"/>
    <w:rsid w:val="6FC623A3"/>
    <w:rsid w:val="6FDD069F"/>
    <w:rsid w:val="700A00DC"/>
    <w:rsid w:val="702B4D16"/>
    <w:rsid w:val="70504BA0"/>
    <w:rsid w:val="70AA6621"/>
    <w:rsid w:val="7111480F"/>
    <w:rsid w:val="71261F49"/>
    <w:rsid w:val="712E6956"/>
    <w:rsid w:val="71411324"/>
    <w:rsid w:val="71473612"/>
    <w:rsid w:val="71504F32"/>
    <w:rsid w:val="7152309F"/>
    <w:rsid w:val="715B277D"/>
    <w:rsid w:val="718F7F65"/>
    <w:rsid w:val="71AB1C16"/>
    <w:rsid w:val="72363CE5"/>
    <w:rsid w:val="72544963"/>
    <w:rsid w:val="727B234E"/>
    <w:rsid w:val="72842F09"/>
    <w:rsid w:val="72C81D09"/>
    <w:rsid w:val="72D068C7"/>
    <w:rsid w:val="72E42ED8"/>
    <w:rsid w:val="72FF4252"/>
    <w:rsid w:val="732E7122"/>
    <w:rsid w:val="735F4CB9"/>
    <w:rsid w:val="735F582A"/>
    <w:rsid w:val="73674C62"/>
    <w:rsid w:val="73845865"/>
    <w:rsid w:val="739B6D9E"/>
    <w:rsid w:val="73BC1D76"/>
    <w:rsid w:val="73E900C7"/>
    <w:rsid w:val="73FA4225"/>
    <w:rsid w:val="73FB6630"/>
    <w:rsid w:val="745553A3"/>
    <w:rsid w:val="748D790E"/>
    <w:rsid w:val="749820CC"/>
    <w:rsid w:val="74CE04EC"/>
    <w:rsid w:val="74E50A75"/>
    <w:rsid w:val="74E76DCD"/>
    <w:rsid w:val="750919AE"/>
    <w:rsid w:val="751D7C0A"/>
    <w:rsid w:val="75257C6A"/>
    <w:rsid w:val="75722D56"/>
    <w:rsid w:val="75DB5477"/>
    <w:rsid w:val="75EC2BBA"/>
    <w:rsid w:val="75FC6AC3"/>
    <w:rsid w:val="7616619B"/>
    <w:rsid w:val="763F3C8B"/>
    <w:rsid w:val="76466E07"/>
    <w:rsid w:val="76660D7C"/>
    <w:rsid w:val="766C5968"/>
    <w:rsid w:val="767778D6"/>
    <w:rsid w:val="76947DA5"/>
    <w:rsid w:val="769D2727"/>
    <w:rsid w:val="76AC66B6"/>
    <w:rsid w:val="76BC3267"/>
    <w:rsid w:val="76BE0C8F"/>
    <w:rsid w:val="76CD53B2"/>
    <w:rsid w:val="770719AC"/>
    <w:rsid w:val="77580E15"/>
    <w:rsid w:val="776526CC"/>
    <w:rsid w:val="777476BE"/>
    <w:rsid w:val="77A262E1"/>
    <w:rsid w:val="77B13C33"/>
    <w:rsid w:val="77ED6F44"/>
    <w:rsid w:val="77F45548"/>
    <w:rsid w:val="781E2C25"/>
    <w:rsid w:val="78212916"/>
    <w:rsid w:val="784E7CA6"/>
    <w:rsid w:val="78574801"/>
    <w:rsid w:val="786F2587"/>
    <w:rsid w:val="7873527F"/>
    <w:rsid w:val="78747783"/>
    <w:rsid w:val="78A77E5D"/>
    <w:rsid w:val="78CE66BE"/>
    <w:rsid w:val="79032E66"/>
    <w:rsid w:val="790A6425"/>
    <w:rsid w:val="790E2D96"/>
    <w:rsid w:val="791B54B2"/>
    <w:rsid w:val="795A0A34"/>
    <w:rsid w:val="7972504E"/>
    <w:rsid w:val="797339C3"/>
    <w:rsid w:val="7977699F"/>
    <w:rsid w:val="79CA3705"/>
    <w:rsid w:val="79D57D57"/>
    <w:rsid w:val="79F00650"/>
    <w:rsid w:val="7A230CF8"/>
    <w:rsid w:val="7A5156C0"/>
    <w:rsid w:val="7A6242BF"/>
    <w:rsid w:val="7A794513"/>
    <w:rsid w:val="7AC46D44"/>
    <w:rsid w:val="7AC50408"/>
    <w:rsid w:val="7AC51712"/>
    <w:rsid w:val="7AE952D2"/>
    <w:rsid w:val="7AF97B05"/>
    <w:rsid w:val="7B793215"/>
    <w:rsid w:val="7BE81979"/>
    <w:rsid w:val="7C3157CE"/>
    <w:rsid w:val="7C3E69F2"/>
    <w:rsid w:val="7C800327"/>
    <w:rsid w:val="7C976D69"/>
    <w:rsid w:val="7CBA2B92"/>
    <w:rsid w:val="7CCE3EE1"/>
    <w:rsid w:val="7CD752DA"/>
    <w:rsid w:val="7CDE40AB"/>
    <w:rsid w:val="7CF057E2"/>
    <w:rsid w:val="7D1548B5"/>
    <w:rsid w:val="7D880148"/>
    <w:rsid w:val="7DB701A1"/>
    <w:rsid w:val="7DE34A7C"/>
    <w:rsid w:val="7DF84014"/>
    <w:rsid w:val="7E0930BC"/>
    <w:rsid w:val="7E0E4E10"/>
    <w:rsid w:val="7E207949"/>
    <w:rsid w:val="7E312D5E"/>
    <w:rsid w:val="7E5C0A47"/>
    <w:rsid w:val="7E670C75"/>
    <w:rsid w:val="7EE24272"/>
    <w:rsid w:val="7EEA6053"/>
    <w:rsid w:val="7EF678F5"/>
    <w:rsid w:val="7F0048E0"/>
    <w:rsid w:val="7F26460F"/>
    <w:rsid w:val="7F280C68"/>
    <w:rsid w:val="7F487C04"/>
    <w:rsid w:val="7F6E3D01"/>
    <w:rsid w:val="7F71779F"/>
    <w:rsid w:val="7F8A40FE"/>
    <w:rsid w:val="7FB45F21"/>
    <w:rsid w:val="7FE57088"/>
    <w:rsid w:val="7FE57715"/>
    <w:rsid w:val="7FF37FA3"/>
    <w:rsid w:val="7FF56B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4988</Words>
  <Characters>5569</Characters>
  <Lines>0</Lines>
  <Paragraphs>0</Paragraphs>
  <TotalTime>1</TotalTime>
  <ScaleCrop>false</ScaleCrop>
  <LinksUpToDate>false</LinksUpToDate>
  <CharactersWithSpaces>5580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薛俊璇</cp:lastModifiedBy>
  <dcterms:modified xsi:type="dcterms:W3CDTF">2024-08-28T05:51:53Z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