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B25C2">
      <w:pPr>
        <w:jc w:val="both"/>
        <w:rPr>
          <w:rFonts w:hint="default" w:ascii="Times New Roman" w:hAnsi="Times New Roman" w:eastAsia="黑体" w:cs="Times New Roman"/>
          <w:sz w:val="32"/>
          <w:szCs w:val="32"/>
        </w:rPr>
      </w:pPr>
    </w:p>
    <w:p w14:paraId="24627CEF">
      <w:pPr>
        <w:jc w:val="both"/>
        <w:rPr>
          <w:rFonts w:hint="default" w:ascii="Times New Roman" w:hAnsi="Times New Roman" w:eastAsia="方正小标宋_GBK" w:cs="Times New Roman"/>
          <w:sz w:val="44"/>
          <w:szCs w:val="44"/>
        </w:rPr>
      </w:pPr>
    </w:p>
    <w:p w14:paraId="67CF3544">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新疆维吾尔自治区卫生健康药具服务中心</w:t>
      </w:r>
      <w:r>
        <w:rPr>
          <w:rFonts w:hint="eastAsia" w:eastAsia="方正小标宋_GBK" w:cs="Times New Roman"/>
          <w:sz w:val="44"/>
          <w:szCs w:val="44"/>
          <w:lang w:eastAsia="zh-CN"/>
        </w:rPr>
        <w:t>（原新疆维吾尔自治区计划生育药具管理中心）</w:t>
      </w:r>
      <w:r>
        <w:rPr>
          <w:rFonts w:hint="default" w:ascii="Times New Roman" w:hAnsi="Times New Roman" w:eastAsia="方正小标宋_GBK" w:cs="Times New Roman"/>
          <w:sz w:val="44"/>
          <w:szCs w:val="44"/>
        </w:rPr>
        <w:t>2023年度部门决算公开说明</w:t>
      </w:r>
    </w:p>
    <w:p w14:paraId="3D9DF627">
      <w:pPr>
        <w:jc w:val="both"/>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br w:type="page"/>
      </w:r>
    </w:p>
    <w:p w14:paraId="197AFBE0">
      <w:pPr>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kern w:val="0"/>
          <w:sz w:val="36"/>
          <w:szCs w:val="36"/>
        </w:rPr>
        <w:t>目  录</w:t>
      </w:r>
    </w:p>
    <w:p w14:paraId="2CEC1A8C">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\n  \h \u </w:instrText>
      </w:r>
      <w:r>
        <w:rPr>
          <w:rFonts w:hint="default" w:ascii="Times New Roman" w:hAnsi="Times New Roman" w:eastAsia="仿宋_GB2312" w:cs="Times New Roman"/>
          <w:sz w:val="32"/>
          <w:szCs w:val="32"/>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"_Toc32314"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第一部分 单位概况</w:t>
      </w:r>
      <w:r>
        <w:rPr>
          <w:rFonts w:hint="default" w:ascii="Times New Roman" w:hAnsi="Times New Roman" w:eastAsia="仿宋_GB2312" w:cs="Times New Roman"/>
          <w:b/>
          <w:bCs/>
          <w:sz w:val="32"/>
          <w:szCs w:val="32"/>
        </w:rPr>
        <w:fldChar w:fldCharType="end"/>
      </w:r>
    </w:p>
    <w:p w14:paraId="17099BDA">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"_Toc30567"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一、主要职能</w:t>
      </w:r>
      <w:r>
        <w:rPr>
          <w:rFonts w:hint="default" w:ascii="Times New Roman" w:hAnsi="Times New Roman" w:eastAsia="仿宋_GB2312" w:cs="Times New Roman"/>
          <w:bCs/>
          <w:kern w:val="0"/>
          <w:sz w:val="32"/>
          <w:szCs w:val="32"/>
        </w:rPr>
        <w:fldChar w:fldCharType="end"/>
      </w:r>
    </w:p>
    <w:p w14:paraId="2DE01CB8">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二、机构设置及人员情况</w:t>
      </w:r>
      <w:r>
        <w:rPr>
          <w:rFonts w:hint="default" w:ascii="Times New Roman" w:hAnsi="Times New Roman" w:eastAsia="仿宋_GB2312" w:cs="Times New Roman"/>
          <w:bCs/>
          <w:kern w:val="0"/>
          <w:sz w:val="32"/>
          <w:szCs w:val="32"/>
        </w:rPr>
        <w:fldChar w:fldCharType="end"/>
      </w:r>
    </w:p>
    <w:p w14:paraId="4D4B1B2B">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"_Toc29374"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第二部分 部门决算情况说明</w:t>
      </w:r>
      <w:r>
        <w:rPr>
          <w:rFonts w:hint="default" w:ascii="Times New Roman" w:hAnsi="Times New Roman" w:eastAsia="仿宋_GB2312" w:cs="Times New Roman"/>
          <w:b/>
          <w:bCs/>
          <w:sz w:val="32"/>
          <w:szCs w:val="32"/>
        </w:rPr>
        <w:fldChar w:fldCharType="end"/>
      </w:r>
    </w:p>
    <w:p w14:paraId="7CFD1653">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"_Toc25314"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一、收入支出决算总体情况说明</w:t>
      </w:r>
      <w:r>
        <w:rPr>
          <w:rFonts w:hint="default" w:ascii="Times New Roman" w:hAnsi="Times New Roman" w:eastAsia="仿宋_GB2312" w:cs="Times New Roman"/>
          <w:bCs/>
          <w:kern w:val="0"/>
          <w:sz w:val="32"/>
          <w:szCs w:val="32"/>
        </w:rPr>
        <w:fldChar w:fldCharType="end"/>
      </w:r>
    </w:p>
    <w:p w14:paraId="192BD09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"_Toc12142"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二、收入决算情况说明</w:t>
      </w:r>
      <w:r>
        <w:rPr>
          <w:rFonts w:hint="default" w:ascii="Times New Roman" w:hAnsi="Times New Roman" w:eastAsia="仿宋_GB2312" w:cs="Times New Roman"/>
          <w:bCs/>
          <w:kern w:val="0"/>
          <w:sz w:val="32"/>
          <w:szCs w:val="32"/>
        </w:rPr>
        <w:fldChar w:fldCharType="end"/>
      </w:r>
    </w:p>
    <w:p w14:paraId="678C7C71">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"_Toc13201"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三、支出决算情况说明</w:t>
      </w:r>
      <w:r>
        <w:rPr>
          <w:rFonts w:hint="default" w:ascii="Times New Roman" w:hAnsi="Times New Roman" w:eastAsia="仿宋_GB2312" w:cs="Times New Roman"/>
          <w:bCs/>
          <w:kern w:val="0"/>
          <w:sz w:val="32"/>
          <w:szCs w:val="32"/>
        </w:rPr>
        <w:fldChar w:fldCharType="end"/>
      </w:r>
    </w:p>
    <w:p w14:paraId="3C9FD4AB">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"_Toc26564"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四、财政拨款收入支出决算总体情况说明</w:t>
      </w:r>
      <w:r>
        <w:rPr>
          <w:rFonts w:hint="default" w:ascii="Times New Roman" w:hAnsi="Times New Roman" w:eastAsia="仿宋_GB2312" w:cs="Times New Roman"/>
          <w:bCs/>
          <w:kern w:val="0"/>
          <w:sz w:val="32"/>
          <w:szCs w:val="32"/>
        </w:rPr>
        <w:fldChar w:fldCharType="end"/>
      </w:r>
    </w:p>
    <w:p w14:paraId="0D3C6641">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"_Toc20360"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五、一般公共预算财政拨款支出决算情况说明</w:t>
      </w:r>
      <w:r>
        <w:rPr>
          <w:rFonts w:hint="default" w:ascii="Times New Roman" w:hAnsi="Times New Roman" w:eastAsia="仿宋_GB2312" w:cs="Times New Roman"/>
          <w:bCs/>
          <w:kern w:val="0"/>
          <w:sz w:val="32"/>
          <w:szCs w:val="32"/>
        </w:rPr>
        <w:fldChar w:fldCharType="end"/>
      </w:r>
    </w:p>
    <w:p w14:paraId="016028C4">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"_Toc30870"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六、一般公共预算财政拨款基本支出决算情况说明</w:t>
      </w:r>
      <w:r>
        <w:rPr>
          <w:rFonts w:hint="default" w:ascii="Times New Roman" w:hAnsi="Times New Roman" w:eastAsia="仿宋_GB2312" w:cs="Times New Roman"/>
          <w:bCs/>
          <w:kern w:val="0"/>
          <w:sz w:val="32"/>
          <w:szCs w:val="32"/>
        </w:rPr>
        <w:fldChar w:fldCharType="end"/>
      </w:r>
    </w:p>
    <w:p w14:paraId="5C999FA1">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"_Toc21518"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七、财政拨款“三公”经费支出决算情况说明</w:t>
      </w:r>
      <w:r>
        <w:rPr>
          <w:rFonts w:hint="default" w:ascii="Times New Roman" w:hAnsi="Times New Roman" w:eastAsia="仿宋_GB2312" w:cs="Times New Roman"/>
          <w:bCs/>
          <w:kern w:val="0"/>
          <w:sz w:val="32"/>
          <w:szCs w:val="32"/>
        </w:rPr>
        <w:fldChar w:fldCharType="end"/>
      </w:r>
    </w:p>
    <w:p w14:paraId="48108FEE">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八、政府性基金预算财政拨款收入支出决算情况说明</w:t>
      </w:r>
      <w:r>
        <w:rPr>
          <w:rFonts w:hint="default" w:ascii="Times New Roman" w:hAnsi="Times New Roman" w:eastAsia="仿宋_GB2312" w:cs="Times New Roman"/>
          <w:bCs/>
          <w:kern w:val="0"/>
          <w:sz w:val="32"/>
          <w:szCs w:val="32"/>
        </w:rPr>
        <w:fldChar w:fldCharType="end"/>
      </w:r>
    </w:p>
    <w:p w14:paraId="3C710D2F">
      <w:pPr>
        <w:jc w:val="both"/>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九、国有资本经营预算财政拨款收入支出决算情况说明</w:t>
      </w:r>
      <w:r>
        <w:rPr>
          <w:rFonts w:hint="default" w:ascii="Times New Roman" w:hAnsi="Times New Roman" w:eastAsia="仿宋_GB2312" w:cs="Times New Roman"/>
          <w:bCs/>
          <w:kern w:val="0"/>
          <w:sz w:val="32"/>
          <w:szCs w:val="32"/>
        </w:rPr>
        <w:fldChar w:fldCharType="end"/>
      </w:r>
    </w:p>
    <w:p w14:paraId="019D8FA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"_Toc1235"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十</w:t>
      </w:r>
      <w:r>
        <w:rPr>
          <w:rFonts w:hint="default" w:ascii="Times New Roman" w:hAnsi="Times New Roman" w:eastAsia="仿宋_GB2312" w:cs="Times New Roman"/>
          <w:bCs/>
          <w:kern w:val="0"/>
          <w:sz w:val="32"/>
          <w:szCs w:val="32"/>
        </w:rPr>
        <w:t>、其他重要事项的情况说明</w:t>
      </w:r>
      <w:r>
        <w:rPr>
          <w:rFonts w:hint="default" w:ascii="Times New Roman" w:hAnsi="Times New Roman" w:eastAsia="仿宋_GB2312" w:cs="Times New Roman"/>
          <w:bCs/>
          <w:kern w:val="0"/>
          <w:sz w:val="32"/>
          <w:szCs w:val="32"/>
        </w:rPr>
        <w:fldChar w:fldCharType="end"/>
      </w:r>
    </w:p>
    <w:p w14:paraId="79862192">
      <w:pPr>
        <w:pStyle w:val="3"/>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"_Toc14519"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（一）机关运行经费支出情况</w:t>
      </w:r>
      <w:r>
        <w:rPr>
          <w:rFonts w:hint="default" w:ascii="Times New Roman" w:hAnsi="Times New Roman" w:eastAsia="仿宋_GB2312" w:cs="Times New Roman"/>
          <w:sz w:val="32"/>
          <w:szCs w:val="32"/>
        </w:rPr>
        <w:fldChar w:fldCharType="end"/>
      </w:r>
    </w:p>
    <w:p w14:paraId="3090C0C5">
      <w:pPr>
        <w:pStyle w:val="3"/>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（二）政府采购情况</w:t>
      </w:r>
      <w:r>
        <w:rPr>
          <w:rFonts w:hint="default" w:ascii="Times New Roman" w:hAnsi="Times New Roman" w:eastAsia="仿宋_GB2312" w:cs="Times New Roman"/>
          <w:sz w:val="32"/>
          <w:szCs w:val="32"/>
        </w:rPr>
        <w:fldChar w:fldCharType="end"/>
      </w:r>
    </w:p>
    <w:p w14:paraId="24B07C83">
      <w:pPr>
        <w:pStyle w:val="3"/>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"_Toc8391"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（三）国有资产占用情况说明</w:t>
      </w:r>
      <w:r>
        <w:rPr>
          <w:rFonts w:hint="default" w:ascii="Times New Roman" w:hAnsi="Times New Roman" w:eastAsia="仿宋_GB2312" w:cs="Times New Roman"/>
          <w:sz w:val="32"/>
          <w:szCs w:val="32"/>
        </w:rPr>
        <w:fldChar w:fldCharType="end"/>
      </w:r>
    </w:p>
    <w:p w14:paraId="623F806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"_Toc11283"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十一、预算绩效的情况说明</w:t>
      </w:r>
      <w:r>
        <w:rPr>
          <w:rFonts w:hint="default" w:ascii="Times New Roman" w:hAnsi="Times New Roman" w:eastAsia="仿宋_GB2312" w:cs="Times New Roman"/>
          <w:bCs/>
          <w:kern w:val="0"/>
          <w:sz w:val="32"/>
          <w:szCs w:val="32"/>
        </w:rPr>
        <w:fldChar w:fldCharType="end"/>
      </w:r>
    </w:p>
    <w:p w14:paraId="17D66D03">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十二、其他需说明的事项</w:t>
      </w:r>
    </w:p>
    <w:p w14:paraId="7A536F9E">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"_Toc3250"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第三部分 专业名词解释</w:t>
      </w:r>
      <w:r>
        <w:rPr>
          <w:rFonts w:hint="default" w:ascii="Times New Roman" w:hAnsi="Times New Roman" w:eastAsia="仿宋_GB2312" w:cs="Times New Roman"/>
          <w:b/>
          <w:bCs/>
          <w:sz w:val="32"/>
          <w:szCs w:val="32"/>
        </w:rPr>
        <w:fldChar w:fldCharType="end"/>
      </w:r>
    </w:p>
    <w:p w14:paraId="5409B6C9">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"_Toc22784"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第四部分 部门决算报表（见附表）</w:t>
      </w:r>
      <w:r>
        <w:rPr>
          <w:rFonts w:hint="default" w:ascii="Times New Roman" w:hAnsi="Times New Roman" w:eastAsia="仿宋_GB2312" w:cs="Times New Roman"/>
          <w:b/>
          <w:bCs/>
          <w:sz w:val="32"/>
          <w:szCs w:val="32"/>
        </w:rPr>
        <w:fldChar w:fldCharType="end"/>
      </w:r>
    </w:p>
    <w:p w14:paraId="4CEC8D59">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一、《收入支出决算总表》</w:t>
      </w:r>
      <w:r>
        <w:rPr>
          <w:rFonts w:hint="default" w:ascii="Times New Roman" w:hAnsi="Times New Roman" w:eastAsia="仿宋_GB2312" w:cs="Times New Roman"/>
          <w:bCs/>
          <w:kern w:val="0"/>
          <w:sz w:val="32"/>
          <w:szCs w:val="32"/>
        </w:rPr>
        <w:fldChar w:fldCharType="end"/>
      </w:r>
    </w:p>
    <w:p w14:paraId="50C2443F">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"_Toc24532"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二、《收入决算表》</w:t>
      </w:r>
      <w:r>
        <w:rPr>
          <w:rFonts w:hint="default" w:ascii="Times New Roman" w:hAnsi="Times New Roman" w:eastAsia="仿宋_GB2312" w:cs="Times New Roman"/>
          <w:bCs/>
          <w:kern w:val="0"/>
          <w:sz w:val="32"/>
          <w:szCs w:val="32"/>
        </w:rPr>
        <w:fldChar w:fldCharType="end"/>
      </w:r>
    </w:p>
    <w:p w14:paraId="58A9A575">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"_Toc32434"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三、《支出决算表》</w:t>
      </w:r>
      <w:r>
        <w:rPr>
          <w:rFonts w:hint="default" w:ascii="Times New Roman" w:hAnsi="Times New Roman" w:eastAsia="仿宋_GB2312" w:cs="Times New Roman"/>
          <w:bCs/>
          <w:kern w:val="0"/>
          <w:sz w:val="32"/>
          <w:szCs w:val="32"/>
        </w:rPr>
        <w:fldChar w:fldCharType="end"/>
      </w:r>
    </w:p>
    <w:p w14:paraId="4CC7B533">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"_Toc28786"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四、《财政拨款收入支出决算总表》</w:t>
      </w:r>
      <w:r>
        <w:rPr>
          <w:rFonts w:hint="default" w:ascii="Times New Roman" w:hAnsi="Times New Roman" w:eastAsia="仿宋_GB2312" w:cs="Times New Roman"/>
          <w:bCs/>
          <w:kern w:val="0"/>
          <w:sz w:val="32"/>
          <w:szCs w:val="32"/>
        </w:rPr>
        <w:fldChar w:fldCharType="end"/>
      </w:r>
    </w:p>
    <w:p w14:paraId="6C1C7C0A">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"_Toc14869"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五、《一般公共预算财政拨款支出决算表》</w:t>
      </w:r>
      <w:r>
        <w:rPr>
          <w:rFonts w:hint="default" w:ascii="Times New Roman" w:hAnsi="Times New Roman" w:eastAsia="仿宋_GB2312" w:cs="Times New Roman"/>
          <w:bCs/>
          <w:kern w:val="0"/>
          <w:sz w:val="32"/>
          <w:szCs w:val="32"/>
        </w:rPr>
        <w:fldChar w:fldCharType="end"/>
      </w:r>
    </w:p>
    <w:p w14:paraId="6237100A">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"_Toc8884"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六、《一般公共预算财政拨款基本支出决算表》</w:t>
      </w:r>
      <w:r>
        <w:rPr>
          <w:rFonts w:hint="default" w:ascii="Times New Roman" w:hAnsi="Times New Roman" w:eastAsia="仿宋_GB2312" w:cs="Times New Roman"/>
          <w:bCs/>
          <w:kern w:val="0"/>
          <w:sz w:val="32"/>
          <w:szCs w:val="32"/>
        </w:rPr>
        <w:fldChar w:fldCharType="end"/>
      </w:r>
    </w:p>
    <w:p w14:paraId="19E23C8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"_Toc29106"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七、《财政拨款“三公”经费支出决算表》</w:t>
      </w:r>
      <w:r>
        <w:rPr>
          <w:rFonts w:hint="default" w:ascii="Times New Roman" w:hAnsi="Times New Roman" w:eastAsia="仿宋_GB2312" w:cs="Times New Roman"/>
          <w:bCs/>
          <w:kern w:val="0"/>
          <w:sz w:val="32"/>
          <w:szCs w:val="32"/>
        </w:rPr>
        <w:fldChar w:fldCharType="end"/>
      </w:r>
    </w:p>
    <w:p w14:paraId="13068E20">
      <w:pPr>
        <w:pStyle w:val="7"/>
        <w:tabs>
          <w:tab w:val="right" w:pos="8306"/>
        </w:tabs>
        <w:ind w:left="0" w:leftChars="0"/>
        <w:jc w:val="both"/>
        <w:rPr>
          <w:rFonts w:hint="default" w:ascii="Times New Roman" w:hAnsi="Times New Roman" w:eastAsia="仿宋_GB2312" w:cs="Times New Roman"/>
          <w:bCs/>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"_Toc7643"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八、《政府性基金预算财政拨款收入支出决算表》</w:t>
      </w:r>
      <w:r>
        <w:rPr>
          <w:rFonts w:hint="default" w:ascii="Times New Roman" w:hAnsi="Times New Roman" w:eastAsia="仿宋_GB2312" w:cs="Times New Roman"/>
          <w:bCs/>
          <w:kern w:val="0"/>
          <w:sz w:val="32"/>
          <w:szCs w:val="32"/>
        </w:rPr>
        <w:fldChar w:fldCharType="end"/>
      </w:r>
    </w:p>
    <w:p w14:paraId="6C44B787">
      <w:pPr>
        <w:pStyle w:val="7"/>
        <w:tabs>
          <w:tab w:val="right" w:pos="8306"/>
        </w:tabs>
        <w:ind w:left="0" w:leftChars="0"/>
        <w:jc w:val="both"/>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51F7B4BD">
      <w:pPr>
        <w:jc w:val="both"/>
        <w:rPr>
          <w:rFonts w:hint="default" w:ascii="Times New Roman" w:hAnsi="Times New Roman" w:cs="Times New Roman"/>
        </w:rPr>
      </w:pPr>
      <w:r>
        <w:rPr>
          <w:rFonts w:hint="default" w:ascii="Times New Roman" w:hAnsi="Times New Roman" w:eastAsia="仿宋_GB2312" w:cs="Times New Roman"/>
          <w:sz w:val="32"/>
          <w:szCs w:val="32"/>
        </w:rPr>
        <w:fldChar w:fldCharType="end"/>
      </w:r>
    </w:p>
    <w:p w14:paraId="1E1A55B7">
      <w:pPr>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4862A864">
      <w:pPr>
        <w:keepNext w:val="0"/>
        <w:keepLines w:val="0"/>
        <w:pageBreakBefore w:val="0"/>
        <w:widowControl w:val="0"/>
        <w:shd w:val="clear"/>
        <w:kinsoku/>
        <w:wordWrap/>
        <w:overflowPunct/>
        <w:topLinePunct w:val="0"/>
        <w:autoSpaceDE/>
        <w:autoSpaceDN/>
        <w:bidi w:val="0"/>
        <w:adjustRightInd/>
        <w:snapToGrid/>
        <w:ind w:firstLine="640" w:firstLineChars="200"/>
        <w:jc w:val="center"/>
        <w:textAlignment w:val="auto"/>
        <w:rPr>
          <w:rFonts w:hint="eastAsia" w:ascii="黑体" w:hAnsi="黑体" w:eastAsia="黑体" w:cs="黑体"/>
          <w:sz w:val="32"/>
          <w:szCs w:val="32"/>
          <w:highlight w:val="none"/>
        </w:rPr>
      </w:pPr>
      <w:bookmarkStart w:id="0" w:name="_Toc32314"/>
      <w:bookmarkStart w:id="1" w:name="_Toc24028"/>
      <w:r>
        <w:rPr>
          <w:rFonts w:hint="eastAsia" w:ascii="黑体" w:hAnsi="黑体" w:eastAsia="黑体" w:cs="黑体"/>
          <w:sz w:val="32"/>
          <w:szCs w:val="32"/>
          <w:highlight w:val="none"/>
        </w:rPr>
        <w:t>第一部分 单位概况</w:t>
      </w:r>
      <w:bookmarkEnd w:id="0"/>
      <w:bookmarkEnd w:id="1"/>
    </w:p>
    <w:p w14:paraId="549266E5">
      <w:pPr>
        <w:shd w:val="clear"/>
        <w:ind w:firstLine="640" w:firstLineChars="200"/>
        <w:jc w:val="both"/>
        <w:outlineLvl w:val="1"/>
        <w:rPr>
          <w:rFonts w:hint="default" w:ascii="Times New Roman" w:hAnsi="Times New Roman" w:eastAsia="黑体" w:cs="Times New Roman"/>
          <w:bCs/>
          <w:kern w:val="0"/>
          <w:sz w:val="32"/>
          <w:szCs w:val="32"/>
          <w:highlight w:val="none"/>
        </w:rPr>
      </w:pPr>
      <w:bookmarkStart w:id="2" w:name="_Toc30738"/>
      <w:bookmarkStart w:id="3" w:name="_Toc30567"/>
      <w:r>
        <w:rPr>
          <w:rFonts w:hint="default" w:ascii="Times New Roman" w:hAnsi="Times New Roman" w:eastAsia="黑体" w:cs="Times New Roman"/>
          <w:bCs/>
          <w:kern w:val="0"/>
          <w:sz w:val="32"/>
          <w:szCs w:val="32"/>
          <w:highlight w:val="none"/>
        </w:rPr>
        <w:t>一、主要职能</w:t>
      </w:r>
      <w:bookmarkEnd w:id="2"/>
      <w:bookmarkEnd w:id="3"/>
      <w:bookmarkStart w:id="4" w:name="_Toc31238"/>
      <w:bookmarkStart w:id="5" w:name="_Toc2151"/>
    </w:p>
    <w:p w14:paraId="1A218DC2">
      <w:pPr>
        <w:shd w:val="clear"/>
        <w:ind w:firstLine="640" w:firstLineChars="200"/>
        <w:jc w:val="both"/>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参与全区药物政策体系规划研究和药品供应保障制度建设；承担药品供应保障具体工作；参与全区基本药物制度、政策落实情况的技术评估；承担短缺药品监测预警体系建设和分级应对处置的具体事项；拟订全区免费避孕药具计划，提出管理和服务的政策建议，规范免费药具管理体制和运行机制；承担免费避孕药具管理、监督、评估等工作。</w:t>
      </w:r>
    </w:p>
    <w:p w14:paraId="5CB8F0B6">
      <w:pPr>
        <w:shd w:val="clear"/>
        <w:ind w:firstLine="640" w:firstLineChars="200"/>
        <w:jc w:val="both"/>
        <w:outlineLvl w:val="1"/>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rPr>
        <w:t>二、机构设置及</w:t>
      </w:r>
      <w:bookmarkEnd w:id="4"/>
      <w:r>
        <w:rPr>
          <w:rFonts w:hint="default" w:ascii="Times New Roman" w:hAnsi="Times New Roman" w:eastAsia="黑体" w:cs="Times New Roman"/>
          <w:bCs/>
          <w:kern w:val="0"/>
          <w:sz w:val="32"/>
          <w:szCs w:val="32"/>
          <w:highlight w:val="none"/>
        </w:rPr>
        <w:t>人员情况</w:t>
      </w:r>
      <w:bookmarkEnd w:id="5"/>
    </w:p>
    <w:p w14:paraId="0E956CC4">
      <w:pPr>
        <w:shd w:val="clear"/>
        <w:ind w:firstLine="640" w:firstLineChars="200"/>
        <w:jc w:val="both"/>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sz w:val="32"/>
          <w:szCs w:val="32"/>
          <w:highlight w:val="none"/>
        </w:rPr>
        <w:t>新疆维吾尔自治区卫生健康药具服务中心</w:t>
      </w:r>
      <w:r>
        <w:rPr>
          <w:rFonts w:hint="eastAsia" w:eastAsia="仿宋_GB2312" w:cs="Times New Roman"/>
          <w:sz w:val="32"/>
          <w:szCs w:val="32"/>
          <w:highlight w:val="none"/>
          <w:lang w:eastAsia="zh-CN"/>
        </w:rPr>
        <w:t>（原新疆维吾尔自治区计划生育药具管理中心）</w:t>
      </w:r>
      <w:r>
        <w:rPr>
          <w:rFonts w:hint="default" w:ascii="Times New Roman" w:hAnsi="Times New Roman" w:eastAsia="仿宋_GB2312" w:cs="Times New Roman"/>
          <w:sz w:val="32"/>
          <w:szCs w:val="32"/>
          <w:highlight w:val="none"/>
        </w:rPr>
        <w:t>2023年度，实有人数</w:t>
      </w:r>
      <w:r>
        <w:rPr>
          <w:rFonts w:hint="default" w:ascii="Times New Roman" w:hAnsi="Times New Roman" w:eastAsia="仿宋_GB2312" w:cs="Times New Roman"/>
          <w:sz w:val="32"/>
          <w:szCs w:val="32"/>
          <w:highlight w:val="none"/>
          <w:lang w:val="zh-CN"/>
        </w:rPr>
        <w:t>27</w:t>
      </w:r>
      <w:r>
        <w:rPr>
          <w:rFonts w:hint="default" w:ascii="Times New Roman" w:hAnsi="Times New Roman" w:eastAsia="仿宋_GB2312" w:cs="Times New Roman"/>
          <w:sz w:val="32"/>
          <w:szCs w:val="32"/>
          <w:highlight w:val="none"/>
        </w:rPr>
        <w:t>人，其中：在职人员</w:t>
      </w:r>
      <w:r>
        <w:rPr>
          <w:rFonts w:hint="default" w:ascii="Times New Roman" w:hAnsi="Times New Roman" w:eastAsia="仿宋_GB2312" w:cs="Times New Roman"/>
          <w:sz w:val="32"/>
          <w:szCs w:val="32"/>
          <w:highlight w:val="none"/>
          <w:lang w:val="zh-CN"/>
        </w:rPr>
        <w:t>10</w:t>
      </w:r>
      <w:r>
        <w:rPr>
          <w:rFonts w:hint="default" w:ascii="Times New Roman" w:hAnsi="Times New Roman" w:eastAsia="仿宋_GB2312" w:cs="Times New Roman"/>
          <w:sz w:val="32"/>
          <w:szCs w:val="32"/>
          <w:highlight w:val="none"/>
        </w:rPr>
        <w:t>人，离休人员</w:t>
      </w:r>
      <w:r>
        <w:rPr>
          <w:rFonts w:hint="default" w:ascii="Times New Roman" w:hAnsi="Times New Roman" w:eastAsia="仿宋_GB2312" w:cs="Times New Roman"/>
          <w:sz w:val="32"/>
          <w:szCs w:val="32"/>
          <w:highlight w:val="none"/>
          <w:lang w:val="zh-CN"/>
        </w:rPr>
        <w:t>0</w:t>
      </w:r>
      <w:r>
        <w:rPr>
          <w:rFonts w:hint="default" w:ascii="Times New Roman" w:hAnsi="Times New Roman" w:eastAsia="仿宋_GB2312" w:cs="Times New Roman"/>
          <w:sz w:val="32"/>
          <w:szCs w:val="32"/>
          <w:highlight w:val="none"/>
        </w:rPr>
        <w:t>人，退休人员</w:t>
      </w:r>
      <w:r>
        <w:rPr>
          <w:rFonts w:hint="default" w:ascii="Times New Roman" w:hAnsi="Times New Roman" w:eastAsia="仿宋_GB2312" w:cs="Times New Roman"/>
          <w:sz w:val="32"/>
          <w:szCs w:val="32"/>
          <w:highlight w:val="none"/>
          <w:lang w:val="zh-CN"/>
        </w:rPr>
        <w:t>17</w:t>
      </w:r>
      <w:r>
        <w:rPr>
          <w:rFonts w:hint="default" w:ascii="Times New Roman" w:hAnsi="Times New Roman" w:eastAsia="仿宋_GB2312" w:cs="Times New Roman"/>
          <w:sz w:val="32"/>
          <w:szCs w:val="32"/>
          <w:highlight w:val="none"/>
        </w:rPr>
        <w:t>人。</w:t>
      </w:r>
    </w:p>
    <w:p w14:paraId="66EDF64B">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3</w:t>
      </w:r>
      <w:r>
        <w:rPr>
          <w:rFonts w:hint="default" w:ascii="Times New Roman" w:hAnsi="Times New Roman" w:eastAsia="仿宋_GB2312" w:cs="Times New Roman"/>
          <w:bCs/>
          <w:kern w:val="0"/>
          <w:sz w:val="32"/>
          <w:szCs w:val="32"/>
        </w:rPr>
        <w:t>个</w:t>
      </w:r>
      <w:r>
        <w:rPr>
          <w:rFonts w:hint="eastAsia" w:eastAsia="仿宋_GB2312" w:cs="Times New Roman"/>
          <w:bCs/>
          <w:kern w:val="0"/>
          <w:sz w:val="32"/>
          <w:szCs w:val="32"/>
          <w:lang w:eastAsia="zh-CN"/>
        </w:rPr>
        <w:t>科室</w:t>
      </w:r>
      <w:r>
        <w:rPr>
          <w:rFonts w:hint="default" w:ascii="Times New Roman" w:hAnsi="Times New Roman" w:eastAsia="仿宋_GB2312" w:cs="Times New Roman"/>
          <w:bCs/>
          <w:kern w:val="0"/>
          <w:sz w:val="32"/>
          <w:szCs w:val="32"/>
        </w:rPr>
        <w:t>，分别是：办公室、业务科、宣传科</w:t>
      </w:r>
      <w:r>
        <w:rPr>
          <w:rFonts w:hint="default" w:ascii="Times New Roman" w:hAnsi="Times New Roman" w:eastAsia="仿宋_GB2312" w:cs="Times New Roman"/>
          <w:kern w:val="0"/>
          <w:sz w:val="32"/>
          <w:szCs w:val="32"/>
        </w:rPr>
        <w:t>。</w:t>
      </w:r>
    </w:p>
    <w:p w14:paraId="0272F191">
      <w:pPr>
        <w:ind w:firstLine="640" w:firstLineChars="200"/>
        <w:jc w:val="both"/>
        <w:rPr>
          <w:rFonts w:hint="default" w:ascii="Times New Roman" w:hAnsi="Times New Roman" w:eastAsia="仿宋_GB2312" w:cs="Times New Roman"/>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27AA9D8B">
      <w:pPr>
        <w:jc w:val="center"/>
        <w:outlineLvl w:val="0"/>
        <w:rPr>
          <w:rFonts w:hint="default" w:ascii="Times New Roman" w:hAnsi="Times New Roman" w:eastAsia="黑体" w:cs="Times New Roman"/>
          <w:sz w:val="32"/>
          <w:szCs w:val="32"/>
        </w:rPr>
      </w:pPr>
      <w:bookmarkStart w:id="6" w:name="_Toc29374"/>
      <w:bookmarkStart w:id="7" w:name="_Toc3092"/>
      <w:r>
        <w:rPr>
          <w:rFonts w:hint="default" w:ascii="Times New Roman" w:hAnsi="Times New Roman" w:eastAsia="黑体" w:cs="Times New Roman"/>
          <w:sz w:val="32"/>
          <w:szCs w:val="32"/>
        </w:rPr>
        <w:t>第二部分 部门决算情况说明</w:t>
      </w:r>
      <w:bookmarkEnd w:id="6"/>
      <w:bookmarkEnd w:id="7"/>
    </w:p>
    <w:p w14:paraId="22037E4F">
      <w:pPr>
        <w:ind w:firstLine="640" w:firstLineChars="200"/>
        <w:jc w:val="both"/>
        <w:outlineLvl w:val="1"/>
        <w:rPr>
          <w:rFonts w:hint="default" w:ascii="Times New Roman" w:hAnsi="Times New Roman" w:eastAsia="黑体" w:cs="Times New Roman"/>
          <w:bCs/>
          <w:kern w:val="0"/>
          <w:sz w:val="32"/>
          <w:szCs w:val="32"/>
        </w:rPr>
      </w:pPr>
      <w:bookmarkStart w:id="8" w:name="_Toc25314"/>
      <w:bookmarkStart w:id="9" w:name="_Toc12566"/>
      <w:r>
        <w:rPr>
          <w:rFonts w:hint="default" w:ascii="Times New Roman" w:hAnsi="Times New Roman" w:eastAsia="黑体" w:cs="Times New Roman"/>
          <w:bCs/>
          <w:kern w:val="0"/>
          <w:sz w:val="32"/>
          <w:szCs w:val="32"/>
        </w:rPr>
        <w:t>一、收入支出决算总体情况说明</w:t>
      </w:r>
      <w:bookmarkEnd w:id="8"/>
      <w:bookmarkEnd w:id="9"/>
    </w:p>
    <w:p w14:paraId="724C0F1F">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2023年度收入总计478.66万元，</w:t>
      </w:r>
      <w:r>
        <w:rPr>
          <w:rFonts w:hint="default" w:ascii="Times New Roman" w:hAnsi="Times New Roman" w:eastAsia="仿宋_GB2312" w:cs="Times New Roman"/>
          <w:sz w:val="32"/>
          <w:szCs w:val="32"/>
        </w:rPr>
        <w:t>其中：本年收入合计478.66万元，使用非财政拨款结余0.00万元，年初结转和结余0.00万元。</w:t>
      </w:r>
    </w:p>
    <w:p w14:paraId="2298D900">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2023年度支出总计478.66万元，</w:t>
      </w:r>
      <w:r>
        <w:rPr>
          <w:rFonts w:hint="default" w:ascii="Times New Roman" w:hAnsi="Times New Roman" w:eastAsia="仿宋_GB2312" w:cs="Times New Roman"/>
          <w:sz w:val="32"/>
          <w:szCs w:val="32"/>
        </w:rPr>
        <w:t>其中：本年支出合计478.56万元，结余分配0.10万元，年末结转和结余0.00万元。</w:t>
      </w:r>
    </w:p>
    <w:p w14:paraId="4023D281">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收入支出总体与上年相比，</w:t>
      </w:r>
      <w:r>
        <w:rPr>
          <w:rFonts w:hint="default" w:ascii="Times New Roman" w:hAnsi="Times New Roman" w:eastAsia="仿宋_GB2312" w:cs="Times New Roman"/>
          <w:sz w:val="32"/>
          <w:szCs w:val="32"/>
          <w:lang w:val="zh-CN"/>
        </w:rPr>
        <w:t>增加158.77万元</w:t>
      </w:r>
      <w:r>
        <w:rPr>
          <w:rFonts w:hint="default" w:ascii="Times New Roman" w:hAnsi="Times New Roman" w:eastAsia="仿宋_GB2312" w:cs="Times New Roman"/>
          <w:sz w:val="32"/>
          <w:szCs w:val="32"/>
        </w:rPr>
        <w:t>，增长49.63%，主要原因是：本年度存在中央转移支付资金项目，导致存在差异。</w:t>
      </w:r>
    </w:p>
    <w:p w14:paraId="0066D430">
      <w:pPr>
        <w:ind w:firstLine="640" w:firstLineChars="200"/>
        <w:jc w:val="both"/>
        <w:outlineLvl w:val="1"/>
        <w:rPr>
          <w:rFonts w:hint="default" w:ascii="Times New Roman" w:hAnsi="Times New Roman" w:eastAsia="黑体" w:cs="Times New Roman"/>
          <w:bCs/>
          <w:kern w:val="0"/>
          <w:sz w:val="32"/>
          <w:szCs w:val="32"/>
        </w:rPr>
      </w:pPr>
      <w:bookmarkStart w:id="10" w:name="_Toc12142"/>
      <w:bookmarkStart w:id="11" w:name="_Toc1979"/>
      <w:r>
        <w:rPr>
          <w:rFonts w:hint="default" w:ascii="Times New Roman" w:hAnsi="Times New Roman" w:eastAsia="黑体" w:cs="Times New Roman"/>
          <w:bCs/>
          <w:kern w:val="0"/>
          <w:sz w:val="32"/>
          <w:szCs w:val="32"/>
        </w:rPr>
        <w:t>二、收入决算情况说明</w:t>
      </w:r>
      <w:bookmarkEnd w:id="10"/>
      <w:bookmarkEnd w:id="11"/>
    </w:p>
    <w:p w14:paraId="2C05B1EF">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本年收入478.66万元，</w:t>
      </w:r>
      <w:r>
        <w:rPr>
          <w:rFonts w:hint="default" w:ascii="Times New Roman" w:hAnsi="Times New Roman" w:eastAsia="仿宋_GB2312" w:cs="Times New Roman"/>
          <w:sz w:val="32"/>
          <w:szCs w:val="32"/>
        </w:rPr>
        <w:t>其中：财政拨款收入</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99.98</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0.10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0.02</w:t>
      </w:r>
      <w:r>
        <w:rPr>
          <w:rFonts w:hint="default" w:ascii="Times New Roman" w:hAnsi="Times New Roman" w:eastAsia="仿宋_GB2312" w:cs="Times New Roman"/>
          <w:sz w:val="32"/>
          <w:szCs w:val="32"/>
        </w:rPr>
        <w:t>%。</w:t>
      </w:r>
    </w:p>
    <w:p w14:paraId="198F419F">
      <w:pPr>
        <w:ind w:firstLine="640" w:firstLineChars="200"/>
        <w:jc w:val="both"/>
        <w:outlineLvl w:val="1"/>
        <w:rPr>
          <w:rFonts w:hint="default" w:ascii="Times New Roman" w:hAnsi="Times New Roman" w:eastAsia="黑体" w:cs="Times New Roman"/>
          <w:bCs/>
          <w:kern w:val="0"/>
          <w:sz w:val="32"/>
          <w:szCs w:val="32"/>
        </w:rPr>
      </w:pPr>
      <w:bookmarkStart w:id="12" w:name="_Toc27961"/>
      <w:bookmarkStart w:id="13" w:name="_Toc13201"/>
      <w:r>
        <w:rPr>
          <w:rFonts w:hint="default" w:ascii="Times New Roman" w:hAnsi="Times New Roman" w:eastAsia="黑体" w:cs="Times New Roman"/>
          <w:bCs/>
          <w:kern w:val="0"/>
          <w:sz w:val="32"/>
          <w:szCs w:val="32"/>
        </w:rPr>
        <w:t>三、支出决算情况说明</w:t>
      </w:r>
      <w:bookmarkEnd w:id="12"/>
      <w:bookmarkEnd w:id="13"/>
    </w:p>
    <w:p w14:paraId="4F2E25A1">
      <w:pPr>
        <w:ind w:firstLine="643" w:firstLineChars="200"/>
        <w:jc w:val="both"/>
        <w:rPr>
          <w:rFonts w:hint="default" w:ascii="Times New Roman" w:hAnsi="Times New Roman" w:eastAsia="仿宋_GB2312" w:cs="Times New Roman"/>
          <w:sz w:val="30"/>
          <w:szCs w:val="30"/>
          <w:lang w:val="zh-CN"/>
        </w:rPr>
      </w:pPr>
      <w:r>
        <w:rPr>
          <w:rFonts w:hint="default" w:ascii="Times New Roman" w:hAnsi="Times New Roman" w:eastAsia="仿宋_GB2312" w:cs="Times New Roman"/>
          <w:b/>
          <w:bCs/>
          <w:sz w:val="32"/>
          <w:szCs w:val="32"/>
          <w:lang w:val="zh-CN"/>
        </w:rPr>
        <w:t>本年支出478.56万元，</w:t>
      </w:r>
      <w:r>
        <w:rPr>
          <w:rFonts w:hint="default" w:ascii="Times New Roman" w:hAnsi="Times New Roman" w:eastAsia="仿宋_GB2312" w:cs="Times New Roman"/>
          <w:sz w:val="32"/>
          <w:szCs w:val="32"/>
          <w:lang w:val="zh-CN"/>
        </w:rPr>
        <w:t>其中：基本支出234.58万元，占49.02%；项目支出243.98万元，占50.98%；上缴上级支出0.00万元，占0.00%；经营支出0.00万元，占0.00%；对附属单位补助支出0.00万元，占0.00%。</w:t>
      </w:r>
    </w:p>
    <w:p w14:paraId="22EC2783">
      <w:pPr>
        <w:ind w:firstLine="640" w:firstLineChars="200"/>
        <w:jc w:val="both"/>
        <w:outlineLvl w:val="1"/>
        <w:rPr>
          <w:rFonts w:hint="default" w:ascii="Times New Roman" w:hAnsi="Times New Roman" w:eastAsia="黑体" w:cs="Times New Roman"/>
          <w:bCs/>
          <w:kern w:val="0"/>
          <w:sz w:val="32"/>
          <w:szCs w:val="32"/>
        </w:rPr>
      </w:pPr>
      <w:bookmarkStart w:id="14" w:name="_Toc26564"/>
      <w:bookmarkStart w:id="15" w:name="_Toc4393"/>
      <w:r>
        <w:rPr>
          <w:rFonts w:hint="default" w:ascii="Times New Roman" w:hAnsi="Times New Roman" w:eastAsia="黑体" w:cs="Times New Roman"/>
          <w:bCs/>
          <w:kern w:val="0"/>
          <w:sz w:val="32"/>
          <w:szCs w:val="32"/>
        </w:rPr>
        <w:t>四、财政拨款收入支出决算总体情况说明</w:t>
      </w:r>
      <w:bookmarkEnd w:id="14"/>
      <w:bookmarkEnd w:id="15"/>
    </w:p>
    <w:p w14:paraId="15AECDC4">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2023年度财政拨款收入总计</w:t>
      </w:r>
      <w:r>
        <w:rPr>
          <w:rFonts w:hint="default" w:ascii="Times New Roman" w:hAnsi="Times New Roman" w:eastAsia="仿宋_GB2312" w:cs="Times New Roman"/>
          <w:b/>
          <w:bCs/>
          <w:sz w:val="32"/>
          <w:szCs w:val="32"/>
          <w:lang w:val="zh-CN"/>
        </w:rPr>
        <w:t>478.56</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其中：年初财政拨款结转和结余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万元，本年财政拨款收入</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b/>
          <w:bCs/>
          <w:sz w:val="32"/>
          <w:szCs w:val="32"/>
        </w:rPr>
        <w:t>财政拨款支出总计</w:t>
      </w:r>
      <w:r>
        <w:rPr>
          <w:rFonts w:hint="default" w:ascii="Times New Roman" w:hAnsi="Times New Roman" w:eastAsia="仿宋_GB2312" w:cs="Times New Roman"/>
          <w:b/>
          <w:bCs/>
          <w:sz w:val="32"/>
          <w:szCs w:val="32"/>
          <w:lang w:val="zh-CN"/>
        </w:rPr>
        <w:t>478.56</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其中：年末财政拨款结转和结余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万元，本年财政拨款支出</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w:t>
      </w:r>
    </w:p>
    <w:p w14:paraId="5D3812EC">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财政拨款收入支出总体与上年相比</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zh-CN"/>
        </w:rPr>
        <w:t>增加158.75万元</w:t>
      </w:r>
      <w:r>
        <w:rPr>
          <w:rFonts w:hint="default" w:ascii="Times New Roman" w:hAnsi="Times New Roman" w:eastAsia="仿宋_GB2312" w:cs="Times New Roman"/>
          <w:sz w:val="32"/>
          <w:szCs w:val="32"/>
        </w:rPr>
        <w:t>，增长49.64%</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主要原因是：本年度</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中央转移支付资金项目，</w:t>
      </w:r>
      <w:r>
        <w:rPr>
          <w:rFonts w:hint="default" w:ascii="Times New Roman" w:hAnsi="Times New Roman" w:eastAsia="仿宋_GB2312" w:cs="Times New Roman"/>
          <w:sz w:val="32"/>
          <w:szCs w:val="32"/>
          <w:lang w:eastAsia="zh-CN"/>
        </w:rPr>
        <w:t>相关收支增加</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与年初预算相比，</w:t>
      </w:r>
      <w:r>
        <w:rPr>
          <w:rFonts w:hint="default" w:ascii="Times New Roman" w:hAnsi="Times New Roman" w:eastAsia="仿宋_GB2312" w:cs="Times New Roman"/>
          <w:sz w:val="32"/>
          <w:szCs w:val="32"/>
        </w:rPr>
        <w:t>年初预算数</w:t>
      </w:r>
      <w:r>
        <w:rPr>
          <w:rFonts w:hint="default" w:ascii="Times New Roman" w:hAnsi="Times New Roman" w:eastAsia="仿宋_GB2312" w:cs="Times New Roman"/>
          <w:sz w:val="32"/>
          <w:szCs w:val="32"/>
          <w:lang w:val="zh-CN"/>
        </w:rPr>
        <w:t>219.02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万元，预决算差异率118.50%，主要原因是：</w:t>
      </w:r>
      <w:r>
        <w:rPr>
          <w:rFonts w:hint="eastAsia" w:eastAsia="仿宋_GB2312" w:cs="Times New Roman"/>
          <w:sz w:val="32"/>
          <w:szCs w:val="32"/>
          <w:lang w:val="en-US" w:eastAsia="zh-CN"/>
        </w:rPr>
        <w:t>年中执行中</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中央转移支付项目，导致存在差异。</w:t>
      </w:r>
    </w:p>
    <w:p w14:paraId="5FCAE937">
      <w:pPr>
        <w:ind w:firstLine="640" w:firstLineChars="200"/>
        <w:jc w:val="both"/>
        <w:outlineLvl w:val="1"/>
        <w:rPr>
          <w:rFonts w:hint="default" w:ascii="Times New Roman" w:hAnsi="Times New Roman" w:eastAsia="黑体" w:cs="Times New Roman"/>
          <w:bCs/>
          <w:kern w:val="0"/>
          <w:sz w:val="32"/>
          <w:szCs w:val="32"/>
        </w:rPr>
      </w:pPr>
      <w:bookmarkStart w:id="16" w:name="_Toc13833"/>
      <w:bookmarkStart w:id="17" w:name="_Toc20360"/>
      <w:r>
        <w:rPr>
          <w:rFonts w:hint="default" w:ascii="Times New Roman" w:hAnsi="Times New Roman" w:eastAsia="黑体" w:cs="Times New Roman"/>
          <w:bCs/>
          <w:kern w:val="0"/>
          <w:sz w:val="32"/>
          <w:szCs w:val="32"/>
        </w:rPr>
        <w:t>五、一般公共预算财政拨款支出决算情况说明</w:t>
      </w:r>
      <w:bookmarkEnd w:id="16"/>
      <w:bookmarkEnd w:id="17"/>
    </w:p>
    <w:p w14:paraId="6ED937C6">
      <w:pPr>
        <w:ind w:firstLine="640" w:firstLineChars="200"/>
        <w:jc w:val="both"/>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6C3B407E">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2023年度一般公共预算财政拨款支出478.56万元，占本年支出合计的</w:t>
      </w:r>
      <w:r>
        <w:rPr>
          <w:rFonts w:hint="default" w:ascii="Times New Roman" w:hAnsi="Times New Roman" w:eastAsia="仿宋_GB2312" w:cs="Times New Roman"/>
          <w:sz w:val="32"/>
          <w:szCs w:val="32"/>
          <w:lang w:val="zh-CN"/>
        </w:rPr>
        <w:t>100.00%</w:t>
      </w:r>
      <w:r>
        <w:rPr>
          <w:rFonts w:hint="default" w:ascii="Times New Roman" w:hAnsi="Times New Roman" w:eastAsia="仿宋_GB2312" w:cs="Times New Roman"/>
          <w:sz w:val="32"/>
          <w:szCs w:val="32"/>
        </w:rPr>
        <w:t>。与上年相比，</w:t>
      </w:r>
      <w:r>
        <w:rPr>
          <w:rFonts w:hint="default" w:ascii="Times New Roman" w:hAnsi="Times New Roman" w:eastAsia="仿宋_GB2312" w:cs="Times New Roman"/>
          <w:sz w:val="32"/>
          <w:szCs w:val="32"/>
          <w:lang w:val="zh-CN"/>
        </w:rPr>
        <w:t>增加158.75万元</w:t>
      </w:r>
      <w:r>
        <w:rPr>
          <w:rFonts w:hint="default" w:ascii="Times New Roman" w:hAnsi="Times New Roman" w:eastAsia="仿宋_GB2312" w:cs="Times New Roman"/>
          <w:sz w:val="32"/>
          <w:szCs w:val="32"/>
        </w:rPr>
        <w:t>，增长49.64%</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主要原因是：本年度</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中央转移支付资金项目。与年初预算相比，年初预算数</w:t>
      </w:r>
      <w:r>
        <w:rPr>
          <w:rFonts w:hint="default" w:ascii="Times New Roman" w:hAnsi="Times New Roman" w:eastAsia="仿宋_GB2312" w:cs="Times New Roman"/>
          <w:sz w:val="32"/>
          <w:szCs w:val="32"/>
          <w:lang w:val="zh-CN"/>
        </w:rPr>
        <w:t>219.02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万元，预决算差异率</w:t>
      </w:r>
      <w:r>
        <w:rPr>
          <w:rFonts w:hint="default" w:ascii="Times New Roman" w:hAnsi="Times New Roman" w:eastAsia="仿宋_GB2312" w:cs="Times New Roman"/>
          <w:sz w:val="32"/>
          <w:szCs w:val="32"/>
          <w:lang w:val="zh-CN"/>
        </w:rPr>
        <w:t>118.50%</w:t>
      </w:r>
      <w:r>
        <w:rPr>
          <w:rFonts w:hint="default" w:ascii="Times New Roman" w:hAnsi="Times New Roman" w:eastAsia="仿宋_GB2312" w:cs="Times New Roman"/>
          <w:sz w:val="32"/>
          <w:szCs w:val="32"/>
        </w:rPr>
        <w:t>，主要原因是：</w:t>
      </w:r>
      <w:r>
        <w:rPr>
          <w:rFonts w:hint="eastAsia" w:eastAsia="仿宋_GB2312" w:cs="Times New Roman"/>
          <w:sz w:val="32"/>
          <w:szCs w:val="32"/>
          <w:lang w:val="en-US" w:eastAsia="zh-CN"/>
        </w:rPr>
        <w:t>年中执行中</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中央转移支付项目，导致存在差异。</w:t>
      </w:r>
      <w:bookmarkStart w:id="48" w:name="_GoBack"/>
      <w:bookmarkEnd w:id="48"/>
    </w:p>
    <w:p w14:paraId="363A099F">
      <w:pPr>
        <w:numPr>
          <w:ilvl w:val="0"/>
          <w:numId w:val="1"/>
        </w:numPr>
        <w:ind w:firstLine="640" w:firstLineChars="200"/>
        <w:jc w:val="both"/>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0FA22FB6">
      <w:pPr>
        <w:pStyle w:val="8"/>
        <w:widowControl/>
        <w:spacing w:before="0" w:beforeAutospacing="0" w:after="0" w:afterAutospacing="0"/>
        <w:ind w:firstLine="640" w:firstLineChars="200"/>
        <w:jc w:val="both"/>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w:t>
      </w:r>
      <w:r>
        <w:rPr>
          <w:rFonts w:hint="default" w:ascii="Times New Roman" w:hAnsi="Times New Roman" w:eastAsia="仿宋_GB2312" w:cs="Times New Roman"/>
          <w:kern w:val="2"/>
          <w:sz w:val="32"/>
          <w:szCs w:val="32"/>
          <w:lang w:val="zh-CN" w:eastAsia="zh-CN" w:bidi="ar-SA"/>
        </w:rPr>
        <w:t>49.39</w:t>
      </w:r>
      <w:r>
        <w:rPr>
          <w:rFonts w:hint="default" w:ascii="Times New Roman" w:hAnsi="Times New Roman" w:eastAsia="仿宋_GB2312" w:cs="Times New Roman"/>
          <w:kern w:val="2"/>
          <w:sz w:val="32"/>
          <w:szCs w:val="32"/>
          <w:lang w:val="zh-CN"/>
        </w:rPr>
        <w:t>万元，占</w:t>
      </w:r>
      <w:r>
        <w:rPr>
          <w:rFonts w:hint="default" w:ascii="Times New Roman" w:hAnsi="Times New Roman" w:eastAsia="仿宋_GB2312" w:cs="Times New Roman"/>
          <w:kern w:val="2"/>
          <w:sz w:val="32"/>
          <w:szCs w:val="32"/>
          <w:lang w:val="zh-CN" w:eastAsia="zh-CN" w:bidi="ar-SA"/>
        </w:rPr>
        <w:t>10.32%</w:t>
      </w:r>
      <w:r>
        <w:rPr>
          <w:rFonts w:hint="default" w:ascii="Times New Roman" w:hAnsi="Times New Roman" w:eastAsia="仿宋_GB2312" w:cs="Times New Roman"/>
          <w:kern w:val="2"/>
          <w:sz w:val="32"/>
          <w:szCs w:val="32"/>
          <w:lang w:val="zh-CN"/>
        </w:rPr>
        <w:t>；</w:t>
      </w:r>
    </w:p>
    <w:p w14:paraId="48F131CE">
      <w:pPr>
        <w:pStyle w:val="8"/>
        <w:widowControl/>
        <w:spacing w:before="0" w:beforeAutospacing="0" w:after="0" w:afterAutospacing="0"/>
        <w:ind w:firstLine="640" w:firstLineChars="200"/>
        <w:jc w:val="both"/>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w:t>
      </w:r>
      <w:r>
        <w:rPr>
          <w:rFonts w:hint="default" w:ascii="Times New Roman" w:hAnsi="Times New Roman" w:eastAsia="仿宋_GB2312" w:cs="Times New Roman"/>
          <w:kern w:val="2"/>
          <w:sz w:val="32"/>
          <w:szCs w:val="32"/>
          <w:lang w:val="zh-CN" w:eastAsia="zh-CN" w:bidi="ar-SA"/>
        </w:rPr>
        <w:t>416.70</w:t>
      </w:r>
      <w:r>
        <w:rPr>
          <w:rFonts w:hint="default" w:ascii="Times New Roman" w:hAnsi="Times New Roman" w:eastAsia="仿宋_GB2312" w:cs="Times New Roman"/>
          <w:kern w:val="2"/>
          <w:sz w:val="32"/>
          <w:szCs w:val="32"/>
          <w:lang w:val="zh-CN"/>
        </w:rPr>
        <w:t>万元，占</w:t>
      </w:r>
      <w:r>
        <w:rPr>
          <w:rFonts w:hint="default" w:ascii="Times New Roman" w:hAnsi="Times New Roman" w:eastAsia="仿宋_GB2312" w:cs="Times New Roman"/>
          <w:kern w:val="2"/>
          <w:sz w:val="32"/>
          <w:szCs w:val="32"/>
          <w:lang w:val="zh-CN" w:eastAsia="zh-CN" w:bidi="ar-SA"/>
        </w:rPr>
        <w:t>87.07%</w:t>
      </w:r>
      <w:r>
        <w:rPr>
          <w:rFonts w:hint="default" w:ascii="Times New Roman" w:hAnsi="Times New Roman" w:eastAsia="仿宋_GB2312" w:cs="Times New Roman"/>
          <w:kern w:val="2"/>
          <w:sz w:val="32"/>
          <w:szCs w:val="32"/>
          <w:lang w:val="zh-CN"/>
        </w:rPr>
        <w:t>；</w:t>
      </w:r>
    </w:p>
    <w:p w14:paraId="315A59C8">
      <w:pPr>
        <w:pStyle w:val="8"/>
        <w:widowControl/>
        <w:spacing w:before="0" w:beforeAutospacing="0" w:after="0" w:afterAutospacing="0"/>
        <w:ind w:firstLine="640" w:firstLineChars="200"/>
        <w:jc w:val="both"/>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3.住房保障支出（类）</w:t>
      </w:r>
      <w:r>
        <w:rPr>
          <w:rFonts w:hint="default" w:ascii="Times New Roman" w:hAnsi="Times New Roman" w:eastAsia="仿宋_GB2312" w:cs="Times New Roman"/>
          <w:kern w:val="2"/>
          <w:sz w:val="32"/>
          <w:szCs w:val="32"/>
          <w:lang w:val="zh-CN" w:eastAsia="zh-CN" w:bidi="ar-SA"/>
        </w:rPr>
        <w:t>12.47</w:t>
      </w:r>
      <w:r>
        <w:rPr>
          <w:rFonts w:hint="default" w:ascii="Times New Roman" w:hAnsi="Times New Roman" w:eastAsia="仿宋_GB2312" w:cs="Times New Roman"/>
          <w:kern w:val="2"/>
          <w:sz w:val="32"/>
          <w:szCs w:val="32"/>
          <w:lang w:val="zh-CN"/>
        </w:rPr>
        <w:t>万元，占</w:t>
      </w:r>
      <w:r>
        <w:rPr>
          <w:rFonts w:hint="default" w:ascii="Times New Roman" w:hAnsi="Times New Roman" w:eastAsia="仿宋_GB2312" w:cs="Times New Roman"/>
          <w:kern w:val="2"/>
          <w:sz w:val="32"/>
          <w:szCs w:val="32"/>
          <w:lang w:val="zh-CN" w:eastAsia="zh-CN" w:bidi="ar-SA"/>
        </w:rPr>
        <w:t>2.61%</w:t>
      </w:r>
      <w:r>
        <w:rPr>
          <w:rFonts w:hint="default" w:ascii="Times New Roman" w:hAnsi="Times New Roman" w:eastAsia="仿宋_GB2312" w:cs="Times New Roman"/>
          <w:kern w:val="2"/>
          <w:sz w:val="32"/>
          <w:szCs w:val="32"/>
          <w:lang w:val="zh-CN"/>
        </w:rPr>
        <w:t>；</w:t>
      </w:r>
    </w:p>
    <w:p w14:paraId="350C1AE3">
      <w:pPr>
        <w:ind w:firstLine="640" w:firstLineChars="200"/>
        <w:jc w:val="both"/>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64422281">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1.卫生健康支出（类）行政事业单位医疗（款）事业单位医疗（项）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支出决算数为7.79万元，比上年决算减少2.11万元，下降21.</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本年度人员减少，相关支出降低。</w:t>
      </w:r>
    </w:p>
    <w:p w14:paraId="57D384DD">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2.卫生健康支出（类）行政事业单位医疗（款）公务员医疗补助（项）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支出决算数为7.28万元，比上年决算减少0.43万元，下降5.5</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本年度人员减少，相关支出降低。</w:t>
      </w:r>
    </w:p>
    <w:p w14:paraId="769E0A45">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3.住房保障支出（类）住房改革支出（款）住房公积金（项）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支出决算数为12.47万元，比上年决算减少1.33万元，下降9.6</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本年度人员减少，相关支出降低。</w:t>
      </w:r>
    </w:p>
    <w:p w14:paraId="6CD169BF">
      <w:pPr>
        <w:ind w:firstLine="640" w:firstLineChars="200"/>
        <w:rPr>
          <w:rFonts w:eastAsia="仿宋_GB2312"/>
          <w:sz w:val="32"/>
          <w:szCs w:val="32"/>
          <w:lang w:val="zh-CN"/>
        </w:rPr>
      </w:pPr>
      <w:r>
        <w:rPr>
          <w:rFonts w:hint="default" w:ascii="Times New Roman" w:hAnsi="Times New Roman" w:eastAsia="仿宋_GB2312" w:cs="Times New Roman"/>
          <w:sz w:val="32"/>
          <w:szCs w:val="32"/>
        </w:rPr>
        <w:t>4.社会保障和就业支出（类）行政事业单位养老支出（款）事业单位离退休（项）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支出决算数为32.76万元，比上年决算减少8.51万元，下降20.62%，主要原因是：</w:t>
      </w:r>
      <w:r>
        <w:rPr>
          <w:rFonts w:hint="eastAsia" w:eastAsia="仿宋_GB2312"/>
          <w:sz w:val="32"/>
          <w:szCs w:val="32"/>
          <w:lang w:val="zh-CN"/>
        </w:rPr>
        <w:t>本年度因</w:t>
      </w:r>
      <w:r>
        <w:rPr>
          <w:rFonts w:hint="eastAsia" w:ascii="Calibri" w:hAnsi="Calibri" w:eastAsia="仿宋_GB2312" w:cs="Calibri"/>
          <w:sz w:val="32"/>
          <w:szCs w:val="32"/>
          <w:lang w:val="zh-CN"/>
        </w:rPr>
        <w:t>退休人员减少，相关支出降低</w:t>
      </w:r>
      <w:r>
        <w:rPr>
          <w:rFonts w:eastAsia="仿宋_GB2312"/>
          <w:sz w:val="32"/>
          <w:szCs w:val="32"/>
          <w:lang w:val="zh-CN"/>
        </w:rPr>
        <w:t>。</w:t>
      </w:r>
    </w:p>
    <w:p w14:paraId="3D023F2A">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5.卫生健康支出（类）公共卫生（款）基本公共卫生服务（项）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支出决算数为243.98万元，比上年决算增加204.69万元，增长520.9</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本年度中央转移支付项目资金增加，相关支出增加。</w:t>
      </w:r>
    </w:p>
    <w:p w14:paraId="45EDEBEA">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6.卫生健康支出（类）计划生育事务（款）计划生育机构（项）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支出决算数为157.65万元，比上年决算减少15.01万元，下降8.69%，主要原因是：</w:t>
      </w:r>
      <w:r>
        <w:rPr>
          <w:rFonts w:hint="default" w:ascii="Times New Roman" w:hAnsi="Times New Roman" w:eastAsia="仿宋_GB2312" w:cs="Times New Roman"/>
          <w:sz w:val="32"/>
          <w:szCs w:val="32"/>
          <w:lang w:val="zh-CN"/>
        </w:rPr>
        <w:t>本年度人员减少，相关支出降低。</w:t>
      </w:r>
    </w:p>
    <w:p w14:paraId="0CB6A01B">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7.社会保障和就业支出（类）行政事业单位养老支出（款）机关事业单位基本养老保险缴费支出（项）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支出决算数为16.63万元，比上年决算减少1.77万元，下降9.61%，主要原因是：</w:t>
      </w:r>
      <w:r>
        <w:rPr>
          <w:rFonts w:hint="default" w:ascii="Times New Roman" w:hAnsi="Times New Roman" w:eastAsia="仿宋_GB2312" w:cs="Times New Roman"/>
          <w:sz w:val="32"/>
          <w:szCs w:val="32"/>
          <w:lang w:val="zh-CN"/>
        </w:rPr>
        <w:t>本年度人员减少，相关支出降低。</w:t>
      </w:r>
    </w:p>
    <w:p w14:paraId="606A4309">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8.社会保障和就业支出（类）行政事业单位养老支出（款）机关事业单位职业年金缴费支出（项）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支出决算数为0.00万元，比上年决算减少16.79万元，下降100%，主要原因是：</w:t>
      </w:r>
      <w:r>
        <w:rPr>
          <w:rFonts w:hint="eastAsia" w:eastAsia="仿宋_GB2312"/>
          <w:sz w:val="32"/>
          <w:szCs w:val="32"/>
          <w:lang w:val="zh-CN"/>
        </w:rPr>
        <w:t>我单位本年度无职业年金发放人员，导致相关支出减少</w:t>
      </w:r>
      <w:r>
        <w:rPr>
          <w:rFonts w:eastAsia="仿宋_GB2312"/>
          <w:sz w:val="32"/>
          <w:szCs w:val="32"/>
          <w:lang w:val="zh-CN"/>
        </w:rPr>
        <w:t>。</w:t>
      </w:r>
    </w:p>
    <w:p w14:paraId="163F2756">
      <w:pPr>
        <w:ind w:firstLine="640" w:firstLineChars="200"/>
        <w:jc w:val="both"/>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0C14C598">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2023年度一般公共预算财政拨款基本支出234.58万元，其中：</w:t>
      </w:r>
      <w:r>
        <w:rPr>
          <w:rFonts w:hint="default" w:ascii="Times New Roman" w:hAnsi="Times New Roman" w:eastAsia="仿宋_GB2312" w:cs="Times New Roman"/>
          <w:b/>
          <w:bCs/>
          <w:sz w:val="32"/>
          <w:szCs w:val="32"/>
        </w:rPr>
        <w:t>人员经费223.54万元，</w:t>
      </w:r>
      <w:r>
        <w:rPr>
          <w:rFonts w:hint="default" w:ascii="Times New Roman" w:hAnsi="Times New Roman" w:eastAsia="仿宋_GB2312" w:cs="Times New Roman"/>
          <w:sz w:val="32"/>
          <w:szCs w:val="32"/>
        </w:rPr>
        <w:t>包括：基本工资、津贴补贴、奖金、绩效工资、机关事业单位基本养老保险缴费、职工基本医疗保险缴费、公务员医疗补助缴费、其他社会保障缴费、住房公积金、其他工资福利支出、退休费、抚恤金。</w:t>
      </w:r>
    </w:p>
    <w:p w14:paraId="654BA8FE">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公用经费11.04万元，</w:t>
      </w:r>
      <w:r>
        <w:rPr>
          <w:rFonts w:hint="default" w:ascii="Times New Roman" w:hAnsi="Times New Roman" w:eastAsia="仿宋_GB2312" w:cs="Times New Roman"/>
          <w:sz w:val="32"/>
          <w:szCs w:val="32"/>
        </w:rPr>
        <w:t>包括：办公费、手续费、水费、电费、邮电费、取暖费、差旅费、维修（护）费、工会经费、福利费、其他交通费用、其他商品和服务支出。</w:t>
      </w:r>
    </w:p>
    <w:p w14:paraId="14E6CFE1">
      <w:pPr>
        <w:ind w:firstLine="640" w:firstLineChars="200"/>
        <w:jc w:val="both"/>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14:paraId="21A50B4F">
      <w:pPr>
        <w:ind w:firstLine="643"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2023年度</w:t>
      </w:r>
      <w:r>
        <w:rPr>
          <w:rFonts w:hint="default" w:ascii="Times New Roman" w:hAnsi="Times New Roman" w:eastAsia="仿宋_GB2312" w:cs="Times New Roman"/>
          <w:b/>
          <w:bCs/>
          <w:sz w:val="32"/>
          <w:szCs w:val="32"/>
        </w:rPr>
        <w:t>财政拨款</w:t>
      </w:r>
      <w:r>
        <w:rPr>
          <w:rFonts w:hint="default" w:ascii="Times New Roman" w:hAnsi="Times New Roman" w:eastAsia="仿宋_GB2312" w:cs="Times New Roman"/>
          <w:b/>
          <w:bCs/>
          <w:sz w:val="32"/>
          <w:szCs w:val="32"/>
          <w:lang w:val="zh-CN"/>
        </w:rPr>
        <w:t>“三公”经费支出0.00万元，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主要原因是：本年度无预算安排。其中：因公出国（境）费支出0.00万元</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主要原因是：本年度无预算安排；公务用车购置及运行维护费支出0.00万元，占0.00%，比上年增加0.00万元，</w:t>
      </w:r>
      <w:r>
        <w:rPr>
          <w:rFonts w:hint="default" w:ascii="Times New Roman" w:hAnsi="Times New Roman" w:eastAsia="仿宋_GB2312" w:cs="Times New Roman"/>
          <w:sz w:val="32"/>
          <w:szCs w:val="32"/>
        </w:rPr>
        <w:t>增长</w:t>
      </w:r>
      <w:r>
        <w:rPr>
          <w:rFonts w:hint="default" w:ascii="Times New Roman" w:hAnsi="Times New Roman" w:eastAsia="仿宋_GB2312" w:cs="Times New Roman"/>
          <w:sz w:val="32"/>
          <w:szCs w:val="32"/>
          <w:lang w:val="zh-CN"/>
        </w:rPr>
        <w:t>0.00%</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主要原因是：本年度无预算安排；公务接待费支出0.00万元，占0.00%，比上年增加0.00万元，</w:t>
      </w:r>
      <w:r>
        <w:rPr>
          <w:rFonts w:hint="default" w:ascii="Times New Roman" w:hAnsi="Times New Roman" w:eastAsia="仿宋_GB2312" w:cs="Times New Roman"/>
          <w:sz w:val="32"/>
          <w:szCs w:val="32"/>
        </w:rPr>
        <w:t>增长</w:t>
      </w:r>
      <w:r>
        <w:rPr>
          <w:rFonts w:hint="default" w:ascii="Times New Roman" w:hAnsi="Times New Roman" w:eastAsia="仿宋_GB2312" w:cs="Times New Roman"/>
          <w:sz w:val="32"/>
          <w:szCs w:val="32"/>
          <w:lang w:val="zh-CN"/>
        </w:rPr>
        <w:t>0.00%</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主要原因是：本年度无预算安排。</w:t>
      </w:r>
    </w:p>
    <w:p w14:paraId="0950523D">
      <w:pPr>
        <w:ind w:firstLine="643" w:firstLineChars="200"/>
        <w:jc w:val="both"/>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t>具体情况如下：</w:t>
      </w:r>
    </w:p>
    <w:p w14:paraId="151FA7BD">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因公出国（境）费支出0.00万元，开支内容包括我单位无因公出国（境）费。单位全年安排的因公出国（境）团组0个，因公出国（境）0人次。</w:t>
      </w:r>
    </w:p>
    <w:p w14:paraId="7B65B513">
      <w:pPr>
        <w:ind w:firstLine="640" w:firstLineChars="200"/>
        <w:rPr>
          <w:rFonts w:eastAsia="仿宋_GB2312"/>
          <w:sz w:val="32"/>
          <w:szCs w:val="32"/>
        </w:rPr>
      </w:pPr>
      <w:r>
        <w:rPr>
          <w:rFonts w:hint="default" w:ascii="Times New Roman" w:hAnsi="Times New Roman" w:eastAsia="仿宋_GB2312" w:cs="Times New Roman"/>
          <w:sz w:val="32"/>
          <w:szCs w:val="32"/>
          <w:lang w:val="zh-CN"/>
        </w:rPr>
        <w:t>公务用车购置及运行维护费0.00万元，其中：公务用车购置费0.00万元，公务用车运行维护费0.00万元。公务用车运行维护费开支内容包括我单位无公务用车购置及运行维护费。公务用车购置数0辆，公务用车保有</w:t>
      </w:r>
      <w:r>
        <w:rPr>
          <w:rFonts w:hint="eastAsia" w:eastAsia="仿宋_GB2312" w:cs="Times New Roman"/>
          <w:sz w:val="32"/>
          <w:szCs w:val="32"/>
          <w:lang w:val="zh-CN"/>
        </w:rPr>
        <w:t>辆</w:t>
      </w:r>
      <w:r>
        <w:rPr>
          <w:rFonts w:hint="default" w:ascii="Times New Roman" w:hAnsi="Times New Roman" w:eastAsia="仿宋_GB2312" w:cs="Times New Roman"/>
          <w:sz w:val="32"/>
          <w:szCs w:val="32"/>
          <w:lang w:val="zh-CN"/>
        </w:rPr>
        <w:t>0</w:t>
      </w:r>
      <w:r>
        <w:rPr>
          <w:rFonts w:hint="eastAsia" w:eastAsia="仿宋_GB2312" w:cs="Times New Roman"/>
          <w:sz w:val="32"/>
          <w:szCs w:val="32"/>
          <w:lang w:val="zh-CN"/>
        </w:rPr>
        <w:t>辆</w:t>
      </w:r>
      <w:r>
        <w:rPr>
          <w:rFonts w:hint="default" w:ascii="Times New Roman" w:hAnsi="Times New Roman" w:eastAsia="仿宋_GB2312" w:cs="Times New Roman"/>
          <w:sz w:val="32"/>
          <w:szCs w:val="32"/>
          <w:lang w:val="zh-CN"/>
        </w:rPr>
        <w:t>。国有资产占用情况</w:t>
      </w:r>
      <w:r>
        <w:rPr>
          <w:rFonts w:hint="default" w:ascii="Times New Roman" w:hAnsi="Times New Roman" w:eastAsia="仿宋_GB2312" w:cs="Times New Roman"/>
          <w:sz w:val="32"/>
          <w:szCs w:val="32"/>
        </w:rPr>
        <w:t>中固定资产车辆</w:t>
      </w:r>
      <w:r>
        <w:rPr>
          <w:rFonts w:hint="default" w:ascii="Times New Roman" w:hAnsi="Times New Roman" w:eastAsia="仿宋_GB2312" w:cs="Times New Roman"/>
          <w:sz w:val="32"/>
          <w:szCs w:val="32"/>
          <w:lang w:val="zh-CN"/>
        </w:rPr>
        <w:t>1辆，</w:t>
      </w:r>
      <w:r>
        <w:rPr>
          <w:rFonts w:hint="default" w:ascii="Times New Roman" w:hAnsi="Times New Roman" w:eastAsia="仿宋_GB2312" w:cs="Times New Roman"/>
          <w:sz w:val="32"/>
          <w:szCs w:val="32"/>
        </w:rPr>
        <w:t>与</w:t>
      </w:r>
      <w:r>
        <w:rPr>
          <w:rFonts w:hint="default" w:ascii="Times New Roman" w:hAnsi="Times New Roman" w:eastAsia="仿宋_GB2312" w:cs="Times New Roman"/>
          <w:sz w:val="32"/>
          <w:szCs w:val="32"/>
          <w:lang w:val="zh-CN"/>
        </w:rPr>
        <w:t>公务用车</w:t>
      </w:r>
      <w:r>
        <w:rPr>
          <w:rFonts w:hint="default" w:ascii="Times New Roman" w:hAnsi="Times New Roman" w:eastAsia="仿宋_GB2312" w:cs="Times New Roman"/>
          <w:sz w:val="32"/>
          <w:szCs w:val="32"/>
        </w:rPr>
        <w:t>保有量差异</w:t>
      </w:r>
      <w:r>
        <w:rPr>
          <w:rFonts w:hint="default" w:ascii="Times New Roman" w:hAnsi="Times New Roman" w:eastAsia="仿宋_GB2312" w:cs="Times New Roman"/>
          <w:sz w:val="32"/>
          <w:szCs w:val="32"/>
          <w:lang w:val="zh-CN"/>
        </w:rPr>
        <w:t>原因是：</w:t>
      </w:r>
      <w:r>
        <w:rPr>
          <w:rFonts w:hint="eastAsia" w:ascii="仿宋_GB2312" w:eastAsia="仿宋_GB2312"/>
          <w:sz w:val="32"/>
          <w:szCs w:val="32"/>
          <w:lang w:val="zh-CN"/>
        </w:rPr>
        <w:t>我单位车辆费用由单位自有资金承担</w:t>
      </w:r>
      <w:r>
        <w:rPr>
          <w:rFonts w:eastAsia="仿宋_GB2312"/>
          <w:sz w:val="32"/>
          <w:szCs w:val="32"/>
          <w:lang w:val="zh-CN"/>
        </w:rPr>
        <w:t>。</w:t>
      </w:r>
    </w:p>
    <w:p w14:paraId="5BB009DD">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公务接待费0.00万元，开支内容包括我单位无公务接待费。单位全年安排的国内公务接待0批次，0人次。</w:t>
      </w:r>
    </w:p>
    <w:p w14:paraId="3ADF5061">
      <w:pPr>
        <w:ind w:firstLine="643"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与</w:t>
      </w:r>
      <w:r>
        <w:rPr>
          <w:rFonts w:hint="default" w:ascii="Times New Roman" w:hAnsi="Times New Roman" w:eastAsia="仿宋_GB2312" w:cs="Times New Roman"/>
          <w:b/>
          <w:bCs/>
          <w:sz w:val="32"/>
          <w:szCs w:val="32"/>
        </w:rPr>
        <w:t>全年</w:t>
      </w:r>
      <w:r>
        <w:rPr>
          <w:rFonts w:hint="default" w:ascii="Times New Roman" w:hAnsi="Times New Roman" w:eastAsia="仿宋_GB2312" w:cs="Times New Roman"/>
          <w:b/>
          <w:bCs/>
          <w:sz w:val="32"/>
          <w:szCs w:val="32"/>
          <w:lang w:val="zh-CN"/>
        </w:rPr>
        <w:t>预算相比</w:t>
      </w:r>
      <w:r>
        <w:rPr>
          <w:rFonts w:hint="eastAsia" w:eastAsia="仿宋_GB2312" w:cs="Times New Roman"/>
          <w:b/>
          <w:bCs/>
          <w:sz w:val="32"/>
          <w:szCs w:val="32"/>
          <w:lang w:val="zh-CN"/>
        </w:rPr>
        <w:t>，</w:t>
      </w:r>
      <w:r>
        <w:rPr>
          <w:rFonts w:hint="default" w:ascii="Times New Roman" w:hAnsi="Times New Roman" w:eastAsia="仿宋_GB2312" w:cs="Times New Roman"/>
          <w:sz w:val="32"/>
          <w:szCs w:val="32"/>
          <w:lang w:val="zh-CN"/>
        </w:rPr>
        <w:t>财政拨款“三公”经费支出</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预算数0.00万元，决算数0.00万元，预决算差异率0.00%，主要原因是：本年度无财政拨款“三公”经费。其中：因公出国（境）费</w:t>
      </w:r>
      <w:r>
        <w:rPr>
          <w:rFonts w:hint="default" w:ascii="Times New Roman" w:hAnsi="Times New Roman" w:eastAsia="仿宋_GB2312" w:cs="Times New Roman"/>
          <w:sz w:val="32"/>
          <w:szCs w:val="32"/>
        </w:rPr>
        <w:t>全年预算数</w:t>
      </w:r>
      <w:r>
        <w:rPr>
          <w:rFonts w:hint="default" w:ascii="Times New Roman" w:hAnsi="Times New Roman" w:eastAsia="仿宋_GB2312" w:cs="Times New Roman"/>
          <w:sz w:val="32"/>
          <w:szCs w:val="32"/>
          <w:lang w:val="zh-CN"/>
        </w:rPr>
        <w:t>0.00万元，决算数0.00万元，预决算差异率0.00%，主要原因是：本年度无因公出国（境）费；公务用车购置费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预算数0.00万元，决算数0.00万元，预决算差异率0.00%，主要原因是：本年度无公务用车购置费；公务用车运行费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预算数0.00万元，决算数0.00万元，预决算差异率0.00%，主要原因是：本年度无公务用车运行费；公务接待费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预算数0.00万元，决算数0.00万元，预决算差异率0.00%，主要原因是：本年度无公务接待费。</w:t>
      </w:r>
    </w:p>
    <w:p w14:paraId="3753C9A3">
      <w:pPr>
        <w:ind w:firstLine="640" w:firstLineChars="200"/>
        <w:jc w:val="both"/>
        <w:outlineLvl w:val="1"/>
        <w:rPr>
          <w:rFonts w:hint="default" w:ascii="Times New Roman" w:hAnsi="Times New Roman" w:eastAsia="黑体" w:cs="Times New Roman"/>
          <w:bCs/>
          <w:kern w:val="0"/>
          <w:sz w:val="32"/>
          <w:szCs w:val="32"/>
        </w:rPr>
      </w:pPr>
      <w:bookmarkStart w:id="18" w:name="_Toc7927"/>
      <w:bookmarkStart w:id="19" w:name="_Toc5810"/>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307F3CAE">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我单位本年度无政府性基金预算财政拨款收入、支出及结转和结余，政府性基金预算财政拨款收入支出决算表为空表。</w:t>
      </w:r>
    </w:p>
    <w:p w14:paraId="6351C3C8">
      <w:pPr>
        <w:ind w:firstLine="640" w:firstLineChars="200"/>
        <w:jc w:val="both"/>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0E0AE5AE">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14:paraId="28917F17">
      <w:pPr>
        <w:ind w:firstLine="640" w:firstLineChars="200"/>
        <w:jc w:val="both"/>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14:paraId="137FFBC1">
      <w:pPr>
        <w:ind w:firstLine="640" w:firstLineChars="200"/>
        <w:jc w:val="both"/>
        <w:outlineLvl w:val="2"/>
        <w:rPr>
          <w:rFonts w:hint="default" w:ascii="Times New Roman" w:hAnsi="Times New Roman" w:eastAsia="黑体" w:cs="Times New Roman"/>
          <w:sz w:val="32"/>
          <w:szCs w:val="32"/>
        </w:rPr>
      </w:pPr>
      <w:bookmarkStart w:id="22" w:name="_Toc13105"/>
      <w:bookmarkStart w:id="23" w:name="_Toc14519"/>
      <w:r>
        <w:rPr>
          <w:rFonts w:hint="default" w:ascii="Times New Roman" w:hAnsi="Times New Roman" w:eastAsia="黑体" w:cs="Times New Roman"/>
          <w:sz w:val="32"/>
          <w:szCs w:val="32"/>
        </w:rPr>
        <w:t>（一）机关运行经费支出情况</w:t>
      </w:r>
      <w:bookmarkEnd w:id="22"/>
      <w:bookmarkEnd w:id="23"/>
    </w:p>
    <w:p w14:paraId="21A668D0">
      <w:pPr>
        <w:ind w:firstLine="640" w:firstLineChars="200"/>
        <w:jc w:val="both"/>
        <w:rPr>
          <w:rFonts w:hint="default" w:ascii="Times New Roman" w:hAnsi="Times New Roman" w:eastAsia="仿宋_GB2312" w:cs="Times New Roman"/>
          <w:sz w:val="32"/>
          <w:szCs w:val="32"/>
          <w:lang w:val="zh-CN"/>
        </w:rPr>
      </w:pPr>
      <w:bookmarkStart w:id="24" w:name="_Toc26704"/>
      <w:bookmarkStart w:id="25" w:name="_Toc227"/>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新疆维吾尔自治区</w:t>
      </w:r>
      <w:r>
        <w:rPr>
          <w:rFonts w:hint="eastAsia" w:eastAsia="仿宋_GB2312" w:cs="Times New Roman"/>
          <w:sz w:val="32"/>
          <w:szCs w:val="32"/>
          <w:lang w:val="en-US" w:eastAsia="zh-CN"/>
        </w:rPr>
        <w:t>卫生健康</w:t>
      </w:r>
      <w:r>
        <w:rPr>
          <w:rFonts w:hint="default" w:ascii="Times New Roman" w:hAnsi="Times New Roman" w:eastAsia="仿宋_GB2312" w:cs="Times New Roman"/>
          <w:sz w:val="32"/>
          <w:szCs w:val="32"/>
        </w:rPr>
        <w:t>药具</w:t>
      </w:r>
      <w:r>
        <w:rPr>
          <w:rFonts w:hint="eastAsia" w:eastAsia="仿宋_GB2312" w:cs="Times New Roman"/>
          <w:sz w:val="32"/>
          <w:szCs w:val="32"/>
          <w:lang w:val="en-US" w:eastAsia="zh-CN"/>
        </w:rPr>
        <w:t>服务</w:t>
      </w:r>
      <w:r>
        <w:rPr>
          <w:rFonts w:hint="default" w:ascii="Times New Roman" w:hAnsi="Times New Roman" w:eastAsia="仿宋_GB2312" w:cs="Times New Roman"/>
          <w:sz w:val="32"/>
          <w:szCs w:val="32"/>
        </w:rPr>
        <w:t>中心</w:t>
      </w:r>
      <w:r>
        <w:rPr>
          <w:rFonts w:hint="eastAsia" w:eastAsia="仿宋_GB2312" w:cs="Times New Roman"/>
          <w:sz w:val="32"/>
          <w:szCs w:val="32"/>
          <w:lang w:eastAsia="zh-CN"/>
        </w:rPr>
        <w:t>（原新疆维吾尔自治区计划生育药具管理中心）</w:t>
      </w:r>
      <w:r>
        <w:rPr>
          <w:rFonts w:hint="default" w:ascii="Times New Roman" w:hAnsi="Times New Roman" w:eastAsia="仿宋_GB2312" w:cs="Times New Roman"/>
          <w:sz w:val="32"/>
          <w:szCs w:val="32"/>
          <w:lang w:val="zh-CN"/>
        </w:rPr>
        <w:t>（事业单位）公用经费支出11.04万元，比上年减少3.06万元，下降21.7</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rPr>
        <w:t>%，主要原因是：本年度人员减少，相关支出降低。</w:t>
      </w:r>
    </w:p>
    <w:p w14:paraId="26D7352B">
      <w:pPr>
        <w:ind w:firstLine="640" w:firstLineChars="200"/>
        <w:jc w:val="both"/>
        <w:rPr>
          <w:rFonts w:hint="default" w:ascii="Times New Roman" w:hAnsi="Times New Roman" w:eastAsia="黑体" w:cs="Times New Roman"/>
          <w:sz w:val="32"/>
          <w:szCs w:val="30"/>
          <w:lang w:val="zh-CN"/>
        </w:rPr>
      </w:pPr>
      <w:r>
        <w:rPr>
          <w:rFonts w:hint="default" w:ascii="Times New Roman" w:hAnsi="Times New Roman" w:eastAsia="黑体" w:cs="Times New Roman"/>
          <w:sz w:val="32"/>
          <w:szCs w:val="30"/>
          <w:lang w:val="zh-CN"/>
        </w:rPr>
        <w:t>（二）政府采购情况</w:t>
      </w:r>
      <w:bookmarkEnd w:id="24"/>
      <w:bookmarkEnd w:id="25"/>
    </w:p>
    <w:p w14:paraId="2D349930">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2023年度政府采购支出总额241.82万元，其中：政府采购货物支出238.18万元、政府采购工程支出0.00万元、政府采购服务支出3.64万元。</w:t>
      </w:r>
    </w:p>
    <w:p w14:paraId="3070AE75">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授予中小企业合同金额241.82万元，占政府采购支出总额的100.00%，其中：授予小微企业合同金额145.06万元，占政府采购支出总额的59.99%</w:t>
      </w:r>
      <w:r>
        <w:rPr>
          <w:rFonts w:hint="default" w:ascii="Times New Roman" w:hAnsi="Times New Roman" w:eastAsia="仿宋_GB2312" w:cs="Times New Roman"/>
          <w:sz w:val="32"/>
          <w:szCs w:val="32"/>
        </w:rPr>
        <w:t>。</w:t>
      </w:r>
    </w:p>
    <w:p w14:paraId="4CCE0DAF">
      <w:pPr>
        <w:ind w:firstLine="640" w:firstLineChars="200"/>
        <w:jc w:val="both"/>
        <w:rPr>
          <w:rFonts w:hint="default" w:ascii="Times New Roman" w:hAnsi="Times New Roman" w:eastAsia="黑体" w:cs="Times New Roman"/>
          <w:sz w:val="32"/>
          <w:szCs w:val="30"/>
          <w:lang w:val="zh-CN"/>
        </w:rPr>
      </w:pPr>
      <w:bookmarkStart w:id="26" w:name="_Toc4591"/>
      <w:bookmarkStart w:id="27" w:name="_Toc8391"/>
      <w:r>
        <w:rPr>
          <w:rFonts w:hint="default" w:ascii="Times New Roman" w:hAnsi="Times New Roman" w:eastAsia="黑体" w:cs="Times New Roman"/>
          <w:sz w:val="32"/>
          <w:szCs w:val="30"/>
          <w:lang w:val="zh-CN"/>
        </w:rPr>
        <w:t>（三）国有资产占用情况说明</w:t>
      </w:r>
      <w:bookmarkEnd w:id="26"/>
      <w:bookmarkEnd w:id="27"/>
    </w:p>
    <w:p w14:paraId="362BDCF9">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val="zh-CN"/>
        </w:rPr>
        <w:t>2023年12</w:t>
      </w:r>
      <w:r>
        <w:rPr>
          <w:rFonts w:hint="default" w:ascii="Times New Roman" w:hAnsi="Times New Roman" w:eastAsia="仿宋_GB2312" w:cs="Times New Roman"/>
          <w:sz w:val="32"/>
          <w:szCs w:val="32"/>
        </w:rPr>
        <w:t>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r>
        <w:rPr>
          <w:rFonts w:hint="default" w:ascii="Times New Roman" w:hAnsi="Times New Roman" w:eastAsia="仿宋_GB2312" w:cs="Times New Roman"/>
          <w:sz w:val="32"/>
          <w:szCs w:val="32"/>
          <w:lang w:val="zh-CN"/>
        </w:rPr>
        <w:t>48.76</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屋0.0平方米，价值0.00万元。车辆1辆，价值20.27万元，其中：副部（省）级及以上领导用车0辆、主要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用车0辆、机要通信用车0辆、应急保障用车0辆、执法执勤用车0辆、特种专业技术用车0辆、离退休干部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用车0辆、其他用车1辆，其他用车主要是：</w:t>
      </w:r>
      <w:r>
        <w:rPr>
          <w:rFonts w:hint="eastAsia" w:eastAsia="仿宋_GB2312" w:cs="Times New Roman"/>
          <w:sz w:val="32"/>
          <w:szCs w:val="32"/>
          <w:lang w:val="zh-CN"/>
        </w:rPr>
        <w:t>一般业务</w:t>
      </w:r>
      <w:r>
        <w:rPr>
          <w:rFonts w:hint="default" w:ascii="Times New Roman" w:hAnsi="Times New Roman" w:eastAsia="仿宋_GB2312" w:cs="Times New Roman"/>
          <w:sz w:val="32"/>
          <w:szCs w:val="32"/>
          <w:lang w:val="zh-CN"/>
        </w:rPr>
        <w:t>用车；单价100万元（含）以上设备（不含车辆）0</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14:paraId="0CA4C569">
      <w:pPr>
        <w:ind w:firstLine="640" w:firstLineChars="200"/>
        <w:jc w:val="both"/>
        <w:outlineLvl w:val="1"/>
        <w:rPr>
          <w:rFonts w:hint="default" w:ascii="Times New Roman" w:hAnsi="Times New Roman" w:eastAsia="黑体" w:cs="Times New Roman"/>
          <w:bCs/>
          <w:kern w:val="0"/>
          <w:sz w:val="32"/>
          <w:szCs w:val="32"/>
        </w:rPr>
      </w:pPr>
      <w:bookmarkStart w:id="28" w:name="_Toc435"/>
      <w:bookmarkStart w:id="29" w:name="_Toc11283"/>
      <w:r>
        <w:rPr>
          <w:rFonts w:hint="default" w:ascii="Times New Roman" w:hAnsi="Times New Roman" w:eastAsia="黑体" w:cs="Times New Roman"/>
          <w:bCs/>
          <w:kern w:val="0"/>
          <w:sz w:val="32"/>
          <w:szCs w:val="32"/>
        </w:rPr>
        <w:t>十一、预算绩效的情况说明</w:t>
      </w:r>
      <w:bookmarkEnd w:id="28"/>
      <w:bookmarkEnd w:id="29"/>
    </w:p>
    <w:p w14:paraId="0A4A643F">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根据预算绩效管理要求，我单位</w:t>
      </w:r>
      <w:r>
        <w:rPr>
          <w:rFonts w:hint="default" w:ascii="Times New Roman" w:hAnsi="Times New Roman" w:eastAsia="仿宋_GB2312" w:cs="Times New Roman"/>
          <w:sz w:val="32"/>
          <w:szCs w:val="32"/>
          <w:lang w:val="zh-CN"/>
        </w:rPr>
        <w:t>2023</w:t>
      </w:r>
      <w:r>
        <w:rPr>
          <w:rFonts w:hint="default" w:ascii="Times New Roman" w:hAnsi="Times New Roman" w:eastAsia="仿宋_GB2312" w:cs="Times New Roman"/>
          <w:sz w:val="32"/>
          <w:szCs w:val="32"/>
        </w:rPr>
        <w:t>年度</w:t>
      </w:r>
      <w:r>
        <w:rPr>
          <w:rFonts w:hint="default" w:ascii="Times New Roman" w:hAnsi="Times New Roman" w:eastAsia="仿宋_GB2312" w:cs="Times New Roman"/>
          <w:kern w:val="0"/>
          <w:sz w:val="32"/>
          <w:szCs w:val="32"/>
        </w:rPr>
        <w:t>预算绩效管理整体支出绩效自评表</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kern w:val="0"/>
          <w:sz w:val="32"/>
          <w:szCs w:val="32"/>
        </w:rPr>
        <w:t>个，全年</w:t>
      </w:r>
      <w:r>
        <w:rPr>
          <w:rFonts w:hint="default" w:ascii="Times New Roman" w:hAnsi="Times New Roman" w:eastAsia="仿宋_GB2312" w:cs="Times New Roman"/>
          <w:sz w:val="32"/>
          <w:szCs w:val="32"/>
        </w:rPr>
        <w:t>预算总额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万元，实际执行总额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w:t>
      </w:r>
      <w:r>
        <w:rPr>
          <w:rFonts w:hint="default" w:ascii="Times New Roman" w:hAnsi="Times New Roman" w:eastAsia="仿宋_GB2312" w:cs="Times New Roman"/>
          <w:kern w:val="0"/>
          <w:sz w:val="32"/>
          <w:szCs w:val="32"/>
        </w:rPr>
        <w:t>我单位整体支出绩效自评表由主管部门编报并公开。</w:t>
      </w:r>
      <w:r>
        <w:rPr>
          <w:rFonts w:hint="default" w:ascii="Times New Roman" w:hAnsi="Times New Roman" w:eastAsia="仿宋_GB2312" w:cs="Times New Roman"/>
          <w:sz w:val="32"/>
          <w:szCs w:val="32"/>
        </w:rPr>
        <w:t>预算绩效评价项目1个，全年预算数</w:t>
      </w:r>
      <w:r>
        <w:rPr>
          <w:rFonts w:hint="default" w:ascii="Times New Roman" w:hAnsi="Times New Roman" w:eastAsia="仿宋_GB2312" w:cs="Times New Roman"/>
          <w:sz w:val="32"/>
          <w:szCs w:val="32"/>
          <w:lang w:val="zh-CN"/>
        </w:rPr>
        <w:t>6.75</w:t>
      </w:r>
      <w:r>
        <w:rPr>
          <w:rFonts w:hint="default" w:ascii="Times New Roman" w:hAnsi="Times New Roman" w:eastAsia="仿宋_GB2312" w:cs="Times New Roman"/>
          <w:sz w:val="32"/>
          <w:szCs w:val="32"/>
        </w:rPr>
        <w:t>万元，全年执行数</w:t>
      </w:r>
      <w:r>
        <w:rPr>
          <w:rFonts w:hint="default" w:ascii="Times New Roman" w:hAnsi="Times New Roman" w:eastAsia="仿宋_GB2312" w:cs="Times New Roman"/>
          <w:sz w:val="32"/>
          <w:szCs w:val="32"/>
          <w:lang w:val="zh-CN"/>
        </w:rPr>
        <w:t>1.13</w:t>
      </w:r>
      <w:r>
        <w:rPr>
          <w:rFonts w:hint="default" w:ascii="Times New Roman" w:hAnsi="Times New Roman" w:eastAsia="仿宋_GB2312" w:cs="Times New Roman"/>
          <w:sz w:val="32"/>
          <w:szCs w:val="32"/>
        </w:rPr>
        <w:t>万元。预算绩效管理取得的成效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CN"/>
        </w:rPr>
        <w:t>一是将预算目标同预算编制、资金安排和效能考核相结合，逐步形成了以绩效为目标、以结果为导向的绩效理念。二是多点发力推进预算管理与绩效管理深度融合，着力打造事前、事中、事后有机衔接的预算绩效管理链条。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default" w:ascii="Times New Roman" w:hAnsi="Times New Roman" w:eastAsia="仿宋_GB2312" w:cs="Times New Roman"/>
          <w:sz w:val="32"/>
          <w:szCs w:val="32"/>
        </w:rPr>
        <w:t>。</w:t>
      </w:r>
    </w:p>
    <w:p w14:paraId="27D241E0">
      <w:pPr>
        <w:ind w:firstLine="640" w:firstLineChars="200"/>
        <w:jc w:val="both"/>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69CEDF8E">
      <w:pPr>
        <w:ind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本单位无其他需说明事项</w:t>
      </w:r>
    </w:p>
    <w:p w14:paraId="48E0BD5A">
      <w:pPr>
        <w:ind w:firstLine="640" w:firstLineChars="200"/>
        <w:jc w:val="both"/>
        <w:rPr>
          <w:rFonts w:hint="default" w:ascii="Times New Roman" w:hAnsi="Times New Roman" w:eastAsia="仿宋_GB2312" w:cs="Times New Roman"/>
          <w:kern w:val="0"/>
          <w:sz w:val="32"/>
          <w:szCs w:val="32"/>
        </w:rPr>
      </w:pPr>
    </w:p>
    <w:p w14:paraId="7B1B5B06">
      <w:pPr>
        <w:jc w:val="center"/>
        <w:outlineLvl w:val="0"/>
        <w:rPr>
          <w:rFonts w:hint="default" w:ascii="Times New Roman" w:hAnsi="Times New Roman" w:eastAsia="黑体" w:cs="Times New Roman"/>
          <w:sz w:val="32"/>
          <w:szCs w:val="32"/>
        </w:rPr>
      </w:pPr>
      <w:bookmarkStart w:id="30" w:name="_Toc3250"/>
      <w:bookmarkStart w:id="31" w:name="_Toc24143"/>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rPr>
        <w:t>第三部分 专业名词解释</w:t>
      </w:r>
      <w:bookmarkEnd w:id="30"/>
      <w:bookmarkEnd w:id="31"/>
    </w:p>
    <w:p w14:paraId="309D0311">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一、财政拨款收入：</w:t>
      </w:r>
      <w:r>
        <w:rPr>
          <w:rFonts w:hint="default" w:ascii="Times New Roman" w:hAnsi="Times New Roman" w:eastAsia="仿宋_GB2312" w:cs="Times New Roman"/>
          <w:sz w:val="32"/>
          <w:szCs w:val="32"/>
        </w:rPr>
        <w:t>指同级财政当年拨付的资金。</w:t>
      </w:r>
    </w:p>
    <w:p w14:paraId="4D2E9CC5">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二、上级补助收入：</w:t>
      </w:r>
      <w:r>
        <w:rPr>
          <w:rFonts w:hint="default" w:ascii="Times New Roman" w:hAnsi="Times New Roman" w:eastAsia="仿宋_GB2312" w:cs="Times New Roman"/>
          <w:sz w:val="32"/>
          <w:szCs w:val="32"/>
        </w:rPr>
        <w:t>指事业单位从主管部门和上级单位取得的非财政补助收入。</w:t>
      </w:r>
    </w:p>
    <w:p w14:paraId="44D5EE30">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三、事业收入：</w:t>
      </w:r>
      <w:r>
        <w:rPr>
          <w:rFonts w:hint="default" w:ascii="Times New Roman" w:hAnsi="Times New Roman" w:eastAsia="仿宋_GB2312" w:cs="Times New Roman"/>
          <w:sz w:val="32"/>
          <w:szCs w:val="32"/>
        </w:rPr>
        <w:t>指事业单位开展专业业务活动及其辅助活动所取得的收入。</w:t>
      </w:r>
    </w:p>
    <w:p w14:paraId="420C932F">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77594D80">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五、附属单位上缴收入：</w:t>
      </w:r>
      <w:r>
        <w:rPr>
          <w:rFonts w:hint="default" w:ascii="Times New Roman" w:hAnsi="Times New Roman" w:eastAsia="仿宋_GB2312" w:cs="Times New Roman"/>
          <w:sz w:val="32"/>
          <w:szCs w:val="32"/>
        </w:rPr>
        <w:t>指事业单位附属的独立核算单位按有关规定上缴的收入。</w:t>
      </w:r>
    </w:p>
    <w:p w14:paraId="023B71D9">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六、其他收入：</w:t>
      </w:r>
      <w:r>
        <w:rPr>
          <w:rFonts w:hint="default" w:ascii="Times New Roman" w:hAnsi="Times New Roman" w:eastAsia="仿宋_GB2312" w:cs="Times New Roman"/>
          <w:sz w:val="32"/>
          <w:szCs w:val="32"/>
        </w:rPr>
        <w:t>指除上述“财政拨款收入”、“事业收入”、“经营收入”、“附属单位上缴收入”等之外取得的收入。</w:t>
      </w:r>
    </w:p>
    <w:p w14:paraId="4191CA7B">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七、年初结转和结余：</w:t>
      </w:r>
      <w:r>
        <w:rPr>
          <w:rFonts w:hint="default" w:ascii="Times New Roman" w:hAnsi="Times New Roman" w:eastAsia="仿宋_GB2312" w:cs="Times New Roman"/>
          <w:sz w:val="32"/>
          <w:szCs w:val="32"/>
        </w:rPr>
        <w:t>指以前年度支出预算因客观条件变化未执行完毕、结转到本年度按有关规定继续使用的资金，既包括财政拨款结转和结余，也包括事业收入、经营收入、其他收入的结转和结余。</w:t>
      </w:r>
    </w:p>
    <w:p w14:paraId="2AFBAEF3">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八、年末结转和结余：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23168">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九、基本支出：</w:t>
      </w:r>
      <w:r>
        <w:rPr>
          <w:rFonts w:hint="default" w:ascii="Times New Roman" w:hAnsi="Times New Roman" w:eastAsia="仿宋_GB2312" w:cs="Times New Roman"/>
          <w:sz w:val="32"/>
          <w:szCs w:val="32"/>
        </w:rPr>
        <w:t>指为保障机构正常运转、完成日常工作任务而发生的人员支出和公用支出。</w:t>
      </w:r>
    </w:p>
    <w:p w14:paraId="4B6F16D2">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十、项目支出：</w:t>
      </w:r>
      <w:r>
        <w:rPr>
          <w:rFonts w:hint="default" w:ascii="Times New Roman" w:hAnsi="Times New Roman" w:eastAsia="仿宋_GB2312" w:cs="Times New Roman"/>
          <w:sz w:val="32"/>
          <w:szCs w:val="32"/>
        </w:rPr>
        <w:t>指在基本支出之外为完成特定行政任务和事业发展目标所发生的支出。</w:t>
      </w:r>
    </w:p>
    <w:p w14:paraId="7C9B369B">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十一、经营支出：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33B505FD">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十二、对附属单位补助支出：</w:t>
      </w:r>
      <w:r>
        <w:rPr>
          <w:rFonts w:hint="default" w:ascii="Times New Roman" w:hAnsi="Times New Roman" w:eastAsia="仿宋_GB2312" w:cs="Times New Roman"/>
          <w:sz w:val="32"/>
          <w:szCs w:val="32"/>
        </w:rPr>
        <w:t>指事业单位发生的用非财政预算资金对附属单位的补助支出。</w:t>
      </w:r>
    </w:p>
    <w:p w14:paraId="3383764B">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十三、“三公”经费：</w:t>
      </w:r>
      <w:r>
        <w:rPr>
          <w:rFonts w:hint="default" w:ascii="Times New Roman" w:hAnsi="Times New Roman" w:eastAsia="仿宋_GB2312" w:cs="Times New Roman"/>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DD3B07">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十四、机关运行经费：</w:t>
      </w:r>
      <w:r>
        <w:rPr>
          <w:rFonts w:hint="default" w:ascii="Times New Roman" w:hAnsi="Times New Roman" w:eastAsia="仿宋_GB2312" w:cs="Times New Roman"/>
          <w:sz w:val="32"/>
          <w:szCs w:val="32"/>
        </w:rPr>
        <w:t>行政单位和参照公务员法管理的事业单位财政拨款基本支出中的公用经费支出。</w:t>
      </w:r>
    </w:p>
    <w:p w14:paraId="00FB4119">
      <w:pPr>
        <w:ind w:firstLine="640" w:firstLineChars="200"/>
        <w:jc w:val="center"/>
        <w:outlineLvl w:val="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br w:type="page"/>
      </w:r>
      <w:r>
        <w:rPr>
          <w:rFonts w:hint="default" w:ascii="Times New Roman" w:hAnsi="Times New Roman" w:eastAsia="黑体" w:cs="Times New Roman"/>
          <w:sz w:val="32"/>
          <w:szCs w:val="32"/>
        </w:rPr>
        <w:t>第四部分 部门决算报表（见附表）</w:t>
      </w:r>
    </w:p>
    <w:p w14:paraId="772726B8">
      <w:pPr>
        <w:ind w:firstLine="640" w:firstLineChars="200"/>
        <w:jc w:val="both"/>
        <w:outlineLvl w:val="1"/>
        <w:rPr>
          <w:rFonts w:hint="default" w:ascii="Times New Roman" w:hAnsi="Times New Roman" w:eastAsia="仿宋_GB2312" w:cs="Times New Roman"/>
          <w:bCs/>
          <w:kern w:val="0"/>
          <w:sz w:val="32"/>
          <w:szCs w:val="32"/>
        </w:rPr>
      </w:pPr>
      <w:bookmarkStart w:id="32" w:name="_Toc6062"/>
      <w:bookmarkStart w:id="33" w:name="_Toc2183"/>
      <w:r>
        <w:rPr>
          <w:rFonts w:hint="default" w:ascii="Times New Roman" w:hAnsi="Times New Roman" w:eastAsia="仿宋_GB2312" w:cs="Times New Roman"/>
          <w:bCs/>
          <w:kern w:val="0"/>
          <w:sz w:val="32"/>
          <w:szCs w:val="32"/>
        </w:rPr>
        <w:t>一、《收入支出决算总表》</w:t>
      </w:r>
      <w:bookmarkEnd w:id="32"/>
      <w:bookmarkEnd w:id="33"/>
    </w:p>
    <w:p w14:paraId="5609455B">
      <w:pPr>
        <w:ind w:firstLine="640" w:firstLineChars="200"/>
        <w:jc w:val="both"/>
        <w:outlineLvl w:val="1"/>
        <w:rPr>
          <w:rFonts w:hint="default" w:ascii="Times New Roman" w:hAnsi="Times New Roman" w:eastAsia="仿宋_GB2312" w:cs="Times New Roman"/>
          <w:bCs/>
          <w:kern w:val="0"/>
          <w:sz w:val="32"/>
          <w:szCs w:val="32"/>
        </w:rPr>
      </w:pPr>
      <w:bookmarkStart w:id="34" w:name="_Toc24532"/>
      <w:bookmarkStart w:id="35" w:name="_Toc30364"/>
      <w:r>
        <w:rPr>
          <w:rFonts w:hint="default" w:ascii="Times New Roman" w:hAnsi="Times New Roman" w:eastAsia="仿宋_GB2312" w:cs="Times New Roman"/>
          <w:bCs/>
          <w:kern w:val="0"/>
          <w:sz w:val="32"/>
          <w:szCs w:val="32"/>
        </w:rPr>
        <w:t>二、《收入决算表》</w:t>
      </w:r>
      <w:bookmarkEnd w:id="34"/>
      <w:bookmarkEnd w:id="35"/>
    </w:p>
    <w:p w14:paraId="70B16CB4">
      <w:pPr>
        <w:ind w:firstLine="640" w:firstLineChars="200"/>
        <w:jc w:val="both"/>
        <w:outlineLvl w:val="1"/>
        <w:rPr>
          <w:rFonts w:hint="default" w:ascii="Times New Roman" w:hAnsi="Times New Roman" w:eastAsia="仿宋_GB2312" w:cs="Times New Roman"/>
          <w:bCs/>
          <w:kern w:val="0"/>
          <w:sz w:val="32"/>
          <w:szCs w:val="32"/>
        </w:rPr>
      </w:pPr>
      <w:bookmarkStart w:id="36" w:name="_Toc32434"/>
      <w:bookmarkStart w:id="37" w:name="_Toc21304"/>
      <w:r>
        <w:rPr>
          <w:rFonts w:hint="default" w:ascii="Times New Roman" w:hAnsi="Times New Roman" w:eastAsia="仿宋_GB2312" w:cs="Times New Roman"/>
          <w:bCs/>
          <w:kern w:val="0"/>
          <w:sz w:val="32"/>
          <w:szCs w:val="32"/>
        </w:rPr>
        <w:t>三、《支出决算表》</w:t>
      </w:r>
      <w:bookmarkEnd w:id="36"/>
      <w:bookmarkEnd w:id="37"/>
    </w:p>
    <w:p w14:paraId="5F42C234">
      <w:pPr>
        <w:ind w:firstLine="640" w:firstLineChars="200"/>
        <w:jc w:val="both"/>
        <w:outlineLvl w:val="1"/>
        <w:rPr>
          <w:rFonts w:hint="default" w:ascii="Times New Roman" w:hAnsi="Times New Roman" w:eastAsia="仿宋_GB2312" w:cs="Times New Roman"/>
          <w:bCs/>
          <w:kern w:val="0"/>
          <w:sz w:val="32"/>
          <w:szCs w:val="32"/>
        </w:rPr>
      </w:pPr>
      <w:bookmarkStart w:id="38" w:name="_Toc28786"/>
      <w:bookmarkStart w:id="39" w:name="_Toc14238"/>
      <w:r>
        <w:rPr>
          <w:rFonts w:hint="default" w:ascii="Times New Roman" w:hAnsi="Times New Roman" w:eastAsia="仿宋_GB2312" w:cs="Times New Roman"/>
          <w:bCs/>
          <w:kern w:val="0"/>
          <w:sz w:val="32"/>
          <w:szCs w:val="32"/>
        </w:rPr>
        <w:t>四、《财政拨款收入支出决算总表》</w:t>
      </w:r>
      <w:bookmarkEnd w:id="38"/>
      <w:bookmarkEnd w:id="39"/>
    </w:p>
    <w:p w14:paraId="5D4ED22E">
      <w:pPr>
        <w:ind w:firstLine="640" w:firstLineChars="200"/>
        <w:jc w:val="both"/>
        <w:outlineLvl w:val="1"/>
        <w:rPr>
          <w:rFonts w:hint="default" w:ascii="Times New Roman" w:hAnsi="Times New Roman" w:eastAsia="仿宋_GB2312" w:cs="Times New Roman"/>
          <w:bCs/>
          <w:kern w:val="0"/>
          <w:sz w:val="32"/>
          <w:szCs w:val="32"/>
        </w:rPr>
      </w:pPr>
      <w:bookmarkStart w:id="40" w:name="_Toc14869"/>
      <w:bookmarkStart w:id="41" w:name="_Toc10347"/>
      <w:r>
        <w:rPr>
          <w:rFonts w:hint="default" w:ascii="Times New Roman" w:hAnsi="Times New Roman" w:eastAsia="仿宋_GB2312" w:cs="Times New Roman"/>
          <w:bCs/>
          <w:kern w:val="0"/>
          <w:sz w:val="32"/>
          <w:szCs w:val="32"/>
        </w:rPr>
        <w:t>五、《一般公共预算财政拨款支出决算表》</w:t>
      </w:r>
      <w:bookmarkEnd w:id="40"/>
      <w:bookmarkEnd w:id="41"/>
    </w:p>
    <w:p w14:paraId="6C54D34B">
      <w:pPr>
        <w:ind w:firstLine="640" w:firstLineChars="200"/>
        <w:jc w:val="both"/>
        <w:outlineLvl w:val="1"/>
        <w:rPr>
          <w:rFonts w:hint="default" w:ascii="Times New Roman" w:hAnsi="Times New Roman" w:eastAsia="仿宋_GB2312" w:cs="Times New Roman"/>
          <w:bCs/>
          <w:kern w:val="0"/>
          <w:sz w:val="32"/>
          <w:szCs w:val="32"/>
        </w:rPr>
      </w:pPr>
      <w:bookmarkStart w:id="42" w:name="_Toc5626"/>
      <w:bookmarkStart w:id="43" w:name="_Toc8884"/>
      <w:r>
        <w:rPr>
          <w:rFonts w:hint="default" w:ascii="Times New Roman" w:hAnsi="Times New Roman" w:eastAsia="仿宋_GB2312" w:cs="Times New Roman"/>
          <w:bCs/>
          <w:kern w:val="0"/>
          <w:sz w:val="32"/>
          <w:szCs w:val="32"/>
        </w:rPr>
        <w:t>六、《一般公共预算财政拨款基本支出决算表》</w:t>
      </w:r>
      <w:bookmarkEnd w:id="42"/>
      <w:bookmarkEnd w:id="43"/>
    </w:p>
    <w:p w14:paraId="14D26EAD">
      <w:pPr>
        <w:ind w:firstLine="640" w:firstLineChars="200"/>
        <w:jc w:val="both"/>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七、</w:t>
      </w:r>
      <w:bookmarkStart w:id="44" w:name="_Toc29106"/>
      <w:bookmarkStart w:id="45" w:name="_Toc32663"/>
      <w:r>
        <w:rPr>
          <w:rFonts w:hint="default" w:ascii="Times New Roman" w:hAnsi="Times New Roman" w:eastAsia="仿宋_GB2312" w:cs="Times New Roman"/>
          <w:bCs/>
          <w:kern w:val="0"/>
          <w:sz w:val="32"/>
          <w:szCs w:val="32"/>
        </w:rPr>
        <w:t>《财政拨款“三公”经费支出决算表》</w:t>
      </w:r>
      <w:bookmarkEnd w:id="44"/>
      <w:bookmarkEnd w:id="45"/>
    </w:p>
    <w:p w14:paraId="693A6831">
      <w:pPr>
        <w:ind w:firstLine="640" w:firstLineChars="200"/>
        <w:jc w:val="both"/>
        <w:outlineLvl w:val="1"/>
        <w:rPr>
          <w:rFonts w:hint="default" w:ascii="Times New Roman" w:hAnsi="Times New Roman" w:eastAsia="仿宋_GB2312" w:cs="Times New Roman"/>
          <w:bCs/>
          <w:kern w:val="0"/>
          <w:sz w:val="32"/>
          <w:szCs w:val="32"/>
        </w:rPr>
      </w:pPr>
      <w:bookmarkStart w:id="46" w:name="_Toc7643"/>
      <w:bookmarkStart w:id="47" w:name="_Toc5453"/>
      <w:r>
        <w:rPr>
          <w:rFonts w:hint="default" w:ascii="Times New Roman" w:hAnsi="Times New Roman" w:eastAsia="仿宋_GB2312" w:cs="Times New Roman"/>
          <w:bCs/>
          <w:kern w:val="0"/>
          <w:sz w:val="32"/>
          <w:szCs w:val="32"/>
        </w:rPr>
        <w:t>八、《政府性基金预算财政拨款收入支出决算表》</w:t>
      </w:r>
      <w:bookmarkEnd w:id="46"/>
      <w:bookmarkEnd w:id="47"/>
    </w:p>
    <w:p w14:paraId="58AA7EB5">
      <w:pPr>
        <w:ind w:firstLine="640" w:firstLineChars="200"/>
        <w:jc w:val="both"/>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7F3CAEE3">
      <w:pPr>
        <w:ind w:firstLine="640" w:firstLineChars="200"/>
        <w:jc w:val="both"/>
        <w:rPr>
          <w:rFonts w:hint="default" w:ascii="Times New Roman" w:hAnsi="Times New Roman" w:eastAsia="仿宋_GB2312" w:cs="Times New Roman"/>
          <w:sz w:val="32"/>
          <w:szCs w:val="32"/>
        </w:rPr>
      </w:pPr>
    </w:p>
    <w:p w14:paraId="7FF9E7E2">
      <w:pPr>
        <w:ind w:firstLine="640" w:firstLineChars="200"/>
        <w:jc w:val="both"/>
        <w:outlineLvl w:val="1"/>
        <w:rPr>
          <w:rFonts w:hint="default" w:ascii="Times New Roman" w:hAnsi="Times New Roman" w:eastAsia="黑体" w:cs="Times New Roman"/>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C3989D-255A-47BC-A905-8200658C87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E479E61-4508-453E-8FB0-FF9F728E5CEA}"/>
  </w:font>
  <w:font w:name="方正小标宋_GBK">
    <w:panose1 w:val="02000000000000000000"/>
    <w:charset w:val="86"/>
    <w:family w:val="script"/>
    <w:pitch w:val="default"/>
    <w:sig w:usb0="A00002BF" w:usb1="38CF7CFA" w:usb2="00082016" w:usb3="00000000" w:csb0="00040001" w:csb1="00000000"/>
    <w:embedRegular r:id="rId3" w:fontKey="{0E438F07-0F3C-494B-9F41-2DBD2A6B402A}"/>
  </w:font>
  <w:font w:name="仿宋_GB2312">
    <w:panose1 w:val="02010609030101010101"/>
    <w:charset w:val="86"/>
    <w:family w:val="modern"/>
    <w:pitch w:val="default"/>
    <w:sig w:usb0="00000001" w:usb1="080E0000" w:usb2="00000000" w:usb3="00000000" w:csb0="00040000" w:csb1="00000000"/>
    <w:embedRegular r:id="rId4" w:fontKey="{869D479C-9AFD-4BCA-B09D-09548085FE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3EB3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7D27C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07D27C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B827BF"/>
    <w:rsid w:val="00032352"/>
    <w:rsid w:val="001E03DC"/>
    <w:rsid w:val="00213C59"/>
    <w:rsid w:val="00302281"/>
    <w:rsid w:val="003210CE"/>
    <w:rsid w:val="00335CFA"/>
    <w:rsid w:val="00473832"/>
    <w:rsid w:val="00737174"/>
    <w:rsid w:val="00745C58"/>
    <w:rsid w:val="00841012"/>
    <w:rsid w:val="008B649E"/>
    <w:rsid w:val="00B70D59"/>
    <w:rsid w:val="00B827BF"/>
    <w:rsid w:val="00DE1627"/>
    <w:rsid w:val="00F52A8D"/>
    <w:rsid w:val="019404F8"/>
    <w:rsid w:val="02BD3108"/>
    <w:rsid w:val="02F73D26"/>
    <w:rsid w:val="034D4FEF"/>
    <w:rsid w:val="035D1785"/>
    <w:rsid w:val="03873A3D"/>
    <w:rsid w:val="039F47CE"/>
    <w:rsid w:val="03E05CE8"/>
    <w:rsid w:val="03F973EE"/>
    <w:rsid w:val="043E5B56"/>
    <w:rsid w:val="04C04386"/>
    <w:rsid w:val="04FA68C4"/>
    <w:rsid w:val="053F5AE6"/>
    <w:rsid w:val="057C0B0F"/>
    <w:rsid w:val="05EF4B48"/>
    <w:rsid w:val="05F76ECA"/>
    <w:rsid w:val="06792773"/>
    <w:rsid w:val="07093795"/>
    <w:rsid w:val="077F3F8B"/>
    <w:rsid w:val="07804730"/>
    <w:rsid w:val="079052BE"/>
    <w:rsid w:val="08145C21"/>
    <w:rsid w:val="08422688"/>
    <w:rsid w:val="085854ED"/>
    <w:rsid w:val="085D4DC4"/>
    <w:rsid w:val="0879188F"/>
    <w:rsid w:val="08A0354D"/>
    <w:rsid w:val="08AE0673"/>
    <w:rsid w:val="08CD4C49"/>
    <w:rsid w:val="09114954"/>
    <w:rsid w:val="095A5B83"/>
    <w:rsid w:val="096466E3"/>
    <w:rsid w:val="0968304D"/>
    <w:rsid w:val="09AF3D17"/>
    <w:rsid w:val="0A5B21D7"/>
    <w:rsid w:val="0A7809B7"/>
    <w:rsid w:val="0A7B4867"/>
    <w:rsid w:val="0A840954"/>
    <w:rsid w:val="0A9928ED"/>
    <w:rsid w:val="0B61769D"/>
    <w:rsid w:val="0B8C3ECC"/>
    <w:rsid w:val="0B9C639D"/>
    <w:rsid w:val="0BB052B2"/>
    <w:rsid w:val="0BD33FFC"/>
    <w:rsid w:val="0BE97AC1"/>
    <w:rsid w:val="0C1C4780"/>
    <w:rsid w:val="0C3613A3"/>
    <w:rsid w:val="0C463C24"/>
    <w:rsid w:val="0C5E519C"/>
    <w:rsid w:val="0C7227A7"/>
    <w:rsid w:val="0CA52EE8"/>
    <w:rsid w:val="0CBD6988"/>
    <w:rsid w:val="0CD208AC"/>
    <w:rsid w:val="0D4903E8"/>
    <w:rsid w:val="0D7A4A46"/>
    <w:rsid w:val="0E640559"/>
    <w:rsid w:val="0F033B2E"/>
    <w:rsid w:val="0F1113DA"/>
    <w:rsid w:val="0F78534A"/>
    <w:rsid w:val="0F89358A"/>
    <w:rsid w:val="0F8C6D51"/>
    <w:rsid w:val="105B0B5E"/>
    <w:rsid w:val="112E58D0"/>
    <w:rsid w:val="116B5B70"/>
    <w:rsid w:val="11731CAC"/>
    <w:rsid w:val="119500A0"/>
    <w:rsid w:val="11C0733B"/>
    <w:rsid w:val="11D50D17"/>
    <w:rsid w:val="120E0809"/>
    <w:rsid w:val="127F665A"/>
    <w:rsid w:val="12F7068C"/>
    <w:rsid w:val="13677CAE"/>
    <w:rsid w:val="14207DC0"/>
    <w:rsid w:val="14711EC2"/>
    <w:rsid w:val="148B3C5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6C1ADD"/>
    <w:rsid w:val="2E891204"/>
    <w:rsid w:val="2F3F0A28"/>
    <w:rsid w:val="2FBF7029"/>
    <w:rsid w:val="2FD0187F"/>
    <w:rsid w:val="2FD27414"/>
    <w:rsid w:val="2FFE4BB0"/>
    <w:rsid w:val="300E7B60"/>
    <w:rsid w:val="300F6E18"/>
    <w:rsid w:val="30862F5F"/>
    <w:rsid w:val="314029C9"/>
    <w:rsid w:val="31C63837"/>
    <w:rsid w:val="31C82E39"/>
    <w:rsid w:val="320661F5"/>
    <w:rsid w:val="32601BAD"/>
    <w:rsid w:val="329F6389"/>
    <w:rsid w:val="3389023A"/>
    <w:rsid w:val="33CB74FA"/>
    <w:rsid w:val="343642F2"/>
    <w:rsid w:val="343F3010"/>
    <w:rsid w:val="345D0A00"/>
    <w:rsid w:val="34713BFD"/>
    <w:rsid w:val="34C13589"/>
    <w:rsid w:val="353369E3"/>
    <w:rsid w:val="35E00D72"/>
    <w:rsid w:val="360B022A"/>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02745B"/>
    <w:rsid w:val="4C200F7A"/>
    <w:rsid w:val="4CEE3180"/>
    <w:rsid w:val="4D0F4AF6"/>
    <w:rsid w:val="4DF94F37"/>
    <w:rsid w:val="4E0A1DD5"/>
    <w:rsid w:val="4E3160E5"/>
    <w:rsid w:val="4E4D37AF"/>
    <w:rsid w:val="4E8C6496"/>
    <w:rsid w:val="4EFD18DE"/>
    <w:rsid w:val="4F144236"/>
    <w:rsid w:val="4F663C87"/>
    <w:rsid w:val="4F7E29A8"/>
    <w:rsid w:val="4F9E1FFC"/>
    <w:rsid w:val="4FBA375D"/>
    <w:rsid w:val="50447CC2"/>
    <w:rsid w:val="504F1D2D"/>
    <w:rsid w:val="50874A7C"/>
    <w:rsid w:val="50895EE7"/>
    <w:rsid w:val="50921B9D"/>
    <w:rsid w:val="50D16158"/>
    <w:rsid w:val="50DB5F45"/>
    <w:rsid w:val="51025EB1"/>
    <w:rsid w:val="51141503"/>
    <w:rsid w:val="517F47CE"/>
    <w:rsid w:val="518D0ED5"/>
    <w:rsid w:val="525C687F"/>
    <w:rsid w:val="52F647F7"/>
    <w:rsid w:val="52F92565"/>
    <w:rsid w:val="53D03877"/>
    <w:rsid w:val="540006A2"/>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5E14DB"/>
    <w:rsid w:val="5BD456CE"/>
    <w:rsid w:val="5C0D1F49"/>
    <w:rsid w:val="5C501270"/>
    <w:rsid w:val="5C9103CC"/>
    <w:rsid w:val="5CBB0CE2"/>
    <w:rsid w:val="5CC17177"/>
    <w:rsid w:val="5CF306BC"/>
    <w:rsid w:val="5D3F3D64"/>
    <w:rsid w:val="5D833043"/>
    <w:rsid w:val="5DD92690"/>
    <w:rsid w:val="5DDB1CFD"/>
    <w:rsid w:val="5E7E6D93"/>
    <w:rsid w:val="5ED44800"/>
    <w:rsid w:val="5F2D33BC"/>
    <w:rsid w:val="5F350BDE"/>
    <w:rsid w:val="5F403155"/>
    <w:rsid w:val="5F61632C"/>
    <w:rsid w:val="5FA17648"/>
    <w:rsid w:val="5FE705CB"/>
    <w:rsid w:val="600E0106"/>
    <w:rsid w:val="603D5080"/>
    <w:rsid w:val="605373A6"/>
    <w:rsid w:val="60D0261B"/>
    <w:rsid w:val="618E3791"/>
    <w:rsid w:val="61947DCA"/>
    <w:rsid w:val="61A46A97"/>
    <w:rsid w:val="61D1382F"/>
    <w:rsid w:val="61F114A2"/>
    <w:rsid w:val="62512BB4"/>
    <w:rsid w:val="625D7D1A"/>
    <w:rsid w:val="62DD7D21"/>
    <w:rsid w:val="637D586B"/>
    <w:rsid w:val="63A5560B"/>
    <w:rsid w:val="63E5521E"/>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9F94D40"/>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C84FC4"/>
    <w:rsid w:val="7111480F"/>
    <w:rsid w:val="71261F49"/>
    <w:rsid w:val="712E6956"/>
    <w:rsid w:val="71473612"/>
    <w:rsid w:val="71504F32"/>
    <w:rsid w:val="7152309F"/>
    <w:rsid w:val="718F7F65"/>
    <w:rsid w:val="71A80C8B"/>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9D3BC9"/>
    <w:rsid w:val="75AE242F"/>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AF35362"/>
    <w:rsid w:val="7B1A7159"/>
    <w:rsid w:val="7C7248A0"/>
    <w:rsid w:val="7C976D69"/>
    <w:rsid w:val="7CD752DA"/>
    <w:rsid w:val="7CDE40AB"/>
    <w:rsid w:val="7CF057E2"/>
    <w:rsid w:val="7D1548B5"/>
    <w:rsid w:val="7DF84014"/>
    <w:rsid w:val="7E207949"/>
    <w:rsid w:val="7E5C0A47"/>
    <w:rsid w:val="7E670C75"/>
    <w:rsid w:val="7EE24272"/>
    <w:rsid w:val="7EEA6053"/>
    <w:rsid w:val="7F211349"/>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5333</Words>
  <Characters>5934</Characters>
  <Lines>46</Lines>
  <Paragraphs>13</Paragraphs>
  <TotalTime>1</TotalTime>
  <ScaleCrop>false</ScaleCrop>
  <LinksUpToDate>false</LinksUpToDate>
  <CharactersWithSpaces>5944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2024-08-19T10:35:00Z</cp:lastPrinted>
  <dcterms:modified xsi:type="dcterms:W3CDTF">2024-10-21T03:56:48Z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3CCD03C63C5645B0B69D2DD85988700E_13</vt:lpwstr>
  </property>
</Properties>
</file>