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B5844">
      <w:pPr>
        <w:rPr>
          <w:rFonts w:eastAsia="黑体"/>
          <w:sz w:val="32"/>
          <w:szCs w:val="32"/>
        </w:rPr>
      </w:pPr>
    </w:p>
    <w:p w14:paraId="0BA7B1A4">
      <w:pPr>
        <w:jc w:val="center"/>
        <w:rPr>
          <w:rFonts w:eastAsia="方正小标宋_GBK"/>
          <w:sz w:val="44"/>
          <w:szCs w:val="44"/>
        </w:rPr>
      </w:pPr>
    </w:p>
    <w:p w14:paraId="700B37D5">
      <w:pPr>
        <w:jc w:val="center"/>
        <w:rPr>
          <w:rFonts w:eastAsia="方正小标宋_GBK"/>
          <w:sz w:val="44"/>
          <w:szCs w:val="44"/>
        </w:rPr>
      </w:pPr>
      <w:r>
        <w:rPr>
          <w:rFonts w:eastAsia="方正小标宋_GBK"/>
          <w:sz w:val="44"/>
          <w:szCs w:val="44"/>
        </w:rPr>
        <w:t>新疆维吾尔自治区卫生健康委员会</w:t>
      </w:r>
    </w:p>
    <w:p w14:paraId="6B03195A">
      <w:pPr>
        <w:jc w:val="center"/>
        <w:rPr>
          <w:rFonts w:eastAsia="方正小标宋_GBK"/>
          <w:sz w:val="44"/>
          <w:szCs w:val="44"/>
        </w:rPr>
      </w:pPr>
      <w:r>
        <w:rPr>
          <w:rFonts w:eastAsia="方正小标宋_GBK"/>
          <w:sz w:val="44"/>
          <w:szCs w:val="44"/>
        </w:rPr>
        <w:t>2023年度部门决算</w:t>
      </w:r>
    </w:p>
    <w:p w14:paraId="6BBEC271">
      <w:pPr>
        <w:jc w:val="center"/>
        <w:rPr>
          <w:rFonts w:eastAsia="方正小标宋_GBK"/>
          <w:sz w:val="44"/>
          <w:szCs w:val="44"/>
        </w:rPr>
      </w:pPr>
      <w:r>
        <w:rPr>
          <w:rFonts w:eastAsia="方正小标宋_GBK"/>
          <w:sz w:val="44"/>
          <w:szCs w:val="44"/>
        </w:rPr>
        <w:t>公开说明</w:t>
      </w:r>
    </w:p>
    <w:p w14:paraId="2442A192">
      <w:pPr>
        <w:rPr>
          <w:rFonts w:eastAsia="方正小标宋_GBK"/>
          <w:sz w:val="44"/>
          <w:szCs w:val="44"/>
        </w:rPr>
      </w:pPr>
      <w:r>
        <w:rPr>
          <w:rFonts w:eastAsia="方正小标宋_GBK"/>
          <w:sz w:val="44"/>
          <w:szCs w:val="44"/>
        </w:rPr>
        <w:br w:type="page"/>
      </w:r>
    </w:p>
    <w:p w14:paraId="1F0239CA">
      <w:pPr>
        <w:jc w:val="center"/>
        <w:rPr>
          <w:rFonts w:eastAsia="仿宋_GB2312"/>
          <w:bCs/>
          <w:kern w:val="0"/>
          <w:sz w:val="32"/>
          <w:szCs w:val="32"/>
        </w:rPr>
      </w:pPr>
      <w:r>
        <w:rPr>
          <w:rFonts w:eastAsia="仿宋_GB2312"/>
          <w:b/>
          <w:kern w:val="0"/>
          <w:sz w:val="36"/>
          <w:szCs w:val="36"/>
        </w:rPr>
        <w:t>目录</w:t>
      </w:r>
    </w:p>
    <w:p w14:paraId="5A4D0B78">
      <w:pPr>
        <w:pStyle w:val="7"/>
        <w:tabs>
          <w:tab w:val="right" w:pos="8306"/>
        </w:tabs>
        <w:rPr>
          <w:rFonts w:eastAsia="仿宋_GB2312"/>
          <w:b/>
          <w:bCs/>
          <w:sz w:val="32"/>
          <w:szCs w:val="32"/>
        </w:rPr>
      </w:pPr>
      <w:r>
        <w:rPr>
          <w:rFonts w:eastAsia="仿宋_GB2312"/>
          <w:sz w:val="32"/>
          <w:szCs w:val="32"/>
        </w:rPr>
        <w:fldChar w:fldCharType="begin"/>
      </w:r>
      <w:r>
        <w:rPr>
          <w:rFonts w:eastAsia="仿宋_GB2312"/>
          <w:sz w:val="32"/>
          <w:szCs w:val="32"/>
        </w:rPr>
        <w:instrText xml:space="preserve">TOC \o "1-3" \n  \h \u </w:instrText>
      </w:r>
      <w:r>
        <w:rPr>
          <w:rFonts w:eastAsia="仿宋_GB2312"/>
          <w:sz w:val="32"/>
          <w:szCs w:val="32"/>
        </w:rPr>
        <w:fldChar w:fldCharType="separate"/>
      </w:r>
      <w:r>
        <w:fldChar w:fldCharType="begin"/>
      </w:r>
      <w:r>
        <w:instrText xml:space="preserve"> HYPERLINK \l "_Toc32314" </w:instrText>
      </w:r>
      <w:r>
        <w:fldChar w:fldCharType="separate"/>
      </w:r>
      <w:r>
        <w:rPr>
          <w:rFonts w:eastAsia="仿宋_GB2312"/>
          <w:b/>
          <w:bCs/>
          <w:sz w:val="32"/>
          <w:szCs w:val="32"/>
        </w:rPr>
        <w:t>第一部分单位概况</w:t>
      </w:r>
      <w:r>
        <w:rPr>
          <w:rFonts w:eastAsia="仿宋_GB2312"/>
          <w:b/>
          <w:bCs/>
          <w:sz w:val="32"/>
          <w:szCs w:val="32"/>
        </w:rPr>
        <w:fldChar w:fldCharType="end"/>
      </w:r>
    </w:p>
    <w:p w14:paraId="492B78D7">
      <w:pPr>
        <w:pStyle w:val="8"/>
        <w:tabs>
          <w:tab w:val="right" w:pos="8306"/>
        </w:tabs>
        <w:ind w:left="0" w:leftChars="0"/>
        <w:rPr>
          <w:rFonts w:eastAsia="仿宋_GB2312"/>
          <w:sz w:val="32"/>
          <w:szCs w:val="32"/>
        </w:rPr>
      </w:pPr>
      <w:r>
        <w:fldChar w:fldCharType="begin"/>
      </w:r>
      <w:r>
        <w:instrText xml:space="preserve"> HYPERLINK \l "_Toc30567" </w:instrText>
      </w:r>
      <w:r>
        <w:fldChar w:fldCharType="separate"/>
      </w:r>
      <w:r>
        <w:rPr>
          <w:rFonts w:eastAsia="仿宋_GB2312"/>
          <w:bCs/>
          <w:kern w:val="0"/>
          <w:sz w:val="32"/>
          <w:szCs w:val="32"/>
        </w:rPr>
        <w:t>一、主要职能</w:t>
      </w:r>
      <w:r>
        <w:rPr>
          <w:rFonts w:eastAsia="仿宋_GB2312"/>
          <w:bCs/>
          <w:kern w:val="0"/>
          <w:sz w:val="32"/>
          <w:szCs w:val="32"/>
        </w:rPr>
        <w:fldChar w:fldCharType="end"/>
      </w:r>
    </w:p>
    <w:p w14:paraId="2D304A22">
      <w:pPr>
        <w:pStyle w:val="8"/>
        <w:tabs>
          <w:tab w:val="right" w:pos="8306"/>
        </w:tabs>
        <w:ind w:left="0" w:leftChars="0"/>
        <w:rPr>
          <w:rFonts w:eastAsia="仿宋_GB2312"/>
          <w:sz w:val="32"/>
          <w:szCs w:val="32"/>
        </w:rPr>
      </w:pPr>
      <w:r>
        <w:fldChar w:fldCharType="begin"/>
      </w:r>
      <w:r>
        <w:instrText xml:space="preserve"> HYPERLINK \l "_Toc2151" </w:instrText>
      </w:r>
      <w:r>
        <w:fldChar w:fldCharType="separate"/>
      </w:r>
      <w:r>
        <w:rPr>
          <w:rFonts w:eastAsia="仿宋_GB2312"/>
          <w:bCs/>
          <w:kern w:val="0"/>
          <w:sz w:val="32"/>
          <w:szCs w:val="32"/>
        </w:rPr>
        <w:t>二、机构设置及人员情况</w:t>
      </w:r>
      <w:r>
        <w:rPr>
          <w:rFonts w:eastAsia="仿宋_GB2312"/>
          <w:bCs/>
          <w:kern w:val="0"/>
          <w:sz w:val="32"/>
          <w:szCs w:val="32"/>
        </w:rPr>
        <w:fldChar w:fldCharType="end"/>
      </w:r>
    </w:p>
    <w:p w14:paraId="68885895">
      <w:pPr>
        <w:pStyle w:val="7"/>
        <w:tabs>
          <w:tab w:val="right" w:pos="8306"/>
        </w:tabs>
        <w:rPr>
          <w:rFonts w:eastAsia="仿宋_GB2312"/>
          <w:b/>
          <w:bCs/>
          <w:sz w:val="32"/>
          <w:szCs w:val="32"/>
        </w:rPr>
      </w:pPr>
      <w:r>
        <w:fldChar w:fldCharType="begin"/>
      </w:r>
      <w:r>
        <w:instrText xml:space="preserve"> HYPERLINK \l "_Toc29374" </w:instrText>
      </w:r>
      <w:r>
        <w:fldChar w:fldCharType="separate"/>
      </w:r>
      <w:r>
        <w:rPr>
          <w:rFonts w:eastAsia="仿宋_GB2312"/>
          <w:b/>
          <w:bCs/>
          <w:sz w:val="32"/>
          <w:szCs w:val="32"/>
        </w:rPr>
        <w:t>第二部分部门决算情况说明</w:t>
      </w:r>
      <w:r>
        <w:rPr>
          <w:rFonts w:eastAsia="仿宋_GB2312"/>
          <w:b/>
          <w:bCs/>
          <w:sz w:val="32"/>
          <w:szCs w:val="32"/>
        </w:rPr>
        <w:fldChar w:fldCharType="end"/>
      </w:r>
    </w:p>
    <w:p w14:paraId="03A72011">
      <w:pPr>
        <w:pStyle w:val="8"/>
        <w:tabs>
          <w:tab w:val="right" w:pos="8306"/>
        </w:tabs>
        <w:ind w:left="0" w:leftChars="0"/>
        <w:rPr>
          <w:rFonts w:eastAsia="仿宋_GB2312"/>
          <w:sz w:val="32"/>
          <w:szCs w:val="32"/>
        </w:rPr>
      </w:pPr>
      <w:r>
        <w:fldChar w:fldCharType="begin"/>
      </w:r>
      <w:r>
        <w:instrText xml:space="preserve"> HYPERLINK \l "_Toc25314" </w:instrText>
      </w:r>
      <w:r>
        <w:fldChar w:fldCharType="separate"/>
      </w:r>
      <w:r>
        <w:rPr>
          <w:rFonts w:eastAsia="仿宋_GB2312"/>
          <w:bCs/>
          <w:kern w:val="0"/>
          <w:sz w:val="32"/>
          <w:szCs w:val="32"/>
        </w:rPr>
        <w:t>一、收入支出决算总体情况说明</w:t>
      </w:r>
      <w:r>
        <w:rPr>
          <w:rFonts w:eastAsia="仿宋_GB2312"/>
          <w:bCs/>
          <w:kern w:val="0"/>
          <w:sz w:val="32"/>
          <w:szCs w:val="32"/>
        </w:rPr>
        <w:fldChar w:fldCharType="end"/>
      </w:r>
    </w:p>
    <w:p w14:paraId="37C2396A">
      <w:pPr>
        <w:pStyle w:val="8"/>
        <w:tabs>
          <w:tab w:val="right" w:pos="8306"/>
        </w:tabs>
        <w:ind w:left="0" w:leftChars="0"/>
        <w:rPr>
          <w:rFonts w:eastAsia="仿宋_GB2312"/>
          <w:sz w:val="32"/>
          <w:szCs w:val="32"/>
        </w:rPr>
      </w:pPr>
      <w:r>
        <w:fldChar w:fldCharType="begin"/>
      </w:r>
      <w:r>
        <w:instrText xml:space="preserve"> HYPERLINK \l "_Toc12142" </w:instrText>
      </w:r>
      <w:r>
        <w:fldChar w:fldCharType="separate"/>
      </w:r>
      <w:r>
        <w:rPr>
          <w:rFonts w:eastAsia="仿宋_GB2312"/>
          <w:bCs/>
          <w:kern w:val="0"/>
          <w:sz w:val="32"/>
          <w:szCs w:val="32"/>
        </w:rPr>
        <w:t>二、收入决算情况说明</w:t>
      </w:r>
      <w:r>
        <w:rPr>
          <w:rFonts w:eastAsia="仿宋_GB2312"/>
          <w:bCs/>
          <w:kern w:val="0"/>
          <w:sz w:val="32"/>
          <w:szCs w:val="32"/>
        </w:rPr>
        <w:fldChar w:fldCharType="end"/>
      </w:r>
    </w:p>
    <w:p w14:paraId="79636FD6">
      <w:pPr>
        <w:pStyle w:val="8"/>
        <w:tabs>
          <w:tab w:val="right" w:pos="8306"/>
        </w:tabs>
        <w:ind w:left="0" w:leftChars="0"/>
        <w:rPr>
          <w:rFonts w:eastAsia="仿宋_GB2312"/>
          <w:sz w:val="32"/>
          <w:szCs w:val="32"/>
        </w:rPr>
      </w:pPr>
      <w:r>
        <w:fldChar w:fldCharType="begin"/>
      </w:r>
      <w:r>
        <w:instrText xml:space="preserve"> HYPERLINK \l "_Toc13201" </w:instrText>
      </w:r>
      <w:r>
        <w:fldChar w:fldCharType="separate"/>
      </w:r>
      <w:r>
        <w:rPr>
          <w:rFonts w:eastAsia="仿宋_GB2312"/>
          <w:bCs/>
          <w:kern w:val="0"/>
          <w:sz w:val="32"/>
          <w:szCs w:val="32"/>
        </w:rPr>
        <w:t>三、支出决算情况说明</w:t>
      </w:r>
      <w:r>
        <w:rPr>
          <w:rFonts w:eastAsia="仿宋_GB2312"/>
          <w:bCs/>
          <w:kern w:val="0"/>
          <w:sz w:val="32"/>
          <w:szCs w:val="32"/>
        </w:rPr>
        <w:fldChar w:fldCharType="end"/>
      </w:r>
    </w:p>
    <w:p w14:paraId="54E19AD3">
      <w:pPr>
        <w:pStyle w:val="8"/>
        <w:tabs>
          <w:tab w:val="right" w:pos="8306"/>
        </w:tabs>
        <w:ind w:left="0" w:leftChars="0"/>
        <w:rPr>
          <w:rFonts w:eastAsia="仿宋_GB2312"/>
          <w:sz w:val="32"/>
          <w:szCs w:val="32"/>
        </w:rPr>
      </w:pPr>
      <w:r>
        <w:fldChar w:fldCharType="begin"/>
      </w:r>
      <w:r>
        <w:instrText xml:space="preserve"> HYPERLINK \l "_Toc26564" </w:instrText>
      </w:r>
      <w:r>
        <w:fldChar w:fldCharType="separate"/>
      </w:r>
      <w:r>
        <w:rPr>
          <w:rFonts w:eastAsia="仿宋_GB2312"/>
          <w:bCs/>
          <w:kern w:val="0"/>
          <w:sz w:val="32"/>
          <w:szCs w:val="32"/>
        </w:rPr>
        <w:t>四、财政拨款收入支出决算总体情况说明</w:t>
      </w:r>
      <w:r>
        <w:rPr>
          <w:rFonts w:eastAsia="仿宋_GB2312"/>
          <w:bCs/>
          <w:kern w:val="0"/>
          <w:sz w:val="32"/>
          <w:szCs w:val="32"/>
        </w:rPr>
        <w:fldChar w:fldCharType="end"/>
      </w:r>
    </w:p>
    <w:p w14:paraId="14C47E64">
      <w:pPr>
        <w:pStyle w:val="8"/>
        <w:tabs>
          <w:tab w:val="right" w:pos="8306"/>
        </w:tabs>
        <w:ind w:left="0" w:leftChars="0"/>
        <w:rPr>
          <w:rFonts w:eastAsia="仿宋_GB2312"/>
          <w:sz w:val="32"/>
          <w:szCs w:val="32"/>
        </w:rPr>
      </w:pPr>
      <w:r>
        <w:fldChar w:fldCharType="begin"/>
      </w:r>
      <w:r>
        <w:instrText xml:space="preserve"> HYPERLINK \l "_Toc20360" </w:instrText>
      </w:r>
      <w:r>
        <w:fldChar w:fldCharType="separate"/>
      </w:r>
      <w:r>
        <w:rPr>
          <w:rFonts w:eastAsia="仿宋_GB2312"/>
          <w:bCs/>
          <w:kern w:val="0"/>
          <w:sz w:val="32"/>
          <w:szCs w:val="32"/>
        </w:rPr>
        <w:t>五、一般公共预算财政拨款支出决算情况说明</w:t>
      </w:r>
      <w:r>
        <w:rPr>
          <w:rFonts w:eastAsia="仿宋_GB2312"/>
          <w:bCs/>
          <w:kern w:val="0"/>
          <w:sz w:val="32"/>
          <w:szCs w:val="32"/>
        </w:rPr>
        <w:fldChar w:fldCharType="end"/>
      </w:r>
    </w:p>
    <w:p w14:paraId="20DDBA97">
      <w:pPr>
        <w:pStyle w:val="8"/>
        <w:tabs>
          <w:tab w:val="right" w:pos="8306"/>
        </w:tabs>
        <w:ind w:left="0" w:leftChars="0"/>
        <w:rPr>
          <w:rFonts w:eastAsia="仿宋_GB2312"/>
          <w:sz w:val="32"/>
          <w:szCs w:val="32"/>
        </w:rPr>
      </w:pPr>
      <w:r>
        <w:fldChar w:fldCharType="begin"/>
      </w:r>
      <w:r>
        <w:instrText xml:space="preserve"> HYPERLINK \l "_Toc30870" </w:instrText>
      </w:r>
      <w:r>
        <w:fldChar w:fldCharType="separate"/>
      </w:r>
      <w:r>
        <w:rPr>
          <w:rFonts w:eastAsia="仿宋_GB2312"/>
          <w:bCs/>
          <w:kern w:val="0"/>
          <w:sz w:val="32"/>
          <w:szCs w:val="32"/>
        </w:rPr>
        <w:t>六、一般公共预算财政拨款基本支出决算情况说明</w:t>
      </w:r>
      <w:r>
        <w:rPr>
          <w:rFonts w:eastAsia="仿宋_GB2312"/>
          <w:bCs/>
          <w:kern w:val="0"/>
          <w:sz w:val="32"/>
          <w:szCs w:val="32"/>
        </w:rPr>
        <w:fldChar w:fldCharType="end"/>
      </w:r>
    </w:p>
    <w:p w14:paraId="65850EC1">
      <w:pPr>
        <w:pStyle w:val="8"/>
        <w:tabs>
          <w:tab w:val="right" w:pos="8306"/>
        </w:tabs>
        <w:ind w:left="0" w:leftChars="0"/>
        <w:rPr>
          <w:rFonts w:eastAsia="仿宋_GB2312"/>
          <w:sz w:val="32"/>
          <w:szCs w:val="32"/>
        </w:rPr>
      </w:pPr>
      <w:r>
        <w:fldChar w:fldCharType="begin"/>
      </w:r>
      <w:r>
        <w:instrText xml:space="preserve"> HYPERLINK \l "_Toc21518" </w:instrText>
      </w:r>
      <w:r>
        <w:fldChar w:fldCharType="separate"/>
      </w:r>
      <w:r>
        <w:rPr>
          <w:rFonts w:eastAsia="仿宋_GB2312"/>
          <w:bCs/>
          <w:kern w:val="0"/>
          <w:sz w:val="32"/>
          <w:szCs w:val="32"/>
        </w:rPr>
        <w:t>七、财政拨款“三公”经费支出决算情况说明</w:t>
      </w:r>
      <w:r>
        <w:rPr>
          <w:rFonts w:eastAsia="仿宋_GB2312"/>
          <w:bCs/>
          <w:kern w:val="0"/>
          <w:sz w:val="32"/>
          <w:szCs w:val="32"/>
        </w:rPr>
        <w:fldChar w:fldCharType="end"/>
      </w:r>
    </w:p>
    <w:p w14:paraId="5C8E446B">
      <w:pPr>
        <w:pStyle w:val="8"/>
        <w:tabs>
          <w:tab w:val="right" w:pos="8306"/>
        </w:tabs>
        <w:ind w:left="0" w:leftChars="0"/>
        <w:rPr>
          <w:rFonts w:eastAsia="仿宋_GB2312"/>
          <w:sz w:val="32"/>
          <w:szCs w:val="32"/>
        </w:rPr>
      </w:pPr>
      <w:r>
        <w:fldChar w:fldCharType="begin"/>
      </w:r>
      <w:r>
        <w:instrText xml:space="preserve"> HYPERLINK \l "_Toc5810" </w:instrText>
      </w:r>
      <w:r>
        <w:fldChar w:fldCharType="separate"/>
      </w:r>
      <w:r>
        <w:rPr>
          <w:rFonts w:eastAsia="仿宋_GB2312"/>
          <w:bCs/>
          <w:kern w:val="0"/>
          <w:sz w:val="32"/>
          <w:szCs w:val="32"/>
        </w:rPr>
        <w:t>八、政府性基金预算财政拨款收入支出决算情况说明</w:t>
      </w:r>
      <w:r>
        <w:rPr>
          <w:rFonts w:eastAsia="仿宋_GB2312"/>
          <w:bCs/>
          <w:kern w:val="0"/>
          <w:sz w:val="32"/>
          <w:szCs w:val="32"/>
        </w:rPr>
        <w:fldChar w:fldCharType="end"/>
      </w:r>
    </w:p>
    <w:p w14:paraId="27B2A569">
      <w:r>
        <w:fldChar w:fldCharType="begin"/>
      </w:r>
      <w:r>
        <w:instrText xml:space="preserve"> HYPERLINK \l "_Toc5810" </w:instrText>
      </w:r>
      <w:r>
        <w:fldChar w:fldCharType="separate"/>
      </w:r>
      <w:r>
        <w:rPr>
          <w:rFonts w:eastAsia="仿宋_GB2312"/>
          <w:bCs/>
          <w:kern w:val="0"/>
          <w:sz w:val="32"/>
          <w:szCs w:val="32"/>
        </w:rPr>
        <w:t>九、国有资本经营预算财政拨款收入支出决算情况说明</w:t>
      </w:r>
      <w:r>
        <w:rPr>
          <w:rFonts w:eastAsia="仿宋_GB2312"/>
          <w:bCs/>
          <w:kern w:val="0"/>
          <w:sz w:val="32"/>
          <w:szCs w:val="32"/>
        </w:rPr>
        <w:fldChar w:fldCharType="end"/>
      </w:r>
    </w:p>
    <w:p w14:paraId="68192C66">
      <w:pPr>
        <w:pStyle w:val="8"/>
        <w:tabs>
          <w:tab w:val="right" w:pos="8306"/>
        </w:tabs>
        <w:ind w:left="0" w:leftChars="0"/>
        <w:rPr>
          <w:rFonts w:eastAsia="仿宋_GB2312"/>
          <w:sz w:val="32"/>
          <w:szCs w:val="32"/>
        </w:rPr>
      </w:pPr>
      <w:r>
        <w:fldChar w:fldCharType="begin"/>
      </w:r>
      <w:r>
        <w:instrText xml:space="preserve"> HYPERLINK \l "_Toc1235" </w:instrText>
      </w:r>
      <w:r>
        <w:fldChar w:fldCharType="separate"/>
      </w:r>
      <w:r>
        <w:rPr>
          <w:rFonts w:eastAsia="仿宋_GB2312"/>
          <w:sz w:val="32"/>
          <w:szCs w:val="32"/>
        </w:rPr>
        <w:t>十</w:t>
      </w:r>
      <w:r>
        <w:rPr>
          <w:rFonts w:eastAsia="仿宋_GB2312"/>
          <w:bCs/>
          <w:kern w:val="0"/>
          <w:sz w:val="32"/>
          <w:szCs w:val="32"/>
        </w:rPr>
        <w:t>、其他重要事项的情况说明</w:t>
      </w:r>
      <w:r>
        <w:rPr>
          <w:rFonts w:eastAsia="仿宋_GB2312"/>
          <w:bCs/>
          <w:kern w:val="0"/>
          <w:sz w:val="32"/>
          <w:szCs w:val="32"/>
        </w:rPr>
        <w:fldChar w:fldCharType="end"/>
      </w:r>
    </w:p>
    <w:p w14:paraId="02C3D7B7">
      <w:pPr>
        <w:pStyle w:val="4"/>
        <w:tabs>
          <w:tab w:val="right" w:pos="8306"/>
        </w:tabs>
        <w:ind w:left="0" w:leftChars="0"/>
        <w:rPr>
          <w:rFonts w:eastAsia="仿宋_GB2312"/>
          <w:sz w:val="32"/>
          <w:szCs w:val="32"/>
        </w:rPr>
      </w:pPr>
      <w:r>
        <w:fldChar w:fldCharType="begin"/>
      </w:r>
      <w:r>
        <w:instrText xml:space="preserve"> HYPERLINK \l "_Toc14519" </w:instrText>
      </w:r>
      <w:r>
        <w:fldChar w:fldCharType="separate"/>
      </w:r>
      <w:r>
        <w:rPr>
          <w:rFonts w:eastAsia="仿宋_GB2312"/>
          <w:sz w:val="32"/>
          <w:szCs w:val="32"/>
        </w:rPr>
        <w:t>（一）机关运行经费支出情况</w:t>
      </w:r>
      <w:r>
        <w:rPr>
          <w:rFonts w:eastAsia="仿宋_GB2312"/>
          <w:sz w:val="32"/>
          <w:szCs w:val="32"/>
        </w:rPr>
        <w:fldChar w:fldCharType="end"/>
      </w:r>
    </w:p>
    <w:p w14:paraId="2FC05876">
      <w:pPr>
        <w:pStyle w:val="4"/>
        <w:tabs>
          <w:tab w:val="right" w:pos="8306"/>
        </w:tabs>
        <w:ind w:left="0" w:leftChars="0"/>
        <w:rPr>
          <w:rFonts w:eastAsia="仿宋_GB2312"/>
          <w:sz w:val="32"/>
          <w:szCs w:val="32"/>
        </w:rPr>
      </w:pPr>
      <w:r>
        <w:fldChar w:fldCharType="begin"/>
      </w:r>
      <w:r>
        <w:instrText xml:space="preserve"> HYPERLINK \l "_Toc227" </w:instrText>
      </w:r>
      <w:r>
        <w:fldChar w:fldCharType="separate"/>
      </w:r>
      <w:r>
        <w:rPr>
          <w:rFonts w:eastAsia="仿宋_GB2312"/>
          <w:sz w:val="32"/>
          <w:szCs w:val="32"/>
        </w:rPr>
        <w:t>（二）政府采购情况</w:t>
      </w:r>
      <w:r>
        <w:rPr>
          <w:rFonts w:eastAsia="仿宋_GB2312"/>
          <w:sz w:val="32"/>
          <w:szCs w:val="32"/>
        </w:rPr>
        <w:fldChar w:fldCharType="end"/>
      </w:r>
    </w:p>
    <w:p w14:paraId="5E5FB28A">
      <w:pPr>
        <w:pStyle w:val="4"/>
        <w:tabs>
          <w:tab w:val="right" w:pos="8306"/>
        </w:tabs>
        <w:ind w:left="0" w:leftChars="0"/>
        <w:rPr>
          <w:rFonts w:eastAsia="仿宋_GB2312"/>
          <w:sz w:val="32"/>
          <w:szCs w:val="32"/>
        </w:rPr>
      </w:pPr>
      <w:r>
        <w:fldChar w:fldCharType="begin"/>
      </w:r>
      <w:r>
        <w:instrText xml:space="preserve"> HYPERLINK \l "_Toc8391" </w:instrText>
      </w:r>
      <w:r>
        <w:fldChar w:fldCharType="separate"/>
      </w:r>
      <w:r>
        <w:rPr>
          <w:rFonts w:eastAsia="仿宋_GB2312"/>
          <w:sz w:val="32"/>
          <w:szCs w:val="32"/>
        </w:rPr>
        <w:t>（三）国有资产占用情况说明</w:t>
      </w:r>
      <w:r>
        <w:rPr>
          <w:rFonts w:eastAsia="仿宋_GB2312"/>
          <w:sz w:val="32"/>
          <w:szCs w:val="32"/>
        </w:rPr>
        <w:fldChar w:fldCharType="end"/>
      </w:r>
    </w:p>
    <w:p w14:paraId="5883E401">
      <w:pPr>
        <w:pStyle w:val="8"/>
        <w:tabs>
          <w:tab w:val="right" w:pos="8306"/>
        </w:tabs>
        <w:ind w:left="0" w:leftChars="0"/>
        <w:rPr>
          <w:rFonts w:eastAsia="仿宋_GB2312"/>
          <w:sz w:val="32"/>
          <w:szCs w:val="32"/>
        </w:rPr>
      </w:pPr>
      <w:r>
        <w:fldChar w:fldCharType="begin"/>
      </w:r>
      <w:r>
        <w:instrText xml:space="preserve"> HYPERLINK \l "_Toc11283" </w:instrText>
      </w:r>
      <w:r>
        <w:fldChar w:fldCharType="separate"/>
      </w:r>
      <w:r>
        <w:rPr>
          <w:rFonts w:eastAsia="仿宋_GB2312"/>
          <w:bCs/>
          <w:kern w:val="0"/>
          <w:sz w:val="32"/>
          <w:szCs w:val="32"/>
        </w:rPr>
        <w:t>十一、预算绩效的情况说明</w:t>
      </w:r>
      <w:r>
        <w:rPr>
          <w:rFonts w:eastAsia="仿宋_GB2312"/>
          <w:bCs/>
          <w:kern w:val="0"/>
          <w:sz w:val="32"/>
          <w:szCs w:val="32"/>
        </w:rPr>
        <w:fldChar w:fldCharType="end"/>
      </w:r>
    </w:p>
    <w:p w14:paraId="5188A469">
      <w:pPr>
        <w:pStyle w:val="8"/>
        <w:tabs>
          <w:tab w:val="right" w:pos="8306"/>
        </w:tabs>
        <w:ind w:left="0" w:leftChars="0"/>
        <w:rPr>
          <w:rFonts w:eastAsia="仿宋_GB2312"/>
          <w:sz w:val="32"/>
          <w:szCs w:val="32"/>
        </w:rPr>
      </w:pPr>
      <w:r>
        <w:rPr>
          <w:rFonts w:eastAsia="仿宋_GB2312"/>
          <w:sz w:val="32"/>
          <w:szCs w:val="32"/>
        </w:rPr>
        <w:t>十二、其他需说明的事项</w:t>
      </w:r>
    </w:p>
    <w:p w14:paraId="785F4E87">
      <w:pPr>
        <w:pStyle w:val="7"/>
        <w:tabs>
          <w:tab w:val="right" w:pos="8306"/>
        </w:tabs>
        <w:rPr>
          <w:rFonts w:eastAsia="仿宋_GB2312"/>
          <w:b/>
          <w:bCs/>
          <w:sz w:val="32"/>
          <w:szCs w:val="32"/>
        </w:rPr>
      </w:pPr>
      <w:r>
        <w:fldChar w:fldCharType="begin"/>
      </w:r>
      <w:r>
        <w:instrText xml:space="preserve"> HYPERLINK \l "_Toc3250" </w:instrText>
      </w:r>
      <w:r>
        <w:fldChar w:fldCharType="separate"/>
      </w:r>
      <w:r>
        <w:rPr>
          <w:rFonts w:eastAsia="仿宋_GB2312"/>
          <w:b/>
          <w:bCs/>
          <w:sz w:val="32"/>
          <w:szCs w:val="32"/>
        </w:rPr>
        <w:t>第三部分专业名词解释</w:t>
      </w:r>
      <w:r>
        <w:rPr>
          <w:rFonts w:eastAsia="仿宋_GB2312"/>
          <w:b/>
          <w:bCs/>
          <w:sz w:val="32"/>
          <w:szCs w:val="32"/>
        </w:rPr>
        <w:fldChar w:fldCharType="end"/>
      </w:r>
    </w:p>
    <w:p w14:paraId="311F3D31">
      <w:pPr>
        <w:pStyle w:val="7"/>
        <w:tabs>
          <w:tab w:val="right" w:pos="8306"/>
        </w:tabs>
        <w:rPr>
          <w:rFonts w:eastAsia="仿宋_GB2312"/>
          <w:b/>
          <w:bCs/>
          <w:sz w:val="32"/>
          <w:szCs w:val="32"/>
        </w:rPr>
      </w:pPr>
      <w:r>
        <w:fldChar w:fldCharType="begin"/>
      </w:r>
      <w:r>
        <w:instrText xml:space="preserve"> HYPERLINK \l "_Toc22784" </w:instrText>
      </w:r>
      <w:r>
        <w:fldChar w:fldCharType="separate"/>
      </w:r>
      <w:r>
        <w:rPr>
          <w:rFonts w:eastAsia="仿宋_GB2312"/>
          <w:b/>
          <w:bCs/>
          <w:sz w:val="32"/>
          <w:szCs w:val="32"/>
        </w:rPr>
        <w:t>第四部分部门决算报表（见附表）</w:t>
      </w:r>
      <w:r>
        <w:rPr>
          <w:rFonts w:eastAsia="仿宋_GB2312"/>
          <w:b/>
          <w:bCs/>
          <w:sz w:val="32"/>
          <w:szCs w:val="32"/>
        </w:rPr>
        <w:fldChar w:fldCharType="end"/>
      </w:r>
    </w:p>
    <w:p w14:paraId="096B1397">
      <w:pPr>
        <w:pStyle w:val="8"/>
        <w:tabs>
          <w:tab w:val="right" w:pos="8306"/>
        </w:tabs>
        <w:ind w:left="0" w:leftChars="0"/>
        <w:rPr>
          <w:rFonts w:eastAsia="仿宋_GB2312"/>
          <w:sz w:val="32"/>
          <w:szCs w:val="32"/>
        </w:rPr>
      </w:pPr>
      <w:r>
        <w:fldChar w:fldCharType="begin"/>
      </w:r>
      <w:r>
        <w:instrText xml:space="preserve"> HYPERLINK \l "_Toc2183" </w:instrText>
      </w:r>
      <w:r>
        <w:fldChar w:fldCharType="separate"/>
      </w:r>
      <w:r>
        <w:rPr>
          <w:rFonts w:eastAsia="仿宋_GB2312"/>
          <w:bCs/>
          <w:kern w:val="0"/>
          <w:sz w:val="32"/>
          <w:szCs w:val="32"/>
        </w:rPr>
        <w:t>一、《收入支出决算总表》</w:t>
      </w:r>
      <w:r>
        <w:rPr>
          <w:rFonts w:eastAsia="仿宋_GB2312"/>
          <w:bCs/>
          <w:kern w:val="0"/>
          <w:sz w:val="32"/>
          <w:szCs w:val="32"/>
        </w:rPr>
        <w:fldChar w:fldCharType="end"/>
      </w:r>
    </w:p>
    <w:p w14:paraId="4AFC8E30">
      <w:pPr>
        <w:pStyle w:val="8"/>
        <w:tabs>
          <w:tab w:val="right" w:pos="8306"/>
        </w:tabs>
        <w:ind w:left="0" w:leftChars="0"/>
        <w:rPr>
          <w:rFonts w:eastAsia="仿宋_GB2312"/>
          <w:sz w:val="32"/>
          <w:szCs w:val="32"/>
        </w:rPr>
      </w:pPr>
      <w:r>
        <w:fldChar w:fldCharType="begin"/>
      </w:r>
      <w:r>
        <w:instrText xml:space="preserve"> HYPERLINK \l "_Toc24532" </w:instrText>
      </w:r>
      <w:r>
        <w:fldChar w:fldCharType="separate"/>
      </w:r>
      <w:r>
        <w:rPr>
          <w:rFonts w:eastAsia="仿宋_GB2312"/>
          <w:bCs/>
          <w:kern w:val="0"/>
          <w:sz w:val="32"/>
          <w:szCs w:val="32"/>
        </w:rPr>
        <w:t>二、《收入决算表》</w:t>
      </w:r>
      <w:r>
        <w:rPr>
          <w:rFonts w:eastAsia="仿宋_GB2312"/>
          <w:bCs/>
          <w:kern w:val="0"/>
          <w:sz w:val="32"/>
          <w:szCs w:val="32"/>
        </w:rPr>
        <w:fldChar w:fldCharType="end"/>
      </w:r>
    </w:p>
    <w:p w14:paraId="439855F8">
      <w:pPr>
        <w:pStyle w:val="8"/>
        <w:tabs>
          <w:tab w:val="right" w:pos="8306"/>
        </w:tabs>
        <w:ind w:left="0" w:leftChars="0"/>
        <w:rPr>
          <w:rFonts w:eastAsia="仿宋_GB2312"/>
          <w:sz w:val="32"/>
          <w:szCs w:val="32"/>
        </w:rPr>
      </w:pPr>
      <w:r>
        <w:fldChar w:fldCharType="begin"/>
      </w:r>
      <w:r>
        <w:instrText xml:space="preserve"> HYPERLINK \l "_Toc32434" </w:instrText>
      </w:r>
      <w:r>
        <w:fldChar w:fldCharType="separate"/>
      </w:r>
      <w:r>
        <w:rPr>
          <w:rFonts w:eastAsia="仿宋_GB2312"/>
          <w:bCs/>
          <w:kern w:val="0"/>
          <w:sz w:val="32"/>
          <w:szCs w:val="32"/>
        </w:rPr>
        <w:t>三、《支出决算表》</w:t>
      </w:r>
      <w:r>
        <w:rPr>
          <w:rFonts w:eastAsia="仿宋_GB2312"/>
          <w:bCs/>
          <w:kern w:val="0"/>
          <w:sz w:val="32"/>
          <w:szCs w:val="32"/>
        </w:rPr>
        <w:fldChar w:fldCharType="end"/>
      </w:r>
    </w:p>
    <w:p w14:paraId="4804069D">
      <w:pPr>
        <w:pStyle w:val="8"/>
        <w:tabs>
          <w:tab w:val="right" w:pos="8306"/>
        </w:tabs>
        <w:ind w:left="0" w:leftChars="0"/>
        <w:rPr>
          <w:rFonts w:eastAsia="仿宋_GB2312"/>
          <w:sz w:val="32"/>
          <w:szCs w:val="32"/>
        </w:rPr>
      </w:pPr>
      <w:r>
        <w:fldChar w:fldCharType="begin"/>
      </w:r>
      <w:r>
        <w:instrText xml:space="preserve"> HYPERLINK \l "_Toc28786" </w:instrText>
      </w:r>
      <w:r>
        <w:fldChar w:fldCharType="separate"/>
      </w:r>
      <w:r>
        <w:rPr>
          <w:rFonts w:eastAsia="仿宋_GB2312"/>
          <w:bCs/>
          <w:kern w:val="0"/>
          <w:sz w:val="32"/>
          <w:szCs w:val="32"/>
        </w:rPr>
        <w:t>四、《财政拨款收入支出决算总表》</w:t>
      </w:r>
      <w:r>
        <w:rPr>
          <w:rFonts w:eastAsia="仿宋_GB2312"/>
          <w:bCs/>
          <w:kern w:val="0"/>
          <w:sz w:val="32"/>
          <w:szCs w:val="32"/>
        </w:rPr>
        <w:fldChar w:fldCharType="end"/>
      </w:r>
    </w:p>
    <w:p w14:paraId="6851E654">
      <w:pPr>
        <w:pStyle w:val="8"/>
        <w:tabs>
          <w:tab w:val="right" w:pos="8306"/>
        </w:tabs>
        <w:ind w:left="0" w:leftChars="0"/>
        <w:rPr>
          <w:rFonts w:eastAsia="仿宋_GB2312"/>
          <w:sz w:val="32"/>
          <w:szCs w:val="32"/>
        </w:rPr>
      </w:pPr>
      <w:r>
        <w:fldChar w:fldCharType="begin"/>
      </w:r>
      <w:r>
        <w:instrText xml:space="preserve"> HYPERLINK \l "_Toc14869" </w:instrText>
      </w:r>
      <w:r>
        <w:fldChar w:fldCharType="separate"/>
      </w:r>
      <w:r>
        <w:rPr>
          <w:rFonts w:eastAsia="仿宋_GB2312"/>
          <w:bCs/>
          <w:kern w:val="0"/>
          <w:sz w:val="32"/>
          <w:szCs w:val="32"/>
        </w:rPr>
        <w:t>五、《一般公共预算财政拨款支出决算表》</w:t>
      </w:r>
      <w:r>
        <w:rPr>
          <w:rFonts w:eastAsia="仿宋_GB2312"/>
          <w:bCs/>
          <w:kern w:val="0"/>
          <w:sz w:val="32"/>
          <w:szCs w:val="32"/>
        </w:rPr>
        <w:fldChar w:fldCharType="end"/>
      </w:r>
    </w:p>
    <w:p w14:paraId="4AC9C6F0">
      <w:pPr>
        <w:pStyle w:val="8"/>
        <w:tabs>
          <w:tab w:val="right" w:pos="8306"/>
        </w:tabs>
        <w:ind w:left="0" w:leftChars="0"/>
        <w:rPr>
          <w:rFonts w:eastAsia="仿宋_GB2312"/>
          <w:sz w:val="32"/>
          <w:szCs w:val="32"/>
        </w:rPr>
      </w:pPr>
      <w:r>
        <w:fldChar w:fldCharType="begin"/>
      </w:r>
      <w:r>
        <w:instrText xml:space="preserve"> HYPERLINK \l "_Toc8884" </w:instrText>
      </w:r>
      <w:r>
        <w:fldChar w:fldCharType="separate"/>
      </w:r>
      <w:r>
        <w:rPr>
          <w:rFonts w:eastAsia="仿宋_GB2312"/>
          <w:bCs/>
          <w:kern w:val="0"/>
          <w:sz w:val="32"/>
          <w:szCs w:val="32"/>
        </w:rPr>
        <w:t>六、《一般公共预算财政拨款基本支出决算表》</w:t>
      </w:r>
      <w:r>
        <w:rPr>
          <w:rFonts w:eastAsia="仿宋_GB2312"/>
          <w:bCs/>
          <w:kern w:val="0"/>
          <w:sz w:val="32"/>
          <w:szCs w:val="32"/>
        </w:rPr>
        <w:fldChar w:fldCharType="end"/>
      </w:r>
    </w:p>
    <w:p w14:paraId="56E25F50">
      <w:pPr>
        <w:pStyle w:val="8"/>
        <w:tabs>
          <w:tab w:val="right" w:pos="8306"/>
        </w:tabs>
        <w:ind w:left="0" w:leftChars="0"/>
        <w:rPr>
          <w:rFonts w:eastAsia="仿宋_GB2312"/>
          <w:sz w:val="32"/>
          <w:szCs w:val="32"/>
        </w:rPr>
      </w:pPr>
      <w:r>
        <w:fldChar w:fldCharType="begin"/>
      </w:r>
      <w:r>
        <w:instrText xml:space="preserve"> HYPERLINK \l "_Toc29106" </w:instrText>
      </w:r>
      <w:r>
        <w:fldChar w:fldCharType="separate"/>
      </w:r>
      <w:r>
        <w:rPr>
          <w:rFonts w:eastAsia="仿宋_GB2312"/>
          <w:bCs/>
          <w:kern w:val="0"/>
          <w:sz w:val="32"/>
          <w:szCs w:val="32"/>
        </w:rPr>
        <w:t>七、《财政拨款“三公”经费支出决算表》</w:t>
      </w:r>
      <w:r>
        <w:rPr>
          <w:rFonts w:eastAsia="仿宋_GB2312"/>
          <w:bCs/>
          <w:kern w:val="0"/>
          <w:sz w:val="32"/>
          <w:szCs w:val="32"/>
        </w:rPr>
        <w:fldChar w:fldCharType="end"/>
      </w:r>
    </w:p>
    <w:p w14:paraId="3E559DE8">
      <w:pPr>
        <w:pStyle w:val="8"/>
        <w:tabs>
          <w:tab w:val="right" w:pos="8306"/>
        </w:tabs>
        <w:ind w:left="0" w:leftChars="0"/>
        <w:rPr>
          <w:rFonts w:eastAsia="仿宋_GB2312"/>
          <w:bCs/>
          <w:kern w:val="0"/>
          <w:sz w:val="32"/>
          <w:szCs w:val="32"/>
        </w:rPr>
      </w:pPr>
      <w:r>
        <w:fldChar w:fldCharType="begin"/>
      </w:r>
      <w:r>
        <w:instrText xml:space="preserve"> HYPERLINK \l "_Toc7643" </w:instrText>
      </w:r>
      <w:r>
        <w:fldChar w:fldCharType="separate"/>
      </w:r>
      <w:r>
        <w:rPr>
          <w:rFonts w:eastAsia="仿宋_GB2312"/>
          <w:bCs/>
          <w:kern w:val="0"/>
          <w:sz w:val="32"/>
          <w:szCs w:val="32"/>
        </w:rPr>
        <w:t>八、《政府性基金预算财政拨款收入支出决算表》</w:t>
      </w:r>
      <w:r>
        <w:rPr>
          <w:rFonts w:eastAsia="仿宋_GB2312"/>
          <w:bCs/>
          <w:kern w:val="0"/>
          <w:sz w:val="32"/>
          <w:szCs w:val="32"/>
        </w:rPr>
        <w:fldChar w:fldCharType="end"/>
      </w:r>
    </w:p>
    <w:p w14:paraId="188AB29C">
      <w:pPr>
        <w:pStyle w:val="8"/>
        <w:tabs>
          <w:tab w:val="right" w:pos="8306"/>
        </w:tabs>
        <w:ind w:left="0" w:leftChars="0"/>
        <w:rPr>
          <w:rFonts w:eastAsia="仿宋_GB2312"/>
          <w:bCs/>
          <w:kern w:val="0"/>
          <w:sz w:val="32"/>
          <w:szCs w:val="32"/>
        </w:rPr>
      </w:pPr>
      <w:r>
        <w:rPr>
          <w:rFonts w:eastAsia="仿宋_GB2312"/>
          <w:bCs/>
          <w:kern w:val="0"/>
          <w:sz w:val="32"/>
          <w:szCs w:val="32"/>
        </w:rPr>
        <w:t>九、《国有资本经营预算财政拨款收入支出决算表》</w:t>
      </w:r>
    </w:p>
    <w:p w14:paraId="32F89105">
      <w:r>
        <w:rPr>
          <w:rFonts w:eastAsia="仿宋_GB2312"/>
          <w:sz w:val="32"/>
          <w:szCs w:val="32"/>
        </w:rPr>
        <w:fldChar w:fldCharType="end"/>
      </w:r>
    </w:p>
    <w:p w14:paraId="1153A432">
      <w:pPr>
        <w:rPr>
          <w:rFonts w:eastAsia="仿宋_GB2312"/>
          <w:sz w:val="32"/>
          <w:szCs w:val="32"/>
        </w:rPr>
      </w:pPr>
      <w:r>
        <w:rPr>
          <w:rFonts w:eastAsia="仿宋_GB2312"/>
          <w:sz w:val="32"/>
          <w:szCs w:val="32"/>
        </w:rPr>
        <w:br w:type="page"/>
      </w:r>
    </w:p>
    <w:p w14:paraId="5218C907">
      <w:pPr>
        <w:jc w:val="center"/>
        <w:outlineLvl w:val="0"/>
        <w:rPr>
          <w:rFonts w:eastAsia="黑体"/>
          <w:sz w:val="32"/>
          <w:szCs w:val="32"/>
        </w:rPr>
      </w:pPr>
      <w:bookmarkStart w:id="0" w:name="_Toc32314"/>
      <w:bookmarkStart w:id="1" w:name="_Toc24028"/>
      <w:r>
        <w:rPr>
          <w:rFonts w:eastAsia="黑体"/>
          <w:sz w:val="32"/>
          <w:szCs w:val="32"/>
        </w:rPr>
        <w:t>第一部分单位概况</w:t>
      </w:r>
      <w:bookmarkEnd w:id="0"/>
      <w:bookmarkEnd w:id="1"/>
    </w:p>
    <w:p w14:paraId="4D834935">
      <w:pPr>
        <w:ind w:firstLine="640" w:firstLineChars="200"/>
        <w:outlineLvl w:val="1"/>
        <w:rPr>
          <w:rFonts w:eastAsia="黑体"/>
          <w:bCs/>
          <w:kern w:val="0"/>
          <w:sz w:val="32"/>
          <w:szCs w:val="32"/>
        </w:rPr>
      </w:pPr>
      <w:bookmarkStart w:id="2" w:name="_Toc30738"/>
      <w:bookmarkStart w:id="3" w:name="_Toc30567"/>
      <w:r>
        <w:rPr>
          <w:rFonts w:eastAsia="黑体"/>
          <w:bCs/>
          <w:kern w:val="0"/>
          <w:sz w:val="32"/>
          <w:szCs w:val="32"/>
        </w:rPr>
        <w:t>一、主要职能</w:t>
      </w:r>
      <w:bookmarkEnd w:id="2"/>
      <w:bookmarkEnd w:id="3"/>
    </w:p>
    <w:p w14:paraId="10221EA0">
      <w:pPr>
        <w:ind w:firstLine="640" w:firstLineChars="200"/>
        <w:jc w:val="left"/>
        <w:rPr>
          <w:rFonts w:eastAsia="仿宋_GB2312"/>
          <w:sz w:val="32"/>
          <w:szCs w:val="32"/>
        </w:rPr>
      </w:pPr>
      <w:bookmarkStart w:id="4" w:name="_Toc31238"/>
      <w:bookmarkStart w:id="5" w:name="_Toc2151"/>
      <w:r>
        <w:rPr>
          <w:rFonts w:eastAsia="仿宋_GB2312"/>
          <w:sz w:val="32"/>
          <w:szCs w:val="32"/>
        </w:rPr>
        <w:t>（一）组织拟订自治区卫生健康政策，拟订自治区卫生健康事业发展法规规章草案、规划和标准并组织实施。统筹规划卫生健康资源配置，推进卫生健康科技创新发展，指导区域卫生健康规划的编制和实施，制定推进卫生健康基本公共服务均等化、普惠化、便捷化和公共资源向基层延伸等政策措施并组织实施。</w:t>
      </w:r>
    </w:p>
    <w:p w14:paraId="16A1A187">
      <w:pPr>
        <w:ind w:firstLine="640" w:firstLineChars="200"/>
        <w:jc w:val="left"/>
        <w:rPr>
          <w:rFonts w:eastAsia="仿宋_GB2312"/>
          <w:sz w:val="32"/>
          <w:szCs w:val="32"/>
        </w:rPr>
      </w:pPr>
      <w:r>
        <w:rPr>
          <w:rFonts w:eastAsia="仿宋_GB2312"/>
          <w:sz w:val="32"/>
          <w:szCs w:val="32"/>
        </w:rPr>
        <w:t>（二）协调推进深化医药卫生体制改革，研究提出深化医药卫生体制改革重大方针、政策、措施的建议。组织深化公立医院综合改革，推进管办分离，健全现代医院管理制度，制定推动卫生健康公共服务提供主体多元化、提供方式多样化的政策措施并组织实施。研究提出医疗服务和药品价格政策的建议。</w:t>
      </w:r>
    </w:p>
    <w:p w14:paraId="4E919E84">
      <w:pPr>
        <w:ind w:firstLine="640" w:firstLineChars="200"/>
        <w:jc w:val="left"/>
        <w:rPr>
          <w:rFonts w:eastAsia="仿宋_GB2312"/>
          <w:sz w:val="32"/>
          <w:szCs w:val="32"/>
        </w:rPr>
      </w:pPr>
      <w:r>
        <w:rPr>
          <w:rFonts w:eastAsia="仿宋_GB2312"/>
          <w:sz w:val="32"/>
          <w:szCs w:val="32"/>
        </w:rPr>
        <w:t>（三）组织开展卫生健康宣传、健康教育、健康促进活动，协调推进健康新疆战略实施，牵头《烟草控制框架公约》履约有关工作。</w:t>
      </w:r>
    </w:p>
    <w:p w14:paraId="5FC9A886">
      <w:pPr>
        <w:ind w:firstLine="640" w:firstLineChars="200"/>
        <w:jc w:val="left"/>
        <w:rPr>
          <w:rFonts w:eastAsia="仿宋_GB2312"/>
          <w:sz w:val="32"/>
          <w:szCs w:val="32"/>
        </w:rPr>
      </w:pPr>
      <w:r>
        <w:rPr>
          <w:rFonts w:eastAsia="仿宋_GB2312"/>
          <w:sz w:val="32"/>
          <w:szCs w:val="32"/>
        </w:rPr>
        <w:t>（四）承担医疗卫生、计划生育等综合行政执法职责。制定医疗机构、医疗服务行业管理办法并监督实施，建立医疗服务评价和监督管理体系。会同有关部门制定卫生健康专业技术人员资格标准并组织实施。制定医疗服务规范、标准和卫生健康专业技术人员执业规则、服务规范并组织实施。</w:t>
      </w:r>
    </w:p>
    <w:p w14:paraId="33D0B1BD">
      <w:pPr>
        <w:ind w:firstLine="640" w:firstLineChars="200"/>
        <w:jc w:val="left"/>
        <w:rPr>
          <w:rFonts w:eastAsia="仿宋_GB2312"/>
          <w:sz w:val="32"/>
          <w:szCs w:val="32"/>
        </w:rPr>
      </w:pPr>
      <w:r>
        <w:rPr>
          <w:rFonts w:eastAsia="仿宋_GB2312"/>
          <w:sz w:val="32"/>
          <w:szCs w:val="32"/>
        </w:rPr>
        <w:t>（五）指导各地卫生健康工作，指导基层医疗卫生、妇幼健康服务体系和全科医生队伍建设。推进卫生健康科技创新发展。</w:t>
      </w:r>
    </w:p>
    <w:p w14:paraId="6AE526A1">
      <w:pPr>
        <w:ind w:firstLine="640" w:firstLineChars="200"/>
        <w:jc w:val="left"/>
        <w:rPr>
          <w:rFonts w:eastAsia="仿宋_GB2312"/>
          <w:sz w:val="32"/>
          <w:szCs w:val="32"/>
        </w:rPr>
      </w:pPr>
      <w:r>
        <w:rPr>
          <w:rFonts w:eastAsia="仿宋_GB2312"/>
          <w:sz w:val="32"/>
          <w:szCs w:val="32"/>
        </w:rPr>
        <w:t>（六）负责卫生应急工作，承担医疗卫生应急体系建设，牵头组织协调传染病疫情应对工作，组织指导传染病以外的其他突发公共卫生事件预防控制和各类突发公共事件医疗卫生救援。</w:t>
      </w:r>
    </w:p>
    <w:p w14:paraId="2D5B6720">
      <w:pPr>
        <w:ind w:firstLine="640" w:firstLineChars="200"/>
        <w:jc w:val="left"/>
        <w:rPr>
          <w:rFonts w:eastAsia="仿宋_GB2312"/>
          <w:sz w:val="32"/>
          <w:szCs w:val="32"/>
        </w:rPr>
      </w:pPr>
      <w:r>
        <w:rPr>
          <w:rFonts w:eastAsia="仿宋_GB2312"/>
          <w:sz w:val="32"/>
          <w:szCs w:val="32"/>
        </w:rPr>
        <w:t>（七）负责国家药物政策和国家基本药物制度的贯彻落实，开展药品使用监测、临床综合评价和短缺药品预警。执行国家药品法典，提出自治区基本药物价格政策的建议。组织开展食品安全风险监测评估，制定并公布食品安全地方标准。</w:t>
      </w:r>
    </w:p>
    <w:p w14:paraId="69B05952">
      <w:pPr>
        <w:ind w:firstLine="640" w:firstLineChars="200"/>
        <w:jc w:val="left"/>
        <w:rPr>
          <w:rFonts w:eastAsia="仿宋_GB2312"/>
          <w:sz w:val="32"/>
          <w:szCs w:val="32"/>
        </w:rPr>
      </w:pPr>
      <w:r>
        <w:rPr>
          <w:rFonts w:eastAsia="仿宋_GB2312"/>
          <w:sz w:val="32"/>
          <w:szCs w:val="32"/>
        </w:rPr>
        <w:t>（八）组织推进老年健康服务体系建设和医养结合工作。</w:t>
      </w:r>
    </w:p>
    <w:p w14:paraId="5A682D00">
      <w:pPr>
        <w:ind w:firstLine="640" w:firstLineChars="200"/>
        <w:jc w:val="left"/>
        <w:rPr>
          <w:rFonts w:eastAsia="仿宋_GB2312"/>
          <w:sz w:val="32"/>
          <w:szCs w:val="32"/>
        </w:rPr>
      </w:pPr>
      <w:r>
        <w:rPr>
          <w:rFonts w:eastAsia="仿宋_GB2312"/>
          <w:sz w:val="32"/>
          <w:szCs w:val="32"/>
        </w:rPr>
        <w:t>（九）制定职业卫生、放射卫生相关政策措施，推进职业健康管理体系建设，指导基层开展职业卫生、放射卫生的管理。协调开展职业病防治工作。</w:t>
      </w:r>
    </w:p>
    <w:p w14:paraId="662D7D11">
      <w:pPr>
        <w:ind w:firstLine="640" w:firstLineChars="200"/>
        <w:jc w:val="left"/>
        <w:rPr>
          <w:rFonts w:eastAsia="仿宋_GB2312"/>
          <w:sz w:val="32"/>
          <w:szCs w:val="32"/>
        </w:rPr>
      </w:pPr>
      <w:r>
        <w:rPr>
          <w:rFonts w:eastAsia="仿宋_GB2312"/>
          <w:sz w:val="32"/>
          <w:szCs w:val="32"/>
        </w:rPr>
        <w:t>（十）负责优化生育管理和服务工作，开展人口监测预警，研究提出人口与家庭发展相关政策建议，完善计划生育政策。协调推进托育服务发展工作。指导自治区计划生育协会的业务工作。</w:t>
      </w:r>
    </w:p>
    <w:p w14:paraId="322482D1">
      <w:pPr>
        <w:ind w:firstLine="640" w:firstLineChars="200"/>
        <w:jc w:val="left"/>
        <w:rPr>
          <w:rFonts w:eastAsia="仿宋_GB2312"/>
          <w:sz w:val="32"/>
          <w:szCs w:val="32"/>
        </w:rPr>
      </w:pPr>
      <w:r>
        <w:rPr>
          <w:rFonts w:eastAsia="仿宋_GB2312"/>
          <w:sz w:val="32"/>
          <w:szCs w:val="32"/>
        </w:rPr>
        <w:t>（十一）负责保健对象的医疗保健工作，负责自治区重要会议与重大活动的医疗卫生保障工作。</w:t>
      </w:r>
    </w:p>
    <w:p w14:paraId="2275BC4B">
      <w:pPr>
        <w:ind w:firstLine="640" w:firstLineChars="200"/>
        <w:jc w:val="left"/>
        <w:rPr>
          <w:rFonts w:eastAsia="仿宋_GB2312"/>
          <w:sz w:val="32"/>
          <w:szCs w:val="32"/>
        </w:rPr>
      </w:pPr>
      <w:r>
        <w:rPr>
          <w:rFonts w:eastAsia="仿宋_GB2312"/>
          <w:sz w:val="32"/>
          <w:szCs w:val="32"/>
        </w:rPr>
        <w:t>（十二）管理自治区疾病预防控制局、自治区中医药管理局。</w:t>
      </w:r>
    </w:p>
    <w:p w14:paraId="622A3AB1">
      <w:pPr>
        <w:ind w:firstLine="640" w:firstLineChars="200"/>
        <w:jc w:val="left"/>
        <w:rPr>
          <w:rFonts w:eastAsia="仿宋_GB2312"/>
          <w:sz w:val="32"/>
          <w:szCs w:val="32"/>
        </w:rPr>
      </w:pPr>
      <w:r>
        <w:rPr>
          <w:rFonts w:eastAsia="仿宋_GB2312"/>
          <w:sz w:val="32"/>
          <w:szCs w:val="32"/>
        </w:rPr>
        <w:t>（十三）完成自治区党委、自治区人民政府交办的其他任务。</w:t>
      </w:r>
    </w:p>
    <w:p w14:paraId="666344BD">
      <w:pPr>
        <w:ind w:firstLine="640" w:firstLineChars="200"/>
        <w:jc w:val="left"/>
        <w:rPr>
          <w:rFonts w:eastAsia="仿宋_GB2312"/>
          <w:sz w:val="32"/>
          <w:szCs w:val="32"/>
        </w:rPr>
      </w:pPr>
      <w:r>
        <w:rPr>
          <w:rFonts w:eastAsia="仿宋_GB2312"/>
          <w:sz w:val="32"/>
          <w:szCs w:val="32"/>
        </w:rPr>
        <w:t>职能转变。自治区卫生健康委员会应当牢固树立大卫生、大健康理念，推动实施健康新疆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p>
    <w:p w14:paraId="3F442A3D">
      <w:pPr>
        <w:ind w:firstLine="640" w:firstLineChars="200"/>
        <w:jc w:val="left"/>
        <w:rPr>
          <w:rFonts w:eastAsia="仿宋_GB2312"/>
          <w:sz w:val="32"/>
          <w:szCs w:val="32"/>
        </w:rPr>
      </w:pPr>
      <w:r>
        <w:rPr>
          <w:rFonts w:eastAsia="仿宋_GB2312"/>
          <w:sz w:val="32"/>
          <w:szCs w:val="32"/>
        </w:rPr>
        <w:t>与其他部门的职责分工：</w:t>
      </w:r>
    </w:p>
    <w:p w14:paraId="02AD9724">
      <w:pPr>
        <w:ind w:firstLine="640" w:firstLineChars="200"/>
        <w:jc w:val="left"/>
        <w:rPr>
          <w:rFonts w:eastAsia="仿宋_GB2312"/>
          <w:sz w:val="32"/>
          <w:szCs w:val="32"/>
        </w:rPr>
      </w:pPr>
      <w:r>
        <w:rPr>
          <w:rFonts w:eastAsia="仿宋_GB2312"/>
          <w:sz w:val="32"/>
          <w:szCs w:val="32"/>
        </w:rPr>
        <w:t>一是与自治区发展和改革委员会的有关职责分工。自治区卫生健康委员会负责开展人口监测预警工作，拟订生育政策，研究提出与生育相关的人口数量、素质、结构、分布方面的政策建议，促进生育政策和相关经济社会政策配套衔接，参与制定人口发展规划和政策，落实国家和自治区人口发展规划中的有关任务。自治区发展和改革委员会负责组织监测和评估全区人口变动情况及趋势影响，建立人口预测预报制度，开展重大决策人口影响评估，完善重大人口政策咨询机制，研究提出自治区人口发展战略，拟订自治区人口发展规划和人口政策，研究提出人口与经济、社会、资源、环境协调可持续发展，以及统筹促进人口长期均衡发展的政策建议。</w:t>
      </w:r>
    </w:p>
    <w:p w14:paraId="75BBCEF5">
      <w:pPr>
        <w:ind w:firstLine="640" w:firstLineChars="200"/>
        <w:jc w:val="left"/>
        <w:rPr>
          <w:rFonts w:eastAsia="仿宋_GB2312"/>
          <w:sz w:val="32"/>
          <w:szCs w:val="32"/>
        </w:rPr>
      </w:pPr>
      <w:r>
        <w:rPr>
          <w:rFonts w:eastAsia="仿宋_GB2312"/>
          <w:sz w:val="32"/>
          <w:szCs w:val="32"/>
        </w:rPr>
        <w:t>二是与自治区民政厅的有关职责分工。自治区卫生健康委员会负责拟订和实施医养结合政策措施，建立和完善老年健康服务体系，承担老年疾病防治、老年人医疗照护、老年人心理健康与关怀服务等老年健康工作。自治区民政厅负责组织拟订并协调落实积极应对人口老龄化、促进养老事业发展的政策措施，拟订养老服务体系建设规划、法规、政策、标准并组织实施，承担老年福利和特殊困难老年人救助等工作。</w:t>
      </w:r>
    </w:p>
    <w:p w14:paraId="6F7DABD9">
      <w:pPr>
        <w:ind w:firstLine="640" w:firstLineChars="200"/>
        <w:jc w:val="left"/>
        <w:rPr>
          <w:rFonts w:eastAsia="仿宋_GB2312"/>
          <w:sz w:val="32"/>
          <w:szCs w:val="32"/>
        </w:rPr>
      </w:pPr>
      <w:r>
        <w:rPr>
          <w:rFonts w:eastAsia="仿宋_GB2312"/>
          <w:sz w:val="32"/>
          <w:szCs w:val="32"/>
        </w:rPr>
        <w:t>三是与自治区市场监督管理局的有关职责分工。自治区卫生健康委员会负责食品安全风险评估工作，会同自治区市场监督管理局等部门制定、实施食品安全风险监测计划。自治区卫生健康委员会对通过食品安全风险监测或者接到举报发现食品可能存在安全隐患的，应当立即组织进行检验和食品安全风险评估，并及时向自治区市场监督管理局等部门通报食品安全风险评估结果，对得出不安全结论的食品，自治区市场监督管理局等部门应当立即采取措施。自治区市场监督管理局等部门在监督管理工作中发现需要进行食品安全风险评估的，应当及时向自治区卫生健康委员会提出建议。</w:t>
      </w:r>
    </w:p>
    <w:p w14:paraId="4FFC095D">
      <w:pPr>
        <w:ind w:firstLine="640" w:firstLineChars="200"/>
        <w:jc w:val="left"/>
        <w:rPr>
          <w:rFonts w:eastAsia="仿宋_GB2312"/>
          <w:sz w:val="32"/>
          <w:szCs w:val="32"/>
        </w:rPr>
      </w:pPr>
      <w:r>
        <w:rPr>
          <w:rFonts w:eastAsia="仿宋_GB2312"/>
          <w:sz w:val="32"/>
          <w:szCs w:val="32"/>
        </w:rPr>
        <w:t>四是与自治区医疗保障局的有关职责分工。自治区卫生健康委员会、自治区医疗保障局等部门在医保、医疗、医药等方面加强制度、政策衔接，建立沟通协商机制，协同推进改革，提高医疗资源使用效率和医疗保障水平。</w:t>
      </w:r>
    </w:p>
    <w:p w14:paraId="1FDF1AE2">
      <w:pPr>
        <w:ind w:firstLine="640" w:firstLineChars="200"/>
        <w:jc w:val="left"/>
        <w:rPr>
          <w:rFonts w:eastAsia="仿宋_GB2312"/>
          <w:sz w:val="32"/>
          <w:szCs w:val="32"/>
        </w:rPr>
      </w:pPr>
      <w:r>
        <w:rPr>
          <w:rFonts w:eastAsia="仿宋_GB2312"/>
          <w:sz w:val="32"/>
          <w:szCs w:val="32"/>
        </w:rPr>
        <w:t>五是与自治区药品监督管理局的有关职责分工。自治区药品监督管理局会同自治区卫生健康委员会贯彻落实国家药典，建立重大药品不良反应相互通报机制和联合处置机制。</w:t>
      </w:r>
    </w:p>
    <w:p w14:paraId="797EC1C8">
      <w:pPr>
        <w:ind w:firstLine="640" w:firstLineChars="200"/>
        <w:outlineLvl w:val="1"/>
        <w:rPr>
          <w:rFonts w:eastAsia="黑体"/>
          <w:bCs/>
          <w:kern w:val="0"/>
          <w:sz w:val="32"/>
          <w:szCs w:val="32"/>
        </w:rPr>
      </w:pPr>
      <w:r>
        <w:rPr>
          <w:rFonts w:eastAsia="黑体"/>
          <w:bCs/>
          <w:kern w:val="0"/>
          <w:sz w:val="32"/>
          <w:szCs w:val="32"/>
        </w:rPr>
        <w:t>二、机构设置及</w:t>
      </w:r>
      <w:bookmarkEnd w:id="4"/>
      <w:r>
        <w:rPr>
          <w:rFonts w:eastAsia="黑体"/>
          <w:bCs/>
          <w:kern w:val="0"/>
          <w:sz w:val="32"/>
          <w:szCs w:val="32"/>
        </w:rPr>
        <w:t>人员情况</w:t>
      </w:r>
      <w:bookmarkEnd w:id="5"/>
    </w:p>
    <w:p w14:paraId="6A784F8A">
      <w:pPr>
        <w:ind w:firstLine="640" w:firstLineChars="200"/>
        <w:jc w:val="left"/>
        <w:rPr>
          <w:rFonts w:eastAsia="仿宋_GB2312"/>
          <w:b/>
          <w:sz w:val="32"/>
          <w:szCs w:val="32"/>
        </w:rPr>
      </w:pPr>
      <w:r>
        <w:rPr>
          <w:rFonts w:eastAsia="仿宋_GB2312"/>
          <w:sz w:val="32"/>
          <w:szCs w:val="32"/>
        </w:rPr>
        <w:t>新疆维吾尔自治区卫生健康委员会2023年度，实有人数</w:t>
      </w:r>
      <w:r>
        <w:rPr>
          <w:rFonts w:eastAsia="仿宋_GB2312"/>
          <w:sz w:val="32"/>
          <w:szCs w:val="32"/>
          <w:lang w:val="zh-CN"/>
        </w:rPr>
        <w:t>407</w:t>
      </w:r>
      <w:r>
        <w:rPr>
          <w:rFonts w:eastAsia="仿宋_GB2312"/>
          <w:sz w:val="32"/>
          <w:szCs w:val="32"/>
        </w:rPr>
        <w:t>人，其中：在职人员</w:t>
      </w:r>
      <w:r>
        <w:rPr>
          <w:rFonts w:eastAsia="仿宋_GB2312"/>
          <w:sz w:val="32"/>
          <w:szCs w:val="32"/>
          <w:lang w:val="zh-CN"/>
        </w:rPr>
        <w:t>204</w:t>
      </w:r>
      <w:r>
        <w:rPr>
          <w:rFonts w:eastAsia="仿宋_GB2312"/>
          <w:sz w:val="32"/>
          <w:szCs w:val="32"/>
        </w:rPr>
        <w:t>人，离休人员</w:t>
      </w:r>
      <w:r>
        <w:rPr>
          <w:rFonts w:eastAsia="仿宋_GB2312"/>
          <w:sz w:val="32"/>
          <w:szCs w:val="32"/>
          <w:lang w:val="zh-CN"/>
        </w:rPr>
        <w:t>0</w:t>
      </w:r>
      <w:r>
        <w:rPr>
          <w:rFonts w:eastAsia="仿宋_GB2312"/>
          <w:sz w:val="32"/>
          <w:szCs w:val="32"/>
        </w:rPr>
        <w:t>人，退休人员</w:t>
      </w:r>
      <w:r>
        <w:rPr>
          <w:rFonts w:eastAsia="仿宋_GB2312"/>
          <w:sz w:val="32"/>
          <w:szCs w:val="32"/>
          <w:lang w:val="zh-CN"/>
        </w:rPr>
        <w:t>203</w:t>
      </w:r>
      <w:r>
        <w:rPr>
          <w:rFonts w:eastAsia="仿宋_GB2312"/>
          <w:sz w:val="32"/>
          <w:szCs w:val="32"/>
        </w:rPr>
        <w:t>人。</w:t>
      </w:r>
    </w:p>
    <w:p w14:paraId="7534E1BF">
      <w:pPr>
        <w:ind w:firstLine="640" w:firstLineChars="200"/>
        <w:rPr>
          <w:rFonts w:eastAsia="仿宋_GB2312"/>
          <w:sz w:val="32"/>
          <w:szCs w:val="32"/>
        </w:rPr>
      </w:pPr>
      <w:r>
        <w:rPr>
          <w:rFonts w:eastAsia="仿宋_GB2312"/>
          <w:bCs/>
          <w:kern w:val="0"/>
          <w:sz w:val="32"/>
          <w:szCs w:val="32"/>
        </w:rPr>
        <w:t>单位无下属预算单位，下设</w:t>
      </w:r>
      <w:r>
        <w:rPr>
          <w:rFonts w:eastAsia="仿宋_GB2312"/>
          <w:sz w:val="32"/>
          <w:szCs w:val="32"/>
        </w:rPr>
        <w:t>20</w:t>
      </w:r>
      <w:r>
        <w:rPr>
          <w:rFonts w:eastAsia="仿宋_GB2312"/>
          <w:bCs/>
          <w:kern w:val="0"/>
          <w:sz w:val="32"/>
          <w:szCs w:val="32"/>
        </w:rPr>
        <w:t>个处室，分别是：</w:t>
      </w:r>
      <w:r>
        <w:rPr>
          <w:rFonts w:eastAsia="仿宋_GB2312"/>
          <w:kern w:val="0"/>
          <w:sz w:val="32"/>
          <w:szCs w:val="32"/>
        </w:rPr>
        <w:t>办公室、规划发展与信息化处、政策法规和体制改革处、财务处、医政处、基层卫生健康处、医疗应急处、科技教育处、药物政策与基本药物制度处、食品安全标准与监测评估处、老龄健康处、妇幼健康处、职业健康处、家庭发展处、人口监测处、宣传处、对外交流合作处、人事处、机关党委、离退休干部工作处。</w:t>
      </w:r>
    </w:p>
    <w:p w14:paraId="0EEF625B">
      <w:pPr>
        <w:jc w:val="center"/>
        <w:outlineLvl w:val="0"/>
        <w:rPr>
          <w:rFonts w:eastAsia="黑体"/>
          <w:sz w:val="32"/>
          <w:szCs w:val="32"/>
        </w:rPr>
      </w:pPr>
      <w:bookmarkStart w:id="6" w:name="_Toc3092"/>
      <w:bookmarkStart w:id="7" w:name="_Toc29374"/>
    </w:p>
    <w:p w14:paraId="39D4F5D3">
      <w:pPr>
        <w:jc w:val="center"/>
        <w:outlineLvl w:val="0"/>
        <w:rPr>
          <w:rFonts w:eastAsia="黑体"/>
          <w:sz w:val="32"/>
          <w:szCs w:val="32"/>
        </w:rPr>
      </w:pPr>
      <w:r>
        <w:rPr>
          <w:rFonts w:eastAsia="黑体"/>
          <w:sz w:val="32"/>
          <w:szCs w:val="32"/>
        </w:rPr>
        <w:t>第二部分部门决算情况说明</w:t>
      </w:r>
      <w:bookmarkEnd w:id="6"/>
      <w:bookmarkEnd w:id="7"/>
    </w:p>
    <w:p w14:paraId="7E595F55">
      <w:pPr>
        <w:ind w:firstLine="640" w:firstLineChars="200"/>
        <w:outlineLvl w:val="1"/>
        <w:rPr>
          <w:rFonts w:eastAsia="黑体"/>
          <w:bCs/>
          <w:kern w:val="0"/>
          <w:sz w:val="32"/>
          <w:szCs w:val="32"/>
        </w:rPr>
      </w:pPr>
      <w:bookmarkStart w:id="8" w:name="_Toc12566"/>
      <w:bookmarkStart w:id="9" w:name="_Toc25314"/>
      <w:r>
        <w:rPr>
          <w:rFonts w:eastAsia="黑体"/>
          <w:bCs/>
          <w:kern w:val="0"/>
          <w:sz w:val="32"/>
          <w:szCs w:val="32"/>
        </w:rPr>
        <w:t>一、收入支出决算总体情况说明</w:t>
      </w:r>
      <w:bookmarkEnd w:id="8"/>
      <w:bookmarkEnd w:id="9"/>
    </w:p>
    <w:p w14:paraId="6C71F7D2">
      <w:pPr>
        <w:ind w:firstLine="640" w:firstLineChars="200"/>
        <w:jc w:val="left"/>
        <w:rPr>
          <w:rFonts w:eastAsia="仿宋_GB2312"/>
          <w:sz w:val="32"/>
          <w:szCs w:val="32"/>
        </w:rPr>
      </w:pPr>
      <w:r>
        <w:rPr>
          <w:rFonts w:eastAsia="仿宋_GB2312"/>
          <w:sz w:val="32"/>
          <w:szCs w:val="32"/>
        </w:rPr>
        <w:t>2023年度收入总计35,857.85万元，其中：本年收入合计25,924.65万元，使用非财政拨款结余0.00万元，年初结转和结余9,933.20万元。</w:t>
      </w:r>
    </w:p>
    <w:p w14:paraId="29E73353">
      <w:pPr>
        <w:ind w:firstLine="640" w:firstLineChars="200"/>
        <w:jc w:val="left"/>
        <w:rPr>
          <w:rFonts w:eastAsia="仿宋_GB2312"/>
          <w:sz w:val="32"/>
          <w:szCs w:val="32"/>
        </w:rPr>
      </w:pPr>
      <w:r>
        <w:rPr>
          <w:rFonts w:eastAsia="仿宋_GB2312"/>
          <w:sz w:val="32"/>
          <w:szCs w:val="32"/>
        </w:rPr>
        <w:t>2023年度支出总计35,857.85万元，其中：本年支出合计29,616.21万元，结余分配0.00万元，年末结转和结余6,241.64万元。</w:t>
      </w:r>
    </w:p>
    <w:p w14:paraId="0DF910AA">
      <w:pPr>
        <w:ind w:firstLine="640" w:firstLineChars="200"/>
        <w:jc w:val="left"/>
        <w:rPr>
          <w:rFonts w:eastAsia="仿宋_GB2312"/>
          <w:sz w:val="32"/>
          <w:szCs w:val="32"/>
        </w:rPr>
      </w:pPr>
      <w:r>
        <w:rPr>
          <w:rFonts w:eastAsia="仿宋_GB2312"/>
          <w:sz w:val="32"/>
          <w:szCs w:val="32"/>
        </w:rPr>
        <w:t>收入支出总体与上年相比，</w:t>
      </w:r>
      <w:r>
        <w:rPr>
          <w:rFonts w:eastAsia="仿宋_GB2312"/>
          <w:sz w:val="32"/>
          <w:szCs w:val="32"/>
          <w:lang w:val="zh-CN"/>
        </w:rPr>
        <w:t>减少11,823.22万元</w:t>
      </w:r>
      <w:r>
        <w:rPr>
          <w:rFonts w:eastAsia="仿宋_GB2312"/>
          <w:sz w:val="32"/>
          <w:szCs w:val="32"/>
        </w:rPr>
        <w:t>，下降24.80%，主要原因是：本年度重点工作较上年变化，疫情相关专项经费预算收支减少。</w:t>
      </w:r>
    </w:p>
    <w:p w14:paraId="57BA3034">
      <w:pPr>
        <w:ind w:firstLine="640" w:firstLineChars="200"/>
        <w:jc w:val="left"/>
        <w:outlineLvl w:val="1"/>
        <w:rPr>
          <w:rFonts w:eastAsia="黑体"/>
          <w:bCs/>
          <w:kern w:val="0"/>
          <w:sz w:val="32"/>
          <w:szCs w:val="32"/>
        </w:rPr>
      </w:pPr>
      <w:bookmarkStart w:id="10" w:name="_Toc12142"/>
      <w:bookmarkStart w:id="11" w:name="_Toc1979"/>
      <w:r>
        <w:rPr>
          <w:rFonts w:eastAsia="黑体"/>
          <w:bCs/>
          <w:kern w:val="0"/>
          <w:sz w:val="32"/>
          <w:szCs w:val="32"/>
        </w:rPr>
        <w:t>二、收入决算情况说明</w:t>
      </w:r>
      <w:bookmarkEnd w:id="10"/>
      <w:bookmarkEnd w:id="11"/>
    </w:p>
    <w:p w14:paraId="76DFA97A">
      <w:pPr>
        <w:ind w:firstLine="640" w:firstLineChars="200"/>
        <w:jc w:val="left"/>
        <w:outlineLvl w:val="1"/>
        <w:rPr>
          <w:rFonts w:eastAsia="黑体"/>
          <w:bCs/>
          <w:kern w:val="0"/>
          <w:sz w:val="32"/>
          <w:szCs w:val="32"/>
        </w:rPr>
      </w:pPr>
      <w:r>
        <w:rPr>
          <w:rFonts w:eastAsia="仿宋_GB2312"/>
          <w:sz w:val="32"/>
          <w:szCs w:val="32"/>
        </w:rPr>
        <w:t>本年收入25,924.65万元，其中：财政拨款收入25,879.55万元，占99.83%；上级补助收入0.00万元，占0.00%；事业收入0.00万元，占0.00%；经营收入0.00万元，占0.00%；附属单位上缴收入0.00万元，占0.00%；其他收入45.10万元，占0.17%。</w:t>
      </w:r>
    </w:p>
    <w:p w14:paraId="09D6F6B6">
      <w:pPr>
        <w:ind w:firstLine="640" w:firstLineChars="200"/>
        <w:jc w:val="left"/>
        <w:outlineLvl w:val="1"/>
        <w:rPr>
          <w:rFonts w:eastAsia="黑体"/>
          <w:bCs/>
          <w:kern w:val="0"/>
          <w:sz w:val="32"/>
          <w:szCs w:val="32"/>
        </w:rPr>
      </w:pPr>
      <w:bookmarkStart w:id="12" w:name="_Toc13201"/>
      <w:bookmarkStart w:id="13" w:name="_Toc27961"/>
      <w:r>
        <w:rPr>
          <w:rFonts w:eastAsia="黑体"/>
          <w:bCs/>
          <w:kern w:val="0"/>
          <w:sz w:val="32"/>
          <w:szCs w:val="32"/>
        </w:rPr>
        <w:t>三、支出决算情况说明</w:t>
      </w:r>
      <w:bookmarkEnd w:id="12"/>
      <w:bookmarkEnd w:id="13"/>
    </w:p>
    <w:p w14:paraId="5F463426">
      <w:pPr>
        <w:ind w:firstLine="640" w:firstLineChars="200"/>
        <w:jc w:val="left"/>
        <w:rPr>
          <w:rFonts w:eastAsia="仿宋_GB2312"/>
          <w:sz w:val="30"/>
          <w:szCs w:val="30"/>
          <w:lang w:val="zh-CN"/>
        </w:rPr>
      </w:pPr>
      <w:r>
        <w:rPr>
          <w:rFonts w:eastAsia="仿宋_GB2312"/>
          <w:sz w:val="32"/>
          <w:szCs w:val="32"/>
          <w:lang w:val="zh-CN"/>
        </w:rPr>
        <w:t>本年支出29,616.21万元，其中：基本支出6,467.95万元，占21.84%；项目支出23,148.26万元，占78.16%；上缴上级支出0.00万元，占0.00%；经营支出0.00万元，占0.00%；对附属单位补助支出0.00万元，占0.00%。</w:t>
      </w:r>
    </w:p>
    <w:p w14:paraId="70990A4E">
      <w:pPr>
        <w:ind w:firstLine="640" w:firstLineChars="200"/>
        <w:jc w:val="left"/>
        <w:outlineLvl w:val="1"/>
        <w:rPr>
          <w:rFonts w:eastAsia="黑体"/>
          <w:bCs/>
          <w:kern w:val="0"/>
          <w:sz w:val="32"/>
          <w:szCs w:val="32"/>
        </w:rPr>
      </w:pPr>
      <w:bookmarkStart w:id="14" w:name="_Toc26564"/>
      <w:bookmarkStart w:id="15" w:name="_Toc4393"/>
      <w:r>
        <w:rPr>
          <w:rFonts w:eastAsia="黑体"/>
          <w:bCs/>
          <w:kern w:val="0"/>
          <w:sz w:val="32"/>
          <w:szCs w:val="32"/>
        </w:rPr>
        <w:t>四、财政拨款收入支出决算总体情况说明</w:t>
      </w:r>
      <w:bookmarkEnd w:id="14"/>
      <w:bookmarkEnd w:id="15"/>
    </w:p>
    <w:p w14:paraId="7A8B26D1">
      <w:pPr>
        <w:ind w:firstLine="640" w:firstLineChars="200"/>
        <w:jc w:val="left"/>
        <w:rPr>
          <w:rFonts w:eastAsia="仿宋_GB2312"/>
          <w:sz w:val="32"/>
          <w:szCs w:val="32"/>
        </w:rPr>
      </w:pPr>
      <w:r>
        <w:rPr>
          <w:rFonts w:eastAsia="仿宋_GB2312"/>
          <w:sz w:val="32"/>
          <w:szCs w:val="32"/>
        </w:rPr>
        <w:t>2023年度财政拨款收入总计</w:t>
      </w:r>
      <w:r>
        <w:rPr>
          <w:rFonts w:eastAsia="仿宋_GB2312"/>
          <w:sz w:val="32"/>
          <w:szCs w:val="32"/>
          <w:lang w:val="zh-CN"/>
        </w:rPr>
        <w:t>33,320.97</w:t>
      </w:r>
      <w:r>
        <w:rPr>
          <w:rFonts w:eastAsia="仿宋_GB2312"/>
          <w:sz w:val="32"/>
          <w:szCs w:val="32"/>
        </w:rPr>
        <w:t>万元，其中：年初财政拨款结转和结余</w:t>
      </w:r>
      <w:r>
        <w:rPr>
          <w:rFonts w:eastAsia="仿宋_GB2312"/>
          <w:sz w:val="32"/>
          <w:szCs w:val="32"/>
          <w:lang w:val="zh-CN"/>
        </w:rPr>
        <w:t>7,441.42</w:t>
      </w:r>
      <w:r>
        <w:rPr>
          <w:rFonts w:eastAsia="仿宋_GB2312"/>
          <w:sz w:val="32"/>
          <w:szCs w:val="32"/>
        </w:rPr>
        <w:t>万元，本年财政拨款收入</w:t>
      </w:r>
      <w:r>
        <w:rPr>
          <w:rFonts w:eastAsia="仿宋_GB2312"/>
          <w:sz w:val="32"/>
          <w:szCs w:val="32"/>
          <w:lang w:val="zh-CN"/>
        </w:rPr>
        <w:t>25,879.55</w:t>
      </w:r>
      <w:r>
        <w:rPr>
          <w:rFonts w:eastAsia="仿宋_GB2312"/>
          <w:sz w:val="32"/>
          <w:szCs w:val="32"/>
        </w:rPr>
        <w:t>万元。财政拨款支出总计</w:t>
      </w:r>
      <w:r>
        <w:rPr>
          <w:rFonts w:eastAsia="仿宋_GB2312"/>
          <w:sz w:val="32"/>
          <w:szCs w:val="32"/>
          <w:lang w:val="zh-CN"/>
        </w:rPr>
        <w:t>33,320.97</w:t>
      </w:r>
      <w:r>
        <w:rPr>
          <w:rFonts w:eastAsia="仿宋_GB2312"/>
          <w:sz w:val="32"/>
          <w:szCs w:val="32"/>
        </w:rPr>
        <w:t>万元，其中：年末财政拨款结转和结余</w:t>
      </w:r>
      <w:r>
        <w:rPr>
          <w:rFonts w:eastAsia="仿宋_GB2312"/>
          <w:sz w:val="32"/>
          <w:szCs w:val="32"/>
          <w:lang w:val="zh-CN"/>
        </w:rPr>
        <w:t>4,336.68</w:t>
      </w:r>
      <w:r>
        <w:rPr>
          <w:rFonts w:eastAsia="仿宋_GB2312"/>
          <w:sz w:val="32"/>
          <w:szCs w:val="32"/>
        </w:rPr>
        <w:t>万元，本年财政拨款支出</w:t>
      </w:r>
      <w:r>
        <w:rPr>
          <w:rFonts w:eastAsia="仿宋_GB2312"/>
          <w:sz w:val="32"/>
          <w:szCs w:val="32"/>
          <w:lang w:val="zh-CN"/>
        </w:rPr>
        <w:t>28,984.29</w:t>
      </w:r>
      <w:r>
        <w:rPr>
          <w:rFonts w:eastAsia="仿宋_GB2312"/>
          <w:sz w:val="32"/>
          <w:szCs w:val="32"/>
        </w:rPr>
        <w:t>万元。</w:t>
      </w:r>
    </w:p>
    <w:p w14:paraId="7D6F475D">
      <w:pPr>
        <w:ind w:firstLine="640" w:firstLineChars="200"/>
        <w:jc w:val="left"/>
        <w:rPr>
          <w:rFonts w:eastAsia="仿宋_GB2312"/>
          <w:sz w:val="32"/>
          <w:szCs w:val="32"/>
        </w:rPr>
      </w:pPr>
      <w:r>
        <w:rPr>
          <w:rFonts w:eastAsia="仿宋_GB2312"/>
          <w:sz w:val="32"/>
          <w:szCs w:val="32"/>
        </w:rPr>
        <w:t>财政拨款收入支出总体与上年相比，</w:t>
      </w:r>
      <w:r>
        <w:rPr>
          <w:rFonts w:eastAsia="仿宋_GB2312"/>
          <w:sz w:val="32"/>
          <w:szCs w:val="32"/>
          <w:lang w:val="zh-CN"/>
        </w:rPr>
        <w:t>减少10,492.19万元</w:t>
      </w:r>
      <w:r>
        <w:rPr>
          <w:rFonts w:eastAsia="仿宋_GB2312"/>
          <w:sz w:val="32"/>
          <w:szCs w:val="32"/>
        </w:rPr>
        <w:t>，下降23.95%，主要原因是：本年度重点工作较上年变化，疫情相关专项经费预算收支</w:t>
      </w:r>
      <w:r>
        <w:rPr>
          <w:rFonts w:hint="eastAsia" w:eastAsia="仿宋_GB2312"/>
          <w:sz w:val="32"/>
          <w:szCs w:val="32"/>
          <w:lang w:val="en-US" w:eastAsia="zh-CN"/>
        </w:rPr>
        <w:t>较上年</w:t>
      </w:r>
      <w:r>
        <w:rPr>
          <w:rFonts w:eastAsia="仿宋_GB2312"/>
          <w:sz w:val="32"/>
          <w:szCs w:val="32"/>
        </w:rPr>
        <w:t>减少。与年初预算相比，年初预算数</w:t>
      </w:r>
      <w:r>
        <w:rPr>
          <w:rFonts w:eastAsia="仿宋_GB2312"/>
          <w:sz w:val="32"/>
          <w:szCs w:val="32"/>
          <w:lang w:val="zh-CN"/>
        </w:rPr>
        <w:t>23,047.07</w:t>
      </w:r>
      <w:r>
        <w:rPr>
          <w:rFonts w:eastAsia="仿宋_GB2312"/>
          <w:sz w:val="32"/>
          <w:szCs w:val="32"/>
        </w:rPr>
        <w:t>万元，决算数</w:t>
      </w:r>
      <w:r>
        <w:rPr>
          <w:rFonts w:eastAsia="仿宋_GB2312"/>
          <w:sz w:val="32"/>
          <w:szCs w:val="32"/>
          <w:lang w:val="zh-CN"/>
        </w:rPr>
        <w:t>33,320.97</w:t>
      </w:r>
      <w:r>
        <w:rPr>
          <w:rFonts w:eastAsia="仿宋_GB2312"/>
          <w:sz w:val="32"/>
          <w:szCs w:val="32"/>
        </w:rPr>
        <w:t>万元，预决算差异率44.58%，主要原因是：年中预算执行时</w:t>
      </w:r>
      <w:r>
        <w:rPr>
          <w:rFonts w:hint="eastAsia" w:eastAsia="仿宋_GB2312"/>
          <w:sz w:val="32"/>
          <w:szCs w:val="32"/>
          <w:lang w:val="en-US" w:eastAsia="zh-CN"/>
        </w:rPr>
        <w:t>追加</w:t>
      </w:r>
      <w:r>
        <w:rPr>
          <w:rFonts w:eastAsia="仿宋_GB2312"/>
          <w:sz w:val="32"/>
          <w:szCs w:val="32"/>
        </w:rPr>
        <w:t>中央第二批</w:t>
      </w:r>
      <w:r>
        <w:rPr>
          <w:rFonts w:hint="eastAsia" w:ascii="Times New Roman" w:hAnsi="Times New Roman" w:eastAsia="仿宋_GB2312" w:cs="Times New Roman"/>
          <w:color w:val="auto"/>
          <w:spacing w:val="0"/>
          <w:sz w:val="32"/>
          <w:szCs w:val="32"/>
          <w:highlight w:val="none"/>
          <w:lang w:val="en-US" w:eastAsia="zh-CN"/>
        </w:rPr>
        <w:t>重大传染病</w:t>
      </w:r>
      <w:r>
        <w:rPr>
          <w:rFonts w:hint="default" w:ascii="Times New Roman" w:hAnsi="Times New Roman" w:eastAsia="仿宋_GB2312" w:cs="Times New Roman"/>
          <w:color w:val="auto"/>
          <w:spacing w:val="0"/>
          <w:sz w:val="32"/>
          <w:szCs w:val="32"/>
          <w:highlight w:val="none"/>
          <w:lang w:eastAsia="zh-CN"/>
        </w:rPr>
        <w:t>经费、</w:t>
      </w:r>
      <w:r>
        <w:rPr>
          <w:rFonts w:eastAsia="仿宋_GB2312"/>
          <w:sz w:val="32"/>
          <w:szCs w:val="32"/>
        </w:rPr>
        <w:t>自治区第二批</w:t>
      </w:r>
      <w:r>
        <w:rPr>
          <w:rFonts w:hint="eastAsia" w:eastAsia="仿宋_GB2312"/>
          <w:sz w:val="32"/>
          <w:szCs w:val="32"/>
          <w:lang w:val="en-US" w:eastAsia="zh-CN"/>
        </w:rPr>
        <w:t>卫生健康人才培养、</w:t>
      </w:r>
      <w:r>
        <w:rPr>
          <w:rFonts w:hint="default" w:ascii="Times New Roman" w:hAnsi="Times New Roman" w:eastAsia="仿宋_GB2312" w:cs="Times New Roman"/>
          <w:color w:val="auto"/>
          <w:spacing w:val="0"/>
          <w:sz w:val="32"/>
          <w:szCs w:val="32"/>
          <w:highlight w:val="none"/>
          <w:lang w:eastAsia="zh-CN"/>
        </w:rPr>
        <w:t>公共卫生服务</w:t>
      </w:r>
      <w:r>
        <w:rPr>
          <w:rFonts w:hint="eastAsia" w:ascii="Times New Roman" w:hAnsi="Times New Roman" w:eastAsia="仿宋_GB2312" w:cs="Times New Roman"/>
          <w:color w:val="auto"/>
          <w:spacing w:val="0"/>
          <w:sz w:val="32"/>
          <w:szCs w:val="32"/>
          <w:highlight w:val="none"/>
          <w:lang w:val="en-US" w:eastAsia="zh-CN"/>
        </w:rPr>
        <w:t>等</w:t>
      </w:r>
      <w:r>
        <w:rPr>
          <w:rFonts w:hint="eastAsia" w:eastAsia="仿宋_GB2312"/>
          <w:sz w:val="32"/>
          <w:szCs w:val="32"/>
          <w:lang w:val="en-US" w:eastAsia="zh-CN"/>
        </w:rPr>
        <w:t>项目，</w:t>
      </w:r>
      <w:r>
        <w:rPr>
          <w:rFonts w:eastAsia="仿宋_GB2312"/>
          <w:sz w:val="32"/>
          <w:szCs w:val="32"/>
        </w:rPr>
        <w:t>造成</w:t>
      </w:r>
      <w:r>
        <w:rPr>
          <w:rFonts w:hint="eastAsia" w:eastAsia="仿宋_GB2312"/>
          <w:sz w:val="32"/>
          <w:szCs w:val="32"/>
          <w:lang w:val="en-US" w:eastAsia="zh-CN"/>
        </w:rPr>
        <w:t>预决算</w:t>
      </w:r>
      <w:r>
        <w:rPr>
          <w:rFonts w:eastAsia="仿宋_GB2312"/>
          <w:sz w:val="32"/>
          <w:szCs w:val="32"/>
        </w:rPr>
        <w:t>差异。</w:t>
      </w:r>
    </w:p>
    <w:p w14:paraId="3B0D5699">
      <w:pPr>
        <w:ind w:firstLine="640" w:firstLineChars="200"/>
        <w:jc w:val="left"/>
        <w:outlineLvl w:val="1"/>
        <w:rPr>
          <w:rFonts w:eastAsia="黑体"/>
          <w:bCs/>
          <w:kern w:val="0"/>
          <w:sz w:val="32"/>
          <w:szCs w:val="32"/>
        </w:rPr>
      </w:pPr>
      <w:bookmarkStart w:id="16" w:name="_Toc20360"/>
      <w:bookmarkStart w:id="17" w:name="_Toc13833"/>
      <w:r>
        <w:rPr>
          <w:rFonts w:eastAsia="黑体"/>
          <w:bCs/>
          <w:kern w:val="0"/>
          <w:sz w:val="32"/>
          <w:szCs w:val="32"/>
        </w:rPr>
        <w:t>五、一般公共预算财政拨款支出决算情况说明</w:t>
      </w:r>
      <w:bookmarkEnd w:id="16"/>
      <w:bookmarkEnd w:id="17"/>
    </w:p>
    <w:p w14:paraId="3678A7F7">
      <w:pPr>
        <w:ind w:firstLine="640" w:firstLineChars="200"/>
        <w:jc w:val="left"/>
        <w:outlineLvl w:val="2"/>
        <w:rPr>
          <w:rFonts w:eastAsia="黑体"/>
          <w:sz w:val="32"/>
          <w:szCs w:val="32"/>
        </w:rPr>
      </w:pPr>
      <w:r>
        <w:rPr>
          <w:rFonts w:eastAsia="黑体"/>
          <w:sz w:val="32"/>
          <w:szCs w:val="32"/>
        </w:rPr>
        <w:t>（一）一般公共预算财政拨款支出决算总体情况</w:t>
      </w:r>
    </w:p>
    <w:p w14:paraId="397F9D80">
      <w:pPr>
        <w:ind w:firstLine="640" w:firstLineChars="200"/>
        <w:jc w:val="left"/>
        <w:rPr>
          <w:rFonts w:eastAsia="仿宋_GB2312"/>
          <w:sz w:val="32"/>
          <w:szCs w:val="32"/>
        </w:rPr>
      </w:pPr>
      <w:r>
        <w:rPr>
          <w:rFonts w:eastAsia="仿宋_GB2312"/>
          <w:sz w:val="32"/>
          <w:szCs w:val="32"/>
        </w:rPr>
        <w:t>2023年度一般公共预算财政拨款支出27,472.29万元，占本年支出合计的</w:t>
      </w:r>
      <w:r>
        <w:rPr>
          <w:rFonts w:eastAsia="仿宋_GB2312"/>
          <w:sz w:val="32"/>
          <w:szCs w:val="32"/>
          <w:lang w:val="zh-CN"/>
        </w:rPr>
        <w:t>92.76%</w:t>
      </w:r>
      <w:r>
        <w:rPr>
          <w:rFonts w:eastAsia="仿宋_GB2312"/>
          <w:sz w:val="32"/>
          <w:szCs w:val="32"/>
        </w:rPr>
        <w:t>。与上年相比，</w:t>
      </w:r>
      <w:r>
        <w:rPr>
          <w:rFonts w:eastAsia="仿宋_GB2312"/>
          <w:sz w:val="32"/>
          <w:szCs w:val="32"/>
          <w:lang w:val="zh-CN"/>
        </w:rPr>
        <w:t>减少8,649.45万元</w:t>
      </w:r>
      <w:r>
        <w:rPr>
          <w:rFonts w:eastAsia="仿宋_GB2312"/>
          <w:sz w:val="32"/>
          <w:szCs w:val="32"/>
        </w:rPr>
        <w:t>，下降23.95%，主要原因是：本年度重点工作较上年变化，疫情相关专项经费预算收支减少。与年初预算相比，年初预算数</w:t>
      </w:r>
      <w:r>
        <w:rPr>
          <w:rFonts w:eastAsia="仿宋_GB2312"/>
          <w:sz w:val="32"/>
          <w:szCs w:val="32"/>
          <w:lang w:val="zh-CN"/>
        </w:rPr>
        <w:t>21,535.07</w:t>
      </w:r>
      <w:r>
        <w:rPr>
          <w:rFonts w:eastAsia="仿宋_GB2312"/>
          <w:sz w:val="32"/>
          <w:szCs w:val="32"/>
        </w:rPr>
        <w:t>万元，决算数</w:t>
      </w:r>
      <w:r>
        <w:rPr>
          <w:rFonts w:eastAsia="仿宋_GB2312"/>
          <w:sz w:val="32"/>
          <w:szCs w:val="32"/>
          <w:lang w:val="zh-CN"/>
        </w:rPr>
        <w:t>27,472.29</w:t>
      </w:r>
      <w:r>
        <w:rPr>
          <w:rFonts w:eastAsia="仿宋_GB2312"/>
          <w:sz w:val="32"/>
          <w:szCs w:val="32"/>
        </w:rPr>
        <w:t>万元，预决算差异率</w:t>
      </w:r>
      <w:r>
        <w:rPr>
          <w:rFonts w:eastAsia="仿宋_GB2312"/>
          <w:sz w:val="32"/>
          <w:szCs w:val="32"/>
          <w:lang w:val="zh-CN"/>
        </w:rPr>
        <w:t>27.57%</w:t>
      </w:r>
      <w:r>
        <w:rPr>
          <w:rFonts w:eastAsia="仿宋_GB2312"/>
          <w:sz w:val="32"/>
          <w:szCs w:val="32"/>
        </w:rPr>
        <w:t>，主要原因是：年中预算执行时</w:t>
      </w:r>
      <w:r>
        <w:rPr>
          <w:rFonts w:hint="eastAsia" w:eastAsia="仿宋_GB2312"/>
          <w:sz w:val="32"/>
          <w:szCs w:val="32"/>
          <w:lang w:val="en-US" w:eastAsia="zh-CN"/>
        </w:rPr>
        <w:t>追加</w:t>
      </w:r>
      <w:r>
        <w:rPr>
          <w:rFonts w:eastAsia="仿宋_GB2312"/>
          <w:sz w:val="32"/>
          <w:szCs w:val="32"/>
        </w:rPr>
        <w:t>中央第二批</w:t>
      </w:r>
      <w:r>
        <w:rPr>
          <w:rFonts w:hint="eastAsia" w:ascii="Times New Roman" w:hAnsi="Times New Roman" w:eastAsia="仿宋_GB2312" w:cs="Times New Roman"/>
          <w:color w:val="auto"/>
          <w:spacing w:val="0"/>
          <w:sz w:val="32"/>
          <w:szCs w:val="32"/>
          <w:highlight w:val="none"/>
          <w:lang w:val="en-US" w:eastAsia="zh-CN"/>
        </w:rPr>
        <w:t>重大传染病</w:t>
      </w:r>
      <w:r>
        <w:rPr>
          <w:rFonts w:hint="default" w:ascii="Times New Roman" w:hAnsi="Times New Roman" w:eastAsia="仿宋_GB2312" w:cs="Times New Roman"/>
          <w:color w:val="auto"/>
          <w:spacing w:val="0"/>
          <w:sz w:val="32"/>
          <w:szCs w:val="32"/>
          <w:highlight w:val="none"/>
          <w:lang w:eastAsia="zh-CN"/>
        </w:rPr>
        <w:t>经费、</w:t>
      </w:r>
      <w:r>
        <w:rPr>
          <w:rFonts w:eastAsia="仿宋_GB2312"/>
          <w:sz w:val="32"/>
          <w:szCs w:val="32"/>
        </w:rPr>
        <w:t>自治区第二批</w:t>
      </w:r>
      <w:r>
        <w:rPr>
          <w:rFonts w:hint="eastAsia" w:eastAsia="仿宋_GB2312"/>
          <w:sz w:val="32"/>
          <w:szCs w:val="32"/>
          <w:lang w:val="en-US" w:eastAsia="zh-CN"/>
        </w:rPr>
        <w:t>卫生健康人才培养、</w:t>
      </w:r>
      <w:r>
        <w:rPr>
          <w:rFonts w:hint="default" w:ascii="Times New Roman" w:hAnsi="Times New Roman" w:eastAsia="仿宋_GB2312" w:cs="Times New Roman"/>
          <w:color w:val="auto"/>
          <w:spacing w:val="0"/>
          <w:sz w:val="32"/>
          <w:szCs w:val="32"/>
          <w:highlight w:val="none"/>
          <w:lang w:eastAsia="zh-CN"/>
        </w:rPr>
        <w:t>公共卫生服务</w:t>
      </w:r>
      <w:r>
        <w:rPr>
          <w:rFonts w:hint="eastAsia" w:ascii="Times New Roman" w:hAnsi="Times New Roman" w:eastAsia="仿宋_GB2312" w:cs="Times New Roman"/>
          <w:color w:val="auto"/>
          <w:spacing w:val="0"/>
          <w:sz w:val="32"/>
          <w:szCs w:val="32"/>
          <w:highlight w:val="none"/>
          <w:lang w:val="en-US" w:eastAsia="zh-CN"/>
        </w:rPr>
        <w:t>等</w:t>
      </w:r>
      <w:r>
        <w:rPr>
          <w:rFonts w:hint="eastAsia" w:eastAsia="仿宋_GB2312"/>
          <w:sz w:val="32"/>
          <w:szCs w:val="32"/>
          <w:lang w:val="en-US" w:eastAsia="zh-CN"/>
        </w:rPr>
        <w:t>项目，</w:t>
      </w:r>
      <w:r>
        <w:rPr>
          <w:rFonts w:eastAsia="仿宋_GB2312"/>
          <w:sz w:val="32"/>
          <w:szCs w:val="32"/>
        </w:rPr>
        <w:t>造成</w:t>
      </w:r>
      <w:r>
        <w:rPr>
          <w:rFonts w:hint="eastAsia" w:eastAsia="仿宋_GB2312"/>
          <w:sz w:val="32"/>
          <w:szCs w:val="32"/>
          <w:lang w:val="en-US" w:eastAsia="zh-CN"/>
        </w:rPr>
        <w:t>预决算</w:t>
      </w:r>
      <w:r>
        <w:rPr>
          <w:rFonts w:eastAsia="仿宋_GB2312"/>
          <w:sz w:val="32"/>
          <w:szCs w:val="32"/>
        </w:rPr>
        <w:t>差异。</w:t>
      </w:r>
    </w:p>
    <w:p w14:paraId="3742B78B">
      <w:pPr>
        <w:numPr>
          <w:ilvl w:val="0"/>
          <w:numId w:val="1"/>
        </w:numPr>
        <w:ind w:firstLine="640" w:firstLineChars="200"/>
        <w:jc w:val="left"/>
        <w:outlineLvl w:val="2"/>
        <w:rPr>
          <w:rFonts w:eastAsia="黑体"/>
          <w:sz w:val="32"/>
          <w:szCs w:val="32"/>
        </w:rPr>
      </w:pPr>
      <w:r>
        <w:rPr>
          <w:rFonts w:eastAsia="黑体"/>
          <w:sz w:val="32"/>
          <w:szCs w:val="32"/>
        </w:rPr>
        <w:t>一般公共预算财政拨款支出决算结构情况</w:t>
      </w:r>
    </w:p>
    <w:p w14:paraId="3D5C7412">
      <w:pPr>
        <w:pStyle w:val="9"/>
        <w:widowControl/>
        <w:spacing w:before="0" w:beforeAutospacing="0" w:after="0" w:afterAutospacing="0"/>
        <w:ind w:firstLine="640" w:firstLineChars="200"/>
        <w:rPr>
          <w:rFonts w:eastAsia="仿宋_GB2312"/>
          <w:kern w:val="2"/>
          <w:sz w:val="32"/>
          <w:szCs w:val="32"/>
          <w:lang w:val="zh-CN"/>
        </w:rPr>
      </w:pPr>
      <w:r>
        <w:rPr>
          <w:rFonts w:eastAsia="仿宋_GB2312"/>
          <w:kern w:val="2"/>
          <w:sz w:val="32"/>
          <w:szCs w:val="32"/>
          <w:lang w:val="zh-CN"/>
        </w:rPr>
        <w:t>1.社会保障和就业支出（类）993.51万元，占3.62%；</w:t>
      </w:r>
    </w:p>
    <w:p w14:paraId="6C6A931F">
      <w:pPr>
        <w:pStyle w:val="9"/>
        <w:widowControl/>
        <w:spacing w:before="0" w:beforeAutospacing="0" w:after="0" w:afterAutospacing="0"/>
        <w:ind w:firstLine="640" w:firstLineChars="200"/>
        <w:rPr>
          <w:rFonts w:eastAsia="仿宋_GB2312"/>
          <w:kern w:val="2"/>
          <w:sz w:val="32"/>
          <w:szCs w:val="32"/>
          <w:lang w:val="zh-CN"/>
        </w:rPr>
      </w:pPr>
      <w:r>
        <w:rPr>
          <w:rFonts w:eastAsia="仿宋_GB2312"/>
          <w:kern w:val="2"/>
          <w:sz w:val="32"/>
          <w:szCs w:val="32"/>
          <w:lang w:val="zh-CN"/>
        </w:rPr>
        <w:t>2.卫生健康支出（类）26,144.28万元，占95.1</w:t>
      </w:r>
      <w:r>
        <w:rPr>
          <w:rFonts w:hint="eastAsia" w:eastAsia="仿宋_GB2312"/>
          <w:kern w:val="2"/>
          <w:sz w:val="32"/>
          <w:szCs w:val="32"/>
          <w:lang w:val="en-US" w:eastAsia="zh-CN"/>
        </w:rPr>
        <w:t>6</w:t>
      </w:r>
      <w:r>
        <w:rPr>
          <w:rFonts w:eastAsia="仿宋_GB2312"/>
          <w:kern w:val="2"/>
          <w:sz w:val="32"/>
          <w:szCs w:val="32"/>
          <w:lang w:val="zh-CN"/>
        </w:rPr>
        <w:t>%；</w:t>
      </w:r>
    </w:p>
    <w:p w14:paraId="513A9CD2">
      <w:pPr>
        <w:pStyle w:val="9"/>
        <w:widowControl/>
        <w:spacing w:before="0" w:beforeAutospacing="0" w:after="0" w:afterAutospacing="0"/>
        <w:ind w:firstLine="640" w:firstLineChars="200"/>
        <w:rPr>
          <w:rFonts w:eastAsia="仿宋_GB2312"/>
          <w:kern w:val="2"/>
          <w:sz w:val="32"/>
          <w:szCs w:val="32"/>
          <w:lang w:val="zh-CN"/>
        </w:rPr>
      </w:pPr>
      <w:r>
        <w:rPr>
          <w:rFonts w:eastAsia="仿宋_GB2312"/>
          <w:kern w:val="2"/>
          <w:sz w:val="32"/>
          <w:szCs w:val="32"/>
          <w:lang w:val="zh-CN"/>
        </w:rPr>
        <w:t>3.住房保障支出（类）329.50万元，占1.20%；</w:t>
      </w:r>
    </w:p>
    <w:p w14:paraId="7EA058C3">
      <w:pPr>
        <w:pStyle w:val="9"/>
        <w:widowControl/>
        <w:spacing w:before="0" w:beforeAutospacing="0" w:after="0" w:afterAutospacing="0"/>
        <w:ind w:firstLine="640" w:firstLineChars="200"/>
        <w:rPr>
          <w:rFonts w:eastAsia="仿宋_GB2312"/>
          <w:kern w:val="2"/>
          <w:sz w:val="32"/>
          <w:szCs w:val="32"/>
          <w:lang w:val="zh-CN"/>
        </w:rPr>
      </w:pPr>
      <w:r>
        <w:rPr>
          <w:rFonts w:eastAsia="仿宋_GB2312"/>
          <w:kern w:val="2"/>
          <w:sz w:val="32"/>
          <w:szCs w:val="32"/>
          <w:lang w:val="zh-CN"/>
        </w:rPr>
        <w:t>4.</w:t>
      </w:r>
      <w:r>
        <w:rPr>
          <w:rFonts w:hint="eastAsia" w:eastAsia="仿宋_GB2312"/>
          <w:kern w:val="2"/>
          <w:sz w:val="32"/>
          <w:szCs w:val="32"/>
        </w:rPr>
        <w:t>灾</w:t>
      </w:r>
      <w:r>
        <w:rPr>
          <w:rFonts w:eastAsia="仿宋_GB2312"/>
          <w:kern w:val="2"/>
          <w:sz w:val="32"/>
          <w:szCs w:val="32"/>
          <w:lang w:val="zh-CN"/>
        </w:rPr>
        <w:t>害防治及应急管理支出（类）5.00万元，占0.02%；</w:t>
      </w:r>
    </w:p>
    <w:p w14:paraId="047757BC">
      <w:pPr>
        <w:ind w:firstLine="640" w:firstLineChars="200"/>
        <w:jc w:val="left"/>
        <w:outlineLvl w:val="2"/>
        <w:rPr>
          <w:rFonts w:eastAsia="黑体"/>
          <w:sz w:val="32"/>
          <w:szCs w:val="32"/>
        </w:rPr>
      </w:pPr>
      <w:r>
        <w:rPr>
          <w:rFonts w:eastAsia="黑体"/>
          <w:sz w:val="32"/>
          <w:szCs w:val="32"/>
        </w:rPr>
        <w:t>（三）一般公共预算财政拨款支出决算具体情况</w:t>
      </w:r>
    </w:p>
    <w:p w14:paraId="0B729C17">
      <w:pPr>
        <w:ind w:firstLine="640" w:firstLineChars="200"/>
        <w:rPr>
          <w:rFonts w:eastAsia="仿宋_GB2312"/>
          <w:sz w:val="32"/>
          <w:szCs w:val="32"/>
          <w:lang w:val="zh-CN"/>
        </w:rPr>
      </w:pPr>
      <w:r>
        <w:rPr>
          <w:rFonts w:eastAsia="仿宋_GB2312"/>
          <w:sz w:val="32"/>
          <w:szCs w:val="32"/>
        </w:rPr>
        <w:t>1.卫生健康支出（类）卫生健康管理事务（款）其他卫生健康管理事务支出（项）：支出决算数为2,138.68万元，比上年决算减少169.10万元，下降7.33%，主要原因是：</w:t>
      </w:r>
      <w:r>
        <w:rPr>
          <w:rFonts w:eastAsia="仿宋_GB2312"/>
          <w:sz w:val="32"/>
          <w:szCs w:val="32"/>
          <w:lang w:val="zh-CN"/>
        </w:rPr>
        <w:t>卫生健康人才队伍建设项目支出较上年减少。</w:t>
      </w:r>
    </w:p>
    <w:p w14:paraId="46C2ECF5">
      <w:pPr>
        <w:ind w:firstLine="640" w:firstLineChars="200"/>
        <w:rPr>
          <w:rFonts w:eastAsia="仿宋_GB2312"/>
          <w:sz w:val="32"/>
          <w:szCs w:val="32"/>
          <w:lang w:val="zh-CN"/>
        </w:rPr>
      </w:pPr>
      <w:r>
        <w:rPr>
          <w:rFonts w:eastAsia="仿宋_GB2312"/>
          <w:sz w:val="32"/>
          <w:szCs w:val="32"/>
        </w:rPr>
        <w:t>2.卫生健康支出（类）行政事业单位医疗（款）行政单位医疗（项）：支出决算数为179.52万元，比上年决算增加6.99万元，增长4.05%，主要原因是：</w:t>
      </w:r>
      <w:r>
        <w:rPr>
          <w:rFonts w:eastAsia="仿宋_GB2312"/>
          <w:sz w:val="32"/>
          <w:szCs w:val="32"/>
          <w:lang w:val="zh-CN"/>
        </w:rPr>
        <w:t>全区工资调整，相应经费随之增加。</w:t>
      </w:r>
    </w:p>
    <w:p w14:paraId="1EAF8A7D">
      <w:pPr>
        <w:ind w:firstLine="640" w:firstLineChars="200"/>
        <w:rPr>
          <w:rFonts w:eastAsia="仿宋_GB2312"/>
          <w:sz w:val="32"/>
          <w:szCs w:val="32"/>
          <w:lang w:val="zh-CN"/>
        </w:rPr>
      </w:pPr>
      <w:r>
        <w:rPr>
          <w:rFonts w:eastAsia="仿宋_GB2312"/>
          <w:sz w:val="32"/>
          <w:szCs w:val="32"/>
        </w:rPr>
        <w:t>3.卫生健康支出（类）卫生健康管理事务（款）行政运行（项）：支出决算数为4,235.02万元，比上年决算减少247.87万元，下降5.53%，主要原因是：</w:t>
      </w:r>
      <w:r>
        <w:rPr>
          <w:rFonts w:eastAsia="仿宋_GB2312"/>
          <w:sz w:val="32"/>
          <w:szCs w:val="32"/>
          <w:lang w:val="zh-CN"/>
        </w:rPr>
        <w:t>缩减日常开支，建设节约型机关。</w:t>
      </w:r>
    </w:p>
    <w:p w14:paraId="6FE549BB">
      <w:pPr>
        <w:ind w:firstLine="640" w:firstLineChars="200"/>
        <w:rPr>
          <w:rFonts w:eastAsia="仿宋_GB2312"/>
          <w:sz w:val="32"/>
          <w:szCs w:val="32"/>
          <w:lang w:val="zh-CN"/>
        </w:rPr>
      </w:pPr>
      <w:r>
        <w:rPr>
          <w:rFonts w:eastAsia="仿宋_GB2312"/>
          <w:sz w:val="32"/>
          <w:szCs w:val="32"/>
        </w:rPr>
        <w:t>4.卫生健康支出（类）行政事业单位医疗（款）事业单位医疗（项）：支出决算数为26.95万元，比上年决算增加6.62万元，增长32.5</w:t>
      </w:r>
      <w:r>
        <w:rPr>
          <w:rFonts w:hint="eastAsia" w:eastAsia="仿宋_GB2312"/>
          <w:sz w:val="32"/>
          <w:szCs w:val="32"/>
        </w:rPr>
        <w:t>6</w:t>
      </w:r>
      <w:r>
        <w:rPr>
          <w:rFonts w:eastAsia="仿宋_GB2312"/>
          <w:sz w:val="32"/>
          <w:szCs w:val="32"/>
        </w:rPr>
        <w:t>%，主要原因是：</w:t>
      </w:r>
      <w:r>
        <w:rPr>
          <w:rFonts w:eastAsia="仿宋_GB2312"/>
          <w:sz w:val="32"/>
          <w:szCs w:val="32"/>
          <w:lang w:val="zh-CN"/>
        </w:rPr>
        <w:t>全区工资调整，相应经费随之增加。</w:t>
      </w:r>
    </w:p>
    <w:p w14:paraId="7604FA50">
      <w:pPr>
        <w:ind w:firstLine="640" w:firstLineChars="200"/>
        <w:rPr>
          <w:rFonts w:eastAsia="仿宋_GB2312"/>
          <w:sz w:val="32"/>
          <w:szCs w:val="32"/>
          <w:lang w:val="zh-CN"/>
        </w:rPr>
      </w:pPr>
      <w:r>
        <w:rPr>
          <w:rFonts w:eastAsia="仿宋_GB2312"/>
          <w:sz w:val="32"/>
          <w:szCs w:val="32"/>
        </w:rPr>
        <w:t>5.卫生健康支出（类）卫生健康管理事务（款）一般行政管理事务（项）：支出决算数为1,446.79万元，比上年决算增加529.03万元，增长57.64%，主要原因是：</w:t>
      </w:r>
      <w:r>
        <w:rPr>
          <w:rFonts w:eastAsia="仿宋_GB2312"/>
          <w:sz w:val="32"/>
          <w:szCs w:val="32"/>
          <w:lang w:val="zh-CN"/>
        </w:rPr>
        <w:t>一般行政管理事务支出增加，本年度卫生健康综合事务管理项目重点用于对卫生健康重大项目保障、卫生健康管理人才队伍建设等工作。</w:t>
      </w:r>
    </w:p>
    <w:p w14:paraId="2C782FD6">
      <w:pPr>
        <w:ind w:firstLine="640" w:firstLineChars="200"/>
        <w:rPr>
          <w:rFonts w:eastAsia="仿宋_GB2312"/>
          <w:sz w:val="32"/>
          <w:szCs w:val="32"/>
          <w:lang w:val="zh-CN"/>
        </w:rPr>
      </w:pPr>
      <w:r>
        <w:rPr>
          <w:rFonts w:eastAsia="仿宋_GB2312"/>
          <w:sz w:val="32"/>
          <w:szCs w:val="32"/>
        </w:rPr>
        <w:t>6.卫生健康支出（类）公共卫生（款）突发公共卫生事件应急处理（项）：支出决算数为3,495.00万元，比上年决算增加3,255.74万元，增长1360.7</w:t>
      </w:r>
      <w:r>
        <w:rPr>
          <w:rFonts w:hint="eastAsia" w:eastAsia="仿宋_GB2312"/>
          <w:sz w:val="32"/>
          <w:szCs w:val="32"/>
        </w:rPr>
        <w:t>5</w:t>
      </w:r>
      <w:r>
        <w:rPr>
          <w:rFonts w:eastAsia="仿宋_GB2312"/>
          <w:sz w:val="32"/>
          <w:szCs w:val="32"/>
        </w:rPr>
        <w:t>%，主要原因是：</w:t>
      </w:r>
      <w:r>
        <w:rPr>
          <w:rFonts w:eastAsia="仿宋_GB2312"/>
          <w:sz w:val="32"/>
          <w:szCs w:val="32"/>
          <w:lang w:val="zh-CN"/>
        </w:rPr>
        <w:t>疫情防控收尾工作项目结算。</w:t>
      </w:r>
    </w:p>
    <w:p w14:paraId="52F5BBF1">
      <w:pPr>
        <w:ind w:firstLine="640" w:firstLineChars="200"/>
        <w:rPr>
          <w:rFonts w:eastAsia="仿宋_GB2312"/>
          <w:sz w:val="32"/>
          <w:szCs w:val="32"/>
          <w:lang w:val="zh-CN"/>
        </w:rPr>
      </w:pPr>
      <w:r>
        <w:rPr>
          <w:rFonts w:eastAsia="仿宋_GB2312"/>
          <w:sz w:val="32"/>
          <w:szCs w:val="32"/>
        </w:rPr>
        <w:t>7.卫生健康支出（类）行政事业单位医疗（款）公务员医疗补助（项）：支出决算数为192.70万元，比上年决算增加42.71万元，增长28.47%，主要原因是：</w:t>
      </w:r>
      <w:r>
        <w:rPr>
          <w:rFonts w:hint="eastAsia" w:eastAsia="仿宋_GB2312"/>
          <w:sz w:val="32"/>
          <w:szCs w:val="32"/>
          <w:lang w:val="zh-CN"/>
        </w:rPr>
        <w:t>本年度基数调整，相关支出增加</w:t>
      </w:r>
      <w:r>
        <w:rPr>
          <w:rFonts w:eastAsia="仿宋_GB2312"/>
          <w:sz w:val="32"/>
          <w:szCs w:val="32"/>
          <w:lang w:val="zh-CN"/>
        </w:rPr>
        <w:t>。</w:t>
      </w:r>
    </w:p>
    <w:p w14:paraId="5752C8E6">
      <w:pPr>
        <w:ind w:firstLine="640" w:firstLineChars="200"/>
        <w:rPr>
          <w:rFonts w:eastAsia="仿宋_GB2312"/>
          <w:sz w:val="32"/>
          <w:szCs w:val="32"/>
          <w:lang w:val="zh-CN"/>
        </w:rPr>
      </w:pPr>
      <w:r>
        <w:rPr>
          <w:rFonts w:eastAsia="仿宋_GB2312"/>
          <w:sz w:val="32"/>
          <w:szCs w:val="32"/>
        </w:rPr>
        <w:t>8.卫生健康支出（类）公共卫生（款）其他公共卫生支出（项）：支出决算数为472.00万元，比上年决算减少580.56万元，下降55.16%，主要原因是：</w:t>
      </w:r>
      <w:r>
        <w:rPr>
          <w:rFonts w:eastAsia="仿宋_GB2312"/>
          <w:sz w:val="32"/>
          <w:szCs w:val="32"/>
          <w:lang w:val="zh-CN"/>
        </w:rPr>
        <w:t>减少其他公共卫生专项资金安排与列支。</w:t>
      </w:r>
    </w:p>
    <w:p w14:paraId="640ED5ED">
      <w:pPr>
        <w:ind w:firstLine="640" w:firstLineChars="200"/>
        <w:rPr>
          <w:rFonts w:eastAsia="仿宋_GB2312"/>
          <w:sz w:val="32"/>
          <w:szCs w:val="32"/>
          <w:lang w:val="zh-CN"/>
        </w:rPr>
      </w:pPr>
      <w:r>
        <w:rPr>
          <w:rFonts w:eastAsia="仿宋_GB2312"/>
          <w:sz w:val="32"/>
          <w:szCs w:val="32"/>
        </w:rPr>
        <w:t>9.卫生健康支出（类）医疗保障管理事务（款）其他医疗保障管理事务支出（项）：支出决算数为4,568.74万元，比上年决算增加2,190.11万元，增长92.07%，主要原因是：</w:t>
      </w:r>
      <w:r>
        <w:rPr>
          <w:rFonts w:eastAsia="仿宋_GB2312"/>
          <w:sz w:val="32"/>
          <w:szCs w:val="32"/>
          <w:lang w:val="zh-CN"/>
        </w:rPr>
        <w:t>保健工作专项费用增加。</w:t>
      </w:r>
    </w:p>
    <w:p w14:paraId="3868CFEA">
      <w:pPr>
        <w:ind w:firstLine="640" w:firstLineChars="200"/>
        <w:rPr>
          <w:rFonts w:eastAsia="仿宋_GB2312"/>
          <w:sz w:val="32"/>
          <w:szCs w:val="32"/>
          <w:lang w:val="zh-CN"/>
        </w:rPr>
      </w:pPr>
      <w:r>
        <w:rPr>
          <w:rFonts w:eastAsia="仿宋_GB2312"/>
          <w:sz w:val="32"/>
          <w:szCs w:val="32"/>
        </w:rPr>
        <w:t>10.住房保障支出（类）住房改革支出（款）住房公积金（项）：支出决算数为329.50万元，比上年决算增加61.64万元，增长23.01%，主要原因是：</w:t>
      </w:r>
      <w:r>
        <w:rPr>
          <w:rFonts w:hint="eastAsia" w:eastAsia="仿宋_GB2312"/>
          <w:sz w:val="32"/>
          <w:szCs w:val="32"/>
          <w:lang w:val="zh-CN"/>
        </w:rPr>
        <w:t>本年度基数调整，相关支出增加</w:t>
      </w:r>
      <w:r>
        <w:rPr>
          <w:rFonts w:eastAsia="仿宋_GB2312"/>
          <w:sz w:val="32"/>
          <w:szCs w:val="32"/>
          <w:lang w:val="zh-CN"/>
        </w:rPr>
        <w:t>。</w:t>
      </w:r>
    </w:p>
    <w:p w14:paraId="7227487B">
      <w:pPr>
        <w:ind w:firstLine="640" w:firstLineChars="200"/>
        <w:rPr>
          <w:rFonts w:eastAsia="仿宋_GB2312"/>
          <w:sz w:val="32"/>
          <w:szCs w:val="32"/>
          <w:lang w:val="zh-CN"/>
        </w:rPr>
      </w:pPr>
      <w:r>
        <w:rPr>
          <w:rFonts w:eastAsia="仿宋_GB2312"/>
          <w:sz w:val="32"/>
          <w:szCs w:val="32"/>
        </w:rPr>
        <w:t>11.灾害防治及应急管理支出（类）应急管理事务（款）安全监管（项）：支出决算数为5.00万元，比上年决算增加5.00万元，增长100%，主要原因是：2022年度</w:t>
      </w:r>
      <w:r>
        <w:rPr>
          <w:rFonts w:eastAsia="仿宋_GB2312"/>
          <w:sz w:val="32"/>
          <w:szCs w:val="32"/>
          <w:lang w:val="zh-CN"/>
        </w:rPr>
        <w:t>应急安全管理工作完成较好，</w:t>
      </w:r>
      <w:r>
        <w:rPr>
          <w:rFonts w:hint="eastAsia" w:eastAsia="仿宋_GB2312" w:cs="Times New Roman"/>
          <w:color w:val="auto"/>
          <w:kern w:val="2"/>
          <w:sz w:val="32"/>
          <w:szCs w:val="32"/>
          <w:highlight w:val="none"/>
          <w:lang w:val="en-US" w:eastAsia="zh-CN" w:bidi="ar-SA"/>
        </w:rPr>
        <w:t>2023年新增自治区安全生产应急（安全生产目标考核奖励）资金项目</w:t>
      </w:r>
      <w:r>
        <w:rPr>
          <w:rFonts w:eastAsia="仿宋_GB2312"/>
          <w:sz w:val="32"/>
          <w:szCs w:val="32"/>
          <w:lang w:val="zh-CN"/>
        </w:rPr>
        <w:t>。</w:t>
      </w:r>
    </w:p>
    <w:p w14:paraId="758D3486">
      <w:pPr>
        <w:ind w:firstLine="640" w:firstLineChars="200"/>
        <w:rPr>
          <w:rFonts w:eastAsia="仿宋_GB2312"/>
          <w:sz w:val="32"/>
          <w:szCs w:val="32"/>
          <w:lang w:val="zh-CN"/>
        </w:rPr>
      </w:pPr>
      <w:r>
        <w:rPr>
          <w:rFonts w:eastAsia="仿宋_GB2312"/>
          <w:sz w:val="32"/>
          <w:szCs w:val="32"/>
        </w:rPr>
        <w:t>12.卫生健康支出（类）老龄卫生健康事务（款）老龄卫生健康事务（项）：支出决算数为15.00万元，比上年决算增加0.00万元，增长0.00%，主要原因是：</w:t>
      </w:r>
      <w:r>
        <w:rPr>
          <w:rFonts w:eastAsia="仿宋_GB2312"/>
          <w:sz w:val="32"/>
          <w:szCs w:val="32"/>
          <w:lang w:val="zh-CN"/>
        </w:rPr>
        <w:t>无增减变化。</w:t>
      </w:r>
    </w:p>
    <w:p w14:paraId="32CB4385">
      <w:pPr>
        <w:ind w:firstLine="640" w:firstLineChars="200"/>
        <w:rPr>
          <w:rFonts w:eastAsia="仿宋_GB2312"/>
          <w:sz w:val="32"/>
          <w:szCs w:val="32"/>
          <w:lang w:val="zh-CN"/>
        </w:rPr>
      </w:pPr>
      <w:r>
        <w:rPr>
          <w:rFonts w:eastAsia="仿宋_GB2312"/>
          <w:sz w:val="32"/>
          <w:szCs w:val="32"/>
        </w:rPr>
        <w:t>13.卫生健康支出（类）中医药（款）中医（民族医）药专项（项）：支出决算数为105.30万元，比上年决算减少126.30万元，下降54.53%，主要原因是：</w:t>
      </w:r>
      <w:r>
        <w:rPr>
          <w:rFonts w:eastAsia="仿宋_GB2312"/>
          <w:sz w:val="32"/>
          <w:szCs w:val="32"/>
          <w:lang w:val="zh-CN"/>
        </w:rPr>
        <w:t>疫情工作结束，中医药相关专项费用减少。</w:t>
      </w:r>
    </w:p>
    <w:p w14:paraId="34E6A7A4">
      <w:pPr>
        <w:ind w:firstLine="640" w:firstLineChars="200"/>
        <w:rPr>
          <w:rFonts w:eastAsia="仿宋_GB2312"/>
          <w:sz w:val="32"/>
          <w:szCs w:val="32"/>
          <w:lang w:val="zh-CN"/>
        </w:rPr>
      </w:pPr>
      <w:r>
        <w:rPr>
          <w:rFonts w:eastAsia="仿宋_GB2312"/>
          <w:sz w:val="32"/>
          <w:szCs w:val="32"/>
        </w:rPr>
        <w:t>14.社会保障和就业支出（类）行政事业单位养老支出（款）行政单位离退休（项）：支出决算数为418.29万元，比上年决算增加108.50万元，增长35.03%，主要原因是：</w:t>
      </w:r>
      <w:r>
        <w:rPr>
          <w:rFonts w:eastAsia="仿宋_GB2312"/>
          <w:sz w:val="32"/>
          <w:szCs w:val="32"/>
          <w:lang w:val="zh-CN"/>
        </w:rPr>
        <w:t>全区工资调整，相应经费随之增加。</w:t>
      </w:r>
    </w:p>
    <w:p w14:paraId="1837DBB6">
      <w:pPr>
        <w:ind w:firstLine="640" w:firstLineChars="200"/>
        <w:rPr>
          <w:rFonts w:eastAsia="仿宋_GB2312"/>
          <w:sz w:val="32"/>
          <w:szCs w:val="32"/>
          <w:lang w:val="zh-CN"/>
        </w:rPr>
      </w:pPr>
      <w:r>
        <w:rPr>
          <w:rFonts w:eastAsia="仿宋_GB2312"/>
          <w:sz w:val="32"/>
          <w:szCs w:val="32"/>
        </w:rPr>
        <w:t>15.卫生健康支出（类）公共卫生（款）基本公共卫生服务（项）：支出决算数为2,207.57万元，比上年决算增加59.06万元，增长2.75%，主要原因是：</w:t>
      </w:r>
      <w:r>
        <w:rPr>
          <w:rFonts w:eastAsia="仿宋_GB2312"/>
          <w:sz w:val="32"/>
          <w:szCs w:val="32"/>
          <w:lang w:val="zh-CN"/>
        </w:rPr>
        <w:t>基本公共卫生资金标准上调，相关专项分配增加。</w:t>
      </w:r>
    </w:p>
    <w:p w14:paraId="5438CD35">
      <w:pPr>
        <w:ind w:firstLine="640" w:firstLineChars="200"/>
        <w:rPr>
          <w:rFonts w:eastAsia="仿宋_GB2312"/>
          <w:sz w:val="32"/>
          <w:szCs w:val="32"/>
          <w:lang w:val="zh-CN"/>
        </w:rPr>
      </w:pPr>
      <w:r>
        <w:rPr>
          <w:rFonts w:eastAsia="仿宋_GB2312"/>
          <w:sz w:val="32"/>
          <w:szCs w:val="32"/>
        </w:rPr>
        <w:t>16.社会保障和就业支出（类）行政事业单位养老支出（款）机关事业单位职业年金缴费支出（项）：支出决算数为135.89万元，比上年决算增加61.71万元，增长83.20%，主要原因是：</w:t>
      </w:r>
      <w:r>
        <w:rPr>
          <w:rFonts w:eastAsia="仿宋_GB2312"/>
          <w:sz w:val="32"/>
          <w:szCs w:val="32"/>
          <w:lang w:val="zh-CN"/>
        </w:rPr>
        <w:t>全区工资调整，相应经费随之增加，且本年度退休人数增加。</w:t>
      </w:r>
    </w:p>
    <w:p w14:paraId="3CED5D40">
      <w:pPr>
        <w:ind w:firstLine="640" w:firstLineChars="200"/>
        <w:rPr>
          <w:rFonts w:eastAsia="仿宋_GB2312"/>
          <w:sz w:val="32"/>
          <w:szCs w:val="32"/>
          <w:lang w:val="zh-CN"/>
        </w:rPr>
      </w:pPr>
      <w:r>
        <w:rPr>
          <w:rFonts w:eastAsia="仿宋_GB2312"/>
          <w:sz w:val="32"/>
          <w:szCs w:val="32"/>
        </w:rPr>
        <w:t>17.卫生健康支出（类）公共卫生（款）重大公共卫生服务（项）：支出决算数为7,061.01万元，比上年决算减少13,929.93万元，下降66.36%，主要原因是：</w:t>
      </w:r>
      <w:r>
        <w:rPr>
          <w:rFonts w:eastAsia="仿宋_GB2312"/>
          <w:sz w:val="32"/>
          <w:szCs w:val="32"/>
          <w:lang w:val="zh-CN"/>
        </w:rPr>
        <w:t>疫情工作结束，重大传染病资金支出减少。</w:t>
      </w:r>
    </w:p>
    <w:p w14:paraId="300FA8D5">
      <w:pPr>
        <w:ind w:firstLine="640" w:firstLineChars="200"/>
        <w:rPr>
          <w:rFonts w:eastAsia="仿宋_GB2312"/>
          <w:sz w:val="32"/>
          <w:szCs w:val="32"/>
          <w:lang w:val="zh-CN"/>
        </w:rPr>
      </w:pPr>
      <w:r>
        <w:rPr>
          <w:rFonts w:eastAsia="仿宋_GB2312"/>
          <w:sz w:val="32"/>
          <w:szCs w:val="32"/>
        </w:rPr>
        <w:t>18.社会保障和就业支出（类）行政事业单位养老支出（款）机关事业单位基本养老保险缴费支出（项）：支出决算数为439.33万元，比上年决算增加82.19万元，增长23.01%，主要原因是：</w:t>
      </w:r>
      <w:r>
        <w:rPr>
          <w:rFonts w:eastAsia="仿宋_GB2312"/>
          <w:sz w:val="32"/>
          <w:szCs w:val="32"/>
          <w:lang w:val="zh-CN"/>
        </w:rPr>
        <w:t>全区工资调整，相应经费随之增加。</w:t>
      </w:r>
    </w:p>
    <w:p w14:paraId="67086EB8">
      <w:pPr>
        <w:ind w:firstLine="640" w:firstLineChars="200"/>
        <w:rPr>
          <w:rFonts w:eastAsia="仿宋_GB2312"/>
          <w:sz w:val="32"/>
          <w:szCs w:val="32"/>
          <w:lang w:val="zh-CN"/>
        </w:rPr>
      </w:pPr>
      <w:r>
        <w:rPr>
          <w:rFonts w:eastAsia="仿宋_GB2312"/>
          <w:sz w:val="32"/>
          <w:szCs w:val="32"/>
        </w:rPr>
        <w:t>19.灾害防治及应急管理支出（类）应急管理事务（款）应急管理（项）：支出决算数为0.00万元，比上年决算减少5.00万元，下降100%，主要原因是：</w:t>
      </w:r>
      <w:r>
        <w:rPr>
          <w:rFonts w:eastAsia="仿宋_GB2312"/>
          <w:sz w:val="32"/>
          <w:szCs w:val="32"/>
          <w:lang w:val="zh-CN"/>
        </w:rPr>
        <w:t>该项目调整至安全监管项目，故一增一减。</w:t>
      </w:r>
    </w:p>
    <w:p w14:paraId="15C7905B">
      <w:pPr>
        <w:ind w:firstLine="640" w:firstLineChars="200"/>
        <w:jc w:val="left"/>
        <w:outlineLvl w:val="1"/>
        <w:rPr>
          <w:rFonts w:eastAsia="黑体"/>
          <w:bCs/>
          <w:kern w:val="0"/>
          <w:sz w:val="32"/>
          <w:szCs w:val="32"/>
        </w:rPr>
      </w:pPr>
      <w:r>
        <w:rPr>
          <w:rFonts w:eastAsia="黑体"/>
          <w:bCs/>
          <w:kern w:val="0"/>
          <w:sz w:val="32"/>
          <w:szCs w:val="32"/>
        </w:rPr>
        <w:t>六、一般公共预算财政拨款基本支出决算情况说明</w:t>
      </w:r>
    </w:p>
    <w:p w14:paraId="2B1AAE51">
      <w:pPr>
        <w:ind w:firstLine="640" w:firstLineChars="200"/>
        <w:jc w:val="left"/>
        <w:rPr>
          <w:rFonts w:eastAsia="仿宋_GB2312"/>
          <w:sz w:val="32"/>
          <w:szCs w:val="32"/>
        </w:rPr>
      </w:pPr>
      <w:r>
        <w:rPr>
          <w:rFonts w:eastAsia="仿宋_GB2312"/>
          <w:sz w:val="32"/>
          <w:szCs w:val="32"/>
        </w:rPr>
        <w:t>2023年度一般公共预算财政拨款基本支出6,467.95万元，其中：人员经费5,651.82万元，包括：基本工资、津贴补贴、奖金、绩效工资、机关事业单位基本养老保险缴费、职业年金缴费、职工基本医疗保险缴费、公务员医疗补助缴费、其他社会保障缴费、住房公积金、其他工资福利支出、离休费、退休费、抚恤金、其他对个人和家庭的补助。</w:t>
      </w:r>
    </w:p>
    <w:p w14:paraId="45E605E4">
      <w:pPr>
        <w:ind w:firstLine="640" w:firstLineChars="200"/>
        <w:jc w:val="left"/>
        <w:rPr>
          <w:rFonts w:eastAsia="仿宋_GB2312"/>
          <w:sz w:val="32"/>
          <w:szCs w:val="32"/>
          <w:highlight w:val="red"/>
        </w:rPr>
      </w:pPr>
      <w:r>
        <w:rPr>
          <w:rFonts w:eastAsia="仿宋_GB2312"/>
          <w:sz w:val="32"/>
          <w:szCs w:val="32"/>
        </w:rPr>
        <w:t>公用经费816.13万元，包括：办公费、印刷费、水费、电费、邮电费、取暖费、物业管理费、差旅费、维修（护）费、公务接待费、劳务费、工会经费、福利费、公务用车运行维护费、其他交通费用、税金及附加费用、其他商品和服务支出、办公设备购置、专用设备购置、公务用车购置、无形资产购置。</w:t>
      </w:r>
    </w:p>
    <w:p w14:paraId="7E04155B">
      <w:pPr>
        <w:ind w:firstLine="640" w:firstLineChars="200"/>
        <w:jc w:val="left"/>
        <w:outlineLvl w:val="1"/>
        <w:rPr>
          <w:rFonts w:eastAsia="黑体"/>
          <w:bCs/>
          <w:kern w:val="0"/>
          <w:sz w:val="32"/>
          <w:szCs w:val="32"/>
        </w:rPr>
      </w:pPr>
      <w:r>
        <w:rPr>
          <w:rFonts w:eastAsia="黑体"/>
          <w:bCs/>
          <w:kern w:val="0"/>
          <w:sz w:val="32"/>
          <w:szCs w:val="32"/>
        </w:rPr>
        <w:t>七、财政拨款“三公”经费支出决算情况说明</w:t>
      </w:r>
    </w:p>
    <w:p w14:paraId="494B3277">
      <w:pPr>
        <w:ind w:firstLine="640" w:firstLineChars="200"/>
        <w:jc w:val="left"/>
        <w:rPr>
          <w:rFonts w:eastAsia="仿宋_GB2312"/>
          <w:sz w:val="32"/>
          <w:szCs w:val="32"/>
          <w:lang w:val="zh-CN"/>
        </w:rPr>
      </w:pPr>
      <w:r>
        <w:rPr>
          <w:rFonts w:eastAsia="仿宋_GB2312"/>
          <w:sz w:val="32"/>
          <w:szCs w:val="32"/>
          <w:lang w:val="zh-CN"/>
        </w:rPr>
        <w:t>2023年度</w:t>
      </w:r>
      <w:r>
        <w:rPr>
          <w:rFonts w:eastAsia="仿宋_GB2312"/>
          <w:sz w:val="32"/>
          <w:szCs w:val="32"/>
        </w:rPr>
        <w:t>财政拨款</w:t>
      </w:r>
      <w:r>
        <w:rPr>
          <w:rFonts w:eastAsia="仿宋_GB2312"/>
          <w:sz w:val="32"/>
          <w:szCs w:val="32"/>
          <w:lang w:val="zh-CN"/>
        </w:rPr>
        <w:t>“三公”经费支出79.98万元，</w:t>
      </w:r>
      <w:r>
        <w:rPr>
          <w:rFonts w:eastAsia="仿宋_GB2312"/>
          <w:sz w:val="32"/>
          <w:szCs w:val="32"/>
        </w:rPr>
        <w:t>比上年</w:t>
      </w:r>
      <w:r>
        <w:rPr>
          <w:rFonts w:eastAsia="仿宋_GB2312"/>
          <w:sz w:val="32"/>
          <w:szCs w:val="32"/>
          <w:lang w:val="zh-CN"/>
        </w:rPr>
        <w:t>增加9.82万元，</w:t>
      </w:r>
      <w:r>
        <w:rPr>
          <w:rFonts w:eastAsia="仿宋_GB2312"/>
          <w:sz w:val="32"/>
          <w:szCs w:val="32"/>
        </w:rPr>
        <w:t>增长13.99%，</w:t>
      </w:r>
      <w:r>
        <w:rPr>
          <w:rFonts w:eastAsia="仿宋_GB2312"/>
          <w:sz w:val="32"/>
          <w:szCs w:val="32"/>
          <w:lang w:val="zh-CN"/>
        </w:rPr>
        <w:t>主要原因是：</w:t>
      </w:r>
      <w:r>
        <w:rPr>
          <w:rFonts w:hint="eastAsia" w:ascii="Times New Roman" w:hAnsi="Times New Roman" w:eastAsia="仿宋_GB2312" w:cs="Times New Roman"/>
          <w:color w:val="auto"/>
          <w:sz w:val="32"/>
          <w:szCs w:val="32"/>
          <w:highlight w:val="none"/>
          <w:lang w:val="en-US" w:eastAsia="zh-CN"/>
        </w:rPr>
        <w:t>我单位车辆老旧报废，结合工作需要</w:t>
      </w:r>
      <w:r>
        <w:rPr>
          <w:rFonts w:hint="eastAsia" w:eastAsia="仿宋_GB2312" w:cs="Times New Roman"/>
          <w:color w:val="auto"/>
          <w:sz w:val="32"/>
          <w:szCs w:val="32"/>
          <w:highlight w:val="none"/>
          <w:lang w:val="en-US" w:eastAsia="zh-CN"/>
        </w:rPr>
        <w:t>新增</w:t>
      </w:r>
      <w:r>
        <w:rPr>
          <w:rFonts w:hint="eastAsia" w:ascii="Times New Roman" w:hAnsi="Times New Roman" w:eastAsia="仿宋_GB2312" w:cs="Times New Roman"/>
          <w:color w:val="auto"/>
          <w:sz w:val="32"/>
          <w:szCs w:val="32"/>
          <w:highlight w:val="none"/>
          <w:lang w:val="en-US" w:eastAsia="zh-CN"/>
        </w:rPr>
        <w:t>购置公务车辆</w:t>
      </w:r>
      <w:r>
        <w:rPr>
          <w:rFonts w:eastAsia="仿宋_GB2312"/>
          <w:sz w:val="32"/>
          <w:szCs w:val="32"/>
          <w:lang w:val="zh-CN"/>
        </w:rPr>
        <w:t>。其中：因公出国（境）费支出0.00万元，占0.00%，比上年增加0.00万元，</w:t>
      </w:r>
      <w:r>
        <w:rPr>
          <w:rFonts w:eastAsia="仿宋_GB2312"/>
          <w:sz w:val="32"/>
          <w:szCs w:val="32"/>
        </w:rPr>
        <w:t>增长0.00%，</w:t>
      </w:r>
      <w:r>
        <w:rPr>
          <w:rFonts w:eastAsia="仿宋_GB2312"/>
          <w:sz w:val="32"/>
          <w:szCs w:val="32"/>
          <w:lang w:val="zh-CN"/>
        </w:rPr>
        <w:t>主要原因是：无变动，无因公出国事项；公务用车购置及运行维护费支出79.96万元，占99.97%，比上年增加9.79万元，</w:t>
      </w:r>
      <w:r>
        <w:rPr>
          <w:rFonts w:eastAsia="仿宋_GB2312"/>
          <w:sz w:val="32"/>
          <w:szCs w:val="32"/>
        </w:rPr>
        <w:t>增长13.95%，</w:t>
      </w:r>
      <w:r>
        <w:rPr>
          <w:rFonts w:eastAsia="仿宋_GB2312"/>
          <w:sz w:val="32"/>
          <w:szCs w:val="32"/>
          <w:lang w:val="zh-CN"/>
        </w:rPr>
        <w:t>主要原因是：</w:t>
      </w:r>
      <w:r>
        <w:rPr>
          <w:rFonts w:hint="eastAsia" w:ascii="Times New Roman" w:hAnsi="Times New Roman" w:eastAsia="仿宋_GB2312" w:cs="Times New Roman"/>
          <w:color w:val="auto"/>
          <w:sz w:val="32"/>
          <w:szCs w:val="32"/>
          <w:highlight w:val="none"/>
          <w:lang w:val="en-US" w:eastAsia="zh-CN"/>
        </w:rPr>
        <w:t>我单位车辆老旧报废，结合工作需要</w:t>
      </w:r>
      <w:r>
        <w:rPr>
          <w:rFonts w:hint="eastAsia" w:eastAsia="仿宋_GB2312" w:cs="Times New Roman"/>
          <w:color w:val="auto"/>
          <w:sz w:val="32"/>
          <w:szCs w:val="32"/>
          <w:highlight w:val="none"/>
          <w:lang w:val="en-US" w:eastAsia="zh-CN"/>
        </w:rPr>
        <w:t>新增</w:t>
      </w:r>
      <w:r>
        <w:rPr>
          <w:rFonts w:hint="eastAsia" w:ascii="Times New Roman" w:hAnsi="Times New Roman" w:eastAsia="仿宋_GB2312" w:cs="Times New Roman"/>
          <w:color w:val="auto"/>
          <w:sz w:val="32"/>
          <w:szCs w:val="32"/>
          <w:highlight w:val="none"/>
          <w:lang w:val="en-US" w:eastAsia="zh-CN"/>
        </w:rPr>
        <w:t>购置公务车辆</w:t>
      </w:r>
      <w:r>
        <w:rPr>
          <w:rFonts w:eastAsia="仿宋_GB2312"/>
          <w:sz w:val="32"/>
          <w:szCs w:val="32"/>
          <w:lang w:val="zh-CN"/>
        </w:rPr>
        <w:t>；公务接待费支出0.02万元，占0.03%，比上年增加0.02万元，</w:t>
      </w:r>
      <w:r>
        <w:rPr>
          <w:rFonts w:eastAsia="仿宋_GB2312"/>
          <w:sz w:val="32"/>
          <w:szCs w:val="32"/>
        </w:rPr>
        <w:t>增长100.00%，</w:t>
      </w:r>
      <w:r>
        <w:rPr>
          <w:rFonts w:eastAsia="仿宋_GB2312"/>
          <w:sz w:val="32"/>
          <w:szCs w:val="32"/>
          <w:lang w:val="zh-CN"/>
        </w:rPr>
        <w:t>主要原因是：</w:t>
      </w:r>
      <w:r>
        <w:rPr>
          <w:rFonts w:hint="eastAsia" w:eastAsia="仿宋_GB2312"/>
          <w:sz w:val="32"/>
          <w:szCs w:val="32"/>
          <w:lang w:val="zh-CN" w:eastAsia="zh-CN"/>
        </w:rPr>
        <w:t>因疫情后业务工作正常开展，</w:t>
      </w:r>
      <w:r>
        <w:rPr>
          <w:rFonts w:hint="eastAsia" w:eastAsia="仿宋_GB2312"/>
          <w:sz w:val="32"/>
          <w:szCs w:val="32"/>
          <w:lang w:val="en-US" w:eastAsia="zh-CN"/>
        </w:rPr>
        <w:t>我单位</w:t>
      </w:r>
      <w:r>
        <w:rPr>
          <w:rFonts w:hint="eastAsia" w:eastAsia="仿宋_GB2312"/>
          <w:sz w:val="32"/>
          <w:szCs w:val="32"/>
          <w:lang w:val="zh-CN" w:eastAsia="zh-CN"/>
        </w:rPr>
        <w:t>开展相关公务接待工作</w:t>
      </w:r>
      <w:r>
        <w:rPr>
          <w:rFonts w:eastAsia="仿宋_GB2312"/>
          <w:sz w:val="32"/>
          <w:szCs w:val="32"/>
          <w:lang w:val="zh-CN"/>
        </w:rPr>
        <w:t>。</w:t>
      </w:r>
    </w:p>
    <w:p w14:paraId="0C71F5CC">
      <w:pPr>
        <w:ind w:firstLine="640" w:firstLineChars="200"/>
        <w:jc w:val="left"/>
        <w:rPr>
          <w:rFonts w:eastAsia="仿宋_GB2312"/>
          <w:sz w:val="32"/>
          <w:szCs w:val="32"/>
          <w:lang w:val="zh-CN"/>
        </w:rPr>
      </w:pPr>
      <w:r>
        <w:rPr>
          <w:rFonts w:eastAsia="仿宋_GB2312"/>
          <w:sz w:val="32"/>
          <w:szCs w:val="32"/>
          <w:lang w:val="zh-CN"/>
        </w:rPr>
        <w:t>具体情况如下：</w:t>
      </w:r>
    </w:p>
    <w:p w14:paraId="1107EA62">
      <w:pPr>
        <w:ind w:firstLine="640" w:firstLineChars="200"/>
        <w:jc w:val="left"/>
        <w:rPr>
          <w:rFonts w:eastAsia="仿宋_GB2312"/>
          <w:sz w:val="32"/>
          <w:szCs w:val="32"/>
          <w:lang w:val="zh-CN"/>
        </w:rPr>
      </w:pPr>
      <w:r>
        <w:rPr>
          <w:rFonts w:eastAsia="仿宋_GB2312"/>
          <w:sz w:val="32"/>
          <w:szCs w:val="32"/>
          <w:lang w:val="zh-CN"/>
        </w:rPr>
        <w:t>因公出国（境）费支出0.00万元，开支内容包括</w:t>
      </w:r>
      <w:r>
        <w:rPr>
          <w:rFonts w:eastAsia="仿宋_GB2312"/>
          <w:sz w:val="32"/>
          <w:szCs w:val="32"/>
        </w:rPr>
        <w:t>我单位无</w:t>
      </w:r>
      <w:r>
        <w:rPr>
          <w:rFonts w:eastAsia="仿宋_GB2312"/>
          <w:sz w:val="32"/>
          <w:szCs w:val="32"/>
          <w:lang w:val="zh-CN"/>
        </w:rPr>
        <w:t>因公出国（境）费支出。单位全年安排的因公出国（境）团组0个，因公出国（境）0人次。</w:t>
      </w:r>
    </w:p>
    <w:p w14:paraId="2885A483">
      <w:pPr>
        <w:ind w:firstLine="640" w:firstLineChars="200"/>
        <w:jc w:val="left"/>
        <w:rPr>
          <w:rFonts w:eastAsia="仿宋_GB2312"/>
          <w:sz w:val="32"/>
          <w:szCs w:val="32"/>
        </w:rPr>
      </w:pPr>
      <w:r>
        <w:rPr>
          <w:rFonts w:eastAsia="仿宋_GB2312"/>
          <w:sz w:val="32"/>
          <w:szCs w:val="32"/>
          <w:lang w:val="zh-CN"/>
        </w:rPr>
        <w:t>公务用车购置及运行维护费79.96万元，其中：公务用车购置费35.96万元，公务用车运行维护费44.00万元。公务用车运行维护费开支内容包括公务车辆停车费、过路费、燃油费用、维修维护费用等。公务用车购置数2辆，公务用车保有量37辆。国有资产占用情况</w:t>
      </w:r>
      <w:r>
        <w:rPr>
          <w:rFonts w:eastAsia="仿宋_GB2312"/>
          <w:sz w:val="32"/>
          <w:szCs w:val="32"/>
        </w:rPr>
        <w:t>中固定资产车辆</w:t>
      </w:r>
      <w:r>
        <w:rPr>
          <w:rFonts w:eastAsia="仿宋_GB2312"/>
          <w:sz w:val="32"/>
          <w:szCs w:val="32"/>
          <w:lang w:val="zh-CN"/>
        </w:rPr>
        <w:t>36辆，</w:t>
      </w:r>
      <w:r>
        <w:rPr>
          <w:rFonts w:eastAsia="仿宋_GB2312"/>
          <w:sz w:val="32"/>
          <w:szCs w:val="32"/>
        </w:rPr>
        <w:t>与</w:t>
      </w:r>
      <w:r>
        <w:rPr>
          <w:rFonts w:eastAsia="仿宋_GB2312"/>
          <w:sz w:val="32"/>
          <w:szCs w:val="32"/>
          <w:lang w:val="zh-CN"/>
        </w:rPr>
        <w:t>公务用车</w:t>
      </w:r>
      <w:r>
        <w:rPr>
          <w:rFonts w:eastAsia="仿宋_GB2312"/>
          <w:sz w:val="32"/>
          <w:szCs w:val="32"/>
        </w:rPr>
        <w:t>保有量差异</w:t>
      </w:r>
      <w:r>
        <w:rPr>
          <w:rFonts w:eastAsia="仿宋_GB2312"/>
          <w:sz w:val="32"/>
          <w:szCs w:val="32"/>
          <w:lang w:val="zh-CN"/>
        </w:rPr>
        <w:t>原因是：</w:t>
      </w:r>
      <w:r>
        <w:rPr>
          <w:rFonts w:hint="eastAsia" w:eastAsia="仿宋_GB2312"/>
          <w:sz w:val="32"/>
          <w:szCs w:val="32"/>
        </w:rPr>
        <w:t>公务用车保有量为我委由一般公共预算安排购置的在编公务用车，</w:t>
      </w:r>
      <w:r>
        <w:rPr>
          <w:rFonts w:eastAsia="仿宋_GB2312"/>
          <w:sz w:val="32"/>
          <w:szCs w:val="32"/>
          <w:lang w:val="zh-CN"/>
        </w:rPr>
        <w:t>包含一辆二级单位公务车</w:t>
      </w:r>
      <w:r>
        <w:rPr>
          <w:rFonts w:hint="eastAsia" w:eastAsia="仿宋_GB2312"/>
          <w:sz w:val="32"/>
          <w:szCs w:val="32"/>
          <w:lang w:eastAsia="zh-CN"/>
        </w:rPr>
        <w:t>；</w:t>
      </w:r>
      <w:r>
        <w:rPr>
          <w:rFonts w:hint="eastAsia" w:eastAsia="仿宋_GB2312"/>
          <w:sz w:val="32"/>
          <w:szCs w:val="32"/>
        </w:rPr>
        <w:t>国有资产占用情况中固定资产车辆不包含</w:t>
      </w:r>
      <w:r>
        <w:rPr>
          <w:rFonts w:hint="eastAsia" w:eastAsia="仿宋_GB2312"/>
          <w:sz w:val="32"/>
          <w:szCs w:val="32"/>
          <w:lang w:val="en-US" w:eastAsia="zh-CN"/>
        </w:rPr>
        <w:t>二级单位</w:t>
      </w:r>
      <w:r>
        <w:rPr>
          <w:rFonts w:hint="eastAsia" w:eastAsia="仿宋_GB2312"/>
          <w:sz w:val="32"/>
          <w:szCs w:val="32"/>
        </w:rPr>
        <w:t>未过户车辆，统计口径存在差异</w:t>
      </w:r>
      <w:r>
        <w:rPr>
          <w:rFonts w:eastAsia="仿宋_GB2312"/>
          <w:sz w:val="32"/>
          <w:szCs w:val="32"/>
          <w:lang w:val="zh-CN"/>
        </w:rPr>
        <w:t>。</w:t>
      </w:r>
    </w:p>
    <w:p w14:paraId="7332DD2C">
      <w:pPr>
        <w:ind w:firstLine="640" w:firstLineChars="200"/>
        <w:jc w:val="left"/>
        <w:rPr>
          <w:rFonts w:eastAsia="仿宋_GB2312"/>
          <w:sz w:val="32"/>
          <w:szCs w:val="32"/>
          <w:lang w:val="zh-CN"/>
        </w:rPr>
      </w:pPr>
      <w:r>
        <w:rPr>
          <w:rFonts w:eastAsia="仿宋_GB2312"/>
          <w:sz w:val="32"/>
          <w:szCs w:val="32"/>
          <w:lang w:val="zh-CN"/>
        </w:rPr>
        <w:t>公务接待费0.02万元，开支内容包括第六届中国新疆国际舞蹈节江苏省嘉宾公务接待费用。单位全年安排的国内公务接待1批次，2人次。</w:t>
      </w:r>
    </w:p>
    <w:p w14:paraId="2BE2D83F">
      <w:pPr>
        <w:ind w:firstLine="640" w:firstLineChars="200"/>
        <w:jc w:val="left"/>
        <w:rPr>
          <w:rFonts w:eastAsia="仿宋_GB2312"/>
          <w:sz w:val="32"/>
          <w:szCs w:val="32"/>
          <w:lang w:val="zh-CN"/>
        </w:rPr>
      </w:pPr>
      <w:r>
        <w:rPr>
          <w:rFonts w:eastAsia="仿宋_GB2312"/>
          <w:sz w:val="32"/>
          <w:szCs w:val="32"/>
          <w:lang w:val="zh-CN"/>
        </w:rPr>
        <w:t>与</w:t>
      </w:r>
      <w:r>
        <w:rPr>
          <w:rFonts w:eastAsia="仿宋_GB2312"/>
          <w:sz w:val="32"/>
          <w:szCs w:val="32"/>
        </w:rPr>
        <w:t>全年</w:t>
      </w:r>
      <w:r>
        <w:rPr>
          <w:rFonts w:eastAsia="仿宋_GB2312"/>
          <w:sz w:val="32"/>
          <w:szCs w:val="32"/>
          <w:lang w:val="zh-CN"/>
        </w:rPr>
        <w:t>预算相比，财政拨款“三公”经费支出</w:t>
      </w:r>
      <w:r>
        <w:rPr>
          <w:rFonts w:eastAsia="仿宋_GB2312"/>
          <w:sz w:val="32"/>
          <w:szCs w:val="32"/>
        </w:rPr>
        <w:t>全年</w:t>
      </w:r>
      <w:r>
        <w:rPr>
          <w:rFonts w:eastAsia="仿宋_GB2312"/>
          <w:sz w:val="32"/>
          <w:szCs w:val="32"/>
          <w:lang w:val="zh-CN"/>
        </w:rPr>
        <w:t>预算数84.02万元，决算数79.98万元，预决算差异率-4.81%，主要原因是：</w:t>
      </w:r>
      <w:r>
        <w:rPr>
          <w:rFonts w:hint="eastAsia" w:eastAsia="仿宋_GB2312" w:cs="Times New Roman"/>
          <w:color w:val="auto"/>
          <w:sz w:val="32"/>
          <w:szCs w:val="32"/>
          <w:highlight w:val="none"/>
          <w:lang w:val="en-US" w:eastAsia="zh-CN"/>
        </w:rPr>
        <w:t>通过政府采购招标，</w:t>
      </w:r>
      <w:r>
        <w:rPr>
          <w:rFonts w:hint="eastAsia" w:ascii="Times New Roman" w:hAnsi="Times New Roman" w:eastAsia="仿宋_GB2312" w:cs="Times New Roman"/>
          <w:color w:val="auto"/>
          <w:sz w:val="32"/>
          <w:szCs w:val="32"/>
          <w:highlight w:val="none"/>
          <w:lang w:val="en-US" w:eastAsia="zh-CN"/>
        </w:rPr>
        <w:t>公务用车实际购置中节约经费</w:t>
      </w:r>
      <w:r>
        <w:rPr>
          <w:rFonts w:hint="default" w:ascii="Times New Roman" w:hAnsi="Times New Roman" w:eastAsia="仿宋_GB2312" w:cs="Times New Roman"/>
          <w:color w:val="auto"/>
          <w:sz w:val="32"/>
          <w:szCs w:val="32"/>
          <w:highlight w:val="none"/>
          <w:lang w:val="zh-CN" w:eastAsia="zh-CN"/>
        </w:rPr>
        <w:t>。</w:t>
      </w:r>
      <w:r>
        <w:rPr>
          <w:rFonts w:eastAsia="仿宋_GB2312"/>
          <w:sz w:val="32"/>
          <w:szCs w:val="32"/>
          <w:lang w:val="zh-CN"/>
        </w:rPr>
        <w:t>其中：因公出国（境）费</w:t>
      </w:r>
      <w:r>
        <w:rPr>
          <w:rFonts w:eastAsia="仿宋_GB2312"/>
          <w:sz w:val="32"/>
          <w:szCs w:val="32"/>
        </w:rPr>
        <w:t>全年预算数</w:t>
      </w:r>
      <w:r>
        <w:rPr>
          <w:rFonts w:eastAsia="仿宋_GB2312"/>
          <w:sz w:val="32"/>
          <w:szCs w:val="32"/>
          <w:lang w:val="zh-CN"/>
        </w:rPr>
        <w:t>0.00万元，决算数0.00万元，预决算差异率0.00%，主要原因是：无差异；公务用车购置费</w:t>
      </w:r>
      <w:r>
        <w:rPr>
          <w:rFonts w:eastAsia="仿宋_GB2312"/>
          <w:sz w:val="32"/>
          <w:szCs w:val="32"/>
        </w:rPr>
        <w:t>全年</w:t>
      </w:r>
      <w:r>
        <w:rPr>
          <w:rFonts w:eastAsia="仿宋_GB2312"/>
          <w:sz w:val="32"/>
          <w:szCs w:val="32"/>
          <w:lang w:val="zh-CN"/>
        </w:rPr>
        <w:t>预算数40.00万元，决算数35.96万元，预决算差异率-10.10%，主要原因是：</w:t>
      </w:r>
      <w:r>
        <w:rPr>
          <w:rFonts w:hint="eastAsia" w:eastAsia="仿宋_GB2312" w:cs="Times New Roman"/>
          <w:color w:val="auto"/>
          <w:sz w:val="32"/>
          <w:szCs w:val="32"/>
          <w:highlight w:val="none"/>
          <w:lang w:val="en-US" w:eastAsia="zh-CN"/>
        </w:rPr>
        <w:t>通过政府采购招标，</w:t>
      </w:r>
      <w:r>
        <w:rPr>
          <w:rFonts w:hint="eastAsia" w:ascii="Times New Roman" w:hAnsi="Times New Roman" w:eastAsia="仿宋_GB2312" w:cs="Times New Roman"/>
          <w:color w:val="auto"/>
          <w:sz w:val="32"/>
          <w:szCs w:val="32"/>
          <w:highlight w:val="none"/>
          <w:lang w:val="en-US" w:eastAsia="zh-CN"/>
        </w:rPr>
        <w:t>公务用车实际购置中节约经费</w:t>
      </w:r>
      <w:r>
        <w:rPr>
          <w:rFonts w:eastAsia="仿宋_GB2312"/>
          <w:sz w:val="32"/>
          <w:szCs w:val="32"/>
          <w:lang w:val="zh-CN"/>
        </w:rPr>
        <w:t>；公务用车运行费</w:t>
      </w:r>
      <w:r>
        <w:rPr>
          <w:rFonts w:eastAsia="仿宋_GB2312"/>
          <w:sz w:val="32"/>
          <w:szCs w:val="32"/>
        </w:rPr>
        <w:t>全年</w:t>
      </w:r>
      <w:r>
        <w:rPr>
          <w:rFonts w:eastAsia="仿宋_GB2312"/>
          <w:sz w:val="32"/>
          <w:szCs w:val="32"/>
          <w:lang w:val="zh-CN"/>
        </w:rPr>
        <w:t>预算数44.00万元，决算数44.00万元，预决算差异率0.00%，主要原因是：无差异；公务接待费</w:t>
      </w:r>
      <w:r>
        <w:rPr>
          <w:rFonts w:eastAsia="仿宋_GB2312"/>
          <w:sz w:val="32"/>
          <w:szCs w:val="32"/>
        </w:rPr>
        <w:t>全年</w:t>
      </w:r>
      <w:r>
        <w:rPr>
          <w:rFonts w:eastAsia="仿宋_GB2312"/>
          <w:sz w:val="32"/>
          <w:szCs w:val="32"/>
          <w:lang w:val="zh-CN"/>
        </w:rPr>
        <w:t>预算数0.02万元，决算数0.02万元，预决算差异率0.00%，主要原因是：无差异完全执行。</w:t>
      </w:r>
    </w:p>
    <w:p w14:paraId="07499C78">
      <w:pPr>
        <w:ind w:firstLine="640" w:firstLineChars="200"/>
        <w:jc w:val="left"/>
        <w:outlineLvl w:val="1"/>
        <w:rPr>
          <w:rFonts w:eastAsia="黑体"/>
          <w:bCs/>
          <w:kern w:val="0"/>
          <w:sz w:val="32"/>
          <w:szCs w:val="32"/>
        </w:rPr>
      </w:pPr>
      <w:bookmarkStart w:id="18" w:name="_Toc7927"/>
      <w:bookmarkStart w:id="19" w:name="_Toc5810"/>
      <w:r>
        <w:rPr>
          <w:rFonts w:eastAsia="黑体"/>
          <w:bCs/>
          <w:kern w:val="0"/>
          <w:sz w:val="32"/>
          <w:szCs w:val="32"/>
        </w:rPr>
        <w:t>八、政府性基金预算财政拨款收入支出决算情况说明</w:t>
      </w:r>
      <w:bookmarkEnd w:id="18"/>
      <w:bookmarkEnd w:id="19"/>
    </w:p>
    <w:p w14:paraId="72996A76">
      <w:pPr>
        <w:ind w:firstLine="640" w:firstLineChars="200"/>
        <w:jc w:val="left"/>
        <w:rPr>
          <w:rFonts w:eastAsia="仿宋_GB2312"/>
          <w:sz w:val="32"/>
          <w:szCs w:val="32"/>
          <w:lang w:val="zh-CN"/>
        </w:rPr>
      </w:pPr>
      <w:r>
        <w:rPr>
          <w:rFonts w:eastAsia="仿宋_GB2312"/>
          <w:sz w:val="32"/>
          <w:szCs w:val="32"/>
          <w:lang w:val="zh-CN"/>
        </w:rPr>
        <w:t>2023年度政府性基金预算</w:t>
      </w:r>
      <w:r>
        <w:rPr>
          <w:rFonts w:eastAsia="仿宋_GB2312"/>
          <w:sz w:val="32"/>
          <w:szCs w:val="32"/>
        </w:rPr>
        <w:t>财政拨款</w:t>
      </w:r>
      <w:r>
        <w:rPr>
          <w:rFonts w:eastAsia="仿宋_GB2312"/>
          <w:sz w:val="32"/>
          <w:szCs w:val="32"/>
          <w:lang w:val="zh-CN"/>
        </w:rPr>
        <w:t>收入</w:t>
      </w:r>
      <w:r>
        <w:rPr>
          <w:rFonts w:eastAsia="仿宋_GB2312"/>
          <w:sz w:val="32"/>
          <w:szCs w:val="32"/>
        </w:rPr>
        <w:t>总计1,512.00</w:t>
      </w:r>
      <w:r>
        <w:rPr>
          <w:rFonts w:eastAsia="仿宋_GB2312"/>
          <w:sz w:val="32"/>
          <w:szCs w:val="32"/>
          <w:lang w:val="zh-CN"/>
        </w:rPr>
        <w:t>万元，</w:t>
      </w:r>
      <w:r>
        <w:rPr>
          <w:rFonts w:eastAsia="仿宋_GB2312"/>
          <w:sz w:val="32"/>
          <w:szCs w:val="32"/>
        </w:rPr>
        <w:t>其中：年初结转和结余0.00</w:t>
      </w:r>
      <w:r>
        <w:rPr>
          <w:rFonts w:eastAsia="仿宋_GB2312"/>
          <w:sz w:val="32"/>
          <w:szCs w:val="32"/>
          <w:lang w:val="zh-CN"/>
        </w:rPr>
        <w:t>万元，</w:t>
      </w:r>
      <w:r>
        <w:rPr>
          <w:rFonts w:eastAsia="仿宋_GB2312"/>
          <w:sz w:val="32"/>
          <w:szCs w:val="32"/>
        </w:rPr>
        <w:t>本年收入1,512.00</w:t>
      </w:r>
      <w:r>
        <w:rPr>
          <w:rFonts w:eastAsia="仿宋_GB2312"/>
          <w:sz w:val="32"/>
          <w:szCs w:val="32"/>
          <w:lang w:val="zh-CN"/>
        </w:rPr>
        <w:t>万元。政府性基金预算财政拨款支出</w:t>
      </w:r>
      <w:r>
        <w:rPr>
          <w:rFonts w:eastAsia="仿宋_GB2312"/>
          <w:sz w:val="32"/>
          <w:szCs w:val="32"/>
        </w:rPr>
        <w:t>总计1,512.00</w:t>
      </w:r>
      <w:r>
        <w:rPr>
          <w:rFonts w:eastAsia="仿宋_GB2312"/>
          <w:sz w:val="32"/>
          <w:szCs w:val="32"/>
          <w:lang w:val="zh-CN"/>
        </w:rPr>
        <w:t>万元，</w:t>
      </w:r>
      <w:r>
        <w:rPr>
          <w:rFonts w:eastAsia="仿宋_GB2312"/>
          <w:sz w:val="32"/>
          <w:szCs w:val="32"/>
        </w:rPr>
        <w:t>其中：年末结转和结余0.00</w:t>
      </w:r>
      <w:r>
        <w:rPr>
          <w:rFonts w:eastAsia="仿宋_GB2312"/>
          <w:sz w:val="32"/>
          <w:szCs w:val="32"/>
          <w:lang w:val="zh-CN"/>
        </w:rPr>
        <w:t>万元，</w:t>
      </w:r>
      <w:r>
        <w:rPr>
          <w:rFonts w:eastAsia="仿宋_GB2312"/>
          <w:sz w:val="32"/>
          <w:szCs w:val="32"/>
        </w:rPr>
        <w:t>本年支出1,512.00</w:t>
      </w:r>
      <w:r>
        <w:rPr>
          <w:rFonts w:eastAsia="仿宋_GB2312"/>
          <w:sz w:val="32"/>
          <w:szCs w:val="32"/>
          <w:lang w:val="zh-CN"/>
        </w:rPr>
        <w:t>万元。</w:t>
      </w:r>
    </w:p>
    <w:p w14:paraId="7910B450">
      <w:pPr>
        <w:ind w:firstLine="640" w:firstLineChars="200"/>
        <w:jc w:val="left"/>
        <w:rPr>
          <w:rFonts w:ascii="Times New Roman" w:hAnsi="Times New Roman" w:eastAsia="仿宋_GB2312" w:cs="Times New Roman"/>
          <w:sz w:val="32"/>
          <w:szCs w:val="32"/>
          <w:lang w:val="zh-CN"/>
        </w:rPr>
      </w:pPr>
      <w:r>
        <w:rPr>
          <w:rFonts w:ascii="Times New Roman" w:hAnsi="Times New Roman" w:eastAsia="仿宋_GB2312" w:cs="Times New Roman"/>
          <w:sz w:val="32"/>
          <w:szCs w:val="32"/>
          <w:lang w:val="zh-CN"/>
        </w:rPr>
        <w:t>政府性基金预算财政拨款收入支出与上年相比，增加1,262.00万元，增长504.80%，主要原因是：2023年安排采购AED公共场所自动除颤仪项目及南疆农村妇女两癌筛查项目。与年初预算相比，年初预算数1,512.00万元，决算数1,512.00万元，预决算差异率0.00%，主要原因是：无差异完全执行。</w:t>
      </w:r>
    </w:p>
    <w:p w14:paraId="2DE3942A">
      <w:pPr>
        <w:ind w:firstLine="640" w:firstLineChars="200"/>
        <w:jc w:val="left"/>
        <w:rPr>
          <w:rFonts w:eastAsia="仿宋_GB2312"/>
          <w:sz w:val="32"/>
          <w:szCs w:val="32"/>
        </w:rPr>
      </w:pPr>
      <w:r>
        <w:rPr>
          <w:rFonts w:eastAsia="仿宋_GB2312"/>
          <w:sz w:val="32"/>
          <w:szCs w:val="32"/>
          <w:lang w:val="zh-CN"/>
        </w:rPr>
        <w:t>政府性基金预算财政拨款支出1,512.00万元。</w:t>
      </w:r>
    </w:p>
    <w:p w14:paraId="33ED8A55">
      <w:pPr>
        <w:ind w:firstLine="640" w:firstLineChars="200"/>
        <w:jc w:val="left"/>
        <w:rPr>
          <w:rFonts w:eastAsia="仿宋_GB2312"/>
          <w:sz w:val="32"/>
          <w:szCs w:val="32"/>
          <w:lang w:val="zh-CN"/>
        </w:rPr>
      </w:pPr>
      <w:r>
        <w:rPr>
          <w:rFonts w:eastAsia="仿宋_GB2312"/>
          <w:sz w:val="32"/>
          <w:szCs w:val="32"/>
          <w:lang w:val="zh-CN"/>
        </w:rPr>
        <w:t>1.其他支出（类）彩票公益金安排的支出（款）用于城乡医疗救助的彩票公益金支出（项）：支出决算数为1,512.00</w:t>
      </w:r>
      <w:r>
        <w:rPr>
          <w:rFonts w:eastAsia="仿宋_GB2312"/>
          <w:sz w:val="32"/>
          <w:szCs w:val="32"/>
        </w:rPr>
        <w:t>万元</w:t>
      </w:r>
      <w:r>
        <w:rPr>
          <w:rFonts w:eastAsia="仿宋_GB2312"/>
          <w:sz w:val="32"/>
          <w:szCs w:val="32"/>
          <w:lang w:val="zh-CN"/>
        </w:rPr>
        <w:t>，比上年决算</w:t>
      </w:r>
      <w:r>
        <w:rPr>
          <w:rFonts w:eastAsia="仿宋_GB2312"/>
          <w:sz w:val="32"/>
          <w:szCs w:val="32"/>
        </w:rPr>
        <w:t>增加</w:t>
      </w:r>
      <w:r>
        <w:rPr>
          <w:rFonts w:eastAsia="仿宋_GB2312"/>
          <w:sz w:val="32"/>
          <w:szCs w:val="32"/>
          <w:lang w:val="zh-CN"/>
        </w:rPr>
        <w:t>1,262.00</w:t>
      </w:r>
      <w:r>
        <w:rPr>
          <w:rFonts w:eastAsia="仿宋_GB2312"/>
          <w:sz w:val="32"/>
          <w:szCs w:val="32"/>
        </w:rPr>
        <w:t>万元</w:t>
      </w:r>
      <w:r>
        <w:rPr>
          <w:rFonts w:eastAsia="仿宋_GB2312"/>
          <w:sz w:val="32"/>
          <w:szCs w:val="32"/>
          <w:lang w:val="zh-CN"/>
        </w:rPr>
        <w:t>，</w:t>
      </w:r>
      <w:r>
        <w:rPr>
          <w:rFonts w:eastAsia="仿宋_GB2312"/>
          <w:sz w:val="32"/>
          <w:szCs w:val="32"/>
        </w:rPr>
        <w:t>增长</w:t>
      </w:r>
      <w:r>
        <w:rPr>
          <w:rFonts w:eastAsia="仿宋_GB2312"/>
          <w:sz w:val="32"/>
          <w:szCs w:val="32"/>
          <w:lang w:val="zh-CN"/>
        </w:rPr>
        <w:t>504.80%，主要原因是：2023年安排采购AED公共场所自动除颤仪项目及南疆农村妇女两癌筛查项目。</w:t>
      </w:r>
    </w:p>
    <w:p w14:paraId="0FC85BB2">
      <w:pPr>
        <w:ind w:firstLine="640" w:firstLineChars="200"/>
        <w:jc w:val="left"/>
        <w:outlineLvl w:val="1"/>
        <w:rPr>
          <w:rFonts w:eastAsia="黑体"/>
          <w:bCs/>
          <w:kern w:val="0"/>
          <w:sz w:val="32"/>
          <w:szCs w:val="32"/>
        </w:rPr>
      </w:pPr>
      <w:r>
        <w:rPr>
          <w:rFonts w:eastAsia="黑体"/>
          <w:bCs/>
          <w:kern w:val="0"/>
          <w:sz w:val="32"/>
          <w:szCs w:val="32"/>
        </w:rPr>
        <w:t>九、国有资本经营预算财政拨款收入支出决算情况说明</w:t>
      </w:r>
    </w:p>
    <w:p w14:paraId="044964C5">
      <w:pPr>
        <w:ind w:firstLine="640" w:firstLineChars="200"/>
        <w:jc w:val="left"/>
        <w:rPr>
          <w:rFonts w:eastAsia="仿宋_GB2312"/>
          <w:sz w:val="32"/>
          <w:szCs w:val="32"/>
        </w:rPr>
      </w:pPr>
      <w:r>
        <w:rPr>
          <w:rFonts w:eastAsia="仿宋_GB2312"/>
          <w:sz w:val="32"/>
          <w:szCs w:val="32"/>
        </w:rPr>
        <w:t>我单位本年度无国有资本经营预算财政拨款收入、支出及结转和结余，国有资本经营预算财政拨款收入支出决算表为空表。</w:t>
      </w:r>
    </w:p>
    <w:p w14:paraId="303E123E">
      <w:pPr>
        <w:ind w:firstLine="640" w:firstLineChars="200"/>
        <w:jc w:val="left"/>
        <w:outlineLvl w:val="1"/>
        <w:rPr>
          <w:rFonts w:eastAsia="黑体"/>
          <w:bCs/>
          <w:kern w:val="0"/>
          <w:sz w:val="32"/>
          <w:szCs w:val="32"/>
        </w:rPr>
      </w:pPr>
      <w:bookmarkStart w:id="20" w:name="_Toc7314"/>
      <w:bookmarkStart w:id="21" w:name="_Toc1235"/>
      <w:r>
        <w:rPr>
          <w:rFonts w:eastAsia="黑体"/>
          <w:bCs/>
          <w:kern w:val="0"/>
          <w:sz w:val="32"/>
          <w:szCs w:val="32"/>
        </w:rPr>
        <w:t>十、其他重要事项的情况说明</w:t>
      </w:r>
      <w:bookmarkEnd w:id="20"/>
      <w:bookmarkEnd w:id="21"/>
    </w:p>
    <w:p w14:paraId="1ADBCC2A">
      <w:pPr>
        <w:ind w:firstLine="640" w:firstLineChars="200"/>
        <w:jc w:val="left"/>
        <w:outlineLvl w:val="2"/>
        <w:rPr>
          <w:rFonts w:eastAsia="黑体"/>
          <w:sz w:val="32"/>
          <w:szCs w:val="32"/>
        </w:rPr>
      </w:pPr>
      <w:bookmarkStart w:id="22" w:name="_Toc13105"/>
      <w:bookmarkStart w:id="23" w:name="_Toc14519"/>
      <w:r>
        <w:rPr>
          <w:rFonts w:eastAsia="黑体"/>
          <w:sz w:val="32"/>
          <w:szCs w:val="32"/>
        </w:rPr>
        <w:t>（一）机关运行经费支出情况</w:t>
      </w:r>
      <w:bookmarkEnd w:id="22"/>
      <w:bookmarkEnd w:id="23"/>
    </w:p>
    <w:p w14:paraId="694A83E0">
      <w:pPr>
        <w:ind w:firstLine="640" w:firstLineChars="200"/>
        <w:rPr>
          <w:rFonts w:eastAsia="仿宋_GB2312"/>
          <w:sz w:val="32"/>
          <w:szCs w:val="32"/>
          <w:lang w:val="zh-CN"/>
        </w:rPr>
      </w:pPr>
      <w:bookmarkStart w:id="24" w:name="_Toc227"/>
      <w:bookmarkStart w:id="25" w:name="_Toc26704"/>
      <w:r>
        <w:rPr>
          <w:rFonts w:eastAsia="仿宋_GB2312"/>
          <w:sz w:val="32"/>
          <w:szCs w:val="32"/>
          <w:lang w:val="zh-CN"/>
        </w:rPr>
        <w:t>2023年度</w:t>
      </w:r>
      <w:r>
        <w:rPr>
          <w:rFonts w:eastAsia="仿宋_GB2312"/>
          <w:sz w:val="32"/>
          <w:szCs w:val="32"/>
        </w:rPr>
        <w:t>新疆维吾尔自治区卫生健康委员会（行政单位）机关运行经费支出816.13万元，比上年增加271.76万元，增长49.92%，主要原因是：</w:t>
      </w:r>
      <w:r>
        <w:rPr>
          <w:rFonts w:hint="eastAsia" w:eastAsia="仿宋_GB2312" w:cs="Times New Roman"/>
          <w:color w:val="auto"/>
          <w:sz w:val="32"/>
          <w:szCs w:val="32"/>
          <w:highlight w:val="none"/>
          <w:lang w:val="en-US" w:eastAsia="zh-CN"/>
        </w:rPr>
        <w:t>疫情防控平稳转段后，工作业务量增加，各项工作恢复正常，投入不断增加，机关运行经费随之增加</w:t>
      </w:r>
      <w:r>
        <w:rPr>
          <w:rFonts w:hint="default" w:ascii="Times New Roman" w:hAnsi="Times New Roman" w:eastAsia="仿宋_GB2312" w:cs="Times New Roman"/>
          <w:color w:val="auto"/>
          <w:sz w:val="32"/>
          <w:szCs w:val="32"/>
          <w:highlight w:val="none"/>
          <w:lang w:val="en-US" w:eastAsia="zh-CN"/>
        </w:rPr>
        <w:t>。</w:t>
      </w:r>
    </w:p>
    <w:p w14:paraId="154A5B36">
      <w:pPr>
        <w:ind w:firstLine="640" w:firstLineChars="200"/>
        <w:jc w:val="left"/>
        <w:rPr>
          <w:rFonts w:eastAsia="黑体"/>
          <w:sz w:val="32"/>
          <w:szCs w:val="30"/>
          <w:lang w:val="zh-CN"/>
        </w:rPr>
      </w:pPr>
      <w:r>
        <w:rPr>
          <w:rFonts w:eastAsia="黑体"/>
          <w:sz w:val="32"/>
          <w:szCs w:val="30"/>
          <w:lang w:val="zh-CN"/>
        </w:rPr>
        <w:t>（二）政府采购情况</w:t>
      </w:r>
      <w:bookmarkEnd w:id="24"/>
      <w:bookmarkEnd w:id="25"/>
    </w:p>
    <w:p w14:paraId="21342B03">
      <w:pPr>
        <w:ind w:firstLine="640" w:firstLineChars="200"/>
        <w:jc w:val="left"/>
        <w:rPr>
          <w:rFonts w:eastAsia="仿宋_GB2312"/>
          <w:sz w:val="32"/>
          <w:szCs w:val="32"/>
          <w:lang w:val="zh-CN"/>
        </w:rPr>
      </w:pPr>
      <w:r>
        <w:rPr>
          <w:rFonts w:eastAsia="仿宋_GB2312"/>
          <w:sz w:val="32"/>
          <w:szCs w:val="32"/>
          <w:lang w:val="zh-CN"/>
        </w:rPr>
        <w:t>2023年度政府采购支出总额13,850.74万元，其中：政府采购货物支出13,470.42万元、政府采购工程支出0.00万元、政府采购服务支出380.32万元。</w:t>
      </w:r>
    </w:p>
    <w:p w14:paraId="7FBD51A6">
      <w:pPr>
        <w:ind w:firstLine="640" w:firstLineChars="200"/>
        <w:jc w:val="left"/>
        <w:rPr>
          <w:rFonts w:eastAsia="仿宋_GB2312"/>
          <w:sz w:val="32"/>
          <w:szCs w:val="32"/>
        </w:rPr>
      </w:pPr>
      <w:r>
        <w:rPr>
          <w:rFonts w:eastAsia="仿宋_GB2312"/>
          <w:sz w:val="32"/>
          <w:szCs w:val="32"/>
          <w:lang w:val="zh-CN"/>
        </w:rPr>
        <w:t>授予中小企业合同金额13,643.80万元，占政府采购支出总额的98.51%，其中：授予小微企业合同金额8,162.43万元，占政府采购支出总额的58.93%</w:t>
      </w:r>
      <w:r>
        <w:rPr>
          <w:rFonts w:eastAsia="仿宋_GB2312"/>
          <w:sz w:val="32"/>
          <w:szCs w:val="32"/>
        </w:rPr>
        <w:t>。</w:t>
      </w:r>
    </w:p>
    <w:p w14:paraId="63D4F415">
      <w:pPr>
        <w:ind w:firstLine="640" w:firstLineChars="200"/>
        <w:jc w:val="left"/>
        <w:rPr>
          <w:rFonts w:eastAsia="黑体"/>
          <w:sz w:val="32"/>
          <w:szCs w:val="30"/>
          <w:lang w:val="zh-CN"/>
        </w:rPr>
      </w:pPr>
      <w:bookmarkStart w:id="26" w:name="_Toc8391"/>
      <w:bookmarkStart w:id="27" w:name="_Toc4591"/>
      <w:r>
        <w:rPr>
          <w:rFonts w:eastAsia="黑体"/>
          <w:sz w:val="32"/>
          <w:szCs w:val="30"/>
          <w:lang w:val="zh-CN"/>
        </w:rPr>
        <w:t>（三）国有资产占用情况说明</w:t>
      </w:r>
      <w:bookmarkEnd w:id="26"/>
      <w:bookmarkEnd w:id="27"/>
    </w:p>
    <w:p w14:paraId="49E474E1">
      <w:pPr>
        <w:ind w:firstLine="640" w:firstLineChars="200"/>
        <w:jc w:val="left"/>
        <w:rPr>
          <w:rFonts w:eastAsia="仿宋_GB2312"/>
          <w:sz w:val="32"/>
          <w:szCs w:val="32"/>
          <w:lang w:val="zh-CN"/>
        </w:rPr>
      </w:pPr>
      <w:r>
        <w:rPr>
          <w:rFonts w:eastAsia="仿宋_GB2312"/>
          <w:sz w:val="32"/>
          <w:szCs w:val="32"/>
        </w:rPr>
        <w:t>截至2023</w:t>
      </w:r>
      <w:r>
        <w:rPr>
          <w:rFonts w:eastAsia="仿宋_GB2312"/>
          <w:sz w:val="32"/>
          <w:szCs w:val="32"/>
          <w:lang w:val="zh-CN"/>
        </w:rPr>
        <w:t>年</w:t>
      </w:r>
      <w:r>
        <w:rPr>
          <w:rFonts w:eastAsia="仿宋_GB2312"/>
          <w:sz w:val="32"/>
          <w:szCs w:val="32"/>
        </w:rPr>
        <w:t>12月31日</w:t>
      </w:r>
      <w:r>
        <w:rPr>
          <w:rFonts w:eastAsia="仿宋_GB2312"/>
          <w:sz w:val="32"/>
          <w:szCs w:val="32"/>
          <w:lang w:val="zh-CN"/>
        </w:rPr>
        <w:t>，</w:t>
      </w:r>
      <w:r>
        <w:rPr>
          <w:rFonts w:eastAsia="仿宋_GB2312"/>
          <w:sz w:val="32"/>
          <w:szCs w:val="32"/>
        </w:rPr>
        <w:t>固定资产原值</w:t>
      </w:r>
      <w:r>
        <w:rPr>
          <w:rFonts w:eastAsia="仿宋_GB2312"/>
          <w:sz w:val="32"/>
          <w:szCs w:val="32"/>
          <w:lang w:val="zh-CN"/>
        </w:rPr>
        <w:t>30,978.80</w:t>
      </w:r>
      <w:r>
        <w:rPr>
          <w:rFonts w:eastAsia="仿宋_GB2312"/>
          <w:sz w:val="32"/>
          <w:szCs w:val="32"/>
        </w:rPr>
        <w:t>万元，房</w:t>
      </w:r>
      <w:r>
        <w:rPr>
          <w:rFonts w:eastAsia="仿宋_GB2312"/>
          <w:sz w:val="32"/>
          <w:szCs w:val="32"/>
          <w:lang w:val="zh-CN"/>
        </w:rPr>
        <w:t>屋51623.13平方米，价值18,330.65万元。车辆36辆，价值1,435.31万元，其中：副部（省）级及以上领导用车0辆、主要</w:t>
      </w:r>
      <w:r>
        <w:rPr>
          <w:rFonts w:eastAsia="仿宋_GB2312"/>
          <w:sz w:val="32"/>
          <w:szCs w:val="32"/>
        </w:rPr>
        <w:t>负责人</w:t>
      </w:r>
      <w:r>
        <w:rPr>
          <w:rFonts w:eastAsia="仿宋_GB2312"/>
          <w:sz w:val="32"/>
          <w:szCs w:val="32"/>
          <w:lang w:val="zh-CN"/>
        </w:rPr>
        <w:t>用车0辆、机要通信用车0辆、应急保障用车0辆、执法执勤用车0辆、特种专业技术用车7辆、离退休干部</w:t>
      </w:r>
      <w:r>
        <w:rPr>
          <w:rFonts w:eastAsia="仿宋_GB2312"/>
          <w:sz w:val="32"/>
          <w:szCs w:val="32"/>
        </w:rPr>
        <w:t>服务</w:t>
      </w:r>
      <w:r>
        <w:rPr>
          <w:rFonts w:eastAsia="仿宋_GB2312"/>
          <w:sz w:val="32"/>
          <w:szCs w:val="32"/>
          <w:lang w:val="zh-CN"/>
        </w:rPr>
        <w:t>用车0辆、其他用车29辆，其他用车主要是：委机关各领导及业务处室工作用车；单价100万元（含）以上设备（不含车辆）9</w:t>
      </w:r>
      <w:r>
        <w:rPr>
          <w:rFonts w:eastAsia="仿宋_GB2312"/>
          <w:sz w:val="32"/>
          <w:szCs w:val="32"/>
        </w:rPr>
        <w:t>台（</w:t>
      </w:r>
      <w:r>
        <w:rPr>
          <w:rFonts w:eastAsia="仿宋_GB2312"/>
          <w:sz w:val="32"/>
          <w:szCs w:val="32"/>
          <w:lang w:val="zh-CN"/>
        </w:rPr>
        <w:t>套）。</w:t>
      </w:r>
    </w:p>
    <w:p w14:paraId="68E10F59">
      <w:pPr>
        <w:ind w:firstLine="640" w:firstLineChars="200"/>
        <w:jc w:val="left"/>
        <w:outlineLvl w:val="1"/>
        <w:rPr>
          <w:rFonts w:eastAsia="黑体"/>
          <w:bCs/>
          <w:kern w:val="0"/>
          <w:sz w:val="32"/>
          <w:szCs w:val="32"/>
        </w:rPr>
      </w:pPr>
      <w:bookmarkStart w:id="28" w:name="_Toc435"/>
      <w:bookmarkStart w:id="29" w:name="_Toc11283"/>
      <w:r>
        <w:rPr>
          <w:rFonts w:eastAsia="黑体"/>
          <w:bCs/>
          <w:kern w:val="0"/>
          <w:sz w:val="32"/>
          <w:szCs w:val="32"/>
        </w:rPr>
        <w:t>十一、预算绩效的情况说明</w:t>
      </w:r>
      <w:bookmarkEnd w:id="28"/>
      <w:bookmarkEnd w:id="29"/>
    </w:p>
    <w:p w14:paraId="2C0668BD">
      <w:pPr>
        <w:ind w:firstLine="640" w:firstLineChars="200"/>
        <w:jc w:val="left"/>
        <w:rPr>
          <w:rFonts w:eastAsia="仿宋_GB2312"/>
          <w:sz w:val="32"/>
          <w:szCs w:val="32"/>
        </w:rPr>
      </w:pPr>
      <w:r>
        <w:rPr>
          <w:rFonts w:eastAsia="仿宋_GB2312"/>
          <w:sz w:val="32"/>
          <w:szCs w:val="32"/>
        </w:rPr>
        <w:t>根据预算绩效管理要求，我单位2023年度</w:t>
      </w:r>
      <w:r>
        <w:rPr>
          <w:rFonts w:eastAsia="仿宋_GB2312"/>
          <w:kern w:val="0"/>
          <w:sz w:val="32"/>
          <w:szCs w:val="32"/>
        </w:rPr>
        <w:t>预算绩效管理整体支出绩效自评表</w:t>
      </w:r>
      <w:r>
        <w:rPr>
          <w:rFonts w:eastAsia="仿宋_GB2312"/>
          <w:sz w:val="32"/>
          <w:szCs w:val="32"/>
        </w:rPr>
        <w:t>0</w:t>
      </w:r>
      <w:r>
        <w:rPr>
          <w:rFonts w:eastAsia="仿宋_GB2312"/>
          <w:kern w:val="0"/>
          <w:sz w:val="32"/>
          <w:szCs w:val="32"/>
        </w:rPr>
        <w:t>个，全年</w:t>
      </w:r>
      <w:r>
        <w:rPr>
          <w:rFonts w:eastAsia="仿宋_GB2312"/>
          <w:sz w:val="32"/>
          <w:szCs w:val="32"/>
        </w:rPr>
        <w:t>预算总额0万元，实际执行总额0万元</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我单位整体</w:t>
      </w:r>
      <w:r>
        <w:rPr>
          <w:rFonts w:hint="default" w:ascii="Times New Roman" w:hAnsi="Times New Roman" w:eastAsia="仿宋_GB2312" w:cs="Times New Roman"/>
          <w:color w:val="auto"/>
          <w:kern w:val="0"/>
          <w:sz w:val="32"/>
          <w:szCs w:val="32"/>
          <w:highlight w:val="none"/>
          <w:lang w:eastAsia="zh-CN"/>
        </w:rPr>
        <w:t>支出</w:t>
      </w:r>
      <w:r>
        <w:rPr>
          <w:rFonts w:hint="default" w:ascii="Times New Roman" w:hAnsi="Times New Roman" w:eastAsia="仿宋_GB2312" w:cs="Times New Roman"/>
          <w:sz w:val="32"/>
          <w:szCs w:val="32"/>
          <w:lang w:val="en-US" w:eastAsia="zh-CN"/>
        </w:rPr>
        <w:t>绩效自评表由主管部门编报并公开</w:t>
      </w:r>
      <w:r>
        <w:rPr>
          <w:rFonts w:hint="eastAsia" w:eastAsia="仿宋_GB2312"/>
          <w:kern w:val="0"/>
          <w:sz w:val="32"/>
          <w:szCs w:val="32"/>
          <w:lang w:eastAsia="zh-CN"/>
        </w:rPr>
        <w:t>。</w:t>
      </w:r>
      <w:r>
        <w:rPr>
          <w:rFonts w:eastAsia="仿宋_GB2312"/>
          <w:sz w:val="32"/>
          <w:szCs w:val="32"/>
        </w:rPr>
        <w:t>预算绩效评价项目5个，全年预算数15153.16万元，全年执行数13737.28万元。</w:t>
      </w:r>
      <w:r>
        <w:rPr>
          <w:rFonts w:hint="eastAsia" w:eastAsia="仿宋_GB2312"/>
          <w:sz w:val="32"/>
          <w:szCs w:val="32"/>
          <w:lang w:val="en-US" w:eastAsia="zh-CN"/>
        </w:rPr>
        <w:t>其中，</w:t>
      </w:r>
      <w:r>
        <w:rPr>
          <w:rFonts w:eastAsia="仿宋_GB2312"/>
          <w:sz w:val="32"/>
          <w:szCs w:val="32"/>
        </w:rPr>
        <w:t>涉密项目1个，2023年预算金额为5835万元，全年执行数5609.1万元。预算绩效管理取得的成效：一是强化责任意识，通过花钱要问效，无效要问责的原则，强化处室责任意识，推动政府效能的提升；二是促进决策科学化，事前绩效评估和绩效目标的设定，使得项目立项和预算编制更加科学合理，减少了因决策失误导致的资源浪费。发现的问题及原因：一是部门间缺乏沟通与协调，预算执行涉及各个处室，但处室间缺乏有效沟通和协调，导致预算执行出现偏差和矛盾；二是绩效评价结果运用不充分，绩效管理和预算管理仍存在“两张皮”的情况，绩效评价结果未能与项目资金分配、管理、政策调整等紧密联系，导致预算绩效管理导向性作用和参考未能充分发挥。下一步改进措施：一是强化预算编制中各处室沟通协调，财务部门进一步做好统筹兼顾；二是将绩效评价结果充分运用到下年度项目资金分配中，在管理过程中加强与财政沟通，做好政策调整与指标的调整。具体项目自评情况附绩效自评表及自评报告。</w:t>
      </w:r>
    </w:p>
    <w:p w14:paraId="2B366DC3">
      <w:pPr>
        <w:ind w:firstLine="640" w:firstLineChars="200"/>
        <w:jc w:val="left"/>
        <w:rPr>
          <w:rFonts w:eastAsia="黑体"/>
          <w:bCs/>
          <w:kern w:val="0"/>
          <w:sz w:val="32"/>
          <w:szCs w:val="32"/>
        </w:rPr>
      </w:pPr>
      <w:r>
        <w:rPr>
          <w:rFonts w:eastAsia="黑体"/>
          <w:bCs/>
          <w:kern w:val="0"/>
          <w:sz w:val="32"/>
          <w:szCs w:val="32"/>
        </w:rPr>
        <w:t>十二、其他需说明的事项</w:t>
      </w:r>
    </w:p>
    <w:p w14:paraId="58BCB500">
      <w:pPr>
        <w:keepNext w:val="0"/>
        <w:keepLines w:val="0"/>
        <w:pageBreakBefore w:val="0"/>
        <w:widowControl w:val="0"/>
        <w:kinsoku/>
        <w:wordWrap/>
        <w:overflowPunct/>
        <w:topLinePunct w:val="0"/>
        <w:autoSpaceDE/>
        <w:autoSpaceDN/>
        <w:bidi w:val="0"/>
        <w:adjustRightInd/>
        <w:snapToGrid/>
        <w:ind w:firstLine="640" w:firstLineChars="200"/>
        <w:jc w:val="both"/>
        <w:textAlignment w:val="auto"/>
        <w:outlineLvl w:val="0"/>
        <w:rPr>
          <w:rFonts w:eastAsia="黑体"/>
          <w:sz w:val="32"/>
          <w:szCs w:val="32"/>
        </w:rPr>
      </w:pPr>
      <w:bookmarkStart w:id="30" w:name="_Toc3250"/>
      <w:bookmarkStart w:id="31" w:name="_Toc24143"/>
      <w:r>
        <w:rPr>
          <w:rFonts w:hint="eastAsia" w:eastAsia="仿宋_GB2312"/>
          <w:sz w:val="32"/>
          <w:szCs w:val="32"/>
        </w:rPr>
        <w:t>涉密项目1个，不予以公开绩效目标表，2023年全年预算金额5835万元，全年执行数5609.1万元。</w:t>
      </w:r>
      <w:r>
        <w:rPr>
          <w:rFonts w:eastAsia="黑体"/>
          <w:sz w:val="32"/>
          <w:szCs w:val="32"/>
        </w:rPr>
        <w:br w:type="page"/>
      </w:r>
      <w:r>
        <w:rPr>
          <w:rFonts w:hint="eastAsia" w:eastAsia="黑体"/>
          <w:sz w:val="32"/>
          <w:szCs w:val="32"/>
          <w:lang w:val="en-US" w:eastAsia="zh-CN"/>
        </w:rPr>
        <w:t xml:space="preserve">              </w:t>
      </w:r>
      <w:bookmarkStart w:id="48" w:name="_GoBack"/>
      <w:bookmarkEnd w:id="48"/>
      <w:r>
        <w:rPr>
          <w:rFonts w:eastAsia="黑体"/>
          <w:sz w:val="32"/>
          <w:szCs w:val="32"/>
        </w:rPr>
        <w:t>第三部分</w:t>
      </w:r>
      <w:r>
        <w:rPr>
          <w:rFonts w:hint="eastAsia" w:eastAsia="黑体"/>
          <w:sz w:val="32"/>
          <w:szCs w:val="32"/>
          <w:lang w:val="en-US" w:eastAsia="zh-CN"/>
        </w:rPr>
        <w:t xml:space="preserve"> </w:t>
      </w:r>
      <w:r>
        <w:rPr>
          <w:rFonts w:eastAsia="黑体"/>
          <w:sz w:val="32"/>
          <w:szCs w:val="32"/>
        </w:rPr>
        <w:t>专业名词解释</w:t>
      </w:r>
      <w:bookmarkEnd w:id="30"/>
      <w:bookmarkEnd w:id="31"/>
    </w:p>
    <w:p w14:paraId="38864405">
      <w:pPr>
        <w:autoSpaceDE w:val="0"/>
        <w:autoSpaceDN w:val="0"/>
        <w:ind w:firstLine="643" w:firstLineChars="200"/>
        <w:jc w:val="left"/>
        <w:rPr>
          <w:rFonts w:eastAsia="仿宋_GB2312"/>
          <w:sz w:val="32"/>
          <w:szCs w:val="32"/>
        </w:rPr>
      </w:pPr>
      <w:r>
        <w:rPr>
          <w:rFonts w:eastAsia="仿宋_GB2312"/>
          <w:b/>
          <w:bCs/>
          <w:sz w:val="32"/>
          <w:szCs w:val="32"/>
        </w:rPr>
        <w:t>一、财政拨款收入：</w:t>
      </w:r>
      <w:r>
        <w:rPr>
          <w:rFonts w:eastAsia="仿宋_GB2312"/>
          <w:sz w:val="32"/>
          <w:szCs w:val="32"/>
        </w:rPr>
        <w:t>指同级财政当年拨付的资金。</w:t>
      </w:r>
    </w:p>
    <w:p w14:paraId="5FA69F3E">
      <w:pPr>
        <w:autoSpaceDE w:val="0"/>
        <w:autoSpaceDN w:val="0"/>
        <w:ind w:firstLine="643" w:firstLineChars="200"/>
        <w:jc w:val="left"/>
        <w:rPr>
          <w:rFonts w:eastAsia="仿宋_GB2312"/>
          <w:sz w:val="32"/>
          <w:szCs w:val="32"/>
        </w:rPr>
      </w:pPr>
      <w:r>
        <w:rPr>
          <w:rFonts w:eastAsia="仿宋_GB2312"/>
          <w:b/>
          <w:bCs/>
          <w:sz w:val="32"/>
          <w:szCs w:val="32"/>
        </w:rPr>
        <w:t>二、上级补助收入：</w:t>
      </w:r>
      <w:r>
        <w:rPr>
          <w:rFonts w:eastAsia="仿宋_GB2312"/>
          <w:sz w:val="32"/>
          <w:szCs w:val="32"/>
        </w:rPr>
        <w:t>指事业单位从主管部门和上级单位取得的非财政补助收入。</w:t>
      </w:r>
    </w:p>
    <w:p w14:paraId="5138F40B">
      <w:pPr>
        <w:autoSpaceDE w:val="0"/>
        <w:autoSpaceDN w:val="0"/>
        <w:ind w:firstLine="643" w:firstLineChars="200"/>
        <w:jc w:val="left"/>
        <w:rPr>
          <w:rFonts w:eastAsia="仿宋_GB2312"/>
          <w:sz w:val="32"/>
          <w:szCs w:val="32"/>
        </w:rPr>
      </w:pPr>
      <w:r>
        <w:rPr>
          <w:rFonts w:eastAsia="仿宋_GB2312"/>
          <w:b/>
          <w:bCs/>
          <w:sz w:val="32"/>
          <w:szCs w:val="32"/>
        </w:rPr>
        <w:t>三、事业收入：</w:t>
      </w:r>
      <w:r>
        <w:rPr>
          <w:rFonts w:eastAsia="仿宋_GB2312"/>
          <w:sz w:val="32"/>
          <w:szCs w:val="32"/>
        </w:rPr>
        <w:t>指事业单位开展专业业务活动及其辅助活动所取得的收入。</w:t>
      </w:r>
    </w:p>
    <w:p w14:paraId="7FF4BC0C">
      <w:pPr>
        <w:autoSpaceDE w:val="0"/>
        <w:autoSpaceDN w:val="0"/>
        <w:ind w:firstLine="643" w:firstLineChars="200"/>
        <w:jc w:val="left"/>
        <w:rPr>
          <w:rFonts w:eastAsia="仿宋_GB2312"/>
          <w:sz w:val="32"/>
          <w:szCs w:val="32"/>
        </w:rPr>
      </w:pPr>
      <w:r>
        <w:rPr>
          <w:rFonts w:eastAsia="仿宋_GB2312"/>
          <w:b/>
          <w:bCs/>
          <w:sz w:val="32"/>
          <w:szCs w:val="32"/>
        </w:rPr>
        <w:t>四、经营收入：</w:t>
      </w:r>
      <w:r>
        <w:rPr>
          <w:rFonts w:eastAsia="仿宋_GB2312"/>
          <w:sz w:val="32"/>
          <w:szCs w:val="32"/>
        </w:rPr>
        <w:t>指事业单位在专业业务活动及其辅助活动之外开展非独立核算经营活动取得的收入。</w:t>
      </w:r>
    </w:p>
    <w:p w14:paraId="665F6186">
      <w:pPr>
        <w:autoSpaceDE w:val="0"/>
        <w:autoSpaceDN w:val="0"/>
        <w:ind w:firstLine="643" w:firstLineChars="200"/>
        <w:jc w:val="left"/>
        <w:rPr>
          <w:rFonts w:eastAsia="仿宋_GB2312"/>
          <w:sz w:val="32"/>
          <w:szCs w:val="32"/>
        </w:rPr>
      </w:pPr>
      <w:r>
        <w:rPr>
          <w:rFonts w:eastAsia="仿宋_GB2312"/>
          <w:b/>
          <w:bCs/>
          <w:sz w:val="32"/>
          <w:szCs w:val="32"/>
        </w:rPr>
        <w:t>五、附属单位上缴收入：</w:t>
      </w:r>
      <w:r>
        <w:rPr>
          <w:rFonts w:eastAsia="仿宋_GB2312"/>
          <w:sz w:val="32"/>
          <w:szCs w:val="32"/>
        </w:rPr>
        <w:t>指事业单位附属的独立核算单位按有关规定上缴的收入。</w:t>
      </w:r>
    </w:p>
    <w:p w14:paraId="7FBCABD4">
      <w:pPr>
        <w:autoSpaceDE w:val="0"/>
        <w:autoSpaceDN w:val="0"/>
        <w:ind w:firstLine="643" w:firstLineChars="200"/>
        <w:jc w:val="left"/>
        <w:rPr>
          <w:rFonts w:eastAsia="仿宋_GB2312"/>
          <w:sz w:val="32"/>
          <w:szCs w:val="32"/>
        </w:rPr>
      </w:pPr>
      <w:r>
        <w:rPr>
          <w:rFonts w:eastAsia="仿宋_GB2312"/>
          <w:b/>
          <w:bCs/>
          <w:sz w:val="32"/>
          <w:szCs w:val="32"/>
        </w:rPr>
        <w:t>六、其他收入：</w:t>
      </w:r>
      <w:r>
        <w:rPr>
          <w:rFonts w:eastAsia="仿宋_GB2312"/>
          <w:sz w:val="32"/>
          <w:szCs w:val="32"/>
        </w:rPr>
        <w:t>指除上述“财政拨款收入”“事业收入”“经营收入”“附属单位上缴收入”等之外取得的收入。</w:t>
      </w:r>
    </w:p>
    <w:p w14:paraId="023A5CB5">
      <w:pPr>
        <w:autoSpaceDE w:val="0"/>
        <w:autoSpaceDN w:val="0"/>
        <w:ind w:firstLine="643" w:firstLineChars="200"/>
        <w:jc w:val="left"/>
        <w:rPr>
          <w:rFonts w:eastAsia="仿宋_GB2312"/>
          <w:sz w:val="32"/>
          <w:szCs w:val="32"/>
        </w:rPr>
      </w:pPr>
      <w:r>
        <w:rPr>
          <w:rFonts w:eastAsia="仿宋_GB2312"/>
          <w:b/>
          <w:bCs/>
          <w:sz w:val="32"/>
          <w:szCs w:val="32"/>
        </w:rPr>
        <w:t>七、年初结转和结余：</w:t>
      </w:r>
      <w:r>
        <w:rPr>
          <w:rFonts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9D1B43A">
      <w:pPr>
        <w:autoSpaceDE w:val="0"/>
        <w:autoSpaceDN w:val="0"/>
        <w:ind w:firstLine="643" w:firstLineChars="200"/>
        <w:jc w:val="left"/>
        <w:rPr>
          <w:rFonts w:eastAsia="仿宋_GB2312"/>
          <w:sz w:val="32"/>
          <w:szCs w:val="32"/>
        </w:rPr>
      </w:pPr>
      <w:r>
        <w:rPr>
          <w:rFonts w:eastAsia="仿宋_GB2312"/>
          <w:b/>
          <w:bCs/>
          <w:sz w:val="32"/>
          <w:szCs w:val="32"/>
        </w:rPr>
        <w:t>八、年末结转和结余：</w:t>
      </w:r>
      <w:r>
        <w:rPr>
          <w:rFonts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6081D7">
      <w:pPr>
        <w:autoSpaceDE w:val="0"/>
        <w:autoSpaceDN w:val="0"/>
        <w:ind w:firstLine="643" w:firstLineChars="200"/>
        <w:jc w:val="left"/>
        <w:rPr>
          <w:rFonts w:eastAsia="仿宋_GB2312"/>
          <w:sz w:val="32"/>
          <w:szCs w:val="32"/>
        </w:rPr>
      </w:pPr>
      <w:r>
        <w:rPr>
          <w:rFonts w:eastAsia="仿宋_GB2312"/>
          <w:b/>
          <w:bCs/>
          <w:sz w:val="32"/>
          <w:szCs w:val="32"/>
        </w:rPr>
        <w:t>九、基本支出：</w:t>
      </w:r>
      <w:r>
        <w:rPr>
          <w:rFonts w:eastAsia="仿宋_GB2312"/>
          <w:sz w:val="32"/>
          <w:szCs w:val="32"/>
        </w:rPr>
        <w:t>指为保障机构正常运转、完成日常工作任务而发生的人员支出和公用支出。</w:t>
      </w:r>
    </w:p>
    <w:p w14:paraId="11733240">
      <w:pPr>
        <w:autoSpaceDE w:val="0"/>
        <w:autoSpaceDN w:val="0"/>
        <w:ind w:firstLine="643" w:firstLineChars="200"/>
        <w:jc w:val="left"/>
        <w:rPr>
          <w:rFonts w:eastAsia="仿宋_GB2312"/>
          <w:sz w:val="32"/>
          <w:szCs w:val="32"/>
        </w:rPr>
      </w:pPr>
      <w:r>
        <w:rPr>
          <w:rFonts w:eastAsia="仿宋_GB2312"/>
          <w:b/>
          <w:bCs/>
          <w:sz w:val="32"/>
          <w:szCs w:val="32"/>
        </w:rPr>
        <w:t>十、项目支出：</w:t>
      </w:r>
      <w:r>
        <w:rPr>
          <w:rFonts w:eastAsia="仿宋_GB2312"/>
          <w:sz w:val="32"/>
          <w:szCs w:val="32"/>
        </w:rPr>
        <w:t>指在基本支出之外为完成特定行政任务和事业发展目标所发生的支出。</w:t>
      </w:r>
    </w:p>
    <w:p w14:paraId="79826DC4">
      <w:pPr>
        <w:autoSpaceDE w:val="0"/>
        <w:autoSpaceDN w:val="0"/>
        <w:ind w:firstLine="643" w:firstLineChars="200"/>
        <w:rPr>
          <w:rFonts w:eastAsia="仿宋_GB2312"/>
          <w:sz w:val="32"/>
          <w:szCs w:val="32"/>
        </w:rPr>
      </w:pPr>
      <w:r>
        <w:rPr>
          <w:rFonts w:eastAsia="仿宋_GB2312"/>
          <w:b/>
          <w:bCs/>
          <w:sz w:val="32"/>
          <w:szCs w:val="32"/>
        </w:rPr>
        <w:t>十一、经营支出：</w:t>
      </w:r>
      <w:r>
        <w:rPr>
          <w:rFonts w:eastAsia="仿宋_GB2312"/>
          <w:sz w:val="32"/>
          <w:szCs w:val="32"/>
        </w:rPr>
        <w:t>指事业单位在专业业务活动及其辅助活动之外开展非独立核算经营活动发生的支出。</w:t>
      </w:r>
    </w:p>
    <w:p w14:paraId="40AA80DE">
      <w:pPr>
        <w:autoSpaceDE w:val="0"/>
        <w:autoSpaceDN w:val="0"/>
        <w:ind w:firstLine="643" w:firstLineChars="200"/>
        <w:rPr>
          <w:rFonts w:eastAsia="仿宋_GB2312"/>
          <w:sz w:val="32"/>
          <w:szCs w:val="32"/>
        </w:rPr>
      </w:pPr>
      <w:r>
        <w:rPr>
          <w:rFonts w:eastAsia="仿宋_GB2312"/>
          <w:b/>
          <w:bCs/>
          <w:sz w:val="32"/>
          <w:szCs w:val="32"/>
        </w:rPr>
        <w:t>十二、对附属单位补助支出：</w:t>
      </w:r>
      <w:r>
        <w:rPr>
          <w:rFonts w:eastAsia="仿宋_GB2312"/>
          <w:sz w:val="32"/>
          <w:szCs w:val="32"/>
        </w:rPr>
        <w:t>指事业单位发生的用非财政预算资金对附属单位的补助支出。</w:t>
      </w:r>
    </w:p>
    <w:p w14:paraId="7E956B2A">
      <w:pPr>
        <w:autoSpaceDE w:val="0"/>
        <w:autoSpaceDN w:val="0"/>
        <w:ind w:firstLine="643" w:firstLineChars="200"/>
        <w:rPr>
          <w:rFonts w:eastAsia="仿宋_GB2312"/>
          <w:sz w:val="32"/>
          <w:szCs w:val="32"/>
        </w:rPr>
      </w:pPr>
      <w:r>
        <w:rPr>
          <w:rFonts w:eastAsia="仿宋_GB2312"/>
          <w:b/>
          <w:bCs/>
          <w:sz w:val="32"/>
          <w:szCs w:val="32"/>
        </w:rPr>
        <w:t>十三、“三公”经费：</w:t>
      </w:r>
      <w:r>
        <w:rPr>
          <w:rFonts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94939AC">
      <w:pPr>
        <w:ind w:firstLine="643" w:firstLineChars="200"/>
        <w:rPr>
          <w:rFonts w:eastAsia="仿宋_GB2312"/>
          <w:sz w:val="32"/>
          <w:szCs w:val="32"/>
        </w:rPr>
      </w:pPr>
      <w:r>
        <w:rPr>
          <w:rFonts w:eastAsia="仿宋_GB2312"/>
          <w:b/>
          <w:bCs/>
          <w:sz w:val="32"/>
          <w:szCs w:val="32"/>
        </w:rPr>
        <w:t>十四、机关运行经费：</w:t>
      </w:r>
      <w:r>
        <w:rPr>
          <w:rFonts w:eastAsia="仿宋_GB2312"/>
          <w:sz w:val="32"/>
          <w:szCs w:val="32"/>
        </w:rPr>
        <w:t>行政单位和参照公务员法管理的事业单位财政拨款基本支出中的公用经费支出。</w:t>
      </w:r>
    </w:p>
    <w:p w14:paraId="5103069D">
      <w:pPr>
        <w:ind w:firstLine="640" w:firstLineChars="200"/>
        <w:jc w:val="center"/>
        <w:outlineLvl w:val="0"/>
        <w:rPr>
          <w:rFonts w:eastAsia="黑体"/>
          <w:sz w:val="32"/>
          <w:szCs w:val="32"/>
        </w:rPr>
      </w:pPr>
      <w:r>
        <w:rPr>
          <w:rFonts w:eastAsia="仿宋_GB2312"/>
          <w:sz w:val="32"/>
          <w:szCs w:val="32"/>
        </w:rPr>
        <w:br w:type="page"/>
      </w:r>
      <w:r>
        <w:rPr>
          <w:rFonts w:eastAsia="黑体"/>
          <w:sz w:val="32"/>
          <w:szCs w:val="32"/>
        </w:rPr>
        <w:t>第四部分部门决算报表（见附表）</w:t>
      </w:r>
    </w:p>
    <w:p w14:paraId="5CEC5F64">
      <w:pPr>
        <w:ind w:firstLine="640" w:firstLineChars="200"/>
        <w:outlineLvl w:val="1"/>
        <w:rPr>
          <w:rFonts w:eastAsia="仿宋_GB2312"/>
          <w:bCs/>
          <w:kern w:val="0"/>
          <w:sz w:val="32"/>
          <w:szCs w:val="32"/>
        </w:rPr>
      </w:pPr>
      <w:bookmarkStart w:id="32" w:name="_Toc2183"/>
      <w:bookmarkStart w:id="33" w:name="_Toc6062"/>
      <w:r>
        <w:rPr>
          <w:rFonts w:eastAsia="仿宋_GB2312"/>
          <w:bCs/>
          <w:kern w:val="0"/>
          <w:sz w:val="32"/>
          <w:szCs w:val="32"/>
        </w:rPr>
        <w:t>一、《收入支出决算总表》</w:t>
      </w:r>
      <w:bookmarkEnd w:id="32"/>
      <w:bookmarkEnd w:id="33"/>
    </w:p>
    <w:p w14:paraId="0273F750">
      <w:pPr>
        <w:ind w:firstLine="640" w:firstLineChars="200"/>
        <w:outlineLvl w:val="1"/>
        <w:rPr>
          <w:rFonts w:eastAsia="仿宋_GB2312"/>
          <w:bCs/>
          <w:kern w:val="0"/>
          <w:sz w:val="32"/>
          <w:szCs w:val="32"/>
        </w:rPr>
      </w:pPr>
      <w:bookmarkStart w:id="34" w:name="_Toc30364"/>
      <w:bookmarkStart w:id="35" w:name="_Toc24532"/>
      <w:r>
        <w:rPr>
          <w:rFonts w:eastAsia="仿宋_GB2312"/>
          <w:bCs/>
          <w:kern w:val="0"/>
          <w:sz w:val="32"/>
          <w:szCs w:val="32"/>
        </w:rPr>
        <w:t>二、《收入决算表》</w:t>
      </w:r>
      <w:bookmarkEnd w:id="34"/>
      <w:bookmarkEnd w:id="35"/>
    </w:p>
    <w:p w14:paraId="4575EA5F">
      <w:pPr>
        <w:ind w:firstLine="640" w:firstLineChars="200"/>
        <w:outlineLvl w:val="1"/>
        <w:rPr>
          <w:rFonts w:eastAsia="仿宋_GB2312"/>
          <w:bCs/>
          <w:kern w:val="0"/>
          <w:sz w:val="32"/>
          <w:szCs w:val="32"/>
        </w:rPr>
      </w:pPr>
      <w:bookmarkStart w:id="36" w:name="_Toc32434"/>
      <w:bookmarkStart w:id="37" w:name="_Toc21304"/>
      <w:r>
        <w:rPr>
          <w:rFonts w:eastAsia="仿宋_GB2312"/>
          <w:bCs/>
          <w:kern w:val="0"/>
          <w:sz w:val="32"/>
          <w:szCs w:val="32"/>
        </w:rPr>
        <w:t>三、《支出决算表》</w:t>
      </w:r>
      <w:bookmarkEnd w:id="36"/>
      <w:bookmarkEnd w:id="37"/>
    </w:p>
    <w:p w14:paraId="746BD148">
      <w:pPr>
        <w:ind w:firstLine="640" w:firstLineChars="200"/>
        <w:outlineLvl w:val="1"/>
        <w:rPr>
          <w:rFonts w:eastAsia="仿宋_GB2312"/>
          <w:bCs/>
          <w:kern w:val="0"/>
          <w:sz w:val="32"/>
          <w:szCs w:val="32"/>
        </w:rPr>
      </w:pPr>
      <w:bookmarkStart w:id="38" w:name="_Toc28786"/>
      <w:bookmarkStart w:id="39" w:name="_Toc14238"/>
      <w:r>
        <w:rPr>
          <w:rFonts w:eastAsia="仿宋_GB2312"/>
          <w:bCs/>
          <w:kern w:val="0"/>
          <w:sz w:val="32"/>
          <w:szCs w:val="32"/>
        </w:rPr>
        <w:t>四、《财政拨款收入支出决算总表》</w:t>
      </w:r>
      <w:bookmarkEnd w:id="38"/>
      <w:bookmarkEnd w:id="39"/>
    </w:p>
    <w:p w14:paraId="2E41D0F4">
      <w:pPr>
        <w:ind w:firstLine="640" w:firstLineChars="200"/>
        <w:outlineLvl w:val="1"/>
        <w:rPr>
          <w:rFonts w:eastAsia="仿宋_GB2312"/>
          <w:bCs/>
          <w:kern w:val="0"/>
          <w:sz w:val="32"/>
          <w:szCs w:val="32"/>
        </w:rPr>
      </w:pPr>
      <w:bookmarkStart w:id="40" w:name="_Toc14869"/>
      <w:bookmarkStart w:id="41" w:name="_Toc10347"/>
      <w:r>
        <w:rPr>
          <w:rFonts w:eastAsia="仿宋_GB2312"/>
          <w:bCs/>
          <w:kern w:val="0"/>
          <w:sz w:val="32"/>
          <w:szCs w:val="32"/>
        </w:rPr>
        <w:t>五、《一般公共预算财政拨款支出决算表》</w:t>
      </w:r>
      <w:bookmarkEnd w:id="40"/>
      <w:bookmarkEnd w:id="41"/>
    </w:p>
    <w:p w14:paraId="65867744">
      <w:pPr>
        <w:ind w:firstLine="640" w:firstLineChars="200"/>
        <w:outlineLvl w:val="1"/>
        <w:rPr>
          <w:rFonts w:eastAsia="仿宋_GB2312"/>
          <w:bCs/>
          <w:kern w:val="0"/>
          <w:sz w:val="32"/>
          <w:szCs w:val="32"/>
        </w:rPr>
      </w:pPr>
      <w:bookmarkStart w:id="42" w:name="_Toc8884"/>
      <w:bookmarkStart w:id="43" w:name="_Toc5626"/>
      <w:r>
        <w:rPr>
          <w:rFonts w:eastAsia="仿宋_GB2312"/>
          <w:bCs/>
          <w:kern w:val="0"/>
          <w:sz w:val="32"/>
          <w:szCs w:val="32"/>
        </w:rPr>
        <w:t>六、《一般公共预算财政拨款基本支出决算表》</w:t>
      </w:r>
      <w:bookmarkEnd w:id="42"/>
      <w:bookmarkEnd w:id="43"/>
    </w:p>
    <w:p w14:paraId="3E39AA70">
      <w:pPr>
        <w:ind w:firstLine="640" w:firstLineChars="200"/>
        <w:outlineLvl w:val="1"/>
        <w:rPr>
          <w:rFonts w:eastAsia="仿宋_GB2312"/>
          <w:bCs/>
          <w:kern w:val="0"/>
          <w:sz w:val="32"/>
          <w:szCs w:val="32"/>
        </w:rPr>
      </w:pPr>
      <w:r>
        <w:rPr>
          <w:rFonts w:eastAsia="仿宋_GB2312"/>
          <w:bCs/>
          <w:kern w:val="0"/>
          <w:sz w:val="32"/>
          <w:szCs w:val="32"/>
        </w:rPr>
        <w:t>七、</w:t>
      </w:r>
      <w:bookmarkStart w:id="44" w:name="_Toc32663"/>
      <w:bookmarkStart w:id="45" w:name="_Toc29106"/>
      <w:r>
        <w:rPr>
          <w:rFonts w:eastAsia="仿宋_GB2312"/>
          <w:bCs/>
          <w:kern w:val="0"/>
          <w:sz w:val="32"/>
          <w:szCs w:val="32"/>
        </w:rPr>
        <w:t>《财政拨款“三公”经费支出决算表》</w:t>
      </w:r>
      <w:bookmarkEnd w:id="44"/>
      <w:bookmarkEnd w:id="45"/>
    </w:p>
    <w:p w14:paraId="5E0964EF">
      <w:pPr>
        <w:ind w:firstLine="640" w:firstLineChars="200"/>
        <w:outlineLvl w:val="1"/>
        <w:rPr>
          <w:rFonts w:eastAsia="仿宋_GB2312"/>
          <w:bCs/>
          <w:kern w:val="0"/>
          <w:sz w:val="32"/>
          <w:szCs w:val="32"/>
        </w:rPr>
      </w:pPr>
      <w:bookmarkStart w:id="46" w:name="_Toc5453"/>
      <w:bookmarkStart w:id="47" w:name="_Toc7643"/>
      <w:r>
        <w:rPr>
          <w:rFonts w:eastAsia="仿宋_GB2312"/>
          <w:bCs/>
          <w:kern w:val="0"/>
          <w:sz w:val="32"/>
          <w:szCs w:val="32"/>
        </w:rPr>
        <w:t>八、《政府性基金预算财政拨款收入支出决算表》</w:t>
      </w:r>
      <w:bookmarkEnd w:id="46"/>
      <w:bookmarkEnd w:id="47"/>
    </w:p>
    <w:p w14:paraId="60979244">
      <w:pPr>
        <w:ind w:firstLine="640" w:firstLineChars="200"/>
        <w:outlineLvl w:val="1"/>
        <w:rPr>
          <w:rFonts w:eastAsia="仿宋_GB2312"/>
          <w:bCs/>
          <w:kern w:val="0"/>
          <w:sz w:val="32"/>
          <w:szCs w:val="32"/>
        </w:rPr>
      </w:pPr>
      <w:r>
        <w:rPr>
          <w:rFonts w:eastAsia="仿宋_GB2312"/>
          <w:bCs/>
          <w:kern w:val="0"/>
          <w:sz w:val="32"/>
          <w:szCs w:val="32"/>
        </w:rPr>
        <w:t>九、《国有资本经营预算财政拨款收入支出决算表》</w:t>
      </w:r>
    </w:p>
    <w:p w14:paraId="26C2C720">
      <w:pPr>
        <w:ind w:firstLine="640" w:firstLineChars="200"/>
        <w:rPr>
          <w:rFonts w:eastAsia="仿宋_GB2312"/>
          <w:sz w:val="32"/>
          <w:szCs w:val="32"/>
        </w:rPr>
      </w:pPr>
    </w:p>
    <w:p w14:paraId="45DA2B0A">
      <w:pPr>
        <w:ind w:firstLine="640" w:firstLineChars="200"/>
        <w:outlineLvl w:val="1"/>
        <w:rPr>
          <w:rFonts w:eastAsia="黑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CD5935-4435-4E77-9E26-152BAF7A3C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embedRegular r:id="rId2" w:fontKey="{B1FC5E89-1CEA-4DD0-8444-0DB14F9E60EC}"/>
  </w:font>
  <w:font w:name="仿宋_GB2312">
    <w:panose1 w:val="02010609030101010101"/>
    <w:charset w:val="86"/>
    <w:family w:val="modern"/>
    <w:pitch w:val="default"/>
    <w:sig w:usb0="00000001" w:usb1="080E0000" w:usb2="00000000" w:usb3="00000000" w:csb0="00040000" w:csb1="00000000"/>
    <w:embedRegular r:id="rId3" w:fontKey="{7061DD96-E1B1-42BA-A976-673DFABA716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F4EC1">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FE0DB25">
                          <w:pPr>
                            <w:pStyle w:val="5"/>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6pebnPAAAABQEAAA8AAAAAAAAAAQAgAAAA&#10;IgAAAGRycy9kb3ducmV2LnhtbFBLAQIUABQAAAAIAIdO4kBWX8aH2wEAAMADAAAOAAAAAAAAAAEA&#10;IAAAAB4BAABkcnMvZTJvRG9jLnhtbFBLBQYAAAAABgAGAFkBAABrBQAAAAA=&#10;">
              <v:fill on="f" focussize="0,0"/>
              <v:stroke on="f"/>
              <v:imagedata o:title=""/>
              <o:lock v:ext="edit" aspectratio="f"/>
              <v:textbox inset="0mm,0mm,0mm,0mm" style="mso-fit-shape-to-text:t;">
                <w:txbxContent>
                  <w:p w14:paraId="4FE0DB25">
                    <w:pPr>
                      <w:pStyle w:val="5"/>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ZWU3YTE2MTg0MmFjZGY4ZGU3MzE1ZTAyMTExNjgifQ=="/>
    <w:docVar w:name="KSO_WPS_MARK_KEY" w:val="41ee2a61-2d54-4f93-83be-afdb9a40d732"/>
  </w:docVars>
  <w:rsids>
    <w:rsidRoot w:val="008B3DC7"/>
    <w:rsid w:val="00011580"/>
    <w:rsid w:val="00012855"/>
    <w:rsid w:val="000353CC"/>
    <w:rsid w:val="00144BA8"/>
    <w:rsid w:val="0019339D"/>
    <w:rsid w:val="002137B4"/>
    <w:rsid w:val="00213C59"/>
    <w:rsid w:val="00221892"/>
    <w:rsid w:val="0024442E"/>
    <w:rsid w:val="003210CE"/>
    <w:rsid w:val="003435B8"/>
    <w:rsid w:val="00360989"/>
    <w:rsid w:val="003C08B9"/>
    <w:rsid w:val="00437667"/>
    <w:rsid w:val="004675EB"/>
    <w:rsid w:val="005950E6"/>
    <w:rsid w:val="005B4E44"/>
    <w:rsid w:val="005E0807"/>
    <w:rsid w:val="005E124B"/>
    <w:rsid w:val="005E614C"/>
    <w:rsid w:val="005F19F0"/>
    <w:rsid w:val="00644CD5"/>
    <w:rsid w:val="00674D66"/>
    <w:rsid w:val="006956AD"/>
    <w:rsid w:val="00734C2E"/>
    <w:rsid w:val="007C24D2"/>
    <w:rsid w:val="007D067D"/>
    <w:rsid w:val="007D1C2E"/>
    <w:rsid w:val="007E1295"/>
    <w:rsid w:val="00810DC5"/>
    <w:rsid w:val="008978C9"/>
    <w:rsid w:val="008A37EA"/>
    <w:rsid w:val="008B3DC7"/>
    <w:rsid w:val="008E28E4"/>
    <w:rsid w:val="00925398"/>
    <w:rsid w:val="00927EEC"/>
    <w:rsid w:val="00962A4F"/>
    <w:rsid w:val="009817F2"/>
    <w:rsid w:val="009C2974"/>
    <w:rsid w:val="00AB0264"/>
    <w:rsid w:val="00B16368"/>
    <w:rsid w:val="00B35115"/>
    <w:rsid w:val="00B35E84"/>
    <w:rsid w:val="00B379A4"/>
    <w:rsid w:val="00B70D59"/>
    <w:rsid w:val="00B9779D"/>
    <w:rsid w:val="00C314CE"/>
    <w:rsid w:val="00C31A2C"/>
    <w:rsid w:val="00C7676C"/>
    <w:rsid w:val="00CC45A4"/>
    <w:rsid w:val="00D923BD"/>
    <w:rsid w:val="00D95E5A"/>
    <w:rsid w:val="00DB055B"/>
    <w:rsid w:val="00DE60A1"/>
    <w:rsid w:val="00E45196"/>
    <w:rsid w:val="00E633BA"/>
    <w:rsid w:val="00E72C9B"/>
    <w:rsid w:val="00F27404"/>
    <w:rsid w:val="00F43179"/>
    <w:rsid w:val="00F52A8D"/>
    <w:rsid w:val="00FC5FF8"/>
    <w:rsid w:val="00FE460E"/>
    <w:rsid w:val="00FE5666"/>
    <w:rsid w:val="019404F8"/>
    <w:rsid w:val="02092C94"/>
    <w:rsid w:val="02BD3108"/>
    <w:rsid w:val="02F73D26"/>
    <w:rsid w:val="034D4FEF"/>
    <w:rsid w:val="035D1785"/>
    <w:rsid w:val="039F47CE"/>
    <w:rsid w:val="03E05CE8"/>
    <w:rsid w:val="03F973EE"/>
    <w:rsid w:val="043E5B56"/>
    <w:rsid w:val="04C04386"/>
    <w:rsid w:val="04D96608"/>
    <w:rsid w:val="04FA68C4"/>
    <w:rsid w:val="051079FF"/>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B63DF"/>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172F2B"/>
    <w:rsid w:val="0F78534A"/>
    <w:rsid w:val="0F89358A"/>
    <w:rsid w:val="0F8C6D51"/>
    <w:rsid w:val="0F966046"/>
    <w:rsid w:val="100E325C"/>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CF14B2"/>
    <w:rsid w:val="19D26CD4"/>
    <w:rsid w:val="19E60D19"/>
    <w:rsid w:val="1A3E3450"/>
    <w:rsid w:val="1AD807E5"/>
    <w:rsid w:val="1B39345B"/>
    <w:rsid w:val="1BFB2A1F"/>
    <w:rsid w:val="1C015D4A"/>
    <w:rsid w:val="1C290ED5"/>
    <w:rsid w:val="1C317E4F"/>
    <w:rsid w:val="1C472464"/>
    <w:rsid w:val="1D22799A"/>
    <w:rsid w:val="1D5C1A72"/>
    <w:rsid w:val="1DAF458D"/>
    <w:rsid w:val="1E086ACE"/>
    <w:rsid w:val="1E5A0E67"/>
    <w:rsid w:val="1E62130A"/>
    <w:rsid w:val="1E97358B"/>
    <w:rsid w:val="1EAA4A5F"/>
    <w:rsid w:val="1EE869A7"/>
    <w:rsid w:val="1FA15E62"/>
    <w:rsid w:val="1FED69B6"/>
    <w:rsid w:val="2064678E"/>
    <w:rsid w:val="20CC5CAD"/>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8F5B45"/>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7325D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960846"/>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6B4B77"/>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CA0C30"/>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606D8C"/>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3B6A60"/>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4D06254"/>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8638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D73E64"/>
    <w:rsid w:val="72E42ED8"/>
    <w:rsid w:val="735F4CB9"/>
    <w:rsid w:val="73674C62"/>
    <w:rsid w:val="73845865"/>
    <w:rsid w:val="739B6D9E"/>
    <w:rsid w:val="73BC1D76"/>
    <w:rsid w:val="73FB6630"/>
    <w:rsid w:val="748D790E"/>
    <w:rsid w:val="749820CC"/>
    <w:rsid w:val="74CE04EC"/>
    <w:rsid w:val="74E76DCD"/>
    <w:rsid w:val="751D7C0A"/>
    <w:rsid w:val="75722D56"/>
    <w:rsid w:val="75976E9A"/>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463C86"/>
    <w:rsid w:val="7DF84014"/>
    <w:rsid w:val="7E154A2A"/>
    <w:rsid w:val="7E207949"/>
    <w:rsid w:val="7E5C0A47"/>
    <w:rsid w:val="7E670C75"/>
    <w:rsid w:val="7EE24272"/>
    <w:rsid w:val="7EEA6053"/>
    <w:rsid w:val="7F487C04"/>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link w:val="16"/>
    <w:qFormat/>
    <w:uiPriority w:val="0"/>
    <w:pPr>
      <w:widowControl/>
      <w:kinsoku w:val="0"/>
      <w:autoSpaceDE w:val="0"/>
      <w:autoSpaceDN w:val="0"/>
      <w:adjustRightInd w:val="0"/>
      <w:snapToGrid w:val="0"/>
      <w:jc w:val="left"/>
      <w:textAlignment w:val="baseline"/>
    </w:pPr>
    <w:rPr>
      <w:rFonts w:ascii="仿宋" w:hAnsi="仿宋" w:eastAsia="仿宋" w:cs="仿宋"/>
      <w:snapToGrid w:val="0"/>
      <w:color w:val="000000"/>
      <w:kern w:val="0"/>
      <w:sz w:val="31"/>
      <w:szCs w:val="3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 w:type="character" w:customStyle="1" w:styleId="16">
    <w:name w:val="正文文本 Char"/>
    <w:basedOn w:val="11"/>
    <w:link w:val="3"/>
    <w:qFormat/>
    <w:uiPriority w:val="0"/>
    <w:rPr>
      <w:rFonts w:ascii="仿宋" w:hAnsi="仿宋" w:eastAsia="仿宋" w:cs="仿宋"/>
      <w:snapToGrid w:val="0"/>
      <w:color w:val="000000"/>
      <w:sz w:val="31"/>
      <w:szCs w:val="31"/>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C2C879-607D-4318-B885-7491EF9F7979}">
  <ds:schemaRefs/>
</ds:datastoreItem>
</file>

<file path=docProps/app.xml><?xml version="1.0" encoding="utf-8"?>
<Properties xmlns="http://schemas.openxmlformats.org/officeDocument/2006/extended-properties" xmlns:vt="http://schemas.openxmlformats.org/officeDocument/2006/docPropsVTypes">
  <Template>Normal</Template>
  <Pages>23</Pages>
  <Words>9040</Words>
  <Characters>10142</Characters>
  <Lines>17</Lines>
  <Paragraphs>22</Paragraphs>
  <TotalTime>2</TotalTime>
  <ScaleCrop>false</ScaleCrop>
  <LinksUpToDate>false</LinksUpToDate>
  <CharactersWithSpaces>10143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2024-08-19T10:38:00Z</dcterms:created>
  <dc:creator>GXR</dc:creator>
  <cp:lastModifiedBy>薛俊璇</cp:lastModifiedBy>
  <dcterms:modified xsi:type="dcterms:W3CDTF">2024-10-21T05:12:54Z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BACB5819BDA342ADB7A6C611CA81AE66_13</vt:lpwstr>
  </property>
</Properties>
</file>