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129BC">
      <w:pPr>
        <w:rPr>
          <w:rFonts w:hint="default" w:ascii="Times New Roman" w:hAnsi="Times New Roman" w:eastAsia="黑体" w:cs="Times New Roman"/>
          <w:sz w:val="32"/>
          <w:szCs w:val="32"/>
        </w:rPr>
      </w:pPr>
    </w:p>
    <w:p w14:paraId="53FFA15E">
      <w:pPr>
        <w:jc w:val="center"/>
        <w:rPr>
          <w:rFonts w:hint="default" w:ascii="Times New Roman" w:hAnsi="Times New Roman" w:eastAsia="方正小标宋_GBK" w:cs="Times New Roman"/>
          <w:sz w:val="44"/>
          <w:szCs w:val="44"/>
        </w:rPr>
      </w:pPr>
    </w:p>
    <w:p w14:paraId="756E1CCE">
      <w:pPr>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w w:val="98"/>
          <w:sz w:val="44"/>
          <w:szCs w:val="44"/>
        </w:rPr>
        <w:t>新疆维吾尔自治区医疗卫生服务指导中心（原新疆维吾尔自治区医疗卫生服务管理指导中心）</w:t>
      </w:r>
      <w:r>
        <w:rPr>
          <w:rFonts w:hint="default" w:ascii="Times New Roman" w:hAnsi="Times New Roman" w:eastAsia="方正小标宋_GBK" w:cs="Times New Roman"/>
          <w:sz w:val="44"/>
          <w:szCs w:val="44"/>
        </w:rPr>
        <w:t>2023年度</w:t>
      </w:r>
      <w:r>
        <w:rPr>
          <w:rFonts w:hint="default" w:ascii="Times New Roman" w:hAnsi="Times New Roman" w:eastAsia="方正小标宋_GBK" w:cs="Times New Roman"/>
          <w:sz w:val="44"/>
          <w:szCs w:val="44"/>
          <w:lang w:val="en-US" w:eastAsia="zh-CN"/>
        </w:rPr>
        <w:t>单位</w:t>
      </w:r>
      <w:r>
        <w:rPr>
          <w:rFonts w:hint="default" w:ascii="Times New Roman" w:hAnsi="Times New Roman" w:eastAsia="方正小标宋_GBK" w:cs="Times New Roman"/>
          <w:sz w:val="44"/>
          <w:szCs w:val="44"/>
        </w:rPr>
        <w:t>决算公开说明</w:t>
      </w:r>
    </w:p>
    <w:p w14:paraId="10C21621">
      <w:pP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br w:type="page"/>
      </w:r>
    </w:p>
    <w:p w14:paraId="06FE7136">
      <w:pPr>
        <w:jc w:val="center"/>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
          <w:kern w:val="0"/>
          <w:sz w:val="36"/>
          <w:szCs w:val="36"/>
        </w:rPr>
        <w:t>目  录</w:t>
      </w:r>
    </w:p>
    <w:p w14:paraId="5B369833">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TOC \o "1-3" \n  \h \u </w:instrText>
      </w:r>
      <w:r>
        <w:rPr>
          <w:rFonts w:hint="default" w:ascii="Times New Roman" w:hAnsi="Times New Roman" w:eastAsia="仿宋_GB2312" w:cs="Times New Roman"/>
          <w:sz w:val="32"/>
          <w:szCs w:val="32"/>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"_Toc32314"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第一部分 单位概况</w:t>
      </w:r>
      <w:r>
        <w:rPr>
          <w:rFonts w:hint="default" w:ascii="Times New Roman" w:hAnsi="Times New Roman" w:eastAsia="仿宋_GB2312" w:cs="Times New Roman"/>
          <w:b/>
          <w:bCs/>
          <w:sz w:val="32"/>
          <w:szCs w:val="32"/>
        </w:rPr>
        <w:fldChar w:fldCharType="end"/>
      </w:r>
    </w:p>
    <w:p w14:paraId="6794D1E5">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"_Toc30567"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一、主要职能</w:t>
      </w:r>
      <w:r>
        <w:rPr>
          <w:rFonts w:hint="default" w:ascii="Times New Roman" w:hAnsi="Times New Roman" w:eastAsia="仿宋_GB2312" w:cs="Times New Roman"/>
          <w:bCs/>
          <w:kern w:val="0"/>
          <w:sz w:val="32"/>
          <w:szCs w:val="32"/>
        </w:rPr>
        <w:fldChar w:fldCharType="end"/>
      </w:r>
    </w:p>
    <w:p w14:paraId="6E796487">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"_Toc2151"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二、机构设置及人员情况</w:t>
      </w:r>
      <w:r>
        <w:rPr>
          <w:rFonts w:hint="default" w:ascii="Times New Roman" w:hAnsi="Times New Roman" w:eastAsia="仿宋_GB2312" w:cs="Times New Roman"/>
          <w:bCs/>
          <w:kern w:val="0"/>
          <w:sz w:val="32"/>
          <w:szCs w:val="32"/>
        </w:rPr>
        <w:fldChar w:fldCharType="end"/>
      </w:r>
    </w:p>
    <w:p w14:paraId="10E83688">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"_Toc29374"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第二部分 部门决算情况说明</w:t>
      </w:r>
      <w:r>
        <w:rPr>
          <w:rFonts w:hint="default" w:ascii="Times New Roman" w:hAnsi="Times New Roman" w:eastAsia="仿宋_GB2312" w:cs="Times New Roman"/>
          <w:b/>
          <w:bCs/>
          <w:sz w:val="32"/>
          <w:szCs w:val="32"/>
        </w:rPr>
        <w:fldChar w:fldCharType="end"/>
      </w:r>
    </w:p>
    <w:p w14:paraId="409D1F8B">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"_Toc25314"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一、收入支出决算总体情况说明</w:t>
      </w:r>
      <w:r>
        <w:rPr>
          <w:rFonts w:hint="default" w:ascii="Times New Roman" w:hAnsi="Times New Roman" w:eastAsia="仿宋_GB2312" w:cs="Times New Roman"/>
          <w:bCs/>
          <w:kern w:val="0"/>
          <w:sz w:val="32"/>
          <w:szCs w:val="32"/>
        </w:rPr>
        <w:fldChar w:fldCharType="end"/>
      </w:r>
    </w:p>
    <w:p w14:paraId="7B904DE5">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"_Toc12142"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二、收入决算情况说明</w:t>
      </w:r>
      <w:r>
        <w:rPr>
          <w:rFonts w:hint="default" w:ascii="Times New Roman" w:hAnsi="Times New Roman" w:eastAsia="仿宋_GB2312" w:cs="Times New Roman"/>
          <w:bCs/>
          <w:kern w:val="0"/>
          <w:sz w:val="32"/>
          <w:szCs w:val="32"/>
        </w:rPr>
        <w:fldChar w:fldCharType="end"/>
      </w:r>
    </w:p>
    <w:p w14:paraId="4D43BDD6">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"_Toc13201"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三、支出决算情况说明</w:t>
      </w:r>
      <w:r>
        <w:rPr>
          <w:rFonts w:hint="default" w:ascii="Times New Roman" w:hAnsi="Times New Roman" w:eastAsia="仿宋_GB2312" w:cs="Times New Roman"/>
          <w:bCs/>
          <w:kern w:val="0"/>
          <w:sz w:val="32"/>
          <w:szCs w:val="32"/>
        </w:rPr>
        <w:fldChar w:fldCharType="end"/>
      </w:r>
    </w:p>
    <w:p w14:paraId="0997C474">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"_Toc26564"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四、财政拨款收入支出决算总体情况说明</w:t>
      </w:r>
      <w:r>
        <w:rPr>
          <w:rFonts w:hint="default" w:ascii="Times New Roman" w:hAnsi="Times New Roman" w:eastAsia="仿宋_GB2312" w:cs="Times New Roman"/>
          <w:bCs/>
          <w:kern w:val="0"/>
          <w:sz w:val="32"/>
          <w:szCs w:val="32"/>
        </w:rPr>
        <w:fldChar w:fldCharType="end"/>
      </w:r>
    </w:p>
    <w:p w14:paraId="18D9255A">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"_Toc20360"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五、一般公共预算财政拨款支出决算情况说明</w:t>
      </w:r>
      <w:r>
        <w:rPr>
          <w:rFonts w:hint="default" w:ascii="Times New Roman" w:hAnsi="Times New Roman" w:eastAsia="仿宋_GB2312" w:cs="Times New Roman"/>
          <w:bCs/>
          <w:kern w:val="0"/>
          <w:sz w:val="32"/>
          <w:szCs w:val="32"/>
        </w:rPr>
        <w:fldChar w:fldCharType="end"/>
      </w:r>
    </w:p>
    <w:p w14:paraId="002AA86F">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"_Toc30870"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六、一般公共预算财政拨款基本支出决算情况说明</w:t>
      </w:r>
      <w:r>
        <w:rPr>
          <w:rFonts w:hint="default" w:ascii="Times New Roman" w:hAnsi="Times New Roman" w:eastAsia="仿宋_GB2312" w:cs="Times New Roman"/>
          <w:bCs/>
          <w:kern w:val="0"/>
          <w:sz w:val="32"/>
          <w:szCs w:val="32"/>
        </w:rPr>
        <w:fldChar w:fldCharType="end"/>
      </w:r>
    </w:p>
    <w:p w14:paraId="3AAC3C8B">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"_Toc21518"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七、财政拨款“三公”经费支出决算情况说明</w:t>
      </w:r>
      <w:r>
        <w:rPr>
          <w:rFonts w:hint="default" w:ascii="Times New Roman" w:hAnsi="Times New Roman" w:eastAsia="仿宋_GB2312" w:cs="Times New Roman"/>
          <w:bCs/>
          <w:kern w:val="0"/>
          <w:sz w:val="32"/>
          <w:szCs w:val="32"/>
        </w:rPr>
        <w:fldChar w:fldCharType="end"/>
      </w:r>
    </w:p>
    <w:p w14:paraId="5AD88A70">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"_Toc5810"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八、政府性基金预算财政拨款收入支出决算情况说明</w:t>
      </w:r>
      <w:r>
        <w:rPr>
          <w:rFonts w:hint="default" w:ascii="Times New Roman" w:hAnsi="Times New Roman" w:eastAsia="仿宋_GB2312" w:cs="Times New Roman"/>
          <w:bCs/>
          <w:kern w:val="0"/>
          <w:sz w:val="32"/>
          <w:szCs w:val="32"/>
        </w:rPr>
        <w:fldChar w:fldCharType="end"/>
      </w:r>
    </w:p>
    <w:p w14:paraId="5961A45D">
      <w:pPr>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"_Toc5810"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九、国有资本经营预算财政拨款收入支出决算情况说明</w:t>
      </w:r>
      <w:r>
        <w:rPr>
          <w:rFonts w:hint="default" w:ascii="Times New Roman" w:hAnsi="Times New Roman" w:eastAsia="仿宋_GB2312" w:cs="Times New Roman"/>
          <w:bCs/>
          <w:kern w:val="0"/>
          <w:sz w:val="32"/>
          <w:szCs w:val="32"/>
        </w:rPr>
        <w:fldChar w:fldCharType="end"/>
      </w:r>
    </w:p>
    <w:p w14:paraId="4F76FE04">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"_Toc1235"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十</w:t>
      </w:r>
      <w:r>
        <w:rPr>
          <w:rFonts w:hint="default" w:ascii="Times New Roman" w:hAnsi="Times New Roman" w:eastAsia="仿宋_GB2312" w:cs="Times New Roman"/>
          <w:bCs/>
          <w:kern w:val="0"/>
          <w:sz w:val="32"/>
          <w:szCs w:val="32"/>
        </w:rPr>
        <w:t>、其他重要事项的情况说明</w:t>
      </w:r>
      <w:r>
        <w:rPr>
          <w:rFonts w:hint="default" w:ascii="Times New Roman" w:hAnsi="Times New Roman" w:eastAsia="仿宋_GB2312" w:cs="Times New Roman"/>
          <w:bCs/>
          <w:kern w:val="0"/>
          <w:sz w:val="32"/>
          <w:szCs w:val="32"/>
        </w:rPr>
        <w:fldChar w:fldCharType="end"/>
      </w:r>
    </w:p>
    <w:p w14:paraId="5088F861">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"_Toc14519"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（一）机关运行经费支出情况</w:t>
      </w:r>
      <w:r>
        <w:rPr>
          <w:rFonts w:hint="default" w:ascii="Times New Roman" w:hAnsi="Times New Roman" w:eastAsia="仿宋_GB2312" w:cs="Times New Roman"/>
          <w:sz w:val="32"/>
          <w:szCs w:val="32"/>
        </w:rPr>
        <w:fldChar w:fldCharType="end"/>
      </w:r>
    </w:p>
    <w:p w14:paraId="301036F8">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"_Toc227"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（二）政府采购情况</w:t>
      </w:r>
      <w:r>
        <w:rPr>
          <w:rFonts w:hint="default" w:ascii="Times New Roman" w:hAnsi="Times New Roman" w:eastAsia="仿宋_GB2312" w:cs="Times New Roman"/>
          <w:sz w:val="32"/>
          <w:szCs w:val="32"/>
        </w:rPr>
        <w:fldChar w:fldCharType="end"/>
      </w:r>
    </w:p>
    <w:p w14:paraId="492D25FC">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"_Toc8391"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（三）国有资产占用情况说明</w:t>
      </w:r>
      <w:r>
        <w:rPr>
          <w:rFonts w:hint="default" w:ascii="Times New Roman" w:hAnsi="Times New Roman" w:eastAsia="仿宋_GB2312" w:cs="Times New Roman"/>
          <w:sz w:val="32"/>
          <w:szCs w:val="32"/>
        </w:rPr>
        <w:fldChar w:fldCharType="end"/>
      </w:r>
    </w:p>
    <w:p w14:paraId="0C48D24C">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"_Toc11283"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十一、预算绩效的情况说明</w:t>
      </w:r>
      <w:r>
        <w:rPr>
          <w:rFonts w:hint="default" w:ascii="Times New Roman" w:hAnsi="Times New Roman" w:eastAsia="仿宋_GB2312" w:cs="Times New Roman"/>
          <w:bCs/>
          <w:kern w:val="0"/>
          <w:sz w:val="32"/>
          <w:szCs w:val="32"/>
        </w:rPr>
        <w:fldChar w:fldCharType="end"/>
      </w:r>
    </w:p>
    <w:p w14:paraId="2DF61666">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十二、其他需说明的事项</w:t>
      </w:r>
    </w:p>
    <w:p w14:paraId="4C1FB81D">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"_Toc3250"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第三部分 专业名词解释</w:t>
      </w:r>
      <w:r>
        <w:rPr>
          <w:rFonts w:hint="default" w:ascii="Times New Roman" w:hAnsi="Times New Roman" w:eastAsia="仿宋_GB2312" w:cs="Times New Roman"/>
          <w:b/>
          <w:bCs/>
          <w:sz w:val="32"/>
          <w:szCs w:val="32"/>
        </w:rPr>
        <w:fldChar w:fldCharType="end"/>
      </w:r>
    </w:p>
    <w:p w14:paraId="2D8FA751">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"_Toc22784"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第四部分 部门决算报表（见附表）</w:t>
      </w:r>
      <w:r>
        <w:rPr>
          <w:rFonts w:hint="default" w:ascii="Times New Roman" w:hAnsi="Times New Roman" w:eastAsia="仿宋_GB2312" w:cs="Times New Roman"/>
          <w:b/>
          <w:bCs/>
          <w:sz w:val="32"/>
          <w:szCs w:val="32"/>
        </w:rPr>
        <w:fldChar w:fldCharType="end"/>
      </w:r>
    </w:p>
    <w:p w14:paraId="01DB3308">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"_Toc2183"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一、《收入支出决算总表》</w:t>
      </w:r>
      <w:r>
        <w:rPr>
          <w:rFonts w:hint="default" w:ascii="Times New Roman" w:hAnsi="Times New Roman" w:eastAsia="仿宋_GB2312" w:cs="Times New Roman"/>
          <w:bCs/>
          <w:kern w:val="0"/>
          <w:sz w:val="32"/>
          <w:szCs w:val="32"/>
        </w:rPr>
        <w:fldChar w:fldCharType="end"/>
      </w:r>
    </w:p>
    <w:p w14:paraId="58BEC357">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"_Toc24532"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二、《收入决算表》</w:t>
      </w:r>
      <w:r>
        <w:rPr>
          <w:rFonts w:hint="default" w:ascii="Times New Roman" w:hAnsi="Times New Roman" w:eastAsia="仿宋_GB2312" w:cs="Times New Roman"/>
          <w:bCs/>
          <w:kern w:val="0"/>
          <w:sz w:val="32"/>
          <w:szCs w:val="32"/>
        </w:rPr>
        <w:fldChar w:fldCharType="end"/>
      </w:r>
    </w:p>
    <w:p w14:paraId="4D2BEFAC">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"_Toc32434"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三、《支出决算表》</w:t>
      </w:r>
      <w:r>
        <w:rPr>
          <w:rFonts w:hint="default" w:ascii="Times New Roman" w:hAnsi="Times New Roman" w:eastAsia="仿宋_GB2312" w:cs="Times New Roman"/>
          <w:bCs/>
          <w:kern w:val="0"/>
          <w:sz w:val="32"/>
          <w:szCs w:val="32"/>
        </w:rPr>
        <w:fldChar w:fldCharType="end"/>
      </w:r>
    </w:p>
    <w:p w14:paraId="47E60FB4">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"_Toc28786"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四、《财政拨款收入支出决算总表》</w:t>
      </w:r>
      <w:r>
        <w:rPr>
          <w:rFonts w:hint="default" w:ascii="Times New Roman" w:hAnsi="Times New Roman" w:eastAsia="仿宋_GB2312" w:cs="Times New Roman"/>
          <w:bCs/>
          <w:kern w:val="0"/>
          <w:sz w:val="32"/>
          <w:szCs w:val="32"/>
        </w:rPr>
        <w:fldChar w:fldCharType="end"/>
      </w:r>
    </w:p>
    <w:p w14:paraId="35640EAC">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"_Toc14869"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五、《一般公共预算财政拨款支出决算表》</w:t>
      </w:r>
      <w:r>
        <w:rPr>
          <w:rFonts w:hint="default" w:ascii="Times New Roman" w:hAnsi="Times New Roman" w:eastAsia="仿宋_GB2312" w:cs="Times New Roman"/>
          <w:bCs/>
          <w:kern w:val="0"/>
          <w:sz w:val="32"/>
          <w:szCs w:val="32"/>
        </w:rPr>
        <w:fldChar w:fldCharType="end"/>
      </w:r>
    </w:p>
    <w:p w14:paraId="45B1620E">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"_Toc8884"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六、《一般公共预算财政拨款基本支出决算表》</w:t>
      </w:r>
      <w:r>
        <w:rPr>
          <w:rFonts w:hint="default" w:ascii="Times New Roman" w:hAnsi="Times New Roman" w:eastAsia="仿宋_GB2312" w:cs="Times New Roman"/>
          <w:bCs/>
          <w:kern w:val="0"/>
          <w:sz w:val="32"/>
          <w:szCs w:val="32"/>
        </w:rPr>
        <w:fldChar w:fldCharType="end"/>
      </w:r>
    </w:p>
    <w:p w14:paraId="6AD6A57B">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"_Toc29106"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七、《财政拨款“三公”经费支出决算表》</w:t>
      </w:r>
      <w:r>
        <w:rPr>
          <w:rFonts w:hint="default" w:ascii="Times New Roman" w:hAnsi="Times New Roman" w:eastAsia="仿宋_GB2312" w:cs="Times New Roman"/>
          <w:bCs/>
          <w:kern w:val="0"/>
          <w:sz w:val="32"/>
          <w:szCs w:val="32"/>
        </w:rPr>
        <w:fldChar w:fldCharType="end"/>
      </w:r>
    </w:p>
    <w:p w14:paraId="4B0FDC68">
      <w:pPr>
        <w:pStyle w:val="7"/>
        <w:tabs>
          <w:tab w:val="right" w:pos="8306"/>
        </w:tabs>
        <w:ind w:left="0" w:leftChars="0"/>
        <w:rPr>
          <w:rFonts w:hint="default" w:ascii="Times New Roman" w:hAnsi="Times New Roman" w:eastAsia="仿宋_GB2312" w:cs="Times New Roman"/>
          <w:bCs/>
          <w:kern w:val="0"/>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"_Toc7643"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八、《政府性基金预算财政拨款收入支出决算表》</w:t>
      </w:r>
      <w:r>
        <w:rPr>
          <w:rFonts w:hint="default" w:ascii="Times New Roman" w:hAnsi="Times New Roman" w:eastAsia="仿宋_GB2312" w:cs="Times New Roman"/>
          <w:bCs/>
          <w:kern w:val="0"/>
          <w:sz w:val="32"/>
          <w:szCs w:val="32"/>
        </w:rPr>
        <w:fldChar w:fldCharType="end"/>
      </w:r>
    </w:p>
    <w:p w14:paraId="73D2EDB5">
      <w:pPr>
        <w:pStyle w:val="7"/>
        <w:tabs>
          <w:tab w:val="right" w:pos="8306"/>
        </w:tabs>
        <w:ind w:left="0" w:leftChars="0"/>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九、《国有资本经营预算财政拨款收入支出决算表》</w:t>
      </w:r>
    </w:p>
    <w:p w14:paraId="19BD0AF4">
      <w:pPr>
        <w:rPr>
          <w:rFonts w:hint="default" w:ascii="Times New Roman" w:hAnsi="Times New Roman" w:cs="Times New Roman"/>
        </w:rPr>
      </w:pPr>
      <w:r>
        <w:rPr>
          <w:rFonts w:hint="default" w:ascii="Times New Roman" w:hAnsi="Times New Roman" w:eastAsia="仿宋_GB2312" w:cs="Times New Roman"/>
          <w:sz w:val="32"/>
          <w:szCs w:val="32"/>
        </w:rPr>
        <w:fldChar w:fldCharType="end"/>
      </w:r>
    </w:p>
    <w:p w14:paraId="430EF1D3">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14:paraId="110AEAB3">
      <w:pPr>
        <w:jc w:val="center"/>
        <w:outlineLvl w:val="0"/>
        <w:rPr>
          <w:rFonts w:hint="default" w:ascii="Times New Roman" w:hAnsi="Times New Roman" w:eastAsia="黑体" w:cs="Times New Roman"/>
          <w:sz w:val="32"/>
          <w:szCs w:val="32"/>
        </w:rPr>
      </w:pPr>
      <w:bookmarkStart w:id="0" w:name="_Toc32314"/>
      <w:bookmarkStart w:id="1" w:name="_Toc24028"/>
      <w:r>
        <w:rPr>
          <w:rFonts w:hint="default" w:ascii="Times New Roman" w:hAnsi="Times New Roman" w:eastAsia="黑体" w:cs="Times New Roman"/>
          <w:sz w:val="32"/>
          <w:szCs w:val="32"/>
        </w:rPr>
        <w:t>第一部分 单位概况</w:t>
      </w:r>
      <w:bookmarkEnd w:id="0"/>
      <w:bookmarkEnd w:id="1"/>
    </w:p>
    <w:p w14:paraId="27900802">
      <w:pPr>
        <w:ind w:firstLine="640" w:firstLineChars="200"/>
        <w:outlineLvl w:val="1"/>
        <w:rPr>
          <w:rFonts w:hint="default" w:ascii="Times New Roman" w:hAnsi="Times New Roman" w:eastAsia="黑体" w:cs="Times New Roman"/>
          <w:bCs/>
          <w:kern w:val="0"/>
          <w:sz w:val="32"/>
          <w:szCs w:val="32"/>
        </w:rPr>
      </w:pPr>
      <w:bookmarkStart w:id="2" w:name="_Toc30567"/>
      <w:bookmarkStart w:id="3" w:name="_Toc30738"/>
      <w:r>
        <w:rPr>
          <w:rFonts w:hint="default" w:ascii="Times New Roman" w:hAnsi="Times New Roman" w:eastAsia="黑体" w:cs="Times New Roman"/>
          <w:bCs/>
          <w:kern w:val="0"/>
          <w:sz w:val="32"/>
          <w:szCs w:val="32"/>
        </w:rPr>
        <w:t>一、主要职能</w:t>
      </w:r>
      <w:bookmarkEnd w:id="2"/>
      <w:bookmarkEnd w:id="3"/>
    </w:p>
    <w:p w14:paraId="1859B3BE">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sz w:val="32"/>
          <w:szCs w:val="32"/>
          <w:highlight w:val="none"/>
        </w:rPr>
      </w:pPr>
      <w:bookmarkStart w:id="4" w:name="_Toc31238"/>
      <w:bookmarkStart w:id="5" w:name="_Toc2151"/>
      <w:r>
        <w:rPr>
          <w:rFonts w:hint="default" w:ascii="Times New Roman" w:hAnsi="Times New Roman" w:eastAsia="仿宋_GB2312" w:cs="Times New Roman"/>
          <w:sz w:val="32"/>
          <w:szCs w:val="32"/>
          <w:highlight w:val="none"/>
          <w:lang w:eastAsia="zh-CN"/>
        </w:rPr>
        <w:t>新疆维吾尔自治区医疗卫生服务指导中心（原新疆维吾尔自治区医疗卫生服务管理指导中心）</w:t>
      </w:r>
      <w:r>
        <w:rPr>
          <w:rFonts w:hint="default" w:ascii="Times New Roman" w:hAnsi="Times New Roman" w:eastAsia="仿宋_GB2312" w:cs="Times New Roman"/>
          <w:sz w:val="32"/>
          <w:szCs w:val="32"/>
          <w:highlight w:val="none"/>
        </w:rPr>
        <w:t>主要职责为承担全国</w:t>
      </w:r>
      <w:r>
        <w:rPr>
          <w:rFonts w:hint="default" w:ascii="Times New Roman" w:hAnsi="Times New Roman" w:eastAsia="仿宋_GB2312" w:cs="Times New Roman"/>
          <w:sz w:val="32"/>
          <w:szCs w:val="32"/>
          <w:highlight w:val="none"/>
          <w:lang w:val="en-US" w:eastAsia="zh-CN"/>
        </w:rPr>
        <w:t>执业（助理）</w:t>
      </w:r>
      <w:r>
        <w:rPr>
          <w:rFonts w:hint="default" w:ascii="Times New Roman" w:hAnsi="Times New Roman" w:eastAsia="仿宋_GB2312" w:cs="Times New Roman"/>
          <w:sz w:val="32"/>
          <w:szCs w:val="32"/>
          <w:highlight w:val="none"/>
        </w:rPr>
        <w:t>医师、护士资格考试、全国卫生专业技术资格考试；高级卫生专业技术资格考试；全国医用设备使用人员业务能力考评等；承担医学学术团体服务与管理工作；承担国内外医学学术交流与合作；承</w:t>
      </w:r>
      <w:r>
        <w:rPr>
          <w:rFonts w:hint="default" w:ascii="Times New Roman" w:hAnsi="Times New Roman" w:eastAsia="仿宋_GB2312" w:cs="Times New Roman"/>
          <w:sz w:val="32"/>
          <w:szCs w:val="32"/>
          <w:highlight w:val="none"/>
          <w:lang w:val="en-US" w:eastAsia="zh-CN"/>
        </w:rPr>
        <w:t>担</w:t>
      </w:r>
      <w:r>
        <w:rPr>
          <w:rFonts w:hint="default" w:ascii="Times New Roman" w:hAnsi="Times New Roman" w:eastAsia="仿宋_GB2312" w:cs="Times New Roman"/>
          <w:sz w:val="32"/>
          <w:szCs w:val="32"/>
          <w:highlight w:val="none"/>
        </w:rPr>
        <w:t>医疗机构服务绩效评价等技术管理相关事务性、操作性、技术性和评价性工作的具体实施；承办自治区卫生健康委员会交办的其他事项。</w:t>
      </w:r>
    </w:p>
    <w:p w14:paraId="4ACE880B">
      <w:pPr>
        <w:ind w:firstLine="640" w:firstLineChars="200"/>
        <w:outlineLvl w:val="1"/>
        <w:rPr>
          <w:rFonts w:hint="default" w:ascii="Times New Roman" w:hAnsi="Times New Roman" w:eastAsia="黑体" w:cs="Times New Roman"/>
          <w:bCs/>
          <w:kern w:val="0"/>
          <w:sz w:val="32"/>
          <w:szCs w:val="32"/>
          <w:highlight w:val="none"/>
        </w:rPr>
      </w:pPr>
      <w:r>
        <w:rPr>
          <w:rFonts w:hint="default" w:ascii="Times New Roman" w:hAnsi="Times New Roman" w:eastAsia="黑体" w:cs="Times New Roman"/>
          <w:bCs/>
          <w:kern w:val="0"/>
          <w:sz w:val="32"/>
          <w:szCs w:val="32"/>
          <w:highlight w:val="none"/>
        </w:rPr>
        <w:t>二、机构设置及</w:t>
      </w:r>
      <w:bookmarkEnd w:id="4"/>
      <w:r>
        <w:rPr>
          <w:rFonts w:hint="default" w:ascii="Times New Roman" w:hAnsi="Times New Roman" w:eastAsia="黑体" w:cs="Times New Roman"/>
          <w:bCs/>
          <w:kern w:val="0"/>
          <w:sz w:val="32"/>
          <w:szCs w:val="32"/>
          <w:highlight w:val="none"/>
        </w:rPr>
        <w:t>人员情况</w:t>
      </w:r>
      <w:bookmarkEnd w:id="5"/>
    </w:p>
    <w:p w14:paraId="7CBB57F7">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sz w:val="32"/>
          <w:szCs w:val="32"/>
          <w:highlight w:val="none"/>
          <w:lang w:eastAsia="zh-CN"/>
        </w:rPr>
        <w:t>新疆维吾尔自治区医疗卫生服务指导中心（原新疆维吾尔自治区医疗卫生服务管理指导中心）</w:t>
      </w:r>
      <w:r>
        <w:rPr>
          <w:rFonts w:hint="default" w:ascii="Times New Roman" w:hAnsi="Times New Roman" w:eastAsia="仿宋_GB2312" w:cs="Times New Roman"/>
          <w:sz w:val="32"/>
          <w:szCs w:val="32"/>
          <w:highlight w:val="none"/>
        </w:rPr>
        <w:t>2023年度，实有人数</w:t>
      </w:r>
      <w:r>
        <w:rPr>
          <w:rFonts w:hint="default" w:ascii="Times New Roman" w:hAnsi="Times New Roman" w:eastAsia="仿宋_GB2312" w:cs="Times New Roman"/>
          <w:sz w:val="32"/>
          <w:szCs w:val="32"/>
          <w:highlight w:val="none"/>
          <w:lang w:val="zh-CN"/>
        </w:rPr>
        <w:t>41</w:t>
      </w:r>
      <w:r>
        <w:rPr>
          <w:rFonts w:hint="default" w:ascii="Times New Roman" w:hAnsi="Times New Roman" w:eastAsia="仿宋_GB2312" w:cs="Times New Roman"/>
          <w:sz w:val="32"/>
          <w:szCs w:val="32"/>
          <w:highlight w:val="none"/>
        </w:rPr>
        <w:t>人，其中：在职人员</w:t>
      </w:r>
      <w:r>
        <w:rPr>
          <w:rFonts w:hint="default" w:ascii="Times New Roman" w:hAnsi="Times New Roman" w:eastAsia="仿宋_GB2312" w:cs="Times New Roman"/>
          <w:sz w:val="32"/>
          <w:szCs w:val="32"/>
          <w:highlight w:val="none"/>
          <w:lang w:val="zh-CN"/>
        </w:rPr>
        <w:t>41</w:t>
      </w:r>
      <w:r>
        <w:rPr>
          <w:rFonts w:hint="default" w:ascii="Times New Roman" w:hAnsi="Times New Roman" w:eastAsia="仿宋_GB2312" w:cs="Times New Roman"/>
          <w:sz w:val="32"/>
          <w:szCs w:val="32"/>
          <w:highlight w:val="none"/>
        </w:rPr>
        <w:t>人，离休人员</w:t>
      </w:r>
      <w:r>
        <w:rPr>
          <w:rFonts w:hint="default" w:ascii="Times New Roman" w:hAnsi="Times New Roman" w:eastAsia="仿宋_GB2312" w:cs="Times New Roman"/>
          <w:sz w:val="32"/>
          <w:szCs w:val="32"/>
          <w:highlight w:val="none"/>
          <w:lang w:val="zh-CN"/>
        </w:rPr>
        <w:t>0</w:t>
      </w:r>
      <w:r>
        <w:rPr>
          <w:rFonts w:hint="default" w:ascii="Times New Roman" w:hAnsi="Times New Roman" w:eastAsia="仿宋_GB2312" w:cs="Times New Roman"/>
          <w:sz w:val="32"/>
          <w:szCs w:val="32"/>
          <w:highlight w:val="none"/>
        </w:rPr>
        <w:t>人，退休人员</w:t>
      </w:r>
      <w:r>
        <w:rPr>
          <w:rFonts w:hint="default" w:ascii="Times New Roman" w:hAnsi="Times New Roman" w:eastAsia="仿宋_GB2312" w:cs="Times New Roman"/>
          <w:sz w:val="32"/>
          <w:szCs w:val="32"/>
          <w:highlight w:val="none"/>
          <w:lang w:val="zh-CN"/>
        </w:rPr>
        <w:t>0</w:t>
      </w:r>
      <w:r>
        <w:rPr>
          <w:rFonts w:hint="default" w:ascii="Times New Roman" w:hAnsi="Times New Roman" w:eastAsia="仿宋_GB2312" w:cs="Times New Roman"/>
          <w:sz w:val="32"/>
          <w:szCs w:val="32"/>
          <w:highlight w:val="none"/>
        </w:rPr>
        <w:t>人。</w:t>
      </w:r>
    </w:p>
    <w:p w14:paraId="23F469D2">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bCs/>
          <w:kern w:val="0"/>
          <w:sz w:val="32"/>
          <w:szCs w:val="32"/>
          <w:highlight w:val="none"/>
        </w:rPr>
      </w:pPr>
      <w:bookmarkStart w:id="6" w:name="_Toc3092"/>
      <w:bookmarkStart w:id="7" w:name="_Toc29374"/>
      <w:r>
        <w:rPr>
          <w:rFonts w:hint="default" w:ascii="Times New Roman" w:hAnsi="Times New Roman" w:eastAsia="仿宋_GB2312" w:cs="Times New Roman"/>
          <w:bCs/>
          <w:kern w:val="0"/>
          <w:sz w:val="32"/>
          <w:szCs w:val="32"/>
          <w:highlight w:val="none"/>
          <w:lang w:val="en-US" w:eastAsia="zh-CN"/>
        </w:rPr>
        <w:t>单位</w:t>
      </w:r>
      <w:r>
        <w:rPr>
          <w:rFonts w:hint="default" w:ascii="Times New Roman" w:hAnsi="Times New Roman" w:eastAsia="仿宋_GB2312" w:cs="Times New Roman"/>
          <w:bCs/>
          <w:kern w:val="0"/>
          <w:sz w:val="32"/>
          <w:szCs w:val="32"/>
          <w:highlight w:val="none"/>
        </w:rPr>
        <w:t>无下属</w:t>
      </w:r>
      <w:r>
        <w:rPr>
          <w:rFonts w:hint="default" w:ascii="Times New Roman" w:hAnsi="Times New Roman" w:eastAsia="仿宋_GB2312" w:cs="Times New Roman"/>
          <w:bCs/>
          <w:kern w:val="0"/>
          <w:sz w:val="32"/>
          <w:szCs w:val="32"/>
          <w:highlight w:val="none"/>
          <w:lang w:val="en-US" w:eastAsia="zh-CN"/>
        </w:rPr>
        <w:t>预算</w:t>
      </w:r>
      <w:r>
        <w:rPr>
          <w:rFonts w:hint="default" w:ascii="Times New Roman" w:hAnsi="Times New Roman" w:eastAsia="仿宋_GB2312" w:cs="Times New Roman"/>
          <w:bCs/>
          <w:kern w:val="0"/>
          <w:sz w:val="32"/>
          <w:szCs w:val="32"/>
          <w:highlight w:val="none"/>
        </w:rPr>
        <w:t>单位，下设7个科室，分别是：党政办公室、纪检监察室、财务科、医疗机构管理指导科、学会管理科、医学考试中心、医学鉴定科。</w:t>
      </w:r>
    </w:p>
    <w:p w14:paraId="32CC90A7">
      <w:pPr>
        <w:jc w:val="center"/>
        <w:outlineLvl w:val="0"/>
        <w:rPr>
          <w:rFonts w:hint="default" w:ascii="Times New Roman" w:hAnsi="Times New Roman" w:eastAsia="黑体" w:cs="Times New Roman"/>
          <w:sz w:val="32"/>
          <w:szCs w:val="32"/>
        </w:rPr>
      </w:pPr>
    </w:p>
    <w:p w14:paraId="67D27CDC">
      <w:pPr>
        <w:jc w:val="center"/>
        <w:outlineLvl w:val="0"/>
        <w:rPr>
          <w:rFonts w:hint="default" w:ascii="Times New Roman" w:hAnsi="Times New Roman" w:eastAsia="黑体" w:cs="Times New Roman"/>
          <w:sz w:val="32"/>
          <w:szCs w:val="32"/>
        </w:rPr>
      </w:pPr>
    </w:p>
    <w:p w14:paraId="6443E276">
      <w:pPr>
        <w:jc w:val="center"/>
        <w:outlineLvl w:val="0"/>
        <w:rPr>
          <w:rFonts w:hint="default" w:ascii="Times New Roman" w:hAnsi="Times New Roman" w:eastAsia="黑体" w:cs="Times New Roman"/>
          <w:sz w:val="32"/>
          <w:szCs w:val="32"/>
        </w:rPr>
      </w:pPr>
    </w:p>
    <w:p w14:paraId="2AE2875E">
      <w:pPr>
        <w:jc w:val="center"/>
        <w:outlineLvl w:val="0"/>
        <w:rPr>
          <w:rFonts w:hint="default" w:ascii="Times New Roman" w:hAnsi="Times New Roman" w:eastAsia="黑体" w:cs="Times New Roman"/>
          <w:sz w:val="32"/>
          <w:szCs w:val="32"/>
        </w:rPr>
      </w:pPr>
    </w:p>
    <w:p w14:paraId="483AE399">
      <w:pPr>
        <w:jc w:val="center"/>
        <w:outlineLvl w:val="0"/>
        <w:rPr>
          <w:rFonts w:hint="default" w:ascii="Times New Roman" w:hAnsi="Times New Roman" w:eastAsia="黑体" w:cs="Times New Roman"/>
          <w:sz w:val="32"/>
          <w:szCs w:val="32"/>
        </w:rPr>
      </w:pPr>
    </w:p>
    <w:p w14:paraId="601A57F5">
      <w:pPr>
        <w:jc w:val="center"/>
        <w:outlineLvl w:val="0"/>
        <w:rPr>
          <w:rFonts w:hint="default" w:ascii="Times New Roman" w:hAnsi="Times New Roman" w:eastAsia="黑体" w:cs="Times New Roman"/>
          <w:sz w:val="32"/>
          <w:szCs w:val="32"/>
        </w:rPr>
      </w:pPr>
    </w:p>
    <w:p w14:paraId="3F571AE2">
      <w:pPr>
        <w:jc w:val="center"/>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第二部分 部门决算情况说明</w:t>
      </w:r>
      <w:bookmarkEnd w:id="6"/>
      <w:bookmarkEnd w:id="7"/>
    </w:p>
    <w:p w14:paraId="7A73F803">
      <w:pPr>
        <w:ind w:firstLine="640" w:firstLineChars="200"/>
        <w:outlineLvl w:val="1"/>
        <w:rPr>
          <w:rFonts w:hint="default" w:ascii="Times New Roman" w:hAnsi="Times New Roman" w:eastAsia="黑体" w:cs="Times New Roman"/>
          <w:bCs/>
          <w:kern w:val="0"/>
          <w:sz w:val="32"/>
          <w:szCs w:val="32"/>
        </w:rPr>
      </w:pPr>
      <w:bookmarkStart w:id="8" w:name="_Toc25314"/>
      <w:bookmarkStart w:id="9" w:name="_Toc12566"/>
      <w:r>
        <w:rPr>
          <w:rFonts w:hint="default" w:ascii="Times New Roman" w:hAnsi="Times New Roman" w:eastAsia="黑体" w:cs="Times New Roman"/>
          <w:bCs/>
          <w:kern w:val="0"/>
          <w:sz w:val="32"/>
          <w:szCs w:val="32"/>
        </w:rPr>
        <w:t>一、收入支出决算总体情况说明</w:t>
      </w:r>
      <w:bookmarkEnd w:id="8"/>
      <w:bookmarkEnd w:id="9"/>
    </w:p>
    <w:p w14:paraId="0E8C20E2">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2023年度收入总计1,392.57万元，</w:t>
      </w:r>
      <w:r>
        <w:rPr>
          <w:rFonts w:hint="default" w:ascii="Times New Roman" w:hAnsi="Times New Roman" w:eastAsia="仿宋_GB2312" w:cs="Times New Roman"/>
          <w:sz w:val="32"/>
          <w:szCs w:val="32"/>
        </w:rPr>
        <w:t>其中：本年收入合计1,344.79万元，使用非财政拨款结余0.00万元，年初结转和结余47.78万元。</w:t>
      </w:r>
    </w:p>
    <w:p w14:paraId="4183B35D">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2023年度支出总计1,392.57万元，</w:t>
      </w:r>
      <w:r>
        <w:rPr>
          <w:rFonts w:hint="default" w:ascii="Times New Roman" w:hAnsi="Times New Roman" w:eastAsia="仿宋_GB2312" w:cs="Times New Roman"/>
          <w:sz w:val="32"/>
          <w:szCs w:val="32"/>
        </w:rPr>
        <w:t>其中：本年支出合计1,179.03万元，结余分配0.00万元，年末结转和结余213.54万元。</w:t>
      </w:r>
    </w:p>
    <w:p w14:paraId="69804088">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rPr>
        <w:t>收入支出总体与上年相比，</w:t>
      </w:r>
      <w:r>
        <w:rPr>
          <w:rFonts w:hint="default" w:ascii="Times New Roman" w:hAnsi="Times New Roman" w:eastAsia="仿宋_GB2312" w:cs="Times New Roman"/>
          <w:sz w:val="32"/>
          <w:szCs w:val="32"/>
          <w:lang w:val="zh-CN"/>
        </w:rPr>
        <w:t>增加440.26万元</w:t>
      </w:r>
      <w:r>
        <w:rPr>
          <w:rFonts w:hint="default" w:ascii="Times New Roman" w:hAnsi="Times New Roman" w:eastAsia="仿宋_GB2312" w:cs="Times New Roman"/>
          <w:sz w:val="32"/>
          <w:szCs w:val="32"/>
        </w:rPr>
        <w:t>，增长46.23%，主要原因是：</w:t>
      </w:r>
      <w:r>
        <w:rPr>
          <w:rFonts w:hint="default" w:ascii="Times New Roman" w:hAnsi="Times New Roman" w:eastAsia="仿宋_GB2312" w:cs="Times New Roman"/>
          <w:sz w:val="32"/>
          <w:szCs w:val="32"/>
          <w:highlight w:val="none"/>
        </w:rPr>
        <w:t>本年度</w:t>
      </w:r>
      <w:r>
        <w:rPr>
          <w:rFonts w:hint="default" w:ascii="Times New Roman" w:hAnsi="Times New Roman" w:eastAsia="仿宋_GB2312" w:cs="Times New Roman"/>
          <w:sz w:val="32"/>
          <w:szCs w:val="32"/>
          <w:highlight w:val="none"/>
          <w:lang w:val="en-US" w:eastAsia="zh-CN"/>
        </w:rPr>
        <w:t>新增</w:t>
      </w:r>
      <w:r>
        <w:rPr>
          <w:rFonts w:hint="default" w:ascii="Times New Roman" w:hAnsi="Times New Roman" w:eastAsia="仿宋_GB2312" w:cs="Times New Roman"/>
          <w:sz w:val="32"/>
          <w:szCs w:val="32"/>
          <w:highlight w:val="none"/>
        </w:rPr>
        <w:t>中央转移支付项目</w:t>
      </w:r>
      <w:r>
        <w:rPr>
          <w:rFonts w:hint="default" w:ascii="Times New Roman" w:hAnsi="Times New Roman" w:eastAsia="仿宋_GB2312" w:cs="Times New Roman"/>
          <w:sz w:val="32"/>
          <w:szCs w:val="32"/>
          <w:highlight w:val="none"/>
          <w:lang w:val="en-US" w:eastAsia="zh-CN"/>
        </w:rPr>
        <w:t>和自治区重大科技专项项目</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相关收支增加</w:t>
      </w:r>
      <w:r>
        <w:rPr>
          <w:rFonts w:hint="default" w:ascii="Times New Roman" w:hAnsi="Times New Roman" w:eastAsia="仿宋_GB2312" w:cs="Times New Roman"/>
          <w:sz w:val="32"/>
          <w:szCs w:val="32"/>
          <w:highlight w:val="none"/>
        </w:rPr>
        <w:t>。</w:t>
      </w:r>
    </w:p>
    <w:p w14:paraId="609EAD43">
      <w:pPr>
        <w:ind w:firstLine="640" w:firstLineChars="200"/>
        <w:jc w:val="left"/>
        <w:outlineLvl w:val="1"/>
        <w:rPr>
          <w:rFonts w:hint="default" w:ascii="Times New Roman" w:hAnsi="Times New Roman" w:eastAsia="黑体" w:cs="Times New Roman"/>
          <w:bCs/>
          <w:kern w:val="0"/>
          <w:sz w:val="32"/>
          <w:szCs w:val="32"/>
        </w:rPr>
      </w:pPr>
      <w:bookmarkStart w:id="10" w:name="_Toc12142"/>
      <w:bookmarkStart w:id="11" w:name="_Toc1979"/>
      <w:r>
        <w:rPr>
          <w:rFonts w:hint="default" w:ascii="Times New Roman" w:hAnsi="Times New Roman" w:eastAsia="黑体" w:cs="Times New Roman"/>
          <w:bCs/>
          <w:kern w:val="0"/>
          <w:sz w:val="32"/>
          <w:szCs w:val="32"/>
        </w:rPr>
        <w:t>二、收入决算情况说明</w:t>
      </w:r>
      <w:bookmarkEnd w:id="10"/>
      <w:bookmarkEnd w:id="11"/>
    </w:p>
    <w:p w14:paraId="7ABC19E4">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本年收入1,344.79万元，</w:t>
      </w:r>
      <w:r>
        <w:rPr>
          <w:rFonts w:hint="default" w:ascii="Times New Roman" w:hAnsi="Times New Roman" w:eastAsia="仿宋_GB2312" w:cs="Times New Roman"/>
          <w:sz w:val="32"/>
          <w:szCs w:val="32"/>
        </w:rPr>
        <w:t>其中：财政拨款收入</w:t>
      </w:r>
      <w:r>
        <w:rPr>
          <w:rFonts w:hint="default" w:ascii="Times New Roman" w:hAnsi="Times New Roman" w:eastAsia="仿宋_GB2312" w:cs="Times New Roman"/>
          <w:sz w:val="32"/>
          <w:szCs w:val="32"/>
          <w:lang w:val="zh-CN"/>
        </w:rPr>
        <w:t>1,133.90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84.32</w:t>
      </w:r>
      <w:r>
        <w:rPr>
          <w:rFonts w:hint="default" w:ascii="Times New Roman" w:hAnsi="Times New Roman" w:eastAsia="仿宋_GB2312" w:cs="Times New Roman"/>
          <w:sz w:val="32"/>
          <w:szCs w:val="32"/>
        </w:rPr>
        <w:t>%；上级补助收入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%；事业收入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%；经营收入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%；附属单位上缴收入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%；其他收入</w:t>
      </w:r>
      <w:r>
        <w:rPr>
          <w:rFonts w:hint="default" w:ascii="Times New Roman" w:hAnsi="Times New Roman" w:eastAsia="仿宋_GB2312" w:cs="Times New Roman"/>
          <w:sz w:val="32"/>
          <w:szCs w:val="32"/>
          <w:lang w:val="zh-CN"/>
        </w:rPr>
        <w:t>210.88</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15.68</w:t>
      </w:r>
      <w:r>
        <w:rPr>
          <w:rFonts w:hint="default" w:ascii="Times New Roman" w:hAnsi="Times New Roman" w:eastAsia="仿宋_GB2312" w:cs="Times New Roman"/>
          <w:sz w:val="32"/>
          <w:szCs w:val="32"/>
        </w:rPr>
        <w:t>%。</w:t>
      </w:r>
    </w:p>
    <w:p w14:paraId="4E475A3F">
      <w:pPr>
        <w:ind w:firstLine="640" w:firstLineChars="200"/>
        <w:jc w:val="left"/>
        <w:outlineLvl w:val="1"/>
        <w:rPr>
          <w:rFonts w:hint="default" w:ascii="Times New Roman" w:hAnsi="Times New Roman" w:eastAsia="黑体" w:cs="Times New Roman"/>
          <w:bCs/>
          <w:kern w:val="0"/>
          <w:sz w:val="32"/>
          <w:szCs w:val="32"/>
        </w:rPr>
      </w:pPr>
      <w:bookmarkStart w:id="12" w:name="_Toc13201"/>
      <w:bookmarkStart w:id="13" w:name="_Toc27961"/>
      <w:r>
        <w:rPr>
          <w:rFonts w:hint="default" w:ascii="Times New Roman" w:hAnsi="Times New Roman" w:eastAsia="黑体" w:cs="Times New Roman"/>
          <w:bCs/>
          <w:kern w:val="0"/>
          <w:sz w:val="32"/>
          <w:szCs w:val="32"/>
        </w:rPr>
        <w:t>三、支出决算情况说明</w:t>
      </w:r>
      <w:bookmarkEnd w:id="12"/>
      <w:bookmarkEnd w:id="13"/>
    </w:p>
    <w:p w14:paraId="64674C50">
      <w:pPr>
        <w:ind w:firstLine="643"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b/>
          <w:bCs/>
          <w:sz w:val="32"/>
          <w:szCs w:val="32"/>
          <w:lang w:val="zh-CN"/>
        </w:rPr>
        <w:t>本年支出1,179.03万元，</w:t>
      </w:r>
      <w:r>
        <w:rPr>
          <w:rFonts w:hint="default" w:ascii="Times New Roman" w:hAnsi="Times New Roman" w:eastAsia="仿宋_GB2312" w:cs="Times New Roman"/>
          <w:sz w:val="32"/>
          <w:szCs w:val="32"/>
          <w:lang w:val="zh-CN"/>
        </w:rPr>
        <w:t>其中：基本支出734.57万元，占62.30%；项目支出444.45万元，占37.70%；上缴上级支出0.00万元，占0.00%；经营支出0.00万元，占0.00%；对附属单位补助支出0.00万元，占0.00%。</w:t>
      </w:r>
    </w:p>
    <w:p w14:paraId="7213094F">
      <w:pPr>
        <w:ind w:firstLine="640" w:firstLineChars="200"/>
        <w:jc w:val="left"/>
        <w:outlineLvl w:val="1"/>
        <w:rPr>
          <w:rFonts w:hint="default" w:ascii="Times New Roman" w:hAnsi="Times New Roman" w:eastAsia="黑体" w:cs="Times New Roman"/>
          <w:bCs/>
          <w:kern w:val="0"/>
          <w:sz w:val="32"/>
          <w:szCs w:val="32"/>
        </w:rPr>
      </w:pPr>
      <w:bookmarkStart w:id="14" w:name="_Toc4393"/>
      <w:bookmarkStart w:id="15" w:name="_Toc26564"/>
      <w:r>
        <w:rPr>
          <w:rFonts w:hint="default" w:ascii="Times New Roman" w:hAnsi="Times New Roman" w:eastAsia="黑体" w:cs="Times New Roman"/>
          <w:bCs/>
          <w:kern w:val="0"/>
          <w:sz w:val="32"/>
          <w:szCs w:val="32"/>
        </w:rPr>
        <w:t>四、财政拨款收入支出决算总体情况说明</w:t>
      </w:r>
      <w:bookmarkEnd w:id="14"/>
      <w:bookmarkEnd w:id="15"/>
    </w:p>
    <w:p w14:paraId="55DE1C18">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2023年度财政拨款收入总计</w:t>
      </w:r>
      <w:r>
        <w:rPr>
          <w:rFonts w:hint="default" w:ascii="Times New Roman" w:hAnsi="Times New Roman" w:eastAsia="仿宋_GB2312" w:cs="Times New Roman"/>
          <w:b/>
          <w:bCs/>
          <w:sz w:val="32"/>
          <w:szCs w:val="32"/>
          <w:lang w:val="zh-CN"/>
        </w:rPr>
        <w:t>1,136.80</w:t>
      </w:r>
      <w:r>
        <w:rPr>
          <w:rFonts w:hint="default" w:ascii="Times New Roman" w:hAnsi="Times New Roman" w:eastAsia="仿宋_GB2312" w:cs="Times New Roman"/>
          <w:b/>
          <w:bCs/>
          <w:sz w:val="32"/>
          <w:szCs w:val="32"/>
        </w:rPr>
        <w:t>万元，</w:t>
      </w:r>
      <w:r>
        <w:rPr>
          <w:rFonts w:hint="default" w:ascii="Times New Roman" w:hAnsi="Times New Roman" w:eastAsia="仿宋_GB2312" w:cs="Times New Roman"/>
          <w:sz w:val="32"/>
          <w:szCs w:val="32"/>
        </w:rPr>
        <w:t>其中：年初财政拨款结转和结余</w:t>
      </w:r>
      <w:r>
        <w:rPr>
          <w:rFonts w:hint="default" w:ascii="Times New Roman" w:hAnsi="Times New Roman" w:eastAsia="仿宋_GB2312" w:cs="Times New Roman"/>
          <w:sz w:val="32"/>
          <w:szCs w:val="32"/>
          <w:lang w:val="zh-CN"/>
        </w:rPr>
        <w:t>2.89</w:t>
      </w:r>
      <w:r>
        <w:rPr>
          <w:rFonts w:hint="default" w:ascii="Times New Roman" w:hAnsi="Times New Roman" w:eastAsia="仿宋_GB2312" w:cs="Times New Roman"/>
          <w:sz w:val="32"/>
          <w:szCs w:val="32"/>
        </w:rPr>
        <w:t>万元，本年财政拨款收</w:t>
      </w:r>
      <w:r>
        <w:rPr>
          <w:rFonts w:hint="default" w:ascii="Times New Roman" w:hAnsi="Times New Roman" w:eastAsia="仿宋_GB2312" w:cs="Times New Roman"/>
          <w:sz w:val="32"/>
          <w:szCs w:val="32"/>
          <w:lang w:val="en-US" w:eastAsia="zh-CN"/>
        </w:rPr>
        <w:t>入</w:t>
      </w:r>
      <w:r>
        <w:rPr>
          <w:rFonts w:hint="default" w:ascii="Times New Roman" w:hAnsi="Times New Roman" w:eastAsia="仿宋_GB2312" w:cs="Times New Roman"/>
          <w:sz w:val="32"/>
          <w:szCs w:val="32"/>
          <w:lang w:val="zh-CN"/>
        </w:rPr>
        <w:t>1,133.90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b/>
          <w:bCs/>
          <w:sz w:val="32"/>
          <w:szCs w:val="32"/>
        </w:rPr>
        <w:t>财政拨款支出总计</w:t>
      </w:r>
      <w:r>
        <w:rPr>
          <w:rFonts w:hint="default" w:ascii="Times New Roman" w:hAnsi="Times New Roman" w:eastAsia="仿宋_GB2312" w:cs="Times New Roman"/>
          <w:b/>
          <w:bCs/>
          <w:sz w:val="32"/>
          <w:szCs w:val="32"/>
          <w:lang w:val="zh-CN"/>
        </w:rPr>
        <w:t>1,136.80</w:t>
      </w:r>
      <w:r>
        <w:rPr>
          <w:rFonts w:hint="default" w:ascii="Times New Roman" w:hAnsi="Times New Roman" w:eastAsia="仿宋_GB2312" w:cs="Times New Roman"/>
          <w:b/>
          <w:bCs/>
          <w:sz w:val="32"/>
          <w:szCs w:val="32"/>
        </w:rPr>
        <w:t>万元，</w:t>
      </w:r>
      <w:r>
        <w:rPr>
          <w:rFonts w:hint="default" w:ascii="Times New Roman" w:hAnsi="Times New Roman" w:eastAsia="仿宋_GB2312" w:cs="Times New Roman"/>
          <w:sz w:val="32"/>
          <w:szCs w:val="32"/>
        </w:rPr>
        <w:t>其中：年末财政拨款结转和结余</w:t>
      </w:r>
      <w:r>
        <w:rPr>
          <w:rFonts w:hint="default" w:ascii="Times New Roman" w:hAnsi="Times New Roman" w:eastAsia="仿宋_GB2312" w:cs="Times New Roman"/>
          <w:sz w:val="32"/>
          <w:szCs w:val="32"/>
          <w:lang w:val="zh-CN"/>
        </w:rPr>
        <w:t>0.42</w:t>
      </w:r>
      <w:r>
        <w:rPr>
          <w:rFonts w:hint="default" w:ascii="Times New Roman" w:hAnsi="Times New Roman" w:eastAsia="仿宋_GB2312" w:cs="Times New Roman"/>
          <w:sz w:val="32"/>
          <w:szCs w:val="32"/>
        </w:rPr>
        <w:t>万元，本年财政拨款支出</w:t>
      </w:r>
      <w:r>
        <w:rPr>
          <w:rFonts w:hint="default" w:ascii="Times New Roman" w:hAnsi="Times New Roman" w:eastAsia="仿宋_GB2312" w:cs="Times New Roman"/>
          <w:sz w:val="32"/>
          <w:szCs w:val="32"/>
          <w:lang w:val="zh-CN"/>
        </w:rPr>
        <w:t>1,136.38</w:t>
      </w:r>
      <w:r>
        <w:rPr>
          <w:rFonts w:hint="default" w:ascii="Times New Roman" w:hAnsi="Times New Roman" w:eastAsia="仿宋_GB2312" w:cs="Times New Roman"/>
          <w:sz w:val="32"/>
          <w:szCs w:val="32"/>
        </w:rPr>
        <w:t>万元。</w:t>
      </w:r>
    </w:p>
    <w:p w14:paraId="411C2392">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财政拨款收入支出总体与上年相比,</w:t>
      </w:r>
      <w:r>
        <w:rPr>
          <w:rFonts w:hint="default" w:ascii="Times New Roman" w:hAnsi="Times New Roman" w:eastAsia="仿宋_GB2312" w:cs="Times New Roman"/>
          <w:sz w:val="32"/>
          <w:szCs w:val="32"/>
          <w:lang w:val="zh-CN"/>
        </w:rPr>
        <w:t>增加252.27万元</w:t>
      </w:r>
      <w:r>
        <w:rPr>
          <w:rFonts w:hint="default" w:ascii="Times New Roman" w:hAnsi="Times New Roman" w:eastAsia="仿宋_GB2312" w:cs="Times New Roman"/>
          <w:sz w:val="32"/>
          <w:szCs w:val="32"/>
        </w:rPr>
        <w:t>，增长28.52%,主要原因是：本年度</w:t>
      </w:r>
      <w:r>
        <w:rPr>
          <w:rFonts w:hint="default" w:ascii="Times New Roman" w:hAnsi="Times New Roman" w:eastAsia="仿宋_GB2312" w:cs="Times New Roman"/>
          <w:sz w:val="32"/>
          <w:szCs w:val="32"/>
          <w:lang w:val="en-US" w:eastAsia="zh-CN"/>
        </w:rPr>
        <w:t>新</w:t>
      </w:r>
      <w:r>
        <w:rPr>
          <w:rFonts w:hint="default" w:ascii="Times New Roman" w:hAnsi="Times New Roman" w:eastAsia="仿宋_GB2312" w:cs="Times New Roman"/>
          <w:sz w:val="32"/>
          <w:szCs w:val="32"/>
        </w:rPr>
        <w:t>增中央转移支</w:t>
      </w:r>
      <w:r>
        <w:rPr>
          <w:rFonts w:hint="default" w:ascii="Times New Roman" w:hAnsi="Times New Roman" w:eastAsia="仿宋_GB2312" w:cs="Times New Roman"/>
          <w:sz w:val="32"/>
          <w:szCs w:val="32"/>
          <w:lang w:val="en-US" w:eastAsia="zh-CN"/>
        </w:rPr>
        <w:t>付</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sz w:val="32"/>
          <w:szCs w:val="32"/>
          <w:lang w:val="en-US" w:eastAsia="zh-CN"/>
        </w:rPr>
        <w:t>相关收支增加</w:t>
      </w:r>
      <w:r>
        <w:rPr>
          <w:rFonts w:hint="default" w:ascii="Times New Roman" w:hAnsi="Times New Roman" w:eastAsia="仿宋_GB2312" w:cs="Times New Roman"/>
          <w:sz w:val="32"/>
          <w:szCs w:val="32"/>
        </w:rPr>
        <w:t>。与年初预算相比，年初预算数</w:t>
      </w:r>
      <w:r>
        <w:rPr>
          <w:rFonts w:hint="default" w:ascii="Times New Roman" w:hAnsi="Times New Roman" w:eastAsia="仿宋_GB2312" w:cs="Times New Roman"/>
          <w:sz w:val="32"/>
          <w:szCs w:val="32"/>
          <w:lang w:val="zh-CN"/>
        </w:rPr>
        <w:t>1,287.04</w:t>
      </w:r>
      <w:r>
        <w:rPr>
          <w:rFonts w:hint="default" w:ascii="Times New Roman" w:hAnsi="Times New Roman" w:eastAsia="仿宋_GB2312" w:cs="Times New Roman"/>
          <w:sz w:val="32"/>
          <w:szCs w:val="32"/>
        </w:rPr>
        <w:t>万元，决算数</w:t>
      </w:r>
      <w:r>
        <w:rPr>
          <w:rFonts w:hint="default" w:ascii="Times New Roman" w:hAnsi="Times New Roman" w:eastAsia="仿宋_GB2312" w:cs="Times New Roman"/>
          <w:sz w:val="32"/>
          <w:szCs w:val="32"/>
          <w:lang w:val="zh-CN"/>
        </w:rPr>
        <w:t>1,136.80</w:t>
      </w:r>
      <w:r>
        <w:rPr>
          <w:rFonts w:hint="default" w:ascii="Times New Roman" w:hAnsi="Times New Roman" w:eastAsia="仿宋_GB2312" w:cs="Times New Roman"/>
          <w:sz w:val="32"/>
          <w:szCs w:val="32"/>
        </w:rPr>
        <w:t>万元，预决算差异-11.67%，主要原因是：</w:t>
      </w:r>
      <w:r>
        <w:rPr>
          <w:rFonts w:hint="default" w:ascii="Times New Roman" w:hAnsi="Times New Roman" w:eastAsia="仿宋_GB2312" w:cs="Times New Roman"/>
          <w:sz w:val="32"/>
          <w:szCs w:val="32"/>
          <w:lang w:val="en-US" w:eastAsia="zh-CN"/>
        </w:rPr>
        <w:t>本年新增中央转移支付项目年中调整，财政收回部分资金，</w:t>
      </w:r>
      <w:r>
        <w:rPr>
          <w:rFonts w:hint="default" w:ascii="Times New Roman" w:hAnsi="Times New Roman" w:eastAsia="仿宋_GB2312" w:cs="Times New Roman"/>
          <w:sz w:val="32"/>
          <w:szCs w:val="32"/>
        </w:rPr>
        <w:t>导致存在差异。</w:t>
      </w:r>
    </w:p>
    <w:p w14:paraId="59FB3321">
      <w:pPr>
        <w:ind w:firstLine="640" w:firstLineChars="200"/>
        <w:jc w:val="left"/>
        <w:outlineLvl w:val="1"/>
        <w:rPr>
          <w:rFonts w:hint="default" w:ascii="Times New Roman" w:hAnsi="Times New Roman" w:eastAsia="黑体" w:cs="Times New Roman"/>
          <w:bCs/>
          <w:kern w:val="0"/>
          <w:sz w:val="32"/>
          <w:szCs w:val="32"/>
        </w:rPr>
      </w:pPr>
      <w:bookmarkStart w:id="16" w:name="_Toc20360"/>
      <w:bookmarkStart w:id="17" w:name="_Toc13833"/>
      <w:r>
        <w:rPr>
          <w:rFonts w:hint="default" w:ascii="Times New Roman" w:hAnsi="Times New Roman" w:eastAsia="黑体" w:cs="Times New Roman"/>
          <w:bCs/>
          <w:kern w:val="0"/>
          <w:sz w:val="32"/>
          <w:szCs w:val="32"/>
        </w:rPr>
        <w:t>五、一般公共预算财政拨款支出决算情况说明</w:t>
      </w:r>
      <w:bookmarkEnd w:id="16"/>
      <w:bookmarkEnd w:id="17"/>
    </w:p>
    <w:p w14:paraId="26ABF232">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（一）一般公共预算财政拨款支出决算总体情况</w:t>
      </w:r>
    </w:p>
    <w:p w14:paraId="5013771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2023年度一般公共预算财政拨款支出1,136.38万元，</w:t>
      </w:r>
      <w:r>
        <w:rPr>
          <w:rFonts w:hint="default" w:ascii="Times New Roman" w:hAnsi="Times New Roman" w:eastAsia="仿宋_GB2312" w:cs="Times New Roman"/>
          <w:sz w:val="32"/>
          <w:szCs w:val="32"/>
        </w:rPr>
        <w:t>占本年支出合计的</w:t>
      </w:r>
      <w:r>
        <w:rPr>
          <w:rFonts w:hint="default" w:ascii="Times New Roman" w:hAnsi="Times New Roman" w:eastAsia="仿宋_GB2312" w:cs="Times New Roman"/>
          <w:sz w:val="32"/>
          <w:szCs w:val="32"/>
          <w:lang w:val="zh-CN"/>
        </w:rPr>
        <w:t>96.38%</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与上年相比，</w:t>
      </w:r>
      <w:r>
        <w:rPr>
          <w:rFonts w:hint="default" w:ascii="Times New Roman" w:hAnsi="Times New Roman" w:eastAsia="仿宋_GB2312" w:cs="Times New Roman"/>
          <w:sz w:val="32"/>
          <w:szCs w:val="32"/>
          <w:lang w:val="zh-CN"/>
        </w:rPr>
        <w:t>增加254.75万元</w:t>
      </w:r>
      <w:r>
        <w:rPr>
          <w:rFonts w:hint="default" w:ascii="Times New Roman" w:hAnsi="Times New Roman" w:eastAsia="仿宋_GB2312" w:cs="Times New Roman"/>
          <w:sz w:val="32"/>
          <w:szCs w:val="32"/>
        </w:rPr>
        <w:t>，增长28.89%,主要原因是：我单位本年度增加中央转移支出资金项目，</w:t>
      </w:r>
      <w:r>
        <w:rPr>
          <w:rFonts w:hint="default" w:ascii="Times New Roman" w:hAnsi="Times New Roman" w:eastAsia="仿宋_GB2312" w:cs="Times New Roman"/>
          <w:sz w:val="32"/>
          <w:szCs w:val="32"/>
          <w:lang w:val="en-US" w:eastAsia="zh-CN"/>
        </w:rPr>
        <w:t>相关支出增加</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与年初预算相比，</w:t>
      </w:r>
      <w:r>
        <w:rPr>
          <w:rFonts w:hint="default" w:ascii="Times New Roman" w:hAnsi="Times New Roman" w:eastAsia="仿宋_GB2312" w:cs="Times New Roman"/>
          <w:sz w:val="32"/>
          <w:szCs w:val="32"/>
        </w:rPr>
        <w:t>年初预算数</w:t>
      </w:r>
      <w:r>
        <w:rPr>
          <w:rFonts w:hint="default" w:ascii="Times New Roman" w:hAnsi="Times New Roman" w:eastAsia="仿宋_GB2312" w:cs="Times New Roman"/>
          <w:sz w:val="32"/>
          <w:szCs w:val="32"/>
          <w:lang w:val="zh-CN"/>
        </w:rPr>
        <w:t>1,287.04</w:t>
      </w:r>
      <w:r>
        <w:rPr>
          <w:rFonts w:hint="default" w:ascii="Times New Roman" w:hAnsi="Times New Roman" w:eastAsia="仿宋_GB2312" w:cs="Times New Roman"/>
          <w:sz w:val="32"/>
          <w:szCs w:val="32"/>
        </w:rPr>
        <w:t>万元，决算数</w:t>
      </w:r>
      <w:r>
        <w:rPr>
          <w:rFonts w:hint="default" w:ascii="Times New Roman" w:hAnsi="Times New Roman" w:eastAsia="仿宋_GB2312" w:cs="Times New Roman"/>
          <w:sz w:val="32"/>
          <w:szCs w:val="32"/>
          <w:lang w:val="zh-CN"/>
        </w:rPr>
        <w:t>1,136.38</w:t>
      </w:r>
      <w:r>
        <w:rPr>
          <w:rFonts w:hint="default" w:ascii="Times New Roman" w:hAnsi="Times New Roman" w:eastAsia="仿宋_GB2312" w:cs="Times New Roman"/>
          <w:sz w:val="32"/>
          <w:szCs w:val="32"/>
        </w:rPr>
        <w:t>万元，预决算差异</w:t>
      </w:r>
      <w:r>
        <w:rPr>
          <w:rFonts w:hint="default" w:ascii="Times New Roman" w:hAnsi="Times New Roman" w:eastAsia="仿宋_GB2312" w:cs="Times New Roman"/>
          <w:sz w:val="32"/>
          <w:szCs w:val="32"/>
          <w:lang w:val="zh-CN"/>
        </w:rPr>
        <w:t>-11.71%</w:t>
      </w:r>
      <w:r>
        <w:rPr>
          <w:rFonts w:hint="default" w:ascii="Times New Roman" w:hAnsi="Times New Roman" w:eastAsia="仿宋_GB2312" w:cs="Times New Roman"/>
          <w:sz w:val="32"/>
          <w:szCs w:val="32"/>
        </w:rPr>
        <w:t>，主要原因是：</w:t>
      </w:r>
      <w:r>
        <w:rPr>
          <w:rFonts w:hint="eastAsia" w:eastAsia="仿宋_GB2312" w:cs="Times New Roman"/>
          <w:sz w:val="32"/>
          <w:szCs w:val="32"/>
          <w:lang w:val="en-US" w:eastAsia="zh-CN"/>
        </w:rPr>
        <w:t>年中执行中财政追加中医药传承与发展中央第二批项目资金</w:t>
      </w:r>
      <w:r>
        <w:rPr>
          <w:rFonts w:hint="default" w:ascii="Times New Roman" w:hAnsi="Times New Roman" w:eastAsia="仿宋_GB2312" w:cs="Times New Roman"/>
          <w:sz w:val="32"/>
          <w:szCs w:val="32"/>
        </w:rPr>
        <w:t>，相关</w:t>
      </w:r>
      <w:r>
        <w:rPr>
          <w:rFonts w:hint="default" w:ascii="Times New Roman" w:hAnsi="Times New Roman" w:eastAsia="仿宋_GB2312" w:cs="Times New Roman"/>
          <w:sz w:val="32"/>
          <w:szCs w:val="32"/>
          <w:lang w:val="en-US" w:eastAsia="zh-CN"/>
        </w:rPr>
        <w:t>支出</w:t>
      </w:r>
      <w:r>
        <w:rPr>
          <w:rFonts w:hint="default" w:ascii="Times New Roman" w:hAnsi="Times New Roman" w:eastAsia="仿宋_GB2312" w:cs="Times New Roman"/>
          <w:sz w:val="32"/>
          <w:szCs w:val="32"/>
        </w:rPr>
        <w:t>增加。</w:t>
      </w:r>
      <w:bookmarkStart w:id="48" w:name="_GoBack"/>
      <w:bookmarkEnd w:id="48"/>
    </w:p>
    <w:p w14:paraId="0F067725">
      <w:pPr>
        <w:numPr>
          <w:ilvl w:val="0"/>
          <w:numId w:val="1"/>
        </w:num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一般公共预算财政拨款支出决算结构情况</w:t>
      </w:r>
    </w:p>
    <w:p w14:paraId="431EDC50">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outlineLvl w:val="9"/>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rPr>
        <w:t>1.</w:t>
      </w:r>
      <w:r>
        <w:rPr>
          <w:rFonts w:hint="default" w:ascii="Times New Roman" w:hAnsi="Times New Roman" w:eastAsia="仿宋_GB2312" w:cs="Times New Roman"/>
          <w:kern w:val="2"/>
          <w:sz w:val="32"/>
          <w:szCs w:val="32"/>
          <w:lang w:val="zh-CN"/>
        </w:rPr>
        <w:t>科学技术支出（类）2.48万元，占0.22</w:t>
      </w:r>
      <w:r>
        <w:rPr>
          <w:rFonts w:hint="default" w:ascii="Times New Roman" w:hAnsi="Times New Roman" w:eastAsia="仿宋_GB2312" w:cs="Times New Roman"/>
          <w:kern w:val="2"/>
          <w:sz w:val="32"/>
          <w:szCs w:val="32"/>
        </w:rPr>
        <w:t>%</w:t>
      </w:r>
      <w:r>
        <w:rPr>
          <w:rFonts w:hint="default" w:ascii="Times New Roman" w:hAnsi="Times New Roman" w:eastAsia="仿宋_GB2312" w:cs="Times New Roman"/>
          <w:kern w:val="2"/>
          <w:sz w:val="32"/>
          <w:szCs w:val="32"/>
          <w:lang w:eastAsia="zh-CN"/>
        </w:rPr>
        <w:t>。</w:t>
      </w:r>
    </w:p>
    <w:p w14:paraId="44DC576F">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outlineLvl w:val="9"/>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lang w:val="zh-CN"/>
        </w:rPr>
        <w:t>2.社会保障和就业支出（类）70.83万元，占6.23%。</w:t>
      </w:r>
    </w:p>
    <w:p w14:paraId="58214F2C">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outlineLvl w:val="9"/>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lang w:val="zh-CN"/>
        </w:rPr>
        <w:t>3.卫生健康支出（类）1,015.53万元，占89.3</w:t>
      </w:r>
      <w:r>
        <w:rPr>
          <w:rFonts w:hint="default" w:ascii="Times New Roman" w:hAnsi="Times New Roman" w:eastAsia="仿宋_GB2312" w:cs="Times New Roman"/>
          <w:kern w:val="2"/>
          <w:sz w:val="32"/>
          <w:szCs w:val="32"/>
          <w:lang w:val="en-US" w:eastAsia="zh-CN"/>
        </w:rPr>
        <w:t>7</w:t>
      </w:r>
      <w:r>
        <w:rPr>
          <w:rFonts w:hint="default" w:ascii="Times New Roman" w:hAnsi="Times New Roman" w:eastAsia="仿宋_GB2312" w:cs="Times New Roman"/>
          <w:kern w:val="2"/>
          <w:sz w:val="32"/>
          <w:szCs w:val="32"/>
          <w:lang w:val="zh-CN"/>
        </w:rPr>
        <w:t>%。</w:t>
      </w:r>
    </w:p>
    <w:p w14:paraId="19FF3C02">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outlineLvl w:val="9"/>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lang w:val="zh-CN"/>
        </w:rPr>
        <w:t>4.住房保障支出（类）47.55万元，占4.18%。</w:t>
      </w:r>
    </w:p>
    <w:p w14:paraId="4B46A32A">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（三）一般公共预算财政拨款支出决算具体情况</w:t>
      </w:r>
    </w:p>
    <w:p w14:paraId="0C4B662C">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1.科学技术支出（类）基础研究（款）自然科学基金（项）:支出决算数为2.48万元，比上年决算增加0.36万元，增长16.9</w:t>
      </w: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val="zh-CN"/>
        </w:rPr>
        <w:t>本年度部分自然科学基金课题</w:t>
      </w:r>
      <w:r>
        <w:rPr>
          <w:rFonts w:hint="default" w:ascii="Times New Roman" w:hAnsi="Times New Roman" w:eastAsia="仿宋_GB2312" w:cs="Times New Roman"/>
          <w:sz w:val="32"/>
          <w:szCs w:val="32"/>
          <w:lang w:val="en-US" w:eastAsia="zh-CN"/>
        </w:rPr>
        <w:t>项目支出增加，</w:t>
      </w:r>
      <w:r>
        <w:rPr>
          <w:rFonts w:hint="default" w:ascii="Times New Roman" w:hAnsi="Times New Roman" w:eastAsia="仿宋_GB2312" w:cs="Times New Roman"/>
          <w:sz w:val="32"/>
          <w:szCs w:val="32"/>
          <w:lang w:val="zh-CN"/>
        </w:rPr>
        <w:t>相关支出增</w:t>
      </w:r>
      <w:r>
        <w:rPr>
          <w:rFonts w:hint="default" w:ascii="Times New Roman" w:hAnsi="Times New Roman" w:eastAsia="仿宋_GB2312" w:cs="Times New Roman"/>
          <w:sz w:val="32"/>
          <w:szCs w:val="32"/>
          <w:lang w:val="en-US" w:eastAsia="zh-CN"/>
        </w:rPr>
        <w:t>加</w:t>
      </w:r>
      <w:r>
        <w:rPr>
          <w:rFonts w:hint="default" w:ascii="Times New Roman" w:hAnsi="Times New Roman" w:eastAsia="仿宋_GB2312" w:cs="Times New Roman"/>
          <w:sz w:val="32"/>
          <w:szCs w:val="32"/>
          <w:lang w:val="zh-CN"/>
        </w:rPr>
        <w:t>。</w:t>
      </w:r>
    </w:p>
    <w:p w14:paraId="23A3C1C1">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2.卫生健康支出（类）卫生健康管理事务（款）其他卫生健康管理事务支出（项）:支出决算数为230.00万元，比上年决算增加78.97万元，增长52.29%，主要原因是：</w:t>
      </w:r>
      <w:r>
        <w:rPr>
          <w:rFonts w:hint="default" w:ascii="Times New Roman" w:hAnsi="Times New Roman" w:eastAsia="仿宋_GB2312" w:cs="Times New Roman"/>
          <w:sz w:val="32"/>
          <w:szCs w:val="32"/>
          <w:lang w:val="en-US" w:eastAsia="zh-CN"/>
        </w:rPr>
        <w:t>2022年部分考试延考至本年进行，</w:t>
      </w:r>
      <w:r>
        <w:rPr>
          <w:rFonts w:hint="default" w:ascii="Times New Roman" w:hAnsi="Times New Roman" w:eastAsia="仿宋_GB2312" w:cs="Times New Roman"/>
          <w:sz w:val="32"/>
          <w:szCs w:val="32"/>
          <w:lang w:val="zh-CN"/>
        </w:rPr>
        <w:t>项目支出增加，相关支出增加。</w:t>
      </w:r>
    </w:p>
    <w:p w14:paraId="4F0A32F0">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3.卫生健康支出（类）行政事业单位医疗（款）事业单位医疗（项）:支出决算数为29.72万元，比上年决算减少0.25万元，下降0.8</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highlight w:val="none"/>
          <w:lang w:val="zh-CN"/>
        </w:rPr>
        <w:t>本年度基数调整，</w:t>
      </w:r>
      <w:r>
        <w:rPr>
          <w:rFonts w:hint="default" w:ascii="Times New Roman" w:hAnsi="Times New Roman" w:eastAsia="仿宋_GB2312" w:cs="Times New Roman"/>
          <w:sz w:val="32"/>
          <w:szCs w:val="32"/>
          <w:lang w:val="zh-CN"/>
        </w:rPr>
        <w:t>相关支出降低。</w:t>
      </w:r>
    </w:p>
    <w:p w14:paraId="24391EC8">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4.卫生健康支出（类）行政事业单位医疗（款）公务员医疗补助（项）:支出决算数为27.74万元，比上年决算增加4.43万元，增长19.0</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val="zh-CN"/>
        </w:rPr>
        <w:t>本年度基数调整，相关支出增加。</w:t>
      </w:r>
    </w:p>
    <w:p w14:paraId="31FCC1BE">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5.住房保障支出（类）住房改革支出（款）住房公积金（项）:支出决算数为47.55万元，比上年决算增加5.98万元，增长14.3</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val="zh-CN"/>
        </w:rPr>
        <w:t>本年度基数调整，相关支出增加。</w:t>
      </w:r>
    </w:p>
    <w:p w14:paraId="73FB2576">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6.卫生健康支出（类）中医药（款）中医（民族医）药专项（项）:支出决算数为170.00万元，比上年决算增加170.00万元，增长100%，主要原因是：</w:t>
      </w:r>
      <w:r>
        <w:rPr>
          <w:rFonts w:hint="default" w:ascii="Times New Roman" w:hAnsi="Times New Roman" w:eastAsia="仿宋_GB2312" w:cs="Times New Roman"/>
          <w:sz w:val="32"/>
          <w:szCs w:val="32"/>
          <w:lang w:val="zh-CN"/>
        </w:rPr>
        <w:t>本年度新增中央转移支付项目，相关</w:t>
      </w:r>
      <w:r>
        <w:rPr>
          <w:rFonts w:hint="default" w:ascii="Times New Roman" w:hAnsi="Times New Roman" w:eastAsia="仿宋_GB2312" w:cs="Times New Roman"/>
          <w:sz w:val="32"/>
          <w:szCs w:val="32"/>
          <w:lang w:val="en-US" w:eastAsia="zh-CN"/>
        </w:rPr>
        <w:t>支出增加</w:t>
      </w:r>
      <w:r>
        <w:rPr>
          <w:rFonts w:hint="default" w:ascii="Times New Roman" w:hAnsi="Times New Roman" w:eastAsia="仿宋_GB2312" w:cs="Times New Roman"/>
          <w:sz w:val="32"/>
          <w:szCs w:val="32"/>
          <w:lang w:val="zh-CN"/>
        </w:rPr>
        <w:t>。</w:t>
      </w:r>
    </w:p>
    <w:p w14:paraId="63670E76">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7.卫生健康支出（类）公共卫生（款）其他专业公共卫生机构（项）:支出决算数为558.07万元，比上年决算减少15.53万元，下降2.71%，主要原因是：</w:t>
      </w:r>
      <w:r>
        <w:rPr>
          <w:rFonts w:hint="default" w:ascii="Times New Roman" w:hAnsi="Times New Roman" w:eastAsia="仿宋_GB2312" w:cs="Times New Roman"/>
          <w:sz w:val="32"/>
          <w:szCs w:val="32"/>
          <w:highlight w:val="none"/>
          <w:lang w:val="zh-CN"/>
        </w:rPr>
        <w:t>本年度</w:t>
      </w:r>
      <w:r>
        <w:rPr>
          <w:rFonts w:hint="default" w:ascii="Times New Roman" w:hAnsi="Times New Roman" w:eastAsia="仿宋_GB2312" w:cs="Times New Roman"/>
          <w:sz w:val="32"/>
          <w:szCs w:val="32"/>
          <w:highlight w:val="none"/>
          <w:lang w:val="en-US" w:eastAsia="zh-CN"/>
        </w:rPr>
        <w:t>公务用车运行维护费减少，项目支出类别调整，</w:t>
      </w:r>
      <w:r>
        <w:rPr>
          <w:rFonts w:hint="default" w:ascii="Times New Roman" w:hAnsi="Times New Roman" w:eastAsia="仿宋_GB2312" w:cs="Times New Roman"/>
          <w:sz w:val="32"/>
          <w:szCs w:val="32"/>
          <w:lang w:val="zh-CN"/>
        </w:rPr>
        <w:t>相关支出降低。</w:t>
      </w:r>
    </w:p>
    <w:p w14:paraId="0E41875A">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8.社会保障和就业支出（类）行政事业单位养老支出（款）机关事业单位职业年金缴费支出（项）:支出决算数为7.43万元，比上年决算增加2.82万元，增长61.</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7%，主要原因是：</w:t>
      </w:r>
      <w:r>
        <w:rPr>
          <w:rFonts w:hint="default" w:ascii="Times New Roman" w:hAnsi="Times New Roman" w:eastAsia="仿宋_GB2312" w:cs="Times New Roman"/>
          <w:sz w:val="32"/>
          <w:szCs w:val="32"/>
          <w:lang w:val="zh-CN"/>
        </w:rPr>
        <w:t>本年度基数调整，相关支出增加。</w:t>
      </w:r>
    </w:p>
    <w:p w14:paraId="0219777B">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9.社会保障和就业支出（类）行政事业单位养老支出（款）机关事业单位基本养老保险缴费支出（项）:支出决算数为63.40万元，比上年决算增加7.97万元，增长14.38%，主要原因是：</w:t>
      </w:r>
      <w:r>
        <w:rPr>
          <w:rFonts w:hint="default" w:ascii="Times New Roman" w:hAnsi="Times New Roman" w:eastAsia="仿宋_GB2312" w:cs="Times New Roman"/>
          <w:sz w:val="32"/>
          <w:szCs w:val="32"/>
          <w:lang w:val="zh-CN"/>
        </w:rPr>
        <w:t>本年度基数调整，相关支出增加。</w:t>
      </w:r>
    </w:p>
    <w:p w14:paraId="5C7EC454">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六、一般公共预算财政拨款基本支出决算情况说明</w:t>
      </w:r>
    </w:p>
    <w:p w14:paraId="37C42878">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2023年度一般公共预算财政拨款基本支出733.90万元，其中：</w:t>
      </w:r>
      <w:r>
        <w:rPr>
          <w:rFonts w:hint="default" w:ascii="Times New Roman" w:hAnsi="Times New Roman" w:eastAsia="仿宋_GB2312" w:cs="Times New Roman"/>
          <w:b/>
          <w:bCs/>
          <w:sz w:val="32"/>
          <w:szCs w:val="32"/>
        </w:rPr>
        <w:t>人员经费693.38万元，</w:t>
      </w:r>
      <w:r>
        <w:rPr>
          <w:rFonts w:hint="default" w:ascii="Times New Roman" w:hAnsi="Times New Roman" w:eastAsia="仿宋_GB2312" w:cs="Times New Roman"/>
          <w:sz w:val="32"/>
          <w:szCs w:val="32"/>
        </w:rPr>
        <w:t>包括：基本工资、津贴补贴、奖金、绩效工资、机关事业单位基本养老保险缴费、职业年金缴费、职工基本医疗保险缴费、公务员医疗补助缴费、其他社会保障缴费、住房公积金、其他工资福利支出。</w:t>
      </w:r>
    </w:p>
    <w:p w14:paraId="06300AF2">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公用经费40.53万元，</w:t>
      </w:r>
      <w:r>
        <w:rPr>
          <w:rFonts w:hint="default" w:ascii="Times New Roman" w:hAnsi="Times New Roman" w:eastAsia="仿宋_GB2312" w:cs="Times New Roman"/>
          <w:sz w:val="32"/>
          <w:szCs w:val="32"/>
        </w:rPr>
        <w:t>包括：办公费、手续费、水费、电费、邮电费、取暖费、差旅费、维修（护）费、工会经费、福利费、公务用车运行维护费、其他商品和服务支出。</w:t>
      </w:r>
    </w:p>
    <w:p w14:paraId="1F9D6378">
      <w:pPr>
        <w:ind w:firstLine="640" w:firstLineChars="200"/>
        <w:jc w:val="left"/>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七、财政拨款“三公”经费支出决算情况说明</w:t>
      </w:r>
    </w:p>
    <w:p w14:paraId="4D1ED4E9">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b/>
          <w:bCs/>
          <w:sz w:val="32"/>
          <w:szCs w:val="32"/>
          <w:lang w:val="zh-CN"/>
        </w:rPr>
        <w:t>2023年度</w:t>
      </w:r>
      <w:r>
        <w:rPr>
          <w:rFonts w:hint="default" w:ascii="Times New Roman" w:hAnsi="Times New Roman" w:eastAsia="仿宋_GB2312" w:cs="Times New Roman"/>
          <w:b/>
          <w:bCs/>
          <w:sz w:val="32"/>
          <w:szCs w:val="32"/>
        </w:rPr>
        <w:t>财政拨款</w:t>
      </w:r>
      <w:r>
        <w:rPr>
          <w:rFonts w:hint="default" w:ascii="Times New Roman" w:hAnsi="Times New Roman" w:eastAsia="仿宋_GB2312" w:cs="Times New Roman"/>
          <w:b/>
          <w:bCs/>
          <w:sz w:val="32"/>
          <w:szCs w:val="32"/>
          <w:lang w:val="zh-CN"/>
        </w:rPr>
        <w:t>“三公”经费支出2.55万元，</w:t>
      </w:r>
      <w:r>
        <w:rPr>
          <w:rFonts w:hint="default" w:ascii="Times New Roman" w:hAnsi="Times New Roman" w:eastAsia="仿宋_GB2312" w:cs="Times New Roman"/>
          <w:sz w:val="32"/>
          <w:szCs w:val="32"/>
        </w:rPr>
        <w:t>比上年</w:t>
      </w:r>
      <w:r>
        <w:rPr>
          <w:rFonts w:hint="default" w:ascii="Times New Roman" w:hAnsi="Times New Roman" w:eastAsia="仿宋_GB2312" w:cs="Times New Roman"/>
          <w:sz w:val="32"/>
          <w:szCs w:val="32"/>
          <w:lang w:val="zh-CN"/>
        </w:rPr>
        <w:t>减少1.28万元，</w:t>
      </w:r>
      <w:r>
        <w:rPr>
          <w:rFonts w:hint="default" w:ascii="Times New Roman" w:hAnsi="Times New Roman" w:eastAsia="仿宋_GB2312" w:cs="Times New Roman"/>
          <w:sz w:val="32"/>
          <w:szCs w:val="32"/>
        </w:rPr>
        <w:t>下降33.</w:t>
      </w:r>
      <w:r>
        <w:rPr>
          <w:rFonts w:hint="eastAsia" w:eastAsia="仿宋_GB2312" w:cs="Times New Roman"/>
          <w:sz w:val="32"/>
          <w:szCs w:val="32"/>
          <w:lang w:val="en-US" w:eastAsia="zh-CN"/>
        </w:rPr>
        <w:t>42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zh-CN"/>
        </w:rPr>
        <w:t>主要原因是：本年度响应节能减排，</w:t>
      </w:r>
      <w:r>
        <w:rPr>
          <w:rFonts w:hint="default" w:ascii="Times New Roman" w:hAnsi="Times New Roman" w:eastAsia="仿宋_GB2312" w:cs="Times New Roman"/>
          <w:sz w:val="32"/>
          <w:szCs w:val="32"/>
          <w:lang w:val="en-US" w:eastAsia="zh-CN"/>
        </w:rPr>
        <w:t>厉行节约，</w:t>
      </w:r>
      <w:r>
        <w:rPr>
          <w:rFonts w:hint="default" w:ascii="Times New Roman" w:hAnsi="Times New Roman" w:eastAsia="仿宋_GB2312" w:cs="Times New Roman"/>
          <w:sz w:val="32"/>
          <w:szCs w:val="32"/>
          <w:lang w:val="zh-CN"/>
        </w:rPr>
        <w:t>减少公务用车使用次数，导致相关支出降低。其中：因公出国（境）费支出0.00万元，占0.00%，比上年增加0.00万元，</w:t>
      </w:r>
      <w:r>
        <w:rPr>
          <w:rFonts w:hint="default" w:ascii="Times New Roman" w:hAnsi="Times New Roman" w:eastAsia="仿宋_GB2312" w:cs="Times New Roman"/>
          <w:sz w:val="32"/>
          <w:szCs w:val="32"/>
        </w:rPr>
        <w:t>增长0.00%,</w:t>
      </w:r>
      <w:r>
        <w:rPr>
          <w:rFonts w:hint="default" w:ascii="Times New Roman" w:hAnsi="Times New Roman" w:eastAsia="仿宋_GB2312" w:cs="Times New Roman"/>
          <w:sz w:val="32"/>
          <w:szCs w:val="32"/>
          <w:lang w:val="zh-CN"/>
        </w:rPr>
        <w:t>主要原因是：</w:t>
      </w:r>
      <w:r>
        <w:rPr>
          <w:rFonts w:hint="default" w:ascii="Times New Roman" w:hAnsi="Times New Roman" w:eastAsia="仿宋_GB2312" w:cs="Times New Roman"/>
          <w:sz w:val="32"/>
          <w:szCs w:val="32"/>
          <w:lang w:val="en-US" w:eastAsia="zh-CN"/>
        </w:rPr>
        <w:t>本年度无因公出国（境）费</w:t>
      </w:r>
      <w:r>
        <w:rPr>
          <w:rFonts w:hint="default" w:ascii="Times New Roman" w:hAnsi="Times New Roman" w:eastAsia="仿宋_GB2312" w:cs="Times New Roman"/>
          <w:sz w:val="32"/>
          <w:szCs w:val="32"/>
          <w:lang w:val="zh-CN"/>
        </w:rPr>
        <w:t>；公务用车购置及运行维护费支出2.55万元，占100.00%，比上年减少1.28万元，</w:t>
      </w:r>
      <w:r>
        <w:rPr>
          <w:rFonts w:hint="default" w:ascii="Times New Roman" w:hAnsi="Times New Roman" w:eastAsia="仿宋_GB2312" w:cs="Times New Roman"/>
          <w:sz w:val="32"/>
          <w:szCs w:val="32"/>
        </w:rPr>
        <w:t>下降33.</w:t>
      </w:r>
      <w:r>
        <w:rPr>
          <w:rFonts w:hint="eastAsia" w:eastAsia="仿宋_GB2312" w:cs="Times New Roman"/>
          <w:sz w:val="32"/>
          <w:szCs w:val="32"/>
          <w:lang w:val="en-US" w:eastAsia="zh-CN"/>
        </w:rPr>
        <w:t>42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zh-CN"/>
        </w:rPr>
        <w:t>主要原因是：本年度响应节能减排，</w:t>
      </w:r>
      <w:r>
        <w:rPr>
          <w:rFonts w:hint="default" w:ascii="Times New Roman" w:hAnsi="Times New Roman" w:eastAsia="仿宋_GB2312" w:cs="Times New Roman"/>
          <w:sz w:val="32"/>
          <w:szCs w:val="32"/>
          <w:lang w:val="en-US" w:eastAsia="zh-CN"/>
        </w:rPr>
        <w:t>厉行节约，</w:t>
      </w:r>
      <w:r>
        <w:rPr>
          <w:rFonts w:hint="default" w:ascii="Times New Roman" w:hAnsi="Times New Roman" w:eastAsia="仿宋_GB2312" w:cs="Times New Roman"/>
          <w:sz w:val="32"/>
          <w:szCs w:val="32"/>
          <w:lang w:val="zh-CN"/>
        </w:rPr>
        <w:t>减少公务用车使用次数，导致相关支出降低；公务接待费支出0.00万元，占0.00%，比上年增加0.00万元，</w:t>
      </w:r>
      <w:r>
        <w:rPr>
          <w:rFonts w:hint="default" w:ascii="Times New Roman" w:hAnsi="Times New Roman" w:eastAsia="仿宋_GB2312" w:cs="Times New Roman"/>
          <w:sz w:val="32"/>
          <w:szCs w:val="32"/>
        </w:rPr>
        <w:t>增长0.00%,</w:t>
      </w:r>
      <w:r>
        <w:rPr>
          <w:rFonts w:hint="default" w:ascii="Times New Roman" w:hAnsi="Times New Roman" w:eastAsia="仿宋_GB2312" w:cs="Times New Roman"/>
          <w:sz w:val="32"/>
          <w:szCs w:val="32"/>
          <w:lang w:val="zh-CN"/>
        </w:rPr>
        <w:t>主要原因是：</w:t>
      </w:r>
      <w:r>
        <w:rPr>
          <w:rFonts w:hint="default" w:ascii="Times New Roman" w:hAnsi="Times New Roman" w:eastAsia="仿宋_GB2312" w:cs="Times New Roman"/>
          <w:sz w:val="32"/>
          <w:szCs w:val="32"/>
          <w:lang w:val="en-US" w:eastAsia="zh-CN"/>
        </w:rPr>
        <w:t>我单位无公务接待费</w:t>
      </w:r>
      <w:r>
        <w:rPr>
          <w:rFonts w:hint="default" w:ascii="Times New Roman" w:hAnsi="Times New Roman" w:eastAsia="仿宋_GB2312" w:cs="Times New Roman"/>
          <w:sz w:val="32"/>
          <w:szCs w:val="32"/>
          <w:lang w:val="zh-CN"/>
        </w:rPr>
        <w:t>。</w:t>
      </w:r>
    </w:p>
    <w:p w14:paraId="5843A4FD">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b/>
          <w:bCs/>
          <w:sz w:val="32"/>
          <w:szCs w:val="32"/>
          <w:lang w:val="zh-CN"/>
        </w:rPr>
      </w:pPr>
      <w:r>
        <w:rPr>
          <w:rFonts w:hint="default" w:ascii="Times New Roman" w:hAnsi="Times New Roman" w:eastAsia="仿宋_GB2312" w:cs="Times New Roman"/>
          <w:b/>
          <w:bCs/>
          <w:sz w:val="32"/>
          <w:szCs w:val="32"/>
          <w:lang w:val="zh-CN"/>
        </w:rPr>
        <w:t>具体情况如下：</w:t>
      </w:r>
    </w:p>
    <w:p w14:paraId="606B09FD">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因公出国（境）费支出0.00万元，开支内容包括未安排预算。单位全年安排的因公出国（境）团组0个，因公出国（境）0人次。</w:t>
      </w:r>
    </w:p>
    <w:p w14:paraId="34290EAC">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zh-CN"/>
        </w:rPr>
        <w:t>公务用车购置及运行维护费2.55万元，其中：公务用车购置费0.00万元，公务用车运行维护费2.55万元。公务用车运行维护费开支内容包括车辆燃油费、车辆维修维护费、车辆保险费。公务用车购置数0辆，公务用车保有量2辆。国有资产占用情况</w:t>
      </w:r>
      <w:r>
        <w:rPr>
          <w:rFonts w:hint="default" w:ascii="Times New Roman" w:hAnsi="Times New Roman" w:eastAsia="仿宋_GB2312" w:cs="Times New Roman"/>
          <w:sz w:val="32"/>
          <w:szCs w:val="32"/>
        </w:rPr>
        <w:t>中固定资产车辆</w:t>
      </w:r>
      <w:r>
        <w:rPr>
          <w:rFonts w:hint="default" w:ascii="Times New Roman" w:hAnsi="Times New Roman" w:eastAsia="仿宋_GB2312" w:cs="Times New Roman"/>
          <w:sz w:val="32"/>
          <w:szCs w:val="32"/>
          <w:lang w:val="zh-CN"/>
        </w:rPr>
        <w:t>2辆，</w:t>
      </w:r>
      <w:r>
        <w:rPr>
          <w:rFonts w:hint="default" w:ascii="Times New Roman" w:hAnsi="Times New Roman" w:eastAsia="仿宋_GB2312" w:cs="Times New Roman"/>
          <w:sz w:val="32"/>
          <w:szCs w:val="32"/>
        </w:rPr>
        <w:t>与</w:t>
      </w:r>
      <w:r>
        <w:rPr>
          <w:rFonts w:hint="default" w:ascii="Times New Roman" w:hAnsi="Times New Roman" w:eastAsia="仿宋_GB2312" w:cs="Times New Roman"/>
          <w:sz w:val="32"/>
          <w:szCs w:val="32"/>
          <w:lang w:val="zh-CN"/>
        </w:rPr>
        <w:t>公务用车</w:t>
      </w:r>
      <w:r>
        <w:rPr>
          <w:rFonts w:hint="default" w:ascii="Times New Roman" w:hAnsi="Times New Roman" w:eastAsia="仿宋_GB2312" w:cs="Times New Roman"/>
          <w:sz w:val="32"/>
          <w:szCs w:val="32"/>
        </w:rPr>
        <w:t>保有量差异</w:t>
      </w:r>
      <w:r>
        <w:rPr>
          <w:rFonts w:hint="default" w:ascii="Times New Roman" w:hAnsi="Times New Roman" w:eastAsia="仿宋_GB2312" w:cs="Times New Roman"/>
          <w:sz w:val="32"/>
          <w:szCs w:val="32"/>
          <w:lang w:val="zh-CN"/>
        </w:rPr>
        <w:t>原因是：</w:t>
      </w:r>
      <w:r>
        <w:rPr>
          <w:rFonts w:hint="default" w:ascii="Times New Roman" w:hAnsi="Times New Roman" w:eastAsia="仿宋_GB2312" w:cs="Times New Roman"/>
          <w:sz w:val="32"/>
          <w:szCs w:val="32"/>
          <w:lang w:val="en-US" w:eastAsia="zh-CN"/>
        </w:rPr>
        <w:t>本年度</w:t>
      </w:r>
      <w:r>
        <w:rPr>
          <w:rFonts w:hint="default" w:ascii="Times New Roman" w:hAnsi="Times New Roman" w:eastAsia="仿宋_GB2312" w:cs="Times New Roman"/>
          <w:sz w:val="32"/>
          <w:szCs w:val="32"/>
          <w:lang w:val="zh-CN"/>
        </w:rPr>
        <w:t>无差异。</w:t>
      </w:r>
    </w:p>
    <w:p w14:paraId="45BB1CDB">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公务接待费0.00万元，</w:t>
      </w:r>
      <w:r>
        <w:rPr>
          <w:rFonts w:hint="default" w:ascii="Times New Roman" w:hAnsi="Times New Roman" w:eastAsia="仿宋_GB2312" w:cs="Times New Roman"/>
          <w:sz w:val="32"/>
          <w:szCs w:val="32"/>
          <w:highlight w:val="none"/>
          <w:lang w:val="zh-CN"/>
        </w:rPr>
        <w:t>开支内容包括</w:t>
      </w:r>
      <w:r>
        <w:rPr>
          <w:rFonts w:hint="default" w:ascii="Times New Roman" w:hAnsi="Times New Roman" w:eastAsia="仿宋_GB2312" w:cs="Times New Roman"/>
          <w:sz w:val="32"/>
          <w:szCs w:val="32"/>
          <w:highlight w:val="none"/>
          <w:lang w:val="en-US" w:eastAsia="zh-CN"/>
        </w:rPr>
        <w:t>我单位无</w:t>
      </w:r>
      <w:r>
        <w:rPr>
          <w:rFonts w:hint="default" w:ascii="Times New Roman" w:hAnsi="Times New Roman" w:eastAsia="仿宋_GB2312" w:cs="Times New Roman"/>
          <w:sz w:val="32"/>
          <w:szCs w:val="32"/>
          <w:lang w:val="en-US" w:eastAsia="zh-CN"/>
        </w:rPr>
        <w:t>公务接待费</w:t>
      </w:r>
      <w:r>
        <w:rPr>
          <w:rFonts w:hint="default" w:ascii="Times New Roman" w:hAnsi="Times New Roman" w:eastAsia="仿宋_GB2312" w:cs="Times New Roman"/>
          <w:sz w:val="32"/>
          <w:szCs w:val="32"/>
          <w:lang w:val="zh-CN"/>
        </w:rPr>
        <w:t>。单位全年安排的国内公务接待0批次，0人次。</w:t>
      </w:r>
    </w:p>
    <w:p w14:paraId="378D6BCD">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b/>
          <w:bCs/>
          <w:sz w:val="32"/>
          <w:szCs w:val="32"/>
          <w:lang w:val="zh-CN"/>
        </w:rPr>
        <w:t>与</w:t>
      </w:r>
      <w:r>
        <w:rPr>
          <w:rFonts w:hint="default" w:ascii="Times New Roman" w:hAnsi="Times New Roman" w:eastAsia="仿宋_GB2312" w:cs="Times New Roman"/>
          <w:b/>
          <w:bCs/>
          <w:sz w:val="32"/>
          <w:szCs w:val="32"/>
        </w:rPr>
        <w:t>全年</w:t>
      </w:r>
      <w:r>
        <w:rPr>
          <w:rFonts w:hint="default" w:ascii="Times New Roman" w:hAnsi="Times New Roman" w:eastAsia="仿宋_GB2312" w:cs="Times New Roman"/>
          <w:b/>
          <w:bCs/>
          <w:sz w:val="32"/>
          <w:szCs w:val="32"/>
          <w:lang w:val="zh-CN"/>
        </w:rPr>
        <w:t>预算相比</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sz w:val="32"/>
          <w:szCs w:val="32"/>
          <w:lang w:val="zh-CN"/>
        </w:rPr>
        <w:t>财政拨款“三公”经费支出</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预算数2.55万元，决算数2.55万元，预决算差异率0.00%，主要原因是：</w:t>
      </w:r>
      <w:r>
        <w:rPr>
          <w:rFonts w:hint="default" w:ascii="Times New Roman" w:hAnsi="Times New Roman" w:eastAsia="仿宋_GB2312" w:cs="Times New Roman"/>
          <w:sz w:val="32"/>
          <w:szCs w:val="32"/>
          <w:lang w:val="en-US" w:eastAsia="zh-CN"/>
        </w:rPr>
        <w:t>本年度</w:t>
      </w:r>
      <w:r>
        <w:rPr>
          <w:rFonts w:hint="default" w:ascii="Times New Roman" w:hAnsi="Times New Roman" w:eastAsia="仿宋_GB2312" w:cs="Times New Roman"/>
          <w:sz w:val="32"/>
          <w:szCs w:val="32"/>
          <w:lang w:val="zh-CN"/>
        </w:rPr>
        <w:t>无差异。其中：因公出国（境）费</w:t>
      </w:r>
      <w:r>
        <w:rPr>
          <w:rFonts w:hint="default" w:ascii="Times New Roman" w:hAnsi="Times New Roman" w:eastAsia="仿宋_GB2312" w:cs="Times New Roman"/>
          <w:sz w:val="32"/>
          <w:szCs w:val="32"/>
        </w:rPr>
        <w:t>全年预算数</w:t>
      </w:r>
      <w:r>
        <w:rPr>
          <w:rFonts w:hint="default" w:ascii="Times New Roman" w:hAnsi="Times New Roman" w:eastAsia="仿宋_GB2312" w:cs="Times New Roman"/>
          <w:sz w:val="32"/>
          <w:szCs w:val="32"/>
          <w:lang w:val="zh-CN"/>
        </w:rPr>
        <w:t>0.00万元，决算数0.00万元，预决算差异率0.00%，主要原因是：</w:t>
      </w:r>
      <w:r>
        <w:rPr>
          <w:rFonts w:hint="default" w:ascii="Times New Roman" w:hAnsi="Times New Roman" w:eastAsia="仿宋_GB2312" w:cs="Times New Roman"/>
          <w:sz w:val="32"/>
          <w:szCs w:val="32"/>
          <w:lang w:val="en-US" w:eastAsia="zh-CN"/>
        </w:rPr>
        <w:t>本年度无因公出国（境）费</w:t>
      </w:r>
      <w:r>
        <w:rPr>
          <w:rFonts w:hint="default" w:ascii="Times New Roman" w:hAnsi="Times New Roman" w:eastAsia="仿宋_GB2312" w:cs="Times New Roman"/>
          <w:sz w:val="32"/>
          <w:szCs w:val="32"/>
          <w:lang w:val="zh-CN"/>
        </w:rPr>
        <w:t>；公务用车购置费</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预算数0.00万元，决算数0.00万元，预决算差异率0.00%，主要原因是：</w:t>
      </w:r>
      <w:r>
        <w:rPr>
          <w:rFonts w:hint="default" w:ascii="Times New Roman" w:hAnsi="Times New Roman" w:eastAsia="仿宋_GB2312" w:cs="Times New Roman"/>
          <w:sz w:val="32"/>
          <w:szCs w:val="32"/>
          <w:lang w:val="en-US" w:eastAsia="zh-CN"/>
        </w:rPr>
        <w:t>本年度无</w:t>
      </w:r>
      <w:r>
        <w:rPr>
          <w:rFonts w:hint="default" w:ascii="Times New Roman" w:hAnsi="Times New Roman" w:eastAsia="仿宋_GB2312" w:cs="Times New Roman"/>
          <w:sz w:val="32"/>
          <w:szCs w:val="32"/>
          <w:lang w:val="zh-CN"/>
        </w:rPr>
        <w:t>公务用车购置费；公务用车运行费</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预算数2.55万元，决算数2.55万元，预决算差异率0.00%，主要原因是：</w:t>
      </w:r>
      <w:r>
        <w:rPr>
          <w:rFonts w:hint="default" w:ascii="Times New Roman" w:hAnsi="Times New Roman" w:eastAsia="仿宋_GB2312" w:cs="Times New Roman"/>
          <w:sz w:val="32"/>
          <w:szCs w:val="32"/>
          <w:lang w:val="en-US" w:eastAsia="zh-CN"/>
        </w:rPr>
        <w:t>本年度</w:t>
      </w:r>
      <w:r>
        <w:rPr>
          <w:rFonts w:hint="default" w:ascii="Times New Roman" w:hAnsi="Times New Roman" w:eastAsia="仿宋_GB2312" w:cs="Times New Roman"/>
          <w:sz w:val="32"/>
          <w:szCs w:val="32"/>
          <w:lang w:val="zh-CN"/>
        </w:rPr>
        <w:t>无差异；公务接待费</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预算数0.00万元，决算数0.00万元，预决算差异率0.00%，主要原因是：</w:t>
      </w:r>
      <w:r>
        <w:rPr>
          <w:rFonts w:hint="default" w:ascii="Times New Roman" w:hAnsi="Times New Roman" w:eastAsia="仿宋_GB2312" w:cs="Times New Roman"/>
          <w:sz w:val="32"/>
          <w:szCs w:val="32"/>
          <w:lang w:val="en-US" w:eastAsia="zh-CN"/>
        </w:rPr>
        <w:t>本年度无</w:t>
      </w:r>
      <w:r>
        <w:rPr>
          <w:rFonts w:hint="default" w:ascii="Times New Roman" w:hAnsi="Times New Roman" w:eastAsia="仿宋_GB2312" w:cs="Times New Roman"/>
          <w:sz w:val="32"/>
          <w:szCs w:val="32"/>
          <w:lang w:val="zh-CN"/>
        </w:rPr>
        <w:t>公务接待费。</w:t>
      </w:r>
    </w:p>
    <w:p w14:paraId="16E2CBFC">
      <w:pPr>
        <w:ind w:firstLine="640" w:firstLineChars="200"/>
        <w:jc w:val="left"/>
        <w:outlineLvl w:val="1"/>
        <w:rPr>
          <w:rFonts w:hint="default" w:ascii="Times New Roman" w:hAnsi="Times New Roman" w:eastAsia="黑体" w:cs="Times New Roman"/>
          <w:bCs/>
          <w:kern w:val="0"/>
          <w:sz w:val="32"/>
          <w:szCs w:val="32"/>
        </w:rPr>
      </w:pPr>
      <w:bookmarkStart w:id="18" w:name="_Toc5810"/>
      <w:bookmarkStart w:id="19" w:name="_Toc7927"/>
      <w:r>
        <w:rPr>
          <w:rFonts w:hint="default" w:ascii="Times New Roman" w:hAnsi="Times New Roman" w:eastAsia="黑体" w:cs="Times New Roman"/>
          <w:bCs/>
          <w:kern w:val="0"/>
          <w:sz w:val="32"/>
          <w:szCs w:val="32"/>
        </w:rPr>
        <w:t>八、政府性基金预算财政拨款收入支出决算情况说明</w:t>
      </w:r>
      <w:bookmarkEnd w:id="18"/>
      <w:bookmarkEnd w:id="19"/>
    </w:p>
    <w:p w14:paraId="3F0A114A">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我单位本年度无政府性基金预算财政拨款收入、支出及结转和结余，政府性基金预算财政拨款收入支出决算表为空表。</w:t>
      </w:r>
    </w:p>
    <w:p w14:paraId="78EF390A">
      <w:pPr>
        <w:ind w:firstLine="640" w:firstLineChars="200"/>
        <w:jc w:val="left"/>
        <w:rPr>
          <w:rFonts w:hint="default" w:ascii="Times New Roman" w:hAnsi="Times New Roman" w:eastAsia="仿宋_GB2312" w:cs="Times New Roman"/>
          <w:sz w:val="32"/>
          <w:szCs w:val="32"/>
        </w:rPr>
      </w:pPr>
    </w:p>
    <w:p w14:paraId="04B23A54">
      <w:pPr>
        <w:ind w:firstLine="640" w:firstLineChars="200"/>
        <w:jc w:val="left"/>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九、国有资本经营预算财政拨款收入支出决算情况说明</w:t>
      </w:r>
    </w:p>
    <w:p w14:paraId="1EABB7F0">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我单位本年度无国有资本经营预算财政拨款收入、支出及结转和结余，国有资本经营预算财政拨款收入支出决算表为空表。</w:t>
      </w:r>
    </w:p>
    <w:p w14:paraId="708779D4">
      <w:pPr>
        <w:ind w:firstLine="640" w:firstLineChars="200"/>
        <w:jc w:val="left"/>
        <w:outlineLvl w:val="1"/>
        <w:rPr>
          <w:rFonts w:hint="default" w:ascii="Times New Roman" w:hAnsi="Times New Roman" w:eastAsia="黑体" w:cs="Times New Roman"/>
          <w:bCs/>
          <w:kern w:val="0"/>
          <w:sz w:val="32"/>
          <w:szCs w:val="32"/>
        </w:rPr>
      </w:pPr>
      <w:bookmarkStart w:id="20" w:name="_Toc1235"/>
      <w:bookmarkStart w:id="21" w:name="_Toc7314"/>
      <w:r>
        <w:rPr>
          <w:rFonts w:hint="default" w:ascii="Times New Roman" w:hAnsi="Times New Roman" w:eastAsia="黑体" w:cs="Times New Roman"/>
          <w:bCs/>
          <w:kern w:val="0"/>
          <w:sz w:val="32"/>
          <w:szCs w:val="32"/>
        </w:rPr>
        <w:t>十、其他重要事项的情况说明</w:t>
      </w:r>
      <w:bookmarkEnd w:id="20"/>
      <w:bookmarkEnd w:id="21"/>
    </w:p>
    <w:p w14:paraId="52275E41">
      <w:pPr>
        <w:ind w:firstLine="640" w:firstLineChars="200"/>
        <w:jc w:val="left"/>
        <w:outlineLvl w:val="2"/>
        <w:rPr>
          <w:rFonts w:hint="default" w:ascii="Times New Roman" w:hAnsi="Times New Roman" w:eastAsia="黑体" w:cs="Times New Roman"/>
          <w:sz w:val="32"/>
          <w:szCs w:val="32"/>
        </w:rPr>
      </w:pPr>
      <w:bookmarkStart w:id="22" w:name="_Toc13105"/>
      <w:bookmarkStart w:id="23" w:name="_Toc14519"/>
      <w:r>
        <w:rPr>
          <w:rFonts w:hint="default" w:ascii="Times New Roman" w:hAnsi="Times New Roman" w:eastAsia="黑体" w:cs="Times New Roman"/>
          <w:sz w:val="32"/>
          <w:szCs w:val="32"/>
        </w:rPr>
        <w:t>（一）机关运行经费支出情况</w:t>
      </w:r>
      <w:bookmarkEnd w:id="22"/>
      <w:bookmarkEnd w:id="23"/>
    </w:p>
    <w:p w14:paraId="05DB4C16">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sz w:val="32"/>
          <w:szCs w:val="32"/>
          <w:lang w:val="zh-CN"/>
        </w:rPr>
      </w:pPr>
      <w:bookmarkStart w:id="24" w:name="_Toc26704"/>
      <w:bookmarkStart w:id="25" w:name="_Toc227"/>
      <w:r>
        <w:rPr>
          <w:rFonts w:hint="default" w:ascii="Times New Roman" w:hAnsi="Times New Roman" w:eastAsia="仿宋_GB2312" w:cs="Times New Roman"/>
          <w:sz w:val="32"/>
          <w:szCs w:val="32"/>
          <w:lang w:val="zh-CN"/>
        </w:rPr>
        <w:t>2023年度</w:t>
      </w:r>
      <w:r>
        <w:rPr>
          <w:rFonts w:hint="default" w:ascii="Times New Roman" w:hAnsi="Times New Roman" w:eastAsia="仿宋_GB2312" w:cs="Times New Roman"/>
          <w:sz w:val="32"/>
          <w:szCs w:val="32"/>
          <w:lang w:eastAsia="zh-CN"/>
        </w:rPr>
        <w:t>新疆维吾尔自治区医疗卫生服务指导中心（原新疆维吾尔自治区医疗卫生服务管理指导中心）</w:t>
      </w:r>
      <w:r>
        <w:rPr>
          <w:rFonts w:hint="default" w:ascii="Times New Roman" w:hAnsi="Times New Roman" w:eastAsia="仿宋_GB2312" w:cs="Times New Roman"/>
          <w:sz w:val="32"/>
          <w:szCs w:val="32"/>
          <w:lang w:val="zh-CN"/>
        </w:rPr>
        <w:t>（事业单位）公用经费支出40.53万元，比上年减少0.50万元，下降1.22%，主要原因是：</w:t>
      </w:r>
      <w:r>
        <w:rPr>
          <w:rFonts w:hint="default" w:ascii="Times New Roman" w:hAnsi="Times New Roman" w:eastAsia="仿宋_GB2312" w:cs="Times New Roman"/>
          <w:sz w:val="32"/>
          <w:szCs w:val="32"/>
          <w:highlight w:val="none"/>
          <w:lang w:val="zh-CN"/>
        </w:rPr>
        <w:t>本年度</w:t>
      </w:r>
      <w:r>
        <w:rPr>
          <w:rFonts w:hint="default" w:ascii="Times New Roman" w:hAnsi="Times New Roman" w:eastAsia="仿宋_GB2312" w:cs="Times New Roman"/>
          <w:sz w:val="32"/>
          <w:szCs w:val="32"/>
          <w:highlight w:val="none"/>
          <w:lang w:val="en-US" w:eastAsia="zh-CN"/>
        </w:rPr>
        <w:t>公务用车运行维护费</w:t>
      </w:r>
      <w:r>
        <w:rPr>
          <w:rFonts w:hint="default" w:ascii="Times New Roman" w:hAnsi="Times New Roman" w:eastAsia="仿宋_GB2312" w:cs="Times New Roman"/>
          <w:sz w:val="32"/>
          <w:szCs w:val="32"/>
          <w:highlight w:val="none"/>
          <w:lang w:val="zh-CN"/>
        </w:rPr>
        <w:t>费减少，相</w:t>
      </w:r>
      <w:r>
        <w:rPr>
          <w:rFonts w:hint="default" w:ascii="Times New Roman" w:hAnsi="Times New Roman" w:eastAsia="仿宋_GB2312" w:cs="Times New Roman"/>
          <w:sz w:val="32"/>
          <w:szCs w:val="32"/>
          <w:lang w:val="zh-CN"/>
        </w:rPr>
        <w:t>关支出降低。</w:t>
      </w:r>
    </w:p>
    <w:p w14:paraId="3446A29E">
      <w:pPr>
        <w:ind w:firstLine="640" w:firstLineChars="200"/>
        <w:jc w:val="left"/>
        <w:rPr>
          <w:rFonts w:hint="default" w:ascii="Times New Roman" w:hAnsi="Times New Roman" w:eastAsia="黑体" w:cs="Times New Roman"/>
          <w:sz w:val="32"/>
          <w:szCs w:val="30"/>
          <w:lang w:val="zh-CN"/>
        </w:rPr>
      </w:pPr>
      <w:r>
        <w:rPr>
          <w:rFonts w:hint="default" w:ascii="Times New Roman" w:hAnsi="Times New Roman" w:eastAsia="黑体" w:cs="Times New Roman"/>
          <w:sz w:val="32"/>
          <w:szCs w:val="30"/>
          <w:lang w:val="zh-CN"/>
        </w:rPr>
        <w:t>（二）政府采购情况</w:t>
      </w:r>
      <w:bookmarkEnd w:id="24"/>
      <w:bookmarkEnd w:id="25"/>
    </w:p>
    <w:p w14:paraId="799D1F41">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2023年度政府采购支出总额124.65万元，其中：政府采购货物支出62.85万元、政府采购工程支出0.00万元、政府采购服务支出61.80万元。</w:t>
      </w:r>
    </w:p>
    <w:p w14:paraId="13818E8A">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zh-CN"/>
        </w:rPr>
        <w:t>授予中小企业合同金额120.50万元，占政府采购支出总额的96.6</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zh-CN"/>
        </w:rPr>
        <w:t>%，其中：授予小微企业合同金额120.50万元，占政府采购支出总额的96.6</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w:t>
      </w:r>
    </w:p>
    <w:p w14:paraId="0179795B">
      <w:pPr>
        <w:ind w:firstLine="640" w:firstLineChars="200"/>
        <w:jc w:val="left"/>
        <w:rPr>
          <w:rFonts w:hint="default" w:ascii="Times New Roman" w:hAnsi="Times New Roman" w:eastAsia="黑体" w:cs="Times New Roman"/>
          <w:sz w:val="32"/>
          <w:szCs w:val="30"/>
          <w:lang w:val="zh-CN"/>
        </w:rPr>
      </w:pPr>
      <w:bookmarkStart w:id="26" w:name="_Toc4591"/>
      <w:bookmarkStart w:id="27" w:name="_Toc8391"/>
      <w:r>
        <w:rPr>
          <w:rFonts w:hint="default" w:ascii="Times New Roman" w:hAnsi="Times New Roman" w:eastAsia="黑体" w:cs="Times New Roman"/>
          <w:sz w:val="32"/>
          <w:szCs w:val="30"/>
          <w:lang w:val="zh-CN"/>
        </w:rPr>
        <w:t>（三）国有资产占用情况说明</w:t>
      </w:r>
      <w:bookmarkEnd w:id="26"/>
      <w:bookmarkEnd w:id="27"/>
    </w:p>
    <w:p w14:paraId="6FE48A3F">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截至2023</w:t>
      </w:r>
      <w:r>
        <w:rPr>
          <w:rFonts w:hint="default" w:ascii="Times New Roman" w:hAnsi="Times New Roman" w:eastAsia="仿宋_GB2312" w:cs="Times New Roman"/>
          <w:sz w:val="32"/>
          <w:szCs w:val="32"/>
          <w:lang w:val="zh-CN"/>
        </w:rPr>
        <w:t>年</w:t>
      </w:r>
      <w:r>
        <w:rPr>
          <w:rFonts w:hint="default" w:ascii="Times New Roman" w:hAnsi="Times New Roman" w:eastAsia="仿宋_GB2312" w:cs="Times New Roman"/>
          <w:sz w:val="32"/>
          <w:szCs w:val="32"/>
        </w:rPr>
        <w:t>12月31日</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固定资产原值</w:t>
      </w:r>
      <w:r>
        <w:rPr>
          <w:rFonts w:hint="default" w:ascii="Times New Roman" w:hAnsi="Times New Roman" w:eastAsia="仿宋_GB2312" w:cs="Times New Roman"/>
          <w:sz w:val="32"/>
          <w:szCs w:val="32"/>
          <w:lang w:val="zh-CN"/>
        </w:rPr>
        <w:t>192.45</w:t>
      </w:r>
      <w:r>
        <w:rPr>
          <w:rFonts w:hint="default" w:ascii="Times New Roman" w:hAnsi="Times New Roman" w:eastAsia="仿宋_GB2312" w:cs="Times New Roman"/>
          <w:sz w:val="32"/>
          <w:szCs w:val="32"/>
        </w:rPr>
        <w:t>万元，房</w:t>
      </w:r>
      <w:r>
        <w:rPr>
          <w:rFonts w:hint="default" w:ascii="Times New Roman" w:hAnsi="Times New Roman" w:eastAsia="仿宋_GB2312" w:cs="Times New Roman"/>
          <w:sz w:val="32"/>
          <w:szCs w:val="32"/>
          <w:lang w:val="zh-CN"/>
        </w:rPr>
        <w:t>屋0.0平方米，价值0.00万元。车辆2辆，价值49.19万元，其中：副部（省）级及以上领导用车0辆、主要</w:t>
      </w:r>
      <w:r>
        <w:rPr>
          <w:rFonts w:hint="default" w:ascii="Times New Roman" w:hAnsi="Times New Roman" w:eastAsia="仿宋_GB2312" w:cs="Times New Roman"/>
          <w:sz w:val="32"/>
          <w:szCs w:val="32"/>
        </w:rPr>
        <w:t>负责人</w:t>
      </w:r>
      <w:r>
        <w:rPr>
          <w:rFonts w:hint="default" w:ascii="Times New Roman" w:hAnsi="Times New Roman" w:eastAsia="仿宋_GB2312" w:cs="Times New Roman"/>
          <w:sz w:val="32"/>
          <w:szCs w:val="32"/>
          <w:lang w:val="zh-CN"/>
        </w:rPr>
        <w:t>用车0辆、机要通信用车0辆、应急保障用车0辆、执法执勤用车0辆、特种专业技术用车0辆、离退休干部</w:t>
      </w:r>
      <w:r>
        <w:rPr>
          <w:rFonts w:hint="default" w:ascii="Times New Roman" w:hAnsi="Times New Roman" w:eastAsia="仿宋_GB2312" w:cs="Times New Roman"/>
          <w:sz w:val="32"/>
          <w:szCs w:val="32"/>
        </w:rPr>
        <w:t>服务</w:t>
      </w:r>
      <w:r>
        <w:rPr>
          <w:rFonts w:hint="default" w:ascii="Times New Roman" w:hAnsi="Times New Roman" w:eastAsia="仿宋_GB2312" w:cs="Times New Roman"/>
          <w:sz w:val="32"/>
          <w:szCs w:val="32"/>
          <w:lang w:val="zh-CN"/>
        </w:rPr>
        <w:t>用车0辆、其他用车2辆，其他用车主要是：单位公务用车；单价100万元（含）以上设备（不含车辆）0</w:t>
      </w:r>
      <w:r>
        <w:rPr>
          <w:rFonts w:hint="default" w:ascii="Times New Roman" w:hAnsi="Times New Roman" w:eastAsia="仿宋_GB2312" w:cs="Times New Roman"/>
          <w:sz w:val="32"/>
          <w:szCs w:val="32"/>
        </w:rPr>
        <w:t>台（</w:t>
      </w:r>
      <w:r>
        <w:rPr>
          <w:rFonts w:hint="default" w:ascii="Times New Roman" w:hAnsi="Times New Roman" w:eastAsia="仿宋_GB2312" w:cs="Times New Roman"/>
          <w:sz w:val="32"/>
          <w:szCs w:val="32"/>
          <w:lang w:val="zh-CN"/>
        </w:rPr>
        <w:t>套）。</w:t>
      </w:r>
    </w:p>
    <w:p w14:paraId="19C9D62D">
      <w:pPr>
        <w:ind w:firstLine="640" w:firstLineChars="200"/>
        <w:jc w:val="left"/>
        <w:outlineLvl w:val="1"/>
        <w:rPr>
          <w:rFonts w:hint="default" w:ascii="Times New Roman" w:hAnsi="Times New Roman" w:eastAsia="黑体" w:cs="Times New Roman"/>
          <w:bCs/>
          <w:kern w:val="0"/>
          <w:sz w:val="32"/>
          <w:szCs w:val="32"/>
        </w:rPr>
      </w:pPr>
      <w:bookmarkStart w:id="28" w:name="_Toc435"/>
      <w:bookmarkStart w:id="29" w:name="_Toc11283"/>
      <w:r>
        <w:rPr>
          <w:rFonts w:hint="default" w:ascii="Times New Roman" w:hAnsi="Times New Roman" w:eastAsia="黑体" w:cs="Times New Roman"/>
          <w:bCs/>
          <w:kern w:val="0"/>
          <w:sz w:val="32"/>
          <w:szCs w:val="32"/>
        </w:rPr>
        <w:t>十一、预算绩效的情况说明</w:t>
      </w:r>
      <w:bookmarkEnd w:id="28"/>
      <w:bookmarkEnd w:id="29"/>
    </w:p>
    <w:p w14:paraId="3C27C10B">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根据预算绩效管理要求，我单位2023年度</w:t>
      </w:r>
      <w:r>
        <w:rPr>
          <w:rFonts w:hint="default" w:ascii="Times New Roman" w:hAnsi="Times New Roman" w:eastAsia="仿宋_GB2312" w:cs="Times New Roman"/>
          <w:kern w:val="0"/>
          <w:sz w:val="32"/>
          <w:szCs w:val="32"/>
        </w:rPr>
        <w:t>预算绩效管理整体支出绩效</w:t>
      </w:r>
      <w:r>
        <w:rPr>
          <w:rFonts w:hint="default" w:ascii="Times New Roman" w:hAnsi="Times New Roman" w:eastAsia="仿宋_GB2312" w:cs="Times New Roman"/>
          <w:kern w:val="0"/>
          <w:sz w:val="32"/>
          <w:szCs w:val="32"/>
          <w:highlight w:val="none"/>
        </w:rPr>
        <w:t>自评表</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kern w:val="0"/>
          <w:sz w:val="32"/>
          <w:szCs w:val="32"/>
          <w:highlight w:val="none"/>
        </w:rPr>
        <w:t>个</w:t>
      </w:r>
      <w:r>
        <w:rPr>
          <w:rFonts w:hint="default" w:ascii="Times New Roman" w:hAnsi="Times New Roman" w:eastAsia="仿宋_GB2312" w:cs="Times New Roman"/>
          <w:kern w:val="0"/>
          <w:sz w:val="32"/>
          <w:szCs w:val="32"/>
        </w:rPr>
        <w:t>，全年</w:t>
      </w:r>
      <w:r>
        <w:rPr>
          <w:rFonts w:hint="default" w:ascii="Times New Roman" w:hAnsi="Times New Roman" w:eastAsia="仿宋_GB2312" w:cs="Times New Roman"/>
          <w:sz w:val="32"/>
          <w:szCs w:val="32"/>
        </w:rPr>
        <w:t>预算总额</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万元，实际执行总额</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eastAsia"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我单位整体支出绩效自评表由主管部门编报并公开。</w:t>
      </w:r>
      <w:r>
        <w:rPr>
          <w:rFonts w:hint="default" w:ascii="Times New Roman" w:hAnsi="Times New Roman" w:eastAsia="仿宋_GB2312" w:cs="Times New Roman"/>
          <w:sz w:val="32"/>
          <w:szCs w:val="32"/>
        </w:rPr>
        <w:t>预算绩效评价项目2个，全年预算数274万元，全年执行数274万元。预算绩效管理取得的成效：</w:t>
      </w:r>
      <w:r>
        <w:rPr>
          <w:rFonts w:hint="default" w:ascii="Times New Roman" w:hAnsi="Times New Roman" w:eastAsia="仿宋_GB2312" w:cs="Times New Roman"/>
          <w:sz w:val="32"/>
          <w:szCs w:val="32"/>
          <w:lang w:val="zh-CN"/>
        </w:rPr>
        <w:t>进一步增强了制度建设，</w:t>
      </w:r>
      <w:r>
        <w:rPr>
          <w:rFonts w:hint="default" w:ascii="Times New Roman" w:hAnsi="Times New Roman" w:eastAsia="仿宋_GB2312" w:cs="Times New Roman"/>
          <w:sz w:val="32"/>
          <w:szCs w:val="32"/>
          <w:lang w:val="en-US" w:eastAsia="zh-CN"/>
        </w:rPr>
        <w:t>促进了业财融合</w:t>
      </w:r>
      <w:r>
        <w:rPr>
          <w:rFonts w:hint="default" w:ascii="Times New Roman" w:hAnsi="Times New Roman" w:eastAsia="仿宋_GB2312" w:cs="Times New Roman"/>
          <w:sz w:val="32"/>
          <w:szCs w:val="32"/>
          <w:lang w:val="zh-CN"/>
        </w:rPr>
        <w:t>，预算绩效管理取得新成效。发现的问题及原因：一是单位绩效管理体系不完善，</w:t>
      </w:r>
      <w:r>
        <w:rPr>
          <w:rFonts w:hint="default" w:ascii="Times New Roman" w:hAnsi="Times New Roman" w:eastAsia="仿宋_GB2312" w:cs="Times New Roman"/>
          <w:sz w:val="32"/>
          <w:szCs w:val="32"/>
          <w:lang w:val="en-US" w:eastAsia="zh-CN"/>
        </w:rPr>
        <w:t>指标设置与业务工作结合还不够紧密</w:t>
      </w:r>
      <w:r>
        <w:rPr>
          <w:rFonts w:hint="default" w:ascii="Times New Roman" w:hAnsi="Times New Roman" w:eastAsia="仿宋_GB2312" w:cs="Times New Roman"/>
          <w:sz w:val="32"/>
          <w:szCs w:val="32"/>
          <w:lang w:val="zh-CN"/>
        </w:rPr>
        <w:t>；二是部分项目执行</w:t>
      </w:r>
      <w:r>
        <w:rPr>
          <w:rFonts w:hint="default" w:ascii="Times New Roman" w:hAnsi="Times New Roman" w:eastAsia="仿宋_GB2312" w:cs="Times New Roman"/>
          <w:sz w:val="32"/>
          <w:szCs w:val="32"/>
          <w:lang w:val="en-US" w:eastAsia="zh-CN"/>
        </w:rPr>
        <w:t>进度与绩效监控同步不到位</w:t>
      </w:r>
      <w:r>
        <w:rPr>
          <w:rFonts w:hint="default" w:ascii="Times New Roman" w:hAnsi="Times New Roman" w:eastAsia="仿宋_GB2312" w:cs="Times New Roman"/>
          <w:sz w:val="32"/>
          <w:szCs w:val="32"/>
          <w:lang w:val="zh-CN"/>
        </w:rPr>
        <w:t>。下一步改进措施：一是完善绩效评价体系，加强监督检查和考核工作。进一步探索完善项目绩效评价指标体系，加强对绩效管理工作的跟踪督查，做到绩效管理有依据、按程序、有奖惩，实现绩效管理的规范化、常态化，</w:t>
      </w:r>
      <w:r>
        <w:rPr>
          <w:rFonts w:hint="default" w:ascii="Times New Roman" w:hAnsi="Times New Roman" w:eastAsia="仿宋_GB2312" w:cs="Times New Roman"/>
          <w:sz w:val="32"/>
          <w:szCs w:val="32"/>
          <w:lang w:val="en-US" w:eastAsia="zh-CN"/>
        </w:rPr>
        <w:t>加强业务与财务、绩效工作联系紧密度</w:t>
      </w:r>
      <w:r>
        <w:rPr>
          <w:rFonts w:hint="default" w:ascii="Times New Roman" w:hAnsi="Times New Roman" w:eastAsia="仿宋_GB2312" w:cs="Times New Roman"/>
          <w:sz w:val="32"/>
          <w:szCs w:val="32"/>
          <w:lang w:val="zh-CN"/>
        </w:rPr>
        <w:t>；二是推动相关制度建设，逐步建立以绩效为导向的预算编制模式。从项目绩效评价制度入手，借鉴其他部门在绩效管理方面的经验和做法，制定单位统一的绩效考评度，并将其贯彻到预算申请、预算分配、项目实施和绩效考评的全过程。把绩效考评的结果作为编制部门预算的重要依据，建立绩效预算激励机制，</w:t>
      </w:r>
      <w:r>
        <w:rPr>
          <w:rFonts w:hint="default" w:ascii="Times New Roman" w:hAnsi="Times New Roman" w:eastAsia="仿宋_GB2312" w:cs="Times New Roman"/>
          <w:sz w:val="32"/>
          <w:szCs w:val="32"/>
          <w:lang w:val="en-US" w:eastAsia="zh-CN"/>
        </w:rPr>
        <w:t>促进业财融合，相辅相成</w:t>
      </w:r>
      <w:r>
        <w:rPr>
          <w:rFonts w:hint="default" w:ascii="Times New Roman" w:hAnsi="Times New Roman" w:eastAsia="仿宋_GB2312" w:cs="Times New Roman"/>
          <w:sz w:val="32"/>
          <w:szCs w:val="32"/>
          <w:lang w:val="zh-CN"/>
        </w:rPr>
        <w:t>。具体项目自评情况附绩效自评表及自评报告</w:t>
      </w:r>
      <w:r>
        <w:rPr>
          <w:rFonts w:hint="default" w:ascii="Times New Roman" w:hAnsi="Times New Roman" w:eastAsia="仿宋_GB2312" w:cs="Times New Roman"/>
          <w:sz w:val="32"/>
          <w:szCs w:val="32"/>
        </w:rPr>
        <w:t>。</w:t>
      </w:r>
    </w:p>
    <w:p w14:paraId="06F3D86E">
      <w:pPr>
        <w:ind w:firstLine="640" w:firstLineChars="200"/>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十二、其他需说明的事项</w:t>
      </w:r>
    </w:p>
    <w:p w14:paraId="6487FA9C">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本单位无其他需说明事项</w:t>
      </w:r>
    </w:p>
    <w:p w14:paraId="619E8ABF">
      <w:pPr>
        <w:jc w:val="center"/>
        <w:outlineLvl w:val="0"/>
        <w:rPr>
          <w:rFonts w:hint="default" w:ascii="Times New Roman" w:hAnsi="Times New Roman" w:eastAsia="黑体" w:cs="Times New Roman"/>
          <w:sz w:val="32"/>
          <w:szCs w:val="32"/>
        </w:rPr>
      </w:pPr>
      <w:bookmarkStart w:id="30" w:name="_Toc3250"/>
      <w:bookmarkStart w:id="31" w:name="_Toc24143"/>
      <w:r>
        <w:rPr>
          <w:rFonts w:hint="default" w:ascii="Times New Roman" w:hAnsi="Times New Roman" w:eastAsia="黑体" w:cs="Times New Roman"/>
          <w:sz w:val="32"/>
          <w:szCs w:val="32"/>
        </w:rPr>
        <w:br w:type="page"/>
      </w:r>
      <w:r>
        <w:rPr>
          <w:rFonts w:hint="default" w:ascii="Times New Roman" w:hAnsi="Times New Roman" w:eastAsia="黑体" w:cs="Times New Roman"/>
          <w:sz w:val="32"/>
          <w:szCs w:val="32"/>
        </w:rPr>
        <w:t>第三部分 专业名词解释</w:t>
      </w:r>
      <w:bookmarkEnd w:id="30"/>
      <w:bookmarkEnd w:id="31"/>
    </w:p>
    <w:p w14:paraId="5829DEE0">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一、财政拨款收入：</w:t>
      </w:r>
      <w:r>
        <w:rPr>
          <w:rFonts w:hint="default" w:ascii="Times New Roman" w:hAnsi="Times New Roman" w:eastAsia="仿宋_GB2312" w:cs="Times New Roman"/>
          <w:sz w:val="32"/>
          <w:szCs w:val="32"/>
        </w:rPr>
        <w:t>指同级财政当年拨付的资金。</w:t>
      </w:r>
    </w:p>
    <w:p w14:paraId="1B2DFCF6">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二、上级补助收入：</w:t>
      </w:r>
      <w:r>
        <w:rPr>
          <w:rFonts w:hint="default" w:ascii="Times New Roman" w:hAnsi="Times New Roman" w:eastAsia="仿宋_GB2312" w:cs="Times New Roman"/>
          <w:sz w:val="32"/>
          <w:szCs w:val="32"/>
        </w:rPr>
        <w:t>指事业单位从主管部门和上级单位取得的非财政补助收入。</w:t>
      </w:r>
    </w:p>
    <w:p w14:paraId="77B679CD">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三、事业收入：</w:t>
      </w:r>
      <w:r>
        <w:rPr>
          <w:rFonts w:hint="default" w:ascii="Times New Roman" w:hAnsi="Times New Roman" w:eastAsia="仿宋_GB2312" w:cs="Times New Roman"/>
          <w:sz w:val="32"/>
          <w:szCs w:val="32"/>
        </w:rPr>
        <w:t>指事业单位开展专业业务活动及其辅助活动所取得的收入。</w:t>
      </w:r>
    </w:p>
    <w:p w14:paraId="344E5066">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四、经营收入：</w:t>
      </w:r>
      <w:r>
        <w:rPr>
          <w:rFonts w:hint="default" w:ascii="Times New Roman" w:hAnsi="Times New Roman" w:eastAsia="仿宋_GB2312" w:cs="Times New Roman"/>
          <w:sz w:val="32"/>
          <w:szCs w:val="32"/>
        </w:rPr>
        <w:t>指事业单位在专业业务活动及其辅助活动之外开展非独立核算经营活动取得的收入。</w:t>
      </w:r>
    </w:p>
    <w:p w14:paraId="6668131A">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五、附属单位上缴收入：</w:t>
      </w:r>
      <w:r>
        <w:rPr>
          <w:rFonts w:hint="default" w:ascii="Times New Roman" w:hAnsi="Times New Roman" w:eastAsia="仿宋_GB2312" w:cs="Times New Roman"/>
          <w:sz w:val="32"/>
          <w:szCs w:val="32"/>
        </w:rPr>
        <w:t>指事业单位附属的独立核算单位按有关规定上缴的收入。</w:t>
      </w:r>
    </w:p>
    <w:p w14:paraId="5D7682FE">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六、其他收入：</w:t>
      </w:r>
      <w:r>
        <w:rPr>
          <w:rFonts w:hint="default" w:ascii="Times New Roman" w:hAnsi="Times New Roman" w:eastAsia="仿宋_GB2312" w:cs="Times New Roman"/>
          <w:sz w:val="32"/>
          <w:szCs w:val="32"/>
        </w:rPr>
        <w:t>指除上述“财政拨款收入”、“事业收入”、“经营收入”、“附属单位上缴收入”等之外取得的收入。</w:t>
      </w:r>
    </w:p>
    <w:p w14:paraId="089A1B8E">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七、年初结转和结余：</w:t>
      </w:r>
      <w:r>
        <w:rPr>
          <w:rFonts w:hint="default" w:ascii="Times New Roman" w:hAnsi="Times New Roman" w:eastAsia="仿宋_GB2312" w:cs="Times New Roman"/>
          <w:sz w:val="32"/>
          <w:szCs w:val="32"/>
        </w:rPr>
        <w:t>指以前年度支出预算因客观条件变化未执行完毕、结转到本年度按有关规定继续使用的资金，既包括财政拨款结转和结余，也包括事业收入、经营收入、其他收入的结转和结余。</w:t>
      </w:r>
    </w:p>
    <w:p w14:paraId="659C5345">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八、年末结转和结余：</w:t>
      </w:r>
      <w:r>
        <w:rPr>
          <w:rFonts w:hint="default" w:ascii="Times New Roman" w:hAnsi="Times New Roman" w:eastAsia="仿宋_GB2312" w:cs="Times New Roman"/>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6BCC83">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九、基本支出：</w:t>
      </w:r>
      <w:r>
        <w:rPr>
          <w:rFonts w:hint="default" w:ascii="Times New Roman" w:hAnsi="Times New Roman" w:eastAsia="仿宋_GB2312" w:cs="Times New Roman"/>
          <w:sz w:val="32"/>
          <w:szCs w:val="32"/>
        </w:rPr>
        <w:t>指为保障机构正常运转、完成日常工作任务而发生的人员支出和公用支出。</w:t>
      </w:r>
    </w:p>
    <w:p w14:paraId="1695A8D8">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十、项目支出：</w:t>
      </w:r>
      <w:r>
        <w:rPr>
          <w:rFonts w:hint="default" w:ascii="Times New Roman" w:hAnsi="Times New Roman" w:eastAsia="仿宋_GB2312" w:cs="Times New Roman"/>
          <w:sz w:val="32"/>
          <w:szCs w:val="32"/>
        </w:rPr>
        <w:t>指在基本支出之外为完成特定行政任务和事业发展目标所发生的支出。</w:t>
      </w:r>
    </w:p>
    <w:p w14:paraId="0D5C7C76">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十一、经营支出：</w:t>
      </w:r>
      <w:r>
        <w:rPr>
          <w:rFonts w:hint="default" w:ascii="Times New Roman" w:hAnsi="Times New Roman" w:eastAsia="仿宋_GB2312" w:cs="Times New Roman"/>
          <w:sz w:val="32"/>
          <w:szCs w:val="32"/>
        </w:rPr>
        <w:t>指事业单位在专业业务活动及其辅助活动之外开展非独立核算经营活动发生的支出。</w:t>
      </w:r>
    </w:p>
    <w:p w14:paraId="0B348102">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十二、对附属单位补助支出：</w:t>
      </w:r>
      <w:r>
        <w:rPr>
          <w:rFonts w:hint="default" w:ascii="Times New Roman" w:hAnsi="Times New Roman" w:eastAsia="仿宋_GB2312" w:cs="Times New Roman"/>
          <w:sz w:val="32"/>
          <w:szCs w:val="32"/>
        </w:rPr>
        <w:t>指事业单位发生的用非财政预算资金对附属单位的补助支出。</w:t>
      </w:r>
    </w:p>
    <w:p w14:paraId="539ECC7B">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十三、“三公”经费：</w:t>
      </w:r>
      <w:r>
        <w:rPr>
          <w:rFonts w:hint="default" w:ascii="Times New Roman" w:hAnsi="Times New Roman" w:eastAsia="仿宋_GB2312" w:cs="Times New Roman"/>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6CB4B5">
      <w:pPr>
        <w:keepNext w:val="0"/>
        <w:keepLines w:val="0"/>
        <w:pageBreakBefore w:val="0"/>
        <w:widowControl w:val="0"/>
        <w:kinsoku/>
        <w:wordWrap/>
        <w:overflowPunct/>
        <w:topLinePunct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十四、机关运行经费：</w:t>
      </w:r>
      <w:r>
        <w:rPr>
          <w:rFonts w:hint="default" w:ascii="Times New Roman" w:hAnsi="Times New Roman" w:eastAsia="仿宋_GB2312" w:cs="Times New Roman"/>
          <w:sz w:val="32"/>
          <w:szCs w:val="32"/>
        </w:rPr>
        <w:t>行政单位和参照公务员法管理的事业单位财政拨款基本支出中的公用经费支出。</w:t>
      </w:r>
    </w:p>
    <w:p w14:paraId="698677F5">
      <w:pPr>
        <w:ind w:firstLine="640" w:firstLineChars="200"/>
        <w:jc w:val="center"/>
        <w:outlineLvl w:val="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32"/>
          <w:szCs w:val="32"/>
        </w:rPr>
        <w:t>第四部分 部门决算报表（见附表）</w:t>
      </w:r>
    </w:p>
    <w:p w14:paraId="451DAB64">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32" w:name="_Toc6062"/>
      <w:bookmarkStart w:id="33" w:name="_Toc2183"/>
      <w:r>
        <w:rPr>
          <w:rFonts w:hint="default" w:ascii="Times New Roman" w:hAnsi="Times New Roman" w:eastAsia="仿宋_GB2312" w:cs="Times New Roman"/>
          <w:bCs/>
          <w:kern w:val="0"/>
          <w:sz w:val="32"/>
          <w:szCs w:val="32"/>
        </w:rPr>
        <w:t>一、《收入支出决算总表》</w:t>
      </w:r>
      <w:bookmarkEnd w:id="32"/>
      <w:bookmarkEnd w:id="33"/>
    </w:p>
    <w:p w14:paraId="5746EDE1">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34" w:name="_Toc30364"/>
      <w:bookmarkStart w:id="35" w:name="_Toc24532"/>
      <w:r>
        <w:rPr>
          <w:rFonts w:hint="default" w:ascii="Times New Roman" w:hAnsi="Times New Roman" w:eastAsia="仿宋_GB2312" w:cs="Times New Roman"/>
          <w:bCs/>
          <w:kern w:val="0"/>
          <w:sz w:val="32"/>
          <w:szCs w:val="32"/>
        </w:rPr>
        <w:t>二、《收入决算表》</w:t>
      </w:r>
      <w:bookmarkEnd w:id="34"/>
      <w:bookmarkEnd w:id="35"/>
    </w:p>
    <w:p w14:paraId="27F8D544">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36" w:name="_Toc21304"/>
      <w:bookmarkStart w:id="37" w:name="_Toc32434"/>
      <w:r>
        <w:rPr>
          <w:rFonts w:hint="default" w:ascii="Times New Roman" w:hAnsi="Times New Roman" w:eastAsia="仿宋_GB2312" w:cs="Times New Roman"/>
          <w:bCs/>
          <w:kern w:val="0"/>
          <w:sz w:val="32"/>
          <w:szCs w:val="32"/>
        </w:rPr>
        <w:t>三、《支出决算表》</w:t>
      </w:r>
      <w:bookmarkEnd w:id="36"/>
      <w:bookmarkEnd w:id="37"/>
    </w:p>
    <w:p w14:paraId="0C6A592C">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38" w:name="_Toc14238"/>
      <w:bookmarkStart w:id="39" w:name="_Toc28786"/>
      <w:r>
        <w:rPr>
          <w:rFonts w:hint="default" w:ascii="Times New Roman" w:hAnsi="Times New Roman" w:eastAsia="仿宋_GB2312" w:cs="Times New Roman"/>
          <w:bCs/>
          <w:kern w:val="0"/>
          <w:sz w:val="32"/>
          <w:szCs w:val="32"/>
        </w:rPr>
        <w:t>四、《财政拨款收入支出决算总表》</w:t>
      </w:r>
      <w:bookmarkEnd w:id="38"/>
      <w:bookmarkEnd w:id="39"/>
    </w:p>
    <w:p w14:paraId="6AE11286">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40" w:name="_Toc14869"/>
      <w:bookmarkStart w:id="41" w:name="_Toc10347"/>
      <w:r>
        <w:rPr>
          <w:rFonts w:hint="default" w:ascii="Times New Roman" w:hAnsi="Times New Roman" w:eastAsia="仿宋_GB2312" w:cs="Times New Roman"/>
          <w:bCs/>
          <w:kern w:val="0"/>
          <w:sz w:val="32"/>
          <w:szCs w:val="32"/>
        </w:rPr>
        <w:t>五、《一般公共预算财政拨款支出决算表》</w:t>
      </w:r>
      <w:bookmarkEnd w:id="40"/>
      <w:bookmarkEnd w:id="41"/>
    </w:p>
    <w:p w14:paraId="2EC10A33">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42" w:name="_Toc5626"/>
      <w:bookmarkStart w:id="43" w:name="_Toc8884"/>
      <w:r>
        <w:rPr>
          <w:rFonts w:hint="default" w:ascii="Times New Roman" w:hAnsi="Times New Roman" w:eastAsia="仿宋_GB2312" w:cs="Times New Roman"/>
          <w:bCs/>
          <w:kern w:val="0"/>
          <w:sz w:val="32"/>
          <w:szCs w:val="32"/>
        </w:rPr>
        <w:t>六、《一般公共预算财政拨款基本支出决算表》</w:t>
      </w:r>
      <w:bookmarkEnd w:id="42"/>
      <w:bookmarkEnd w:id="43"/>
    </w:p>
    <w:p w14:paraId="3A8DA0A3">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七、</w:t>
      </w:r>
      <w:bookmarkStart w:id="44" w:name="_Toc29106"/>
      <w:bookmarkStart w:id="45" w:name="_Toc32663"/>
      <w:r>
        <w:rPr>
          <w:rFonts w:hint="default" w:ascii="Times New Roman" w:hAnsi="Times New Roman" w:eastAsia="仿宋_GB2312" w:cs="Times New Roman"/>
          <w:bCs/>
          <w:kern w:val="0"/>
          <w:sz w:val="32"/>
          <w:szCs w:val="32"/>
        </w:rPr>
        <w:t>《财政拨款“三公”经费支出决算表》</w:t>
      </w:r>
      <w:bookmarkEnd w:id="44"/>
      <w:bookmarkEnd w:id="45"/>
    </w:p>
    <w:p w14:paraId="4F80792E">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46" w:name="_Toc7643"/>
      <w:bookmarkStart w:id="47" w:name="_Toc5453"/>
      <w:r>
        <w:rPr>
          <w:rFonts w:hint="default" w:ascii="Times New Roman" w:hAnsi="Times New Roman" w:eastAsia="仿宋_GB2312" w:cs="Times New Roman"/>
          <w:bCs/>
          <w:kern w:val="0"/>
          <w:sz w:val="32"/>
          <w:szCs w:val="32"/>
        </w:rPr>
        <w:t>八、《政府性基金预算财政拨款收入支出决算表》</w:t>
      </w:r>
      <w:bookmarkEnd w:id="46"/>
      <w:bookmarkEnd w:id="47"/>
    </w:p>
    <w:p w14:paraId="6097F9CD">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九、《国有资本经营预算财政拨款收入支出决算表》</w:t>
      </w:r>
    </w:p>
    <w:p w14:paraId="6EBFEDFE">
      <w:pPr>
        <w:ind w:firstLine="640" w:firstLineChars="200"/>
        <w:rPr>
          <w:rFonts w:hint="default" w:ascii="Times New Roman" w:hAnsi="Times New Roman" w:eastAsia="仿宋_GB2312" w:cs="Times New Roman"/>
          <w:sz w:val="32"/>
          <w:szCs w:val="32"/>
        </w:rPr>
      </w:pPr>
    </w:p>
    <w:p w14:paraId="10CD902A">
      <w:pPr>
        <w:ind w:firstLine="640" w:firstLineChars="200"/>
        <w:outlineLvl w:val="1"/>
        <w:rPr>
          <w:rFonts w:hint="default" w:ascii="Times New Roman" w:hAnsi="Times New Roman" w:eastAsia="黑体" w:cs="Times New Roman"/>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DA4C1D-AA5C-48B7-A106-125D263256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2FC037F-0C68-4232-91C5-7B510CD52F62}"/>
  </w:font>
  <w:font w:name="方正小标宋_GBK">
    <w:panose1 w:val="02000000000000000000"/>
    <w:charset w:val="86"/>
    <w:family w:val="script"/>
    <w:pitch w:val="default"/>
    <w:sig w:usb0="A00002BF" w:usb1="38CF7CFA" w:usb2="00082016" w:usb3="00000000" w:csb0="00040001" w:csb1="00000000"/>
    <w:embedRegular r:id="rId3" w:fontKey="{E7079DC9-7BF8-4537-B484-446816D78F2C}"/>
  </w:font>
  <w:font w:name="仿宋_GB2312">
    <w:panose1 w:val="02010609030101010101"/>
    <w:charset w:val="86"/>
    <w:family w:val="modern"/>
    <w:pitch w:val="default"/>
    <w:sig w:usb0="00000001" w:usb1="080E0000" w:usb2="00000000" w:usb3="00000000" w:csb0="00040000" w:csb1="00000000"/>
    <w:embedRegular r:id="rId4" w:fontKey="{2AF17585-C07B-4F98-B27C-35A467325E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1C84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03208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903208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ZWU3YTE2MTg0MmFjZGY4ZGU3MzE1ZTAyMTExNjgifQ=="/>
    <w:docVar w:name="KSO_WPS_MARK_KEY" w:val="41ee2a61-2d54-4f93-83be-afdb9a40d732"/>
  </w:docVars>
  <w:rsids>
    <w:rsidRoot w:val="0062071B"/>
    <w:rsid w:val="000924B0"/>
    <w:rsid w:val="00213C59"/>
    <w:rsid w:val="003210CE"/>
    <w:rsid w:val="0062071B"/>
    <w:rsid w:val="00A40FE8"/>
    <w:rsid w:val="00A70103"/>
    <w:rsid w:val="00B70D59"/>
    <w:rsid w:val="00BB6D7F"/>
    <w:rsid w:val="00C957CC"/>
    <w:rsid w:val="00CA2300"/>
    <w:rsid w:val="00F52A8D"/>
    <w:rsid w:val="019404F8"/>
    <w:rsid w:val="01AD1DD8"/>
    <w:rsid w:val="02BD3108"/>
    <w:rsid w:val="02F73D26"/>
    <w:rsid w:val="03235B72"/>
    <w:rsid w:val="034D4FEF"/>
    <w:rsid w:val="035D1785"/>
    <w:rsid w:val="039F47CE"/>
    <w:rsid w:val="03E05CE8"/>
    <w:rsid w:val="03F973EE"/>
    <w:rsid w:val="043E5B56"/>
    <w:rsid w:val="04C04386"/>
    <w:rsid w:val="04FA68C4"/>
    <w:rsid w:val="053D78D5"/>
    <w:rsid w:val="053F5AE6"/>
    <w:rsid w:val="057C0B0F"/>
    <w:rsid w:val="05EF4B48"/>
    <w:rsid w:val="05F76ECA"/>
    <w:rsid w:val="06792773"/>
    <w:rsid w:val="07093795"/>
    <w:rsid w:val="07794894"/>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F61320"/>
    <w:rsid w:val="0B457810"/>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F07101"/>
    <w:rsid w:val="0E2F2783"/>
    <w:rsid w:val="0E5D39B9"/>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80099E"/>
    <w:rsid w:val="14B932DA"/>
    <w:rsid w:val="150A66AF"/>
    <w:rsid w:val="154C1139"/>
    <w:rsid w:val="15662B05"/>
    <w:rsid w:val="158C5B77"/>
    <w:rsid w:val="15B80E7A"/>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9F15745"/>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D449F2"/>
    <w:rsid w:val="23EF1892"/>
    <w:rsid w:val="2483647E"/>
    <w:rsid w:val="24A32D55"/>
    <w:rsid w:val="24FD7C62"/>
    <w:rsid w:val="24FF75B6"/>
    <w:rsid w:val="25292727"/>
    <w:rsid w:val="252E5CA9"/>
    <w:rsid w:val="256F7692"/>
    <w:rsid w:val="25BA2154"/>
    <w:rsid w:val="25C8773F"/>
    <w:rsid w:val="264A7253"/>
    <w:rsid w:val="267279E3"/>
    <w:rsid w:val="26F0170C"/>
    <w:rsid w:val="27201D62"/>
    <w:rsid w:val="27286E73"/>
    <w:rsid w:val="27CF2642"/>
    <w:rsid w:val="27E777F5"/>
    <w:rsid w:val="27EA1D4C"/>
    <w:rsid w:val="27EA2E41"/>
    <w:rsid w:val="282459E2"/>
    <w:rsid w:val="283A7FE5"/>
    <w:rsid w:val="285F51FF"/>
    <w:rsid w:val="28AB3420"/>
    <w:rsid w:val="28DF2665"/>
    <w:rsid w:val="29072599"/>
    <w:rsid w:val="291029F3"/>
    <w:rsid w:val="291E632C"/>
    <w:rsid w:val="29CB58F0"/>
    <w:rsid w:val="2A053397"/>
    <w:rsid w:val="2A145E96"/>
    <w:rsid w:val="2A2131BB"/>
    <w:rsid w:val="2A6D5ABE"/>
    <w:rsid w:val="2AF5378F"/>
    <w:rsid w:val="2BB94DBF"/>
    <w:rsid w:val="2BC54DFE"/>
    <w:rsid w:val="2C5B43E6"/>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0649F"/>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8F69F4"/>
    <w:rsid w:val="38B75FF0"/>
    <w:rsid w:val="38D45016"/>
    <w:rsid w:val="38D90432"/>
    <w:rsid w:val="3914510A"/>
    <w:rsid w:val="3926770B"/>
    <w:rsid w:val="398D3668"/>
    <w:rsid w:val="39C86D09"/>
    <w:rsid w:val="39DA0497"/>
    <w:rsid w:val="39EB35C4"/>
    <w:rsid w:val="3A893816"/>
    <w:rsid w:val="3A893B6D"/>
    <w:rsid w:val="3AD1763A"/>
    <w:rsid w:val="3B0E7A4D"/>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794DAB"/>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0769E"/>
    <w:rsid w:val="47445515"/>
    <w:rsid w:val="474B4782"/>
    <w:rsid w:val="47D90D14"/>
    <w:rsid w:val="48387FB0"/>
    <w:rsid w:val="483A6114"/>
    <w:rsid w:val="488727DB"/>
    <w:rsid w:val="48B82268"/>
    <w:rsid w:val="48C354B3"/>
    <w:rsid w:val="493D58B5"/>
    <w:rsid w:val="494A7A04"/>
    <w:rsid w:val="4A0A26D2"/>
    <w:rsid w:val="4A2019A5"/>
    <w:rsid w:val="4A241A0B"/>
    <w:rsid w:val="4A5337CB"/>
    <w:rsid w:val="4A5537AB"/>
    <w:rsid w:val="4A7B2875"/>
    <w:rsid w:val="4A934476"/>
    <w:rsid w:val="4AAA220A"/>
    <w:rsid w:val="4AE12E67"/>
    <w:rsid w:val="4B4C0111"/>
    <w:rsid w:val="4B8553A9"/>
    <w:rsid w:val="4BDB3730"/>
    <w:rsid w:val="4C200F7A"/>
    <w:rsid w:val="4CEE3180"/>
    <w:rsid w:val="4D0F4AF6"/>
    <w:rsid w:val="4D422037"/>
    <w:rsid w:val="4DF94F37"/>
    <w:rsid w:val="4E0A1DD5"/>
    <w:rsid w:val="4E3160E5"/>
    <w:rsid w:val="4E4D37AF"/>
    <w:rsid w:val="4E8C6496"/>
    <w:rsid w:val="4EFD18DE"/>
    <w:rsid w:val="4F144236"/>
    <w:rsid w:val="4F203451"/>
    <w:rsid w:val="4F663C87"/>
    <w:rsid w:val="4F7E29A8"/>
    <w:rsid w:val="4F9E1FFC"/>
    <w:rsid w:val="50447CC2"/>
    <w:rsid w:val="50874A7C"/>
    <w:rsid w:val="50895EE7"/>
    <w:rsid w:val="50921B9D"/>
    <w:rsid w:val="50D16158"/>
    <w:rsid w:val="50DB5F45"/>
    <w:rsid w:val="51025EB1"/>
    <w:rsid w:val="51141503"/>
    <w:rsid w:val="518D0ED5"/>
    <w:rsid w:val="51FD6CA9"/>
    <w:rsid w:val="525C687F"/>
    <w:rsid w:val="52F647F7"/>
    <w:rsid w:val="52F92565"/>
    <w:rsid w:val="537D0973"/>
    <w:rsid w:val="53D03877"/>
    <w:rsid w:val="542F73CA"/>
    <w:rsid w:val="5430786D"/>
    <w:rsid w:val="54570713"/>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880F7B"/>
    <w:rsid w:val="5DB11259"/>
    <w:rsid w:val="5DD92690"/>
    <w:rsid w:val="5DDB1CFD"/>
    <w:rsid w:val="5E7E6D93"/>
    <w:rsid w:val="5ED44800"/>
    <w:rsid w:val="5F350BDE"/>
    <w:rsid w:val="5F360B54"/>
    <w:rsid w:val="5F61632C"/>
    <w:rsid w:val="5FA17648"/>
    <w:rsid w:val="5FE705CB"/>
    <w:rsid w:val="603D5080"/>
    <w:rsid w:val="60D0261B"/>
    <w:rsid w:val="618E3791"/>
    <w:rsid w:val="61947DCA"/>
    <w:rsid w:val="61A46A97"/>
    <w:rsid w:val="61D1382F"/>
    <w:rsid w:val="61F114A2"/>
    <w:rsid w:val="62295EB7"/>
    <w:rsid w:val="62512BB4"/>
    <w:rsid w:val="625D7D1A"/>
    <w:rsid w:val="62DD7D21"/>
    <w:rsid w:val="637D586B"/>
    <w:rsid w:val="63A5560B"/>
    <w:rsid w:val="63E9091F"/>
    <w:rsid w:val="64322AF9"/>
    <w:rsid w:val="64D6010D"/>
    <w:rsid w:val="64D82665"/>
    <w:rsid w:val="64E47C96"/>
    <w:rsid w:val="651E5741"/>
    <w:rsid w:val="655E3106"/>
    <w:rsid w:val="658A4877"/>
    <w:rsid w:val="65A00902"/>
    <w:rsid w:val="65AC6EDD"/>
    <w:rsid w:val="65D97752"/>
    <w:rsid w:val="66085536"/>
    <w:rsid w:val="66105BF7"/>
    <w:rsid w:val="66150023"/>
    <w:rsid w:val="6628010D"/>
    <w:rsid w:val="669B4528"/>
    <w:rsid w:val="66B751A5"/>
    <w:rsid w:val="66CC12D7"/>
    <w:rsid w:val="67134CEF"/>
    <w:rsid w:val="671F1ABD"/>
    <w:rsid w:val="67521A59"/>
    <w:rsid w:val="67790369"/>
    <w:rsid w:val="67C304AB"/>
    <w:rsid w:val="683F0658"/>
    <w:rsid w:val="689C6793"/>
    <w:rsid w:val="68A05B20"/>
    <w:rsid w:val="68DB0208"/>
    <w:rsid w:val="68FB170C"/>
    <w:rsid w:val="691B3D98"/>
    <w:rsid w:val="693748F0"/>
    <w:rsid w:val="69846A0E"/>
    <w:rsid w:val="69AD798C"/>
    <w:rsid w:val="69D005C0"/>
    <w:rsid w:val="69D80B96"/>
    <w:rsid w:val="6A531C27"/>
    <w:rsid w:val="6AB92EBF"/>
    <w:rsid w:val="6B68175F"/>
    <w:rsid w:val="6BFD799F"/>
    <w:rsid w:val="6C4A2E5A"/>
    <w:rsid w:val="6C8138D0"/>
    <w:rsid w:val="6CEF0725"/>
    <w:rsid w:val="6D4B2604"/>
    <w:rsid w:val="6D8030E4"/>
    <w:rsid w:val="6E0E35C4"/>
    <w:rsid w:val="6E0F7A08"/>
    <w:rsid w:val="6E3947F5"/>
    <w:rsid w:val="6E9C74ED"/>
    <w:rsid w:val="6EF72976"/>
    <w:rsid w:val="6F5C1953"/>
    <w:rsid w:val="6F6828A7"/>
    <w:rsid w:val="6F795A80"/>
    <w:rsid w:val="6F7C1D2E"/>
    <w:rsid w:val="6F8E0407"/>
    <w:rsid w:val="6FC217E9"/>
    <w:rsid w:val="6FDD069F"/>
    <w:rsid w:val="702B4D16"/>
    <w:rsid w:val="7046092B"/>
    <w:rsid w:val="70740138"/>
    <w:rsid w:val="70AA6621"/>
    <w:rsid w:val="7111480F"/>
    <w:rsid w:val="71261F49"/>
    <w:rsid w:val="712E6956"/>
    <w:rsid w:val="71473612"/>
    <w:rsid w:val="71504F32"/>
    <w:rsid w:val="7152309F"/>
    <w:rsid w:val="718F7F65"/>
    <w:rsid w:val="727B234E"/>
    <w:rsid w:val="72C946E2"/>
    <w:rsid w:val="72D068C7"/>
    <w:rsid w:val="72E42ED8"/>
    <w:rsid w:val="735F4CB9"/>
    <w:rsid w:val="73674C62"/>
    <w:rsid w:val="73845865"/>
    <w:rsid w:val="739B6D9E"/>
    <w:rsid w:val="73BC1D76"/>
    <w:rsid w:val="73FB6630"/>
    <w:rsid w:val="748D790E"/>
    <w:rsid w:val="7491233A"/>
    <w:rsid w:val="749820CC"/>
    <w:rsid w:val="74BC6F78"/>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AE4018"/>
    <w:rsid w:val="79D57D57"/>
    <w:rsid w:val="79F00650"/>
    <w:rsid w:val="7A0714C5"/>
    <w:rsid w:val="7A5A74B8"/>
    <w:rsid w:val="7A6242BF"/>
    <w:rsid w:val="7A794513"/>
    <w:rsid w:val="7AA07FAA"/>
    <w:rsid w:val="7AAA73FF"/>
    <w:rsid w:val="7AE952D2"/>
    <w:rsid w:val="7BB808A3"/>
    <w:rsid w:val="7C2F1542"/>
    <w:rsid w:val="7C7248A0"/>
    <w:rsid w:val="7C976D69"/>
    <w:rsid w:val="7CB4535C"/>
    <w:rsid w:val="7CD752DA"/>
    <w:rsid w:val="7CDE40AB"/>
    <w:rsid w:val="7CF057E2"/>
    <w:rsid w:val="7D1548B5"/>
    <w:rsid w:val="7DF84014"/>
    <w:rsid w:val="7E207949"/>
    <w:rsid w:val="7E3C04C5"/>
    <w:rsid w:val="7E5C0A47"/>
    <w:rsid w:val="7E670C75"/>
    <w:rsid w:val="7EA43BD7"/>
    <w:rsid w:val="7EE24272"/>
    <w:rsid w:val="7EEA6053"/>
    <w:rsid w:val="7F487C04"/>
    <w:rsid w:val="7F9A52A6"/>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5589</Words>
  <Characters>6261</Characters>
  <Lines>48</Lines>
  <Paragraphs>13</Paragraphs>
  <TotalTime>7</TotalTime>
  <ScaleCrop>false</ScaleCrop>
  <LinksUpToDate>false</LinksUpToDate>
  <CharactersWithSpaces>6271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薛俊璇</cp:lastModifiedBy>
  <dcterms:modified xsi:type="dcterms:W3CDTF">2024-09-05T05:23:14Z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