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D5E443">
      <w:pPr>
        <w:spacing w:line="540" w:lineRule="exact"/>
        <w:jc w:val="center"/>
        <w:rPr>
          <w:rFonts w:ascii="Times New Roman" w:hAnsi="Times New Roman" w:eastAsia="华文中宋"/>
          <w:b/>
          <w:kern w:val="0"/>
          <w:sz w:val="52"/>
          <w:szCs w:val="52"/>
          <w:highlight w:val="none"/>
        </w:rPr>
      </w:pPr>
    </w:p>
    <w:p w14:paraId="3A3C3F99">
      <w:pPr>
        <w:spacing w:line="540" w:lineRule="exact"/>
        <w:rPr>
          <w:rFonts w:ascii="Times New Roman" w:hAnsi="Times New Roman" w:eastAsia="华文中宋"/>
          <w:b/>
          <w:kern w:val="0"/>
          <w:sz w:val="52"/>
          <w:szCs w:val="52"/>
          <w:highlight w:val="none"/>
        </w:rPr>
      </w:pPr>
    </w:p>
    <w:p w14:paraId="4F53E500">
      <w:pPr>
        <w:spacing w:line="540" w:lineRule="exact"/>
        <w:jc w:val="center"/>
        <w:rPr>
          <w:rFonts w:ascii="Times New Roman" w:hAnsi="Times New Roman" w:eastAsia="华文中宋"/>
          <w:b/>
          <w:kern w:val="0"/>
          <w:sz w:val="52"/>
          <w:szCs w:val="52"/>
          <w:highlight w:val="none"/>
        </w:rPr>
      </w:pPr>
    </w:p>
    <w:p w14:paraId="751667AF">
      <w:pPr>
        <w:spacing w:line="540" w:lineRule="exact"/>
        <w:jc w:val="center"/>
        <w:rPr>
          <w:rFonts w:ascii="Times New Roman" w:hAnsi="Times New Roman" w:eastAsia="华文中宋"/>
          <w:b/>
          <w:kern w:val="0"/>
          <w:sz w:val="52"/>
          <w:szCs w:val="52"/>
          <w:highlight w:val="none"/>
        </w:rPr>
      </w:pPr>
    </w:p>
    <w:p w14:paraId="36770CB6">
      <w:pPr>
        <w:spacing w:line="540" w:lineRule="exact"/>
        <w:jc w:val="center"/>
        <w:rPr>
          <w:rFonts w:ascii="Times New Roman" w:hAnsi="Times New Roman" w:eastAsia="方正小标宋_GBK"/>
          <w:kern w:val="0"/>
          <w:sz w:val="48"/>
          <w:szCs w:val="48"/>
          <w:highlight w:val="none"/>
        </w:rPr>
      </w:pPr>
      <w:r>
        <w:rPr>
          <w:rFonts w:hint="eastAsia" w:ascii="Times New Roman" w:hAnsi="Times New Roman" w:eastAsia="方正小标宋_GBK"/>
          <w:kern w:val="0"/>
          <w:sz w:val="48"/>
          <w:szCs w:val="48"/>
          <w:highlight w:val="none"/>
        </w:rPr>
        <w:t>自治区2023年第一批疫情防控补助资金（自治区本级医疗机构重症床位设备配置经费）项目</w:t>
      </w:r>
      <w:r>
        <w:rPr>
          <w:rFonts w:ascii="Times New Roman" w:hAnsi="Times New Roman" w:eastAsia="方正小标宋_GBK"/>
          <w:kern w:val="0"/>
          <w:sz w:val="48"/>
          <w:szCs w:val="48"/>
          <w:highlight w:val="none"/>
        </w:rPr>
        <w:t>支出绩效评价报告</w:t>
      </w:r>
    </w:p>
    <w:p w14:paraId="24517EA8">
      <w:pPr>
        <w:spacing w:line="540" w:lineRule="exact"/>
        <w:jc w:val="center"/>
        <w:rPr>
          <w:rFonts w:ascii="Times New Roman" w:hAnsi="Times New Roman" w:eastAsia="华文中宋"/>
          <w:b/>
          <w:kern w:val="0"/>
          <w:sz w:val="52"/>
          <w:szCs w:val="52"/>
          <w:highlight w:val="none"/>
        </w:rPr>
      </w:pPr>
    </w:p>
    <w:p w14:paraId="61AF0384">
      <w:pPr>
        <w:spacing w:line="540" w:lineRule="exact"/>
        <w:jc w:val="center"/>
        <w:rPr>
          <w:rFonts w:ascii="Times New Roman" w:hAnsi="Times New Roman" w:eastAsia="仿宋_GB2312"/>
          <w:kern w:val="0"/>
          <w:sz w:val="36"/>
          <w:szCs w:val="36"/>
          <w:highlight w:val="none"/>
        </w:rPr>
      </w:pPr>
      <w:r>
        <w:rPr>
          <w:rFonts w:ascii="Times New Roman" w:hAnsi="Times New Roman" w:eastAsia="仿宋_GB2312"/>
          <w:kern w:val="0"/>
          <w:sz w:val="36"/>
          <w:szCs w:val="36"/>
          <w:highlight w:val="none"/>
        </w:rPr>
        <w:t>（ 2023年度）</w:t>
      </w:r>
    </w:p>
    <w:p w14:paraId="17F258AE">
      <w:pPr>
        <w:spacing w:line="540" w:lineRule="exact"/>
        <w:jc w:val="center"/>
        <w:rPr>
          <w:rFonts w:ascii="Times New Roman" w:hAnsi="Times New Roman" w:eastAsia="仿宋_GB2312"/>
          <w:kern w:val="0"/>
          <w:sz w:val="30"/>
          <w:szCs w:val="30"/>
          <w:highlight w:val="none"/>
        </w:rPr>
      </w:pPr>
    </w:p>
    <w:p w14:paraId="6F92BBAB">
      <w:pPr>
        <w:spacing w:line="540" w:lineRule="exact"/>
        <w:jc w:val="center"/>
        <w:rPr>
          <w:rFonts w:ascii="Times New Roman" w:hAnsi="Times New Roman" w:eastAsia="仿宋_GB2312"/>
          <w:kern w:val="0"/>
          <w:sz w:val="30"/>
          <w:szCs w:val="30"/>
          <w:highlight w:val="none"/>
        </w:rPr>
      </w:pPr>
    </w:p>
    <w:p w14:paraId="4BEBDB02">
      <w:pPr>
        <w:spacing w:line="540" w:lineRule="exact"/>
        <w:jc w:val="center"/>
        <w:rPr>
          <w:rFonts w:ascii="Times New Roman" w:hAnsi="Times New Roman" w:eastAsia="仿宋_GB2312"/>
          <w:kern w:val="0"/>
          <w:sz w:val="30"/>
          <w:szCs w:val="30"/>
          <w:highlight w:val="none"/>
        </w:rPr>
      </w:pPr>
    </w:p>
    <w:p w14:paraId="62E391B0">
      <w:pPr>
        <w:spacing w:line="540" w:lineRule="exact"/>
        <w:jc w:val="center"/>
        <w:rPr>
          <w:rFonts w:ascii="Times New Roman" w:hAnsi="Times New Roman" w:eastAsia="仿宋_GB2312"/>
          <w:kern w:val="0"/>
          <w:sz w:val="30"/>
          <w:szCs w:val="30"/>
          <w:highlight w:val="none"/>
        </w:rPr>
      </w:pPr>
    </w:p>
    <w:p w14:paraId="7F524FCC">
      <w:pPr>
        <w:spacing w:line="540" w:lineRule="exact"/>
        <w:rPr>
          <w:rFonts w:ascii="Times New Roman" w:hAnsi="Times New Roman" w:eastAsia="仿宋_GB2312"/>
          <w:kern w:val="0"/>
          <w:sz w:val="30"/>
          <w:szCs w:val="30"/>
          <w:highlight w:val="none"/>
        </w:rPr>
      </w:pPr>
    </w:p>
    <w:p w14:paraId="7D89BB57">
      <w:pPr>
        <w:spacing w:line="700" w:lineRule="exact"/>
        <w:jc w:val="left"/>
        <w:rPr>
          <w:rFonts w:hint="eastAsia" w:ascii="Times New Roman" w:hAnsi="Times New Roman" w:eastAsia="仿宋_GB2312"/>
          <w:kern w:val="0"/>
          <w:sz w:val="36"/>
          <w:szCs w:val="36"/>
          <w:highlight w:val="none"/>
        </w:rPr>
      </w:pPr>
      <w:r>
        <w:rPr>
          <w:rFonts w:ascii="Times New Roman" w:hAnsi="Times New Roman" w:eastAsia="仿宋_GB2312"/>
          <w:kern w:val="0"/>
          <w:sz w:val="36"/>
          <w:szCs w:val="36"/>
          <w:highlight w:val="none"/>
        </w:rPr>
        <w:t>项目名称：</w:t>
      </w:r>
      <w:r>
        <w:rPr>
          <w:rFonts w:hint="eastAsia" w:ascii="Times New Roman" w:hAnsi="Times New Roman" w:eastAsia="仿宋_GB2312"/>
          <w:kern w:val="0"/>
          <w:sz w:val="36"/>
          <w:szCs w:val="36"/>
          <w:highlight w:val="none"/>
        </w:rPr>
        <w:t>自治区2023年第一批疫情防控补助资金（自</w:t>
      </w:r>
    </w:p>
    <w:p w14:paraId="0B00EC8E">
      <w:pPr>
        <w:spacing w:line="700" w:lineRule="exact"/>
        <w:ind w:firstLine="1800" w:firstLineChars="500"/>
        <w:jc w:val="left"/>
        <w:rPr>
          <w:rFonts w:ascii="Times New Roman" w:hAnsi="Times New Roman" w:eastAsia="仿宋_GB2312"/>
          <w:kern w:val="0"/>
          <w:sz w:val="36"/>
          <w:szCs w:val="36"/>
          <w:highlight w:val="none"/>
        </w:rPr>
      </w:pPr>
      <w:r>
        <w:rPr>
          <w:rFonts w:hint="eastAsia" w:ascii="Times New Roman" w:hAnsi="Times New Roman" w:eastAsia="仿宋_GB2312"/>
          <w:kern w:val="0"/>
          <w:sz w:val="36"/>
          <w:szCs w:val="36"/>
          <w:highlight w:val="none"/>
        </w:rPr>
        <w:t>治区本级医疗机构重症床位设备配置经费）</w:t>
      </w:r>
    </w:p>
    <w:p w14:paraId="48A7FBBF">
      <w:pPr>
        <w:spacing w:line="700" w:lineRule="exact"/>
        <w:jc w:val="left"/>
        <w:rPr>
          <w:rFonts w:ascii="Times New Roman" w:hAnsi="Times New Roman" w:eastAsia="仿宋_GB2312"/>
          <w:kern w:val="0"/>
          <w:sz w:val="36"/>
          <w:szCs w:val="36"/>
          <w:highlight w:val="none"/>
        </w:rPr>
      </w:pPr>
      <w:r>
        <w:rPr>
          <w:rFonts w:ascii="Times New Roman" w:hAnsi="Times New Roman" w:eastAsia="仿宋_GB2312"/>
          <w:kern w:val="0"/>
          <w:sz w:val="36"/>
          <w:szCs w:val="36"/>
          <w:highlight w:val="none"/>
        </w:rPr>
        <w:t>实施单位（公章）：</w:t>
      </w:r>
      <w:r>
        <w:rPr>
          <w:rFonts w:hint="eastAsia" w:ascii="Times New Roman" w:hAnsi="Times New Roman" w:eastAsia="仿宋_GB2312"/>
          <w:kern w:val="0"/>
          <w:sz w:val="36"/>
          <w:szCs w:val="36"/>
          <w:highlight w:val="none"/>
        </w:rPr>
        <w:t>新疆维吾尔自治区儿童医院</w:t>
      </w:r>
    </w:p>
    <w:p w14:paraId="4A17963C">
      <w:pPr>
        <w:spacing w:line="700" w:lineRule="exact"/>
        <w:jc w:val="left"/>
        <w:rPr>
          <w:rFonts w:hint="eastAsia" w:ascii="Times New Roman" w:hAnsi="Times New Roman" w:eastAsia="仿宋_GB2312"/>
          <w:kern w:val="0"/>
          <w:sz w:val="36"/>
          <w:szCs w:val="36"/>
          <w:highlight w:val="none"/>
          <w:lang w:val="en-US" w:eastAsia="zh-CN"/>
        </w:rPr>
      </w:pPr>
      <w:r>
        <w:rPr>
          <w:rFonts w:ascii="Times New Roman" w:hAnsi="Times New Roman" w:eastAsia="仿宋_GB2312"/>
          <w:kern w:val="0"/>
          <w:sz w:val="36"/>
          <w:szCs w:val="36"/>
          <w:highlight w:val="none"/>
        </w:rPr>
        <w:t>主管部门（公章）：</w:t>
      </w:r>
      <w:r>
        <w:rPr>
          <w:rFonts w:hint="eastAsia" w:ascii="Times New Roman" w:hAnsi="Times New Roman" w:eastAsia="仿宋_GB2312"/>
          <w:kern w:val="0"/>
          <w:sz w:val="36"/>
          <w:szCs w:val="36"/>
          <w:highlight w:val="none"/>
        </w:rPr>
        <w:t>新疆维吾尔自治区卫生健康</w:t>
      </w:r>
      <w:r>
        <w:rPr>
          <w:rFonts w:hint="eastAsia" w:ascii="Times New Roman" w:hAnsi="Times New Roman" w:eastAsia="仿宋_GB2312"/>
          <w:kern w:val="0"/>
          <w:sz w:val="36"/>
          <w:szCs w:val="36"/>
          <w:highlight w:val="none"/>
          <w:lang w:val="en-US" w:eastAsia="zh-CN"/>
        </w:rPr>
        <w:t>委员会</w:t>
      </w:r>
    </w:p>
    <w:p w14:paraId="5806249D">
      <w:pPr>
        <w:spacing w:line="700" w:lineRule="exact"/>
        <w:jc w:val="left"/>
        <w:rPr>
          <w:rFonts w:ascii="Times New Roman" w:hAnsi="Times New Roman" w:eastAsia="仿宋_GB2312"/>
          <w:kern w:val="0"/>
          <w:sz w:val="36"/>
          <w:szCs w:val="36"/>
          <w:highlight w:val="none"/>
        </w:rPr>
      </w:pPr>
      <w:r>
        <w:rPr>
          <w:rFonts w:ascii="Times New Roman" w:hAnsi="Times New Roman" w:eastAsia="仿宋_GB2312"/>
          <w:kern w:val="0"/>
          <w:sz w:val="36"/>
          <w:szCs w:val="36"/>
          <w:highlight w:val="none"/>
        </w:rPr>
        <w:t>项目负责人（签章）：</w:t>
      </w:r>
      <w:r>
        <w:rPr>
          <w:rFonts w:hint="eastAsia" w:ascii="Times New Roman" w:hAnsi="Times New Roman" w:eastAsia="仿宋_GB2312"/>
          <w:kern w:val="0"/>
          <w:sz w:val="36"/>
          <w:szCs w:val="36"/>
          <w:highlight w:val="none"/>
        </w:rPr>
        <w:t>吾斯曼·买买提</w:t>
      </w:r>
    </w:p>
    <w:p w14:paraId="5BFCF39A">
      <w:pPr>
        <w:spacing w:line="700" w:lineRule="exact"/>
        <w:jc w:val="left"/>
        <w:rPr>
          <w:rFonts w:ascii="Times New Roman" w:hAnsi="Times New Roman" w:eastAsia="仿宋_GB2312"/>
          <w:kern w:val="0"/>
          <w:sz w:val="36"/>
          <w:szCs w:val="36"/>
          <w:highlight w:val="none"/>
        </w:rPr>
      </w:pPr>
      <w:r>
        <w:rPr>
          <w:rFonts w:ascii="Times New Roman" w:hAnsi="Times New Roman" w:eastAsia="仿宋_GB2312"/>
          <w:kern w:val="0"/>
          <w:sz w:val="36"/>
          <w:szCs w:val="36"/>
          <w:highlight w:val="none"/>
        </w:rPr>
        <w:t>填报时间：</w:t>
      </w:r>
      <w:r>
        <w:rPr>
          <w:rFonts w:hint="eastAsia" w:ascii="Times New Roman" w:hAnsi="Times New Roman" w:eastAsia="仿宋_GB2312"/>
          <w:kern w:val="0"/>
          <w:sz w:val="36"/>
          <w:szCs w:val="36"/>
          <w:highlight w:val="none"/>
        </w:rPr>
        <w:t>2024</w:t>
      </w:r>
      <w:r>
        <w:rPr>
          <w:rFonts w:ascii="Times New Roman" w:hAnsi="Times New Roman" w:eastAsia="仿宋_GB2312"/>
          <w:kern w:val="0"/>
          <w:sz w:val="36"/>
          <w:szCs w:val="36"/>
          <w:highlight w:val="none"/>
        </w:rPr>
        <w:t>年</w:t>
      </w:r>
      <w:r>
        <w:rPr>
          <w:rFonts w:hint="eastAsia" w:ascii="Times New Roman" w:hAnsi="Times New Roman" w:eastAsia="仿宋_GB2312"/>
          <w:kern w:val="0"/>
          <w:sz w:val="36"/>
          <w:szCs w:val="36"/>
          <w:highlight w:val="none"/>
        </w:rPr>
        <w:t>3</w:t>
      </w:r>
      <w:r>
        <w:rPr>
          <w:rFonts w:ascii="Times New Roman" w:hAnsi="Times New Roman" w:eastAsia="仿宋_GB2312"/>
          <w:kern w:val="0"/>
          <w:sz w:val="36"/>
          <w:szCs w:val="36"/>
          <w:highlight w:val="none"/>
        </w:rPr>
        <w:t>月</w:t>
      </w:r>
      <w:r>
        <w:rPr>
          <w:rFonts w:hint="eastAsia" w:ascii="Times New Roman" w:hAnsi="Times New Roman" w:eastAsia="仿宋_GB2312"/>
          <w:kern w:val="0"/>
          <w:sz w:val="36"/>
          <w:szCs w:val="36"/>
          <w:highlight w:val="none"/>
        </w:rPr>
        <w:t>7</w:t>
      </w:r>
      <w:r>
        <w:rPr>
          <w:rFonts w:ascii="Times New Roman" w:hAnsi="Times New Roman" w:eastAsia="仿宋_GB2312"/>
          <w:kern w:val="0"/>
          <w:sz w:val="36"/>
          <w:szCs w:val="36"/>
          <w:highlight w:val="none"/>
        </w:rPr>
        <w:t>日</w:t>
      </w:r>
    </w:p>
    <w:p w14:paraId="708EAE70">
      <w:pPr>
        <w:spacing w:line="540" w:lineRule="exact"/>
        <w:jc w:val="center"/>
        <w:rPr>
          <w:rFonts w:ascii="Times New Roman" w:hAnsi="Times New Roman" w:eastAsia="仿宋_GB2312"/>
          <w:kern w:val="0"/>
          <w:sz w:val="30"/>
          <w:szCs w:val="30"/>
          <w:highlight w:val="none"/>
        </w:rPr>
      </w:pPr>
    </w:p>
    <w:p w14:paraId="1F4A426E">
      <w:pPr>
        <w:spacing w:line="540" w:lineRule="exact"/>
        <w:rPr>
          <w:rStyle w:val="14"/>
          <w:rFonts w:ascii="Times New Roman" w:hAnsi="Times New Roman" w:eastAsia="黑体"/>
          <w:b w:val="0"/>
          <w:spacing w:val="-4"/>
          <w:sz w:val="32"/>
          <w:szCs w:val="32"/>
          <w:highlight w:val="none"/>
        </w:rPr>
      </w:pPr>
    </w:p>
    <w:p w14:paraId="48190E9A">
      <w:pPr>
        <w:spacing w:line="560" w:lineRule="exact"/>
        <w:rPr>
          <w:rFonts w:ascii="Times New Roman" w:hAnsi="Times New Roman" w:eastAsia="黑体"/>
          <w:bCs/>
          <w:sz w:val="32"/>
          <w:szCs w:val="32"/>
          <w:highlight w:val="none"/>
        </w:rPr>
      </w:pPr>
    </w:p>
    <w:p w14:paraId="410DEFBC">
      <w:pPr>
        <w:spacing w:line="560" w:lineRule="exact"/>
        <w:ind w:firstLine="640" w:firstLineChars="200"/>
        <w:rPr>
          <w:rFonts w:ascii="Times New Roman" w:hAnsi="Times New Roman" w:eastAsia="黑体"/>
          <w:bCs/>
          <w:sz w:val="32"/>
          <w:szCs w:val="32"/>
          <w:highlight w:val="none"/>
        </w:rPr>
      </w:pPr>
      <w:r>
        <w:rPr>
          <w:rFonts w:ascii="Times New Roman" w:hAnsi="Times New Roman" w:eastAsia="黑体"/>
          <w:bCs/>
          <w:sz w:val="32"/>
          <w:szCs w:val="32"/>
          <w:highlight w:val="none"/>
        </w:rPr>
        <w:t>一、基本情况</w:t>
      </w:r>
    </w:p>
    <w:p w14:paraId="2BB3F5D6">
      <w:pPr>
        <w:spacing w:line="560" w:lineRule="exact"/>
        <w:ind w:firstLine="643" w:firstLineChars="200"/>
        <w:rPr>
          <w:rFonts w:ascii="Times New Roman" w:hAnsi="Times New Roman" w:eastAsia="楷体_GB2312"/>
          <w:b/>
          <w:bCs/>
          <w:sz w:val="32"/>
          <w:szCs w:val="32"/>
          <w:highlight w:val="none"/>
        </w:rPr>
      </w:pPr>
      <w:r>
        <w:rPr>
          <w:rFonts w:ascii="Times New Roman" w:hAnsi="Times New Roman" w:eastAsia="楷体_GB2312"/>
          <w:b/>
          <w:bCs/>
          <w:sz w:val="32"/>
          <w:szCs w:val="32"/>
          <w:highlight w:val="none"/>
        </w:rPr>
        <w:t>（一）项目概况</w:t>
      </w:r>
    </w:p>
    <w:p w14:paraId="33E3FE53">
      <w:pPr>
        <w:spacing w:line="560" w:lineRule="exact"/>
        <w:ind w:firstLine="643" w:firstLineChars="200"/>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1、项目背景</w:t>
      </w:r>
    </w:p>
    <w:p w14:paraId="6DF57A12">
      <w:pPr>
        <w:spacing w:line="56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按照国务院联防联控机制《关于印发做好医疗资源准备工作方案的通知》（联防联控机制综发〔2022〕112号）要求和新冠病毒感染疫情乙类乙管工作要求，有效提升医疗机构重症救治资源储备，扩充ICU和可转化ICU床位数，补齐设备缺口，有效开展疫情期间重症病例救治工作。</w:t>
      </w:r>
    </w:p>
    <w:p w14:paraId="613A5FD0">
      <w:pPr>
        <w:pStyle w:val="2"/>
        <w:numPr>
          <w:ilvl w:val="0"/>
          <w:numId w:val="1"/>
        </w:numPr>
        <w:spacing w:before="0" w:after="0" w:line="56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p>
    <w:p w14:paraId="0E40F382">
      <w:pPr>
        <w:spacing w:line="56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提高医院的重症救治水平，确保重症患者能够得到及时、有效</w:t>
      </w:r>
      <w:r>
        <w:rPr>
          <w:rFonts w:hint="eastAsia" w:eastAsia="仿宋_GB2312"/>
          <w:sz w:val="32"/>
          <w:szCs w:val="32"/>
          <w:highlight w:val="none"/>
          <w:lang w:eastAsia="zh-CN"/>
        </w:rPr>
        <w:t>地</w:t>
      </w:r>
      <w:r>
        <w:rPr>
          <w:rFonts w:hint="eastAsia" w:ascii="Times New Roman" w:hAnsi="Times New Roman" w:eastAsia="仿宋_GB2312"/>
          <w:sz w:val="32"/>
          <w:szCs w:val="32"/>
          <w:highlight w:val="none"/>
        </w:rPr>
        <w:t>救治，更好地保障人民群众的生命安全和身体健康。</w:t>
      </w:r>
    </w:p>
    <w:p w14:paraId="0DF0B6D5">
      <w:pPr>
        <w:spacing w:line="560" w:lineRule="exact"/>
        <w:ind w:firstLine="640" w:firstLineChars="200"/>
        <w:rPr>
          <w:rFonts w:ascii="Times New Roman" w:hAnsi="Times New Roman"/>
          <w:highlight w:val="none"/>
        </w:rPr>
      </w:pPr>
      <w:r>
        <w:rPr>
          <w:rFonts w:ascii="Times New Roman" w:hAnsi="Times New Roman" w:eastAsia="仿宋_GB2312"/>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0217DD54">
      <w:pPr>
        <w:spacing w:line="560" w:lineRule="exact"/>
        <w:ind w:firstLine="643" w:firstLineChars="200"/>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3、资金投入和使用情况</w:t>
      </w:r>
    </w:p>
    <w:p w14:paraId="270C6E6F">
      <w:pPr>
        <w:spacing w:line="560" w:lineRule="exact"/>
        <w:ind w:firstLine="640" w:firstLineChars="200"/>
        <w:rPr>
          <w:rFonts w:hint="eastAsia" w:ascii="Times New Roman" w:hAnsi="Times New Roman" w:eastAsia="仿宋_GB2312"/>
          <w:sz w:val="32"/>
          <w:szCs w:val="32"/>
          <w:highlight w:val="none"/>
          <w:lang w:val="en-US" w:eastAsia="zh-CN"/>
        </w:rPr>
      </w:pPr>
      <w:r>
        <w:rPr>
          <w:rFonts w:ascii="Times New Roman" w:hAnsi="Times New Roman" w:eastAsia="仿宋_GB2312"/>
          <w:sz w:val="32"/>
          <w:szCs w:val="32"/>
          <w:highlight w:val="none"/>
        </w:rPr>
        <w:t>（1）资金</w:t>
      </w:r>
      <w:r>
        <w:rPr>
          <w:rFonts w:hint="eastAsia" w:ascii="Times New Roman" w:hAnsi="Times New Roman" w:eastAsia="仿宋_GB2312"/>
          <w:sz w:val="32"/>
          <w:szCs w:val="32"/>
          <w:highlight w:val="none"/>
          <w:lang w:val="en-US" w:eastAsia="zh-CN"/>
        </w:rPr>
        <w:t>投入情况</w:t>
      </w:r>
    </w:p>
    <w:p w14:paraId="17BD82C4">
      <w:pPr>
        <w:spacing w:line="56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cs="仿宋_GB2312"/>
          <w:sz w:val="32"/>
          <w:szCs w:val="32"/>
          <w:highlight w:val="none"/>
          <w:lang w:val="en-US" w:eastAsia="zh-CN"/>
        </w:rPr>
        <w:t>该项目年初预算数</w:t>
      </w:r>
      <w:r>
        <w:rPr>
          <w:rFonts w:hint="eastAsia" w:ascii="Times New Roman" w:hAnsi="Times New Roman" w:eastAsia="仿宋_GB2312" w:cs="Times New Roman"/>
          <w:b w:val="0"/>
          <w:bCs w:val="0"/>
          <w:kern w:val="2"/>
          <w:sz w:val="32"/>
          <w:szCs w:val="32"/>
          <w:highlight w:val="none"/>
          <w:lang w:val="en-US" w:eastAsia="zh-CN" w:bidi="ar-SA"/>
        </w:rPr>
        <w:t>1200</w:t>
      </w:r>
      <w:r>
        <w:rPr>
          <w:rFonts w:hint="eastAsia" w:ascii="Times New Roman" w:hAnsi="Times New Roman" w:eastAsia="仿宋_GB2312" w:cs="仿宋_GB2312"/>
          <w:sz w:val="32"/>
          <w:szCs w:val="32"/>
          <w:highlight w:val="none"/>
          <w:lang w:val="en-US" w:eastAsia="zh-CN"/>
        </w:rPr>
        <w:t>万元，全年预算数</w:t>
      </w:r>
      <w:r>
        <w:rPr>
          <w:rFonts w:hint="eastAsia" w:ascii="Times New Roman" w:hAnsi="Times New Roman" w:eastAsia="仿宋_GB2312" w:cs="Times New Roman"/>
          <w:b w:val="0"/>
          <w:bCs w:val="0"/>
          <w:kern w:val="2"/>
          <w:sz w:val="32"/>
          <w:szCs w:val="32"/>
          <w:highlight w:val="none"/>
          <w:lang w:val="en-US" w:eastAsia="zh-CN" w:bidi="ar-SA"/>
        </w:rPr>
        <w:t>1200</w:t>
      </w:r>
      <w:r>
        <w:rPr>
          <w:rFonts w:hint="eastAsia" w:ascii="Times New Roman" w:hAnsi="Times New Roman" w:eastAsia="仿宋_GB2312" w:cs="仿宋_GB2312"/>
          <w:sz w:val="32"/>
          <w:szCs w:val="32"/>
          <w:highlight w:val="none"/>
          <w:lang w:val="en-US" w:eastAsia="zh-CN"/>
        </w:rPr>
        <w:t>万元，实际总投入</w:t>
      </w:r>
      <w:r>
        <w:rPr>
          <w:rFonts w:hint="eastAsia" w:ascii="Times New Roman" w:hAnsi="Times New Roman" w:eastAsia="仿宋_GB2312" w:cs="Times New Roman"/>
          <w:b w:val="0"/>
          <w:bCs w:val="0"/>
          <w:kern w:val="2"/>
          <w:sz w:val="32"/>
          <w:szCs w:val="32"/>
          <w:highlight w:val="none"/>
          <w:lang w:val="en-US" w:eastAsia="zh-CN" w:bidi="ar-SA"/>
        </w:rPr>
        <w:t>1200</w:t>
      </w:r>
      <w:r>
        <w:rPr>
          <w:rFonts w:hint="eastAsia" w:ascii="Times New Roman" w:hAnsi="Times New Roman" w:eastAsia="仿宋_GB2312" w:cs="仿宋_GB2312"/>
          <w:sz w:val="32"/>
          <w:szCs w:val="32"/>
          <w:highlight w:val="none"/>
          <w:lang w:val="en-US" w:eastAsia="zh-CN"/>
        </w:rPr>
        <w:t>万元，该项目资金已全部落实到位，资金来源为财政资金。</w:t>
      </w:r>
    </w:p>
    <w:p w14:paraId="6A2D6561">
      <w:pPr>
        <w:spacing w:line="560" w:lineRule="exact"/>
        <w:ind w:firstLine="640" w:firstLineChars="200"/>
        <w:rPr>
          <w:rFonts w:ascii="Times New Roman" w:hAnsi="Times New Roman" w:eastAsia="仿宋_GB2312"/>
          <w:sz w:val="32"/>
          <w:szCs w:val="32"/>
          <w:highlight w:val="none"/>
        </w:rPr>
      </w:pPr>
      <w:r>
        <w:rPr>
          <w:rFonts w:ascii="Times New Roman" w:hAnsi="Times New Roman" w:eastAsia="仿宋_GB2312"/>
          <w:sz w:val="32"/>
          <w:szCs w:val="32"/>
          <w:highlight w:val="none"/>
        </w:rPr>
        <w:t>（2）预算资金来源及使用情况</w:t>
      </w:r>
      <w:bookmarkStart w:id="0" w:name="page10"/>
      <w:bookmarkEnd w:id="0"/>
    </w:p>
    <w:p w14:paraId="234263F4">
      <w:pPr>
        <w:pStyle w:val="2"/>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rPr>
        <w:t>该项目年初预算数</w:t>
      </w:r>
      <w:r>
        <w:rPr>
          <w:rFonts w:hint="eastAsia" w:ascii="Times New Roman" w:hAnsi="Times New Roman" w:eastAsia="仿宋_GB2312"/>
          <w:b w:val="0"/>
          <w:bCs w:val="0"/>
          <w:kern w:val="2"/>
          <w:highlight w:val="none"/>
          <w:lang w:val="en-US" w:eastAsia="zh-CN"/>
        </w:rPr>
        <w:t>1200</w:t>
      </w:r>
      <w:r>
        <w:rPr>
          <w:rFonts w:hint="eastAsia" w:ascii="Times New Roman" w:hAnsi="Times New Roman" w:eastAsia="仿宋_GB2312"/>
          <w:b w:val="0"/>
          <w:bCs w:val="0"/>
          <w:kern w:val="2"/>
          <w:highlight w:val="none"/>
        </w:rPr>
        <w:t>万元，全年预算数</w:t>
      </w:r>
      <w:r>
        <w:rPr>
          <w:rFonts w:hint="eastAsia" w:ascii="Times New Roman" w:hAnsi="Times New Roman" w:eastAsia="仿宋_GB2312"/>
          <w:b w:val="0"/>
          <w:bCs w:val="0"/>
          <w:kern w:val="2"/>
          <w:highlight w:val="none"/>
          <w:lang w:val="en-US" w:eastAsia="zh-CN"/>
        </w:rPr>
        <w:t>1200</w:t>
      </w:r>
      <w:r>
        <w:rPr>
          <w:rFonts w:hint="eastAsia" w:ascii="Times New Roman" w:hAnsi="Times New Roman" w:eastAsia="仿宋_GB2312"/>
          <w:b w:val="0"/>
          <w:bCs w:val="0"/>
          <w:kern w:val="2"/>
          <w:highlight w:val="none"/>
        </w:rPr>
        <w:t>万元，全年执行数</w:t>
      </w:r>
      <w:r>
        <w:rPr>
          <w:rFonts w:hint="eastAsia" w:ascii="Times New Roman" w:hAnsi="Times New Roman" w:eastAsia="仿宋_GB2312"/>
          <w:b w:val="0"/>
          <w:bCs w:val="0"/>
          <w:kern w:val="2"/>
          <w:highlight w:val="none"/>
          <w:lang w:val="en-US" w:eastAsia="zh-CN"/>
        </w:rPr>
        <w:t>1200</w:t>
      </w:r>
      <w:r>
        <w:rPr>
          <w:rFonts w:hint="eastAsia" w:ascii="Times New Roman" w:hAnsi="Times New Roman" w:eastAsia="仿宋_GB2312"/>
          <w:b w:val="0"/>
          <w:bCs w:val="0"/>
          <w:kern w:val="2"/>
          <w:highlight w:val="none"/>
        </w:rPr>
        <w:t>万元，预算执行率为</w:t>
      </w:r>
      <w:r>
        <w:rPr>
          <w:rFonts w:hint="eastAsia" w:ascii="Times New Roman" w:hAnsi="Times New Roman" w:eastAsia="仿宋_GB2312"/>
          <w:b w:val="0"/>
          <w:bCs w:val="0"/>
          <w:kern w:val="2"/>
          <w:highlight w:val="none"/>
          <w:lang w:val="en-US" w:eastAsia="zh-CN"/>
        </w:rPr>
        <w:t>100</w:t>
      </w:r>
      <w:r>
        <w:rPr>
          <w:rFonts w:hint="eastAsia" w:ascii="Times New Roman" w:hAnsi="Times New Roman" w:eastAsia="仿宋_GB2312"/>
          <w:b w:val="0"/>
          <w:bCs w:val="0"/>
          <w:kern w:val="2"/>
          <w:highlight w:val="none"/>
        </w:rPr>
        <w:t>%，主要用于：</w:t>
      </w:r>
      <w:r>
        <w:rPr>
          <w:rFonts w:ascii="Times New Roman" w:hAnsi="Times New Roman" w:eastAsia="仿宋_GB2312"/>
          <w:b w:val="0"/>
          <w:bCs w:val="0"/>
          <w:kern w:val="2"/>
          <w:highlight w:val="none"/>
        </w:rPr>
        <w:t>用于支付项目实施进程中的各项费用。</w:t>
      </w:r>
    </w:p>
    <w:p w14:paraId="79F796F0">
      <w:pPr>
        <w:spacing w:line="560" w:lineRule="exact"/>
        <w:ind w:firstLine="643" w:firstLineChars="200"/>
        <w:rPr>
          <w:rFonts w:ascii="Times New Roman" w:hAnsi="Times New Roman" w:eastAsia="楷体_GB2312"/>
          <w:b/>
          <w:bCs/>
          <w:sz w:val="32"/>
          <w:szCs w:val="32"/>
          <w:highlight w:val="none"/>
        </w:rPr>
      </w:pPr>
      <w:r>
        <w:rPr>
          <w:rFonts w:ascii="Times New Roman" w:hAnsi="Times New Roman" w:eastAsia="楷体_GB2312"/>
          <w:b/>
          <w:bCs/>
          <w:sz w:val="32"/>
          <w:szCs w:val="32"/>
          <w:highlight w:val="none"/>
        </w:rPr>
        <w:t>（二）项目绩效目标</w:t>
      </w:r>
    </w:p>
    <w:p w14:paraId="0739DF0B">
      <w:pPr>
        <w:spacing w:line="560" w:lineRule="exact"/>
        <w:ind w:firstLine="640" w:firstLineChars="200"/>
        <w:rPr>
          <w:rFonts w:ascii="Times New Roman" w:hAnsi="Times New Roman" w:eastAsia="仿宋_GB2312"/>
          <w:sz w:val="32"/>
          <w:szCs w:val="32"/>
          <w:highlight w:val="none"/>
        </w:rPr>
      </w:pPr>
      <w:r>
        <w:rPr>
          <w:rFonts w:ascii="Times New Roman" w:hAnsi="Times New Roman" w:eastAsia="仿宋_GB2312"/>
          <w:sz w:val="32"/>
          <w:szCs w:val="32"/>
          <w:highlight w:val="none"/>
        </w:rPr>
        <w:t>1、总体目标</w:t>
      </w:r>
    </w:p>
    <w:p w14:paraId="73822E22">
      <w:pPr>
        <w:spacing w:line="56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按照国务院联防联控机制《关于印发做好医疗资源准备工作方案的通知》（联防联控机制综发〔2022〕112号）要求和新冠病毒感染疫情乙类乙管工作要求，有效提升医疗机构重症救治资源储备，扩充ICU和可转化ICU床位数，补齐设备缺口，有效开展疫情期间重症病例救治工作。</w:t>
      </w:r>
    </w:p>
    <w:p w14:paraId="076522D5">
      <w:pPr>
        <w:spacing w:line="560" w:lineRule="exact"/>
        <w:ind w:firstLine="640" w:firstLineChars="200"/>
        <w:rPr>
          <w:rFonts w:ascii="Times New Roman" w:hAnsi="Times New Roman"/>
          <w:highlight w:val="none"/>
        </w:rPr>
      </w:pPr>
      <w:r>
        <w:rPr>
          <w:rFonts w:ascii="Times New Roman" w:hAnsi="Times New Roman" w:eastAsia="仿宋_GB2312"/>
          <w:sz w:val="32"/>
          <w:szCs w:val="32"/>
          <w:highlight w:val="none"/>
        </w:rPr>
        <w:t>2、阶段性目标</w:t>
      </w:r>
    </w:p>
    <w:p w14:paraId="56B3A126">
      <w:pPr>
        <w:spacing w:line="560" w:lineRule="exact"/>
        <w:ind w:firstLine="640" w:firstLineChars="200"/>
        <w:rPr>
          <w:rFonts w:ascii="Times New Roman" w:hAnsi="Times New Roman" w:eastAsia="仿宋_GB2312"/>
          <w:sz w:val="32"/>
          <w:szCs w:val="32"/>
          <w:highlight w:val="none"/>
        </w:rPr>
      </w:pPr>
      <w:r>
        <w:rPr>
          <w:rFonts w:ascii="Times New Roman" w:hAnsi="Times New Roman" w:eastAsia="仿宋_GB2312"/>
          <w:sz w:val="32"/>
          <w:szCs w:val="32"/>
          <w:highlight w:val="none"/>
        </w:rPr>
        <w:t>（1）前期准备：通过制定项目实施方案，经项目负责人审核通过后，有序开展后续工作。</w:t>
      </w:r>
    </w:p>
    <w:p w14:paraId="7058724A">
      <w:pPr>
        <w:spacing w:line="560" w:lineRule="exact"/>
        <w:ind w:firstLine="640" w:firstLineChars="200"/>
        <w:rPr>
          <w:rFonts w:ascii="Times New Roman" w:hAnsi="Times New Roman" w:eastAsia="仿宋_GB2312"/>
          <w:sz w:val="32"/>
          <w:szCs w:val="32"/>
          <w:highlight w:val="none"/>
        </w:rPr>
      </w:pPr>
      <w:r>
        <w:rPr>
          <w:rFonts w:ascii="Times New Roman" w:hAnsi="Times New Roman" w:eastAsia="仿宋_GB2312"/>
          <w:sz w:val="32"/>
          <w:szCs w:val="32"/>
          <w:highlight w:val="none"/>
        </w:rPr>
        <w:t>（2）组织实施：资金一到位，立即根据项目要求实施项目。项目责任人按照项目实施方案要求逐一进行项目部署安排，提高项目质量及效率性。</w:t>
      </w:r>
    </w:p>
    <w:p w14:paraId="65DB1954">
      <w:pPr>
        <w:spacing w:line="560" w:lineRule="exact"/>
        <w:ind w:firstLine="640" w:firstLineChars="200"/>
        <w:rPr>
          <w:rFonts w:ascii="Times New Roman" w:hAnsi="Times New Roman" w:eastAsia="黑体"/>
          <w:sz w:val="32"/>
          <w:szCs w:val="32"/>
          <w:highlight w:val="none"/>
        </w:rPr>
      </w:pPr>
      <w:r>
        <w:rPr>
          <w:rFonts w:ascii="Times New Roman" w:hAnsi="Times New Roman" w:eastAsia="黑体"/>
          <w:sz w:val="32"/>
          <w:szCs w:val="32"/>
          <w:highlight w:val="none"/>
        </w:rPr>
        <w:t>二、绩效评价工作开展情况</w:t>
      </w:r>
    </w:p>
    <w:p w14:paraId="033FA373">
      <w:pPr>
        <w:spacing w:line="560" w:lineRule="exact"/>
        <w:ind w:firstLine="643" w:firstLineChars="200"/>
        <w:rPr>
          <w:rFonts w:ascii="Times New Roman" w:hAnsi="Times New Roman" w:eastAsia="楷体_GB2312"/>
          <w:b/>
          <w:bCs/>
          <w:sz w:val="32"/>
          <w:szCs w:val="32"/>
          <w:highlight w:val="none"/>
        </w:rPr>
      </w:pPr>
      <w:r>
        <w:rPr>
          <w:rFonts w:ascii="Times New Roman" w:hAnsi="Times New Roman" w:eastAsia="楷体_GB2312"/>
          <w:b/>
          <w:bCs/>
          <w:sz w:val="32"/>
          <w:szCs w:val="32"/>
          <w:highlight w:val="none"/>
        </w:rPr>
        <w:t>（一）绩效评价目的、对象和范围</w:t>
      </w:r>
    </w:p>
    <w:p w14:paraId="096FCC93">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14:paraId="74DA80E2">
      <w:pPr>
        <w:pStyle w:val="17"/>
        <w:spacing w:line="560" w:lineRule="exact"/>
        <w:ind w:firstLine="640" w:firstLineChars="200"/>
        <w:rPr>
          <w:rFonts w:ascii="Times New Roman" w:hAnsi="Times New Roman" w:eastAsia="仿宋_GB2312"/>
          <w:kern w:val="2"/>
          <w:sz w:val="32"/>
          <w:szCs w:val="32"/>
          <w:highlight w:val="none"/>
        </w:rPr>
      </w:pPr>
      <w:r>
        <w:rPr>
          <w:rFonts w:ascii="Times New Roman" w:hAnsi="Times New Roman" w:eastAsia="仿宋_GB2312"/>
          <w:sz w:val="32"/>
          <w:szCs w:val="32"/>
          <w:highlight w:val="none"/>
        </w:rPr>
        <w:t>通过开展有效的财政支出绩效评价管理，</w:t>
      </w:r>
      <w:r>
        <w:rPr>
          <w:rFonts w:hint="eastAsia" w:ascii="Times New Roman" w:hAnsi="Times New Roman" w:eastAsia="仿宋_GB2312"/>
          <w:kern w:val="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w:t>
      </w:r>
      <w:r>
        <w:rPr>
          <w:rFonts w:ascii="Times New Roman" w:hAnsi="Times New Roman" w:eastAsia="仿宋_GB2312"/>
          <w:kern w:val="2"/>
          <w:sz w:val="32"/>
          <w:szCs w:val="32"/>
          <w:highlight w:val="none"/>
        </w:rPr>
        <w:t>改进预算管理、控制节约成本，</w:t>
      </w:r>
      <w:r>
        <w:rPr>
          <w:rFonts w:hint="eastAsia" w:ascii="Times New Roman" w:hAnsi="Times New Roman" w:eastAsia="仿宋_GB2312"/>
          <w:kern w:val="2"/>
          <w:sz w:val="32"/>
          <w:szCs w:val="32"/>
          <w:highlight w:val="none"/>
        </w:rPr>
        <w:t>优化资源配置、</w:t>
      </w:r>
      <w:r>
        <w:rPr>
          <w:rFonts w:ascii="Times New Roman" w:hAnsi="Times New Roman" w:eastAsia="仿宋_GB2312"/>
          <w:kern w:val="2"/>
          <w:sz w:val="32"/>
          <w:szCs w:val="32"/>
          <w:highlight w:val="none"/>
        </w:rPr>
        <w:t>提高预算资金使用效益的目的。</w:t>
      </w:r>
    </w:p>
    <w:p w14:paraId="558B3943">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14:paraId="5C1346D6">
      <w:pPr>
        <w:spacing w:line="560" w:lineRule="exact"/>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自治区2023年第一批疫情防控补助资金（自治区本级医疗机构重症床位设备配置经费）项目所包含的全部项目内容。</w:t>
      </w:r>
    </w:p>
    <w:p w14:paraId="59B75F98">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39342E5B">
      <w:pPr>
        <w:spacing w:line="560" w:lineRule="exact"/>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kern w:val="0"/>
          <w:sz w:val="32"/>
          <w:szCs w:val="32"/>
          <w:highlight w:val="none"/>
        </w:rPr>
        <w:t>自治区2023年第一批疫情防控补助资金（自治区本级医疗机构重症床位设备配置经费）项目</w:t>
      </w:r>
      <w:r>
        <w:rPr>
          <w:rFonts w:hint="eastAsia" w:ascii="Times New Roman" w:hAnsi="Times New Roman" w:eastAsia="仿宋_GB2312" w:cs="仿宋_GB2312"/>
          <w:sz w:val="32"/>
          <w:szCs w:val="32"/>
          <w:highlight w:val="none"/>
        </w:rPr>
        <w:t>的决策、过程、产出、效益等。</w:t>
      </w:r>
    </w:p>
    <w:p w14:paraId="5426EA33">
      <w:pPr>
        <w:spacing w:line="560" w:lineRule="exact"/>
        <w:ind w:firstLine="643" w:firstLineChars="200"/>
        <w:rPr>
          <w:rFonts w:ascii="Times New Roman" w:hAnsi="Times New Roman"/>
          <w:highlight w:val="none"/>
        </w:rPr>
      </w:pPr>
      <w:r>
        <w:rPr>
          <w:rFonts w:ascii="Times New Roman" w:hAnsi="Times New Roman" w:eastAsia="楷体_GB2312"/>
          <w:b/>
          <w:bCs/>
          <w:sz w:val="32"/>
          <w:szCs w:val="32"/>
          <w:highlight w:val="none"/>
        </w:rPr>
        <w:t>（二）绩效评价原则、评价指标体系（详情见表1）、评价方法、评价标准。</w:t>
      </w:r>
    </w:p>
    <w:p w14:paraId="7677DF8B">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14:paraId="39492211">
      <w:pPr>
        <w:spacing w:line="560" w:lineRule="exact"/>
        <w:ind w:firstLine="640" w:firstLineChars="200"/>
        <w:rPr>
          <w:rFonts w:ascii="Times New Roman" w:hAnsi="Times New Roman" w:eastAsia="仿宋_GB2312"/>
          <w:color w:val="000000"/>
          <w:sz w:val="32"/>
          <w:szCs w:val="32"/>
          <w:highlight w:val="none"/>
        </w:rPr>
      </w:pPr>
      <w:r>
        <w:rPr>
          <w:rFonts w:ascii="Times New Roman" w:hAnsi="Times New Roman" w:eastAsia="仿宋_GB2312"/>
          <w:color w:val="000000"/>
          <w:sz w:val="32"/>
          <w:szCs w:val="32"/>
          <w:highlight w:val="none"/>
        </w:rPr>
        <w:t>本次项目绩效评价遵循以下基本原则：</w:t>
      </w:r>
    </w:p>
    <w:p w14:paraId="2281BCFE">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w:t>
      </w:r>
      <w:r>
        <w:rPr>
          <w:rFonts w:hint="eastAsia" w:ascii="Times New Roman" w:hAnsi="Times New Roman" w:eastAsia="仿宋_GB2312"/>
          <w:b w:val="0"/>
          <w:bCs w:val="0"/>
          <w:highlight w:val="none"/>
          <w:lang w:eastAsia="zh-CN"/>
        </w:rPr>
        <w:t>的</w:t>
      </w:r>
      <w:r>
        <w:rPr>
          <w:rFonts w:ascii="Times New Roman" w:hAnsi="Times New Roman" w:eastAsia="仿宋_GB2312"/>
          <w:b w:val="0"/>
          <w:bCs w:val="0"/>
          <w:highlight w:val="none"/>
        </w:rPr>
        <w:t>反映。</w:t>
      </w:r>
    </w:p>
    <w:p w14:paraId="57D29661">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0F0B9159">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4C8C0FDD">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6F7D634F">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14:paraId="69FBDC8C">
      <w:pPr>
        <w:spacing w:line="560" w:lineRule="exact"/>
        <w:ind w:firstLine="708" w:firstLineChars="200"/>
        <w:rPr>
          <w:rFonts w:ascii="Times New Roman" w:hAnsi="Times New Roman"/>
          <w:color w:val="000000"/>
          <w:spacing w:val="17"/>
          <w:sz w:val="32"/>
          <w:szCs w:val="32"/>
          <w:highlight w:val="none"/>
        </w:rPr>
      </w:pPr>
      <w:r>
        <w:rPr>
          <w:rFonts w:ascii="Times New Roman" w:hAnsi="Times New Roman"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72E2A3B8">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（1）确定评价指标</w:t>
      </w:r>
    </w:p>
    <w:p w14:paraId="46E99D0A">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3D4CB74F">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（2）确定权重</w:t>
      </w:r>
    </w:p>
    <w:p w14:paraId="70CDF3FD">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4868D3B8">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（3）确定指标标准值</w:t>
      </w:r>
    </w:p>
    <w:p w14:paraId="34AC14F8">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72F8A0F6">
      <w:pPr>
        <w:pStyle w:val="2"/>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100分（含90分）对应的评分结果级别为优，80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90分（含80分）对应的评分结果级别为良，60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80分（含60分）对应的评分结果级别为中，60分以下对应的评分结果级别为差。</w:t>
      </w:r>
    </w:p>
    <w:p w14:paraId="673CA8A3">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14:paraId="616410E4">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56FBAE3A">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29123862">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7C759CBC">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（1）比较法</w:t>
      </w:r>
    </w:p>
    <w:p w14:paraId="169AFAE9">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通过对绩效目标与实施效果、历史与当期情况，综合分析绩效目标实现程度。对</w:t>
      </w:r>
      <w:r>
        <w:rPr>
          <w:rFonts w:ascii="Times New Roman" w:hAnsi="Times New Roman" w:eastAsia="仿宋_GB2312"/>
          <w:sz w:val="32"/>
          <w:szCs w:val="32"/>
          <w:highlight w:val="none"/>
        </w:rPr>
        <w:t>项目</w:t>
      </w:r>
      <w:r>
        <w:rPr>
          <w:rFonts w:ascii="Times New Roman" w:hAnsi="Times New Roman" w:eastAsia="仿宋_GB2312"/>
          <w:color w:val="000000"/>
          <w:spacing w:val="17"/>
          <w:sz w:val="32"/>
          <w:szCs w:val="32"/>
          <w:highlight w:val="none"/>
        </w:rPr>
        <w:t>最终验收情况与年度绩效目标对比、预算资金执行情况等相关因素进行比较。</w:t>
      </w:r>
    </w:p>
    <w:p w14:paraId="308D3A2F">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（2）因素分析法</w:t>
      </w:r>
    </w:p>
    <w:p w14:paraId="6FEC4F45">
      <w:pPr>
        <w:spacing w:line="560" w:lineRule="exact"/>
        <w:ind w:firstLine="708" w:firstLineChars="200"/>
        <w:rPr>
          <w:rFonts w:ascii="Times New Roman" w:hAnsi="Times New Roman" w:eastAsia="仿宋_GB2312"/>
          <w:color w:val="000000"/>
          <w:spacing w:val="17"/>
          <w:sz w:val="32"/>
          <w:szCs w:val="32"/>
          <w:highlight w:val="none"/>
        </w:rPr>
      </w:pPr>
      <w:r>
        <w:rPr>
          <w:rFonts w:ascii="Times New Roman" w:hAnsi="Times New Roman" w:eastAsia="仿宋_GB2312"/>
          <w:color w:val="000000"/>
          <w:spacing w:val="17"/>
          <w:sz w:val="32"/>
          <w:szCs w:val="32"/>
          <w:highlight w:val="none"/>
        </w:rPr>
        <w:t>通过综合分析影响绩效目标实现、实施效果的内外因素，评价绩效目标实现程度。通过对</w:t>
      </w:r>
      <w:r>
        <w:rPr>
          <w:rFonts w:ascii="Times New Roman" w:hAnsi="Times New Roman" w:eastAsia="仿宋_GB2312"/>
          <w:sz w:val="32"/>
          <w:szCs w:val="32"/>
          <w:highlight w:val="none"/>
        </w:rPr>
        <w:t>项目</w:t>
      </w:r>
      <w:r>
        <w:rPr>
          <w:rFonts w:ascii="Times New Roman" w:hAnsi="Times New Roman"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663F30F9">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14:paraId="5AF67331">
      <w:pPr>
        <w:spacing w:line="560" w:lineRule="exact"/>
        <w:ind w:firstLine="64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绩效评价标准通常包括计划标准、行业标准、历史标准等，用于对绩效指标完成情况进行比较、分析、评价。本次评价主要采用了计划标准。</w:t>
      </w:r>
    </w:p>
    <w:p w14:paraId="083C7E08">
      <w:pPr>
        <w:spacing w:line="560" w:lineRule="exact"/>
        <w:ind w:firstLine="640"/>
        <w:rPr>
          <w:rFonts w:ascii="Times New Roman" w:hAnsi="Times New Roman" w:eastAsia="仿宋_GB2312"/>
          <w:sz w:val="32"/>
          <w:szCs w:val="32"/>
          <w:highlight w:val="none"/>
        </w:rPr>
      </w:pPr>
      <w:bookmarkStart w:id="1" w:name="_Toc17882"/>
      <w:bookmarkStart w:id="2" w:name="_Toc31464"/>
      <w:r>
        <w:rPr>
          <w:rFonts w:hint="eastAsia" w:ascii="Times New Roman" w:hAnsi="Times New Roman" w:eastAsia="仿宋_GB2312"/>
          <w:b/>
          <w:sz w:val="32"/>
          <w:szCs w:val="32"/>
          <w:highlight w:val="none"/>
        </w:rPr>
        <w:t>计划标准：</w:t>
      </w:r>
      <w:r>
        <w:rPr>
          <w:rFonts w:hint="eastAsia" w:ascii="Times New Roman" w:hAnsi="Times New Roman" w:eastAsia="仿宋_GB2312"/>
          <w:sz w:val="32"/>
          <w:szCs w:val="32"/>
          <w:highlight w:val="none"/>
        </w:rPr>
        <w:t>指以预先制定的目标、计划、预算、定额等作为评价标准。</w:t>
      </w:r>
      <w:bookmarkEnd w:id="1"/>
      <w:bookmarkEnd w:id="2"/>
    </w:p>
    <w:p w14:paraId="590C9306">
      <w:pPr>
        <w:pStyle w:val="2"/>
        <w:numPr>
          <w:ilvl w:val="0"/>
          <w:numId w:val="2"/>
        </w:numPr>
        <w:spacing w:before="0" w:after="0" w:line="560" w:lineRule="exact"/>
        <w:ind w:firstLine="711" w:firstLineChars="200"/>
        <w:jc w:val="both"/>
        <w:rPr>
          <w:rFonts w:ascii="Times New Roman" w:hAnsi="Times New Roman" w:eastAsia="楷体" w:cs="楷体"/>
          <w:color w:val="000000"/>
          <w:spacing w:val="17"/>
          <w:highlight w:val="none"/>
        </w:rPr>
      </w:pPr>
      <w:r>
        <w:rPr>
          <w:rFonts w:hint="eastAsia" w:ascii="Times New Roman" w:hAnsi="Times New Roman" w:eastAsia="楷体" w:cs="楷体"/>
          <w:color w:val="000000"/>
          <w:spacing w:val="17"/>
          <w:highlight w:val="none"/>
        </w:rPr>
        <w:t>绩效评价工作过程</w:t>
      </w:r>
    </w:p>
    <w:p w14:paraId="5DD2FF3A">
      <w:pPr>
        <w:numPr>
          <w:ilvl w:val="0"/>
          <w:numId w:val="3"/>
        </w:numPr>
        <w:spacing w:line="560" w:lineRule="exact"/>
        <w:ind w:firstLine="640" w:firstLineChars="200"/>
        <w:rPr>
          <w:rFonts w:ascii="Times New Roman" w:hAnsi="Times New Roman" w:eastAsia="仿宋_GB2312"/>
          <w:bCs/>
          <w:sz w:val="32"/>
          <w:szCs w:val="32"/>
          <w:highlight w:val="none"/>
        </w:rPr>
      </w:pPr>
      <w:r>
        <w:rPr>
          <w:rFonts w:hint="eastAsia" w:ascii="Times New Roman" w:hAnsi="Times New Roman"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689F6C5F">
      <w:pPr>
        <w:numPr>
          <w:ilvl w:val="0"/>
          <w:numId w:val="3"/>
        </w:numPr>
        <w:spacing w:line="560" w:lineRule="exact"/>
        <w:ind w:firstLine="640" w:firstLineChars="200"/>
        <w:rPr>
          <w:rFonts w:ascii="Times New Roman" w:hAnsi="Times New Roman" w:eastAsia="仿宋_GB2312"/>
          <w:bCs/>
          <w:sz w:val="32"/>
          <w:szCs w:val="32"/>
          <w:highlight w:val="none"/>
        </w:rPr>
      </w:pPr>
      <w:r>
        <w:rPr>
          <w:rFonts w:hint="eastAsia" w:ascii="Times New Roman" w:hAnsi="Times New Roman"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425B559E">
      <w:pPr>
        <w:numPr>
          <w:ilvl w:val="0"/>
          <w:numId w:val="3"/>
        </w:numPr>
        <w:spacing w:line="560" w:lineRule="exact"/>
        <w:ind w:firstLine="640" w:firstLineChars="200"/>
        <w:rPr>
          <w:rFonts w:ascii="Times New Roman" w:hAnsi="Times New Roman"/>
          <w:sz w:val="32"/>
          <w:szCs w:val="32"/>
          <w:highlight w:val="none"/>
        </w:rPr>
      </w:pPr>
      <w:r>
        <w:rPr>
          <w:rFonts w:hint="eastAsia" w:ascii="Times New Roman" w:hAnsi="Times New Roman"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650583BC">
      <w:pPr>
        <w:numPr>
          <w:ilvl w:val="0"/>
          <w:numId w:val="4"/>
        </w:numPr>
        <w:spacing w:line="560" w:lineRule="exact"/>
        <w:ind w:firstLine="640" w:firstLineChars="200"/>
        <w:rPr>
          <w:rFonts w:ascii="Times New Roman" w:hAnsi="Times New Roman" w:eastAsia="黑体"/>
          <w:sz w:val="32"/>
          <w:szCs w:val="32"/>
          <w:highlight w:val="none"/>
        </w:rPr>
      </w:pPr>
      <w:r>
        <w:rPr>
          <w:rFonts w:ascii="Times New Roman" w:hAnsi="Times New Roman" w:eastAsia="黑体"/>
          <w:sz w:val="32"/>
          <w:szCs w:val="32"/>
          <w:highlight w:val="none"/>
        </w:rPr>
        <w:t>综合评价情况及评价结论（附相关评分表）</w:t>
      </w:r>
    </w:p>
    <w:p w14:paraId="40D0F471">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highlight w:val="none"/>
          <w:lang w:val="en-US" w:eastAsia="zh-CN"/>
        </w:rPr>
      </w:pPr>
      <w:r>
        <w:rPr>
          <w:rFonts w:hint="eastAsia" w:ascii="Times New Roman" w:hAnsi="Times New Roman" w:eastAsia="楷体_GB2312"/>
          <w:highlight w:val="none"/>
          <w:lang w:eastAsia="zh-CN"/>
        </w:rPr>
        <w:t>（</w:t>
      </w:r>
      <w:r>
        <w:rPr>
          <w:rFonts w:hint="eastAsia" w:ascii="Times New Roman" w:hAnsi="Times New Roman" w:eastAsia="楷体_GB2312"/>
          <w:highlight w:val="none"/>
          <w:lang w:val="en-US" w:eastAsia="zh-CN"/>
        </w:rPr>
        <w:t>一</w:t>
      </w:r>
      <w:r>
        <w:rPr>
          <w:rFonts w:hint="eastAsia" w:ascii="Times New Roman" w:hAnsi="Times New Roman" w:eastAsia="楷体_GB2312"/>
          <w:highlight w:val="none"/>
          <w:lang w:eastAsia="zh-CN"/>
        </w:rPr>
        <w:t>）</w:t>
      </w:r>
      <w:r>
        <w:rPr>
          <w:rFonts w:hint="eastAsia" w:ascii="Times New Roman" w:hAnsi="Times New Roman" w:eastAsia="楷体_GB2312"/>
          <w:highlight w:val="none"/>
          <w:lang w:val="en-US" w:eastAsia="zh-CN"/>
        </w:rPr>
        <w:t>评价情况</w:t>
      </w:r>
    </w:p>
    <w:p w14:paraId="0F2D8991">
      <w:pPr>
        <w:pStyle w:val="2"/>
        <w:widowControl w:val="0"/>
        <w:spacing w:before="0" w:after="0" w:line="560" w:lineRule="exact"/>
        <w:ind w:firstLine="640" w:firstLineChars="200"/>
        <w:jc w:val="both"/>
        <w:outlineLvl w:val="9"/>
        <w:rPr>
          <w:rFonts w:hint="eastAsia" w:ascii="Times New Roman" w:hAnsi="Times New Roman" w:eastAsia="仿宋_GB2312" w:cs="Times New Roman"/>
          <w:b w:val="0"/>
          <w:bCs w:val="0"/>
          <w:kern w:val="28"/>
          <w:sz w:val="32"/>
          <w:szCs w:val="32"/>
          <w:highlight w:val="none"/>
          <w:lang w:val="en-US" w:eastAsia="zh-CN" w:bidi="ar-SA"/>
        </w:rPr>
      </w:pPr>
      <w:r>
        <w:rPr>
          <w:rFonts w:hint="eastAsia" w:ascii="Times New Roman" w:hAnsi="Times New Roman" w:eastAsia="仿宋_GB2312" w:cs="Times New Roman"/>
          <w:b w:val="0"/>
          <w:bCs w:val="0"/>
          <w:kern w:val="28"/>
          <w:sz w:val="32"/>
          <w:szCs w:val="32"/>
          <w:highlight w:val="none"/>
          <w:lang w:val="en-US" w:eastAsia="zh-CN" w:bidi="ar-SA"/>
        </w:rPr>
        <w:t>项目总体组织规范，在项目实施过程中做到认真履职，监督到位。按照相关制度的要求，项目负责人对项目绩效监控执行情况进行跟踪监督，有效完成了本项目的工作目标，确保资金使用安全和最大效益地发挥，保障项目如期按要求完成。规范了项目档案资料的整理。项目的实施达到项目预期效果。</w:t>
      </w:r>
    </w:p>
    <w:p w14:paraId="2A082BC8">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highlight w:val="none"/>
          <w:lang w:val="en-US" w:eastAsia="zh-CN"/>
        </w:rPr>
      </w:pPr>
      <w:r>
        <w:rPr>
          <w:rFonts w:hint="eastAsia" w:ascii="Times New Roman" w:hAnsi="Times New Roman" w:eastAsia="楷体_GB2312" w:cs="Times New Roman"/>
          <w:highlight w:val="none"/>
          <w:lang w:eastAsia="zh-CN"/>
        </w:rPr>
        <w:t>（</w:t>
      </w:r>
      <w:r>
        <w:rPr>
          <w:rFonts w:hint="eastAsia" w:ascii="Times New Roman" w:hAnsi="Times New Roman" w:eastAsia="楷体_GB2312" w:cs="Times New Roman"/>
          <w:highlight w:val="none"/>
          <w:lang w:val="en-US" w:eastAsia="zh-CN"/>
        </w:rPr>
        <w:t>二</w:t>
      </w:r>
      <w:r>
        <w:rPr>
          <w:rFonts w:hint="eastAsia" w:ascii="Times New Roman" w:hAnsi="Times New Roman" w:eastAsia="楷体_GB2312" w:cs="Times New Roman"/>
          <w:highlight w:val="none"/>
          <w:lang w:eastAsia="zh-CN"/>
        </w:rPr>
        <w:t>）</w:t>
      </w:r>
      <w:r>
        <w:rPr>
          <w:rFonts w:hint="eastAsia" w:ascii="Times New Roman" w:hAnsi="Times New Roman" w:eastAsia="楷体_GB2312" w:cs="Times New Roman"/>
          <w:highlight w:val="none"/>
          <w:lang w:val="en-US" w:eastAsia="zh-CN"/>
        </w:rPr>
        <w:t>评价结论</w:t>
      </w:r>
    </w:p>
    <w:p w14:paraId="4EDB6FEE">
      <w:pPr>
        <w:pStyle w:val="2"/>
        <w:widowControl w:val="0"/>
        <w:spacing w:before="0" w:after="0" w:line="560" w:lineRule="exact"/>
        <w:ind w:firstLine="640" w:firstLineChars="200"/>
        <w:jc w:val="both"/>
        <w:outlineLvl w:val="9"/>
        <w:rPr>
          <w:rFonts w:ascii="Times New Roman" w:hAnsi="Times New Roman" w:eastAsia="仿宋_GB2312"/>
          <w:sz w:val="30"/>
          <w:szCs w:val="30"/>
          <w:highlight w:val="none"/>
        </w:rPr>
      </w:pPr>
      <w:r>
        <w:rPr>
          <w:rFonts w:hint="eastAsia" w:ascii="Times New Roman" w:hAnsi="Times New Roman" w:eastAsia="仿宋_GB2312"/>
          <w:b w:val="0"/>
          <w:bCs w:val="0"/>
          <w:highlight w:val="none"/>
        </w:rPr>
        <w:t>运用绩效评价组制定的评价指标体系以及财政部《项目支出绩效评价管理办法》（财预〔2020〕10号）文件的评分标准，通过数据采集、问卷调查谈等方式，对自治区2023年第一批疫情防控补助资金（自治区本级医疗机构重症床位设备配置经费）项目进行客观评价，最终评分结果：</w:t>
      </w:r>
      <w:r>
        <w:rPr>
          <w:rFonts w:ascii="Times New Roman" w:hAnsi="Times New Roman" w:eastAsia="仿宋_GB2312"/>
          <w:b w:val="0"/>
          <w:bCs w:val="0"/>
          <w:highlight w:val="none"/>
        </w:rPr>
        <w:t xml:space="preserve">总得分为 </w:t>
      </w:r>
      <w:r>
        <w:rPr>
          <w:rFonts w:hint="eastAsia" w:ascii="Times New Roman" w:hAnsi="Times New Roman" w:eastAsia="仿宋_GB2312"/>
          <w:b w:val="0"/>
          <w:bCs w:val="0"/>
          <w:highlight w:val="none"/>
        </w:rPr>
        <w:t>97.4</w:t>
      </w:r>
      <w:r>
        <w:rPr>
          <w:rFonts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rPr>
        <w:t>19.4</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rPr>
        <w:t>97</w:t>
      </w:r>
      <w:r>
        <w:rPr>
          <w:rFonts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rPr>
        <w:t>100</w:t>
      </w:r>
      <w:r>
        <w:rPr>
          <w:rFonts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39</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97.5</w:t>
      </w:r>
      <w:r>
        <w:rPr>
          <w:rFonts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rPr>
        <w:t>19</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rPr>
        <w:t>95</w:t>
      </w:r>
      <w:r>
        <w:rPr>
          <w:rFonts w:ascii="Times New Roman" w:hAnsi="Times New Roman" w:eastAsia="仿宋_GB2312"/>
          <w:b w:val="0"/>
          <w:bCs w:val="0"/>
          <w:highlight w:val="none"/>
        </w:rPr>
        <w:t>%。</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14:paraId="47258AA0">
      <w:pPr>
        <w:pStyle w:val="2"/>
        <w:widowControl w:val="0"/>
        <w:spacing w:before="0" w:after="0" w:line="560" w:lineRule="exact"/>
        <w:jc w:val="center"/>
        <w:outlineLvl w:val="9"/>
        <w:rPr>
          <w:rFonts w:ascii="Times New Roman" w:hAnsi="Times New Roman" w:eastAsia="仿宋_GB2312"/>
          <w:b w:val="0"/>
          <w:bCs w:val="0"/>
          <w:highlight w:val="none"/>
        </w:rPr>
      </w:pPr>
      <w:r>
        <w:rPr>
          <w:rFonts w:hint="eastAsia" w:ascii="Times New Roman" w:hAnsi="Times New Roman" w:eastAsia="仿宋_GB2312"/>
          <w:highlight w:val="none"/>
        </w:rPr>
        <w:t>表1综合评分表</w:t>
      </w:r>
    </w:p>
    <w:tbl>
      <w:tblPr>
        <w:tblStyle w:val="12"/>
        <w:tblpPr w:leftFromText="180" w:rightFromText="180" w:vertAnchor="text" w:horzAnchor="page" w:tblpX="1917" w:tblpY="197"/>
        <w:tblOverlap w:val="never"/>
        <w:tblW w:w="4997"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71"/>
        <w:gridCol w:w="871"/>
        <w:gridCol w:w="1129"/>
        <w:gridCol w:w="1504"/>
        <w:gridCol w:w="638"/>
        <w:gridCol w:w="920"/>
        <w:gridCol w:w="813"/>
        <w:gridCol w:w="1069"/>
        <w:gridCol w:w="844"/>
      </w:tblGrid>
      <w:tr w14:paraId="14E21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0" w:hRule="atLeast"/>
          <w:tblHeader/>
          <w:jc w:val="center"/>
        </w:trPr>
        <w:tc>
          <w:tcPr>
            <w:tcW w:w="554" w:type="pct"/>
            <w:shd w:val="clear" w:color="auto" w:fill="BFBFBF"/>
            <w:vAlign w:val="center"/>
          </w:tcPr>
          <w:p w14:paraId="06703C09">
            <w:pPr>
              <w:widowControl/>
              <w:spacing w:line="0" w:lineRule="atLeast"/>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一级指标</w:t>
            </w:r>
          </w:p>
        </w:tc>
        <w:tc>
          <w:tcPr>
            <w:tcW w:w="497" w:type="pct"/>
            <w:shd w:val="clear" w:color="auto" w:fill="BFBFBF"/>
            <w:vAlign w:val="center"/>
          </w:tcPr>
          <w:p w14:paraId="7E896D88">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分值</w:t>
            </w:r>
          </w:p>
        </w:tc>
        <w:tc>
          <w:tcPr>
            <w:tcW w:w="644" w:type="pct"/>
            <w:shd w:val="clear" w:color="auto" w:fill="BFBFBF"/>
            <w:vAlign w:val="center"/>
          </w:tcPr>
          <w:p w14:paraId="27AA3599">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二级指标</w:t>
            </w:r>
          </w:p>
        </w:tc>
        <w:tc>
          <w:tcPr>
            <w:tcW w:w="858" w:type="pct"/>
            <w:shd w:val="clear" w:color="auto" w:fill="BFBFBF"/>
            <w:vAlign w:val="center"/>
          </w:tcPr>
          <w:p w14:paraId="718F303F">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三级指标</w:t>
            </w:r>
          </w:p>
        </w:tc>
        <w:tc>
          <w:tcPr>
            <w:tcW w:w="364" w:type="pct"/>
            <w:shd w:val="clear" w:color="auto" w:fill="BFBFBF"/>
            <w:vAlign w:val="center"/>
          </w:tcPr>
          <w:p w14:paraId="5DE7961C">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权重</w:t>
            </w:r>
          </w:p>
        </w:tc>
        <w:tc>
          <w:tcPr>
            <w:tcW w:w="525" w:type="pct"/>
            <w:shd w:val="clear" w:color="auto" w:fill="BFBFBF"/>
            <w:vAlign w:val="center"/>
          </w:tcPr>
          <w:p w14:paraId="5A5547FD">
            <w:pPr>
              <w:widowControl/>
              <w:tabs>
                <w:tab w:val="left" w:pos="1333"/>
                <w:tab w:val="center" w:pos="3623"/>
              </w:tabs>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目标值</w:t>
            </w:r>
          </w:p>
        </w:tc>
        <w:tc>
          <w:tcPr>
            <w:tcW w:w="464" w:type="pct"/>
            <w:shd w:val="clear" w:color="auto" w:fill="BFBFBF"/>
            <w:vAlign w:val="center"/>
          </w:tcPr>
          <w:p w14:paraId="21307786">
            <w:pPr>
              <w:widowControl/>
              <w:tabs>
                <w:tab w:val="left" w:pos="1333"/>
                <w:tab w:val="center" w:pos="3623"/>
              </w:tabs>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业绩值</w:t>
            </w:r>
          </w:p>
        </w:tc>
        <w:tc>
          <w:tcPr>
            <w:tcW w:w="610" w:type="pct"/>
            <w:shd w:val="clear" w:color="auto" w:fill="BFBFBF"/>
            <w:vAlign w:val="center"/>
          </w:tcPr>
          <w:p w14:paraId="5F688944">
            <w:pPr>
              <w:widowControl/>
              <w:tabs>
                <w:tab w:val="left" w:pos="1333"/>
                <w:tab w:val="center" w:pos="3623"/>
              </w:tabs>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得分率</w:t>
            </w:r>
          </w:p>
        </w:tc>
        <w:tc>
          <w:tcPr>
            <w:tcW w:w="481" w:type="pct"/>
            <w:shd w:val="clear" w:color="auto" w:fill="BFBFBF"/>
            <w:vAlign w:val="center"/>
          </w:tcPr>
          <w:p w14:paraId="48D0A01F">
            <w:pPr>
              <w:widowControl/>
              <w:tabs>
                <w:tab w:val="left" w:pos="1333"/>
                <w:tab w:val="center" w:pos="3623"/>
              </w:tabs>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得分</w:t>
            </w:r>
          </w:p>
        </w:tc>
      </w:tr>
      <w:tr w14:paraId="04C05B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5" w:hRule="atLeast"/>
          <w:jc w:val="center"/>
        </w:trPr>
        <w:tc>
          <w:tcPr>
            <w:tcW w:w="554" w:type="pct"/>
            <w:vMerge w:val="restart"/>
            <w:shd w:val="clear" w:color="auto" w:fill="FFFFFF"/>
            <w:vAlign w:val="center"/>
          </w:tcPr>
          <w:p w14:paraId="0F3F6A8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决策　</w:t>
            </w:r>
          </w:p>
          <w:p w14:paraId="19EBD107">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p w14:paraId="53E86769">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p w14:paraId="606199F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tc>
        <w:tc>
          <w:tcPr>
            <w:tcW w:w="497" w:type="pct"/>
            <w:vMerge w:val="restart"/>
            <w:shd w:val="clear" w:color="auto" w:fill="FFFFFF"/>
            <w:vAlign w:val="center"/>
          </w:tcPr>
          <w:p w14:paraId="57863CA2">
            <w:pPr>
              <w:widowControl/>
              <w:spacing w:line="0" w:lineRule="atLeast"/>
              <w:jc w:val="center"/>
              <w:rPr>
                <w:rFonts w:ascii="Times New Roman" w:hAnsi="Times New Roman"/>
                <w:color w:val="000000"/>
                <w:kern w:val="0"/>
                <w:sz w:val="22"/>
                <w:szCs w:val="22"/>
                <w:highlight w:val="none"/>
              </w:rPr>
            </w:pPr>
            <w:r>
              <w:rPr>
                <w:rFonts w:ascii="Times New Roman" w:hAnsi="Times New Roman"/>
                <w:kern w:val="0"/>
                <w:sz w:val="22"/>
                <w:szCs w:val="22"/>
                <w:highlight w:val="none"/>
              </w:rPr>
              <w:t>20分</w:t>
            </w:r>
          </w:p>
        </w:tc>
        <w:tc>
          <w:tcPr>
            <w:tcW w:w="644" w:type="pct"/>
            <w:vMerge w:val="restart"/>
            <w:shd w:val="clear" w:color="auto" w:fill="FFFFFF"/>
            <w:vAlign w:val="center"/>
          </w:tcPr>
          <w:p w14:paraId="156FEA93">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项目立项　</w:t>
            </w:r>
          </w:p>
        </w:tc>
        <w:tc>
          <w:tcPr>
            <w:tcW w:w="858" w:type="pct"/>
            <w:shd w:val="clear" w:color="auto" w:fill="FFFFFF"/>
            <w:vAlign w:val="center"/>
          </w:tcPr>
          <w:p w14:paraId="5F55711D">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立项依据</w:t>
            </w:r>
          </w:p>
          <w:p w14:paraId="0148FAC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充分性</w:t>
            </w:r>
          </w:p>
        </w:tc>
        <w:tc>
          <w:tcPr>
            <w:tcW w:w="364" w:type="pct"/>
            <w:shd w:val="clear" w:color="auto" w:fill="FFFFFF"/>
            <w:vAlign w:val="center"/>
          </w:tcPr>
          <w:p w14:paraId="18AD10F3">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3</w:t>
            </w:r>
          </w:p>
        </w:tc>
        <w:tc>
          <w:tcPr>
            <w:tcW w:w="525" w:type="pct"/>
            <w:shd w:val="clear" w:color="auto" w:fill="FFFFFF"/>
            <w:vAlign w:val="center"/>
          </w:tcPr>
          <w:p w14:paraId="43EC3F8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充分</w:t>
            </w:r>
          </w:p>
        </w:tc>
        <w:tc>
          <w:tcPr>
            <w:tcW w:w="464" w:type="pct"/>
            <w:shd w:val="clear" w:color="auto" w:fill="FFFFFF"/>
            <w:vAlign w:val="center"/>
          </w:tcPr>
          <w:p w14:paraId="16573D4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充分</w:t>
            </w:r>
          </w:p>
        </w:tc>
        <w:tc>
          <w:tcPr>
            <w:tcW w:w="610" w:type="pct"/>
            <w:shd w:val="clear" w:color="auto" w:fill="FFFFFF"/>
            <w:vAlign w:val="center"/>
          </w:tcPr>
          <w:p w14:paraId="513227DC">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100%</w:t>
            </w:r>
          </w:p>
        </w:tc>
        <w:tc>
          <w:tcPr>
            <w:tcW w:w="481" w:type="pct"/>
            <w:shd w:val="clear" w:color="auto" w:fill="FFFFFF"/>
            <w:vAlign w:val="center"/>
          </w:tcPr>
          <w:p w14:paraId="44C233C7">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3</w:t>
            </w:r>
          </w:p>
        </w:tc>
      </w:tr>
      <w:tr w14:paraId="44854A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5" w:hRule="atLeast"/>
          <w:jc w:val="center"/>
        </w:trPr>
        <w:tc>
          <w:tcPr>
            <w:tcW w:w="554" w:type="pct"/>
            <w:vMerge w:val="continue"/>
            <w:shd w:val="clear" w:color="auto" w:fill="FFFFFF"/>
            <w:vAlign w:val="center"/>
          </w:tcPr>
          <w:p w14:paraId="3ADF55B6">
            <w:pPr>
              <w:spacing w:line="0" w:lineRule="atLeast"/>
              <w:jc w:val="center"/>
              <w:rPr>
                <w:rFonts w:ascii="Times New Roman" w:hAnsi="Times New Roman"/>
                <w:color w:val="000000"/>
                <w:kern w:val="0"/>
                <w:sz w:val="22"/>
                <w:szCs w:val="22"/>
                <w:highlight w:val="none"/>
              </w:rPr>
            </w:pPr>
          </w:p>
        </w:tc>
        <w:tc>
          <w:tcPr>
            <w:tcW w:w="497" w:type="pct"/>
            <w:vMerge w:val="continue"/>
            <w:shd w:val="clear" w:color="auto" w:fill="FFFFFF"/>
            <w:vAlign w:val="center"/>
          </w:tcPr>
          <w:p w14:paraId="519DBA17">
            <w:pPr>
              <w:widowControl/>
              <w:spacing w:line="0" w:lineRule="atLeast"/>
              <w:jc w:val="center"/>
              <w:rPr>
                <w:rFonts w:ascii="Times New Roman" w:hAnsi="Times New Roman"/>
                <w:color w:val="000000"/>
                <w:kern w:val="0"/>
                <w:sz w:val="22"/>
                <w:szCs w:val="22"/>
                <w:highlight w:val="none"/>
              </w:rPr>
            </w:pPr>
          </w:p>
        </w:tc>
        <w:tc>
          <w:tcPr>
            <w:tcW w:w="644" w:type="pct"/>
            <w:vMerge w:val="continue"/>
            <w:shd w:val="clear" w:color="auto" w:fill="FFFFFF"/>
            <w:vAlign w:val="center"/>
          </w:tcPr>
          <w:p w14:paraId="2534FDC4">
            <w:pPr>
              <w:widowControl/>
              <w:spacing w:line="0" w:lineRule="atLeast"/>
              <w:jc w:val="center"/>
              <w:rPr>
                <w:rFonts w:ascii="Times New Roman" w:hAnsi="Times New Roman"/>
                <w:color w:val="000000"/>
                <w:kern w:val="0"/>
                <w:sz w:val="22"/>
                <w:szCs w:val="22"/>
                <w:highlight w:val="none"/>
              </w:rPr>
            </w:pPr>
          </w:p>
        </w:tc>
        <w:tc>
          <w:tcPr>
            <w:tcW w:w="858" w:type="pct"/>
            <w:shd w:val="clear" w:color="auto" w:fill="FFFFFF"/>
            <w:vAlign w:val="center"/>
          </w:tcPr>
          <w:p w14:paraId="712A9198">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立项程序</w:t>
            </w:r>
          </w:p>
          <w:p w14:paraId="00978E1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规范性</w:t>
            </w:r>
          </w:p>
        </w:tc>
        <w:tc>
          <w:tcPr>
            <w:tcW w:w="364" w:type="pct"/>
            <w:shd w:val="clear" w:color="auto" w:fill="FFFFFF"/>
            <w:vAlign w:val="center"/>
          </w:tcPr>
          <w:p w14:paraId="0044B061">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3</w:t>
            </w:r>
          </w:p>
        </w:tc>
        <w:tc>
          <w:tcPr>
            <w:tcW w:w="525" w:type="pct"/>
            <w:shd w:val="clear" w:color="auto" w:fill="FFFFFF"/>
            <w:vAlign w:val="center"/>
          </w:tcPr>
          <w:p w14:paraId="31A9874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规范</w:t>
            </w:r>
          </w:p>
        </w:tc>
        <w:tc>
          <w:tcPr>
            <w:tcW w:w="464" w:type="pct"/>
            <w:shd w:val="clear" w:color="auto" w:fill="FFFFFF"/>
            <w:vAlign w:val="center"/>
          </w:tcPr>
          <w:p w14:paraId="5EB723C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规范</w:t>
            </w:r>
          </w:p>
        </w:tc>
        <w:tc>
          <w:tcPr>
            <w:tcW w:w="610" w:type="pct"/>
            <w:shd w:val="clear" w:color="auto" w:fill="FFFFFF"/>
            <w:vAlign w:val="center"/>
          </w:tcPr>
          <w:p w14:paraId="1D1DB745">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100%</w:t>
            </w:r>
          </w:p>
        </w:tc>
        <w:tc>
          <w:tcPr>
            <w:tcW w:w="481" w:type="pct"/>
            <w:shd w:val="clear" w:color="auto" w:fill="FFFFFF"/>
            <w:vAlign w:val="center"/>
          </w:tcPr>
          <w:p w14:paraId="38DD6B76">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3</w:t>
            </w:r>
          </w:p>
        </w:tc>
      </w:tr>
      <w:tr w14:paraId="640D55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5" w:hRule="atLeast"/>
          <w:jc w:val="center"/>
        </w:trPr>
        <w:tc>
          <w:tcPr>
            <w:tcW w:w="554" w:type="pct"/>
            <w:vMerge w:val="continue"/>
            <w:shd w:val="clear" w:color="auto" w:fill="FFFFFF"/>
            <w:vAlign w:val="center"/>
          </w:tcPr>
          <w:p w14:paraId="7D5DB544">
            <w:pPr>
              <w:spacing w:line="0" w:lineRule="atLeast"/>
              <w:jc w:val="center"/>
              <w:rPr>
                <w:rFonts w:ascii="Times New Roman" w:hAnsi="Times New Roman"/>
                <w:color w:val="000000"/>
                <w:kern w:val="0"/>
                <w:sz w:val="22"/>
                <w:szCs w:val="22"/>
                <w:highlight w:val="none"/>
              </w:rPr>
            </w:pPr>
          </w:p>
        </w:tc>
        <w:tc>
          <w:tcPr>
            <w:tcW w:w="497" w:type="pct"/>
            <w:vMerge w:val="continue"/>
            <w:shd w:val="clear" w:color="auto" w:fill="FFFFFF"/>
            <w:vAlign w:val="center"/>
          </w:tcPr>
          <w:p w14:paraId="22B043B8">
            <w:pPr>
              <w:widowControl/>
              <w:spacing w:line="0" w:lineRule="atLeast"/>
              <w:jc w:val="center"/>
              <w:rPr>
                <w:rFonts w:ascii="Times New Roman" w:hAnsi="Times New Roman"/>
                <w:color w:val="000000"/>
                <w:kern w:val="0"/>
                <w:sz w:val="22"/>
                <w:szCs w:val="22"/>
                <w:highlight w:val="none"/>
              </w:rPr>
            </w:pPr>
          </w:p>
        </w:tc>
        <w:tc>
          <w:tcPr>
            <w:tcW w:w="644" w:type="pct"/>
            <w:vMerge w:val="restart"/>
            <w:shd w:val="clear" w:color="auto" w:fill="FFFFFF"/>
            <w:vAlign w:val="center"/>
          </w:tcPr>
          <w:p w14:paraId="2FC378F8">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绩效目标　</w:t>
            </w:r>
          </w:p>
        </w:tc>
        <w:tc>
          <w:tcPr>
            <w:tcW w:w="858" w:type="pct"/>
            <w:shd w:val="clear" w:color="auto" w:fill="FFFFFF"/>
            <w:vAlign w:val="center"/>
          </w:tcPr>
          <w:p w14:paraId="441B967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绩效目标</w:t>
            </w:r>
          </w:p>
          <w:p w14:paraId="25A9326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合理性</w:t>
            </w:r>
          </w:p>
        </w:tc>
        <w:tc>
          <w:tcPr>
            <w:tcW w:w="364" w:type="pct"/>
            <w:shd w:val="clear" w:color="000000" w:fill="FFFFFF"/>
            <w:vAlign w:val="center"/>
          </w:tcPr>
          <w:p w14:paraId="21DD4FA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3</w:t>
            </w:r>
          </w:p>
        </w:tc>
        <w:tc>
          <w:tcPr>
            <w:tcW w:w="525" w:type="pct"/>
            <w:shd w:val="clear" w:color="000000" w:fill="FFFFFF"/>
            <w:vAlign w:val="center"/>
          </w:tcPr>
          <w:p w14:paraId="6FBDC51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合理</w:t>
            </w:r>
          </w:p>
        </w:tc>
        <w:tc>
          <w:tcPr>
            <w:tcW w:w="464" w:type="pct"/>
            <w:shd w:val="clear" w:color="000000" w:fill="FFFFFF"/>
            <w:vAlign w:val="center"/>
          </w:tcPr>
          <w:p w14:paraId="4F04882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合理</w:t>
            </w:r>
          </w:p>
        </w:tc>
        <w:tc>
          <w:tcPr>
            <w:tcW w:w="610" w:type="pct"/>
            <w:shd w:val="clear" w:color="000000" w:fill="FFFFFF"/>
            <w:vAlign w:val="center"/>
          </w:tcPr>
          <w:p w14:paraId="27FD12AC">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90%</w:t>
            </w:r>
          </w:p>
        </w:tc>
        <w:tc>
          <w:tcPr>
            <w:tcW w:w="481" w:type="pct"/>
            <w:shd w:val="clear" w:color="000000" w:fill="FFFFFF"/>
            <w:vAlign w:val="center"/>
          </w:tcPr>
          <w:p w14:paraId="1688FE71">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2.7</w:t>
            </w:r>
          </w:p>
        </w:tc>
      </w:tr>
      <w:tr w14:paraId="1F1A5D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5" w:hRule="atLeast"/>
          <w:jc w:val="center"/>
        </w:trPr>
        <w:tc>
          <w:tcPr>
            <w:tcW w:w="554" w:type="pct"/>
            <w:vMerge w:val="continue"/>
            <w:shd w:val="clear" w:color="auto" w:fill="FFFFFF"/>
            <w:vAlign w:val="center"/>
          </w:tcPr>
          <w:p w14:paraId="113E5049">
            <w:pPr>
              <w:widowControl/>
              <w:spacing w:line="0" w:lineRule="atLeast"/>
              <w:jc w:val="center"/>
              <w:rPr>
                <w:rFonts w:ascii="Times New Roman" w:hAnsi="Times New Roman"/>
                <w:color w:val="000000"/>
                <w:kern w:val="0"/>
                <w:sz w:val="22"/>
                <w:szCs w:val="22"/>
                <w:highlight w:val="none"/>
              </w:rPr>
            </w:pPr>
          </w:p>
        </w:tc>
        <w:tc>
          <w:tcPr>
            <w:tcW w:w="497" w:type="pct"/>
            <w:vMerge w:val="continue"/>
            <w:shd w:val="clear" w:color="auto" w:fill="FFFFFF"/>
            <w:vAlign w:val="center"/>
          </w:tcPr>
          <w:p w14:paraId="5C11BC96">
            <w:pPr>
              <w:widowControl/>
              <w:spacing w:line="0" w:lineRule="atLeast"/>
              <w:jc w:val="center"/>
              <w:rPr>
                <w:rFonts w:ascii="Times New Roman" w:hAnsi="Times New Roman"/>
                <w:color w:val="000000"/>
                <w:kern w:val="0"/>
                <w:sz w:val="22"/>
                <w:szCs w:val="22"/>
                <w:highlight w:val="none"/>
              </w:rPr>
            </w:pPr>
          </w:p>
        </w:tc>
        <w:tc>
          <w:tcPr>
            <w:tcW w:w="644" w:type="pct"/>
            <w:vMerge w:val="continue"/>
            <w:shd w:val="clear" w:color="auto" w:fill="FFFFFF"/>
            <w:vAlign w:val="center"/>
          </w:tcPr>
          <w:p w14:paraId="003F2CED">
            <w:pPr>
              <w:widowControl/>
              <w:spacing w:line="0" w:lineRule="atLeast"/>
              <w:jc w:val="center"/>
              <w:rPr>
                <w:rFonts w:ascii="Times New Roman" w:hAnsi="Times New Roman"/>
                <w:color w:val="000000"/>
                <w:kern w:val="0"/>
                <w:sz w:val="22"/>
                <w:szCs w:val="22"/>
                <w:highlight w:val="none"/>
              </w:rPr>
            </w:pPr>
          </w:p>
        </w:tc>
        <w:tc>
          <w:tcPr>
            <w:tcW w:w="858" w:type="pct"/>
            <w:shd w:val="clear" w:color="auto" w:fill="FFFFFF"/>
            <w:vAlign w:val="center"/>
          </w:tcPr>
          <w:p w14:paraId="7F010C1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绩效指标</w:t>
            </w:r>
          </w:p>
          <w:p w14:paraId="4DBDEAA7">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明确性</w:t>
            </w:r>
          </w:p>
        </w:tc>
        <w:tc>
          <w:tcPr>
            <w:tcW w:w="364" w:type="pct"/>
            <w:shd w:val="clear" w:color="000000" w:fill="FFFFFF"/>
            <w:vAlign w:val="center"/>
          </w:tcPr>
          <w:p w14:paraId="5CCBDF33">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3</w:t>
            </w:r>
          </w:p>
        </w:tc>
        <w:tc>
          <w:tcPr>
            <w:tcW w:w="525" w:type="pct"/>
            <w:shd w:val="clear" w:color="000000" w:fill="FFFFFF"/>
            <w:vAlign w:val="center"/>
          </w:tcPr>
          <w:p w14:paraId="0849891E">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明确</w:t>
            </w:r>
          </w:p>
        </w:tc>
        <w:tc>
          <w:tcPr>
            <w:tcW w:w="464" w:type="pct"/>
            <w:shd w:val="clear" w:color="000000" w:fill="FFFFFF"/>
            <w:vAlign w:val="center"/>
          </w:tcPr>
          <w:p w14:paraId="4494B89E">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明确</w:t>
            </w:r>
          </w:p>
        </w:tc>
        <w:tc>
          <w:tcPr>
            <w:tcW w:w="610" w:type="pct"/>
            <w:shd w:val="clear" w:color="000000" w:fill="FFFFFF"/>
            <w:vAlign w:val="center"/>
          </w:tcPr>
          <w:p w14:paraId="2F590FAA">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90%</w:t>
            </w:r>
          </w:p>
        </w:tc>
        <w:tc>
          <w:tcPr>
            <w:tcW w:w="481" w:type="pct"/>
            <w:shd w:val="clear" w:color="000000" w:fill="FFFFFF"/>
            <w:vAlign w:val="center"/>
          </w:tcPr>
          <w:p w14:paraId="7D051C92">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2.7</w:t>
            </w:r>
          </w:p>
        </w:tc>
      </w:tr>
      <w:tr w14:paraId="07B8AD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5" w:hRule="atLeast"/>
          <w:jc w:val="center"/>
        </w:trPr>
        <w:tc>
          <w:tcPr>
            <w:tcW w:w="554" w:type="pct"/>
            <w:vMerge w:val="continue"/>
            <w:shd w:val="clear" w:color="auto" w:fill="FFFFFF"/>
            <w:vAlign w:val="center"/>
          </w:tcPr>
          <w:p w14:paraId="131FBF80">
            <w:pPr>
              <w:spacing w:line="0" w:lineRule="atLeast"/>
              <w:jc w:val="center"/>
              <w:rPr>
                <w:rFonts w:ascii="Times New Roman" w:hAnsi="Times New Roman"/>
                <w:color w:val="000000"/>
                <w:kern w:val="0"/>
                <w:sz w:val="22"/>
                <w:szCs w:val="22"/>
                <w:highlight w:val="none"/>
              </w:rPr>
            </w:pPr>
          </w:p>
        </w:tc>
        <w:tc>
          <w:tcPr>
            <w:tcW w:w="497" w:type="pct"/>
            <w:vMerge w:val="continue"/>
            <w:shd w:val="clear" w:color="auto" w:fill="FFFFFF"/>
            <w:vAlign w:val="center"/>
          </w:tcPr>
          <w:p w14:paraId="3307C8A0">
            <w:pPr>
              <w:spacing w:line="0" w:lineRule="atLeast"/>
              <w:jc w:val="center"/>
              <w:rPr>
                <w:rFonts w:ascii="Times New Roman" w:hAnsi="Times New Roman"/>
                <w:color w:val="000000"/>
                <w:kern w:val="0"/>
                <w:sz w:val="22"/>
                <w:szCs w:val="22"/>
                <w:highlight w:val="none"/>
              </w:rPr>
            </w:pPr>
          </w:p>
        </w:tc>
        <w:tc>
          <w:tcPr>
            <w:tcW w:w="644" w:type="pct"/>
            <w:vMerge w:val="restart"/>
            <w:shd w:val="clear" w:color="auto" w:fill="FFFFFF"/>
            <w:vAlign w:val="center"/>
          </w:tcPr>
          <w:p w14:paraId="67D788B3">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资金投入</w:t>
            </w:r>
          </w:p>
        </w:tc>
        <w:tc>
          <w:tcPr>
            <w:tcW w:w="858" w:type="pct"/>
            <w:shd w:val="clear" w:color="auto" w:fill="FFFFFF"/>
            <w:vAlign w:val="center"/>
          </w:tcPr>
          <w:p w14:paraId="5172A1A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预算编制</w:t>
            </w:r>
          </w:p>
          <w:p w14:paraId="3BDE12DE">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科学性</w:t>
            </w:r>
          </w:p>
        </w:tc>
        <w:tc>
          <w:tcPr>
            <w:tcW w:w="364" w:type="pct"/>
            <w:shd w:val="clear" w:color="auto" w:fill="FFFFFF"/>
            <w:vAlign w:val="center"/>
          </w:tcPr>
          <w:p w14:paraId="32832567">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4</w:t>
            </w:r>
          </w:p>
        </w:tc>
        <w:tc>
          <w:tcPr>
            <w:tcW w:w="525" w:type="pct"/>
            <w:shd w:val="clear" w:color="auto" w:fill="FFFFFF"/>
            <w:vAlign w:val="center"/>
          </w:tcPr>
          <w:p w14:paraId="75D4E5D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科学</w:t>
            </w:r>
          </w:p>
        </w:tc>
        <w:tc>
          <w:tcPr>
            <w:tcW w:w="464" w:type="pct"/>
            <w:shd w:val="clear" w:color="auto" w:fill="FFFFFF"/>
            <w:vAlign w:val="center"/>
          </w:tcPr>
          <w:p w14:paraId="31A0958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科学</w:t>
            </w:r>
          </w:p>
        </w:tc>
        <w:tc>
          <w:tcPr>
            <w:tcW w:w="610" w:type="pct"/>
            <w:shd w:val="clear" w:color="auto" w:fill="FFFFFF"/>
            <w:vAlign w:val="center"/>
          </w:tcPr>
          <w:p w14:paraId="3BD30BAE">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100%</w:t>
            </w:r>
          </w:p>
        </w:tc>
        <w:tc>
          <w:tcPr>
            <w:tcW w:w="481" w:type="pct"/>
            <w:shd w:val="clear" w:color="auto" w:fill="FFFFFF"/>
            <w:vAlign w:val="center"/>
          </w:tcPr>
          <w:p w14:paraId="4B8CD7F4">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4</w:t>
            </w:r>
          </w:p>
        </w:tc>
      </w:tr>
      <w:tr w14:paraId="160508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5" w:hRule="atLeast"/>
          <w:jc w:val="center"/>
        </w:trPr>
        <w:tc>
          <w:tcPr>
            <w:tcW w:w="554" w:type="pct"/>
            <w:vMerge w:val="continue"/>
            <w:shd w:val="clear" w:color="auto" w:fill="FFFFFF"/>
            <w:vAlign w:val="center"/>
          </w:tcPr>
          <w:p w14:paraId="155D54DA">
            <w:pPr>
              <w:widowControl/>
              <w:spacing w:line="0" w:lineRule="atLeast"/>
              <w:jc w:val="center"/>
              <w:rPr>
                <w:rFonts w:ascii="Times New Roman" w:hAnsi="Times New Roman"/>
                <w:color w:val="000000"/>
                <w:kern w:val="0"/>
                <w:sz w:val="22"/>
                <w:szCs w:val="22"/>
                <w:highlight w:val="none"/>
              </w:rPr>
            </w:pPr>
          </w:p>
        </w:tc>
        <w:tc>
          <w:tcPr>
            <w:tcW w:w="497" w:type="pct"/>
            <w:vMerge w:val="continue"/>
            <w:shd w:val="clear" w:color="auto" w:fill="FFFFFF"/>
            <w:vAlign w:val="center"/>
          </w:tcPr>
          <w:p w14:paraId="15C475C1">
            <w:pPr>
              <w:widowControl/>
              <w:spacing w:line="0" w:lineRule="atLeast"/>
              <w:jc w:val="center"/>
              <w:rPr>
                <w:rFonts w:ascii="Times New Roman" w:hAnsi="Times New Roman"/>
                <w:color w:val="000000"/>
                <w:kern w:val="0"/>
                <w:sz w:val="22"/>
                <w:szCs w:val="22"/>
                <w:highlight w:val="none"/>
              </w:rPr>
            </w:pPr>
          </w:p>
        </w:tc>
        <w:tc>
          <w:tcPr>
            <w:tcW w:w="644" w:type="pct"/>
            <w:vMerge w:val="continue"/>
            <w:shd w:val="clear" w:color="auto" w:fill="FFFFFF"/>
            <w:vAlign w:val="center"/>
          </w:tcPr>
          <w:p w14:paraId="653026BD">
            <w:pPr>
              <w:widowControl/>
              <w:spacing w:line="0" w:lineRule="atLeast"/>
              <w:jc w:val="center"/>
              <w:rPr>
                <w:rFonts w:ascii="Times New Roman" w:hAnsi="Times New Roman"/>
                <w:color w:val="000000"/>
                <w:kern w:val="0"/>
                <w:sz w:val="22"/>
                <w:szCs w:val="22"/>
                <w:highlight w:val="none"/>
              </w:rPr>
            </w:pPr>
          </w:p>
        </w:tc>
        <w:tc>
          <w:tcPr>
            <w:tcW w:w="858" w:type="pct"/>
            <w:shd w:val="clear" w:color="auto" w:fill="FFFFFF"/>
            <w:vAlign w:val="center"/>
          </w:tcPr>
          <w:p w14:paraId="156CAC0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资金分配</w:t>
            </w:r>
          </w:p>
          <w:p w14:paraId="2973B3B8">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合理性</w:t>
            </w:r>
          </w:p>
        </w:tc>
        <w:tc>
          <w:tcPr>
            <w:tcW w:w="364" w:type="pct"/>
            <w:shd w:val="clear" w:color="auto" w:fill="FFFFFF"/>
            <w:vAlign w:val="center"/>
          </w:tcPr>
          <w:p w14:paraId="188F9E29">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4</w:t>
            </w:r>
          </w:p>
        </w:tc>
        <w:tc>
          <w:tcPr>
            <w:tcW w:w="525" w:type="pct"/>
            <w:shd w:val="clear" w:color="auto" w:fill="FFFFFF"/>
            <w:vAlign w:val="center"/>
          </w:tcPr>
          <w:p w14:paraId="49F8C658">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合理</w:t>
            </w:r>
          </w:p>
        </w:tc>
        <w:tc>
          <w:tcPr>
            <w:tcW w:w="464" w:type="pct"/>
            <w:shd w:val="clear" w:color="auto" w:fill="FFFFFF"/>
            <w:vAlign w:val="center"/>
          </w:tcPr>
          <w:p w14:paraId="51654FD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合理</w:t>
            </w:r>
          </w:p>
        </w:tc>
        <w:tc>
          <w:tcPr>
            <w:tcW w:w="610" w:type="pct"/>
            <w:shd w:val="clear" w:color="auto" w:fill="FFFFFF"/>
            <w:vAlign w:val="center"/>
          </w:tcPr>
          <w:p w14:paraId="1EBABC7A">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100%</w:t>
            </w:r>
          </w:p>
        </w:tc>
        <w:tc>
          <w:tcPr>
            <w:tcW w:w="481" w:type="pct"/>
            <w:shd w:val="clear" w:color="auto" w:fill="FFFFFF"/>
            <w:vAlign w:val="center"/>
          </w:tcPr>
          <w:p w14:paraId="7749FBF8">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4</w:t>
            </w:r>
          </w:p>
        </w:tc>
      </w:tr>
      <w:tr w14:paraId="1781A0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0" w:hRule="atLeast"/>
          <w:jc w:val="center"/>
        </w:trPr>
        <w:tc>
          <w:tcPr>
            <w:tcW w:w="554" w:type="pct"/>
            <w:vMerge w:val="restart"/>
            <w:shd w:val="clear" w:color="auto" w:fill="FFFFFF"/>
            <w:vAlign w:val="center"/>
          </w:tcPr>
          <w:p w14:paraId="73E07844">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过程</w:t>
            </w:r>
          </w:p>
          <w:p w14:paraId="4E734CAA">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tc>
        <w:tc>
          <w:tcPr>
            <w:tcW w:w="497" w:type="pct"/>
            <w:vMerge w:val="restart"/>
            <w:shd w:val="clear" w:color="auto" w:fill="FFFFFF"/>
            <w:vAlign w:val="center"/>
          </w:tcPr>
          <w:p w14:paraId="5D03D28A">
            <w:pPr>
              <w:widowControl/>
              <w:spacing w:line="0" w:lineRule="atLeast"/>
              <w:jc w:val="center"/>
              <w:rPr>
                <w:rFonts w:ascii="Times New Roman" w:hAnsi="Times New Roman"/>
                <w:color w:val="000000"/>
                <w:kern w:val="0"/>
                <w:sz w:val="22"/>
                <w:szCs w:val="22"/>
                <w:highlight w:val="none"/>
              </w:rPr>
            </w:pPr>
            <w:r>
              <w:rPr>
                <w:rFonts w:ascii="Times New Roman" w:hAnsi="Times New Roman"/>
                <w:kern w:val="0"/>
                <w:sz w:val="22"/>
                <w:szCs w:val="22"/>
                <w:highlight w:val="none"/>
              </w:rPr>
              <w:t>20分</w:t>
            </w:r>
          </w:p>
        </w:tc>
        <w:tc>
          <w:tcPr>
            <w:tcW w:w="644" w:type="pct"/>
            <w:vMerge w:val="restart"/>
            <w:shd w:val="clear" w:color="auto" w:fill="FFFFFF"/>
            <w:vAlign w:val="center"/>
          </w:tcPr>
          <w:p w14:paraId="3E584D7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资金管理</w:t>
            </w:r>
          </w:p>
        </w:tc>
        <w:tc>
          <w:tcPr>
            <w:tcW w:w="858" w:type="pct"/>
            <w:shd w:val="clear" w:color="auto" w:fill="FFFFFF"/>
            <w:vAlign w:val="center"/>
          </w:tcPr>
          <w:p w14:paraId="0FC50D71">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资金到位率</w:t>
            </w:r>
          </w:p>
        </w:tc>
        <w:tc>
          <w:tcPr>
            <w:tcW w:w="364" w:type="pct"/>
            <w:shd w:val="clear" w:color="000000" w:fill="FFFFFF"/>
            <w:vAlign w:val="center"/>
          </w:tcPr>
          <w:p w14:paraId="1DDFCF8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4</w:t>
            </w:r>
          </w:p>
        </w:tc>
        <w:tc>
          <w:tcPr>
            <w:tcW w:w="525" w:type="pct"/>
            <w:shd w:val="clear" w:color="000000" w:fill="FFFFFF"/>
            <w:vAlign w:val="center"/>
          </w:tcPr>
          <w:p w14:paraId="4CE0D1D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100%</w:t>
            </w:r>
          </w:p>
        </w:tc>
        <w:tc>
          <w:tcPr>
            <w:tcW w:w="464" w:type="pct"/>
            <w:shd w:val="clear" w:color="000000" w:fill="FFFFFF"/>
            <w:vAlign w:val="center"/>
          </w:tcPr>
          <w:p w14:paraId="7493DC25">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lang w:val="en-US" w:eastAsia="zh-CN"/>
              </w:rPr>
              <w:t>100</w:t>
            </w:r>
            <w:r>
              <w:rPr>
                <w:rFonts w:ascii="Times New Roman" w:hAnsi="Times New Roman"/>
                <w:color w:val="000000"/>
                <w:kern w:val="0"/>
                <w:sz w:val="22"/>
                <w:szCs w:val="22"/>
                <w:highlight w:val="none"/>
              </w:rPr>
              <w:t>%</w:t>
            </w:r>
          </w:p>
        </w:tc>
        <w:tc>
          <w:tcPr>
            <w:tcW w:w="610" w:type="pct"/>
            <w:shd w:val="clear" w:color="000000" w:fill="FFFFFF"/>
            <w:vAlign w:val="center"/>
          </w:tcPr>
          <w:p w14:paraId="61236F8D">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100%</w:t>
            </w:r>
          </w:p>
        </w:tc>
        <w:tc>
          <w:tcPr>
            <w:tcW w:w="481" w:type="pct"/>
            <w:shd w:val="clear" w:color="000000" w:fill="FFFFFF"/>
            <w:vAlign w:val="center"/>
          </w:tcPr>
          <w:p w14:paraId="61E5085E">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4</w:t>
            </w:r>
          </w:p>
        </w:tc>
      </w:tr>
      <w:tr w14:paraId="270788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0" w:hRule="atLeast"/>
          <w:jc w:val="center"/>
        </w:trPr>
        <w:tc>
          <w:tcPr>
            <w:tcW w:w="554" w:type="pct"/>
            <w:vMerge w:val="continue"/>
            <w:shd w:val="clear" w:color="auto" w:fill="FFFFFF"/>
            <w:vAlign w:val="center"/>
          </w:tcPr>
          <w:p w14:paraId="3CD45A9A">
            <w:pPr>
              <w:spacing w:line="0" w:lineRule="atLeast"/>
              <w:jc w:val="center"/>
              <w:rPr>
                <w:rFonts w:ascii="Times New Roman" w:hAnsi="Times New Roman"/>
                <w:color w:val="000000"/>
                <w:kern w:val="0"/>
                <w:sz w:val="22"/>
                <w:szCs w:val="22"/>
                <w:highlight w:val="none"/>
              </w:rPr>
            </w:pPr>
          </w:p>
        </w:tc>
        <w:tc>
          <w:tcPr>
            <w:tcW w:w="497" w:type="pct"/>
            <w:vMerge w:val="continue"/>
            <w:shd w:val="clear" w:color="auto" w:fill="FFFFFF"/>
            <w:vAlign w:val="center"/>
          </w:tcPr>
          <w:p w14:paraId="31F3CCF9">
            <w:pPr>
              <w:spacing w:line="0" w:lineRule="atLeast"/>
              <w:jc w:val="center"/>
              <w:rPr>
                <w:rFonts w:ascii="Times New Roman" w:hAnsi="Times New Roman"/>
                <w:color w:val="000000"/>
                <w:kern w:val="0"/>
                <w:sz w:val="22"/>
                <w:szCs w:val="22"/>
                <w:highlight w:val="none"/>
              </w:rPr>
            </w:pPr>
          </w:p>
        </w:tc>
        <w:tc>
          <w:tcPr>
            <w:tcW w:w="644" w:type="pct"/>
            <w:vMerge w:val="continue"/>
            <w:shd w:val="clear" w:color="auto" w:fill="FFFFFF"/>
            <w:vAlign w:val="center"/>
          </w:tcPr>
          <w:p w14:paraId="1F642D49">
            <w:pPr>
              <w:spacing w:line="0" w:lineRule="atLeast"/>
              <w:jc w:val="center"/>
              <w:rPr>
                <w:rFonts w:ascii="Times New Roman" w:hAnsi="Times New Roman"/>
                <w:color w:val="000000"/>
                <w:kern w:val="0"/>
                <w:sz w:val="22"/>
                <w:szCs w:val="22"/>
                <w:highlight w:val="none"/>
              </w:rPr>
            </w:pPr>
          </w:p>
        </w:tc>
        <w:tc>
          <w:tcPr>
            <w:tcW w:w="858" w:type="pct"/>
            <w:shd w:val="clear" w:color="auto" w:fill="FFFFFF"/>
            <w:vAlign w:val="center"/>
          </w:tcPr>
          <w:p w14:paraId="65C1DA4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预算执行率</w:t>
            </w:r>
          </w:p>
        </w:tc>
        <w:tc>
          <w:tcPr>
            <w:tcW w:w="364" w:type="pct"/>
            <w:shd w:val="clear" w:color="auto" w:fill="FFFFFF"/>
            <w:vAlign w:val="center"/>
          </w:tcPr>
          <w:p w14:paraId="2E0FB8C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4</w:t>
            </w:r>
          </w:p>
        </w:tc>
        <w:tc>
          <w:tcPr>
            <w:tcW w:w="525" w:type="pct"/>
            <w:shd w:val="clear" w:color="auto" w:fill="FFFFFF"/>
            <w:vAlign w:val="center"/>
          </w:tcPr>
          <w:p w14:paraId="23328A80">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100%</w:t>
            </w:r>
          </w:p>
        </w:tc>
        <w:tc>
          <w:tcPr>
            <w:tcW w:w="464" w:type="pct"/>
            <w:shd w:val="clear" w:color="auto" w:fill="FFFFFF"/>
            <w:vAlign w:val="center"/>
          </w:tcPr>
          <w:p w14:paraId="1F523077">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lang w:val="en-US" w:eastAsia="zh-CN"/>
              </w:rPr>
              <w:t>100</w:t>
            </w:r>
            <w:r>
              <w:rPr>
                <w:rFonts w:ascii="Times New Roman" w:hAnsi="Times New Roman"/>
                <w:color w:val="000000"/>
                <w:kern w:val="0"/>
                <w:sz w:val="22"/>
                <w:szCs w:val="22"/>
                <w:highlight w:val="none"/>
              </w:rPr>
              <w:t>%</w:t>
            </w:r>
          </w:p>
        </w:tc>
        <w:tc>
          <w:tcPr>
            <w:tcW w:w="610" w:type="pct"/>
            <w:shd w:val="clear" w:color="auto" w:fill="FFFFFF"/>
            <w:vAlign w:val="center"/>
          </w:tcPr>
          <w:p w14:paraId="23ECCAB0">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100%</w:t>
            </w:r>
          </w:p>
        </w:tc>
        <w:tc>
          <w:tcPr>
            <w:tcW w:w="481" w:type="pct"/>
            <w:shd w:val="clear" w:color="auto" w:fill="FFFFFF"/>
            <w:vAlign w:val="center"/>
          </w:tcPr>
          <w:p w14:paraId="2EA5677A">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4</w:t>
            </w:r>
          </w:p>
        </w:tc>
      </w:tr>
      <w:tr w14:paraId="4338A5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8" w:hRule="atLeast"/>
          <w:jc w:val="center"/>
        </w:trPr>
        <w:tc>
          <w:tcPr>
            <w:tcW w:w="554" w:type="pct"/>
            <w:vMerge w:val="continue"/>
            <w:shd w:val="clear" w:color="auto" w:fill="FFFFFF"/>
            <w:vAlign w:val="center"/>
          </w:tcPr>
          <w:p w14:paraId="104A382F">
            <w:pPr>
              <w:spacing w:line="0" w:lineRule="atLeast"/>
              <w:jc w:val="center"/>
              <w:rPr>
                <w:rFonts w:ascii="Times New Roman" w:hAnsi="Times New Roman"/>
                <w:color w:val="000000"/>
                <w:kern w:val="0"/>
                <w:sz w:val="22"/>
                <w:szCs w:val="22"/>
                <w:highlight w:val="none"/>
              </w:rPr>
            </w:pPr>
          </w:p>
        </w:tc>
        <w:tc>
          <w:tcPr>
            <w:tcW w:w="497" w:type="pct"/>
            <w:vMerge w:val="continue"/>
            <w:shd w:val="clear" w:color="auto" w:fill="FFFFFF"/>
            <w:vAlign w:val="center"/>
          </w:tcPr>
          <w:p w14:paraId="673609C2">
            <w:pPr>
              <w:widowControl/>
              <w:spacing w:line="0" w:lineRule="atLeast"/>
              <w:jc w:val="center"/>
              <w:rPr>
                <w:rFonts w:ascii="Times New Roman" w:hAnsi="Times New Roman"/>
                <w:color w:val="000000"/>
                <w:kern w:val="0"/>
                <w:sz w:val="22"/>
                <w:szCs w:val="22"/>
                <w:highlight w:val="none"/>
              </w:rPr>
            </w:pPr>
          </w:p>
        </w:tc>
        <w:tc>
          <w:tcPr>
            <w:tcW w:w="644" w:type="pct"/>
            <w:shd w:val="clear" w:color="auto" w:fill="FFFFFF"/>
            <w:vAlign w:val="center"/>
          </w:tcPr>
          <w:p w14:paraId="4B8EDB67">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资金管理</w:t>
            </w:r>
          </w:p>
        </w:tc>
        <w:tc>
          <w:tcPr>
            <w:tcW w:w="858" w:type="pct"/>
            <w:shd w:val="clear" w:color="auto" w:fill="FFFFFF"/>
            <w:vAlign w:val="center"/>
          </w:tcPr>
          <w:p w14:paraId="336B28C3">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资金使用</w:t>
            </w:r>
          </w:p>
          <w:p w14:paraId="403E492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合规性</w:t>
            </w:r>
          </w:p>
        </w:tc>
        <w:tc>
          <w:tcPr>
            <w:tcW w:w="364" w:type="pct"/>
            <w:shd w:val="clear" w:color="000000" w:fill="FFFFFF"/>
            <w:vAlign w:val="center"/>
          </w:tcPr>
          <w:p w14:paraId="5027E82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4</w:t>
            </w:r>
          </w:p>
        </w:tc>
        <w:tc>
          <w:tcPr>
            <w:tcW w:w="525" w:type="pct"/>
            <w:shd w:val="clear" w:color="000000" w:fill="FFFFFF"/>
            <w:vAlign w:val="center"/>
          </w:tcPr>
          <w:p w14:paraId="6AFEA9F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合格</w:t>
            </w:r>
          </w:p>
        </w:tc>
        <w:tc>
          <w:tcPr>
            <w:tcW w:w="464" w:type="pct"/>
            <w:shd w:val="clear" w:color="000000" w:fill="FFFFFF"/>
            <w:vAlign w:val="center"/>
          </w:tcPr>
          <w:p w14:paraId="58667FD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合格</w:t>
            </w:r>
          </w:p>
        </w:tc>
        <w:tc>
          <w:tcPr>
            <w:tcW w:w="610" w:type="pct"/>
            <w:shd w:val="clear" w:color="000000" w:fill="FFFFFF"/>
            <w:vAlign w:val="center"/>
          </w:tcPr>
          <w:p w14:paraId="0D16F4C3">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100%</w:t>
            </w:r>
          </w:p>
        </w:tc>
        <w:tc>
          <w:tcPr>
            <w:tcW w:w="481" w:type="pct"/>
            <w:shd w:val="clear" w:color="000000" w:fill="FFFFFF"/>
            <w:vAlign w:val="center"/>
          </w:tcPr>
          <w:p w14:paraId="3FD3E74E">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4</w:t>
            </w:r>
          </w:p>
        </w:tc>
      </w:tr>
      <w:tr w14:paraId="568631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5" w:hRule="atLeast"/>
          <w:jc w:val="center"/>
        </w:trPr>
        <w:tc>
          <w:tcPr>
            <w:tcW w:w="554" w:type="pct"/>
            <w:vMerge w:val="continue"/>
            <w:shd w:val="clear" w:color="auto" w:fill="FFFFFF"/>
            <w:vAlign w:val="center"/>
          </w:tcPr>
          <w:p w14:paraId="0076E108">
            <w:pPr>
              <w:spacing w:line="0" w:lineRule="atLeast"/>
              <w:jc w:val="center"/>
              <w:rPr>
                <w:rFonts w:ascii="Times New Roman" w:hAnsi="Times New Roman"/>
                <w:color w:val="000000"/>
                <w:kern w:val="0"/>
                <w:sz w:val="22"/>
                <w:szCs w:val="22"/>
                <w:highlight w:val="none"/>
              </w:rPr>
            </w:pPr>
          </w:p>
        </w:tc>
        <w:tc>
          <w:tcPr>
            <w:tcW w:w="497" w:type="pct"/>
            <w:vMerge w:val="continue"/>
            <w:shd w:val="clear" w:color="auto" w:fill="FFFFFF"/>
            <w:vAlign w:val="center"/>
          </w:tcPr>
          <w:p w14:paraId="3EAA3BCF">
            <w:pPr>
              <w:spacing w:line="0" w:lineRule="atLeast"/>
              <w:jc w:val="center"/>
              <w:rPr>
                <w:rFonts w:ascii="Times New Roman" w:hAnsi="Times New Roman"/>
                <w:color w:val="000000"/>
                <w:kern w:val="0"/>
                <w:sz w:val="22"/>
                <w:szCs w:val="22"/>
                <w:highlight w:val="none"/>
              </w:rPr>
            </w:pPr>
          </w:p>
        </w:tc>
        <w:tc>
          <w:tcPr>
            <w:tcW w:w="644" w:type="pct"/>
            <w:vMerge w:val="restart"/>
            <w:shd w:val="clear" w:color="auto" w:fill="FFFFFF"/>
            <w:vAlign w:val="center"/>
          </w:tcPr>
          <w:p w14:paraId="5E2008D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组织实施</w:t>
            </w:r>
          </w:p>
        </w:tc>
        <w:tc>
          <w:tcPr>
            <w:tcW w:w="858" w:type="pct"/>
            <w:shd w:val="clear" w:color="auto" w:fill="FFFFFF"/>
            <w:vAlign w:val="center"/>
          </w:tcPr>
          <w:p w14:paraId="75D3AF01">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管理制度</w:t>
            </w:r>
          </w:p>
          <w:p w14:paraId="3665DDA0">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健全性</w:t>
            </w:r>
          </w:p>
        </w:tc>
        <w:tc>
          <w:tcPr>
            <w:tcW w:w="364" w:type="pct"/>
            <w:shd w:val="clear" w:color="000000" w:fill="FFFFFF"/>
            <w:vAlign w:val="center"/>
          </w:tcPr>
          <w:p w14:paraId="7D7A49B1">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4</w:t>
            </w:r>
          </w:p>
        </w:tc>
        <w:tc>
          <w:tcPr>
            <w:tcW w:w="525" w:type="pct"/>
            <w:shd w:val="clear" w:color="000000" w:fill="FFFFFF"/>
            <w:vAlign w:val="center"/>
          </w:tcPr>
          <w:p w14:paraId="0D73D5D9">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健全</w:t>
            </w:r>
          </w:p>
        </w:tc>
        <w:tc>
          <w:tcPr>
            <w:tcW w:w="464" w:type="pct"/>
            <w:shd w:val="clear" w:color="000000" w:fill="FFFFFF"/>
            <w:vAlign w:val="center"/>
          </w:tcPr>
          <w:p w14:paraId="7C83572E">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健全</w:t>
            </w:r>
          </w:p>
        </w:tc>
        <w:tc>
          <w:tcPr>
            <w:tcW w:w="610" w:type="pct"/>
            <w:shd w:val="clear" w:color="000000" w:fill="FFFFFF"/>
            <w:vAlign w:val="center"/>
          </w:tcPr>
          <w:p w14:paraId="5ED62D9E">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100%</w:t>
            </w:r>
          </w:p>
        </w:tc>
        <w:tc>
          <w:tcPr>
            <w:tcW w:w="481" w:type="pct"/>
            <w:shd w:val="clear" w:color="000000" w:fill="FFFFFF"/>
            <w:vAlign w:val="center"/>
          </w:tcPr>
          <w:p w14:paraId="2A4BFE8F">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4</w:t>
            </w:r>
          </w:p>
        </w:tc>
      </w:tr>
      <w:tr w14:paraId="7AC292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5" w:hRule="atLeast"/>
          <w:jc w:val="center"/>
        </w:trPr>
        <w:tc>
          <w:tcPr>
            <w:tcW w:w="554" w:type="pct"/>
            <w:vMerge w:val="continue"/>
            <w:shd w:val="clear" w:color="auto" w:fill="FFFFFF"/>
            <w:vAlign w:val="center"/>
          </w:tcPr>
          <w:p w14:paraId="37B3397B">
            <w:pPr>
              <w:widowControl/>
              <w:spacing w:line="0" w:lineRule="atLeast"/>
              <w:jc w:val="center"/>
              <w:rPr>
                <w:rFonts w:ascii="Times New Roman" w:hAnsi="Times New Roman"/>
                <w:color w:val="000000"/>
                <w:kern w:val="0"/>
                <w:sz w:val="22"/>
                <w:szCs w:val="22"/>
                <w:highlight w:val="none"/>
              </w:rPr>
            </w:pPr>
          </w:p>
        </w:tc>
        <w:tc>
          <w:tcPr>
            <w:tcW w:w="497" w:type="pct"/>
            <w:vMerge w:val="continue"/>
            <w:shd w:val="clear" w:color="auto" w:fill="FFFFFF"/>
            <w:vAlign w:val="center"/>
          </w:tcPr>
          <w:p w14:paraId="3F846B0D">
            <w:pPr>
              <w:widowControl/>
              <w:spacing w:line="0" w:lineRule="atLeast"/>
              <w:jc w:val="center"/>
              <w:rPr>
                <w:rFonts w:ascii="Times New Roman" w:hAnsi="Times New Roman"/>
                <w:color w:val="000000"/>
                <w:kern w:val="0"/>
                <w:sz w:val="22"/>
                <w:szCs w:val="22"/>
                <w:highlight w:val="none"/>
              </w:rPr>
            </w:pPr>
          </w:p>
        </w:tc>
        <w:tc>
          <w:tcPr>
            <w:tcW w:w="644" w:type="pct"/>
            <w:vMerge w:val="continue"/>
            <w:shd w:val="clear" w:color="auto" w:fill="FFFFFF"/>
            <w:vAlign w:val="center"/>
          </w:tcPr>
          <w:p w14:paraId="16450A03">
            <w:pPr>
              <w:widowControl/>
              <w:spacing w:line="0" w:lineRule="atLeast"/>
              <w:jc w:val="center"/>
              <w:rPr>
                <w:rFonts w:ascii="Times New Roman" w:hAnsi="Times New Roman"/>
                <w:color w:val="000000"/>
                <w:kern w:val="0"/>
                <w:sz w:val="22"/>
                <w:szCs w:val="22"/>
                <w:highlight w:val="none"/>
              </w:rPr>
            </w:pPr>
          </w:p>
        </w:tc>
        <w:tc>
          <w:tcPr>
            <w:tcW w:w="858" w:type="pct"/>
            <w:shd w:val="clear" w:color="auto" w:fill="FFFFFF"/>
            <w:vAlign w:val="center"/>
          </w:tcPr>
          <w:p w14:paraId="5F49962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制度执行</w:t>
            </w:r>
          </w:p>
          <w:p w14:paraId="28FB9E0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有效性</w:t>
            </w:r>
          </w:p>
        </w:tc>
        <w:tc>
          <w:tcPr>
            <w:tcW w:w="364" w:type="pct"/>
            <w:shd w:val="clear" w:color="000000" w:fill="FFFFFF"/>
            <w:vAlign w:val="center"/>
          </w:tcPr>
          <w:p w14:paraId="31600D8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4</w:t>
            </w:r>
          </w:p>
        </w:tc>
        <w:tc>
          <w:tcPr>
            <w:tcW w:w="525" w:type="pct"/>
            <w:shd w:val="clear" w:color="000000" w:fill="FFFFFF"/>
            <w:vAlign w:val="center"/>
          </w:tcPr>
          <w:p w14:paraId="1EAD6AB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有效</w:t>
            </w:r>
          </w:p>
        </w:tc>
        <w:tc>
          <w:tcPr>
            <w:tcW w:w="464" w:type="pct"/>
            <w:shd w:val="clear" w:color="000000" w:fill="FFFFFF"/>
            <w:vAlign w:val="center"/>
          </w:tcPr>
          <w:p w14:paraId="0CF3BD43">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有效</w:t>
            </w:r>
          </w:p>
        </w:tc>
        <w:tc>
          <w:tcPr>
            <w:tcW w:w="610" w:type="pct"/>
            <w:shd w:val="clear" w:color="000000" w:fill="FFFFFF"/>
            <w:vAlign w:val="center"/>
          </w:tcPr>
          <w:p w14:paraId="21079C7C">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100%</w:t>
            </w:r>
          </w:p>
        </w:tc>
        <w:tc>
          <w:tcPr>
            <w:tcW w:w="481" w:type="pct"/>
            <w:shd w:val="clear" w:color="000000" w:fill="FFFFFF"/>
            <w:vAlign w:val="center"/>
          </w:tcPr>
          <w:p w14:paraId="2AC12005">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4</w:t>
            </w:r>
          </w:p>
        </w:tc>
      </w:tr>
      <w:tr w14:paraId="67CF31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0" w:hRule="atLeast"/>
          <w:jc w:val="center"/>
        </w:trPr>
        <w:tc>
          <w:tcPr>
            <w:tcW w:w="554" w:type="pct"/>
            <w:vMerge w:val="restart"/>
            <w:shd w:val="clear" w:color="auto" w:fill="FFFFFF"/>
            <w:vAlign w:val="center"/>
          </w:tcPr>
          <w:p w14:paraId="61FEF657">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w:t>
            </w:r>
          </w:p>
        </w:tc>
        <w:tc>
          <w:tcPr>
            <w:tcW w:w="497" w:type="pct"/>
            <w:vMerge w:val="restart"/>
            <w:shd w:val="clear" w:color="auto" w:fill="FFFFFF"/>
            <w:vAlign w:val="center"/>
          </w:tcPr>
          <w:p w14:paraId="16A2E075">
            <w:pPr>
              <w:widowControl/>
              <w:spacing w:line="0" w:lineRule="atLeast"/>
              <w:jc w:val="center"/>
              <w:rPr>
                <w:rFonts w:ascii="Times New Roman" w:hAnsi="Times New Roman"/>
                <w:color w:val="000000"/>
                <w:kern w:val="0"/>
                <w:sz w:val="22"/>
                <w:szCs w:val="22"/>
                <w:highlight w:val="none"/>
              </w:rPr>
            </w:pPr>
            <w:r>
              <w:rPr>
                <w:rFonts w:ascii="Times New Roman" w:hAnsi="Times New Roman"/>
                <w:kern w:val="0"/>
                <w:sz w:val="22"/>
                <w:szCs w:val="22"/>
                <w:highlight w:val="none"/>
              </w:rPr>
              <w:t>40分</w:t>
            </w:r>
          </w:p>
        </w:tc>
        <w:tc>
          <w:tcPr>
            <w:tcW w:w="644" w:type="pct"/>
            <w:shd w:val="clear" w:color="auto" w:fill="FFFFFF"/>
            <w:vAlign w:val="center"/>
          </w:tcPr>
          <w:p w14:paraId="203B1F9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产出数量</w:t>
            </w:r>
          </w:p>
        </w:tc>
        <w:tc>
          <w:tcPr>
            <w:tcW w:w="858" w:type="pct"/>
            <w:shd w:val="clear" w:color="auto" w:fill="FFFFFF"/>
            <w:vAlign w:val="center"/>
          </w:tcPr>
          <w:p w14:paraId="4442AEF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实际完成率</w:t>
            </w:r>
          </w:p>
        </w:tc>
        <w:tc>
          <w:tcPr>
            <w:tcW w:w="364" w:type="pct"/>
            <w:shd w:val="clear" w:color="000000" w:fill="FFFFFF"/>
            <w:vAlign w:val="center"/>
          </w:tcPr>
          <w:p w14:paraId="4E454ED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w:t>
            </w:r>
          </w:p>
        </w:tc>
        <w:tc>
          <w:tcPr>
            <w:tcW w:w="525" w:type="pct"/>
            <w:shd w:val="clear" w:color="000000" w:fill="FFFFFF"/>
            <w:vAlign w:val="center"/>
          </w:tcPr>
          <w:p w14:paraId="429527A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100%</w:t>
            </w:r>
          </w:p>
        </w:tc>
        <w:tc>
          <w:tcPr>
            <w:tcW w:w="464" w:type="pct"/>
            <w:shd w:val="clear" w:color="000000" w:fill="FFFFFF"/>
            <w:vAlign w:val="center"/>
          </w:tcPr>
          <w:p w14:paraId="3D533E85">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lang w:val="en-US" w:eastAsia="zh-CN"/>
              </w:rPr>
              <w:t>100</w:t>
            </w:r>
            <w:r>
              <w:rPr>
                <w:rFonts w:ascii="Times New Roman" w:hAnsi="Times New Roman"/>
                <w:color w:val="000000"/>
                <w:kern w:val="0"/>
                <w:sz w:val="22"/>
                <w:szCs w:val="22"/>
                <w:highlight w:val="none"/>
              </w:rPr>
              <w:t>%</w:t>
            </w:r>
          </w:p>
        </w:tc>
        <w:tc>
          <w:tcPr>
            <w:tcW w:w="610" w:type="pct"/>
            <w:shd w:val="clear" w:color="000000" w:fill="FFFFFF"/>
            <w:vAlign w:val="center"/>
          </w:tcPr>
          <w:p w14:paraId="4DF340DF">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100%</w:t>
            </w:r>
          </w:p>
        </w:tc>
        <w:tc>
          <w:tcPr>
            <w:tcW w:w="481" w:type="pct"/>
            <w:shd w:val="clear" w:color="000000" w:fill="FFFFFF"/>
            <w:vAlign w:val="center"/>
          </w:tcPr>
          <w:p w14:paraId="34A86BA1">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w:t>
            </w:r>
          </w:p>
        </w:tc>
      </w:tr>
      <w:tr w14:paraId="778E56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0" w:hRule="atLeast"/>
          <w:jc w:val="center"/>
        </w:trPr>
        <w:tc>
          <w:tcPr>
            <w:tcW w:w="554" w:type="pct"/>
            <w:vMerge w:val="continue"/>
            <w:shd w:val="clear" w:color="auto" w:fill="FFFFFF"/>
            <w:vAlign w:val="center"/>
          </w:tcPr>
          <w:p w14:paraId="348EA893">
            <w:pPr>
              <w:widowControl/>
              <w:spacing w:line="0" w:lineRule="atLeast"/>
              <w:jc w:val="center"/>
              <w:rPr>
                <w:rFonts w:ascii="Times New Roman" w:hAnsi="Times New Roman"/>
                <w:color w:val="000000"/>
                <w:kern w:val="0"/>
                <w:sz w:val="22"/>
                <w:szCs w:val="22"/>
                <w:highlight w:val="none"/>
              </w:rPr>
            </w:pPr>
          </w:p>
        </w:tc>
        <w:tc>
          <w:tcPr>
            <w:tcW w:w="497" w:type="pct"/>
            <w:vMerge w:val="continue"/>
            <w:shd w:val="clear" w:color="auto" w:fill="FFFFFF"/>
            <w:vAlign w:val="center"/>
          </w:tcPr>
          <w:p w14:paraId="6192F004">
            <w:pPr>
              <w:widowControl/>
              <w:spacing w:line="0" w:lineRule="atLeast"/>
              <w:jc w:val="center"/>
              <w:rPr>
                <w:rFonts w:ascii="Times New Roman" w:hAnsi="Times New Roman"/>
                <w:color w:val="000000"/>
                <w:kern w:val="0"/>
                <w:sz w:val="22"/>
                <w:szCs w:val="22"/>
                <w:highlight w:val="none"/>
              </w:rPr>
            </w:pPr>
          </w:p>
        </w:tc>
        <w:tc>
          <w:tcPr>
            <w:tcW w:w="644" w:type="pct"/>
            <w:shd w:val="clear" w:color="auto" w:fill="FFFFFF"/>
            <w:vAlign w:val="center"/>
          </w:tcPr>
          <w:p w14:paraId="33EB589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产出质量</w:t>
            </w:r>
          </w:p>
        </w:tc>
        <w:tc>
          <w:tcPr>
            <w:tcW w:w="858" w:type="pct"/>
            <w:shd w:val="clear" w:color="auto" w:fill="FFFFFF"/>
            <w:vAlign w:val="center"/>
          </w:tcPr>
          <w:p w14:paraId="470FEBE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质量达标率</w:t>
            </w:r>
          </w:p>
        </w:tc>
        <w:tc>
          <w:tcPr>
            <w:tcW w:w="364" w:type="pct"/>
            <w:shd w:val="clear" w:color="000000" w:fill="FFFFFF"/>
            <w:vAlign w:val="center"/>
          </w:tcPr>
          <w:p w14:paraId="477BB61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w:t>
            </w:r>
          </w:p>
        </w:tc>
        <w:tc>
          <w:tcPr>
            <w:tcW w:w="525" w:type="pct"/>
            <w:shd w:val="clear" w:color="000000" w:fill="FFFFFF"/>
            <w:vAlign w:val="center"/>
          </w:tcPr>
          <w:p w14:paraId="648D227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100%</w:t>
            </w:r>
          </w:p>
        </w:tc>
        <w:tc>
          <w:tcPr>
            <w:tcW w:w="464" w:type="pct"/>
            <w:shd w:val="clear" w:color="000000" w:fill="FFFFFF"/>
            <w:vAlign w:val="center"/>
          </w:tcPr>
          <w:p w14:paraId="29D7A3E6">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lang w:val="en-US" w:eastAsia="zh-CN"/>
              </w:rPr>
              <w:t>100</w:t>
            </w:r>
            <w:r>
              <w:rPr>
                <w:rFonts w:ascii="Times New Roman" w:hAnsi="Times New Roman"/>
                <w:color w:val="000000"/>
                <w:kern w:val="0"/>
                <w:sz w:val="22"/>
                <w:szCs w:val="22"/>
                <w:highlight w:val="none"/>
              </w:rPr>
              <w:t>%</w:t>
            </w:r>
          </w:p>
        </w:tc>
        <w:tc>
          <w:tcPr>
            <w:tcW w:w="610" w:type="pct"/>
            <w:shd w:val="clear" w:color="000000" w:fill="FFFFFF"/>
            <w:vAlign w:val="center"/>
          </w:tcPr>
          <w:p w14:paraId="3F7DF0CA">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100%</w:t>
            </w:r>
          </w:p>
        </w:tc>
        <w:tc>
          <w:tcPr>
            <w:tcW w:w="481" w:type="pct"/>
            <w:shd w:val="clear" w:color="000000" w:fill="FFFFFF"/>
            <w:vAlign w:val="center"/>
          </w:tcPr>
          <w:p w14:paraId="1B2BD3F9">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w:t>
            </w:r>
          </w:p>
        </w:tc>
      </w:tr>
      <w:tr w14:paraId="3A356A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0" w:hRule="atLeast"/>
          <w:jc w:val="center"/>
        </w:trPr>
        <w:tc>
          <w:tcPr>
            <w:tcW w:w="554" w:type="pct"/>
            <w:vMerge w:val="continue"/>
            <w:shd w:val="clear" w:color="auto" w:fill="FFFFFF"/>
            <w:vAlign w:val="center"/>
          </w:tcPr>
          <w:p w14:paraId="5A3C47BF">
            <w:pPr>
              <w:spacing w:line="0" w:lineRule="atLeast"/>
              <w:jc w:val="center"/>
              <w:rPr>
                <w:rFonts w:ascii="Times New Roman" w:hAnsi="Times New Roman"/>
                <w:color w:val="000000"/>
                <w:kern w:val="0"/>
                <w:sz w:val="22"/>
                <w:szCs w:val="22"/>
                <w:highlight w:val="none"/>
              </w:rPr>
            </w:pPr>
          </w:p>
        </w:tc>
        <w:tc>
          <w:tcPr>
            <w:tcW w:w="497" w:type="pct"/>
            <w:vMerge w:val="continue"/>
            <w:shd w:val="clear" w:color="auto" w:fill="FFFFFF"/>
            <w:vAlign w:val="center"/>
          </w:tcPr>
          <w:p w14:paraId="05782430">
            <w:pPr>
              <w:spacing w:line="0" w:lineRule="atLeast"/>
              <w:jc w:val="center"/>
              <w:rPr>
                <w:rFonts w:ascii="Times New Roman" w:hAnsi="Times New Roman"/>
                <w:color w:val="000000"/>
                <w:kern w:val="0"/>
                <w:sz w:val="22"/>
                <w:szCs w:val="22"/>
                <w:highlight w:val="none"/>
              </w:rPr>
            </w:pPr>
          </w:p>
        </w:tc>
        <w:tc>
          <w:tcPr>
            <w:tcW w:w="644" w:type="pct"/>
            <w:shd w:val="clear" w:color="auto" w:fill="FFFFFF"/>
            <w:vAlign w:val="center"/>
          </w:tcPr>
          <w:p w14:paraId="20ECC3B9">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产出时效</w:t>
            </w:r>
          </w:p>
        </w:tc>
        <w:tc>
          <w:tcPr>
            <w:tcW w:w="858" w:type="pct"/>
            <w:shd w:val="clear" w:color="auto" w:fill="FFFFFF"/>
            <w:vAlign w:val="center"/>
          </w:tcPr>
          <w:p w14:paraId="58CB1D3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完成及时性</w:t>
            </w:r>
          </w:p>
        </w:tc>
        <w:tc>
          <w:tcPr>
            <w:tcW w:w="364" w:type="pct"/>
            <w:shd w:val="clear" w:color="000000" w:fill="FFFFFF"/>
            <w:vAlign w:val="center"/>
          </w:tcPr>
          <w:p w14:paraId="06DE2B1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w:t>
            </w:r>
          </w:p>
        </w:tc>
        <w:tc>
          <w:tcPr>
            <w:tcW w:w="525" w:type="pct"/>
            <w:shd w:val="clear" w:color="000000" w:fill="FFFFFF"/>
            <w:vAlign w:val="center"/>
          </w:tcPr>
          <w:p w14:paraId="6294DA8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及时</w:t>
            </w:r>
          </w:p>
        </w:tc>
        <w:tc>
          <w:tcPr>
            <w:tcW w:w="464" w:type="pct"/>
            <w:shd w:val="clear" w:color="000000" w:fill="FFFFFF"/>
            <w:vAlign w:val="center"/>
          </w:tcPr>
          <w:p w14:paraId="5D5CEC3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及时</w:t>
            </w:r>
          </w:p>
        </w:tc>
        <w:tc>
          <w:tcPr>
            <w:tcW w:w="610" w:type="pct"/>
            <w:shd w:val="clear" w:color="000000" w:fill="FFFFFF"/>
            <w:vAlign w:val="center"/>
          </w:tcPr>
          <w:p w14:paraId="188ADE72">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100%</w:t>
            </w:r>
          </w:p>
        </w:tc>
        <w:tc>
          <w:tcPr>
            <w:tcW w:w="481" w:type="pct"/>
            <w:shd w:val="clear" w:color="000000" w:fill="FFFFFF"/>
            <w:vAlign w:val="center"/>
          </w:tcPr>
          <w:p w14:paraId="01BE8EEA">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w:t>
            </w:r>
          </w:p>
        </w:tc>
      </w:tr>
      <w:tr w14:paraId="49AB31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0" w:hRule="atLeast"/>
          <w:jc w:val="center"/>
        </w:trPr>
        <w:tc>
          <w:tcPr>
            <w:tcW w:w="554" w:type="pct"/>
            <w:vMerge w:val="continue"/>
            <w:shd w:val="clear" w:color="auto" w:fill="FFFFFF"/>
            <w:vAlign w:val="center"/>
          </w:tcPr>
          <w:p w14:paraId="450C49DD">
            <w:pPr>
              <w:widowControl/>
              <w:spacing w:line="0" w:lineRule="atLeast"/>
              <w:jc w:val="center"/>
              <w:rPr>
                <w:rFonts w:ascii="Times New Roman" w:hAnsi="Times New Roman"/>
                <w:color w:val="000000"/>
                <w:kern w:val="0"/>
                <w:sz w:val="22"/>
                <w:szCs w:val="22"/>
                <w:highlight w:val="none"/>
              </w:rPr>
            </w:pPr>
          </w:p>
        </w:tc>
        <w:tc>
          <w:tcPr>
            <w:tcW w:w="497" w:type="pct"/>
            <w:vMerge w:val="continue"/>
            <w:shd w:val="clear" w:color="auto" w:fill="FFFFFF"/>
            <w:vAlign w:val="center"/>
          </w:tcPr>
          <w:p w14:paraId="7D4762BD">
            <w:pPr>
              <w:widowControl/>
              <w:spacing w:line="0" w:lineRule="atLeast"/>
              <w:jc w:val="center"/>
              <w:rPr>
                <w:rFonts w:ascii="Times New Roman" w:hAnsi="Times New Roman"/>
                <w:color w:val="000000"/>
                <w:kern w:val="0"/>
                <w:sz w:val="22"/>
                <w:szCs w:val="22"/>
                <w:highlight w:val="none"/>
              </w:rPr>
            </w:pPr>
          </w:p>
        </w:tc>
        <w:tc>
          <w:tcPr>
            <w:tcW w:w="644" w:type="pct"/>
            <w:shd w:val="clear" w:color="auto" w:fill="FFFFFF"/>
            <w:vAlign w:val="center"/>
          </w:tcPr>
          <w:p w14:paraId="70DEE4A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产出成本</w:t>
            </w:r>
          </w:p>
        </w:tc>
        <w:tc>
          <w:tcPr>
            <w:tcW w:w="858" w:type="pct"/>
            <w:shd w:val="clear" w:color="auto" w:fill="FFFFFF"/>
            <w:vAlign w:val="center"/>
          </w:tcPr>
          <w:p w14:paraId="57BE572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成本节约率</w:t>
            </w:r>
          </w:p>
        </w:tc>
        <w:tc>
          <w:tcPr>
            <w:tcW w:w="364" w:type="pct"/>
            <w:shd w:val="clear" w:color="000000" w:fill="FFFFFF"/>
            <w:vAlign w:val="center"/>
          </w:tcPr>
          <w:p w14:paraId="65ABED2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w:t>
            </w:r>
          </w:p>
        </w:tc>
        <w:tc>
          <w:tcPr>
            <w:tcW w:w="525" w:type="pct"/>
            <w:shd w:val="clear" w:color="000000" w:fill="FFFFFF"/>
            <w:vAlign w:val="center"/>
          </w:tcPr>
          <w:p w14:paraId="5D6BAC2E">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100%</w:t>
            </w:r>
          </w:p>
        </w:tc>
        <w:tc>
          <w:tcPr>
            <w:tcW w:w="464" w:type="pct"/>
            <w:shd w:val="clear" w:color="000000" w:fill="FFFFFF"/>
            <w:vAlign w:val="center"/>
          </w:tcPr>
          <w:p w14:paraId="695D87A8">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100</w:t>
            </w:r>
            <w:r>
              <w:rPr>
                <w:rFonts w:ascii="Times New Roman" w:hAnsi="Times New Roman"/>
                <w:color w:val="000000"/>
                <w:kern w:val="0"/>
                <w:sz w:val="22"/>
                <w:szCs w:val="22"/>
                <w:highlight w:val="none"/>
              </w:rPr>
              <w:t>%</w:t>
            </w:r>
          </w:p>
        </w:tc>
        <w:tc>
          <w:tcPr>
            <w:tcW w:w="610" w:type="pct"/>
            <w:shd w:val="clear" w:color="000000" w:fill="FFFFFF"/>
            <w:vAlign w:val="center"/>
          </w:tcPr>
          <w:p w14:paraId="01450BA4">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90%</w:t>
            </w:r>
          </w:p>
        </w:tc>
        <w:tc>
          <w:tcPr>
            <w:tcW w:w="481" w:type="pct"/>
            <w:shd w:val="clear" w:color="000000" w:fill="FFFFFF"/>
            <w:vAlign w:val="center"/>
          </w:tcPr>
          <w:p w14:paraId="49905B40">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w:t>
            </w:r>
          </w:p>
        </w:tc>
      </w:tr>
      <w:tr w14:paraId="307763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50" w:hRule="atLeast"/>
          <w:jc w:val="center"/>
        </w:trPr>
        <w:tc>
          <w:tcPr>
            <w:tcW w:w="554" w:type="pct"/>
            <w:vMerge w:val="restart"/>
            <w:shd w:val="clear" w:color="auto" w:fill="FFFFFF"/>
            <w:vAlign w:val="center"/>
          </w:tcPr>
          <w:p w14:paraId="351CCDD5">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效益　</w:t>
            </w:r>
          </w:p>
        </w:tc>
        <w:tc>
          <w:tcPr>
            <w:tcW w:w="497" w:type="pct"/>
            <w:vMerge w:val="restart"/>
            <w:shd w:val="clear" w:color="auto" w:fill="FFFFFF"/>
            <w:vAlign w:val="center"/>
          </w:tcPr>
          <w:p w14:paraId="2C9D48CD">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20分</w:t>
            </w:r>
          </w:p>
        </w:tc>
        <w:tc>
          <w:tcPr>
            <w:tcW w:w="644" w:type="pct"/>
            <w:vMerge w:val="restart"/>
            <w:shd w:val="clear" w:color="auto" w:fill="FFFFFF"/>
            <w:vAlign w:val="center"/>
          </w:tcPr>
          <w:p w14:paraId="28286D1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项目效益　</w:t>
            </w:r>
          </w:p>
        </w:tc>
        <w:tc>
          <w:tcPr>
            <w:tcW w:w="858" w:type="pct"/>
            <w:shd w:val="clear" w:color="auto" w:fill="FFFFFF"/>
            <w:vAlign w:val="center"/>
          </w:tcPr>
          <w:p w14:paraId="7370F607">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实施效益</w:t>
            </w:r>
          </w:p>
          <w:p w14:paraId="1D62A089">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（社会效益、经济效益、可持续效益）</w:t>
            </w:r>
          </w:p>
        </w:tc>
        <w:tc>
          <w:tcPr>
            <w:tcW w:w="364" w:type="pct"/>
            <w:shd w:val="clear" w:color="auto" w:fill="FFFFFF"/>
            <w:vAlign w:val="center"/>
          </w:tcPr>
          <w:p w14:paraId="4A344DF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w:t>
            </w:r>
          </w:p>
        </w:tc>
        <w:tc>
          <w:tcPr>
            <w:tcW w:w="525" w:type="pct"/>
            <w:shd w:val="clear" w:color="auto" w:fill="FFFFFF"/>
            <w:vAlign w:val="center"/>
          </w:tcPr>
          <w:p w14:paraId="63F7A11D">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有效</w:t>
            </w:r>
          </w:p>
        </w:tc>
        <w:tc>
          <w:tcPr>
            <w:tcW w:w="464" w:type="pct"/>
            <w:shd w:val="clear" w:color="auto" w:fill="FFFFFF"/>
            <w:vAlign w:val="center"/>
          </w:tcPr>
          <w:p w14:paraId="1850CAE3">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有效</w:t>
            </w:r>
          </w:p>
        </w:tc>
        <w:tc>
          <w:tcPr>
            <w:tcW w:w="610" w:type="pct"/>
            <w:shd w:val="clear" w:color="auto" w:fill="FFFFFF"/>
            <w:vAlign w:val="center"/>
          </w:tcPr>
          <w:p w14:paraId="55FECC36">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90%</w:t>
            </w:r>
          </w:p>
        </w:tc>
        <w:tc>
          <w:tcPr>
            <w:tcW w:w="481" w:type="pct"/>
            <w:shd w:val="clear" w:color="auto" w:fill="FFFFFF"/>
            <w:vAlign w:val="center"/>
          </w:tcPr>
          <w:p w14:paraId="40AD929B">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w:t>
            </w:r>
          </w:p>
        </w:tc>
      </w:tr>
      <w:tr w14:paraId="19AEAA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4" w:hRule="atLeast"/>
          <w:jc w:val="center"/>
        </w:trPr>
        <w:tc>
          <w:tcPr>
            <w:tcW w:w="554" w:type="pct"/>
            <w:vMerge w:val="continue"/>
            <w:shd w:val="clear" w:color="auto" w:fill="FFFFFF"/>
            <w:vAlign w:val="center"/>
          </w:tcPr>
          <w:p w14:paraId="3F835000">
            <w:pPr>
              <w:widowControl/>
              <w:spacing w:line="0" w:lineRule="atLeast"/>
              <w:jc w:val="center"/>
              <w:rPr>
                <w:rFonts w:ascii="Times New Roman" w:hAnsi="Times New Roman"/>
                <w:color w:val="000000"/>
                <w:kern w:val="0"/>
                <w:sz w:val="22"/>
                <w:szCs w:val="22"/>
                <w:highlight w:val="none"/>
              </w:rPr>
            </w:pPr>
          </w:p>
        </w:tc>
        <w:tc>
          <w:tcPr>
            <w:tcW w:w="497" w:type="pct"/>
            <w:vMerge w:val="continue"/>
            <w:shd w:val="clear" w:color="auto" w:fill="FFFFFF"/>
            <w:vAlign w:val="center"/>
          </w:tcPr>
          <w:p w14:paraId="13B3EC34">
            <w:pPr>
              <w:widowControl/>
              <w:spacing w:line="0" w:lineRule="atLeast"/>
              <w:jc w:val="center"/>
              <w:rPr>
                <w:rFonts w:ascii="Times New Roman" w:hAnsi="Times New Roman"/>
                <w:color w:val="000000"/>
                <w:kern w:val="0"/>
                <w:sz w:val="22"/>
                <w:szCs w:val="22"/>
                <w:highlight w:val="none"/>
              </w:rPr>
            </w:pPr>
          </w:p>
        </w:tc>
        <w:tc>
          <w:tcPr>
            <w:tcW w:w="644" w:type="pct"/>
            <w:vMerge w:val="continue"/>
            <w:shd w:val="clear" w:color="auto" w:fill="FFFFFF"/>
            <w:vAlign w:val="center"/>
          </w:tcPr>
          <w:p w14:paraId="7CD546EE">
            <w:pPr>
              <w:widowControl/>
              <w:spacing w:line="0" w:lineRule="atLeast"/>
              <w:jc w:val="center"/>
              <w:rPr>
                <w:rFonts w:ascii="Times New Roman" w:hAnsi="Times New Roman"/>
                <w:color w:val="000000"/>
                <w:kern w:val="0"/>
                <w:sz w:val="22"/>
                <w:szCs w:val="22"/>
                <w:highlight w:val="none"/>
              </w:rPr>
            </w:pPr>
          </w:p>
        </w:tc>
        <w:tc>
          <w:tcPr>
            <w:tcW w:w="858" w:type="pct"/>
            <w:shd w:val="clear" w:color="auto" w:fill="FFFFFF"/>
            <w:vAlign w:val="center"/>
          </w:tcPr>
          <w:p w14:paraId="3FF723E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满意度</w:t>
            </w:r>
          </w:p>
        </w:tc>
        <w:tc>
          <w:tcPr>
            <w:tcW w:w="364" w:type="pct"/>
            <w:shd w:val="clear" w:color="000000" w:fill="FFFFFF"/>
            <w:vAlign w:val="center"/>
          </w:tcPr>
          <w:p w14:paraId="0B6619BE">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10</w:t>
            </w:r>
          </w:p>
        </w:tc>
        <w:tc>
          <w:tcPr>
            <w:tcW w:w="525" w:type="pct"/>
            <w:shd w:val="clear" w:color="000000" w:fill="FFFFFF"/>
            <w:vAlign w:val="center"/>
          </w:tcPr>
          <w:p w14:paraId="1E00A19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w:t>
            </w:r>
            <w:r>
              <w:rPr>
                <w:rFonts w:hint="eastAsia" w:ascii="Times New Roman" w:hAnsi="Times New Roman"/>
                <w:color w:val="000000"/>
                <w:kern w:val="0"/>
                <w:sz w:val="22"/>
                <w:szCs w:val="22"/>
                <w:highlight w:val="none"/>
              </w:rPr>
              <w:t>90</w:t>
            </w:r>
            <w:r>
              <w:rPr>
                <w:rFonts w:ascii="Times New Roman" w:hAnsi="Times New Roman"/>
                <w:color w:val="000000"/>
                <w:kern w:val="0"/>
                <w:sz w:val="22"/>
                <w:szCs w:val="22"/>
                <w:highlight w:val="none"/>
              </w:rPr>
              <w:t>%</w:t>
            </w:r>
          </w:p>
        </w:tc>
        <w:tc>
          <w:tcPr>
            <w:tcW w:w="464" w:type="pct"/>
            <w:shd w:val="clear" w:color="000000" w:fill="FFFFFF"/>
            <w:vAlign w:val="center"/>
          </w:tcPr>
          <w:p w14:paraId="5C8E8AF1">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90</w:t>
            </w:r>
            <w:r>
              <w:rPr>
                <w:rFonts w:ascii="Times New Roman" w:hAnsi="Times New Roman"/>
                <w:color w:val="000000"/>
                <w:kern w:val="0"/>
                <w:sz w:val="22"/>
                <w:szCs w:val="22"/>
                <w:highlight w:val="none"/>
              </w:rPr>
              <w:t>%</w:t>
            </w:r>
          </w:p>
        </w:tc>
        <w:tc>
          <w:tcPr>
            <w:tcW w:w="610" w:type="pct"/>
            <w:shd w:val="clear" w:color="000000" w:fill="FFFFFF"/>
            <w:vAlign w:val="center"/>
          </w:tcPr>
          <w:p w14:paraId="2D1D9402">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90%</w:t>
            </w:r>
          </w:p>
        </w:tc>
        <w:tc>
          <w:tcPr>
            <w:tcW w:w="481" w:type="pct"/>
            <w:shd w:val="clear" w:color="000000" w:fill="FFFFFF"/>
            <w:vAlign w:val="center"/>
          </w:tcPr>
          <w:p w14:paraId="42EF3891">
            <w:pPr>
              <w:widowControl/>
              <w:spacing w:line="0" w:lineRule="atLeast"/>
              <w:jc w:val="center"/>
              <w:rPr>
                <w:rFonts w:ascii="Times New Roman" w:hAnsi="Times New Roman"/>
                <w:color w:val="000000"/>
                <w:kern w:val="0"/>
                <w:sz w:val="22"/>
                <w:szCs w:val="22"/>
                <w:highlight w:val="none"/>
              </w:rPr>
            </w:pPr>
            <w:r>
              <w:rPr>
                <w:rFonts w:hint="eastAsia" w:ascii="Times New Roman" w:hAnsi="Times New Roman"/>
                <w:color w:val="000000"/>
                <w:kern w:val="0"/>
                <w:sz w:val="22"/>
                <w:szCs w:val="22"/>
                <w:highlight w:val="none"/>
              </w:rPr>
              <w:t>10</w:t>
            </w:r>
          </w:p>
        </w:tc>
      </w:tr>
    </w:tbl>
    <w:p w14:paraId="70796196">
      <w:pPr>
        <w:spacing w:line="560" w:lineRule="exact"/>
        <w:ind w:firstLine="640" w:firstLineChars="200"/>
        <w:rPr>
          <w:rFonts w:ascii="Times New Roman" w:hAnsi="Times New Roman" w:eastAsia="黑体"/>
          <w:sz w:val="32"/>
          <w:szCs w:val="32"/>
          <w:highlight w:val="none"/>
        </w:rPr>
      </w:pPr>
      <w:r>
        <w:rPr>
          <w:rFonts w:ascii="Times New Roman" w:hAnsi="Times New Roman" w:eastAsia="黑体"/>
          <w:sz w:val="32"/>
          <w:szCs w:val="32"/>
          <w:highlight w:val="none"/>
        </w:rPr>
        <w:t>四、绩效评价指标分析</w:t>
      </w:r>
    </w:p>
    <w:p w14:paraId="74AE9B23">
      <w:pPr>
        <w:pStyle w:val="2"/>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（一）项目决策情况</w:t>
      </w:r>
    </w:p>
    <w:p w14:paraId="08F763DF">
      <w:pPr>
        <w:shd w:val="clear"/>
        <w:spacing w:line="600" w:lineRule="exact"/>
        <w:ind w:firstLine="640" w:firstLineChars="200"/>
        <w:outlineLvl w:val="0"/>
        <w:rPr>
          <w:rFonts w:ascii="Times New Roman" w:hAnsi="Times New Roman"/>
          <w:highlight w:val="none"/>
        </w:rPr>
      </w:pPr>
      <w:r>
        <w:rPr>
          <w:rFonts w:hint="eastAsia" w:ascii="Times New Roman" w:hAnsi="Times New Roman" w:eastAsia="仿宋_GB2312" w:cs="仿宋_GB2312"/>
          <w:sz w:val="32"/>
          <w:szCs w:val="32"/>
          <w:highlight w:val="none"/>
          <w:lang w:val="en-US" w:eastAsia="zh-CN"/>
        </w:rPr>
        <w:t>项目决策类指标包括项目立项、绩效目标和资金投入三方面的内容，由6个三级指标构成，权重分值为20分，实际得分19.4分，得分率为97%。</w:t>
      </w:r>
    </w:p>
    <w:p w14:paraId="51091DD2">
      <w:pPr>
        <w:numPr>
          <w:ilvl w:val="0"/>
          <w:numId w:val="0"/>
        </w:numPr>
        <w:spacing w:line="360" w:lineRule="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1.项目立项</w:t>
      </w:r>
    </w:p>
    <w:p w14:paraId="41536D39">
      <w:pPr>
        <w:numPr>
          <w:ilvl w:val="0"/>
          <w:numId w:val="0"/>
        </w:numPr>
        <w:spacing w:line="360" w:lineRule="auto"/>
        <w:ind w:firstLine="320" w:firstLineChars="100"/>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立项依据充分性</w:t>
      </w:r>
    </w:p>
    <w:p w14:paraId="159A00CF">
      <w:pPr>
        <w:spacing w:line="360" w:lineRule="auto"/>
        <w:ind w:firstLine="640" w:firstLineChars="200"/>
        <w:rPr>
          <w:rFonts w:ascii="Times New Roman" w:hAnsi="Times New Roman" w:eastAsia="仿宋_GB2312"/>
          <w:sz w:val="32"/>
          <w:szCs w:val="32"/>
          <w:highlight w:val="none"/>
        </w:rPr>
      </w:pPr>
      <w:r>
        <w:rPr>
          <w:rFonts w:hint="eastAsia" w:ascii="Times New Roman" w:hAnsi="Times New Roman" w:eastAsia="仿宋_GB2312" w:cs="仿宋_GB2312"/>
          <w:sz w:val="32"/>
          <w:szCs w:val="32"/>
          <w:highlight w:val="none"/>
          <w:lang w:val="en-US" w:eastAsia="zh-CN"/>
        </w:rPr>
        <w:t>该项目按照国务院联防联控机制《关于印发做好医疗资源准备工作方案的通知》（联防联控机制综发〔2022〕112号）要求和新冠病毒感染疫情乙类乙管工作要求，有效提升医疗机构重症救治资源储备，扩充ICU和可转化ICU床位数，补齐设备缺口，有效开展疫情期间重症病例救治工作。符合国家相关法律法规及发展政策，符合行业规划要求，围绕本年度工作重点和工作计划制定经费预算，属于公共财政支持范围。本项目与部门内部其他相关项目不重复。</w:t>
      </w:r>
    </w:p>
    <w:p w14:paraId="742C2779">
      <w:pPr>
        <w:spacing w:line="360" w:lineRule="auto"/>
        <w:ind w:firstLine="320" w:firstLineChars="100"/>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立项程序规范性</w:t>
      </w:r>
    </w:p>
    <w:p w14:paraId="0CA5925D">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rPr>
        <w:t>项目申请、设立过程符合相关要求，</w:t>
      </w:r>
      <w:r>
        <w:rPr>
          <w:rFonts w:hint="eastAsia" w:ascii="Times New Roman" w:hAnsi="Times New Roman" w:eastAsia="仿宋_GB2312" w:cs="仿宋_GB2312"/>
          <w:sz w:val="32"/>
          <w:szCs w:val="32"/>
          <w:highlight w:val="none"/>
          <w:lang w:eastAsia="zh-Hans"/>
        </w:rPr>
        <w:t>严格按照审批流程准备符合要求的文件、材料；</w:t>
      </w:r>
      <w:r>
        <w:rPr>
          <w:rFonts w:hint="eastAsia" w:ascii="Times New Roman" w:hAnsi="Times New Roman" w:eastAsia="仿宋_GB2312" w:cs="仿宋_GB2312"/>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风险评估、绩效评估、集体决策，保障了程序的规范性。</w:t>
      </w:r>
    </w:p>
    <w:p w14:paraId="5798E06A">
      <w:pPr>
        <w:numPr>
          <w:ilvl w:val="0"/>
          <w:numId w:val="0"/>
        </w:numPr>
        <w:spacing w:line="360" w:lineRule="auto"/>
        <w:ind w:left="0" w:leftChars="0" w:firstLine="320" w:firstLineChars="100"/>
        <w:rPr>
          <w:rFonts w:hint="eastAsia" w:ascii="Times New Roman" w:hAnsi="Times New Roman" w:eastAsia="仿宋_GB2312"/>
          <w:sz w:val="32"/>
          <w:szCs w:val="32"/>
          <w:highlight w:val="none"/>
          <w:lang w:val="en-US" w:eastAsia="zh-CN"/>
        </w:rPr>
      </w:pPr>
      <w:r>
        <w:rPr>
          <w:rFonts w:hint="eastAsia" w:ascii="Times New Roman" w:hAnsi="Times New Roman" w:eastAsia="仿宋_GB2312" w:cs="Times New Roman"/>
          <w:kern w:val="2"/>
          <w:sz w:val="32"/>
          <w:szCs w:val="32"/>
          <w:highlight w:val="none"/>
          <w:lang w:val="en-US" w:eastAsia="zh-CN" w:bidi="ar-SA"/>
        </w:rPr>
        <w:t>2.</w:t>
      </w:r>
      <w:r>
        <w:rPr>
          <w:rFonts w:hint="eastAsia" w:ascii="Times New Roman" w:hAnsi="Times New Roman" w:eastAsia="仿宋_GB2312"/>
          <w:sz w:val="32"/>
          <w:szCs w:val="32"/>
          <w:highlight w:val="none"/>
          <w:lang w:val="en-US" w:eastAsia="zh-CN"/>
        </w:rPr>
        <w:t>绩效目标</w:t>
      </w:r>
    </w:p>
    <w:p w14:paraId="581C4702">
      <w:pPr>
        <w:numPr>
          <w:ilvl w:val="0"/>
          <w:numId w:val="0"/>
        </w:numPr>
        <w:spacing w:line="360" w:lineRule="auto"/>
        <w:ind w:leftChars="100"/>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绩效目标合理性</w:t>
      </w:r>
    </w:p>
    <w:p w14:paraId="120593A4">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Hans"/>
        </w:rPr>
        <w:t>年初结合实际工作内容</w:t>
      </w:r>
      <w:r>
        <w:rPr>
          <w:rFonts w:hint="eastAsia" w:ascii="Times New Roman" w:hAnsi="Times New Roman" w:eastAsia="仿宋_GB2312" w:cs="仿宋_GB2312"/>
          <w:sz w:val="32"/>
          <w:szCs w:val="32"/>
          <w:highlight w:val="none"/>
          <w:lang w:val="en-US" w:eastAsia="zh-CN"/>
        </w:rPr>
        <w:t>设定绩效目标</w:t>
      </w:r>
      <w:r>
        <w:rPr>
          <w:rFonts w:hint="eastAsia" w:ascii="Times New Roman" w:hAnsi="Times New Roman" w:eastAsia="仿宋_GB2312" w:cs="仿宋_GB2312"/>
          <w:sz w:val="32"/>
          <w:szCs w:val="32"/>
          <w:highlight w:val="none"/>
          <w:lang w:val="en-US" w:eastAsia="zh-Hans"/>
        </w:rPr>
        <w:t>，绩效目标</w:t>
      </w:r>
      <w:r>
        <w:rPr>
          <w:rFonts w:hint="eastAsia" w:ascii="Times New Roman" w:hAnsi="Times New Roman" w:eastAsia="仿宋_GB2312" w:cs="仿宋_GB2312"/>
          <w:sz w:val="32"/>
          <w:szCs w:val="32"/>
          <w:highlight w:val="none"/>
          <w:lang w:val="en-US" w:eastAsia="zh-CN"/>
        </w:rPr>
        <w:t>依据充分，符合客观实际，能反映和考核项目绩效目标与项目实施的相符情况，依据绩效目标设定的绩效指标清晰、细化、可衡量，能反映和考核项目绩效目标</w:t>
      </w:r>
      <w:r>
        <w:rPr>
          <w:rFonts w:hint="eastAsia" w:eastAsia="仿宋_GB2312" w:cs="仿宋_GB2312"/>
          <w:sz w:val="32"/>
          <w:szCs w:val="32"/>
          <w:highlight w:val="none"/>
          <w:lang w:val="en-US" w:eastAsia="zh-CN"/>
        </w:rPr>
        <w:t>的</w:t>
      </w:r>
      <w:r>
        <w:rPr>
          <w:rFonts w:hint="eastAsia" w:ascii="Times New Roman" w:hAnsi="Times New Roman" w:eastAsia="仿宋_GB2312" w:cs="仿宋_GB2312"/>
          <w:sz w:val="32"/>
          <w:szCs w:val="32"/>
          <w:highlight w:val="none"/>
          <w:lang w:val="en-US" w:eastAsia="zh-CN"/>
        </w:rPr>
        <w:t>细化情况。绩效目标表经过审核，绩效目标与实际工作内容具有相关性，预算与确定的项目投资额相匹配，对项目任务进行了详细分解。项目预期产出效益及效果符合正常的业绩水平。</w:t>
      </w:r>
    </w:p>
    <w:p w14:paraId="2AE12DF3">
      <w:pPr>
        <w:spacing w:line="360" w:lineRule="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绩效指标明确性</w:t>
      </w:r>
    </w:p>
    <w:p w14:paraId="73EA58F9">
      <w:pPr>
        <w:spacing w:line="360" w:lineRule="auto"/>
        <w:ind w:firstLine="640" w:firstLineChars="20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78F50A09">
      <w:pPr>
        <w:pStyle w:val="17"/>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Times New Roman" w:hAnsi="Times New Roman" w:eastAsia="仿宋_GB2312" w:cs="仿宋_GB2312"/>
          <w:b/>
          <w:bCs/>
          <w:sz w:val="32"/>
          <w:szCs w:val="32"/>
          <w:highlight w:val="none"/>
          <w:lang w:val="en-US" w:eastAsia="zh-CN"/>
        </w:rPr>
      </w:pPr>
      <w:r>
        <w:rPr>
          <w:rFonts w:hint="eastAsia" w:ascii="Times New Roman" w:hAnsi="Times New Roman" w:eastAsia="仿宋_GB2312" w:cs="仿宋_GB2312"/>
          <w:b/>
          <w:bCs/>
          <w:sz w:val="32"/>
          <w:szCs w:val="32"/>
          <w:highlight w:val="none"/>
          <w:lang w:val="en-US" w:eastAsia="zh-CN"/>
        </w:rPr>
        <w:t>3.资金投入</w:t>
      </w:r>
    </w:p>
    <w:p w14:paraId="6D8E3ECE">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（1）预算编制科学性</w:t>
      </w:r>
    </w:p>
    <w:p w14:paraId="4839406D">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预算编制经过科学论证，提供充分的测算依据佐证资料，预算内容与项目内容相匹配。项目投资额与工作任务相匹配。</w:t>
      </w:r>
    </w:p>
    <w:p w14:paraId="2EB8D00A">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（2）资金分配合理性</w:t>
      </w:r>
    </w:p>
    <w:p w14:paraId="6E5A4418">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资金分配额度与项目单位实际工作内容相适应，资金分配额度合理，资金分配依据充分。</w:t>
      </w:r>
    </w:p>
    <w:p w14:paraId="376166BA">
      <w:pPr>
        <w:pStyle w:val="2"/>
        <w:numPr>
          <w:ilvl w:val="0"/>
          <w:numId w:val="5"/>
        </w:numPr>
        <w:spacing w:before="0" w:after="0" w:line="560" w:lineRule="exact"/>
        <w:ind w:firstLine="643" w:firstLineChars="200"/>
        <w:jc w:val="both"/>
        <w:rPr>
          <w:rFonts w:ascii="Times New Roman" w:hAnsi="Times New Roman" w:eastAsia="楷体" w:cs="楷体"/>
          <w:highlight w:val="none"/>
        </w:rPr>
      </w:pPr>
      <w:r>
        <w:rPr>
          <w:rFonts w:hint="eastAsia" w:ascii="Times New Roman" w:hAnsi="Times New Roman" w:eastAsia="楷体" w:cs="楷体"/>
          <w:highlight w:val="none"/>
        </w:rPr>
        <w:t>项目过程情况</w:t>
      </w:r>
    </w:p>
    <w:p w14:paraId="548FC4A4">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项目过程类指标包括资金管理和组织实施两方面的内容，由5个三级指标构成，权重分值为20分，实际得分20分，得分率为100%。</w:t>
      </w:r>
    </w:p>
    <w:p w14:paraId="7640243F">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2D9422B5">
      <w:pPr>
        <w:numPr>
          <w:ilvl w:val="0"/>
          <w:numId w:val="6"/>
        </w:numPr>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资金管理</w:t>
      </w:r>
    </w:p>
    <w:p w14:paraId="191B416B">
      <w:pPr>
        <w:numPr>
          <w:ilvl w:val="0"/>
          <w:numId w:val="0"/>
        </w:numPr>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资金到位率：</w:t>
      </w:r>
    </w:p>
    <w:p w14:paraId="40F89821">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本项目总投资</w:t>
      </w:r>
      <w:r>
        <w:rPr>
          <w:rFonts w:hint="eastAsia" w:ascii="Times New Roman" w:hAnsi="Times New Roman" w:eastAsia="仿宋_GB2312"/>
          <w:sz w:val="32"/>
          <w:szCs w:val="32"/>
          <w:highlight w:val="none"/>
          <w:lang w:val="en-US" w:eastAsia="zh-CN"/>
        </w:rPr>
        <w:t>1200</w:t>
      </w:r>
      <w:r>
        <w:rPr>
          <w:rFonts w:hint="eastAsia" w:ascii="Times New Roman" w:hAnsi="Times New Roman" w:eastAsia="仿宋_GB2312" w:cs="仿宋_GB2312"/>
          <w:sz w:val="32"/>
          <w:szCs w:val="32"/>
          <w:highlight w:val="none"/>
          <w:lang w:val="en-US" w:eastAsia="zh-CN"/>
        </w:rPr>
        <w:t>万元，财政资金及时足额到位，到位率</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cs="仿宋_GB2312"/>
          <w:sz w:val="32"/>
          <w:szCs w:val="32"/>
          <w:highlight w:val="none"/>
          <w:lang w:val="en-US" w:eastAsia="zh-CN"/>
        </w:rPr>
        <w:t>，预算资金按计划进度执行。</w:t>
      </w:r>
    </w:p>
    <w:p w14:paraId="4E7FC4C8">
      <w:pPr>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预算执行率</w:t>
      </w:r>
    </w:p>
    <w:p w14:paraId="59811461">
      <w:pPr>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预算编制较为详细，项目资金支出总体能够按照预算执行，预算资金支出</w:t>
      </w:r>
      <w:r>
        <w:rPr>
          <w:rFonts w:hint="eastAsia" w:ascii="Times New Roman" w:hAnsi="Times New Roman" w:eastAsia="仿宋_GB2312"/>
          <w:sz w:val="32"/>
          <w:szCs w:val="32"/>
          <w:highlight w:val="none"/>
          <w:lang w:val="en-US" w:eastAsia="zh-CN"/>
        </w:rPr>
        <w:t>1200</w:t>
      </w:r>
      <w:r>
        <w:rPr>
          <w:rFonts w:hint="eastAsia" w:ascii="Times New Roman" w:hAnsi="Times New Roman" w:eastAsia="仿宋_GB2312"/>
          <w:sz w:val="32"/>
          <w:szCs w:val="32"/>
          <w:highlight w:val="none"/>
        </w:rPr>
        <w:t>万元，预算执行率为</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p>
    <w:p w14:paraId="10C06A2A">
      <w:pPr>
        <w:rPr>
          <w:rFonts w:ascii="Times New Roman" w:hAnsi="Times New Roman" w:eastAsia="仿宋_GB2312"/>
          <w:sz w:val="32"/>
          <w:szCs w:val="32"/>
          <w:highlight w:val="none"/>
        </w:rPr>
      </w:pP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资金使用合规性</w:t>
      </w:r>
    </w:p>
    <w:p w14:paraId="17BAB9D5">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4AD49A91">
      <w:pPr>
        <w:numPr>
          <w:ilvl w:val="0"/>
          <w:numId w:val="6"/>
        </w:numPr>
        <w:ind w:left="0" w:leftChars="0" w:firstLine="0" w:firstLineChars="0"/>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组织实施</w:t>
      </w:r>
    </w:p>
    <w:p w14:paraId="2395A0F1">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55FFA8D9">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（2）制度执行有效性</w:t>
      </w:r>
    </w:p>
    <w:p w14:paraId="05455AFD">
      <w:pPr>
        <w:shd w:val="clear"/>
        <w:spacing w:line="600" w:lineRule="exact"/>
        <w:ind w:firstLine="640" w:firstLineChars="200"/>
        <w:outlineLvl w:val="0"/>
        <w:rPr>
          <w:rFonts w:ascii="Times New Roman" w:hAnsi="Times New Roman" w:eastAsia="仿宋_GB2312"/>
          <w:sz w:val="32"/>
          <w:szCs w:val="32"/>
          <w:highlight w:val="none"/>
        </w:rPr>
      </w:pPr>
      <w:r>
        <w:rPr>
          <w:rFonts w:hint="eastAsia" w:ascii="Times New Roman" w:hAnsi="Times New Roman" w:eastAsia="仿宋_GB2312" w:cs="仿宋_GB2312"/>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14:paraId="381BC467">
      <w:pPr>
        <w:pStyle w:val="10"/>
        <w:numPr>
          <w:ilvl w:val="0"/>
          <w:numId w:val="5"/>
        </w:numPr>
        <w:spacing w:line="560" w:lineRule="exact"/>
        <w:ind w:firstLine="643"/>
        <w:rPr>
          <w:rFonts w:ascii="Times New Roman" w:hAnsi="Times New Roman" w:eastAsia="楷体_GB2312"/>
          <w:b/>
          <w:bCs/>
          <w:sz w:val="32"/>
          <w:szCs w:val="32"/>
          <w:highlight w:val="none"/>
        </w:rPr>
      </w:pPr>
      <w:r>
        <w:rPr>
          <w:rFonts w:ascii="Times New Roman" w:hAnsi="Times New Roman" w:eastAsia="楷体_GB2312"/>
          <w:b/>
          <w:bCs/>
          <w:sz w:val="32"/>
          <w:szCs w:val="32"/>
          <w:highlight w:val="none"/>
        </w:rPr>
        <w:t>项目产出</w:t>
      </w:r>
    </w:p>
    <w:p w14:paraId="2DCB68D5">
      <w:pPr>
        <w:shd w:val="clear"/>
        <w:spacing w:line="600" w:lineRule="exact"/>
        <w:ind w:firstLine="640" w:firstLineChars="200"/>
        <w:outlineLvl w:val="0"/>
        <w:rPr>
          <w:rFonts w:hint="default"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项目产出类指标包括产出数量、产出质量、产出时效、产出成本四方面的内容，由5个三级指标构成，权重分为40分，实际得分39分，得分率为97.5%。具体产出指标完成情况如下：</w:t>
      </w:r>
    </w:p>
    <w:p w14:paraId="754C5998">
      <w:pPr>
        <w:snapToGrid w:val="0"/>
        <w:spacing w:line="560" w:lineRule="exact"/>
        <w:ind w:firstLine="627" w:firstLineChars="200"/>
        <w:rPr>
          <w:rStyle w:val="14"/>
          <w:rFonts w:ascii="Times New Roman" w:hAnsi="Times New Roman" w:eastAsia="仿宋_GB2312"/>
          <w:bCs w:val="0"/>
          <w:spacing w:val="-4"/>
          <w:sz w:val="32"/>
          <w:szCs w:val="32"/>
          <w:highlight w:val="none"/>
        </w:rPr>
      </w:pPr>
      <w:r>
        <w:rPr>
          <w:rStyle w:val="14"/>
          <w:rFonts w:ascii="Times New Roman" w:hAnsi="Times New Roman" w:eastAsia="仿宋_GB2312"/>
          <w:bCs w:val="0"/>
          <w:spacing w:val="-4"/>
          <w:sz w:val="32"/>
          <w:szCs w:val="32"/>
          <w:highlight w:val="none"/>
        </w:rPr>
        <w:t>数量指标方面：</w:t>
      </w:r>
    </w:p>
    <w:p w14:paraId="45E64653">
      <w:pPr>
        <w:snapToGrid w:val="0"/>
        <w:spacing w:line="560" w:lineRule="exact"/>
        <w:ind w:firstLine="624" w:firstLineChars="200"/>
        <w:rPr>
          <w:rStyle w:val="14"/>
          <w:rFonts w:ascii="Times New Roman" w:hAnsi="Times New Roman" w:eastAsia="仿宋_GB2312"/>
          <w:b w:val="0"/>
          <w:spacing w:val="-4"/>
          <w:sz w:val="32"/>
          <w:szCs w:val="32"/>
          <w:highlight w:val="none"/>
        </w:rPr>
      </w:pPr>
      <w:r>
        <w:rPr>
          <w:rStyle w:val="14"/>
          <w:rFonts w:ascii="Times New Roman" w:hAnsi="Times New Roman" w:eastAsia="仿宋_GB2312"/>
          <w:b w:val="0"/>
          <w:spacing w:val="-4"/>
          <w:sz w:val="32"/>
          <w:szCs w:val="32"/>
          <w:highlight w:val="none"/>
        </w:rPr>
        <w:t>指标1：</w:t>
      </w:r>
      <w:r>
        <w:rPr>
          <w:rStyle w:val="14"/>
          <w:rFonts w:hint="eastAsia" w:ascii="Times New Roman" w:hAnsi="Times New Roman" w:eastAsia="仿宋_GB2312"/>
          <w:b w:val="0"/>
          <w:spacing w:val="-4"/>
          <w:sz w:val="32"/>
          <w:szCs w:val="32"/>
          <w:highlight w:val="none"/>
        </w:rPr>
        <w:t>配置ICU床位数量及配套设备数量</w:t>
      </w:r>
      <w:r>
        <w:rPr>
          <w:rStyle w:val="14"/>
          <w:rFonts w:ascii="Times New Roman" w:hAnsi="Times New Roman" w:eastAsia="仿宋_GB2312"/>
          <w:b w:val="0"/>
          <w:spacing w:val="-4"/>
          <w:sz w:val="32"/>
          <w:szCs w:val="32"/>
          <w:highlight w:val="none"/>
        </w:rPr>
        <w:t>，指标值</w:t>
      </w:r>
      <w:r>
        <w:rPr>
          <w:rStyle w:val="14"/>
          <w:rFonts w:hint="eastAsia" w:eastAsia="仿宋_GB2312"/>
          <w:b w:val="0"/>
          <w:spacing w:val="-4"/>
          <w:sz w:val="32"/>
          <w:szCs w:val="32"/>
          <w:highlight w:val="none"/>
          <w:lang w:eastAsia="zh-CN"/>
        </w:rPr>
        <w:t>：</w:t>
      </w:r>
      <w:r>
        <w:rPr>
          <w:rStyle w:val="14"/>
          <w:rFonts w:hint="eastAsia" w:ascii="Times New Roman" w:hAnsi="Times New Roman" w:eastAsia="仿宋_GB2312"/>
          <w:b w:val="0"/>
          <w:spacing w:val="-4"/>
          <w:sz w:val="32"/>
          <w:szCs w:val="32"/>
          <w:highlight w:val="none"/>
        </w:rPr>
        <w:t>=19床（套）</w:t>
      </w:r>
      <w:r>
        <w:rPr>
          <w:rStyle w:val="14"/>
          <w:rFonts w:ascii="Times New Roman" w:hAnsi="Times New Roman" w:eastAsia="仿宋_GB2312"/>
          <w:b w:val="0"/>
          <w:spacing w:val="-4"/>
          <w:sz w:val="32"/>
          <w:szCs w:val="32"/>
          <w:highlight w:val="none"/>
        </w:rPr>
        <w:t>，实际完成值：</w:t>
      </w:r>
      <w:r>
        <w:rPr>
          <w:rStyle w:val="14"/>
          <w:rFonts w:hint="eastAsia" w:ascii="Times New Roman" w:hAnsi="Times New Roman" w:eastAsia="仿宋_GB2312"/>
          <w:b w:val="0"/>
          <w:spacing w:val="-4"/>
          <w:sz w:val="32"/>
          <w:szCs w:val="32"/>
          <w:highlight w:val="none"/>
        </w:rPr>
        <w:t>20床</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105.26</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，偏差原因：医院根据实际配套设备配置床位数量。</w:t>
      </w:r>
    </w:p>
    <w:p w14:paraId="4ADC4F88">
      <w:pPr>
        <w:spacing w:line="560" w:lineRule="exact"/>
        <w:ind w:firstLine="643" w:firstLineChars="200"/>
        <w:rPr>
          <w:rStyle w:val="16"/>
          <w:rFonts w:ascii="Times New Roman" w:hAnsi="Times New Roman" w:cs="Times New Roman"/>
          <w:b/>
          <w:bCs/>
          <w:color w:val="auto"/>
          <w:highlight w:val="none"/>
        </w:rPr>
      </w:pPr>
      <w:r>
        <w:rPr>
          <w:rStyle w:val="16"/>
          <w:rFonts w:ascii="Times New Roman" w:hAnsi="Times New Roman" w:cs="Times New Roman"/>
          <w:b/>
          <w:bCs/>
          <w:color w:val="auto"/>
          <w:highlight w:val="none"/>
        </w:rPr>
        <w:t>质量指标方面：</w:t>
      </w:r>
    </w:p>
    <w:p w14:paraId="7475E2D8">
      <w:pPr>
        <w:snapToGrid w:val="0"/>
        <w:spacing w:line="560" w:lineRule="exact"/>
        <w:ind w:firstLine="624" w:firstLineChars="200"/>
        <w:rPr>
          <w:rStyle w:val="14"/>
          <w:rFonts w:ascii="Times New Roman" w:hAnsi="Times New Roman" w:eastAsia="仿宋_GB2312"/>
          <w:b w:val="0"/>
          <w:spacing w:val="-4"/>
          <w:sz w:val="32"/>
          <w:szCs w:val="32"/>
          <w:highlight w:val="none"/>
        </w:rPr>
      </w:pPr>
      <w:r>
        <w:rPr>
          <w:rStyle w:val="14"/>
          <w:rFonts w:ascii="Times New Roman" w:hAnsi="Times New Roman" w:eastAsia="仿宋_GB2312"/>
          <w:b w:val="0"/>
          <w:spacing w:val="-4"/>
          <w:sz w:val="32"/>
          <w:szCs w:val="32"/>
          <w:highlight w:val="none"/>
        </w:rPr>
        <w:t>指标1：</w:t>
      </w:r>
      <w:r>
        <w:rPr>
          <w:rStyle w:val="14"/>
          <w:rFonts w:hint="eastAsia" w:ascii="Times New Roman" w:hAnsi="Times New Roman" w:eastAsia="仿宋_GB2312"/>
          <w:b w:val="0"/>
          <w:spacing w:val="-4"/>
          <w:sz w:val="32"/>
          <w:szCs w:val="32"/>
          <w:highlight w:val="none"/>
        </w:rPr>
        <w:t>设备质量合格率</w:t>
      </w:r>
      <w:r>
        <w:rPr>
          <w:rStyle w:val="14"/>
          <w:rFonts w:ascii="Times New Roman" w:hAnsi="Times New Roman" w:eastAsia="仿宋_GB2312"/>
          <w:b w:val="0"/>
          <w:spacing w:val="-4"/>
          <w:sz w:val="32"/>
          <w:szCs w:val="32"/>
          <w:highlight w:val="none"/>
        </w:rPr>
        <w:t xml:space="preserve">，指标值： </w:t>
      </w:r>
      <w:r>
        <w:rPr>
          <w:rStyle w:val="14"/>
          <w:rFonts w:hint="eastAsia" w:ascii="Times New Roman" w:hAnsi="Times New Roman" w:eastAsia="仿宋_GB2312"/>
          <w:b w:val="0"/>
          <w:spacing w:val="-4"/>
          <w:sz w:val="32"/>
          <w:szCs w:val="32"/>
          <w:highlight w:val="none"/>
        </w:rPr>
        <w:t>&gt;95%</w:t>
      </w:r>
      <w:r>
        <w:rPr>
          <w:rStyle w:val="14"/>
          <w:rFonts w:ascii="Times New Roman" w:hAnsi="Times New Roman" w:eastAsia="仿宋_GB2312"/>
          <w:b w:val="0"/>
          <w:spacing w:val="-4"/>
          <w:sz w:val="32"/>
          <w:szCs w:val="32"/>
          <w:highlight w:val="none"/>
        </w:rPr>
        <w:t>，实际完成值：</w:t>
      </w:r>
      <w:r>
        <w:rPr>
          <w:rStyle w:val="14"/>
          <w:rFonts w:hint="eastAsia" w:ascii="Times New Roman" w:hAnsi="Times New Roman" w:eastAsia="仿宋_GB2312"/>
          <w:b w:val="0"/>
          <w:spacing w:val="-4"/>
          <w:sz w:val="32"/>
          <w:szCs w:val="32"/>
          <w:highlight w:val="none"/>
        </w:rPr>
        <w:t>98%</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100</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，偏差原因：无</w:t>
      </w:r>
      <w:r>
        <w:rPr>
          <w:rStyle w:val="14"/>
          <w:rFonts w:ascii="Times New Roman" w:hAnsi="Times New Roman" w:eastAsia="仿宋_GB2312"/>
          <w:b w:val="0"/>
          <w:spacing w:val="-4"/>
          <w:sz w:val="32"/>
          <w:szCs w:val="32"/>
          <w:highlight w:val="none"/>
        </w:rPr>
        <w:t>；</w:t>
      </w:r>
    </w:p>
    <w:p w14:paraId="00D55D51">
      <w:pPr>
        <w:snapToGrid w:val="0"/>
        <w:spacing w:line="560" w:lineRule="exact"/>
        <w:ind w:firstLine="624" w:firstLineChars="200"/>
        <w:rPr>
          <w:rStyle w:val="14"/>
          <w:rFonts w:ascii="Times New Roman" w:hAnsi="Times New Roman" w:eastAsia="仿宋_GB2312"/>
          <w:b w:val="0"/>
          <w:spacing w:val="-4"/>
          <w:sz w:val="32"/>
          <w:szCs w:val="32"/>
          <w:highlight w:val="none"/>
        </w:rPr>
      </w:pPr>
      <w:r>
        <w:rPr>
          <w:rStyle w:val="14"/>
          <w:rFonts w:ascii="Times New Roman" w:hAnsi="Times New Roman" w:eastAsia="仿宋_GB2312"/>
          <w:b w:val="0"/>
          <w:spacing w:val="-4"/>
          <w:sz w:val="32"/>
          <w:szCs w:val="32"/>
          <w:highlight w:val="none"/>
        </w:rPr>
        <w:t>指标</w:t>
      </w:r>
      <w:r>
        <w:rPr>
          <w:rStyle w:val="14"/>
          <w:rFonts w:hint="eastAsia" w:ascii="Times New Roman" w:hAnsi="Times New Roman" w:eastAsia="仿宋_GB2312"/>
          <w:b w:val="0"/>
          <w:spacing w:val="-4"/>
          <w:sz w:val="32"/>
          <w:szCs w:val="32"/>
          <w:highlight w:val="none"/>
        </w:rPr>
        <w:t>2</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设备验收合格率</w:t>
      </w:r>
      <w:r>
        <w:rPr>
          <w:rStyle w:val="14"/>
          <w:rFonts w:ascii="Times New Roman" w:hAnsi="Times New Roman" w:eastAsia="仿宋_GB2312"/>
          <w:b w:val="0"/>
          <w:spacing w:val="-4"/>
          <w:sz w:val="32"/>
          <w:szCs w:val="32"/>
          <w:highlight w:val="none"/>
        </w:rPr>
        <w:t xml:space="preserve">，指标值： </w:t>
      </w:r>
      <w:r>
        <w:rPr>
          <w:rStyle w:val="14"/>
          <w:rFonts w:hint="eastAsia" w:ascii="Times New Roman" w:hAnsi="Times New Roman" w:eastAsia="仿宋_GB2312"/>
          <w:b w:val="0"/>
          <w:spacing w:val="-4"/>
          <w:sz w:val="32"/>
          <w:szCs w:val="32"/>
          <w:highlight w:val="none"/>
        </w:rPr>
        <w:t>&gt;95%</w:t>
      </w:r>
      <w:r>
        <w:rPr>
          <w:rStyle w:val="14"/>
          <w:rFonts w:ascii="Times New Roman" w:hAnsi="Times New Roman" w:eastAsia="仿宋_GB2312"/>
          <w:b w:val="0"/>
          <w:spacing w:val="-4"/>
          <w:sz w:val="32"/>
          <w:szCs w:val="32"/>
          <w:highlight w:val="none"/>
        </w:rPr>
        <w:t>，实际完成值：</w:t>
      </w:r>
      <w:r>
        <w:rPr>
          <w:rStyle w:val="14"/>
          <w:rFonts w:hint="eastAsia" w:ascii="Times New Roman" w:hAnsi="Times New Roman" w:eastAsia="仿宋_GB2312"/>
          <w:b w:val="0"/>
          <w:spacing w:val="-4"/>
          <w:sz w:val="32"/>
          <w:szCs w:val="32"/>
          <w:highlight w:val="none"/>
        </w:rPr>
        <w:t>98%</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100</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，偏差原因：无。</w:t>
      </w:r>
    </w:p>
    <w:p w14:paraId="27A9525B">
      <w:pPr>
        <w:pStyle w:val="2"/>
        <w:spacing w:before="0" w:after="0" w:line="560" w:lineRule="exact"/>
        <w:ind w:firstLine="643" w:firstLineChars="200"/>
        <w:jc w:val="both"/>
        <w:rPr>
          <w:rStyle w:val="16"/>
          <w:rFonts w:ascii="Times New Roman" w:hAnsi="Times New Roman" w:cs="Times New Roman"/>
          <w:color w:val="auto"/>
          <w:highlight w:val="none"/>
        </w:rPr>
      </w:pPr>
      <w:r>
        <w:rPr>
          <w:rStyle w:val="16"/>
          <w:rFonts w:ascii="Times New Roman" w:hAnsi="Times New Roman" w:cs="Times New Roman"/>
          <w:color w:val="auto"/>
          <w:highlight w:val="none"/>
        </w:rPr>
        <w:t>成本指标方面：</w:t>
      </w:r>
    </w:p>
    <w:p w14:paraId="00DFA827">
      <w:pPr>
        <w:snapToGrid w:val="0"/>
        <w:spacing w:line="560" w:lineRule="exact"/>
        <w:ind w:firstLine="624" w:firstLineChars="200"/>
        <w:rPr>
          <w:rStyle w:val="14"/>
          <w:rFonts w:ascii="Times New Roman" w:hAnsi="Times New Roman" w:eastAsia="仿宋_GB2312"/>
          <w:b w:val="0"/>
          <w:spacing w:val="-4"/>
          <w:sz w:val="32"/>
          <w:szCs w:val="32"/>
          <w:highlight w:val="none"/>
        </w:rPr>
      </w:pPr>
      <w:r>
        <w:rPr>
          <w:rStyle w:val="14"/>
          <w:rFonts w:ascii="Times New Roman" w:hAnsi="Times New Roman" w:eastAsia="仿宋_GB2312"/>
          <w:b w:val="0"/>
          <w:spacing w:val="-4"/>
          <w:sz w:val="32"/>
          <w:szCs w:val="32"/>
          <w:highlight w:val="none"/>
        </w:rPr>
        <w:t>指标1：</w:t>
      </w:r>
      <w:r>
        <w:rPr>
          <w:rStyle w:val="14"/>
          <w:rFonts w:hint="eastAsia" w:ascii="Times New Roman" w:hAnsi="Times New Roman" w:eastAsia="仿宋_GB2312"/>
          <w:b w:val="0"/>
          <w:spacing w:val="-4"/>
          <w:sz w:val="32"/>
          <w:szCs w:val="32"/>
          <w:highlight w:val="none"/>
        </w:rPr>
        <w:t>设备采购成本控制数</w:t>
      </w:r>
      <w:r>
        <w:rPr>
          <w:rStyle w:val="14"/>
          <w:rFonts w:ascii="Times New Roman" w:hAnsi="Times New Roman" w:eastAsia="仿宋_GB2312"/>
          <w:b w:val="0"/>
          <w:spacing w:val="-4"/>
          <w:sz w:val="32"/>
          <w:szCs w:val="32"/>
          <w:highlight w:val="none"/>
        </w:rPr>
        <w:t>，指标值：</w:t>
      </w:r>
      <w:r>
        <w:rPr>
          <w:rStyle w:val="14"/>
          <w:rFonts w:hint="eastAsia" w:eastAsia="仿宋_GB2312"/>
          <w:b w:val="0"/>
          <w:spacing w:val="-4"/>
          <w:sz w:val="32"/>
          <w:szCs w:val="32"/>
          <w:highlight w:val="none"/>
          <w:lang w:eastAsia="zh-CN"/>
        </w:rPr>
        <w:t>〈</w:t>
      </w:r>
      <w:r>
        <w:rPr>
          <w:rStyle w:val="14"/>
          <w:rFonts w:hint="eastAsia" w:ascii="Times New Roman" w:hAnsi="Times New Roman" w:eastAsia="仿宋_GB2312"/>
          <w:b w:val="0"/>
          <w:spacing w:val="-4"/>
          <w:sz w:val="32"/>
          <w:szCs w:val="32"/>
          <w:highlight w:val="none"/>
        </w:rPr>
        <w:t>=61万元/床</w:t>
      </w:r>
      <w:r>
        <w:rPr>
          <w:rStyle w:val="14"/>
          <w:rFonts w:ascii="Times New Roman" w:hAnsi="Times New Roman" w:eastAsia="仿宋_GB2312"/>
          <w:b w:val="0"/>
          <w:spacing w:val="-4"/>
          <w:sz w:val="32"/>
          <w:szCs w:val="32"/>
          <w:highlight w:val="none"/>
        </w:rPr>
        <w:t>，实际完成值：</w:t>
      </w:r>
      <w:r>
        <w:rPr>
          <w:rStyle w:val="14"/>
          <w:rFonts w:hint="eastAsia" w:ascii="Times New Roman" w:hAnsi="Times New Roman" w:eastAsia="仿宋_GB2312"/>
          <w:b w:val="0"/>
          <w:spacing w:val="-4"/>
          <w:sz w:val="32"/>
          <w:szCs w:val="32"/>
          <w:highlight w:val="none"/>
        </w:rPr>
        <w:t>60万元/床</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100</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，偏差原因：无。</w:t>
      </w:r>
    </w:p>
    <w:p w14:paraId="62F08AC8">
      <w:pPr>
        <w:spacing w:line="560" w:lineRule="exact"/>
        <w:ind w:firstLine="643" w:firstLineChars="200"/>
        <w:rPr>
          <w:rStyle w:val="16"/>
          <w:rFonts w:ascii="Times New Roman" w:hAnsi="Times New Roman" w:cs="Times New Roman"/>
          <w:b/>
          <w:bCs/>
          <w:color w:val="auto"/>
          <w:highlight w:val="none"/>
        </w:rPr>
      </w:pPr>
      <w:r>
        <w:rPr>
          <w:rStyle w:val="16"/>
          <w:rFonts w:ascii="Times New Roman" w:hAnsi="Times New Roman" w:cs="Times New Roman"/>
          <w:b/>
          <w:bCs/>
          <w:color w:val="auto"/>
          <w:highlight w:val="none"/>
        </w:rPr>
        <w:t>时效指标方面：</w:t>
      </w:r>
    </w:p>
    <w:p w14:paraId="07BF725C">
      <w:pPr>
        <w:snapToGrid w:val="0"/>
        <w:spacing w:line="560" w:lineRule="exact"/>
        <w:ind w:firstLine="624" w:firstLineChars="200"/>
        <w:rPr>
          <w:rStyle w:val="14"/>
          <w:rFonts w:ascii="Times New Roman" w:hAnsi="Times New Roman" w:eastAsia="仿宋_GB2312"/>
          <w:b w:val="0"/>
          <w:spacing w:val="-4"/>
          <w:sz w:val="32"/>
          <w:szCs w:val="32"/>
          <w:highlight w:val="none"/>
        </w:rPr>
      </w:pPr>
      <w:r>
        <w:rPr>
          <w:rStyle w:val="14"/>
          <w:rFonts w:ascii="Times New Roman" w:hAnsi="Times New Roman" w:eastAsia="仿宋_GB2312"/>
          <w:b w:val="0"/>
          <w:spacing w:val="-4"/>
          <w:sz w:val="32"/>
          <w:szCs w:val="32"/>
          <w:highlight w:val="none"/>
        </w:rPr>
        <w:t>指标1：</w:t>
      </w:r>
      <w:r>
        <w:rPr>
          <w:rStyle w:val="14"/>
          <w:rFonts w:hint="eastAsia" w:ascii="Times New Roman" w:hAnsi="Times New Roman" w:eastAsia="仿宋_GB2312"/>
          <w:b w:val="0"/>
          <w:spacing w:val="-4"/>
          <w:sz w:val="32"/>
          <w:szCs w:val="32"/>
          <w:highlight w:val="none"/>
        </w:rPr>
        <w:t>床位改造完成时间</w:t>
      </w:r>
      <w:r>
        <w:rPr>
          <w:rStyle w:val="14"/>
          <w:rFonts w:ascii="Times New Roman" w:hAnsi="Times New Roman" w:eastAsia="仿宋_GB2312"/>
          <w:b w:val="0"/>
          <w:spacing w:val="-4"/>
          <w:sz w:val="32"/>
          <w:szCs w:val="32"/>
          <w:highlight w:val="none"/>
        </w:rPr>
        <w:t>，指标值：</w:t>
      </w:r>
      <w:r>
        <w:rPr>
          <w:rStyle w:val="14"/>
          <w:rFonts w:hint="eastAsia" w:ascii="Times New Roman" w:hAnsi="Times New Roman" w:eastAsia="仿宋_GB2312"/>
          <w:b w:val="0"/>
          <w:spacing w:val="-4"/>
          <w:sz w:val="32"/>
          <w:szCs w:val="32"/>
          <w:highlight w:val="none"/>
        </w:rPr>
        <w:t>2022年12月31日前</w:t>
      </w:r>
      <w:r>
        <w:rPr>
          <w:rStyle w:val="14"/>
          <w:rFonts w:ascii="Times New Roman" w:hAnsi="Times New Roman" w:eastAsia="仿宋_GB2312"/>
          <w:b w:val="0"/>
          <w:spacing w:val="-4"/>
          <w:sz w:val="32"/>
          <w:szCs w:val="32"/>
          <w:highlight w:val="none"/>
        </w:rPr>
        <w:t>，实际完成值：</w:t>
      </w:r>
      <w:r>
        <w:rPr>
          <w:rStyle w:val="14"/>
          <w:rFonts w:hint="eastAsia" w:ascii="Times New Roman" w:hAnsi="Times New Roman" w:eastAsia="仿宋_GB2312"/>
          <w:b w:val="0"/>
          <w:spacing w:val="-4"/>
          <w:sz w:val="32"/>
          <w:szCs w:val="32"/>
          <w:highlight w:val="none"/>
        </w:rPr>
        <w:t>2023年1月20日</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100</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，偏差原因：无。</w:t>
      </w:r>
    </w:p>
    <w:p w14:paraId="72D4BA22">
      <w:pPr>
        <w:pStyle w:val="10"/>
        <w:numPr>
          <w:ilvl w:val="0"/>
          <w:numId w:val="5"/>
        </w:numPr>
        <w:spacing w:line="560" w:lineRule="exact"/>
        <w:ind w:firstLine="643"/>
        <w:rPr>
          <w:rFonts w:ascii="Times New Roman" w:hAnsi="Times New Roman" w:eastAsia="楷体_GB2312"/>
          <w:b/>
          <w:bCs/>
          <w:sz w:val="32"/>
          <w:szCs w:val="32"/>
          <w:highlight w:val="none"/>
        </w:rPr>
      </w:pPr>
      <w:r>
        <w:rPr>
          <w:rFonts w:ascii="Times New Roman" w:hAnsi="Times New Roman" w:eastAsia="楷体_GB2312"/>
          <w:b/>
          <w:bCs/>
          <w:sz w:val="32"/>
          <w:szCs w:val="32"/>
          <w:highlight w:val="none"/>
        </w:rPr>
        <w:t>效益情况</w:t>
      </w:r>
    </w:p>
    <w:p w14:paraId="007ACF71">
      <w:pPr>
        <w:shd w:val="clear"/>
        <w:spacing w:line="600" w:lineRule="exact"/>
        <w:ind w:firstLine="640" w:firstLineChars="200"/>
        <w:outlineLvl w:val="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项目效益类指标包括项目实施效益和满意度两方面的内容，由2个三级指标构成，权重分为20分，实际得分19分，得分率为95%。具体效益指标及满意度指标完成情况如下：</w:t>
      </w:r>
    </w:p>
    <w:p w14:paraId="1C49CBEF">
      <w:pPr>
        <w:spacing w:line="560" w:lineRule="exact"/>
        <w:ind w:firstLine="643" w:firstLineChars="200"/>
        <w:rPr>
          <w:rStyle w:val="16"/>
          <w:rFonts w:ascii="Times New Roman" w:hAnsi="Times New Roman" w:cs="Times New Roman"/>
          <w:b/>
          <w:bCs/>
          <w:color w:val="auto"/>
          <w:highlight w:val="none"/>
        </w:rPr>
      </w:pPr>
      <w:r>
        <w:rPr>
          <w:rStyle w:val="16"/>
          <w:rFonts w:hint="eastAsia" w:ascii="Times New Roman" w:hAnsi="Times New Roman" w:cs="Times New Roman"/>
          <w:b/>
          <w:bCs/>
          <w:color w:val="auto"/>
          <w:highlight w:val="none"/>
        </w:rPr>
        <w:t>经济效益指标方面：</w:t>
      </w:r>
    </w:p>
    <w:p w14:paraId="7A1941D1">
      <w:pPr>
        <w:spacing w:line="560" w:lineRule="exact"/>
        <w:ind w:firstLine="640" w:firstLineChars="200"/>
        <w:rPr>
          <w:rStyle w:val="16"/>
          <w:rFonts w:ascii="Times New Roman" w:hAnsi="Times New Roman" w:cs="Times New Roman"/>
          <w:color w:val="auto"/>
          <w:highlight w:val="none"/>
        </w:rPr>
      </w:pPr>
      <w:r>
        <w:rPr>
          <w:rStyle w:val="16"/>
          <w:rFonts w:ascii="Times New Roman" w:hAnsi="Times New Roman" w:cs="Times New Roman"/>
          <w:color w:val="auto"/>
          <w:highlight w:val="none"/>
        </w:rPr>
        <w:t>指标1：</w:t>
      </w:r>
      <w:r>
        <w:rPr>
          <w:rStyle w:val="16"/>
          <w:rFonts w:hint="eastAsia" w:ascii="Times New Roman" w:hAnsi="Times New Roman" w:cs="Times New Roman"/>
          <w:color w:val="auto"/>
          <w:highlight w:val="none"/>
        </w:rPr>
        <w:t>设备利用率</w:t>
      </w:r>
      <w:r>
        <w:rPr>
          <w:rStyle w:val="16"/>
          <w:rFonts w:ascii="Times New Roman" w:hAnsi="Times New Roman" w:cs="Times New Roman"/>
          <w:color w:val="auto"/>
          <w:highlight w:val="none"/>
        </w:rPr>
        <w:t>，指标值</w:t>
      </w:r>
      <w:r>
        <w:rPr>
          <w:rStyle w:val="16"/>
          <w:rFonts w:hint="eastAsia" w:eastAsia="仿宋_GB2312" w:cs="Times New Roman"/>
          <w:color w:val="auto"/>
          <w:highlight w:val="none"/>
          <w:lang w:eastAsia="zh-CN"/>
        </w:rPr>
        <w:t>：</w:t>
      </w:r>
      <w:r>
        <w:rPr>
          <w:rStyle w:val="16"/>
          <w:rFonts w:hint="eastAsia" w:ascii="Times New Roman" w:hAnsi="Times New Roman" w:cs="Times New Roman"/>
          <w:color w:val="auto"/>
          <w:highlight w:val="none"/>
        </w:rPr>
        <w:t>70%</w:t>
      </w:r>
      <w:r>
        <w:rPr>
          <w:rStyle w:val="16"/>
          <w:rFonts w:ascii="Times New Roman" w:hAnsi="Times New Roman" w:cs="Times New Roman"/>
          <w:color w:val="auto"/>
          <w:highlight w:val="none"/>
        </w:rPr>
        <w:t>，实际完成值：</w:t>
      </w:r>
      <w:r>
        <w:rPr>
          <w:rStyle w:val="16"/>
          <w:rFonts w:hint="eastAsia" w:ascii="Times New Roman" w:hAnsi="Times New Roman" w:cs="Times New Roman"/>
          <w:color w:val="auto"/>
          <w:highlight w:val="none"/>
        </w:rPr>
        <w:t>98%</w:t>
      </w:r>
      <w:r>
        <w:rPr>
          <w:rStyle w:val="16"/>
          <w:rFonts w:ascii="Times New Roman" w:hAnsi="Times New Roman" w:cs="Times New Roman"/>
          <w:color w:val="auto"/>
          <w:highlight w:val="none"/>
        </w:rPr>
        <w:t>，指标完成率100%</w:t>
      </w:r>
      <w:r>
        <w:rPr>
          <w:rStyle w:val="14"/>
          <w:rFonts w:hint="eastAsia" w:ascii="Times New Roman" w:hAnsi="Times New Roman" w:eastAsia="仿宋_GB2312"/>
          <w:b w:val="0"/>
          <w:spacing w:val="-4"/>
          <w:sz w:val="32"/>
          <w:szCs w:val="32"/>
          <w:highlight w:val="none"/>
        </w:rPr>
        <w:t>，偏差原因：无</w:t>
      </w:r>
      <w:r>
        <w:rPr>
          <w:rStyle w:val="16"/>
          <w:rFonts w:hint="eastAsia" w:ascii="Times New Roman" w:hAnsi="Times New Roman" w:cs="Times New Roman"/>
          <w:color w:val="auto"/>
          <w:highlight w:val="none"/>
        </w:rPr>
        <w:t>。</w:t>
      </w:r>
    </w:p>
    <w:p w14:paraId="4C6A8FAC">
      <w:pPr>
        <w:spacing w:line="560" w:lineRule="exact"/>
        <w:ind w:firstLine="643" w:firstLineChars="200"/>
        <w:rPr>
          <w:rStyle w:val="16"/>
          <w:rFonts w:ascii="Times New Roman" w:hAnsi="Times New Roman" w:cs="Times New Roman"/>
          <w:b/>
          <w:bCs/>
          <w:color w:val="auto"/>
          <w:highlight w:val="none"/>
        </w:rPr>
      </w:pPr>
      <w:r>
        <w:rPr>
          <w:rStyle w:val="16"/>
          <w:rFonts w:ascii="Times New Roman" w:hAnsi="Times New Roman" w:cs="Times New Roman"/>
          <w:b/>
          <w:bCs/>
          <w:color w:val="auto"/>
          <w:highlight w:val="none"/>
        </w:rPr>
        <w:t>满意度指标方面：</w:t>
      </w:r>
    </w:p>
    <w:p w14:paraId="5DCC94F2">
      <w:pPr>
        <w:snapToGrid w:val="0"/>
        <w:spacing w:line="560" w:lineRule="exact"/>
        <w:ind w:firstLine="624" w:firstLineChars="200"/>
        <w:rPr>
          <w:rStyle w:val="14"/>
          <w:rFonts w:ascii="Times New Roman" w:hAnsi="Times New Roman" w:eastAsia="仿宋_GB2312"/>
          <w:b w:val="0"/>
          <w:spacing w:val="-4"/>
          <w:sz w:val="32"/>
          <w:szCs w:val="32"/>
          <w:highlight w:val="none"/>
        </w:rPr>
      </w:pPr>
      <w:r>
        <w:rPr>
          <w:rStyle w:val="14"/>
          <w:rFonts w:ascii="Times New Roman" w:hAnsi="Times New Roman" w:eastAsia="仿宋_GB2312"/>
          <w:b w:val="0"/>
          <w:spacing w:val="-4"/>
          <w:sz w:val="32"/>
          <w:szCs w:val="32"/>
          <w:highlight w:val="none"/>
        </w:rPr>
        <w:t>指标1：</w:t>
      </w:r>
      <w:r>
        <w:rPr>
          <w:rStyle w:val="14"/>
          <w:rFonts w:hint="eastAsia" w:ascii="Times New Roman" w:hAnsi="Times New Roman" w:eastAsia="仿宋_GB2312"/>
          <w:b w:val="0"/>
          <w:spacing w:val="-4"/>
          <w:sz w:val="32"/>
          <w:szCs w:val="32"/>
          <w:highlight w:val="none"/>
        </w:rPr>
        <w:t>使用人员满意度</w:t>
      </w:r>
      <w:r>
        <w:rPr>
          <w:rStyle w:val="14"/>
          <w:rFonts w:ascii="Times New Roman" w:hAnsi="Times New Roman" w:eastAsia="仿宋_GB2312"/>
          <w:b w:val="0"/>
          <w:spacing w:val="-4"/>
          <w:sz w:val="32"/>
          <w:szCs w:val="32"/>
          <w:highlight w:val="none"/>
        </w:rPr>
        <w:t>，指标值</w:t>
      </w:r>
      <w:r>
        <w:rPr>
          <w:rStyle w:val="14"/>
          <w:rFonts w:hint="eastAsia" w:eastAsia="仿宋_GB2312"/>
          <w:b w:val="0"/>
          <w:spacing w:val="-4"/>
          <w:sz w:val="32"/>
          <w:szCs w:val="32"/>
          <w:highlight w:val="none"/>
          <w:lang w:eastAsia="zh-CN"/>
        </w:rPr>
        <w:t>：</w:t>
      </w:r>
      <w:r>
        <w:rPr>
          <w:rStyle w:val="14"/>
          <w:rFonts w:hint="eastAsia" w:ascii="Times New Roman" w:hAnsi="Times New Roman" w:eastAsia="仿宋_GB2312"/>
          <w:b w:val="0"/>
          <w:spacing w:val="-4"/>
          <w:sz w:val="32"/>
          <w:szCs w:val="32"/>
          <w:highlight w:val="none"/>
        </w:rPr>
        <w:t>90%</w:t>
      </w:r>
      <w:r>
        <w:rPr>
          <w:rStyle w:val="14"/>
          <w:rFonts w:ascii="Times New Roman" w:hAnsi="Times New Roman" w:eastAsia="仿宋_GB2312"/>
          <w:b w:val="0"/>
          <w:spacing w:val="-4"/>
          <w:sz w:val="32"/>
          <w:szCs w:val="32"/>
          <w:highlight w:val="none"/>
        </w:rPr>
        <w:t>，实际完成值：</w:t>
      </w:r>
      <w:r>
        <w:rPr>
          <w:rStyle w:val="14"/>
          <w:rFonts w:hint="eastAsia" w:ascii="Times New Roman" w:hAnsi="Times New Roman" w:eastAsia="仿宋_GB2312"/>
          <w:b w:val="0"/>
          <w:spacing w:val="-4"/>
          <w:sz w:val="32"/>
          <w:szCs w:val="32"/>
          <w:highlight w:val="none"/>
        </w:rPr>
        <w:t>98%</w:t>
      </w:r>
      <w:r>
        <w:rPr>
          <w:rStyle w:val="14"/>
          <w:rFonts w:ascii="Times New Roman" w:hAnsi="Times New Roman" w:eastAsia="仿宋_GB2312"/>
          <w:b w:val="0"/>
          <w:spacing w:val="-4"/>
          <w:sz w:val="32"/>
          <w:szCs w:val="32"/>
          <w:highlight w:val="none"/>
        </w:rPr>
        <w:t>，指标完成率</w:t>
      </w:r>
      <w:r>
        <w:rPr>
          <w:rStyle w:val="14"/>
          <w:rFonts w:hint="eastAsia" w:ascii="Times New Roman" w:hAnsi="Times New Roman" w:eastAsia="仿宋_GB2312"/>
          <w:b w:val="0"/>
          <w:spacing w:val="-4"/>
          <w:sz w:val="32"/>
          <w:szCs w:val="32"/>
          <w:highlight w:val="none"/>
        </w:rPr>
        <w:t>100</w:t>
      </w:r>
      <w:r>
        <w:rPr>
          <w:rStyle w:val="14"/>
          <w:rFonts w:ascii="Times New Roman" w:hAnsi="Times New Roman" w:eastAsia="仿宋_GB2312"/>
          <w:b w:val="0"/>
          <w:spacing w:val="-4"/>
          <w:sz w:val="32"/>
          <w:szCs w:val="32"/>
          <w:highlight w:val="none"/>
        </w:rPr>
        <w:t>%</w:t>
      </w:r>
      <w:r>
        <w:rPr>
          <w:rStyle w:val="14"/>
          <w:rFonts w:hint="eastAsia" w:ascii="Times New Roman" w:hAnsi="Times New Roman" w:eastAsia="仿宋_GB2312"/>
          <w:b w:val="0"/>
          <w:spacing w:val="-4"/>
          <w:sz w:val="32"/>
          <w:szCs w:val="32"/>
          <w:highlight w:val="none"/>
        </w:rPr>
        <w:t>，偏差原因：无。</w:t>
      </w:r>
    </w:p>
    <w:p w14:paraId="2085F94F">
      <w:pPr>
        <w:spacing w:line="560" w:lineRule="exact"/>
        <w:ind w:firstLine="640" w:firstLineChars="200"/>
        <w:rPr>
          <w:rFonts w:ascii="Times New Roman" w:hAnsi="Times New Roman" w:eastAsia="黑体"/>
          <w:sz w:val="32"/>
          <w:szCs w:val="32"/>
          <w:highlight w:val="none"/>
        </w:rPr>
      </w:pPr>
      <w:r>
        <w:rPr>
          <w:rFonts w:ascii="Times New Roman" w:hAnsi="Times New Roman" w:eastAsia="黑体"/>
          <w:sz w:val="32"/>
          <w:szCs w:val="32"/>
          <w:highlight w:val="none"/>
        </w:rPr>
        <w:t>五、</w:t>
      </w:r>
      <w:r>
        <w:rPr>
          <w:rFonts w:hint="eastAsia" w:ascii="Times New Roman" w:hAnsi="Times New Roman" w:eastAsia="黑体"/>
          <w:sz w:val="32"/>
          <w:szCs w:val="32"/>
          <w:highlight w:val="none"/>
        </w:rPr>
        <w:t>预算执行进度与绩效指标总体完成率偏差</w:t>
      </w:r>
    </w:p>
    <w:p w14:paraId="052B1E33">
      <w:pPr>
        <w:pStyle w:val="17"/>
        <w:spacing w:line="560" w:lineRule="exact"/>
        <w:ind w:firstLine="640"/>
        <w:rPr>
          <w:rFonts w:ascii="Times New Roman" w:hAnsi="Times New Roman"/>
          <w:highlight w:val="none"/>
        </w:rPr>
      </w:pPr>
      <w:r>
        <w:rPr>
          <w:rFonts w:hint="eastAsia" w:ascii="Times New Roman" w:hAnsi="Times New Roman" w:eastAsia="仿宋_GB2312"/>
          <w:sz w:val="32"/>
          <w:szCs w:val="32"/>
          <w:highlight w:val="none"/>
        </w:rPr>
        <w:t>自治区本级医疗机构重症床位设备配置经费项目</w:t>
      </w:r>
      <w:r>
        <w:rPr>
          <w:rFonts w:hint="eastAsia" w:ascii="Times New Roman" w:hAnsi="Times New Roman" w:eastAsia="仿宋_GB2312"/>
          <w:sz w:val="32"/>
          <w:szCs w:val="32"/>
          <w:highlight w:val="none"/>
          <w:lang w:val="en-US" w:eastAsia="zh-CN"/>
        </w:rPr>
        <w:t>年初</w:t>
      </w:r>
      <w:r>
        <w:rPr>
          <w:rFonts w:hint="eastAsia" w:ascii="Times New Roman" w:hAnsi="Times New Roman" w:eastAsia="仿宋_GB2312"/>
          <w:sz w:val="32"/>
          <w:szCs w:val="32"/>
          <w:highlight w:val="none"/>
        </w:rPr>
        <w:t>预算1200万元，</w:t>
      </w:r>
      <w:r>
        <w:rPr>
          <w:rFonts w:hint="eastAsia" w:ascii="Times New Roman" w:hAnsi="Times New Roman" w:eastAsia="仿宋_GB2312"/>
          <w:sz w:val="32"/>
          <w:szCs w:val="32"/>
          <w:highlight w:val="none"/>
          <w:lang w:val="en-US" w:eastAsia="zh-CN"/>
        </w:rPr>
        <w:t>全年预算</w:t>
      </w:r>
      <w:r>
        <w:rPr>
          <w:rFonts w:hint="eastAsia" w:ascii="Times New Roman" w:hAnsi="Times New Roman" w:eastAsia="仿宋_GB2312"/>
          <w:sz w:val="32"/>
          <w:szCs w:val="32"/>
          <w:highlight w:val="none"/>
        </w:rPr>
        <w:t>1200万元，实际支出1200万元，预算执行率为100%，项目绩效指标总体完成率为100</w:t>
      </w:r>
      <w:r>
        <w:rPr>
          <w:rFonts w:hint="eastAsia" w:ascii="Times New Roman" w:hAnsi="Times New Roman" w:eastAsia="仿宋_GB2312"/>
          <w:sz w:val="32"/>
          <w:szCs w:val="32"/>
          <w:highlight w:val="none"/>
          <w:lang w:val="en-US" w:eastAsia="zh-CN"/>
        </w:rPr>
        <w:t>.75</w:t>
      </w:r>
      <w:r>
        <w:rPr>
          <w:rFonts w:hint="eastAsia" w:ascii="Times New Roman" w:hAnsi="Times New Roman" w:eastAsia="仿宋_GB2312"/>
          <w:sz w:val="32"/>
          <w:szCs w:val="32"/>
          <w:highlight w:val="none"/>
        </w:rPr>
        <w:t>%，</w:t>
      </w:r>
      <w:r>
        <w:rPr>
          <w:rStyle w:val="14"/>
          <w:rFonts w:hint="eastAsia" w:ascii="Times New Roman" w:hAnsi="Times New Roman" w:eastAsia="仿宋_GB2312"/>
          <w:b w:val="0"/>
          <w:spacing w:val="-4"/>
          <w:kern w:val="2"/>
          <w:sz w:val="32"/>
          <w:szCs w:val="32"/>
          <w:highlight w:val="none"/>
        </w:rPr>
        <w:t>总体偏差率为</w:t>
      </w:r>
      <w:r>
        <w:rPr>
          <w:rStyle w:val="14"/>
          <w:rFonts w:hint="eastAsia" w:ascii="Times New Roman" w:hAnsi="Times New Roman" w:eastAsia="仿宋_GB2312"/>
          <w:b w:val="0"/>
          <w:spacing w:val="-4"/>
          <w:kern w:val="2"/>
          <w:sz w:val="32"/>
          <w:szCs w:val="32"/>
          <w:highlight w:val="none"/>
          <w:lang w:val="en-US" w:eastAsia="zh-CN"/>
        </w:rPr>
        <w:t>0.75</w:t>
      </w:r>
      <w:r>
        <w:rPr>
          <w:rStyle w:val="14"/>
          <w:rFonts w:hint="eastAsia" w:ascii="Times New Roman" w:hAnsi="Times New Roman" w:eastAsia="仿宋_GB2312"/>
          <w:b w:val="0"/>
          <w:spacing w:val="-4"/>
          <w:kern w:val="2"/>
          <w:sz w:val="32"/>
          <w:szCs w:val="32"/>
          <w:highlight w:val="none"/>
        </w:rPr>
        <w:t>%</w:t>
      </w:r>
      <w:r>
        <w:rPr>
          <w:rStyle w:val="14"/>
          <w:rFonts w:hint="eastAsia" w:eastAsia="仿宋_GB2312"/>
          <w:b w:val="0"/>
          <w:spacing w:val="-4"/>
          <w:kern w:val="2"/>
          <w:sz w:val="32"/>
          <w:szCs w:val="32"/>
          <w:highlight w:val="none"/>
          <w:lang w:eastAsia="zh-CN"/>
        </w:rPr>
        <w:t>，</w:t>
      </w:r>
      <w:r>
        <w:rPr>
          <w:rStyle w:val="14"/>
          <w:rFonts w:hint="eastAsia" w:eastAsia="仿宋_GB2312"/>
          <w:b w:val="0"/>
          <w:spacing w:val="-4"/>
          <w:kern w:val="2"/>
          <w:sz w:val="32"/>
          <w:szCs w:val="32"/>
          <w:highlight w:val="none"/>
          <w:lang w:val="en-US" w:eastAsia="zh-CN"/>
        </w:rPr>
        <w:t>偏差原因：配置ICU床位数量及配套设备数量目标值与完成值有偏差，改进措施：将严格按照项目计划实施</w:t>
      </w:r>
      <w:r>
        <w:rPr>
          <w:rFonts w:hint="eastAsia" w:eastAsia="仿宋_GB2312"/>
          <w:sz w:val="32"/>
          <w:szCs w:val="32"/>
          <w:highlight w:val="none"/>
        </w:rPr>
        <w:t>。</w:t>
      </w:r>
    </w:p>
    <w:p w14:paraId="0AFD2B31">
      <w:pPr>
        <w:spacing w:line="560" w:lineRule="exact"/>
        <w:ind w:firstLine="640" w:firstLineChars="200"/>
        <w:rPr>
          <w:rStyle w:val="16"/>
          <w:rFonts w:ascii="Times New Roman" w:hAnsi="Times New Roman" w:cs="Times New Roman"/>
          <w:color w:val="auto"/>
          <w:highlight w:val="none"/>
        </w:rPr>
      </w:pPr>
      <w:r>
        <w:rPr>
          <w:rFonts w:hint="eastAsia" w:ascii="Times New Roman" w:hAnsi="Times New Roman" w:eastAsia="黑体"/>
          <w:sz w:val="32"/>
          <w:szCs w:val="32"/>
          <w:highlight w:val="none"/>
        </w:rPr>
        <w:t>六</w:t>
      </w:r>
      <w:r>
        <w:rPr>
          <w:rFonts w:ascii="Times New Roman" w:hAnsi="Times New Roman" w:eastAsia="黑体"/>
          <w:sz w:val="32"/>
          <w:szCs w:val="32"/>
          <w:highlight w:val="none"/>
        </w:rPr>
        <w:t>、主要经验及做法、存在的问题及原因分析</w:t>
      </w:r>
    </w:p>
    <w:p w14:paraId="7710ADDD">
      <w:pPr>
        <w:spacing w:line="560" w:lineRule="exact"/>
        <w:ind w:firstLine="627" w:firstLineChars="200"/>
        <w:rPr>
          <w:rFonts w:ascii="Times New Roman" w:hAnsi="Times New Roman" w:eastAsia="楷体"/>
          <w:b/>
          <w:spacing w:val="-4"/>
          <w:sz w:val="32"/>
          <w:szCs w:val="32"/>
          <w:highlight w:val="none"/>
        </w:rPr>
      </w:pPr>
      <w:r>
        <w:rPr>
          <w:rFonts w:ascii="Times New Roman" w:hAnsi="Times New Roman" w:eastAsia="楷体"/>
          <w:b/>
          <w:spacing w:val="-4"/>
          <w:sz w:val="32"/>
          <w:szCs w:val="32"/>
          <w:highlight w:val="none"/>
        </w:rPr>
        <w:t>（一）主要经验及做法</w:t>
      </w:r>
    </w:p>
    <w:p w14:paraId="41D14A33">
      <w:pPr>
        <w:spacing w:line="560" w:lineRule="exact"/>
        <w:ind w:firstLine="640" w:firstLineChars="200"/>
        <w:rPr>
          <w:rFonts w:ascii="Times New Roman" w:hAnsi="Times New Roman" w:eastAsia="仿宋_GB2312"/>
          <w:sz w:val="32"/>
          <w:szCs w:val="32"/>
          <w:highlight w:val="none"/>
        </w:rPr>
      </w:pPr>
      <w:r>
        <w:rPr>
          <w:rFonts w:ascii="Times New Roman" w:hAnsi="Times New Roman"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59AA3978">
      <w:pPr>
        <w:pStyle w:val="2"/>
        <w:spacing w:before="0" w:after="0" w:line="560" w:lineRule="exact"/>
        <w:ind w:firstLine="640" w:firstLineChars="200"/>
        <w:jc w:val="left"/>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A4FD339">
      <w:pPr>
        <w:keepNext/>
        <w:keepLines/>
        <w:numPr>
          <w:ilvl w:val="0"/>
          <w:numId w:val="7"/>
        </w:numPr>
        <w:spacing w:line="560" w:lineRule="exact"/>
        <w:ind w:firstLine="643" w:firstLineChars="200"/>
        <w:rPr>
          <w:rFonts w:ascii="Times New Roman" w:hAnsi="Times New Roman" w:eastAsia="楷体_GB2312"/>
          <w:b/>
          <w:bCs/>
          <w:sz w:val="32"/>
          <w:szCs w:val="32"/>
          <w:highlight w:val="none"/>
        </w:rPr>
      </w:pPr>
      <w:r>
        <w:rPr>
          <w:rFonts w:ascii="Times New Roman" w:hAnsi="Times New Roman" w:eastAsia="楷体_GB2312"/>
          <w:b/>
          <w:bCs/>
          <w:sz w:val="32"/>
          <w:szCs w:val="32"/>
          <w:highlight w:val="none"/>
        </w:rPr>
        <w:t>存在的问题及原因分析</w:t>
      </w:r>
    </w:p>
    <w:p w14:paraId="40E7C908">
      <w:pPr>
        <w:pStyle w:val="2"/>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rPr>
        <w:t>本项目</w:t>
      </w:r>
      <w:r>
        <w:rPr>
          <w:rFonts w:ascii="Times New Roman" w:hAnsi="Times New Roman" w:eastAsia="仿宋_GB2312"/>
          <w:b w:val="0"/>
          <w:bCs w:val="0"/>
          <w:kern w:val="2"/>
          <w:highlight w:val="none"/>
        </w:rPr>
        <w:t>202</w:t>
      </w:r>
      <w:r>
        <w:rPr>
          <w:rFonts w:hint="eastAsia" w:ascii="Times New Roman" w:hAnsi="Times New Roman" w:eastAsia="仿宋_GB2312"/>
          <w:b w:val="0"/>
          <w:bCs w:val="0"/>
          <w:kern w:val="2"/>
          <w:highlight w:val="none"/>
        </w:rPr>
        <w:t>3年度无</w:t>
      </w:r>
      <w:r>
        <w:rPr>
          <w:rFonts w:ascii="Times New Roman" w:hAnsi="Times New Roman" w:eastAsia="仿宋_GB2312"/>
          <w:b w:val="0"/>
          <w:bCs w:val="0"/>
          <w:kern w:val="2"/>
          <w:highlight w:val="none"/>
        </w:rPr>
        <w:t>存在的问题</w:t>
      </w:r>
      <w:r>
        <w:rPr>
          <w:rFonts w:hint="eastAsia" w:ascii="Times New Roman" w:hAnsi="Times New Roman" w:eastAsia="仿宋_GB2312"/>
          <w:b w:val="0"/>
          <w:bCs w:val="0"/>
          <w:kern w:val="2"/>
          <w:highlight w:val="none"/>
        </w:rPr>
        <w:t>。</w:t>
      </w:r>
    </w:p>
    <w:p w14:paraId="79430E5A">
      <w:pPr>
        <w:spacing w:line="560" w:lineRule="exact"/>
        <w:ind w:firstLine="640" w:firstLineChars="200"/>
        <w:rPr>
          <w:rFonts w:ascii="Times New Roman" w:hAnsi="Times New Roman" w:eastAsia="黑体"/>
          <w:sz w:val="32"/>
          <w:szCs w:val="32"/>
          <w:highlight w:val="none"/>
        </w:rPr>
      </w:pPr>
      <w:r>
        <w:rPr>
          <w:rFonts w:hint="eastAsia" w:ascii="Times New Roman" w:hAnsi="Times New Roman" w:eastAsia="黑体"/>
          <w:sz w:val="32"/>
          <w:szCs w:val="32"/>
          <w:highlight w:val="none"/>
        </w:rPr>
        <w:t>七、</w:t>
      </w:r>
      <w:r>
        <w:rPr>
          <w:rFonts w:ascii="Times New Roman" w:hAnsi="Times New Roman" w:eastAsia="黑体"/>
          <w:sz w:val="32"/>
          <w:szCs w:val="32"/>
          <w:highlight w:val="none"/>
        </w:rPr>
        <w:t>有关建议</w:t>
      </w:r>
    </w:p>
    <w:p w14:paraId="7F87BB75">
      <w:pPr>
        <w:spacing w:line="560" w:lineRule="exact"/>
        <w:ind w:firstLine="640" w:firstLineChars="200"/>
        <w:rPr>
          <w:rFonts w:hint="eastAsia" w:ascii="Times New Roman" w:hAnsi="Times New Roman" w:eastAsia="仿宋_GB2312" w:cs="仿宋_GB2312"/>
          <w:sz w:val="32"/>
          <w:szCs w:val="28"/>
          <w:highlight w:val="none"/>
        </w:rPr>
      </w:pPr>
      <w:r>
        <w:rPr>
          <w:rFonts w:hint="eastAsia" w:ascii="Times New Roman" w:hAnsi="Times New Roman" w:eastAsia="仿宋_GB2312" w:cs="仿宋_GB2312"/>
          <w:sz w:val="32"/>
          <w:szCs w:val="28"/>
          <w:highlight w:val="none"/>
        </w:rPr>
        <w:t>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p>
    <w:p w14:paraId="7275E7C4">
      <w:pPr>
        <w:pStyle w:val="2"/>
        <w:rPr>
          <w:rFonts w:hint="eastAsia"/>
          <w:lang w:val="en-US" w:eastAsia="zh-CN"/>
        </w:rPr>
      </w:pPr>
    </w:p>
    <w:p w14:paraId="0F6A0567">
      <w:pPr>
        <w:spacing w:line="560" w:lineRule="exact"/>
        <w:ind w:firstLine="640" w:firstLineChars="200"/>
        <w:rPr>
          <w:rFonts w:ascii="Times New Roman" w:hAnsi="Times New Roman" w:eastAsia="黑体"/>
          <w:sz w:val="32"/>
          <w:szCs w:val="32"/>
          <w:highlight w:val="none"/>
        </w:rPr>
      </w:pPr>
      <w:r>
        <w:rPr>
          <w:rFonts w:hint="eastAsia" w:ascii="Times New Roman" w:hAnsi="Times New Roman" w:eastAsia="黑体"/>
          <w:sz w:val="32"/>
          <w:szCs w:val="32"/>
          <w:highlight w:val="none"/>
        </w:rPr>
        <w:t>八、</w:t>
      </w:r>
      <w:r>
        <w:rPr>
          <w:rFonts w:ascii="Times New Roman" w:hAnsi="Times New Roman" w:eastAsia="黑体"/>
          <w:sz w:val="32"/>
          <w:szCs w:val="32"/>
          <w:highlight w:val="none"/>
        </w:rPr>
        <w:t>其他需要说</w:t>
      </w:r>
      <w:bookmarkStart w:id="3" w:name="page8"/>
      <w:bookmarkEnd w:id="3"/>
      <w:r>
        <w:rPr>
          <w:rFonts w:ascii="Times New Roman" w:hAnsi="Times New Roman" w:eastAsia="黑体"/>
          <w:sz w:val="32"/>
          <w:szCs w:val="32"/>
          <w:highlight w:val="none"/>
        </w:rPr>
        <w:t>明的问题</w:t>
      </w:r>
    </w:p>
    <w:p w14:paraId="078EA697">
      <w:pPr>
        <w:pStyle w:val="11"/>
        <w:spacing w:after="0" w:line="560" w:lineRule="exact"/>
        <w:ind w:left="0" w:leftChars="0" w:firstLine="64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本项目无其他需说明的问题。</w:t>
      </w:r>
    </w:p>
    <w:p w14:paraId="71EE7C59">
      <w:pPr>
        <w:pStyle w:val="11"/>
        <w:spacing w:after="0" w:line="560" w:lineRule="exact"/>
        <w:ind w:left="0" w:leftChars="0" w:firstLine="640"/>
        <w:rPr>
          <w:rFonts w:ascii="Times New Roman" w:hAnsi="Times New Roman" w:eastAsia="仿宋_GB2312" w:cs="仿宋_GB2312"/>
          <w:sz w:val="32"/>
          <w:szCs w:val="32"/>
          <w:highlight w:val="none"/>
        </w:rPr>
      </w:pPr>
    </w:p>
    <w:p w14:paraId="3D05301C">
      <w:pPr>
        <w:pStyle w:val="11"/>
        <w:spacing w:after="0" w:line="560" w:lineRule="exact"/>
        <w:ind w:left="0" w:leftChars="0" w:firstLine="640"/>
        <w:rPr>
          <w:rFonts w:ascii="Times New Roman" w:hAnsi="Times New Roman" w:eastAsia="仿宋_GB2312" w:cs="仿宋_GB2312"/>
          <w:sz w:val="32"/>
          <w:szCs w:val="32"/>
          <w:highlight w:val="none"/>
        </w:rPr>
      </w:pPr>
    </w:p>
    <w:p w14:paraId="6C0A1CA9">
      <w:pPr>
        <w:pStyle w:val="11"/>
        <w:spacing w:after="0" w:line="560" w:lineRule="exact"/>
        <w:ind w:left="0" w:leftChars="0" w:firstLine="640"/>
        <w:rPr>
          <w:rFonts w:ascii="Times New Roman" w:hAnsi="Times New Roman" w:eastAsia="仿宋_GB2312" w:cs="仿宋_GB2312"/>
          <w:sz w:val="32"/>
          <w:szCs w:val="32"/>
          <w:highlight w:val="none"/>
        </w:rPr>
      </w:pPr>
    </w:p>
    <w:p w14:paraId="5FD70552">
      <w:pPr>
        <w:pStyle w:val="11"/>
        <w:spacing w:after="0" w:line="560" w:lineRule="exact"/>
        <w:ind w:left="0" w:leftChars="0" w:firstLine="640"/>
        <w:rPr>
          <w:rFonts w:ascii="Times New Roman" w:hAnsi="Times New Roman" w:eastAsia="仿宋_GB2312" w:cs="仿宋_GB2312"/>
          <w:sz w:val="32"/>
          <w:szCs w:val="32"/>
          <w:highlight w:val="none"/>
        </w:rPr>
      </w:pPr>
    </w:p>
    <w:p w14:paraId="51D94CF9">
      <w:pPr>
        <w:pStyle w:val="11"/>
        <w:spacing w:after="0" w:line="560" w:lineRule="exact"/>
        <w:ind w:left="0" w:leftChars="0" w:firstLine="640"/>
        <w:rPr>
          <w:rFonts w:ascii="Times New Roman" w:hAnsi="Times New Roman" w:eastAsia="仿宋_GB2312" w:cs="仿宋_GB2312"/>
          <w:sz w:val="32"/>
          <w:szCs w:val="32"/>
          <w:highlight w:val="none"/>
        </w:rPr>
      </w:pPr>
    </w:p>
    <w:p w14:paraId="2579591C">
      <w:pPr>
        <w:pStyle w:val="11"/>
        <w:spacing w:after="0" w:line="560" w:lineRule="exact"/>
        <w:ind w:left="0" w:leftChars="0" w:firstLine="640"/>
        <w:rPr>
          <w:rFonts w:ascii="Times New Roman" w:hAnsi="Times New Roman" w:eastAsia="仿宋_GB2312" w:cs="仿宋_GB2312"/>
          <w:sz w:val="32"/>
          <w:szCs w:val="32"/>
          <w:highlight w:val="none"/>
        </w:rPr>
      </w:pPr>
    </w:p>
    <w:p w14:paraId="27FBFA06">
      <w:pPr>
        <w:pStyle w:val="11"/>
        <w:spacing w:after="0" w:line="560" w:lineRule="exact"/>
        <w:ind w:left="0" w:leftChars="0" w:firstLine="640"/>
        <w:rPr>
          <w:rFonts w:ascii="Times New Roman" w:hAnsi="Times New Roman" w:eastAsia="仿宋_GB2312" w:cs="仿宋_GB2312"/>
          <w:sz w:val="32"/>
          <w:szCs w:val="32"/>
          <w:highlight w:val="none"/>
        </w:rPr>
      </w:pPr>
    </w:p>
    <w:p w14:paraId="02441875">
      <w:pPr>
        <w:pStyle w:val="11"/>
        <w:spacing w:after="0" w:line="560" w:lineRule="exact"/>
        <w:ind w:left="0" w:leftChars="0" w:firstLine="640"/>
        <w:rPr>
          <w:rFonts w:ascii="Times New Roman" w:hAnsi="Times New Roman" w:eastAsia="仿宋_GB2312" w:cs="仿宋_GB2312"/>
          <w:sz w:val="32"/>
          <w:szCs w:val="32"/>
          <w:highlight w:val="none"/>
        </w:rPr>
      </w:pPr>
    </w:p>
    <w:p w14:paraId="304695DB">
      <w:pPr>
        <w:pStyle w:val="11"/>
        <w:spacing w:after="0" w:line="560" w:lineRule="exact"/>
        <w:ind w:left="0" w:leftChars="0" w:firstLine="640"/>
        <w:rPr>
          <w:rFonts w:ascii="Times New Roman" w:hAnsi="Times New Roman" w:eastAsia="仿宋_GB2312" w:cs="仿宋_GB2312"/>
          <w:sz w:val="32"/>
          <w:szCs w:val="32"/>
          <w:highlight w:val="none"/>
        </w:rPr>
      </w:pPr>
    </w:p>
    <w:p w14:paraId="09F8F36A">
      <w:pPr>
        <w:pStyle w:val="11"/>
        <w:spacing w:after="0" w:line="560" w:lineRule="exact"/>
        <w:ind w:left="0" w:leftChars="0" w:firstLine="640"/>
        <w:rPr>
          <w:rFonts w:ascii="Times New Roman" w:hAnsi="Times New Roman" w:eastAsia="仿宋_GB2312" w:cs="仿宋_GB2312"/>
          <w:sz w:val="32"/>
          <w:szCs w:val="32"/>
          <w:highlight w:val="none"/>
        </w:rPr>
      </w:pPr>
    </w:p>
    <w:p w14:paraId="699096A5">
      <w:pPr>
        <w:pStyle w:val="11"/>
        <w:spacing w:after="0" w:line="560" w:lineRule="exact"/>
        <w:ind w:left="0" w:leftChars="0" w:firstLine="640"/>
        <w:rPr>
          <w:rFonts w:ascii="Times New Roman" w:hAnsi="Times New Roman" w:eastAsia="仿宋_GB2312" w:cs="仿宋_GB2312"/>
          <w:sz w:val="32"/>
          <w:szCs w:val="32"/>
          <w:highlight w:val="none"/>
        </w:rPr>
      </w:pPr>
    </w:p>
    <w:p w14:paraId="51C8A06D">
      <w:pPr>
        <w:pStyle w:val="2"/>
        <w:jc w:val="both"/>
        <w:rPr>
          <w:rFonts w:ascii="Times New Roman" w:hAnsi="Times New Roman"/>
          <w:highlight w:val="none"/>
        </w:rPr>
        <w:sectPr>
          <w:footerReference r:id="rId3" w:type="default"/>
          <w:pgSz w:w="11906" w:h="16838"/>
          <w:pgMar w:top="1440" w:right="1558" w:bottom="1440" w:left="1800" w:header="851" w:footer="992" w:gutter="0"/>
          <w:cols w:space="425" w:num="1"/>
          <w:docGrid w:type="lines" w:linePitch="312" w:charSpace="0"/>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4"/>
        <w:gridCol w:w="1006"/>
        <w:gridCol w:w="2347"/>
      </w:tblGrid>
      <w:tr w14:paraId="4CE1F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5000" w:type="pct"/>
            <w:gridSpan w:val="14"/>
            <w:tcBorders>
              <w:top w:val="nil"/>
              <w:left w:val="nil"/>
              <w:bottom w:val="nil"/>
              <w:right w:val="nil"/>
            </w:tcBorders>
            <w:shd w:val="clear" w:color="auto" w:fill="auto"/>
            <w:vAlign w:val="center"/>
          </w:tcPr>
          <w:p w14:paraId="4DDD3B5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3DD7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6A4454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(2023年度</w:t>
            </w:r>
            <w:r>
              <w:rPr>
                <w:rFonts w:hint="eastAsia" w:ascii="宋体" w:hAnsi="宋体" w:cs="宋体"/>
                <w:i w:val="0"/>
                <w:iCs w:val="0"/>
                <w:color w:val="000000"/>
                <w:kern w:val="0"/>
                <w:sz w:val="22"/>
                <w:szCs w:val="22"/>
                <w:u w:val="none"/>
                <w:lang w:val="en-US" w:eastAsia="zh-CN" w:bidi="ar"/>
              </w:rPr>
              <w:t>）</w:t>
            </w:r>
          </w:p>
        </w:tc>
      </w:tr>
      <w:tr w14:paraId="169E6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2A95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1D70D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自治区2023年第一批疫情防控补助资金</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自治区本级医疗机构重症床位设备配置经费</w:t>
            </w:r>
            <w:r>
              <w:rPr>
                <w:rFonts w:hint="eastAsia" w:ascii="宋体" w:hAnsi="宋体" w:cs="宋体"/>
                <w:i w:val="0"/>
                <w:iCs w:val="0"/>
                <w:color w:val="000000"/>
                <w:kern w:val="0"/>
                <w:sz w:val="18"/>
                <w:szCs w:val="18"/>
                <w:u w:val="none"/>
                <w:lang w:val="en-US" w:eastAsia="zh-CN" w:bidi="ar"/>
              </w:rPr>
              <w:t>）</w:t>
            </w:r>
          </w:p>
        </w:tc>
      </w:tr>
      <w:tr w14:paraId="21426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F2C4C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1B8DE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新疆维吾尔自治区卫生健康委员会</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7483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4E14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新疆维吾尔自治区儿童医院</w:t>
            </w:r>
          </w:p>
        </w:tc>
      </w:tr>
      <w:tr w14:paraId="6C5F3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875CD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9C7FE7">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DF9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6654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77A0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DAB4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33CC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6B9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47E53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34611">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C409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952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bookmarkStart w:id="4" w:name="OLE_LINK1"/>
            <w:r>
              <w:rPr>
                <w:rFonts w:hint="eastAsia" w:ascii="宋体" w:hAnsi="宋体" w:eastAsia="宋体" w:cs="宋体"/>
                <w:i w:val="0"/>
                <w:iCs w:val="0"/>
                <w:color w:val="000000"/>
                <w:kern w:val="0"/>
                <w:sz w:val="18"/>
                <w:szCs w:val="18"/>
                <w:u w:val="none"/>
                <w:lang w:val="en-US" w:eastAsia="zh-CN" w:bidi="ar"/>
              </w:rPr>
              <w:t>1200.00</w:t>
            </w:r>
            <w:bookmarkEnd w:id="4"/>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1CE6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D696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579D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A0F7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C95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14:paraId="5D547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7C9DA">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F6E4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EA2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C8AB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21D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7B25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EE93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DF0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2FE5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8C13C">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DC3D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E56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FD88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F5F12E">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042C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71A8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F64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2391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B062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BB936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F9587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79814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4022D">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F7BA1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国务院联防联控机制《关于印发做好医疗资源准备工作方案的通知》（联防联控机制综发〔2022〕112号）要求和新冠病毒感染疫情乙类乙管工作要求，有效提升医疗机构重症救治资源储备，扩充ICU和可转化ICU床位数，补齐设备缺口，有效开展疫情期间重症病例救治工作。</w:t>
            </w:r>
            <w:bookmarkStart w:id="5" w:name="_GoBack"/>
            <w:bookmarkEnd w:id="5"/>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6A047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提高医院的重症救治水平，确保重症患者能够得到及时、有效</w:t>
            </w:r>
            <w:r>
              <w:rPr>
                <w:rFonts w:hint="eastAsia" w:ascii="宋体" w:hAnsi="宋体" w:cs="宋体"/>
                <w:i w:val="0"/>
                <w:iCs w:val="0"/>
                <w:color w:val="000000"/>
                <w:kern w:val="0"/>
                <w:sz w:val="18"/>
                <w:szCs w:val="18"/>
                <w:u w:val="none"/>
                <w:lang w:val="en-US" w:eastAsia="zh-CN" w:bidi="ar"/>
              </w:rPr>
              <w:t>地</w:t>
            </w:r>
            <w:r>
              <w:rPr>
                <w:rFonts w:hint="eastAsia" w:ascii="宋体" w:hAnsi="宋体" w:eastAsia="宋体" w:cs="宋体"/>
                <w:i w:val="0"/>
                <w:iCs w:val="0"/>
                <w:color w:val="000000"/>
                <w:kern w:val="0"/>
                <w:sz w:val="18"/>
                <w:szCs w:val="18"/>
                <w:u w:val="none"/>
                <w:lang w:val="en-US" w:eastAsia="zh-CN" w:bidi="ar"/>
              </w:rPr>
              <w:t>救治，更好地保障人民群众的生命安全和身体健康。</w:t>
            </w:r>
          </w:p>
        </w:tc>
      </w:tr>
      <w:tr w14:paraId="10829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D53BB4">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3DB2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92CC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A7F2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79A18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2AB62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DCDF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E67F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991D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07BD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D018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4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7965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2646F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D820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7DB7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FB1C9">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A3333">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34F45D">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6DDD3">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88DCC">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8AAA4">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9AEC3">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2659D">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8C554">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CFB5C">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DC485">
            <w:pPr>
              <w:jc w:val="center"/>
              <w:rPr>
                <w:rFonts w:hint="eastAsia" w:ascii="宋体" w:hAnsi="宋体" w:eastAsia="宋体" w:cs="宋体"/>
                <w:b/>
                <w:bCs/>
                <w:i w:val="0"/>
                <w:iCs w:val="0"/>
                <w:color w:val="000000"/>
                <w:sz w:val="18"/>
                <w:szCs w:val="18"/>
                <w:u w:val="none"/>
              </w:rPr>
            </w:pPr>
          </w:p>
        </w:tc>
        <w:tc>
          <w:tcPr>
            <w:tcW w:w="4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FFC79">
            <w:pPr>
              <w:jc w:val="center"/>
              <w:rPr>
                <w:rFonts w:hint="eastAsia" w:ascii="宋体" w:hAnsi="宋体" w:eastAsia="宋体" w:cs="宋体"/>
                <w:b/>
                <w:bCs/>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FFEA4">
            <w:pPr>
              <w:jc w:val="center"/>
              <w:rPr>
                <w:rFonts w:hint="eastAsia" w:ascii="宋体" w:hAnsi="宋体" w:eastAsia="宋体" w:cs="宋体"/>
                <w:b/>
                <w:bCs/>
                <w:i w:val="0"/>
                <w:iCs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6DD62">
            <w:pPr>
              <w:jc w:val="center"/>
              <w:rPr>
                <w:rFonts w:hint="eastAsia" w:ascii="宋体" w:hAnsi="宋体" w:eastAsia="宋体" w:cs="宋体"/>
                <w:b/>
                <w:bCs/>
                <w:i w:val="0"/>
                <w:iCs w:val="0"/>
                <w:color w:val="000000"/>
                <w:sz w:val="18"/>
                <w:szCs w:val="18"/>
                <w:u w:val="none"/>
              </w:rPr>
            </w:pPr>
          </w:p>
        </w:tc>
      </w:tr>
      <w:tr w14:paraId="6A7BE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9D96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5428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B0E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509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配置ICU床位数量及配套设备数量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B37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795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&gt;=19床（套）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946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=20床（套）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2FB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105.26%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1D1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23.68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D5F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CC5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D42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83F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62C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医院根据实际配套设备配置床位数量。</w:t>
            </w:r>
          </w:p>
        </w:tc>
      </w:tr>
      <w:tr w14:paraId="31DE3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19242">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F0E62">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F50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3EE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设备质量合格率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1E9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82B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F95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979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BDA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642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195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9E5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C8C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D08A5">
            <w:pPr>
              <w:jc w:val="center"/>
              <w:rPr>
                <w:rFonts w:hint="eastAsia" w:ascii="宋体" w:hAnsi="宋体" w:eastAsia="宋体" w:cs="宋体"/>
                <w:i w:val="0"/>
                <w:iCs w:val="0"/>
                <w:color w:val="000000"/>
                <w:sz w:val="18"/>
                <w:szCs w:val="18"/>
                <w:u w:val="none"/>
              </w:rPr>
            </w:pPr>
          </w:p>
        </w:tc>
      </w:tr>
      <w:tr w14:paraId="6F7D7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A3241">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D1F80">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DB3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718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191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1AF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FC6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7A9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813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1CD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79E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9AB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F40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CB633">
            <w:pPr>
              <w:jc w:val="center"/>
              <w:rPr>
                <w:rFonts w:hint="eastAsia" w:ascii="宋体" w:hAnsi="宋体" w:eastAsia="宋体" w:cs="宋体"/>
                <w:i w:val="0"/>
                <w:iCs w:val="0"/>
                <w:color w:val="000000"/>
                <w:sz w:val="18"/>
                <w:szCs w:val="18"/>
                <w:u w:val="none"/>
              </w:rPr>
            </w:pPr>
          </w:p>
        </w:tc>
      </w:tr>
      <w:tr w14:paraId="4C740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25E02">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6BA0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17E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087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床位改造完成时间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BC7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41E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2022年12月31日前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A86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2023年1月20日</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76E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049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220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0A9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172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AFC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0C550">
            <w:pPr>
              <w:jc w:val="center"/>
              <w:rPr>
                <w:rFonts w:hint="eastAsia" w:ascii="宋体" w:hAnsi="宋体" w:eastAsia="宋体" w:cs="宋体"/>
                <w:i w:val="0"/>
                <w:iCs w:val="0"/>
                <w:color w:val="000000"/>
                <w:sz w:val="18"/>
                <w:szCs w:val="18"/>
                <w:u w:val="none"/>
              </w:rPr>
            </w:pPr>
          </w:p>
        </w:tc>
      </w:tr>
      <w:tr w14:paraId="49387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BAB5F">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4C1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AF7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643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设备采购成本控制数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B86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C02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&lt;=61万元/床</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87E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=60万元/床</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245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0E1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ECE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9C2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814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E44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D360C">
            <w:pPr>
              <w:jc w:val="center"/>
              <w:rPr>
                <w:rFonts w:hint="eastAsia" w:ascii="宋体" w:hAnsi="宋体" w:eastAsia="宋体" w:cs="宋体"/>
                <w:i w:val="0"/>
                <w:iCs w:val="0"/>
                <w:color w:val="000000"/>
                <w:sz w:val="18"/>
                <w:szCs w:val="18"/>
                <w:u w:val="none"/>
              </w:rPr>
            </w:pPr>
          </w:p>
        </w:tc>
      </w:tr>
      <w:tr w14:paraId="31367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45A24">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922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539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26C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设备利用率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869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BF1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D6A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DF9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F1F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812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CC7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353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736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F27B7">
            <w:pPr>
              <w:jc w:val="center"/>
              <w:rPr>
                <w:rFonts w:hint="eastAsia" w:ascii="宋体" w:hAnsi="宋体" w:eastAsia="宋体" w:cs="宋体"/>
                <w:i w:val="0"/>
                <w:iCs w:val="0"/>
                <w:color w:val="000000"/>
                <w:sz w:val="18"/>
                <w:szCs w:val="18"/>
                <w:u w:val="none"/>
              </w:rPr>
            </w:pPr>
          </w:p>
        </w:tc>
      </w:tr>
      <w:tr w14:paraId="06DEF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C82BA">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71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CD9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AC7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使用人员满意度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79C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25F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96B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06C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A3A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5F3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961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00C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A76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75CD6">
            <w:pPr>
              <w:jc w:val="center"/>
              <w:rPr>
                <w:rFonts w:hint="eastAsia" w:ascii="宋体" w:hAnsi="宋体" w:eastAsia="宋体" w:cs="宋体"/>
                <w:i w:val="0"/>
                <w:iCs w:val="0"/>
                <w:color w:val="000000"/>
                <w:sz w:val="18"/>
                <w:szCs w:val="18"/>
                <w:u w:val="none"/>
              </w:rPr>
            </w:pPr>
          </w:p>
        </w:tc>
      </w:tr>
      <w:tr w14:paraId="0D5BE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333A9B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5ED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374A7DBE">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A6D9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2FE0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80A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98.68分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A1618">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69996">
            <w:pPr>
              <w:rPr>
                <w:rFonts w:hint="eastAsia" w:ascii="宋体" w:hAnsi="宋体" w:eastAsia="宋体" w:cs="宋体"/>
                <w:i w:val="0"/>
                <w:iCs w:val="0"/>
                <w:color w:val="000000"/>
                <w:sz w:val="18"/>
                <w:szCs w:val="18"/>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687C7">
            <w:pP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D1198">
            <w:pP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D836E">
            <w:pPr>
              <w:rPr>
                <w:rFonts w:hint="eastAsia" w:ascii="宋体" w:hAnsi="宋体" w:eastAsia="宋体" w:cs="宋体"/>
                <w:i w:val="0"/>
                <w:iCs w:val="0"/>
                <w:color w:val="000000"/>
                <w:sz w:val="18"/>
                <w:szCs w:val="18"/>
                <w:u w:val="none"/>
              </w:rPr>
            </w:pPr>
          </w:p>
        </w:tc>
      </w:tr>
    </w:tbl>
    <w:p w14:paraId="57F24755">
      <w:pPr>
        <w:rPr>
          <w:highlight w:val="none"/>
        </w:rPr>
        <w:sectPr>
          <w:pgSz w:w="16838" w:h="11906" w:orient="landscape"/>
          <w:pgMar w:top="1800" w:right="1440" w:bottom="1558" w:left="1440" w:header="851" w:footer="992" w:gutter="0"/>
          <w:cols w:space="425" w:num="1"/>
          <w:docGrid w:type="lines" w:linePitch="312" w:charSpace="0"/>
        </w:sectPr>
      </w:pPr>
    </w:p>
    <w:p w14:paraId="69E839CB">
      <w:pPr>
        <w:spacing w:line="600" w:lineRule="exact"/>
        <w:rPr>
          <w:rFonts w:ascii="Times New Roman" w:hAnsi="Times New Roman"/>
          <w:bCs/>
          <w:sz w:val="32"/>
          <w:szCs w:val="32"/>
          <w:highlight w:val="none"/>
        </w:rPr>
      </w:pPr>
      <w:r>
        <w:rPr>
          <w:rFonts w:ascii="Times New Roman" w:hAnsi="Times New Roman"/>
          <w:bCs/>
          <w:sz w:val="32"/>
          <w:szCs w:val="32"/>
          <w:highlight w:val="none"/>
        </w:rPr>
        <w:t>附件1</w:t>
      </w:r>
    </w:p>
    <w:tbl>
      <w:tblPr>
        <w:tblStyle w:val="12"/>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14:paraId="53DC0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1B644B7C">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一级指标</w:t>
            </w:r>
          </w:p>
        </w:tc>
        <w:tc>
          <w:tcPr>
            <w:tcW w:w="302" w:type="pct"/>
            <w:shd w:val="clear" w:color="auto" w:fill="FFFFFF"/>
            <w:vAlign w:val="center"/>
          </w:tcPr>
          <w:p w14:paraId="6C538185">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二级指标</w:t>
            </w:r>
          </w:p>
        </w:tc>
        <w:tc>
          <w:tcPr>
            <w:tcW w:w="344" w:type="pct"/>
            <w:shd w:val="clear" w:color="auto" w:fill="FFFFFF"/>
            <w:vAlign w:val="center"/>
          </w:tcPr>
          <w:p w14:paraId="5210AF54">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三级指标</w:t>
            </w:r>
          </w:p>
        </w:tc>
        <w:tc>
          <w:tcPr>
            <w:tcW w:w="927" w:type="pct"/>
            <w:shd w:val="clear" w:color="auto" w:fill="FFFFFF"/>
            <w:vAlign w:val="center"/>
          </w:tcPr>
          <w:p w14:paraId="014BBE1A">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指标解释</w:t>
            </w:r>
          </w:p>
        </w:tc>
        <w:tc>
          <w:tcPr>
            <w:tcW w:w="2044" w:type="pct"/>
            <w:shd w:val="clear" w:color="auto" w:fill="FFFFFF"/>
            <w:vAlign w:val="center"/>
          </w:tcPr>
          <w:p w14:paraId="5E85ACA4">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指标说明</w:t>
            </w:r>
          </w:p>
        </w:tc>
        <w:tc>
          <w:tcPr>
            <w:tcW w:w="512" w:type="pct"/>
            <w:shd w:val="clear" w:color="auto" w:fill="FFFFFF"/>
            <w:vAlign w:val="center"/>
          </w:tcPr>
          <w:p w14:paraId="226CA9DC">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权重</w:t>
            </w:r>
          </w:p>
        </w:tc>
        <w:tc>
          <w:tcPr>
            <w:tcW w:w="537" w:type="pct"/>
            <w:shd w:val="clear" w:color="auto" w:fill="FFFFFF"/>
            <w:vAlign w:val="center"/>
          </w:tcPr>
          <w:p w14:paraId="5AC2C122">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得分</w:t>
            </w:r>
          </w:p>
        </w:tc>
      </w:tr>
      <w:tr w14:paraId="17BE05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31" w:type="pct"/>
            <w:vMerge w:val="restart"/>
            <w:shd w:val="clear" w:color="auto" w:fill="FFFFFF"/>
            <w:vAlign w:val="center"/>
          </w:tcPr>
          <w:p w14:paraId="6F52CCC6">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决策　</w:t>
            </w:r>
          </w:p>
          <w:p w14:paraId="6D557AE3">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p w14:paraId="012B5A7C">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tc>
        <w:tc>
          <w:tcPr>
            <w:tcW w:w="302" w:type="pct"/>
            <w:vMerge w:val="restart"/>
            <w:shd w:val="clear" w:color="auto" w:fill="FFFFFF"/>
            <w:vAlign w:val="center"/>
          </w:tcPr>
          <w:p w14:paraId="7FABCE36">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项目立项　</w:t>
            </w:r>
          </w:p>
        </w:tc>
        <w:tc>
          <w:tcPr>
            <w:tcW w:w="344" w:type="pct"/>
            <w:shd w:val="clear" w:color="auto" w:fill="FFFFFF"/>
            <w:vAlign w:val="center"/>
          </w:tcPr>
          <w:p w14:paraId="0C878C06">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立项依据</w:t>
            </w:r>
          </w:p>
          <w:p w14:paraId="3AA4BEB9">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充分性</w:t>
            </w:r>
          </w:p>
        </w:tc>
        <w:tc>
          <w:tcPr>
            <w:tcW w:w="927" w:type="pct"/>
            <w:shd w:val="clear" w:color="auto" w:fill="FFFFFF"/>
            <w:vAlign w:val="center"/>
          </w:tcPr>
          <w:p w14:paraId="57231781">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项目立项是否符合法律法规、相关政策、发展规划以及部门职责，用以反映和考核项目立项依据情况。</w:t>
            </w:r>
          </w:p>
        </w:tc>
        <w:tc>
          <w:tcPr>
            <w:tcW w:w="2044" w:type="pct"/>
            <w:shd w:val="clear" w:color="auto" w:fill="FFFFFF"/>
            <w:vAlign w:val="center"/>
          </w:tcPr>
          <w:p w14:paraId="59F09C33">
            <w:pPr>
              <w:widowControl/>
              <w:spacing w:line="0" w:lineRule="atLeast"/>
              <w:jc w:val="lef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①项目立项是否符合国家法律法规、国民经济发展规划和相关政策；</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②项目立项是否符合行业发展规划和政策要求；</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③项目立项是否与部门职责范围相符，属于部门履职所需；</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④项目是否属于公共财政支持范围，是否符合中央、地方事权支出责任划分原则；</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⑤项目是否与相关部门同类项目或部门内部相关项目重复。</w:t>
            </w:r>
          </w:p>
        </w:tc>
        <w:tc>
          <w:tcPr>
            <w:tcW w:w="512" w:type="pct"/>
            <w:shd w:val="clear" w:color="auto" w:fill="FFFFFF"/>
            <w:vAlign w:val="center"/>
          </w:tcPr>
          <w:p w14:paraId="6D48EE32">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3</w:t>
            </w:r>
          </w:p>
        </w:tc>
        <w:tc>
          <w:tcPr>
            <w:tcW w:w="537" w:type="pct"/>
            <w:shd w:val="clear" w:color="auto" w:fill="FFFFFF"/>
            <w:vAlign w:val="center"/>
          </w:tcPr>
          <w:p w14:paraId="4A416CB2">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3</w:t>
            </w:r>
          </w:p>
        </w:tc>
      </w:tr>
      <w:tr w14:paraId="5C51F8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16064D8C">
            <w:pPr>
              <w:spacing w:line="0" w:lineRule="atLeast"/>
              <w:jc w:val="center"/>
              <w:rPr>
                <w:rFonts w:ascii="Times New Roman" w:hAnsi="Times New Roman"/>
                <w:color w:val="000000"/>
                <w:kern w:val="0"/>
                <w:sz w:val="22"/>
                <w:szCs w:val="22"/>
                <w:highlight w:val="none"/>
              </w:rPr>
            </w:pPr>
          </w:p>
        </w:tc>
        <w:tc>
          <w:tcPr>
            <w:tcW w:w="302" w:type="pct"/>
            <w:vMerge w:val="continue"/>
            <w:shd w:val="clear" w:color="auto" w:fill="FFFFFF"/>
            <w:vAlign w:val="center"/>
          </w:tcPr>
          <w:p w14:paraId="75FF6118">
            <w:pPr>
              <w:widowControl/>
              <w:spacing w:line="0" w:lineRule="atLeast"/>
              <w:jc w:val="center"/>
              <w:rPr>
                <w:rFonts w:ascii="Times New Roman" w:hAnsi="Times New Roman"/>
                <w:color w:val="000000"/>
                <w:kern w:val="0"/>
                <w:sz w:val="22"/>
                <w:szCs w:val="22"/>
                <w:highlight w:val="none"/>
              </w:rPr>
            </w:pPr>
          </w:p>
        </w:tc>
        <w:tc>
          <w:tcPr>
            <w:tcW w:w="344" w:type="pct"/>
            <w:shd w:val="clear" w:color="auto" w:fill="FFFFFF"/>
            <w:vAlign w:val="center"/>
          </w:tcPr>
          <w:p w14:paraId="6203859E">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立项程序</w:t>
            </w:r>
          </w:p>
          <w:p w14:paraId="737D1CE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规范性</w:t>
            </w:r>
          </w:p>
        </w:tc>
        <w:tc>
          <w:tcPr>
            <w:tcW w:w="927" w:type="pct"/>
            <w:shd w:val="clear" w:color="auto" w:fill="FFFFFF"/>
            <w:vAlign w:val="center"/>
          </w:tcPr>
          <w:p w14:paraId="198B87D4">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项目申请、设立过程是否符合相关要求，用以反映和考核项目立项的规范情况。</w:t>
            </w:r>
          </w:p>
        </w:tc>
        <w:tc>
          <w:tcPr>
            <w:tcW w:w="2044" w:type="pct"/>
            <w:shd w:val="clear" w:color="auto" w:fill="FFFFFF"/>
            <w:vAlign w:val="center"/>
          </w:tcPr>
          <w:p w14:paraId="6D4E3869">
            <w:pPr>
              <w:widowControl/>
              <w:spacing w:line="0" w:lineRule="atLeast"/>
              <w:jc w:val="lef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①项目是否按照规定的程序申请设立；</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②审批文件、材料是否符合相关要求；</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14:paraId="4EB35E5A">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3</w:t>
            </w:r>
          </w:p>
        </w:tc>
        <w:tc>
          <w:tcPr>
            <w:tcW w:w="537" w:type="pct"/>
            <w:shd w:val="clear" w:color="auto" w:fill="FFFFFF"/>
            <w:vAlign w:val="center"/>
          </w:tcPr>
          <w:p w14:paraId="011BB91D">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3</w:t>
            </w:r>
          </w:p>
        </w:tc>
      </w:tr>
      <w:tr w14:paraId="488505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0C4AAA9B">
            <w:pPr>
              <w:spacing w:line="0" w:lineRule="atLeast"/>
              <w:jc w:val="center"/>
              <w:rPr>
                <w:rFonts w:ascii="Times New Roman" w:hAnsi="Times New Roman"/>
                <w:color w:val="000000"/>
                <w:kern w:val="0"/>
                <w:sz w:val="22"/>
                <w:szCs w:val="22"/>
                <w:highlight w:val="none"/>
              </w:rPr>
            </w:pPr>
          </w:p>
        </w:tc>
        <w:tc>
          <w:tcPr>
            <w:tcW w:w="302" w:type="pct"/>
            <w:shd w:val="clear" w:color="auto" w:fill="FFFFFF"/>
            <w:vAlign w:val="center"/>
          </w:tcPr>
          <w:p w14:paraId="0D37A067">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绩效目标　</w:t>
            </w:r>
          </w:p>
        </w:tc>
        <w:tc>
          <w:tcPr>
            <w:tcW w:w="344" w:type="pct"/>
            <w:shd w:val="clear" w:color="auto" w:fill="FFFFFF"/>
            <w:vAlign w:val="center"/>
          </w:tcPr>
          <w:p w14:paraId="3C5566E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绩效目标</w:t>
            </w:r>
          </w:p>
          <w:p w14:paraId="1B7813E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合理性</w:t>
            </w:r>
          </w:p>
        </w:tc>
        <w:tc>
          <w:tcPr>
            <w:tcW w:w="927" w:type="pct"/>
            <w:shd w:val="clear" w:color="000000" w:fill="FFFFFF"/>
            <w:vAlign w:val="center"/>
          </w:tcPr>
          <w:p w14:paraId="1B7FAAA7">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项目所设定的绩效目标是否依据充分，是否符合客观实际，用以反映和考核项目绩效目标与项目实施的相符情况。</w:t>
            </w:r>
          </w:p>
        </w:tc>
        <w:tc>
          <w:tcPr>
            <w:tcW w:w="2044" w:type="pct"/>
            <w:shd w:val="clear" w:color="000000" w:fill="FFFFFF"/>
            <w:vAlign w:val="center"/>
          </w:tcPr>
          <w:p w14:paraId="4F828517">
            <w:pPr>
              <w:widowControl/>
              <w:spacing w:line="0" w:lineRule="atLeast"/>
              <w:jc w:val="lef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（如未设定预算绩效目标，也可考核其他工作任务目标）</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①项目是否有绩效目标；</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②项目绩效目标与实际工作内容是否具有相关性；</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③项目预期产出效益和效果是否符合正常的业绩水平；</w:t>
            </w:r>
          </w:p>
          <w:p w14:paraId="0138F2C3">
            <w:pPr>
              <w:widowControl/>
              <w:spacing w:line="0" w:lineRule="atLeast"/>
              <w:jc w:val="lef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④是否与预算确定的项目投资额或资金量相匹配。</w:t>
            </w:r>
          </w:p>
        </w:tc>
        <w:tc>
          <w:tcPr>
            <w:tcW w:w="512" w:type="pct"/>
            <w:shd w:val="clear" w:color="000000" w:fill="FFFFFF"/>
            <w:vAlign w:val="center"/>
          </w:tcPr>
          <w:p w14:paraId="361E909C">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3</w:t>
            </w:r>
          </w:p>
        </w:tc>
        <w:tc>
          <w:tcPr>
            <w:tcW w:w="537" w:type="pct"/>
            <w:shd w:val="clear" w:color="000000" w:fill="FFFFFF"/>
            <w:vAlign w:val="center"/>
          </w:tcPr>
          <w:p w14:paraId="76BB730E">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2.7</w:t>
            </w:r>
          </w:p>
        </w:tc>
      </w:tr>
      <w:tr w14:paraId="35B151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01D38A0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决策　</w:t>
            </w:r>
          </w:p>
        </w:tc>
        <w:tc>
          <w:tcPr>
            <w:tcW w:w="302" w:type="pct"/>
            <w:shd w:val="clear" w:color="auto" w:fill="FFFFFF"/>
            <w:vAlign w:val="center"/>
          </w:tcPr>
          <w:p w14:paraId="59964F1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绩效目标</w:t>
            </w:r>
          </w:p>
        </w:tc>
        <w:tc>
          <w:tcPr>
            <w:tcW w:w="344" w:type="pct"/>
            <w:shd w:val="clear" w:color="auto" w:fill="FFFFFF"/>
            <w:vAlign w:val="center"/>
          </w:tcPr>
          <w:p w14:paraId="4D9C7F8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绩效指标</w:t>
            </w:r>
          </w:p>
          <w:p w14:paraId="426AD76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明确性</w:t>
            </w:r>
          </w:p>
        </w:tc>
        <w:tc>
          <w:tcPr>
            <w:tcW w:w="927" w:type="pct"/>
            <w:shd w:val="clear" w:color="000000" w:fill="FFFFFF"/>
            <w:vAlign w:val="center"/>
          </w:tcPr>
          <w:p w14:paraId="3523B45E">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依据绩效目标设定的绩效指标是否清晰、细化、可衡量等，用以反映和考核项目绩效目标的明细化情况。</w:t>
            </w:r>
          </w:p>
        </w:tc>
        <w:tc>
          <w:tcPr>
            <w:tcW w:w="2044" w:type="pct"/>
            <w:shd w:val="clear" w:color="000000" w:fill="FFFFFF"/>
            <w:vAlign w:val="center"/>
          </w:tcPr>
          <w:p w14:paraId="0A20245B">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①是否将项目绩效目标细化分解为具体的绩效指标；</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②是否通过清晰、可衡量的指标值予以体现；</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③是否与项目目标任务数或计划数相对应。</w:t>
            </w:r>
            <w:r>
              <w:rPr>
                <w:rFonts w:ascii="Times New Roman" w:hAnsi="Times New Roman"/>
                <w:color w:val="000000"/>
                <w:kern w:val="0"/>
                <w:sz w:val="22"/>
                <w:szCs w:val="22"/>
                <w:highlight w:val="none"/>
              </w:rPr>
              <w:br w:type="textWrapping"/>
            </w:r>
          </w:p>
        </w:tc>
        <w:tc>
          <w:tcPr>
            <w:tcW w:w="512" w:type="pct"/>
            <w:shd w:val="clear" w:color="000000" w:fill="FFFFFF"/>
            <w:vAlign w:val="center"/>
          </w:tcPr>
          <w:p w14:paraId="6DB82929">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3</w:t>
            </w:r>
          </w:p>
        </w:tc>
        <w:tc>
          <w:tcPr>
            <w:tcW w:w="537" w:type="pct"/>
            <w:shd w:val="clear" w:color="000000" w:fill="FFFFFF"/>
            <w:vAlign w:val="center"/>
          </w:tcPr>
          <w:p w14:paraId="3E2F9AD1">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2.7</w:t>
            </w:r>
          </w:p>
        </w:tc>
      </w:tr>
      <w:tr w14:paraId="25D9F8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14EA5BBB">
            <w:pPr>
              <w:spacing w:line="0" w:lineRule="atLeast"/>
              <w:jc w:val="center"/>
              <w:rPr>
                <w:rFonts w:ascii="Times New Roman" w:hAnsi="Times New Roman"/>
                <w:color w:val="000000"/>
                <w:kern w:val="0"/>
                <w:sz w:val="22"/>
                <w:szCs w:val="22"/>
                <w:highlight w:val="none"/>
              </w:rPr>
            </w:pPr>
          </w:p>
        </w:tc>
        <w:tc>
          <w:tcPr>
            <w:tcW w:w="302" w:type="pct"/>
            <w:vMerge w:val="restart"/>
            <w:shd w:val="clear" w:color="auto" w:fill="FFFFFF"/>
            <w:vAlign w:val="center"/>
          </w:tcPr>
          <w:p w14:paraId="6CB3421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资金投入</w:t>
            </w:r>
          </w:p>
          <w:p w14:paraId="0750FBA4">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tc>
        <w:tc>
          <w:tcPr>
            <w:tcW w:w="344" w:type="pct"/>
            <w:shd w:val="clear" w:color="auto" w:fill="FFFFFF"/>
            <w:vAlign w:val="center"/>
          </w:tcPr>
          <w:p w14:paraId="746CC22D">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预算编制</w:t>
            </w:r>
          </w:p>
          <w:p w14:paraId="209F7FF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科学性</w:t>
            </w:r>
          </w:p>
        </w:tc>
        <w:tc>
          <w:tcPr>
            <w:tcW w:w="927" w:type="pct"/>
            <w:shd w:val="clear" w:color="auto" w:fill="FFFFFF"/>
            <w:vAlign w:val="center"/>
          </w:tcPr>
          <w:p w14:paraId="3AC3D578">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6C2350BB">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①预算编制是否经过科学论证；</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②预算内容与项目内容是否匹配；</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③预算额度测算依据是否充分，是否按照标准编制；</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④预算确定的项目投资额或资金量是否与工作任务相匹配。</w:t>
            </w:r>
          </w:p>
        </w:tc>
        <w:tc>
          <w:tcPr>
            <w:tcW w:w="512" w:type="pct"/>
            <w:shd w:val="clear" w:color="auto" w:fill="FFFFFF"/>
            <w:vAlign w:val="center"/>
          </w:tcPr>
          <w:p w14:paraId="428E6BB3">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4</w:t>
            </w:r>
          </w:p>
        </w:tc>
        <w:tc>
          <w:tcPr>
            <w:tcW w:w="537" w:type="pct"/>
            <w:shd w:val="clear" w:color="auto" w:fill="FFFFFF"/>
            <w:vAlign w:val="center"/>
          </w:tcPr>
          <w:p w14:paraId="6F3F2469">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4</w:t>
            </w:r>
          </w:p>
        </w:tc>
      </w:tr>
      <w:tr w14:paraId="704257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12C06AED">
            <w:pPr>
              <w:widowControl/>
              <w:spacing w:line="0" w:lineRule="atLeast"/>
              <w:jc w:val="center"/>
              <w:rPr>
                <w:rFonts w:ascii="Times New Roman" w:hAnsi="Times New Roman"/>
                <w:color w:val="000000"/>
                <w:kern w:val="0"/>
                <w:sz w:val="22"/>
                <w:szCs w:val="22"/>
                <w:highlight w:val="none"/>
              </w:rPr>
            </w:pPr>
          </w:p>
        </w:tc>
        <w:tc>
          <w:tcPr>
            <w:tcW w:w="302" w:type="pct"/>
            <w:vMerge w:val="continue"/>
            <w:shd w:val="clear" w:color="auto" w:fill="FFFFFF"/>
            <w:vAlign w:val="center"/>
          </w:tcPr>
          <w:p w14:paraId="4434E27B">
            <w:pPr>
              <w:widowControl/>
              <w:spacing w:line="0" w:lineRule="atLeast"/>
              <w:jc w:val="center"/>
              <w:rPr>
                <w:rFonts w:ascii="Times New Roman" w:hAnsi="Times New Roman"/>
                <w:color w:val="000000"/>
                <w:kern w:val="0"/>
                <w:sz w:val="22"/>
                <w:szCs w:val="22"/>
                <w:highlight w:val="none"/>
              </w:rPr>
            </w:pPr>
          </w:p>
        </w:tc>
        <w:tc>
          <w:tcPr>
            <w:tcW w:w="344" w:type="pct"/>
            <w:shd w:val="clear" w:color="auto" w:fill="FFFFFF"/>
            <w:vAlign w:val="center"/>
          </w:tcPr>
          <w:p w14:paraId="153BB85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资金分配</w:t>
            </w:r>
          </w:p>
          <w:p w14:paraId="4223280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合理性</w:t>
            </w:r>
          </w:p>
        </w:tc>
        <w:tc>
          <w:tcPr>
            <w:tcW w:w="927" w:type="pct"/>
            <w:shd w:val="clear" w:color="auto" w:fill="FFFFFF"/>
            <w:vAlign w:val="center"/>
          </w:tcPr>
          <w:p w14:paraId="37000800">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1C7580A8">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①预算资金分配依据是否充分；</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②资金分配额度是否合理，与项目单位或地方实际是否相适应。</w:t>
            </w:r>
          </w:p>
        </w:tc>
        <w:tc>
          <w:tcPr>
            <w:tcW w:w="512" w:type="pct"/>
            <w:shd w:val="clear" w:color="auto" w:fill="FFFFFF"/>
            <w:vAlign w:val="center"/>
          </w:tcPr>
          <w:p w14:paraId="5174D01D">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4</w:t>
            </w:r>
          </w:p>
        </w:tc>
        <w:tc>
          <w:tcPr>
            <w:tcW w:w="537" w:type="pct"/>
            <w:shd w:val="clear" w:color="auto" w:fill="FFFFFF"/>
            <w:vAlign w:val="center"/>
          </w:tcPr>
          <w:p w14:paraId="7B52C637">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4</w:t>
            </w:r>
          </w:p>
        </w:tc>
      </w:tr>
      <w:tr w14:paraId="758D2E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454BAA4A">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过程</w:t>
            </w:r>
          </w:p>
        </w:tc>
        <w:tc>
          <w:tcPr>
            <w:tcW w:w="302" w:type="pct"/>
            <w:vMerge w:val="restart"/>
            <w:shd w:val="clear" w:color="auto" w:fill="FFFFFF"/>
            <w:vAlign w:val="center"/>
          </w:tcPr>
          <w:p w14:paraId="6A3EA86C">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资金管理</w:t>
            </w:r>
          </w:p>
        </w:tc>
        <w:tc>
          <w:tcPr>
            <w:tcW w:w="344" w:type="pct"/>
            <w:shd w:val="clear" w:color="auto" w:fill="FFFFFF"/>
            <w:vAlign w:val="center"/>
          </w:tcPr>
          <w:p w14:paraId="7F0CE14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资金到位率</w:t>
            </w:r>
          </w:p>
        </w:tc>
        <w:tc>
          <w:tcPr>
            <w:tcW w:w="927" w:type="pct"/>
            <w:shd w:val="clear" w:color="000000" w:fill="FFFFFF"/>
            <w:vAlign w:val="center"/>
          </w:tcPr>
          <w:p w14:paraId="45311D93">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实际到位资金与预算资金的比率，用以反映和考核资金落实情况对项目实施的总体保障程度。</w:t>
            </w:r>
          </w:p>
        </w:tc>
        <w:tc>
          <w:tcPr>
            <w:tcW w:w="2044" w:type="pct"/>
            <w:shd w:val="clear" w:color="000000" w:fill="FFFFFF"/>
            <w:vAlign w:val="center"/>
          </w:tcPr>
          <w:p w14:paraId="364F2788">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资金到位率=（实际到位资金/预算资金）×100%。</w:t>
            </w:r>
          </w:p>
          <w:p w14:paraId="7111C16A">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实际到位资金：一定时期（本年度或项目期）内落实到具体项目的资金。</w:t>
            </w:r>
          </w:p>
          <w:p w14:paraId="1DAB7083">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预算资金：一定时期（本年度或项目期）内预算安排到具体项目的资金。</w:t>
            </w:r>
          </w:p>
        </w:tc>
        <w:tc>
          <w:tcPr>
            <w:tcW w:w="512" w:type="pct"/>
            <w:shd w:val="clear" w:color="000000" w:fill="FFFFFF"/>
            <w:vAlign w:val="center"/>
          </w:tcPr>
          <w:p w14:paraId="13DBA35E">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4</w:t>
            </w:r>
          </w:p>
        </w:tc>
        <w:tc>
          <w:tcPr>
            <w:tcW w:w="537" w:type="pct"/>
            <w:shd w:val="clear" w:color="000000" w:fill="FFFFFF"/>
            <w:vAlign w:val="center"/>
          </w:tcPr>
          <w:p w14:paraId="7E8725AC">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4</w:t>
            </w:r>
          </w:p>
        </w:tc>
      </w:tr>
      <w:tr w14:paraId="484BAF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78990ACD">
            <w:pPr>
              <w:spacing w:line="0" w:lineRule="atLeast"/>
              <w:jc w:val="center"/>
              <w:rPr>
                <w:rFonts w:ascii="Times New Roman" w:hAnsi="Times New Roman"/>
                <w:color w:val="000000"/>
                <w:kern w:val="0"/>
                <w:sz w:val="22"/>
                <w:szCs w:val="22"/>
                <w:highlight w:val="none"/>
              </w:rPr>
            </w:pPr>
          </w:p>
        </w:tc>
        <w:tc>
          <w:tcPr>
            <w:tcW w:w="302" w:type="pct"/>
            <w:vMerge w:val="continue"/>
            <w:shd w:val="clear" w:color="auto" w:fill="FFFFFF"/>
            <w:vAlign w:val="center"/>
          </w:tcPr>
          <w:p w14:paraId="23CCDE84">
            <w:pPr>
              <w:spacing w:line="0" w:lineRule="atLeast"/>
              <w:jc w:val="center"/>
              <w:rPr>
                <w:rFonts w:ascii="Times New Roman" w:hAnsi="Times New Roman"/>
                <w:color w:val="000000"/>
                <w:kern w:val="0"/>
                <w:sz w:val="22"/>
                <w:szCs w:val="22"/>
                <w:highlight w:val="none"/>
              </w:rPr>
            </w:pPr>
          </w:p>
        </w:tc>
        <w:tc>
          <w:tcPr>
            <w:tcW w:w="344" w:type="pct"/>
            <w:shd w:val="clear" w:color="auto" w:fill="FFFFFF"/>
            <w:vAlign w:val="center"/>
          </w:tcPr>
          <w:p w14:paraId="2E63D2BE">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预算执行率</w:t>
            </w:r>
          </w:p>
        </w:tc>
        <w:tc>
          <w:tcPr>
            <w:tcW w:w="927" w:type="pct"/>
            <w:shd w:val="clear" w:color="auto" w:fill="FFFFFF"/>
            <w:vAlign w:val="center"/>
          </w:tcPr>
          <w:p w14:paraId="3C8339E2">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项目预算资金是否按照计划执行，用以反映或考核项目预算执行情况。</w:t>
            </w:r>
          </w:p>
        </w:tc>
        <w:tc>
          <w:tcPr>
            <w:tcW w:w="2044" w:type="pct"/>
            <w:shd w:val="clear" w:color="auto" w:fill="FFFFFF"/>
            <w:vAlign w:val="center"/>
          </w:tcPr>
          <w:p w14:paraId="3EDEA44C">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预算执行率=（实际支出资金/实际到位资金）×100%。</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实际支出资金：一定时期（本年度或项目期）内项目实际拨付的资金。</w:t>
            </w:r>
          </w:p>
        </w:tc>
        <w:tc>
          <w:tcPr>
            <w:tcW w:w="512" w:type="pct"/>
            <w:shd w:val="clear" w:color="auto" w:fill="FFFFFF"/>
            <w:vAlign w:val="center"/>
          </w:tcPr>
          <w:p w14:paraId="1706FE6C">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4</w:t>
            </w:r>
          </w:p>
        </w:tc>
        <w:tc>
          <w:tcPr>
            <w:tcW w:w="537" w:type="pct"/>
            <w:shd w:val="clear" w:color="auto" w:fill="FFFFFF"/>
            <w:vAlign w:val="center"/>
          </w:tcPr>
          <w:p w14:paraId="01D804FE">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4</w:t>
            </w:r>
          </w:p>
        </w:tc>
      </w:tr>
      <w:tr w14:paraId="38858D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0A8FE26F">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p w14:paraId="0FF1BA85">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过程　</w:t>
            </w:r>
          </w:p>
        </w:tc>
        <w:tc>
          <w:tcPr>
            <w:tcW w:w="302" w:type="pct"/>
            <w:shd w:val="clear" w:color="auto" w:fill="FFFFFF"/>
            <w:vAlign w:val="center"/>
          </w:tcPr>
          <w:p w14:paraId="7B586AE3">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资金管理</w:t>
            </w:r>
          </w:p>
        </w:tc>
        <w:tc>
          <w:tcPr>
            <w:tcW w:w="344" w:type="pct"/>
            <w:shd w:val="clear" w:color="auto" w:fill="FFFFFF"/>
            <w:vAlign w:val="center"/>
          </w:tcPr>
          <w:p w14:paraId="69276D6E">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资金使用</w:t>
            </w:r>
          </w:p>
          <w:p w14:paraId="74B9095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合规性</w:t>
            </w:r>
          </w:p>
        </w:tc>
        <w:tc>
          <w:tcPr>
            <w:tcW w:w="927" w:type="pct"/>
            <w:shd w:val="clear" w:color="000000" w:fill="FFFFFF"/>
            <w:vAlign w:val="center"/>
          </w:tcPr>
          <w:p w14:paraId="334B0C92">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项目资金使用是否符合相关的财务管理制度规定，用以反映和考核项目资金的规范运行情况。</w:t>
            </w:r>
          </w:p>
        </w:tc>
        <w:tc>
          <w:tcPr>
            <w:tcW w:w="2044" w:type="pct"/>
            <w:shd w:val="clear" w:color="000000" w:fill="FFFFFF"/>
            <w:vAlign w:val="center"/>
          </w:tcPr>
          <w:p w14:paraId="1EBC8349">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①是否符合国家财经法规和财务管理制度以及有关专项资金管理办法的规定；</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②资金的拨付是否有完整的审批程序和手续；</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③是否符合项目预算批复或合同规定的用途；</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④是否存在截留、挤占、挪用、虚列支出等情况。</w:t>
            </w:r>
          </w:p>
        </w:tc>
        <w:tc>
          <w:tcPr>
            <w:tcW w:w="512" w:type="pct"/>
            <w:shd w:val="clear" w:color="000000" w:fill="FFFFFF"/>
            <w:vAlign w:val="center"/>
          </w:tcPr>
          <w:p w14:paraId="6FB3AEEC">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4</w:t>
            </w:r>
          </w:p>
        </w:tc>
        <w:tc>
          <w:tcPr>
            <w:tcW w:w="537" w:type="pct"/>
            <w:shd w:val="clear" w:color="000000" w:fill="FFFFFF"/>
            <w:vAlign w:val="center"/>
          </w:tcPr>
          <w:p w14:paraId="6DAB79E8">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4</w:t>
            </w:r>
          </w:p>
        </w:tc>
      </w:tr>
      <w:tr w14:paraId="7C3481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253EBB1F">
            <w:pPr>
              <w:spacing w:line="0" w:lineRule="atLeast"/>
              <w:jc w:val="center"/>
              <w:rPr>
                <w:rFonts w:ascii="Times New Roman" w:hAnsi="Times New Roman"/>
                <w:color w:val="000000"/>
                <w:kern w:val="0"/>
                <w:sz w:val="22"/>
                <w:szCs w:val="22"/>
                <w:highlight w:val="none"/>
              </w:rPr>
            </w:pPr>
          </w:p>
        </w:tc>
        <w:tc>
          <w:tcPr>
            <w:tcW w:w="302" w:type="pct"/>
            <w:vMerge w:val="restart"/>
            <w:shd w:val="clear" w:color="auto" w:fill="FFFFFF"/>
            <w:vAlign w:val="center"/>
          </w:tcPr>
          <w:p w14:paraId="073E04E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组织实施</w:t>
            </w:r>
          </w:p>
          <w:p w14:paraId="25BC8762">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　</w:t>
            </w:r>
          </w:p>
        </w:tc>
        <w:tc>
          <w:tcPr>
            <w:tcW w:w="344" w:type="pct"/>
            <w:shd w:val="clear" w:color="auto" w:fill="FFFFFF"/>
            <w:vAlign w:val="center"/>
          </w:tcPr>
          <w:p w14:paraId="02ED6118">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管理制度</w:t>
            </w:r>
          </w:p>
          <w:p w14:paraId="5ED9A9F1">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健全性</w:t>
            </w:r>
          </w:p>
        </w:tc>
        <w:tc>
          <w:tcPr>
            <w:tcW w:w="927" w:type="pct"/>
            <w:shd w:val="clear" w:color="000000" w:fill="FFFFFF"/>
            <w:vAlign w:val="center"/>
          </w:tcPr>
          <w:p w14:paraId="1AAEE117">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项目实施单位的财务和业务管理制度是否健全，用以反映和考核财务和业务管理制度对项目顺利实施的保障情况。</w:t>
            </w:r>
          </w:p>
        </w:tc>
        <w:tc>
          <w:tcPr>
            <w:tcW w:w="2044" w:type="pct"/>
            <w:shd w:val="clear" w:color="000000" w:fill="FFFFFF"/>
            <w:vAlign w:val="center"/>
          </w:tcPr>
          <w:p w14:paraId="327D9DEC">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①是否已制定或具有相应的财务和业务管理制度；</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②财务和业务管理制度是否合法、合规、完整。</w:t>
            </w:r>
          </w:p>
        </w:tc>
        <w:tc>
          <w:tcPr>
            <w:tcW w:w="512" w:type="pct"/>
            <w:shd w:val="clear" w:color="000000" w:fill="FFFFFF"/>
            <w:vAlign w:val="center"/>
          </w:tcPr>
          <w:p w14:paraId="1783BBEE">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4</w:t>
            </w:r>
          </w:p>
        </w:tc>
        <w:tc>
          <w:tcPr>
            <w:tcW w:w="537" w:type="pct"/>
            <w:shd w:val="clear" w:color="000000" w:fill="FFFFFF"/>
            <w:vAlign w:val="center"/>
          </w:tcPr>
          <w:p w14:paraId="6AA0865E">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4</w:t>
            </w:r>
          </w:p>
        </w:tc>
      </w:tr>
      <w:tr w14:paraId="2B8A4B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07668E8C">
            <w:pPr>
              <w:widowControl/>
              <w:spacing w:line="0" w:lineRule="atLeast"/>
              <w:jc w:val="center"/>
              <w:rPr>
                <w:rFonts w:ascii="Times New Roman" w:hAnsi="Times New Roman"/>
                <w:color w:val="000000"/>
                <w:kern w:val="0"/>
                <w:sz w:val="22"/>
                <w:szCs w:val="22"/>
                <w:highlight w:val="none"/>
              </w:rPr>
            </w:pPr>
          </w:p>
        </w:tc>
        <w:tc>
          <w:tcPr>
            <w:tcW w:w="302" w:type="pct"/>
            <w:vMerge w:val="continue"/>
            <w:shd w:val="clear" w:color="auto" w:fill="FFFFFF"/>
            <w:vAlign w:val="center"/>
          </w:tcPr>
          <w:p w14:paraId="76CC78F1">
            <w:pPr>
              <w:widowControl/>
              <w:spacing w:line="0" w:lineRule="atLeast"/>
              <w:jc w:val="center"/>
              <w:rPr>
                <w:rFonts w:ascii="Times New Roman" w:hAnsi="Times New Roman"/>
                <w:color w:val="000000"/>
                <w:kern w:val="0"/>
                <w:sz w:val="22"/>
                <w:szCs w:val="22"/>
                <w:highlight w:val="none"/>
              </w:rPr>
            </w:pPr>
          </w:p>
        </w:tc>
        <w:tc>
          <w:tcPr>
            <w:tcW w:w="344" w:type="pct"/>
            <w:shd w:val="clear" w:color="auto" w:fill="FFFFFF"/>
            <w:vAlign w:val="center"/>
          </w:tcPr>
          <w:p w14:paraId="1708B39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制度执行</w:t>
            </w:r>
          </w:p>
          <w:p w14:paraId="6EA8A3C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有效性</w:t>
            </w:r>
          </w:p>
        </w:tc>
        <w:tc>
          <w:tcPr>
            <w:tcW w:w="927" w:type="pct"/>
            <w:shd w:val="clear" w:color="000000" w:fill="FFFFFF"/>
            <w:vAlign w:val="center"/>
          </w:tcPr>
          <w:p w14:paraId="0A49C303">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项目实施是否符合相关管理规定，用以反映和考核相关管理制度的有效执行情况。</w:t>
            </w:r>
          </w:p>
        </w:tc>
        <w:tc>
          <w:tcPr>
            <w:tcW w:w="2044" w:type="pct"/>
            <w:shd w:val="clear" w:color="000000" w:fill="FFFFFF"/>
            <w:vAlign w:val="center"/>
          </w:tcPr>
          <w:p w14:paraId="20267A7C">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评价要点：</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①是否遵守相关法律法规和相关管理规定；</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②项目调整及支出调整手续是否完备；</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③项目合同书、验收报告、技术鉴定等资料是否齐全并及时归档；</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④项目实施的人员条件、场地设备、信息支撑等是否落实到位。</w:t>
            </w:r>
          </w:p>
        </w:tc>
        <w:tc>
          <w:tcPr>
            <w:tcW w:w="512" w:type="pct"/>
            <w:shd w:val="clear" w:color="000000" w:fill="FFFFFF"/>
            <w:vAlign w:val="center"/>
          </w:tcPr>
          <w:p w14:paraId="20CAB16D">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4</w:t>
            </w:r>
          </w:p>
        </w:tc>
        <w:tc>
          <w:tcPr>
            <w:tcW w:w="537" w:type="pct"/>
            <w:shd w:val="clear" w:color="000000" w:fill="FFFFFF"/>
            <w:vAlign w:val="center"/>
          </w:tcPr>
          <w:p w14:paraId="47D89B4E">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4</w:t>
            </w:r>
          </w:p>
        </w:tc>
      </w:tr>
      <w:tr w14:paraId="30B653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32D27D01">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w:t>
            </w:r>
          </w:p>
        </w:tc>
        <w:tc>
          <w:tcPr>
            <w:tcW w:w="302" w:type="pct"/>
            <w:shd w:val="clear" w:color="auto" w:fill="FFFFFF"/>
            <w:vAlign w:val="center"/>
          </w:tcPr>
          <w:p w14:paraId="74A0A96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产出数量</w:t>
            </w:r>
          </w:p>
        </w:tc>
        <w:tc>
          <w:tcPr>
            <w:tcW w:w="344" w:type="pct"/>
            <w:shd w:val="clear" w:color="auto" w:fill="FFFFFF"/>
            <w:vAlign w:val="center"/>
          </w:tcPr>
          <w:p w14:paraId="58DAFE8D">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实际完成率</w:t>
            </w:r>
          </w:p>
        </w:tc>
        <w:tc>
          <w:tcPr>
            <w:tcW w:w="927" w:type="pct"/>
            <w:shd w:val="clear" w:color="000000" w:fill="FFFFFF"/>
            <w:vAlign w:val="center"/>
          </w:tcPr>
          <w:p w14:paraId="17F2537B">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项目实施的实际产出数与计划产出数的比率，用以反映和考核项目产出数量目标的实现程度。</w:t>
            </w:r>
          </w:p>
        </w:tc>
        <w:tc>
          <w:tcPr>
            <w:tcW w:w="2044" w:type="pct"/>
            <w:shd w:val="clear" w:color="000000" w:fill="FFFFFF"/>
            <w:vAlign w:val="center"/>
          </w:tcPr>
          <w:p w14:paraId="6934A120">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实际完成率=（实际产出数/计划产出数）×100%。</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实际产出数：一定时期（本年度或项目期）内项目实际产出的产品或提供的服务数量。</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14:paraId="0145CAD3">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10</w:t>
            </w:r>
          </w:p>
        </w:tc>
        <w:tc>
          <w:tcPr>
            <w:tcW w:w="537" w:type="pct"/>
            <w:shd w:val="clear" w:color="000000" w:fill="FFFFFF"/>
            <w:vAlign w:val="center"/>
          </w:tcPr>
          <w:p w14:paraId="7AEED95F">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10</w:t>
            </w:r>
          </w:p>
        </w:tc>
      </w:tr>
      <w:tr w14:paraId="1C8FCB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14:paraId="2A44B56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w:t>
            </w:r>
          </w:p>
        </w:tc>
        <w:tc>
          <w:tcPr>
            <w:tcW w:w="302" w:type="pct"/>
            <w:shd w:val="clear" w:color="auto" w:fill="FFFFFF"/>
            <w:vAlign w:val="center"/>
          </w:tcPr>
          <w:p w14:paraId="2CF02BB8">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产出质量</w:t>
            </w:r>
          </w:p>
        </w:tc>
        <w:tc>
          <w:tcPr>
            <w:tcW w:w="344" w:type="pct"/>
            <w:shd w:val="clear" w:color="auto" w:fill="FFFFFF"/>
            <w:vAlign w:val="center"/>
          </w:tcPr>
          <w:p w14:paraId="1E59EB62">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质量达标率</w:t>
            </w:r>
          </w:p>
        </w:tc>
        <w:tc>
          <w:tcPr>
            <w:tcW w:w="927" w:type="pct"/>
            <w:shd w:val="clear" w:color="000000" w:fill="FFFFFF"/>
            <w:vAlign w:val="center"/>
          </w:tcPr>
          <w:p w14:paraId="1AF95C7D">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项目完成的质量达标产出数与实际产出数的比率，用以反映和考核项目产出质量目标的实现程度。</w:t>
            </w:r>
          </w:p>
        </w:tc>
        <w:tc>
          <w:tcPr>
            <w:tcW w:w="2044" w:type="pct"/>
            <w:shd w:val="clear" w:color="000000" w:fill="FFFFFF"/>
            <w:vAlign w:val="center"/>
          </w:tcPr>
          <w:p w14:paraId="287B4D09">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质量达标率=（质量达标产出数/实际产出数）×100%。</w:t>
            </w:r>
          </w:p>
          <w:p w14:paraId="0ECC7F9B">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3B36693D">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10</w:t>
            </w:r>
          </w:p>
        </w:tc>
        <w:tc>
          <w:tcPr>
            <w:tcW w:w="537" w:type="pct"/>
            <w:shd w:val="clear" w:color="000000" w:fill="FFFFFF"/>
            <w:vAlign w:val="center"/>
          </w:tcPr>
          <w:p w14:paraId="7528C753">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10</w:t>
            </w:r>
          </w:p>
        </w:tc>
      </w:tr>
      <w:tr w14:paraId="41CD1B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701D3C26">
            <w:pPr>
              <w:spacing w:line="0" w:lineRule="atLeast"/>
              <w:jc w:val="center"/>
              <w:rPr>
                <w:rFonts w:ascii="Times New Roman" w:hAnsi="Times New Roman"/>
                <w:color w:val="000000"/>
                <w:kern w:val="0"/>
                <w:sz w:val="22"/>
                <w:szCs w:val="22"/>
                <w:highlight w:val="none"/>
              </w:rPr>
            </w:pPr>
          </w:p>
        </w:tc>
        <w:tc>
          <w:tcPr>
            <w:tcW w:w="302" w:type="pct"/>
            <w:shd w:val="clear" w:color="auto" w:fill="FFFFFF"/>
            <w:vAlign w:val="center"/>
          </w:tcPr>
          <w:p w14:paraId="581187DD">
            <w:pPr>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产出时效</w:t>
            </w:r>
          </w:p>
        </w:tc>
        <w:tc>
          <w:tcPr>
            <w:tcW w:w="344" w:type="pct"/>
            <w:shd w:val="clear" w:color="auto" w:fill="FFFFFF"/>
            <w:vAlign w:val="center"/>
          </w:tcPr>
          <w:p w14:paraId="3375C41B">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完成及时性</w:t>
            </w:r>
          </w:p>
        </w:tc>
        <w:tc>
          <w:tcPr>
            <w:tcW w:w="927" w:type="pct"/>
            <w:shd w:val="clear" w:color="000000" w:fill="FFFFFF"/>
            <w:vAlign w:val="center"/>
          </w:tcPr>
          <w:p w14:paraId="5ACF2D0C">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项目实际完成时间与计划完成时间的比较，用以反映和考核项目产出时效目标的实现程度。</w:t>
            </w:r>
          </w:p>
        </w:tc>
        <w:tc>
          <w:tcPr>
            <w:tcW w:w="2044" w:type="pct"/>
            <w:shd w:val="clear" w:color="000000" w:fill="FFFFFF"/>
            <w:vAlign w:val="center"/>
          </w:tcPr>
          <w:p w14:paraId="47239D1F">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实际完成时间：项目实施单位完成该项目实际所耗用的时间。</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14:paraId="63706A19">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10</w:t>
            </w:r>
          </w:p>
        </w:tc>
        <w:tc>
          <w:tcPr>
            <w:tcW w:w="537" w:type="pct"/>
            <w:shd w:val="clear" w:color="000000" w:fill="FFFFFF"/>
            <w:vAlign w:val="center"/>
          </w:tcPr>
          <w:p w14:paraId="5A842364">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10</w:t>
            </w:r>
          </w:p>
        </w:tc>
      </w:tr>
      <w:tr w14:paraId="03B348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67075FB5">
            <w:pPr>
              <w:widowControl/>
              <w:spacing w:line="0" w:lineRule="atLeast"/>
              <w:jc w:val="center"/>
              <w:rPr>
                <w:rFonts w:ascii="Times New Roman" w:hAnsi="Times New Roman"/>
                <w:color w:val="000000"/>
                <w:kern w:val="0"/>
                <w:sz w:val="22"/>
                <w:szCs w:val="22"/>
                <w:highlight w:val="none"/>
              </w:rPr>
            </w:pPr>
          </w:p>
        </w:tc>
        <w:tc>
          <w:tcPr>
            <w:tcW w:w="302" w:type="pct"/>
            <w:shd w:val="clear" w:color="auto" w:fill="FFFFFF"/>
            <w:vAlign w:val="center"/>
          </w:tcPr>
          <w:p w14:paraId="2072AD84">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产出成本</w:t>
            </w:r>
          </w:p>
        </w:tc>
        <w:tc>
          <w:tcPr>
            <w:tcW w:w="344" w:type="pct"/>
            <w:shd w:val="clear" w:color="auto" w:fill="FFFFFF"/>
            <w:vAlign w:val="center"/>
          </w:tcPr>
          <w:p w14:paraId="11584C29">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成本节约率</w:t>
            </w:r>
          </w:p>
        </w:tc>
        <w:tc>
          <w:tcPr>
            <w:tcW w:w="927" w:type="pct"/>
            <w:shd w:val="clear" w:color="000000" w:fill="FFFFFF"/>
            <w:vAlign w:val="center"/>
          </w:tcPr>
          <w:p w14:paraId="3318249E">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完成项目计划工作目标的实际节约成本与计划成本的比率，用以反映和考核项目的成本节约程度。</w:t>
            </w:r>
          </w:p>
        </w:tc>
        <w:tc>
          <w:tcPr>
            <w:tcW w:w="2044" w:type="pct"/>
            <w:shd w:val="clear" w:color="000000" w:fill="FFFFFF"/>
            <w:vAlign w:val="center"/>
          </w:tcPr>
          <w:p w14:paraId="67E31B59">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成本节约率=[（计划成本-实际成本）/计划成本]×100%。</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实际成本：项目实施单位如期、保质、保量完成既定工作目标实际所耗费的支出。</w:t>
            </w:r>
            <w:r>
              <w:rPr>
                <w:rFonts w:ascii="Times New Roman" w:hAnsi="Times New Roman"/>
                <w:color w:val="000000"/>
                <w:kern w:val="0"/>
                <w:sz w:val="22"/>
                <w:szCs w:val="22"/>
                <w:highlight w:val="none"/>
              </w:rPr>
              <w:br w:type="textWrapping"/>
            </w:r>
            <w:r>
              <w:rPr>
                <w:rFonts w:ascii="Times New Roman" w:hAnsi="Times New Roman"/>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14:paraId="48A30651">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10</w:t>
            </w:r>
          </w:p>
        </w:tc>
        <w:tc>
          <w:tcPr>
            <w:tcW w:w="537" w:type="pct"/>
            <w:shd w:val="clear" w:color="000000" w:fill="FFFFFF"/>
            <w:vAlign w:val="center"/>
          </w:tcPr>
          <w:p w14:paraId="49A87971">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9</w:t>
            </w:r>
          </w:p>
        </w:tc>
      </w:tr>
      <w:tr w14:paraId="156577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2680AA1A">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效益　</w:t>
            </w:r>
          </w:p>
        </w:tc>
        <w:tc>
          <w:tcPr>
            <w:tcW w:w="302" w:type="pct"/>
            <w:vMerge w:val="restart"/>
            <w:shd w:val="clear" w:color="auto" w:fill="FFFFFF"/>
            <w:vAlign w:val="center"/>
          </w:tcPr>
          <w:p w14:paraId="11F9ED8D">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项目效益　</w:t>
            </w:r>
          </w:p>
        </w:tc>
        <w:tc>
          <w:tcPr>
            <w:tcW w:w="344" w:type="pct"/>
            <w:shd w:val="clear" w:color="auto" w:fill="FFFFFF"/>
            <w:vAlign w:val="center"/>
          </w:tcPr>
          <w:p w14:paraId="4F5FA376">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实施效益</w:t>
            </w:r>
          </w:p>
        </w:tc>
        <w:tc>
          <w:tcPr>
            <w:tcW w:w="927" w:type="pct"/>
            <w:shd w:val="clear" w:color="auto" w:fill="FFFFFF"/>
            <w:vAlign w:val="center"/>
          </w:tcPr>
          <w:p w14:paraId="046125C8">
            <w:pPr>
              <w:widowControl/>
              <w:spacing w:line="0" w:lineRule="atLeast"/>
              <w:jc w:val="lef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项目实施所产生的效益。</w:t>
            </w:r>
          </w:p>
        </w:tc>
        <w:tc>
          <w:tcPr>
            <w:tcW w:w="2044" w:type="pct"/>
            <w:shd w:val="clear" w:color="auto" w:fill="FFFFFF"/>
            <w:vAlign w:val="center"/>
          </w:tcPr>
          <w:p w14:paraId="4956E71F">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14:paraId="677AE5EA">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10</w:t>
            </w:r>
          </w:p>
        </w:tc>
        <w:tc>
          <w:tcPr>
            <w:tcW w:w="537" w:type="pct"/>
            <w:shd w:val="clear" w:color="auto" w:fill="FFFFFF"/>
            <w:vAlign w:val="center"/>
          </w:tcPr>
          <w:p w14:paraId="7D165BB2">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9</w:t>
            </w:r>
          </w:p>
        </w:tc>
      </w:tr>
      <w:tr w14:paraId="10A2A3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667D26A9">
            <w:pPr>
              <w:widowControl/>
              <w:spacing w:line="0" w:lineRule="atLeast"/>
              <w:jc w:val="center"/>
              <w:rPr>
                <w:rFonts w:ascii="Times New Roman" w:hAnsi="Times New Roman"/>
                <w:color w:val="000000"/>
                <w:kern w:val="0"/>
                <w:sz w:val="22"/>
                <w:szCs w:val="22"/>
                <w:highlight w:val="none"/>
              </w:rPr>
            </w:pPr>
          </w:p>
        </w:tc>
        <w:tc>
          <w:tcPr>
            <w:tcW w:w="302" w:type="pct"/>
            <w:vMerge w:val="continue"/>
            <w:shd w:val="clear" w:color="auto" w:fill="FFFFFF"/>
            <w:vAlign w:val="center"/>
          </w:tcPr>
          <w:p w14:paraId="2C2B83C3">
            <w:pPr>
              <w:widowControl/>
              <w:spacing w:line="0" w:lineRule="atLeast"/>
              <w:jc w:val="center"/>
              <w:rPr>
                <w:rFonts w:ascii="Times New Roman" w:hAnsi="Times New Roman"/>
                <w:color w:val="000000"/>
                <w:kern w:val="0"/>
                <w:sz w:val="22"/>
                <w:szCs w:val="22"/>
                <w:highlight w:val="none"/>
              </w:rPr>
            </w:pPr>
          </w:p>
        </w:tc>
        <w:tc>
          <w:tcPr>
            <w:tcW w:w="344" w:type="pct"/>
            <w:shd w:val="clear" w:color="auto" w:fill="FFFFFF"/>
            <w:vAlign w:val="center"/>
          </w:tcPr>
          <w:p w14:paraId="33BEF227">
            <w:pPr>
              <w:widowControl/>
              <w:spacing w:line="0" w:lineRule="atLeast"/>
              <w:jc w:val="center"/>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满意度</w:t>
            </w:r>
          </w:p>
        </w:tc>
        <w:tc>
          <w:tcPr>
            <w:tcW w:w="927" w:type="pct"/>
            <w:shd w:val="clear" w:color="000000" w:fill="FFFFFF"/>
            <w:vAlign w:val="center"/>
          </w:tcPr>
          <w:p w14:paraId="72BC1562">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社会公众或服务对象对项目实施效果的满意程度。</w:t>
            </w:r>
          </w:p>
        </w:tc>
        <w:tc>
          <w:tcPr>
            <w:tcW w:w="2044" w:type="pct"/>
            <w:shd w:val="clear" w:color="000000" w:fill="FFFFFF"/>
            <w:vAlign w:val="center"/>
          </w:tcPr>
          <w:p w14:paraId="2757FCE3">
            <w:pPr>
              <w:widowControl/>
              <w:spacing w:line="0" w:lineRule="atLeast"/>
              <w:rPr>
                <w:rFonts w:ascii="Times New Roman" w:hAnsi="Times New Roman"/>
                <w:color w:val="000000"/>
                <w:kern w:val="0"/>
                <w:sz w:val="22"/>
                <w:szCs w:val="22"/>
                <w:highlight w:val="none"/>
              </w:rPr>
            </w:pPr>
            <w:r>
              <w:rPr>
                <w:rFonts w:ascii="Times New Roman" w:hAnsi="Times New Roman"/>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14:paraId="390F3DB2">
            <w:pPr>
              <w:widowControl/>
              <w:spacing w:line="0" w:lineRule="atLeast"/>
              <w:jc w:val="center"/>
              <w:rPr>
                <w:rFonts w:ascii="Times New Roman" w:hAnsi="Times New Roman"/>
                <w:b/>
                <w:bCs/>
                <w:color w:val="000000"/>
                <w:kern w:val="0"/>
                <w:sz w:val="22"/>
                <w:szCs w:val="22"/>
                <w:highlight w:val="none"/>
              </w:rPr>
            </w:pPr>
            <w:r>
              <w:rPr>
                <w:rFonts w:ascii="Times New Roman" w:hAnsi="Times New Roman"/>
                <w:b/>
                <w:bCs/>
                <w:color w:val="000000"/>
                <w:kern w:val="0"/>
                <w:sz w:val="22"/>
                <w:szCs w:val="22"/>
                <w:highlight w:val="none"/>
              </w:rPr>
              <w:t>10</w:t>
            </w:r>
          </w:p>
        </w:tc>
        <w:tc>
          <w:tcPr>
            <w:tcW w:w="537" w:type="pct"/>
            <w:shd w:val="clear" w:color="000000" w:fill="FFFFFF"/>
            <w:vAlign w:val="center"/>
          </w:tcPr>
          <w:p w14:paraId="736DF9B0">
            <w:pPr>
              <w:widowControl/>
              <w:spacing w:line="0" w:lineRule="atLeast"/>
              <w:jc w:val="center"/>
              <w:rPr>
                <w:rFonts w:ascii="Times New Roman" w:hAnsi="Times New Roman"/>
                <w:b/>
                <w:bCs/>
                <w:color w:val="000000"/>
                <w:kern w:val="0"/>
                <w:sz w:val="22"/>
                <w:szCs w:val="22"/>
                <w:highlight w:val="none"/>
              </w:rPr>
            </w:pPr>
            <w:r>
              <w:rPr>
                <w:rFonts w:hint="eastAsia" w:ascii="Times New Roman" w:hAnsi="Times New Roman"/>
                <w:b/>
                <w:bCs/>
                <w:color w:val="000000"/>
                <w:kern w:val="0"/>
                <w:sz w:val="22"/>
                <w:szCs w:val="22"/>
                <w:highlight w:val="none"/>
              </w:rPr>
              <w:t>10</w:t>
            </w:r>
          </w:p>
        </w:tc>
      </w:tr>
    </w:tbl>
    <w:p w14:paraId="075F67BE">
      <w:pPr>
        <w:pStyle w:val="2"/>
        <w:rPr>
          <w:rFonts w:ascii="Times New Roman" w:hAnsi="Times New Roman"/>
          <w:highlight w:val="none"/>
        </w:rPr>
      </w:pPr>
    </w:p>
    <w:p w14:paraId="1DAE7270">
      <w:pPr>
        <w:rPr>
          <w:rFonts w:ascii="Times New Roman" w:hAnsi="Times New Roman"/>
          <w:highlight w:val="none"/>
        </w:rPr>
      </w:pPr>
    </w:p>
    <w:p w14:paraId="442F07D3">
      <w:pPr>
        <w:spacing w:line="540" w:lineRule="exact"/>
        <w:ind w:firstLine="640"/>
        <w:rPr>
          <w:rStyle w:val="14"/>
          <w:rFonts w:ascii="Times New Roman" w:hAnsi="Times New Roman" w:eastAsia="黑体"/>
          <w:bCs w:val="0"/>
          <w:spacing w:val="-4"/>
          <w:sz w:val="32"/>
          <w:szCs w:val="32"/>
          <w:highlight w:val="none"/>
        </w:rPr>
      </w:pPr>
    </w:p>
    <w:p w14:paraId="15D5C257">
      <w:pPr>
        <w:spacing w:line="540" w:lineRule="exact"/>
        <w:ind w:firstLine="640"/>
        <w:rPr>
          <w:rStyle w:val="14"/>
          <w:rFonts w:ascii="Times New Roman" w:hAnsi="Times New Roman" w:eastAsia="黑体"/>
          <w:bCs w:val="0"/>
          <w:spacing w:val="-4"/>
          <w:sz w:val="32"/>
          <w:szCs w:val="32"/>
          <w:highlight w:val="none"/>
        </w:rPr>
      </w:pPr>
    </w:p>
    <w:p w14:paraId="5ABC49D1">
      <w:pPr>
        <w:spacing w:line="540" w:lineRule="exact"/>
        <w:ind w:firstLine="640"/>
        <w:rPr>
          <w:rStyle w:val="14"/>
          <w:rFonts w:ascii="Times New Roman" w:hAnsi="Times New Roman" w:eastAsia="黑体"/>
          <w:bCs w:val="0"/>
          <w:spacing w:val="-4"/>
          <w:sz w:val="32"/>
          <w:szCs w:val="32"/>
          <w:highlight w:val="none"/>
        </w:rPr>
      </w:pPr>
    </w:p>
    <w:p w14:paraId="23B3F499">
      <w:pPr>
        <w:spacing w:line="540" w:lineRule="exact"/>
        <w:ind w:firstLine="640"/>
        <w:rPr>
          <w:rStyle w:val="14"/>
          <w:rFonts w:ascii="Times New Roman" w:hAnsi="Times New Roman" w:eastAsia="黑体"/>
          <w:bCs w:val="0"/>
          <w:spacing w:val="-4"/>
          <w:sz w:val="32"/>
          <w:szCs w:val="32"/>
          <w:highlight w:val="none"/>
        </w:rPr>
      </w:pPr>
    </w:p>
    <w:p w14:paraId="0AE46992">
      <w:pPr>
        <w:spacing w:line="540" w:lineRule="exact"/>
        <w:ind w:firstLine="640"/>
        <w:rPr>
          <w:rStyle w:val="14"/>
          <w:rFonts w:ascii="Times New Roman" w:hAnsi="Times New Roman" w:eastAsia="黑体"/>
          <w:bCs w:val="0"/>
          <w:spacing w:val="-4"/>
          <w:sz w:val="32"/>
          <w:szCs w:val="32"/>
          <w:highlight w:val="none"/>
        </w:rPr>
      </w:pPr>
    </w:p>
    <w:p w14:paraId="6A606FE4">
      <w:pPr>
        <w:spacing w:line="540" w:lineRule="exact"/>
        <w:ind w:firstLine="640"/>
        <w:rPr>
          <w:rStyle w:val="14"/>
          <w:rFonts w:ascii="Times New Roman" w:hAnsi="Times New Roman" w:eastAsia="黑体"/>
          <w:bCs w:val="0"/>
          <w:spacing w:val="-4"/>
          <w:sz w:val="32"/>
          <w:szCs w:val="32"/>
          <w:highlight w:val="none"/>
        </w:rPr>
      </w:pPr>
    </w:p>
    <w:p w14:paraId="5BCE724F">
      <w:pPr>
        <w:spacing w:line="540" w:lineRule="exact"/>
        <w:rPr>
          <w:rStyle w:val="14"/>
          <w:rFonts w:ascii="Times New Roman" w:hAnsi="Times New Roman" w:eastAsia="仿宋"/>
          <w:b w:val="0"/>
          <w:spacing w:val="-4"/>
          <w:sz w:val="32"/>
          <w:szCs w:val="32"/>
          <w:highlight w:val="none"/>
        </w:rPr>
      </w:pPr>
    </w:p>
    <w:p w14:paraId="5B6225F3">
      <w:pPr>
        <w:rPr>
          <w:rFonts w:ascii="Times New Roman" w:hAnsi="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6DB10D8">
        <w:pPr>
          <w:pStyle w:val="8"/>
          <w:jc w:val="center"/>
        </w:pPr>
        <w:r>
          <w:fldChar w:fldCharType="begin"/>
        </w:r>
        <w:r>
          <w:instrText xml:space="preserve">PAGE   \* MERGEFORMAT</w:instrText>
        </w:r>
        <w:r>
          <w:fldChar w:fldCharType="separate"/>
        </w:r>
        <w:r>
          <w:rPr>
            <w:lang w:val="zh-CN"/>
          </w:rPr>
          <w:t>14</w:t>
        </w:r>
        <w:r>
          <w:rPr>
            <w:lang w:val="zh-CN"/>
          </w:rPr>
          <w:fldChar w:fldCharType="end"/>
        </w:r>
      </w:p>
    </w:sdtContent>
  </w:sdt>
  <w:p w14:paraId="55348629">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304982A1"/>
    <w:multiLevelType w:val="singleLevel"/>
    <w:tmpl w:val="304982A1"/>
    <w:lvl w:ilvl="0" w:tentative="0">
      <w:start w:val="1"/>
      <w:numFmt w:val="decimal"/>
      <w:lvlText w:val="%1."/>
      <w:lvlJc w:val="left"/>
      <w:pPr>
        <w:tabs>
          <w:tab w:val="left" w:pos="312"/>
        </w:tabs>
      </w:pPr>
    </w:lvl>
  </w:abstractNum>
  <w:abstractNum w:abstractNumId="5">
    <w:nsid w:val="38F0C646"/>
    <w:multiLevelType w:val="singleLevel"/>
    <w:tmpl w:val="38F0C646"/>
    <w:lvl w:ilvl="0" w:tentative="0">
      <w:start w:val="1"/>
      <w:numFmt w:val="decimal"/>
      <w:suff w:val="nothing"/>
      <w:lvlText w:val="%1、"/>
      <w:lvlJc w:val="left"/>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5"/>
  </w:num>
  <w:num w:numId="4">
    <w:abstractNumId w:val="2"/>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Q0YjczZjQ1YmJjOTFhMWZhODE0NDZhNDlmMWEyMjgifQ=="/>
  </w:docVars>
  <w:rsids>
    <w:rsidRoot w:val="FF6C4049"/>
    <w:rsid w:val="00095176"/>
    <w:rsid w:val="000D0893"/>
    <w:rsid w:val="001D4A11"/>
    <w:rsid w:val="004712B7"/>
    <w:rsid w:val="00585E30"/>
    <w:rsid w:val="00714727"/>
    <w:rsid w:val="0075553D"/>
    <w:rsid w:val="00B10222"/>
    <w:rsid w:val="00CA607F"/>
    <w:rsid w:val="00E350CB"/>
    <w:rsid w:val="00F5770E"/>
    <w:rsid w:val="00FC7F82"/>
    <w:rsid w:val="00FD3DF8"/>
    <w:rsid w:val="012B03D4"/>
    <w:rsid w:val="061A6FD0"/>
    <w:rsid w:val="092B7994"/>
    <w:rsid w:val="12683E32"/>
    <w:rsid w:val="13B90F01"/>
    <w:rsid w:val="171C4DC0"/>
    <w:rsid w:val="174E2466"/>
    <w:rsid w:val="1C671E73"/>
    <w:rsid w:val="294C5091"/>
    <w:rsid w:val="2DBD38CE"/>
    <w:rsid w:val="2F140782"/>
    <w:rsid w:val="2F7DB3BC"/>
    <w:rsid w:val="2FB040D9"/>
    <w:rsid w:val="2FFE257D"/>
    <w:rsid w:val="31183FE8"/>
    <w:rsid w:val="3215767E"/>
    <w:rsid w:val="33A036E0"/>
    <w:rsid w:val="3555351F"/>
    <w:rsid w:val="388317FE"/>
    <w:rsid w:val="395F2B56"/>
    <w:rsid w:val="3A3F3575"/>
    <w:rsid w:val="3B2366B6"/>
    <w:rsid w:val="3BECE841"/>
    <w:rsid w:val="3C242530"/>
    <w:rsid w:val="3F593C0C"/>
    <w:rsid w:val="3FF7797D"/>
    <w:rsid w:val="418F3569"/>
    <w:rsid w:val="430A1DED"/>
    <w:rsid w:val="484A4A39"/>
    <w:rsid w:val="4A8741CA"/>
    <w:rsid w:val="4E1B1742"/>
    <w:rsid w:val="4EA97B28"/>
    <w:rsid w:val="4F455F5A"/>
    <w:rsid w:val="518A584D"/>
    <w:rsid w:val="54683F26"/>
    <w:rsid w:val="54E04082"/>
    <w:rsid w:val="56A95776"/>
    <w:rsid w:val="589E2A9D"/>
    <w:rsid w:val="596671F9"/>
    <w:rsid w:val="5A403774"/>
    <w:rsid w:val="5BFF6039"/>
    <w:rsid w:val="5D76A616"/>
    <w:rsid w:val="5D7F20B9"/>
    <w:rsid w:val="5DAC7D0E"/>
    <w:rsid w:val="5E124DB2"/>
    <w:rsid w:val="5E510478"/>
    <w:rsid w:val="5E7F4FE5"/>
    <w:rsid w:val="5FFE8511"/>
    <w:rsid w:val="5FFEACE2"/>
    <w:rsid w:val="613A152F"/>
    <w:rsid w:val="62DD3137"/>
    <w:rsid w:val="643EE26D"/>
    <w:rsid w:val="650E0E71"/>
    <w:rsid w:val="65AF697B"/>
    <w:rsid w:val="6671031E"/>
    <w:rsid w:val="680A3909"/>
    <w:rsid w:val="6BCD2D70"/>
    <w:rsid w:val="6C897582"/>
    <w:rsid w:val="6CE93F71"/>
    <w:rsid w:val="6F793947"/>
    <w:rsid w:val="6FAF6C78"/>
    <w:rsid w:val="707357E9"/>
    <w:rsid w:val="71972E91"/>
    <w:rsid w:val="7317C656"/>
    <w:rsid w:val="742860C0"/>
    <w:rsid w:val="74C34686"/>
    <w:rsid w:val="77FD8BE9"/>
    <w:rsid w:val="791A30FC"/>
    <w:rsid w:val="79A9BD3F"/>
    <w:rsid w:val="7A0917AF"/>
    <w:rsid w:val="7B6A2721"/>
    <w:rsid w:val="7BFFFDD0"/>
    <w:rsid w:val="7D7A5F86"/>
    <w:rsid w:val="7F12410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599C52"/>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0"/>
    <w:autoRedefine/>
    <w:qFormat/>
    <w:uiPriority w:val="99"/>
    <w:pPr>
      <w:jc w:val="left"/>
    </w:pPr>
  </w:style>
  <w:style w:type="paragraph" w:styleId="5">
    <w:name w:val="Body Text"/>
    <w:basedOn w:val="1"/>
    <w:autoRedefine/>
    <w:qFormat/>
    <w:uiPriority w:val="0"/>
    <w:pPr>
      <w:spacing w:after="120"/>
    </w:pPr>
  </w:style>
  <w:style w:type="paragraph" w:styleId="6">
    <w:name w:val="Body Text Indent"/>
    <w:basedOn w:val="1"/>
    <w:autoRedefine/>
    <w:qFormat/>
    <w:uiPriority w:val="0"/>
    <w:pPr>
      <w:spacing w:after="120"/>
      <w:ind w:left="420" w:leftChars="200"/>
    </w:pPr>
    <w:rPr>
      <w:rFonts w:ascii="Calibri" w:hAnsi="Calibri"/>
    </w:rPr>
  </w:style>
  <w:style w:type="paragraph" w:styleId="7">
    <w:name w:val="Balloon Text"/>
    <w:basedOn w:val="1"/>
    <w:link w:val="26"/>
    <w:autoRedefine/>
    <w:qFormat/>
    <w:uiPriority w:val="0"/>
    <w:rPr>
      <w:sz w:val="18"/>
      <w:szCs w:val="18"/>
    </w:rPr>
  </w:style>
  <w:style w:type="paragraph" w:styleId="8">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19"/>
    <w:autoRedefine/>
    <w:qFormat/>
    <w:uiPriority w:val="0"/>
    <w:pPr>
      <w:tabs>
        <w:tab w:val="center" w:pos="4153"/>
        <w:tab w:val="right" w:pos="8306"/>
      </w:tabs>
      <w:snapToGrid w:val="0"/>
      <w:jc w:val="center"/>
    </w:pPr>
    <w:rPr>
      <w:sz w:val="18"/>
      <w:szCs w:val="18"/>
    </w:rPr>
  </w:style>
  <w:style w:type="paragraph" w:styleId="10">
    <w:name w:val="Body Text First Indent"/>
    <w:basedOn w:val="5"/>
    <w:autoRedefine/>
    <w:qFormat/>
    <w:uiPriority w:val="0"/>
    <w:pPr>
      <w:spacing w:after="0"/>
      <w:ind w:firstLine="200" w:firstLineChars="200"/>
    </w:pPr>
  </w:style>
  <w:style w:type="paragraph" w:styleId="11">
    <w:name w:val="Body Text First Indent 2"/>
    <w:basedOn w:val="6"/>
    <w:autoRedefine/>
    <w:qFormat/>
    <w:uiPriority w:val="0"/>
    <w:pPr>
      <w:ind w:firstLine="420" w:firstLineChars="200"/>
    </w:pPr>
  </w:style>
  <w:style w:type="character" w:styleId="14">
    <w:name w:val="Strong"/>
    <w:basedOn w:val="13"/>
    <w:autoRedefine/>
    <w:qFormat/>
    <w:uiPriority w:val="0"/>
    <w:rPr>
      <w:b/>
      <w:bCs/>
    </w:rPr>
  </w:style>
  <w:style w:type="character" w:styleId="15">
    <w:name w:val="annotation reference"/>
    <w:basedOn w:val="13"/>
    <w:autoRedefine/>
    <w:qFormat/>
    <w:uiPriority w:val="99"/>
    <w:rPr>
      <w:sz w:val="21"/>
      <w:szCs w:val="21"/>
    </w:rPr>
  </w:style>
  <w:style w:type="character" w:customStyle="1" w:styleId="16">
    <w:name w:val="fontstyle01"/>
    <w:autoRedefine/>
    <w:qFormat/>
    <w:uiPriority w:val="0"/>
    <w:rPr>
      <w:rFonts w:ascii="仿宋_GB2312" w:hAnsi="仿宋_GB2312" w:eastAsia="仿宋_GB2312" w:cs="仿宋_GB2312"/>
      <w:color w:val="000000"/>
      <w:sz w:val="32"/>
      <w:szCs w:val="32"/>
    </w:rPr>
  </w:style>
  <w:style w:type="paragraph" w:customStyle="1" w:styleId="17">
    <w:name w:val="闻政-正文段落文字"/>
    <w:basedOn w:val="1"/>
    <w:autoRedefine/>
    <w:qFormat/>
    <w:uiPriority w:val="3"/>
    <w:pPr>
      <w:spacing w:line="500" w:lineRule="exact"/>
      <w:ind w:firstLine="200"/>
    </w:pPr>
    <w:rPr>
      <w:kern w:val="0"/>
      <w:szCs w:val="28"/>
    </w:rPr>
  </w:style>
  <w:style w:type="paragraph" w:customStyle="1" w:styleId="18">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19">
    <w:name w:val="页眉 Char"/>
    <w:basedOn w:val="13"/>
    <w:link w:val="9"/>
    <w:autoRedefine/>
    <w:qFormat/>
    <w:uiPriority w:val="0"/>
    <w:rPr>
      <w:rFonts w:ascii="Times New Roman" w:hAnsi="Times New Roman" w:eastAsia="宋体" w:cs="Times New Roman"/>
      <w:kern w:val="2"/>
      <w:sz w:val="18"/>
      <w:szCs w:val="18"/>
    </w:rPr>
  </w:style>
  <w:style w:type="character" w:customStyle="1" w:styleId="20">
    <w:name w:val="批注文字 Char"/>
    <w:basedOn w:val="13"/>
    <w:link w:val="4"/>
    <w:autoRedefine/>
    <w:qFormat/>
    <w:uiPriority w:val="99"/>
    <w:rPr>
      <w:rFonts w:ascii="Times New Roman" w:hAnsi="Times New Roman" w:eastAsia="宋体" w:cs="Times New Roman"/>
      <w:kern w:val="2"/>
      <w:sz w:val="21"/>
      <w:szCs w:val="24"/>
    </w:rPr>
  </w:style>
  <w:style w:type="paragraph" w:styleId="21">
    <w:name w:val="List Paragraph"/>
    <w:basedOn w:val="1"/>
    <w:autoRedefine/>
    <w:unhideWhenUsed/>
    <w:qFormat/>
    <w:uiPriority w:val="99"/>
    <w:pPr>
      <w:ind w:firstLine="420" w:firstLineChars="200"/>
    </w:pPr>
  </w:style>
  <w:style w:type="character" w:customStyle="1" w:styleId="22">
    <w:name w:val="font61"/>
    <w:basedOn w:val="13"/>
    <w:autoRedefine/>
    <w:qFormat/>
    <w:uiPriority w:val="0"/>
    <w:rPr>
      <w:rFonts w:hint="default" w:ascii="Times New Roman" w:hAnsi="Times New Roman" w:cs="Times New Roman"/>
      <w:color w:val="000000"/>
      <w:sz w:val="22"/>
      <w:szCs w:val="22"/>
      <w:u w:val="none"/>
    </w:rPr>
  </w:style>
  <w:style w:type="character" w:customStyle="1" w:styleId="23">
    <w:name w:val="font01"/>
    <w:basedOn w:val="13"/>
    <w:autoRedefine/>
    <w:qFormat/>
    <w:uiPriority w:val="0"/>
    <w:rPr>
      <w:rFonts w:hint="eastAsia" w:ascii="宋体" w:hAnsi="宋体" w:eastAsia="宋体" w:cs="宋体"/>
      <w:color w:val="000000"/>
      <w:sz w:val="22"/>
      <w:szCs w:val="22"/>
      <w:u w:val="none"/>
    </w:rPr>
  </w:style>
  <w:style w:type="character" w:customStyle="1" w:styleId="24">
    <w:name w:val="font31"/>
    <w:basedOn w:val="13"/>
    <w:autoRedefine/>
    <w:qFormat/>
    <w:uiPriority w:val="0"/>
    <w:rPr>
      <w:rFonts w:hint="eastAsia" w:ascii="宋体" w:hAnsi="宋体" w:eastAsia="宋体" w:cs="宋体"/>
      <w:color w:val="000000"/>
      <w:sz w:val="18"/>
      <w:szCs w:val="18"/>
      <w:u w:val="none"/>
    </w:rPr>
  </w:style>
  <w:style w:type="character" w:customStyle="1" w:styleId="25">
    <w:name w:val="font41"/>
    <w:basedOn w:val="13"/>
    <w:autoRedefine/>
    <w:qFormat/>
    <w:uiPriority w:val="0"/>
    <w:rPr>
      <w:rFonts w:hint="default" w:ascii="Times New Roman" w:hAnsi="Times New Roman" w:cs="Times New Roman"/>
      <w:color w:val="000000"/>
      <w:sz w:val="18"/>
      <w:szCs w:val="18"/>
      <w:u w:val="none"/>
    </w:rPr>
  </w:style>
  <w:style w:type="character" w:customStyle="1" w:styleId="26">
    <w:name w:val="批注框文本 Char"/>
    <w:basedOn w:val="13"/>
    <w:link w:val="7"/>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9075</Words>
  <Characters>9595</Characters>
  <Lines>9</Lines>
  <Paragraphs>18</Paragraphs>
  <TotalTime>5</TotalTime>
  <ScaleCrop>false</ScaleCrop>
  <LinksUpToDate>false</LinksUpToDate>
  <CharactersWithSpaces>9628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2024-04-09T02:19:00Z</dcterms:created>
  <dc:creator>审核人</dc:creator>
  <cp:lastModifiedBy>叶微微</cp:lastModifiedBy>
  <dcterms:modified xsi:type="dcterms:W3CDTF">2024-08-28T07:07:48Z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0CA58AF8364FF55815C8066417B177EA</vt:lpwstr>
  </property>
</Properties>
</file>