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86E5F">
      <w:pPr>
        <w:spacing w:line="540" w:lineRule="exact"/>
        <w:jc w:val="center"/>
        <w:rPr>
          <w:rFonts w:hint="default" w:ascii="Times New Roman" w:hAnsi="Times New Roman" w:eastAsia="华文中宋" w:cs="Times New Roman"/>
          <w:b/>
          <w:kern w:val="0"/>
          <w:sz w:val="52"/>
          <w:szCs w:val="52"/>
          <w:highlight w:val="none"/>
        </w:rPr>
      </w:pPr>
    </w:p>
    <w:p w14:paraId="6E817E8E">
      <w:pPr>
        <w:spacing w:line="540" w:lineRule="exact"/>
        <w:rPr>
          <w:rFonts w:hint="default" w:ascii="Times New Roman" w:hAnsi="Times New Roman" w:eastAsia="华文中宋" w:cs="Times New Roman"/>
          <w:b/>
          <w:kern w:val="0"/>
          <w:sz w:val="52"/>
          <w:szCs w:val="52"/>
          <w:highlight w:val="none"/>
        </w:rPr>
      </w:pPr>
    </w:p>
    <w:p w14:paraId="31A21D4C">
      <w:pPr>
        <w:spacing w:line="540" w:lineRule="exact"/>
        <w:jc w:val="center"/>
        <w:rPr>
          <w:rFonts w:hint="default" w:ascii="Times New Roman" w:hAnsi="Times New Roman" w:eastAsia="华文中宋" w:cs="Times New Roman"/>
          <w:b/>
          <w:kern w:val="0"/>
          <w:sz w:val="52"/>
          <w:szCs w:val="52"/>
          <w:highlight w:val="none"/>
        </w:rPr>
      </w:pPr>
    </w:p>
    <w:p w14:paraId="3D20934B">
      <w:pPr>
        <w:spacing w:line="540" w:lineRule="exact"/>
        <w:jc w:val="center"/>
        <w:rPr>
          <w:rFonts w:hint="default" w:ascii="Times New Roman" w:hAnsi="Times New Roman" w:eastAsia="华文中宋" w:cs="Times New Roman"/>
          <w:b/>
          <w:kern w:val="0"/>
          <w:sz w:val="52"/>
          <w:szCs w:val="52"/>
          <w:highlight w:val="none"/>
        </w:rPr>
      </w:pPr>
    </w:p>
    <w:p w14:paraId="209D724F">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政府采购资金项目支出绩效评价</w:t>
      </w:r>
    </w:p>
    <w:p w14:paraId="134B3FBB">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14:paraId="56DB9E5E">
      <w:pPr>
        <w:spacing w:line="540" w:lineRule="exact"/>
        <w:jc w:val="center"/>
        <w:rPr>
          <w:rFonts w:hint="default" w:ascii="Times New Roman" w:hAnsi="Times New Roman" w:eastAsia="华文中宋" w:cs="Times New Roman"/>
          <w:b/>
          <w:kern w:val="0"/>
          <w:sz w:val="52"/>
          <w:szCs w:val="52"/>
          <w:highlight w:val="none"/>
        </w:rPr>
      </w:pPr>
    </w:p>
    <w:p w14:paraId="7264C53C">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 2023年度）</w:t>
      </w:r>
    </w:p>
    <w:p w14:paraId="43632D50">
      <w:pPr>
        <w:spacing w:line="540" w:lineRule="exact"/>
        <w:jc w:val="center"/>
        <w:rPr>
          <w:rFonts w:hint="default" w:ascii="Times New Roman" w:hAnsi="Times New Roman" w:eastAsia="仿宋_GB2312" w:cs="Times New Roman"/>
          <w:kern w:val="0"/>
          <w:sz w:val="30"/>
          <w:szCs w:val="30"/>
          <w:highlight w:val="none"/>
        </w:rPr>
      </w:pPr>
    </w:p>
    <w:p w14:paraId="7EACF541">
      <w:pPr>
        <w:spacing w:line="540" w:lineRule="exact"/>
        <w:jc w:val="center"/>
        <w:rPr>
          <w:rFonts w:hint="default" w:ascii="Times New Roman" w:hAnsi="Times New Roman" w:eastAsia="仿宋_GB2312" w:cs="Times New Roman"/>
          <w:kern w:val="0"/>
          <w:sz w:val="30"/>
          <w:szCs w:val="30"/>
          <w:highlight w:val="none"/>
        </w:rPr>
      </w:pPr>
    </w:p>
    <w:p w14:paraId="660F2F4F">
      <w:pPr>
        <w:spacing w:line="540" w:lineRule="exact"/>
        <w:jc w:val="center"/>
        <w:rPr>
          <w:rFonts w:hint="default" w:ascii="Times New Roman" w:hAnsi="Times New Roman" w:eastAsia="仿宋_GB2312" w:cs="Times New Roman"/>
          <w:kern w:val="0"/>
          <w:sz w:val="30"/>
          <w:szCs w:val="30"/>
          <w:highlight w:val="none"/>
        </w:rPr>
      </w:pPr>
    </w:p>
    <w:p w14:paraId="26AC2C46">
      <w:pPr>
        <w:spacing w:line="540" w:lineRule="exact"/>
        <w:jc w:val="center"/>
        <w:rPr>
          <w:rFonts w:hint="default" w:ascii="Times New Roman" w:hAnsi="Times New Roman" w:eastAsia="仿宋_GB2312" w:cs="Times New Roman"/>
          <w:kern w:val="0"/>
          <w:sz w:val="30"/>
          <w:szCs w:val="30"/>
          <w:highlight w:val="none"/>
        </w:rPr>
      </w:pPr>
    </w:p>
    <w:p w14:paraId="268B37AE">
      <w:pPr>
        <w:spacing w:line="540" w:lineRule="exact"/>
        <w:rPr>
          <w:rFonts w:hint="default" w:ascii="Times New Roman" w:hAnsi="Times New Roman" w:eastAsia="仿宋_GB2312" w:cs="Times New Roman"/>
          <w:kern w:val="0"/>
          <w:sz w:val="30"/>
          <w:szCs w:val="30"/>
          <w:highlight w:val="none"/>
        </w:rPr>
      </w:pPr>
    </w:p>
    <w:p w14:paraId="3D7BB09F">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项目名称：新疆维吾尔自治区儿童医院政府采购项目</w:t>
      </w:r>
    </w:p>
    <w:p w14:paraId="10EA1CAC">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实施单位（公章）：新疆维吾尔自治区儿童医院</w:t>
      </w:r>
    </w:p>
    <w:p w14:paraId="457AEF54">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w:t>
      </w:r>
      <w:r>
        <w:rPr>
          <w:rFonts w:hint="eastAsia" w:ascii="Times New Roman" w:hAnsi="Times New Roman" w:eastAsia="仿宋_GB2312"/>
          <w:kern w:val="0"/>
          <w:sz w:val="36"/>
          <w:szCs w:val="36"/>
          <w:highlight w:val="none"/>
        </w:rPr>
        <w:t>新疆维吾尔自治区卫生健康委</w:t>
      </w:r>
      <w:r>
        <w:rPr>
          <w:rFonts w:hint="eastAsia" w:ascii="Times New Roman" w:hAnsi="Times New Roman" w:eastAsia="仿宋_GB2312"/>
          <w:kern w:val="0"/>
          <w:sz w:val="36"/>
          <w:szCs w:val="36"/>
          <w:highlight w:val="none"/>
          <w:lang w:val="en-US" w:eastAsia="zh-CN"/>
        </w:rPr>
        <w:t>员会</w:t>
      </w:r>
    </w:p>
    <w:p w14:paraId="2F932BD2">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项目负责人（签章）：江民</w:t>
      </w:r>
    </w:p>
    <w:p w14:paraId="67009DB0">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填报时间：202</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年3</w:t>
      </w:r>
      <w:bookmarkStart w:id="9" w:name="_GoBack"/>
      <w:bookmarkEnd w:id="9"/>
      <w:r>
        <w:rPr>
          <w:rFonts w:hint="default" w:ascii="Times New Roman" w:hAnsi="Times New Roman" w:eastAsia="仿宋_GB2312" w:cs="Times New Roman"/>
          <w:kern w:val="0"/>
          <w:sz w:val="36"/>
          <w:szCs w:val="36"/>
          <w:highlight w:val="none"/>
        </w:rPr>
        <w:t>月4日</w:t>
      </w:r>
    </w:p>
    <w:p w14:paraId="43D7C2E0">
      <w:pPr>
        <w:spacing w:line="540" w:lineRule="exact"/>
        <w:jc w:val="center"/>
        <w:rPr>
          <w:rFonts w:hint="default" w:ascii="Times New Roman" w:hAnsi="Times New Roman" w:eastAsia="仿宋_GB2312" w:cs="Times New Roman"/>
          <w:kern w:val="0"/>
          <w:sz w:val="30"/>
          <w:szCs w:val="30"/>
          <w:highlight w:val="none"/>
        </w:rPr>
      </w:pPr>
    </w:p>
    <w:p w14:paraId="3BAB4B8C">
      <w:pPr>
        <w:spacing w:line="540" w:lineRule="exact"/>
        <w:rPr>
          <w:rStyle w:val="14"/>
          <w:rFonts w:hint="default" w:ascii="Times New Roman" w:hAnsi="Times New Roman" w:eastAsia="黑体" w:cs="Times New Roman"/>
          <w:b w:val="0"/>
          <w:spacing w:val="-4"/>
          <w:sz w:val="32"/>
          <w:szCs w:val="32"/>
          <w:highlight w:val="none"/>
        </w:rPr>
      </w:pPr>
    </w:p>
    <w:p w14:paraId="6F6F8DE7">
      <w:pPr>
        <w:spacing w:line="540" w:lineRule="exact"/>
        <w:ind w:firstLine="640"/>
        <w:rPr>
          <w:rStyle w:val="14"/>
          <w:rFonts w:hint="default" w:ascii="Times New Roman" w:hAnsi="Times New Roman" w:eastAsia="黑体" w:cs="Times New Roman"/>
          <w:b w:val="0"/>
          <w:spacing w:val="-4"/>
          <w:sz w:val="32"/>
          <w:szCs w:val="32"/>
          <w:highlight w:val="none"/>
        </w:rPr>
      </w:pPr>
    </w:p>
    <w:p w14:paraId="0BFF835D">
      <w:pPr>
        <w:spacing w:line="540" w:lineRule="exact"/>
        <w:rPr>
          <w:rStyle w:val="14"/>
          <w:rFonts w:hint="default" w:ascii="Times New Roman" w:hAnsi="Times New Roman" w:eastAsia="黑体" w:cs="Times New Roman"/>
          <w:b w:val="0"/>
          <w:spacing w:val="-4"/>
          <w:sz w:val="32"/>
          <w:szCs w:val="32"/>
          <w:highlight w:val="none"/>
        </w:rPr>
      </w:pPr>
    </w:p>
    <w:p w14:paraId="267F11F2">
      <w:pPr>
        <w:spacing w:line="600" w:lineRule="exact"/>
        <w:jc w:val="center"/>
        <w:rPr>
          <w:rFonts w:hint="default" w:ascii="Times New Roman" w:hAnsi="Times New Roman" w:eastAsia="黑体" w:cs="Times New Roman"/>
          <w:bCs/>
          <w:sz w:val="32"/>
          <w:szCs w:val="32"/>
          <w:highlight w:val="none"/>
        </w:rPr>
      </w:pPr>
    </w:p>
    <w:p w14:paraId="2AC3BDF9">
      <w:pPr>
        <w:spacing w:line="600" w:lineRule="exact"/>
        <w:rPr>
          <w:rFonts w:hint="default" w:ascii="Times New Roman" w:hAnsi="Times New Roman" w:eastAsia="黑体" w:cs="Times New Roman"/>
          <w:bCs/>
          <w:sz w:val="32"/>
          <w:szCs w:val="32"/>
          <w:highlight w:val="none"/>
        </w:rPr>
      </w:pPr>
    </w:p>
    <w:p w14:paraId="628B0462">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2C00E28B">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30982D62">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1、项目背景</w:t>
      </w:r>
    </w:p>
    <w:p w14:paraId="04845EBD">
      <w:pPr>
        <w:widowControl/>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以国家区域医疗中心建设项目为契机，从组织架构、内部控制流程不断规范和加强政府采购管理和招标工作。</w:t>
      </w:r>
      <w:r>
        <w:rPr>
          <w:rFonts w:hint="default" w:ascii="Times New Roman" w:hAnsi="Times New Roman" w:eastAsia="仿宋" w:cs="Times New Roman"/>
          <w:kern w:val="1"/>
          <w:sz w:val="32"/>
          <w:szCs w:val="32"/>
          <w:highlight w:val="none"/>
        </w:rPr>
        <w:t>为进一步完善招标采购工作，健全管理体制，与北京儿童医院招标采购工作同质化管理，整合全院采购职能，4月份医院成立采购中心后</w:t>
      </w:r>
      <w:r>
        <w:rPr>
          <w:rFonts w:hint="eastAsia" w:eastAsia="仿宋" w:cs="Times New Roman"/>
          <w:kern w:val="1"/>
          <w:sz w:val="32"/>
          <w:szCs w:val="32"/>
          <w:highlight w:val="none"/>
          <w:lang w:eastAsia="zh-CN"/>
        </w:rPr>
        <w:t>，</w:t>
      </w:r>
      <w:r>
        <w:rPr>
          <w:rFonts w:hint="default" w:ascii="Times New Roman" w:hAnsi="Times New Roman" w:eastAsia="仿宋" w:cs="Times New Roman"/>
          <w:kern w:val="1"/>
          <w:sz w:val="32"/>
          <w:szCs w:val="32"/>
          <w:highlight w:val="none"/>
        </w:rPr>
        <w:t>科室根据《中华人民共和国政府采购法》及相关文件要求</w:t>
      </w:r>
      <w:r>
        <w:rPr>
          <w:rFonts w:hint="eastAsia" w:eastAsia="仿宋" w:cs="Times New Roman"/>
          <w:kern w:val="1"/>
          <w:sz w:val="32"/>
          <w:szCs w:val="32"/>
          <w:highlight w:val="none"/>
          <w:lang w:eastAsia="zh-CN"/>
        </w:rPr>
        <w:t>，</w:t>
      </w:r>
      <w:r>
        <w:rPr>
          <w:rFonts w:hint="default" w:ascii="Times New Roman" w:hAnsi="Times New Roman" w:eastAsia="仿宋" w:cs="Times New Roman"/>
          <w:kern w:val="1"/>
          <w:sz w:val="32"/>
          <w:szCs w:val="32"/>
          <w:highlight w:val="none"/>
        </w:rPr>
        <w:t>制定了新版《北京儿童医院新疆医院采购管理制度》并贯彻落实，按其规定的采购方式开展招标采购工作，</w:t>
      </w:r>
      <w:r>
        <w:rPr>
          <w:rFonts w:hint="default" w:ascii="Times New Roman" w:hAnsi="Times New Roman" w:eastAsia="仿宋" w:cs="Times New Roman"/>
          <w:sz w:val="32"/>
          <w:szCs w:val="32"/>
          <w:highlight w:val="none"/>
        </w:rPr>
        <w:t>保质保量</w:t>
      </w:r>
      <w:r>
        <w:rPr>
          <w:rFonts w:hint="default" w:ascii="Times New Roman" w:hAnsi="Times New Roman" w:eastAsia="仿宋" w:cs="Times New Roman"/>
          <w:sz w:val="32"/>
          <w:szCs w:val="32"/>
          <w:highlight w:val="none"/>
          <w:lang w:eastAsia="zh-CN"/>
        </w:rPr>
        <w:t>地</w:t>
      </w:r>
      <w:r>
        <w:rPr>
          <w:rFonts w:hint="default" w:ascii="Times New Roman" w:hAnsi="Times New Roman" w:eastAsia="仿宋" w:cs="Times New Roman"/>
          <w:sz w:val="32"/>
          <w:szCs w:val="32"/>
          <w:highlight w:val="none"/>
        </w:rPr>
        <w:t>完成了2023年招标工作计划，</w:t>
      </w:r>
      <w:r>
        <w:rPr>
          <w:rFonts w:hint="default" w:ascii="Times New Roman" w:hAnsi="Times New Roman" w:eastAsia="仿宋" w:cs="Times New Roman"/>
          <w:kern w:val="1"/>
          <w:sz w:val="32"/>
          <w:szCs w:val="32"/>
          <w:highlight w:val="none"/>
        </w:rPr>
        <w:t>并根据实际工作需求不断完善，不断调整，以简化手续，提高效率，降低医院运营成本，节约采购资金，</w:t>
      </w:r>
      <w:r>
        <w:rPr>
          <w:rFonts w:hint="default" w:ascii="Times New Roman" w:hAnsi="Times New Roman" w:eastAsia="仿宋" w:cs="Times New Roman"/>
          <w:sz w:val="32"/>
          <w:szCs w:val="32"/>
          <w:highlight w:val="none"/>
        </w:rPr>
        <w:t>确保了医院医疗、教学、行政工作服务</w:t>
      </w:r>
      <w:r>
        <w:rPr>
          <w:rFonts w:hint="default" w:ascii="Times New Roman" w:hAnsi="Times New Roman" w:eastAsia="仿宋" w:cs="Times New Roman"/>
          <w:kern w:val="1"/>
          <w:sz w:val="32"/>
          <w:szCs w:val="32"/>
          <w:highlight w:val="none"/>
        </w:rPr>
        <w:t>。</w:t>
      </w:r>
    </w:p>
    <w:p w14:paraId="12EE9FA0">
      <w:pPr>
        <w:pStyle w:val="2"/>
        <w:numPr>
          <w:ilvl w:val="0"/>
          <w:numId w:val="1"/>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rPr>
        <w:t>项目主要内容：</w:t>
      </w:r>
    </w:p>
    <w:p w14:paraId="51418C44">
      <w:pPr>
        <w:spacing w:line="560" w:lineRule="exact"/>
        <w:ind w:firstLine="640" w:firstLineChars="200"/>
        <w:rPr>
          <w:rFonts w:hint="default" w:ascii="Times New Roman" w:hAnsi="Times New Roman" w:eastAsia="仿宋" w:cs="Times New Roman"/>
          <w:kern w:val="1"/>
          <w:sz w:val="32"/>
          <w:szCs w:val="32"/>
          <w:highlight w:val="none"/>
        </w:rPr>
      </w:pPr>
      <w:r>
        <w:rPr>
          <w:rFonts w:hint="default" w:ascii="Times New Roman" w:hAnsi="Times New Roman" w:eastAsia="仿宋" w:cs="Times New Roman"/>
          <w:kern w:val="1"/>
          <w:sz w:val="32"/>
          <w:szCs w:val="32"/>
          <w:highlight w:val="none"/>
        </w:rPr>
        <w:t>（1）</w:t>
      </w:r>
      <w:r>
        <w:rPr>
          <w:rFonts w:hint="default" w:ascii="Times New Roman" w:hAnsi="Times New Roman" w:eastAsia="仿宋" w:cs="Times New Roman"/>
          <w:sz w:val="32"/>
          <w:szCs w:val="32"/>
          <w:highlight w:val="none"/>
        </w:rPr>
        <w:t>规范确定政府采购方式。严格执行自治区政府采购目录和限额标准，组织归口管理部门学习2022年政府采购目录和限额标准文件，根据采购项目特点，依法确定政府采购组织形式和采购方式。</w:t>
      </w:r>
      <w:r>
        <w:rPr>
          <w:rFonts w:hint="default" w:ascii="Times New Roman" w:hAnsi="Times New Roman" w:eastAsia="仿宋" w:cs="Times New Roman"/>
          <w:kern w:val="1"/>
          <w:sz w:val="32"/>
          <w:szCs w:val="32"/>
          <w:highlight w:val="none"/>
        </w:rPr>
        <w:t>完成院外招标采购项目共计27项，预算金额：3931.17万元。货物类</w:t>
      </w:r>
      <w:bookmarkStart w:id="0" w:name="OLE_LINK1"/>
      <w:r>
        <w:rPr>
          <w:rFonts w:hint="default" w:ascii="Times New Roman" w:hAnsi="Times New Roman" w:eastAsia="仿宋" w:cs="Times New Roman"/>
          <w:kern w:val="1"/>
          <w:sz w:val="32"/>
          <w:szCs w:val="32"/>
          <w:highlight w:val="none"/>
        </w:rPr>
        <w:t>项目</w:t>
      </w:r>
      <w:bookmarkEnd w:id="0"/>
      <w:r>
        <w:rPr>
          <w:rFonts w:hint="default" w:ascii="Times New Roman" w:hAnsi="Times New Roman" w:eastAsia="仿宋" w:cs="Times New Roman"/>
          <w:kern w:val="1"/>
          <w:sz w:val="32"/>
          <w:szCs w:val="32"/>
          <w:highlight w:val="none"/>
        </w:rPr>
        <w:t>15项，服务类项目11项，工程类项目1项。其中：货物类招标中标金额：2595.98万元；服务类招标中标金额：1125.66万元。共节约资金：209.53万元。 完成院内招标采购项目共计34项，预算金额：281.6万元。货物类</w:t>
      </w:r>
      <w:r>
        <w:rPr>
          <w:rFonts w:hint="eastAsia" w:eastAsia="仿宋" w:cs="Times New Roman"/>
          <w:kern w:val="1"/>
          <w:sz w:val="32"/>
          <w:szCs w:val="32"/>
          <w:highlight w:val="none"/>
          <w:lang w:eastAsia="zh-CN"/>
        </w:rPr>
        <w:t>项目</w:t>
      </w:r>
      <w:r>
        <w:rPr>
          <w:rFonts w:hint="default" w:ascii="Times New Roman" w:hAnsi="Times New Roman" w:eastAsia="仿宋" w:cs="Times New Roman"/>
          <w:kern w:val="1"/>
          <w:sz w:val="32"/>
          <w:szCs w:val="32"/>
          <w:highlight w:val="none"/>
        </w:rPr>
        <w:t>9项，服务类项目23项，工程类项目：2项。其中：货物类招标中标金额：121.39万元；服务类招标中标金额：112.14万元。工程类招标中标金额：14.15万元。共节约资金：33.92万元。政采云平台服务市场车辆保险服务5笔订单，采购金额：39316.21元；车辆维修和保养服务2笔订单，采购金额：44935元；政采云平台网上超市下单3笔家具采购订单，采购金额：315320元；1笔制服采购订单，采购金额：107514.2元。</w:t>
      </w:r>
    </w:p>
    <w:p w14:paraId="6705F595">
      <w:pPr>
        <w:spacing w:line="50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规范了招标投标程序，严把资格审查关。实行标准化的招标文件、提高招投标的合法性、时效性和经济性。进一步完善了招标信息发布渠道，招标信息在新疆政府网与我院官网发布。能以其为平台，完善招标监督体系，使招标信息、评标办法、中标结果等得到全面公开，为促进廉政建设服务。发挥政府采购招标资源，利用其统一招投标平台的规模优势和导向作用，确保2023年度重大项目招标任务顺利进行，最大限度</w:t>
      </w:r>
      <w:r>
        <w:rPr>
          <w:rFonts w:hint="default" w:ascii="Times New Roman" w:hAnsi="Times New Roman" w:eastAsia="仿宋" w:cs="Times New Roman"/>
          <w:sz w:val="32"/>
          <w:szCs w:val="32"/>
          <w:highlight w:val="none"/>
          <w:lang w:eastAsia="zh-CN"/>
        </w:rPr>
        <w:t>地</w:t>
      </w:r>
      <w:r>
        <w:rPr>
          <w:rFonts w:hint="default" w:ascii="Times New Roman" w:hAnsi="Times New Roman" w:eastAsia="仿宋" w:cs="Times New Roman"/>
          <w:sz w:val="32"/>
          <w:szCs w:val="32"/>
          <w:highlight w:val="none"/>
        </w:rPr>
        <w:t>节约了资金。确保资金有效使用。</w:t>
      </w:r>
    </w:p>
    <w:p w14:paraId="200837D0">
      <w:pPr>
        <w:spacing w:line="56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7DDAF87D">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3、资金投入和使用情况</w:t>
      </w:r>
    </w:p>
    <w:p w14:paraId="7BA6C2F9">
      <w:pPr>
        <w:spacing w:line="560" w:lineRule="exact"/>
        <w:ind w:firstLine="640" w:firstLineChars="200"/>
        <w:rPr>
          <w:rFonts w:hint="default" w:ascii="Times New Roman" w:hAnsi="Times New Roman" w:eastAsia="仿宋_GB2312" w:cs="Times New Roman"/>
          <w:sz w:val="20"/>
          <w:szCs w:val="20"/>
          <w:highlight w:val="none"/>
          <w:lang w:val="en-US" w:eastAsia="zh-CN"/>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val="en-US" w:eastAsia="zh-CN"/>
        </w:rPr>
        <w:t>资金投入情况</w:t>
      </w:r>
    </w:p>
    <w:p w14:paraId="66DCF2AE">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default" w:ascii="Times New Roman" w:hAnsi="Times New Roman" w:eastAsia="仿宋_GB2312" w:cs="Times New Roman"/>
          <w:sz w:val="32"/>
          <w:szCs w:val="32"/>
          <w:highlight w:val="none"/>
        </w:rPr>
        <w:t>20007.73</w:t>
      </w:r>
      <w:r>
        <w:rPr>
          <w:rFonts w:hint="default" w:ascii="Times New Roman" w:hAnsi="Times New Roman" w:eastAsia="仿宋_GB2312" w:cs="Times New Roman"/>
          <w:sz w:val="32"/>
          <w:szCs w:val="32"/>
          <w:highlight w:val="none"/>
          <w:lang w:val="en-US" w:eastAsia="zh-CN"/>
        </w:rPr>
        <w:t>万元，全年预算数</w:t>
      </w:r>
      <w:r>
        <w:rPr>
          <w:rFonts w:hint="default" w:ascii="Times New Roman" w:hAnsi="Times New Roman" w:eastAsia="仿宋_GB2312" w:cs="Times New Roman"/>
          <w:sz w:val="32"/>
          <w:szCs w:val="32"/>
          <w:highlight w:val="none"/>
        </w:rPr>
        <w:t>20007.73</w:t>
      </w:r>
      <w:r>
        <w:rPr>
          <w:rFonts w:hint="default" w:ascii="Times New Roman" w:hAnsi="Times New Roman" w:eastAsia="仿宋_GB2312" w:cs="Times New Roman"/>
          <w:sz w:val="32"/>
          <w:szCs w:val="32"/>
          <w:highlight w:val="none"/>
          <w:lang w:val="en-US" w:eastAsia="zh-CN"/>
        </w:rPr>
        <w:t>万元，实际总投入</w:t>
      </w:r>
      <w:r>
        <w:rPr>
          <w:rFonts w:hint="default" w:ascii="Times New Roman" w:hAnsi="Times New Roman" w:eastAsia="仿宋_GB2312" w:cs="Times New Roman"/>
          <w:sz w:val="32"/>
          <w:szCs w:val="32"/>
          <w:highlight w:val="none"/>
        </w:rPr>
        <w:t>20007.73</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default" w:ascii="Times New Roman" w:hAnsi="Times New Roman" w:eastAsia="仿宋_GB2312" w:cs="Times New Roman"/>
          <w:b w:val="0"/>
          <w:bCs w:val="0"/>
          <w:kern w:val="2"/>
          <w:sz w:val="32"/>
          <w:szCs w:val="32"/>
          <w:highlight w:val="none"/>
        </w:rPr>
        <w:t>自有资金</w:t>
      </w:r>
      <w:r>
        <w:rPr>
          <w:rFonts w:hint="default" w:ascii="Times New Roman" w:hAnsi="Times New Roman" w:eastAsia="仿宋_GB2312" w:cs="Times New Roman"/>
          <w:sz w:val="32"/>
          <w:szCs w:val="32"/>
          <w:highlight w:val="none"/>
          <w:lang w:val="en-US" w:eastAsia="zh-CN"/>
        </w:rPr>
        <w:t>。</w:t>
      </w:r>
    </w:p>
    <w:p w14:paraId="3FE0824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val="en-US" w:eastAsia="zh-CN"/>
        </w:rPr>
        <w:t>资金</w:t>
      </w:r>
      <w:r>
        <w:rPr>
          <w:rFonts w:hint="default" w:ascii="Times New Roman" w:hAnsi="Times New Roman" w:eastAsia="仿宋_GB2312" w:cs="Times New Roman"/>
          <w:sz w:val="32"/>
          <w:szCs w:val="32"/>
          <w:highlight w:val="none"/>
        </w:rPr>
        <w:t>使用情况</w:t>
      </w:r>
      <w:bookmarkStart w:id="1" w:name="page10"/>
      <w:bookmarkEnd w:id="1"/>
    </w:p>
    <w:p w14:paraId="60D1C694">
      <w:pPr>
        <w:pStyle w:val="2"/>
        <w:spacing w:before="0" w:after="0" w:line="560" w:lineRule="exact"/>
        <w:ind w:firstLine="640" w:firstLineChars="200"/>
        <w:jc w:val="both"/>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sz w:val="32"/>
          <w:szCs w:val="32"/>
          <w:highlight w:val="none"/>
          <w:lang w:val="en-US" w:eastAsia="zh-CN"/>
        </w:rPr>
        <w:t>该项目年初预算数</w:t>
      </w:r>
      <w:r>
        <w:rPr>
          <w:rFonts w:hint="default" w:ascii="Times New Roman" w:hAnsi="Times New Roman" w:eastAsia="仿宋_GB2312" w:cs="Times New Roman"/>
          <w:b w:val="0"/>
          <w:bCs w:val="0"/>
          <w:sz w:val="32"/>
          <w:szCs w:val="32"/>
          <w:highlight w:val="none"/>
        </w:rPr>
        <w:t>20007.73</w:t>
      </w:r>
      <w:r>
        <w:rPr>
          <w:rFonts w:hint="default" w:ascii="Times New Roman" w:hAnsi="Times New Roman" w:eastAsia="仿宋_GB2312" w:cs="Times New Roman"/>
          <w:b w:val="0"/>
          <w:bCs w:val="0"/>
          <w:sz w:val="32"/>
          <w:szCs w:val="32"/>
          <w:highlight w:val="none"/>
          <w:lang w:val="en-US" w:eastAsia="zh-CN"/>
        </w:rPr>
        <w:t>万元，全年预算数</w:t>
      </w:r>
      <w:r>
        <w:rPr>
          <w:rFonts w:hint="default" w:ascii="Times New Roman" w:hAnsi="Times New Roman" w:eastAsia="仿宋_GB2312" w:cs="Times New Roman"/>
          <w:b w:val="0"/>
          <w:bCs w:val="0"/>
          <w:sz w:val="32"/>
          <w:szCs w:val="32"/>
          <w:highlight w:val="none"/>
        </w:rPr>
        <w:t>20007.73</w:t>
      </w:r>
      <w:r>
        <w:rPr>
          <w:rFonts w:hint="default" w:ascii="Times New Roman" w:hAnsi="Times New Roman" w:eastAsia="仿宋_GB2312" w:cs="Times New Roman"/>
          <w:b w:val="0"/>
          <w:bCs w:val="0"/>
          <w:sz w:val="32"/>
          <w:szCs w:val="32"/>
          <w:highlight w:val="none"/>
          <w:lang w:val="en-US" w:eastAsia="zh-CN"/>
        </w:rPr>
        <w:t>万元，全年执行数</w:t>
      </w:r>
      <w:r>
        <w:rPr>
          <w:rFonts w:hint="default" w:ascii="Times New Roman" w:hAnsi="Times New Roman" w:eastAsia="仿宋_GB2312" w:cs="Times New Roman"/>
          <w:b w:val="0"/>
          <w:bCs w:val="0"/>
          <w:sz w:val="32"/>
          <w:szCs w:val="32"/>
          <w:highlight w:val="none"/>
        </w:rPr>
        <w:t>18721.6</w:t>
      </w:r>
      <w:r>
        <w:rPr>
          <w:rFonts w:hint="default" w:ascii="Times New Roman" w:hAnsi="Times New Roman" w:eastAsia="仿宋_GB2312" w:cs="Times New Roman"/>
          <w:b w:val="0"/>
          <w:bCs w:val="0"/>
          <w:sz w:val="32"/>
          <w:szCs w:val="32"/>
          <w:highlight w:val="none"/>
          <w:lang w:val="en-US" w:eastAsia="zh-CN"/>
        </w:rPr>
        <w:t>万元，预算执行率为93.57%</w:t>
      </w:r>
      <w:r>
        <w:rPr>
          <w:rFonts w:hint="default" w:ascii="Times New Roman" w:hAnsi="Times New Roman" w:eastAsia="仿宋_GB2312" w:cs="Times New Roman"/>
          <w:b w:val="0"/>
          <w:bCs w:val="0"/>
          <w:kern w:val="2"/>
          <w:highlight w:val="none"/>
        </w:rPr>
        <w:t>，</w:t>
      </w:r>
      <w:r>
        <w:rPr>
          <w:rFonts w:hint="default" w:ascii="Times New Roman" w:hAnsi="Times New Roman" w:eastAsia="仿宋_GB2312" w:cs="Times New Roman"/>
          <w:b w:val="0"/>
          <w:bCs w:val="0"/>
          <w:kern w:val="2"/>
          <w:highlight w:val="none"/>
          <w:lang w:val="en-US" w:eastAsia="zh-CN"/>
        </w:rPr>
        <w:t>主要</w:t>
      </w:r>
      <w:r>
        <w:rPr>
          <w:rFonts w:hint="default" w:ascii="Times New Roman" w:hAnsi="Times New Roman" w:eastAsia="仿宋_GB2312" w:cs="Times New Roman"/>
          <w:b w:val="0"/>
          <w:bCs w:val="0"/>
          <w:kern w:val="2"/>
          <w:highlight w:val="none"/>
        </w:rPr>
        <w:t>用于支付项目实施进程中的各项费用。</w:t>
      </w:r>
    </w:p>
    <w:p w14:paraId="038D9E95">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74EA8F0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1、总体目标</w:t>
      </w:r>
    </w:p>
    <w:p w14:paraId="0456A510">
      <w:pPr>
        <w:spacing w:line="54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进一步加强对绩效管理工作，提高对预算绩效管理工作重要性的认识，不断提高管理效率和投入产出效能。</w:t>
      </w:r>
      <w:r>
        <w:rPr>
          <w:rFonts w:hint="default" w:ascii="Times New Roman" w:hAnsi="Times New Roman" w:eastAsia="仿宋_GB2312" w:cs="Times New Roman"/>
          <w:sz w:val="32"/>
          <w:szCs w:val="32"/>
          <w:highlight w:val="none"/>
          <w:lang w:val="en-US" w:eastAsia="zh-CN"/>
        </w:rPr>
        <w:t>为患者提供优质服务，提升患者满意度。</w:t>
      </w:r>
    </w:p>
    <w:p w14:paraId="1A448D9C">
      <w:pPr>
        <w:spacing w:line="560" w:lineRule="exact"/>
        <w:ind w:firstLine="640"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sz w:val="32"/>
          <w:szCs w:val="32"/>
          <w:highlight w:val="none"/>
        </w:rPr>
        <w:t>2、阶段性目标</w:t>
      </w:r>
    </w:p>
    <w:p w14:paraId="05F5F89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（1）前期准备：通过制定项目实施方案，经项目负责人审核通过后，有序开展后续工作。</w:t>
      </w:r>
    </w:p>
    <w:p w14:paraId="57FB369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（2）组织实施：资金一到位，立即根据项目要求实施项目。项目责任人按照项目实施方案要求逐一进行项目部署安排，提高项目质量及效率性。</w:t>
      </w:r>
    </w:p>
    <w:p w14:paraId="78D32410">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0FB71B0A">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0EAD014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1、绩效评价的目的</w:t>
      </w:r>
    </w:p>
    <w:p w14:paraId="46C5E4E2">
      <w:pPr>
        <w:pStyle w:val="17"/>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通过开展有效的财政支出绩效评价管理，</w:t>
      </w:r>
      <w:r>
        <w:rPr>
          <w:rFonts w:hint="default" w:ascii="Times New Roman" w:hAnsi="Times New Roman" w:eastAsia="仿宋_GB2312" w:cs="Times New Roman"/>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724BD2A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2、绩效评价的对象</w:t>
      </w:r>
    </w:p>
    <w:p w14:paraId="1B97EF8E">
      <w:pPr>
        <w:pStyle w:val="2"/>
        <w:widowControl w:val="0"/>
        <w:spacing w:before="0" w:after="0" w:line="560" w:lineRule="exact"/>
        <w:ind w:firstLine="60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kern w:val="2"/>
          <w:sz w:val="30"/>
          <w:szCs w:val="30"/>
          <w:highlight w:val="none"/>
          <w:lang w:val="en-US" w:eastAsia="zh-CN" w:bidi="ar"/>
        </w:rPr>
        <w:t>政府采购项目所包含的</w:t>
      </w:r>
      <w:r>
        <w:rPr>
          <w:rFonts w:hint="default" w:ascii="Times New Roman" w:hAnsi="Times New Roman" w:eastAsia="仿宋_GB2312" w:cs="Times New Roman"/>
          <w:b w:val="0"/>
          <w:bCs w:val="0"/>
          <w:highlight w:val="none"/>
        </w:rPr>
        <w:t>药品、卫生材料及其他材料等日常运营的采购；各科室需要的台式计算机、复印机、投影仪等通用设备；各科室需要的办公用品等；车辆维修保养、保险服务等；保障医院日常运营需要的房屋修缮等；医院保洁服务、保安服务等；各科室医疗设备采购等；智慧医院建设所需要的服务器、软件等</w:t>
      </w:r>
      <w:r>
        <w:rPr>
          <w:rFonts w:hint="default" w:ascii="Times New Roman" w:hAnsi="Times New Roman" w:eastAsia="仿宋_GB2312" w:cs="Times New Roman"/>
          <w:b w:val="0"/>
          <w:bCs w:val="0"/>
          <w:highlight w:val="none"/>
          <w:lang w:val="en-US" w:eastAsia="zh-CN"/>
        </w:rPr>
        <w:t>全部项目内容</w:t>
      </w:r>
      <w:r>
        <w:rPr>
          <w:rFonts w:hint="default" w:ascii="Times New Roman" w:hAnsi="Times New Roman" w:eastAsia="仿宋_GB2312" w:cs="Times New Roman"/>
          <w:b w:val="0"/>
          <w:bCs w:val="0"/>
          <w:highlight w:val="none"/>
        </w:rPr>
        <w:t>。</w:t>
      </w:r>
    </w:p>
    <w:p w14:paraId="7321B98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3、绩效评价的范围</w:t>
      </w:r>
    </w:p>
    <w:p w14:paraId="630E66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 w:cs="Times New Roman"/>
          <w:sz w:val="32"/>
          <w:szCs w:val="32"/>
          <w:highlight w:val="none"/>
        </w:rPr>
      </w:pPr>
      <w:r>
        <w:rPr>
          <w:rFonts w:hint="default" w:ascii="Times New Roman" w:hAnsi="Times New Roman" w:eastAsia="仿宋_GB2312" w:cs="Times New Roman"/>
          <w:sz w:val="32"/>
          <w:szCs w:val="32"/>
          <w:highlight w:val="none"/>
        </w:rPr>
        <w:t>本次评价从项目决策（包括</w:t>
      </w:r>
      <w:r>
        <w:rPr>
          <w:rFonts w:hint="default" w:ascii="Times New Roman" w:hAnsi="Times New Roman" w:eastAsia="仿宋_GB2312" w:cs="Times New Roman"/>
          <w:sz w:val="32"/>
          <w:szCs w:val="32"/>
          <w:highlight w:val="none"/>
          <w:lang w:val="en-US" w:eastAsia="zh-CN"/>
        </w:rPr>
        <w:t>项目立项、</w:t>
      </w:r>
      <w:r>
        <w:rPr>
          <w:rFonts w:hint="default" w:ascii="Times New Roman" w:hAnsi="Times New Roman" w:eastAsia="仿宋_GB2312" w:cs="Times New Roman"/>
          <w:sz w:val="32"/>
          <w:szCs w:val="32"/>
          <w:highlight w:val="none"/>
        </w:rPr>
        <w:t>绩效目标、</w:t>
      </w:r>
      <w:r>
        <w:rPr>
          <w:rFonts w:hint="default" w:ascii="Times New Roman" w:hAnsi="Times New Roman" w:eastAsia="仿宋_GB2312" w:cs="Times New Roman"/>
          <w:sz w:val="32"/>
          <w:szCs w:val="32"/>
          <w:highlight w:val="none"/>
          <w:lang w:val="en-US" w:eastAsia="zh-CN"/>
        </w:rPr>
        <w:t>资金投入</w:t>
      </w:r>
      <w:r>
        <w:rPr>
          <w:rFonts w:hint="default" w:ascii="Times New Roman" w:hAnsi="Times New Roman" w:eastAsia="仿宋_GB2312" w:cs="Times New Roman"/>
          <w:sz w:val="32"/>
          <w:szCs w:val="32"/>
          <w:highlight w:val="none"/>
        </w:rPr>
        <w:t>）、项目</w:t>
      </w:r>
      <w:r>
        <w:rPr>
          <w:rFonts w:hint="default" w:ascii="Times New Roman" w:hAnsi="Times New Roman" w:eastAsia="仿宋_GB2312" w:cs="Times New Roman"/>
          <w:sz w:val="32"/>
          <w:szCs w:val="32"/>
          <w:highlight w:val="none"/>
          <w:lang w:val="en-US" w:eastAsia="zh-CN"/>
        </w:rPr>
        <w:t>过程</w:t>
      </w:r>
      <w:r>
        <w:rPr>
          <w:rFonts w:hint="default" w:ascii="Times New Roman" w:hAnsi="Times New Roman" w:eastAsia="仿宋_GB2312" w:cs="Times New Roman"/>
          <w:sz w:val="32"/>
          <w:szCs w:val="32"/>
          <w:highlight w:val="none"/>
        </w:rPr>
        <w:t>（包括资金</w:t>
      </w:r>
      <w:r>
        <w:rPr>
          <w:rFonts w:hint="default" w:ascii="Times New Roman" w:hAnsi="Times New Roman" w:eastAsia="仿宋_GB2312" w:cs="Times New Roman"/>
          <w:sz w:val="32"/>
          <w:szCs w:val="32"/>
          <w:highlight w:val="none"/>
          <w:lang w:val="en-US" w:eastAsia="zh-CN"/>
        </w:rPr>
        <w:t>管理</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组织</w:t>
      </w:r>
      <w:r>
        <w:rPr>
          <w:rFonts w:hint="default" w:ascii="Times New Roman" w:hAnsi="Times New Roman" w:eastAsia="仿宋_GB2312" w:cs="Times New Roman"/>
          <w:sz w:val="32"/>
          <w:szCs w:val="32"/>
          <w:highlight w:val="none"/>
        </w:rPr>
        <w:t>实施）、项目产出（包括项目产出数量、产出质量、产出时效和产出成本）</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项目效益</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实施效益、满意度</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四个维度对</w:t>
      </w:r>
      <w:r>
        <w:rPr>
          <w:rFonts w:hint="default" w:ascii="Times New Roman" w:hAnsi="Times New Roman" w:eastAsia="仿宋_GB2312" w:cs="Times New Roman"/>
          <w:b w:val="0"/>
          <w:bCs w:val="0"/>
          <w:kern w:val="2"/>
          <w:sz w:val="30"/>
          <w:szCs w:val="30"/>
          <w:highlight w:val="none"/>
          <w:lang w:val="en-US" w:eastAsia="zh-CN" w:bidi="ar"/>
        </w:rPr>
        <w:t>政府采购项目</w:t>
      </w:r>
      <w:r>
        <w:rPr>
          <w:rFonts w:hint="default" w:ascii="Times New Roman" w:hAnsi="Times New Roman" w:eastAsia="仿宋_GB2312" w:cs="Times New Roman"/>
          <w:sz w:val="32"/>
          <w:szCs w:val="32"/>
          <w:highlight w:val="none"/>
        </w:rPr>
        <w:t>进行评价，评价核心为</w:t>
      </w:r>
      <w:r>
        <w:rPr>
          <w:rFonts w:hint="default"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资金的支出完成情况和效果</w:t>
      </w:r>
      <w:r>
        <w:rPr>
          <w:rFonts w:hint="default" w:ascii="Times New Roman" w:hAnsi="Times New Roman" w:eastAsia="仿宋" w:cs="Times New Roman"/>
          <w:sz w:val="32"/>
          <w:szCs w:val="32"/>
          <w:highlight w:val="none"/>
        </w:rPr>
        <w:t>。</w:t>
      </w:r>
    </w:p>
    <w:p w14:paraId="59E159A9">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705532C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1、绩效评价原则</w:t>
      </w:r>
    </w:p>
    <w:p w14:paraId="2061121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本次项目绩效评价遵循以下基本原则：</w:t>
      </w:r>
    </w:p>
    <w:p w14:paraId="50AC3357">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w:t>
      </w:r>
      <w:r>
        <w:rPr>
          <w:rFonts w:hint="eastAsia" w:ascii="Times New Roman" w:hAnsi="Times New Roman" w:eastAsia="仿宋_GB2312" w:cs="Times New Roman"/>
          <w:b w:val="0"/>
          <w:bCs w:val="0"/>
          <w:highlight w:val="none"/>
          <w:lang w:eastAsia="zh-CN"/>
        </w:rPr>
        <w:t>的</w:t>
      </w:r>
      <w:r>
        <w:rPr>
          <w:rFonts w:hint="default" w:ascii="Times New Roman" w:hAnsi="Times New Roman" w:eastAsia="仿宋_GB2312" w:cs="Times New Roman"/>
          <w:b w:val="0"/>
          <w:bCs w:val="0"/>
          <w:highlight w:val="none"/>
        </w:rPr>
        <w:t>反映。</w:t>
      </w:r>
    </w:p>
    <w:p w14:paraId="7A68AF94">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78881C38">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660C6491">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5A3482AB">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2、评价指标体系</w:t>
      </w:r>
    </w:p>
    <w:p w14:paraId="795C7D42">
      <w:pPr>
        <w:spacing w:line="560" w:lineRule="exact"/>
        <w:ind w:firstLine="708" w:firstLineChars="200"/>
        <w:rPr>
          <w:rFonts w:hint="default" w:ascii="Times New Roman" w:hAnsi="Times New Roman" w:cs="Times New Roman"/>
          <w:spacing w:val="17"/>
          <w:sz w:val="32"/>
          <w:szCs w:val="32"/>
          <w:highlight w:val="none"/>
        </w:rPr>
      </w:pPr>
      <w:r>
        <w:rPr>
          <w:rFonts w:hint="default" w:ascii="Times New Roman" w:hAnsi="Times New Roman" w:eastAsia="仿宋_GB2312" w:cs="Times New Roman"/>
          <w:spacing w:val="17"/>
          <w:sz w:val="32"/>
          <w:szCs w:val="32"/>
          <w:highlight w:val="none"/>
        </w:rPr>
        <w:t>绩效评价框架是开展绩效评价的核心。绩效评价框架包括评价准则、关键评价问题、评价指标、数据来源、数据收集方法等。指标体系建立过程如下：</w:t>
      </w:r>
    </w:p>
    <w:p w14:paraId="1713D196">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（1）确定评价指标</w:t>
      </w:r>
    </w:p>
    <w:p w14:paraId="269FF466">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17E8090">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（2）确定权重</w:t>
      </w:r>
    </w:p>
    <w:p w14:paraId="7F2F2446">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确定各个指标相对于项目总体绩效的权重分值。在绩效评价指标体系中，项目决策权重为20分，项目过程权重为20分，项目产出权重为40分，项目效益权重为20分。</w:t>
      </w:r>
    </w:p>
    <w:p w14:paraId="3EF8FB8F">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（3）确定指标标准值</w:t>
      </w:r>
    </w:p>
    <w:p w14:paraId="179D95DE">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指标标准值是绩效评价指标的尺度，既要反映同类项目的先进水平，又要符合项目的实际绩效水平。具体采用计划标准等确定此次绩效评价指标标准值。</w:t>
      </w:r>
    </w:p>
    <w:p w14:paraId="3ABB7B6B">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绩效评价总分值100分，根据综合评分结果，评价计分90分</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100分（含90分）对应的评分结果级别为优，80</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90分（含80分）对应的评分结果级别为良，60</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80分（含60分）对应的评分结果级别为中，60分以下对应的评分结果级别为差。</w:t>
      </w:r>
    </w:p>
    <w:p w14:paraId="467AE644">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具体评价指标体系详情见附件1</w:t>
      </w:r>
    </w:p>
    <w:p w14:paraId="088DCD51">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3、绩效评价方法</w:t>
      </w:r>
    </w:p>
    <w:p w14:paraId="3B91C842">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绩效评价从项目决策、项目过程、项目产出、项目效益四个维度进行评价。评价对象为项目目标实施情况，评价核心为资金的支出完成情况和项目的产出效益。</w:t>
      </w:r>
    </w:p>
    <w:p w14:paraId="5C758364">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本次评价指标中，既有定性指标又有定量指标，各类指标因考核内容不同和客观标准不同存在较大差异，因此核定具体指标时采用了不同方法，具体评价方法如下：</w:t>
      </w:r>
    </w:p>
    <w:p w14:paraId="2CCA5D4D">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（1）比较法</w:t>
      </w:r>
    </w:p>
    <w:p w14:paraId="4FC42450">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通过对绩效目标与实施效果、历史与当期情况，综合分析绩效目标实现程度。对项目最终验收情况与年度绩效目标对比、预算资金执行情况等相关因素进行比较。</w:t>
      </w:r>
    </w:p>
    <w:p w14:paraId="41AE6094">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（2）因素分析法</w:t>
      </w:r>
    </w:p>
    <w:p w14:paraId="6F9B2F14">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0DAB594B">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4、评价标准</w:t>
      </w:r>
    </w:p>
    <w:p w14:paraId="7A91BEEA">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bookmarkStart w:id="2" w:name="_Toc17882"/>
      <w:bookmarkStart w:id="3" w:name="_Toc31464"/>
      <w:r>
        <w:rPr>
          <w:rFonts w:hint="default" w:ascii="Times New Roman" w:hAnsi="Times New Roman" w:eastAsia="仿宋_GB2312" w:cs="Times New Roman"/>
          <w:b w:val="0"/>
          <w:bCs w:val="0"/>
          <w:highlight w:val="none"/>
        </w:rPr>
        <w:t>绩效评价标准通常包括计划标准、行业标准、历史标准等，用于对绩效指标完成情况进行比较。本次评价主要采用了计划标准和行业标准。</w:t>
      </w:r>
    </w:p>
    <w:p w14:paraId="33655422">
      <w:pPr>
        <w:spacing w:line="560" w:lineRule="exact"/>
        <w:ind w:firstLine="711"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b/>
          <w:bCs/>
          <w:color w:val="000000"/>
          <w:spacing w:val="17"/>
          <w:sz w:val="32"/>
          <w:szCs w:val="32"/>
          <w:highlight w:val="none"/>
        </w:rPr>
        <w:t>计划标准：</w:t>
      </w:r>
      <w:r>
        <w:rPr>
          <w:rFonts w:hint="default" w:ascii="Times New Roman" w:hAnsi="Times New Roman" w:eastAsia="仿宋_GB2312" w:cs="Times New Roman"/>
          <w:color w:val="000000"/>
          <w:spacing w:val="17"/>
          <w:sz w:val="32"/>
          <w:szCs w:val="32"/>
          <w:highlight w:val="none"/>
        </w:rPr>
        <w:t>指以预先制定的目标、计划、预算、定额等作为评价标准。</w:t>
      </w:r>
    </w:p>
    <w:p w14:paraId="569EE9A1">
      <w:pPr>
        <w:spacing w:line="560" w:lineRule="exact"/>
        <w:ind w:firstLine="711" w:firstLineChars="200"/>
        <w:rPr>
          <w:rFonts w:hint="default" w:ascii="Times New Roman" w:hAnsi="Times New Roman" w:eastAsia="仿宋_GB2312" w:cs="Times New Roman"/>
          <w:color w:val="000000"/>
          <w:spacing w:val="17"/>
          <w:sz w:val="32"/>
          <w:szCs w:val="32"/>
          <w:highlight w:val="none"/>
        </w:rPr>
      </w:pPr>
      <w:bookmarkStart w:id="4" w:name="_Toc5633"/>
      <w:bookmarkStart w:id="5" w:name="_Toc2318"/>
      <w:r>
        <w:rPr>
          <w:rFonts w:hint="default" w:ascii="Times New Roman" w:hAnsi="Times New Roman" w:eastAsia="仿宋_GB2312" w:cs="Times New Roman"/>
          <w:b/>
          <w:bCs/>
          <w:color w:val="000000"/>
          <w:spacing w:val="17"/>
          <w:sz w:val="32"/>
          <w:szCs w:val="32"/>
          <w:highlight w:val="none"/>
        </w:rPr>
        <w:t>行业标准：</w:t>
      </w:r>
      <w:r>
        <w:rPr>
          <w:rFonts w:hint="default" w:ascii="Times New Roman" w:hAnsi="Times New Roman" w:eastAsia="仿宋_GB2312" w:cs="Times New Roman"/>
          <w:color w:val="000000"/>
          <w:spacing w:val="17"/>
          <w:sz w:val="32"/>
          <w:szCs w:val="32"/>
          <w:highlight w:val="none"/>
        </w:rPr>
        <w:t>指参照国家公布的行业指标数据制定的评价标准。</w:t>
      </w:r>
      <w:bookmarkEnd w:id="4"/>
      <w:bookmarkEnd w:id="5"/>
    </w:p>
    <w:p w14:paraId="10E60D90">
      <w:pPr>
        <w:rPr>
          <w:rFonts w:hint="default" w:ascii="Times New Roman" w:hAnsi="Times New Roman" w:cs="Times New Roman"/>
          <w:highlight w:val="none"/>
        </w:rPr>
      </w:pPr>
    </w:p>
    <w:bookmarkEnd w:id="2"/>
    <w:bookmarkEnd w:id="3"/>
    <w:p w14:paraId="7B582D43">
      <w:pPr>
        <w:pStyle w:val="2"/>
        <w:numPr>
          <w:ilvl w:val="0"/>
          <w:numId w:val="2"/>
        </w:numPr>
        <w:spacing w:before="0" w:after="0" w:line="560" w:lineRule="exact"/>
        <w:ind w:firstLine="711" w:firstLineChars="200"/>
        <w:jc w:val="both"/>
        <w:rPr>
          <w:rFonts w:hint="default" w:ascii="Times New Roman" w:hAnsi="Times New Roman" w:eastAsia="楷体" w:cs="Times New Roman"/>
          <w:spacing w:val="17"/>
          <w:highlight w:val="none"/>
        </w:rPr>
      </w:pPr>
      <w:r>
        <w:rPr>
          <w:rFonts w:hint="default" w:ascii="Times New Roman" w:hAnsi="Times New Roman" w:eastAsia="楷体" w:cs="Times New Roman"/>
          <w:spacing w:val="17"/>
          <w:highlight w:val="none"/>
        </w:rPr>
        <w:t>绩效评价工作过程</w:t>
      </w:r>
    </w:p>
    <w:p w14:paraId="293B4FF9">
      <w:pPr>
        <w:numPr>
          <w:ilvl w:val="0"/>
          <w:numId w:val="3"/>
        </w:numPr>
        <w:spacing w:line="560" w:lineRule="exact"/>
        <w:ind w:firstLine="640" w:firstLineChars="200"/>
        <w:rPr>
          <w:rFonts w:hint="default" w:ascii="Times New Roman" w:hAnsi="Times New Roman" w:eastAsia="仿宋_GB2312" w:cs="Times New Roman"/>
          <w:bCs/>
          <w:sz w:val="32"/>
          <w:szCs w:val="32"/>
          <w:highlight w:val="none"/>
        </w:rPr>
      </w:pPr>
      <w:r>
        <w:rPr>
          <w:rFonts w:hint="default" w:ascii="Times New Roman" w:hAnsi="Times New Roman" w:eastAsia="仿宋_GB2312" w:cs="Times New Roman"/>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67F4A130">
      <w:pPr>
        <w:numPr>
          <w:ilvl w:val="0"/>
          <w:numId w:val="3"/>
        </w:numPr>
        <w:spacing w:line="560" w:lineRule="exact"/>
        <w:ind w:firstLine="640" w:firstLineChars="200"/>
        <w:rPr>
          <w:rFonts w:hint="default" w:ascii="Times New Roman" w:hAnsi="Times New Roman" w:eastAsia="仿宋_GB2312" w:cs="Times New Roman"/>
          <w:bCs/>
          <w:sz w:val="32"/>
          <w:szCs w:val="32"/>
          <w:highlight w:val="none"/>
        </w:rPr>
      </w:pPr>
      <w:r>
        <w:rPr>
          <w:rFonts w:hint="default" w:ascii="Times New Roman" w:hAnsi="Times New Roman" w:eastAsia="仿宋_GB2312" w:cs="Times New Roman"/>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4793BCA2">
      <w:pPr>
        <w:numPr>
          <w:ilvl w:val="0"/>
          <w:numId w:val="3"/>
        </w:numPr>
        <w:spacing w:line="560" w:lineRule="exact"/>
        <w:ind w:firstLine="640" w:firstLineChars="200"/>
        <w:rPr>
          <w:rFonts w:hint="default" w:ascii="Times New Roman" w:hAnsi="Times New Roman" w:cs="Times New Roman"/>
          <w:sz w:val="32"/>
          <w:szCs w:val="32"/>
          <w:highlight w:val="none"/>
        </w:rPr>
      </w:pPr>
      <w:r>
        <w:rPr>
          <w:rFonts w:hint="default" w:ascii="Times New Roman" w:hAnsi="Times New Roman" w:eastAsia="仿宋_GB2312" w:cs="Times New Roman"/>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7EB3895F">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78AEDEE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运用绩效评价组制定的评价指标体系以及财政部《项目支出绩效评价管理办法》（财预〔2020〕10号）文件的评分标准，通过数据采集、问卷调查及访谈等方式，对政府</w:t>
      </w:r>
      <w:r>
        <w:rPr>
          <w:rFonts w:hint="default" w:ascii="Times New Roman" w:hAnsi="Times New Roman" w:eastAsia="仿宋_GB2312" w:cs="Times New Roman"/>
          <w:b w:val="0"/>
          <w:bCs w:val="0"/>
          <w:highlight w:val="none"/>
          <w:lang w:eastAsia="zh-CN"/>
        </w:rPr>
        <w:t>采购项目</w:t>
      </w:r>
      <w:r>
        <w:rPr>
          <w:rFonts w:hint="default" w:ascii="Times New Roman" w:hAnsi="Times New Roman" w:eastAsia="仿宋_GB2312" w:cs="Times New Roman"/>
          <w:b w:val="0"/>
          <w:bCs w:val="0"/>
          <w:highlight w:val="none"/>
        </w:rPr>
        <w:t>进行客观评价，最终评分结果：总得分为 91.5分，属于“优”。其中，项目决策类指标权重为20分，得分为16.6分，得分率为8</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rPr>
        <w:t>%。项目过程类指标权重为20分，得分为20分，得分率为100%。项目产出类指标权重为40分，得分为35分，得分率为87.5%。项目效益类指标权重为20分，得分为19.9分，得分率为99.5%。具体打分情况详见：附件1综合评分表</w:t>
      </w:r>
      <w:r>
        <w:rPr>
          <w:rFonts w:hint="default" w:ascii="Times New Roman" w:hAnsi="Times New Roman" w:eastAsia="仿宋_GB2312" w:cs="Times New Roman"/>
          <w:b w:val="0"/>
          <w:bCs w:val="0"/>
          <w:highlight w:val="none"/>
          <w:lang w:eastAsia="zh-CN"/>
        </w:rPr>
        <w:t>。</w:t>
      </w:r>
    </w:p>
    <w:p w14:paraId="53452699">
      <w:pPr>
        <w:pStyle w:val="2"/>
        <w:widowControl w:val="0"/>
        <w:spacing w:before="0" w:after="0" w:line="560" w:lineRule="exact"/>
        <w:ind w:firstLine="602" w:firstLineChars="200"/>
        <w:jc w:val="center"/>
        <w:outlineLvl w:val="9"/>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表1综合评分表</w:t>
      </w:r>
    </w:p>
    <w:tbl>
      <w:tblPr>
        <w:tblStyle w:val="12"/>
        <w:tblpPr w:leftFromText="180" w:rightFromText="180" w:vertAnchor="text" w:horzAnchor="page" w:tblpX="1284" w:tblpY="490"/>
        <w:tblOverlap w:val="never"/>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60"/>
        <w:gridCol w:w="861"/>
        <w:gridCol w:w="1119"/>
        <w:gridCol w:w="1492"/>
        <w:gridCol w:w="630"/>
        <w:gridCol w:w="908"/>
        <w:gridCol w:w="895"/>
        <w:gridCol w:w="1059"/>
        <w:gridCol w:w="835"/>
      </w:tblGrid>
      <w:tr w14:paraId="7A565B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554" w:type="pct"/>
            <w:shd w:val="clear" w:color="auto" w:fill="BFBFBF"/>
            <w:vAlign w:val="center"/>
          </w:tcPr>
          <w:p w14:paraId="3E01A052">
            <w:pPr>
              <w:keepNext w:val="0"/>
              <w:keepLines w:val="0"/>
              <w:widowControl/>
              <w:suppressLineNumbers w:val="0"/>
              <w:spacing w:before="0" w:beforeAutospacing="0" w:after="0" w:afterAutospacing="0" w:line="0" w:lineRule="atLeast"/>
              <w:ind w:left="0" w:right="0"/>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一级指标</w:t>
            </w:r>
          </w:p>
        </w:tc>
        <w:tc>
          <w:tcPr>
            <w:tcW w:w="497" w:type="pct"/>
            <w:shd w:val="clear" w:color="auto" w:fill="BFBFBF"/>
            <w:vAlign w:val="center"/>
          </w:tcPr>
          <w:p w14:paraId="47F71C4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分值</w:t>
            </w:r>
          </w:p>
        </w:tc>
        <w:tc>
          <w:tcPr>
            <w:tcW w:w="644" w:type="pct"/>
            <w:shd w:val="clear" w:color="auto" w:fill="BFBFBF"/>
            <w:vAlign w:val="center"/>
          </w:tcPr>
          <w:p w14:paraId="498A194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二级指标</w:t>
            </w:r>
          </w:p>
        </w:tc>
        <w:tc>
          <w:tcPr>
            <w:tcW w:w="857" w:type="pct"/>
            <w:shd w:val="clear" w:color="auto" w:fill="BFBFBF"/>
            <w:vAlign w:val="center"/>
          </w:tcPr>
          <w:p w14:paraId="62F39D2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三级指标</w:t>
            </w:r>
          </w:p>
        </w:tc>
        <w:tc>
          <w:tcPr>
            <w:tcW w:w="365" w:type="pct"/>
            <w:shd w:val="clear" w:color="auto" w:fill="BFBFBF"/>
            <w:vAlign w:val="center"/>
          </w:tcPr>
          <w:p w14:paraId="7BD462F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权重</w:t>
            </w:r>
          </w:p>
        </w:tc>
        <w:tc>
          <w:tcPr>
            <w:tcW w:w="524" w:type="pct"/>
            <w:shd w:val="clear" w:color="auto" w:fill="BFBFBF"/>
            <w:vAlign w:val="center"/>
          </w:tcPr>
          <w:p w14:paraId="42CAD5CE">
            <w:pPr>
              <w:keepNext w:val="0"/>
              <w:keepLines w:val="0"/>
              <w:widowControl/>
              <w:suppressLineNumbers w:val="0"/>
              <w:tabs>
                <w:tab w:val="left" w:pos="1333"/>
                <w:tab w:val="center" w:pos="3623"/>
              </w:tabs>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目标值</w:t>
            </w:r>
          </w:p>
        </w:tc>
        <w:tc>
          <w:tcPr>
            <w:tcW w:w="464" w:type="pct"/>
            <w:shd w:val="clear" w:color="auto" w:fill="BFBFBF"/>
            <w:vAlign w:val="center"/>
          </w:tcPr>
          <w:p w14:paraId="64FFF747">
            <w:pPr>
              <w:keepNext w:val="0"/>
              <w:keepLines w:val="0"/>
              <w:widowControl/>
              <w:suppressLineNumbers w:val="0"/>
              <w:tabs>
                <w:tab w:val="left" w:pos="1333"/>
                <w:tab w:val="center" w:pos="3623"/>
              </w:tabs>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业绩值</w:t>
            </w:r>
          </w:p>
        </w:tc>
        <w:tc>
          <w:tcPr>
            <w:tcW w:w="610" w:type="pct"/>
            <w:shd w:val="clear" w:color="auto" w:fill="BFBFBF"/>
            <w:vAlign w:val="center"/>
          </w:tcPr>
          <w:p w14:paraId="7FD8035B">
            <w:pPr>
              <w:keepNext w:val="0"/>
              <w:keepLines w:val="0"/>
              <w:widowControl/>
              <w:suppressLineNumbers w:val="0"/>
              <w:tabs>
                <w:tab w:val="left" w:pos="1333"/>
                <w:tab w:val="center" w:pos="3623"/>
              </w:tabs>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得分率</w:t>
            </w:r>
          </w:p>
        </w:tc>
        <w:tc>
          <w:tcPr>
            <w:tcW w:w="482" w:type="pct"/>
            <w:shd w:val="clear" w:color="auto" w:fill="BFBFBF"/>
            <w:vAlign w:val="center"/>
          </w:tcPr>
          <w:p w14:paraId="3D52888A">
            <w:pPr>
              <w:keepNext w:val="0"/>
              <w:keepLines w:val="0"/>
              <w:widowControl/>
              <w:suppressLineNumbers w:val="0"/>
              <w:tabs>
                <w:tab w:val="left" w:pos="1333"/>
                <w:tab w:val="center" w:pos="3623"/>
              </w:tabs>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得分</w:t>
            </w:r>
          </w:p>
        </w:tc>
      </w:tr>
      <w:tr w14:paraId="20C81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restart"/>
            <w:shd w:val="clear" w:color="auto" w:fill="FFFFFF"/>
            <w:vAlign w:val="center"/>
          </w:tcPr>
          <w:p w14:paraId="3FF844A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决策　</w:t>
            </w:r>
          </w:p>
          <w:p w14:paraId="3EC9CFA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　</w:t>
            </w:r>
          </w:p>
          <w:p w14:paraId="0EF57AA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　</w:t>
            </w:r>
          </w:p>
          <w:p w14:paraId="1043172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　</w:t>
            </w:r>
          </w:p>
        </w:tc>
        <w:tc>
          <w:tcPr>
            <w:tcW w:w="497" w:type="pct"/>
            <w:vMerge w:val="restart"/>
            <w:shd w:val="clear" w:color="auto" w:fill="FFFFFF"/>
            <w:vAlign w:val="center"/>
          </w:tcPr>
          <w:p w14:paraId="1CFF927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20分</w:t>
            </w:r>
          </w:p>
        </w:tc>
        <w:tc>
          <w:tcPr>
            <w:tcW w:w="644" w:type="pct"/>
            <w:vMerge w:val="restart"/>
            <w:shd w:val="clear" w:color="auto" w:fill="FFFFFF"/>
            <w:vAlign w:val="center"/>
          </w:tcPr>
          <w:p w14:paraId="1AD4323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项目立项　</w:t>
            </w:r>
          </w:p>
        </w:tc>
        <w:tc>
          <w:tcPr>
            <w:tcW w:w="857" w:type="pct"/>
            <w:shd w:val="clear" w:color="auto" w:fill="FFFFFF"/>
            <w:vAlign w:val="center"/>
          </w:tcPr>
          <w:p w14:paraId="1E5BAE4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立项依据</w:t>
            </w:r>
          </w:p>
          <w:p w14:paraId="1504296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充分性</w:t>
            </w:r>
          </w:p>
        </w:tc>
        <w:tc>
          <w:tcPr>
            <w:tcW w:w="365" w:type="pct"/>
            <w:shd w:val="clear" w:color="auto" w:fill="FFFFFF"/>
            <w:vAlign w:val="center"/>
          </w:tcPr>
          <w:p w14:paraId="08FFBD9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3</w:t>
            </w:r>
          </w:p>
        </w:tc>
        <w:tc>
          <w:tcPr>
            <w:tcW w:w="524" w:type="pct"/>
            <w:shd w:val="clear" w:color="auto" w:fill="FFFFFF"/>
            <w:vAlign w:val="center"/>
          </w:tcPr>
          <w:p w14:paraId="6C70719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充分</w:t>
            </w:r>
          </w:p>
        </w:tc>
        <w:tc>
          <w:tcPr>
            <w:tcW w:w="464" w:type="pct"/>
            <w:shd w:val="clear" w:color="auto" w:fill="FFFFFF"/>
            <w:vAlign w:val="center"/>
          </w:tcPr>
          <w:p w14:paraId="4E179B1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充分</w:t>
            </w:r>
          </w:p>
        </w:tc>
        <w:tc>
          <w:tcPr>
            <w:tcW w:w="610" w:type="pct"/>
            <w:shd w:val="clear" w:color="auto" w:fill="FFFFFF"/>
            <w:vAlign w:val="center"/>
          </w:tcPr>
          <w:p w14:paraId="25EBD0A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90%</w:t>
            </w:r>
          </w:p>
        </w:tc>
        <w:tc>
          <w:tcPr>
            <w:tcW w:w="482" w:type="pct"/>
            <w:shd w:val="clear" w:color="auto" w:fill="FFFFFF"/>
            <w:vAlign w:val="center"/>
          </w:tcPr>
          <w:p w14:paraId="1D3C1198">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2.7</w:t>
            </w:r>
          </w:p>
        </w:tc>
      </w:tr>
      <w:tr w14:paraId="45240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571705E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039ABA9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vMerge w:val="continue"/>
            <w:shd w:val="clear" w:color="auto" w:fill="FFFFFF"/>
            <w:vAlign w:val="center"/>
          </w:tcPr>
          <w:p w14:paraId="6C445D5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57" w:type="pct"/>
            <w:shd w:val="clear" w:color="auto" w:fill="FFFFFF"/>
            <w:vAlign w:val="center"/>
          </w:tcPr>
          <w:p w14:paraId="3B427FB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立项程序</w:t>
            </w:r>
          </w:p>
          <w:p w14:paraId="7C7E21D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规范性</w:t>
            </w:r>
          </w:p>
        </w:tc>
        <w:tc>
          <w:tcPr>
            <w:tcW w:w="365" w:type="pct"/>
            <w:shd w:val="clear" w:color="auto" w:fill="FFFFFF"/>
            <w:vAlign w:val="center"/>
          </w:tcPr>
          <w:p w14:paraId="79C7930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3</w:t>
            </w:r>
          </w:p>
        </w:tc>
        <w:tc>
          <w:tcPr>
            <w:tcW w:w="524" w:type="pct"/>
            <w:shd w:val="clear" w:color="auto" w:fill="FFFFFF"/>
            <w:vAlign w:val="center"/>
          </w:tcPr>
          <w:p w14:paraId="44BB965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规范</w:t>
            </w:r>
          </w:p>
        </w:tc>
        <w:tc>
          <w:tcPr>
            <w:tcW w:w="464" w:type="pct"/>
            <w:shd w:val="clear" w:color="auto" w:fill="FFFFFF"/>
            <w:vAlign w:val="center"/>
          </w:tcPr>
          <w:p w14:paraId="776E6E3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规范</w:t>
            </w:r>
          </w:p>
        </w:tc>
        <w:tc>
          <w:tcPr>
            <w:tcW w:w="610" w:type="pct"/>
            <w:shd w:val="clear" w:color="auto" w:fill="FFFFFF"/>
            <w:vAlign w:val="center"/>
          </w:tcPr>
          <w:p w14:paraId="102BA6A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90%</w:t>
            </w:r>
          </w:p>
        </w:tc>
        <w:tc>
          <w:tcPr>
            <w:tcW w:w="482" w:type="pct"/>
            <w:shd w:val="clear" w:color="auto" w:fill="FFFFFF"/>
            <w:vAlign w:val="center"/>
          </w:tcPr>
          <w:p w14:paraId="6114834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2.7</w:t>
            </w:r>
          </w:p>
        </w:tc>
      </w:tr>
      <w:tr w14:paraId="510B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1101FA5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42E0E2B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vMerge w:val="restart"/>
            <w:shd w:val="clear" w:color="auto" w:fill="FFFFFF"/>
            <w:vAlign w:val="center"/>
          </w:tcPr>
          <w:p w14:paraId="4D9214F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绩效目标　</w:t>
            </w:r>
          </w:p>
        </w:tc>
        <w:tc>
          <w:tcPr>
            <w:tcW w:w="857" w:type="pct"/>
            <w:shd w:val="clear" w:color="auto" w:fill="FFFFFF"/>
            <w:vAlign w:val="center"/>
          </w:tcPr>
          <w:p w14:paraId="6F03D0C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绩效目标</w:t>
            </w:r>
          </w:p>
          <w:p w14:paraId="33E3419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合理性</w:t>
            </w:r>
          </w:p>
        </w:tc>
        <w:tc>
          <w:tcPr>
            <w:tcW w:w="365" w:type="pct"/>
            <w:shd w:val="clear" w:color="000000" w:fill="FFFFFF"/>
            <w:vAlign w:val="center"/>
          </w:tcPr>
          <w:p w14:paraId="7263E64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3</w:t>
            </w:r>
          </w:p>
        </w:tc>
        <w:tc>
          <w:tcPr>
            <w:tcW w:w="524" w:type="pct"/>
            <w:shd w:val="clear" w:color="000000" w:fill="FFFFFF"/>
            <w:vAlign w:val="center"/>
          </w:tcPr>
          <w:p w14:paraId="2EB23CC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合理</w:t>
            </w:r>
          </w:p>
        </w:tc>
        <w:tc>
          <w:tcPr>
            <w:tcW w:w="464" w:type="pct"/>
            <w:shd w:val="clear" w:color="000000" w:fill="FFFFFF"/>
            <w:vAlign w:val="center"/>
          </w:tcPr>
          <w:p w14:paraId="0494C10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合理</w:t>
            </w:r>
          </w:p>
        </w:tc>
        <w:tc>
          <w:tcPr>
            <w:tcW w:w="610" w:type="pct"/>
            <w:shd w:val="clear" w:color="000000" w:fill="FFFFFF"/>
            <w:vAlign w:val="center"/>
          </w:tcPr>
          <w:p w14:paraId="21A2688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80%</w:t>
            </w:r>
          </w:p>
        </w:tc>
        <w:tc>
          <w:tcPr>
            <w:tcW w:w="482" w:type="pct"/>
            <w:shd w:val="clear" w:color="000000" w:fill="FFFFFF"/>
            <w:vAlign w:val="center"/>
          </w:tcPr>
          <w:p w14:paraId="0BE2C44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2.4</w:t>
            </w:r>
          </w:p>
        </w:tc>
      </w:tr>
      <w:tr w14:paraId="476034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6135C4F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2314427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vMerge w:val="continue"/>
            <w:shd w:val="clear" w:color="auto" w:fill="FFFFFF"/>
            <w:vAlign w:val="center"/>
          </w:tcPr>
          <w:p w14:paraId="1AAE7F4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57" w:type="pct"/>
            <w:shd w:val="clear" w:color="auto" w:fill="FFFFFF"/>
            <w:vAlign w:val="center"/>
          </w:tcPr>
          <w:p w14:paraId="2F61D9A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绩效指标</w:t>
            </w:r>
          </w:p>
          <w:p w14:paraId="177B9AC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明确性</w:t>
            </w:r>
          </w:p>
        </w:tc>
        <w:tc>
          <w:tcPr>
            <w:tcW w:w="365" w:type="pct"/>
            <w:shd w:val="clear" w:color="000000" w:fill="FFFFFF"/>
            <w:vAlign w:val="center"/>
          </w:tcPr>
          <w:p w14:paraId="366443D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3</w:t>
            </w:r>
          </w:p>
        </w:tc>
        <w:tc>
          <w:tcPr>
            <w:tcW w:w="524" w:type="pct"/>
            <w:shd w:val="clear" w:color="000000" w:fill="FFFFFF"/>
            <w:vAlign w:val="center"/>
          </w:tcPr>
          <w:p w14:paraId="20C8A32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明确</w:t>
            </w:r>
          </w:p>
        </w:tc>
        <w:tc>
          <w:tcPr>
            <w:tcW w:w="464" w:type="pct"/>
            <w:shd w:val="clear" w:color="000000" w:fill="FFFFFF"/>
            <w:vAlign w:val="center"/>
          </w:tcPr>
          <w:p w14:paraId="275C804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明确</w:t>
            </w:r>
          </w:p>
        </w:tc>
        <w:tc>
          <w:tcPr>
            <w:tcW w:w="610" w:type="pct"/>
            <w:shd w:val="clear" w:color="000000" w:fill="FFFFFF"/>
            <w:vAlign w:val="center"/>
          </w:tcPr>
          <w:p w14:paraId="14F9268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80%</w:t>
            </w:r>
          </w:p>
        </w:tc>
        <w:tc>
          <w:tcPr>
            <w:tcW w:w="482" w:type="pct"/>
            <w:shd w:val="clear" w:color="000000" w:fill="FFFFFF"/>
            <w:vAlign w:val="center"/>
          </w:tcPr>
          <w:p w14:paraId="7D86A03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2.4</w:t>
            </w:r>
          </w:p>
        </w:tc>
      </w:tr>
      <w:tr w14:paraId="420CCC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6D34245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1412DE2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vMerge w:val="restart"/>
            <w:shd w:val="clear" w:color="auto" w:fill="FFFFFF"/>
            <w:vAlign w:val="center"/>
          </w:tcPr>
          <w:p w14:paraId="36292BC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资金投入</w:t>
            </w:r>
          </w:p>
        </w:tc>
        <w:tc>
          <w:tcPr>
            <w:tcW w:w="857" w:type="pct"/>
            <w:shd w:val="clear" w:color="auto" w:fill="FFFFFF"/>
            <w:vAlign w:val="center"/>
          </w:tcPr>
          <w:p w14:paraId="0495E01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预算编制</w:t>
            </w:r>
          </w:p>
          <w:p w14:paraId="1EF8CB0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科学性</w:t>
            </w:r>
          </w:p>
        </w:tc>
        <w:tc>
          <w:tcPr>
            <w:tcW w:w="365" w:type="pct"/>
            <w:shd w:val="clear" w:color="auto" w:fill="FFFFFF"/>
            <w:vAlign w:val="center"/>
          </w:tcPr>
          <w:p w14:paraId="5EF7A91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4</w:t>
            </w:r>
          </w:p>
        </w:tc>
        <w:tc>
          <w:tcPr>
            <w:tcW w:w="524" w:type="pct"/>
            <w:shd w:val="clear" w:color="auto" w:fill="FFFFFF"/>
            <w:vAlign w:val="center"/>
          </w:tcPr>
          <w:p w14:paraId="328C82A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科学</w:t>
            </w:r>
          </w:p>
        </w:tc>
        <w:tc>
          <w:tcPr>
            <w:tcW w:w="464" w:type="pct"/>
            <w:shd w:val="clear" w:color="auto" w:fill="FFFFFF"/>
            <w:vAlign w:val="center"/>
          </w:tcPr>
          <w:p w14:paraId="2DEF7D5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科学</w:t>
            </w:r>
          </w:p>
        </w:tc>
        <w:tc>
          <w:tcPr>
            <w:tcW w:w="610" w:type="pct"/>
            <w:shd w:val="clear" w:color="auto" w:fill="FFFFFF"/>
            <w:vAlign w:val="center"/>
          </w:tcPr>
          <w:p w14:paraId="044589E8">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80%</w:t>
            </w:r>
          </w:p>
        </w:tc>
        <w:tc>
          <w:tcPr>
            <w:tcW w:w="482" w:type="pct"/>
            <w:shd w:val="clear" w:color="auto" w:fill="FFFFFF"/>
            <w:vAlign w:val="center"/>
          </w:tcPr>
          <w:p w14:paraId="568B9D7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3.2</w:t>
            </w:r>
          </w:p>
        </w:tc>
      </w:tr>
      <w:tr w14:paraId="0BBBD6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243048C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7330DCC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vMerge w:val="continue"/>
            <w:shd w:val="clear" w:color="auto" w:fill="FFFFFF"/>
            <w:vAlign w:val="center"/>
          </w:tcPr>
          <w:p w14:paraId="47658D1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57" w:type="pct"/>
            <w:shd w:val="clear" w:color="auto" w:fill="FFFFFF"/>
            <w:vAlign w:val="center"/>
          </w:tcPr>
          <w:p w14:paraId="597780F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资金分配</w:t>
            </w:r>
          </w:p>
          <w:p w14:paraId="5D4B7F1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合理性</w:t>
            </w:r>
          </w:p>
        </w:tc>
        <w:tc>
          <w:tcPr>
            <w:tcW w:w="365" w:type="pct"/>
            <w:shd w:val="clear" w:color="auto" w:fill="FFFFFF"/>
            <w:vAlign w:val="center"/>
          </w:tcPr>
          <w:p w14:paraId="4BDECAC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4</w:t>
            </w:r>
          </w:p>
        </w:tc>
        <w:tc>
          <w:tcPr>
            <w:tcW w:w="524" w:type="pct"/>
            <w:shd w:val="clear" w:color="auto" w:fill="FFFFFF"/>
            <w:vAlign w:val="center"/>
          </w:tcPr>
          <w:p w14:paraId="7A64DA1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合理</w:t>
            </w:r>
          </w:p>
        </w:tc>
        <w:tc>
          <w:tcPr>
            <w:tcW w:w="464" w:type="pct"/>
            <w:shd w:val="clear" w:color="auto" w:fill="FFFFFF"/>
            <w:vAlign w:val="center"/>
          </w:tcPr>
          <w:p w14:paraId="0C6A724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合理</w:t>
            </w:r>
          </w:p>
        </w:tc>
        <w:tc>
          <w:tcPr>
            <w:tcW w:w="610" w:type="pct"/>
            <w:shd w:val="clear" w:color="auto" w:fill="FFFFFF"/>
            <w:vAlign w:val="center"/>
          </w:tcPr>
          <w:p w14:paraId="7171F53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80%</w:t>
            </w:r>
          </w:p>
        </w:tc>
        <w:tc>
          <w:tcPr>
            <w:tcW w:w="482" w:type="pct"/>
            <w:shd w:val="clear" w:color="auto" w:fill="FFFFFF"/>
            <w:vAlign w:val="center"/>
          </w:tcPr>
          <w:p w14:paraId="301644B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3.2</w:t>
            </w:r>
          </w:p>
        </w:tc>
      </w:tr>
      <w:tr w14:paraId="4C7787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restart"/>
            <w:shd w:val="clear" w:color="auto" w:fill="FFFFFF"/>
            <w:vAlign w:val="center"/>
          </w:tcPr>
          <w:p w14:paraId="2DE9F7B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过程</w:t>
            </w:r>
          </w:p>
          <w:p w14:paraId="4223E7A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　</w:t>
            </w:r>
          </w:p>
        </w:tc>
        <w:tc>
          <w:tcPr>
            <w:tcW w:w="497" w:type="pct"/>
            <w:vMerge w:val="restart"/>
            <w:shd w:val="clear" w:color="auto" w:fill="FFFFFF"/>
            <w:vAlign w:val="center"/>
          </w:tcPr>
          <w:p w14:paraId="5AB92B2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20分</w:t>
            </w:r>
          </w:p>
        </w:tc>
        <w:tc>
          <w:tcPr>
            <w:tcW w:w="644" w:type="pct"/>
            <w:vMerge w:val="restart"/>
            <w:shd w:val="clear" w:color="auto" w:fill="FFFFFF"/>
            <w:vAlign w:val="center"/>
          </w:tcPr>
          <w:p w14:paraId="1A83726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资金管理</w:t>
            </w:r>
          </w:p>
        </w:tc>
        <w:tc>
          <w:tcPr>
            <w:tcW w:w="857" w:type="pct"/>
            <w:shd w:val="clear" w:color="auto" w:fill="FFFFFF"/>
            <w:vAlign w:val="center"/>
          </w:tcPr>
          <w:p w14:paraId="7D4ED1C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资金到位率</w:t>
            </w:r>
          </w:p>
        </w:tc>
        <w:tc>
          <w:tcPr>
            <w:tcW w:w="365" w:type="pct"/>
            <w:shd w:val="clear" w:color="000000" w:fill="FFFFFF"/>
            <w:vAlign w:val="center"/>
          </w:tcPr>
          <w:p w14:paraId="415F0BF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4</w:t>
            </w:r>
          </w:p>
        </w:tc>
        <w:tc>
          <w:tcPr>
            <w:tcW w:w="524" w:type="pct"/>
            <w:shd w:val="clear" w:color="000000" w:fill="FFFFFF"/>
            <w:vAlign w:val="center"/>
          </w:tcPr>
          <w:p w14:paraId="581AF7F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100%</w:t>
            </w:r>
          </w:p>
        </w:tc>
        <w:tc>
          <w:tcPr>
            <w:tcW w:w="464" w:type="pct"/>
            <w:shd w:val="clear" w:color="000000" w:fill="FFFFFF"/>
            <w:vAlign w:val="center"/>
          </w:tcPr>
          <w:p w14:paraId="2F622F6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100%</w:t>
            </w:r>
          </w:p>
        </w:tc>
        <w:tc>
          <w:tcPr>
            <w:tcW w:w="610" w:type="pct"/>
            <w:shd w:val="clear" w:color="000000" w:fill="FFFFFF"/>
            <w:vAlign w:val="center"/>
          </w:tcPr>
          <w:p w14:paraId="580D994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100%</w:t>
            </w:r>
          </w:p>
        </w:tc>
        <w:tc>
          <w:tcPr>
            <w:tcW w:w="482" w:type="pct"/>
            <w:shd w:val="clear" w:color="000000" w:fill="FFFFFF"/>
            <w:vAlign w:val="center"/>
          </w:tcPr>
          <w:p w14:paraId="0282C7B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4</w:t>
            </w:r>
          </w:p>
        </w:tc>
      </w:tr>
      <w:tr w14:paraId="74C39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6E8AE9C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1D2909CD">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vMerge w:val="continue"/>
            <w:shd w:val="clear" w:color="auto" w:fill="FFFFFF"/>
            <w:vAlign w:val="center"/>
          </w:tcPr>
          <w:p w14:paraId="2AA97A46">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57" w:type="pct"/>
            <w:shd w:val="clear" w:color="auto" w:fill="FFFFFF"/>
            <w:vAlign w:val="center"/>
          </w:tcPr>
          <w:p w14:paraId="506DF94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预算执行率</w:t>
            </w:r>
          </w:p>
        </w:tc>
        <w:tc>
          <w:tcPr>
            <w:tcW w:w="365" w:type="pct"/>
            <w:shd w:val="clear" w:color="auto" w:fill="FFFFFF"/>
            <w:vAlign w:val="center"/>
          </w:tcPr>
          <w:p w14:paraId="4FC5CCE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4</w:t>
            </w:r>
          </w:p>
        </w:tc>
        <w:tc>
          <w:tcPr>
            <w:tcW w:w="524" w:type="pct"/>
            <w:shd w:val="clear" w:color="auto" w:fill="FFFFFF"/>
            <w:vAlign w:val="center"/>
          </w:tcPr>
          <w:p w14:paraId="7A1AF3A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100%</w:t>
            </w:r>
          </w:p>
        </w:tc>
        <w:tc>
          <w:tcPr>
            <w:tcW w:w="464" w:type="pct"/>
            <w:shd w:val="clear" w:color="auto" w:fill="FFFFFF"/>
            <w:vAlign w:val="center"/>
          </w:tcPr>
          <w:p w14:paraId="398B505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100%</w:t>
            </w:r>
          </w:p>
        </w:tc>
        <w:tc>
          <w:tcPr>
            <w:tcW w:w="610" w:type="pct"/>
            <w:shd w:val="clear" w:color="auto" w:fill="FFFFFF"/>
            <w:vAlign w:val="center"/>
          </w:tcPr>
          <w:p w14:paraId="0F83440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100%</w:t>
            </w:r>
          </w:p>
        </w:tc>
        <w:tc>
          <w:tcPr>
            <w:tcW w:w="482" w:type="pct"/>
            <w:shd w:val="clear" w:color="auto" w:fill="FFFFFF"/>
            <w:vAlign w:val="center"/>
          </w:tcPr>
          <w:p w14:paraId="24B71D3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4</w:t>
            </w:r>
          </w:p>
        </w:tc>
      </w:tr>
      <w:tr w14:paraId="7C57B1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75027F44">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58C5202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shd w:val="clear" w:color="auto" w:fill="FFFFFF"/>
            <w:vAlign w:val="center"/>
          </w:tcPr>
          <w:p w14:paraId="75C1444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资金管理</w:t>
            </w:r>
          </w:p>
        </w:tc>
        <w:tc>
          <w:tcPr>
            <w:tcW w:w="857" w:type="pct"/>
            <w:shd w:val="clear" w:color="auto" w:fill="FFFFFF"/>
            <w:vAlign w:val="center"/>
          </w:tcPr>
          <w:p w14:paraId="55B314E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资金使用</w:t>
            </w:r>
          </w:p>
          <w:p w14:paraId="5C63088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合规性</w:t>
            </w:r>
          </w:p>
        </w:tc>
        <w:tc>
          <w:tcPr>
            <w:tcW w:w="365" w:type="pct"/>
            <w:shd w:val="clear" w:color="000000" w:fill="FFFFFF"/>
            <w:vAlign w:val="center"/>
          </w:tcPr>
          <w:p w14:paraId="766CE48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4</w:t>
            </w:r>
          </w:p>
        </w:tc>
        <w:tc>
          <w:tcPr>
            <w:tcW w:w="524" w:type="pct"/>
            <w:shd w:val="clear" w:color="000000" w:fill="FFFFFF"/>
            <w:vAlign w:val="center"/>
          </w:tcPr>
          <w:p w14:paraId="116B212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合格</w:t>
            </w:r>
          </w:p>
        </w:tc>
        <w:tc>
          <w:tcPr>
            <w:tcW w:w="464" w:type="pct"/>
            <w:shd w:val="clear" w:color="000000" w:fill="FFFFFF"/>
            <w:vAlign w:val="center"/>
          </w:tcPr>
          <w:p w14:paraId="22361C5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合格</w:t>
            </w:r>
          </w:p>
        </w:tc>
        <w:tc>
          <w:tcPr>
            <w:tcW w:w="610" w:type="pct"/>
            <w:shd w:val="clear" w:color="000000" w:fill="FFFFFF"/>
            <w:vAlign w:val="center"/>
          </w:tcPr>
          <w:p w14:paraId="26756E5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100%</w:t>
            </w:r>
          </w:p>
        </w:tc>
        <w:tc>
          <w:tcPr>
            <w:tcW w:w="482" w:type="pct"/>
            <w:shd w:val="clear" w:color="000000" w:fill="FFFFFF"/>
            <w:vAlign w:val="center"/>
          </w:tcPr>
          <w:p w14:paraId="284A621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4</w:t>
            </w:r>
          </w:p>
        </w:tc>
      </w:tr>
      <w:tr w14:paraId="0C4316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6DA4DAD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595F0405">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vMerge w:val="restart"/>
            <w:shd w:val="clear" w:color="auto" w:fill="FFFFFF"/>
            <w:vAlign w:val="center"/>
          </w:tcPr>
          <w:p w14:paraId="1447437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组织实施</w:t>
            </w:r>
          </w:p>
        </w:tc>
        <w:tc>
          <w:tcPr>
            <w:tcW w:w="857" w:type="pct"/>
            <w:shd w:val="clear" w:color="auto" w:fill="FFFFFF"/>
            <w:vAlign w:val="center"/>
          </w:tcPr>
          <w:p w14:paraId="67EE132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管理制度</w:t>
            </w:r>
          </w:p>
          <w:p w14:paraId="1E09720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健全性</w:t>
            </w:r>
          </w:p>
        </w:tc>
        <w:tc>
          <w:tcPr>
            <w:tcW w:w="365" w:type="pct"/>
            <w:shd w:val="clear" w:color="000000" w:fill="FFFFFF"/>
            <w:vAlign w:val="center"/>
          </w:tcPr>
          <w:p w14:paraId="6F3891F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4</w:t>
            </w:r>
          </w:p>
        </w:tc>
        <w:tc>
          <w:tcPr>
            <w:tcW w:w="524" w:type="pct"/>
            <w:shd w:val="clear" w:color="000000" w:fill="FFFFFF"/>
            <w:vAlign w:val="center"/>
          </w:tcPr>
          <w:p w14:paraId="2A19B02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健全</w:t>
            </w:r>
          </w:p>
        </w:tc>
        <w:tc>
          <w:tcPr>
            <w:tcW w:w="464" w:type="pct"/>
            <w:shd w:val="clear" w:color="000000" w:fill="FFFFFF"/>
            <w:vAlign w:val="center"/>
          </w:tcPr>
          <w:p w14:paraId="0046C6A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健全</w:t>
            </w:r>
          </w:p>
        </w:tc>
        <w:tc>
          <w:tcPr>
            <w:tcW w:w="610" w:type="pct"/>
            <w:shd w:val="clear" w:color="000000" w:fill="FFFFFF"/>
            <w:vAlign w:val="center"/>
          </w:tcPr>
          <w:p w14:paraId="12E47D2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100%</w:t>
            </w:r>
          </w:p>
        </w:tc>
        <w:tc>
          <w:tcPr>
            <w:tcW w:w="482" w:type="pct"/>
            <w:shd w:val="clear" w:color="000000" w:fill="FFFFFF"/>
            <w:vAlign w:val="center"/>
          </w:tcPr>
          <w:p w14:paraId="629D9B9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4</w:t>
            </w:r>
          </w:p>
        </w:tc>
      </w:tr>
      <w:tr w14:paraId="10126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01374B8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608342A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vMerge w:val="continue"/>
            <w:shd w:val="clear" w:color="auto" w:fill="FFFFFF"/>
            <w:vAlign w:val="center"/>
          </w:tcPr>
          <w:p w14:paraId="2C78654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57" w:type="pct"/>
            <w:shd w:val="clear" w:color="auto" w:fill="FFFFFF"/>
            <w:vAlign w:val="center"/>
          </w:tcPr>
          <w:p w14:paraId="7F2D3E7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制度执行</w:t>
            </w:r>
          </w:p>
          <w:p w14:paraId="7FAAED18">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有效性</w:t>
            </w:r>
          </w:p>
        </w:tc>
        <w:tc>
          <w:tcPr>
            <w:tcW w:w="365" w:type="pct"/>
            <w:shd w:val="clear" w:color="000000" w:fill="FFFFFF"/>
            <w:vAlign w:val="center"/>
          </w:tcPr>
          <w:p w14:paraId="06917E7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4</w:t>
            </w:r>
          </w:p>
        </w:tc>
        <w:tc>
          <w:tcPr>
            <w:tcW w:w="524" w:type="pct"/>
            <w:shd w:val="clear" w:color="000000" w:fill="FFFFFF"/>
            <w:vAlign w:val="center"/>
          </w:tcPr>
          <w:p w14:paraId="1B533B0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有效</w:t>
            </w:r>
          </w:p>
        </w:tc>
        <w:tc>
          <w:tcPr>
            <w:tcW w:w="464" w:type="pct"/>
            <w:shd w:val="clear" w:color="000000" w:fill="FFFFFF"/>
            <w:vAlign w:val="center"/>
          </w:tcPr>
          <w:p w14:paraId="73C18FA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有效</w:t>
            </w:r>
          </w:p>
        </w:tc>
        <w:tc>
          <w:tcPr>
            <w:tcW w:w="610" w:type="pct"/>
            <w:shd w:val="clear" w:color="000000" w:fill="FFFFFF"/>
            <w:vAlign w:val="center"/>
          </w:tcPr>
          <w:p w14:paraId="107F138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100%</w:t>
            </w:r>
          </w:p>
        </w:tc>
        <w:tc>
          <w:tcPr>
            <w:tcW w:w="482" w:type="pct"/>
            <w:shd w:val="clear" w:color="000000" w:fill="FFFFFF"/>
            <w:vAlign w:val="center"/>
          </w:tcPr>
          <w:p w14:paraId="745337F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4</w:t>
            </w:r>
          </w:p>
        </w:tc>
      </w:tr>
      <w:tr w14:paraId="7095A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restart"/>
            <w:shd w:val="clear" w:color="auto" w:fill="FFFFFF"/>
            <w:vAlign w:val="center"/>
          </w:tcPr>
          <w:p w14:paraId="24B0F5A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w:t>
            </w:r>
          </w:p>
        </w:tc>
        <w:tc>
          <w:tcPr>
            <w:tcW w:w="497" w:type="pct"/>
            <w:vMerge w:val="restart"/>
            <w:shd w:val="clear" w:color="auto" w:fill="FFFFFF"/>
            <w:vAlign w:val="center"/>
          </w:tcPr>
          <w:p w14:paraId="36D9AA2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40分</w:t>
            </w:r>
          </w:p>
        </w:tc>
        <w:tc>
          <w:tcPr>
            <w:tcW w:w="644" w:type="pct"/>
            <w:shd w:val="clear" w:color="auto" w:fill="FFFFFF"/>
            <w:vAlign w:val="center"/>
          </w:tcPr>
          <w:p w14:paraId="4502B91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产出数量</w:t>
            </w:r>
          </w:p>
        </w:tc>
        <w:tc>
          <w:tcPr>
            <w:tcW w:w="857" w:type="pct"/>
            <w:shd w:val="clear" w:color="auto" w:fill="FFFFFF"/>
            <w:vAlign w:val="center"/>
          </w:tcPr>
          <w:p w14:paraId="5FBF7B5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实际完成率</w:t>
            </w:r>
          </w:p>
        </w:tc>
        <w:tc>
          <w:tcPr>
            <w:tcW w:w="365" w:type="pct"/>
            <w:shd w:val="clear" w:color="000000" w:fill="FFFFFF"/>
            <w:vAlign w:val="center"/>
          </w:tcPr>
          <w:p w14:paraId="0AB1456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w:t>
            </w:r>
          </w:p>
        </w:tc>
        <w:tc>
          <w:tcPr>
            <w:tcW w:w="524" w:type="pct"/>
            <w:shd w:val="clear" w:color="000000" w:fill="FFFFFF"/>
            <w:vAlign w:val="center"/>
          </w:tcPr>
          <w:p w14:paraId="50EB9B6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100%</w:t>
            </w:r>
          </w:p>
        </w:tc>
        <w:tc>
          <w:tcPr>
            <w:tcW w:w="464" w:type="pct"/>
            <w:shd w:val="clear" w:color="000000" w:fill="FFFFFF"/>
            <w:vAlign w:val="center"/>
          </w:tcPr>
          <w:p w14:paraId="42B7EBA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80%</w:t>
            </w:r>
          </w:p>
        </w:tc>
        <w:tc>
          <w:tcPr>
            <w:tcW w:w="610" w:type="pct"/>
            <w:shd w:val="clear" w:color="000000" w:fill="FFFFFF"/>
            <w:vAlign w:val="center"/>
          </w:tcPr>
          <w:p w14:paraId="63EAE24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80%</w:t>
            </w:r>
          </w:p>
        </w:tc>
        <w:tc>
          <w:tcPr>
            <w:tcW w:w="482" w:type="pct"/>
            <w:shd w:val="clear" w:color="000000" w:fill="FFFFFF"/>
            <w:vAlign w:val="center"/>
          </w:tcPr>
          <w:p w14:paraId="48B5116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8</w:t>
            </w:r>
          </w:p>
        </w:tc>
      </w:tr>
      <w:tr w14:paraId="66AE2A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348A849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1E5BE4C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shd w:val="clear" w:color="auto" w:fill="FFFFFF"/>
            <w:vAlign w:val="center"/>
          </w:tcPr>
          <w:p w14:paraId="4721989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产出质量</w:t>
            </w:r>
          </w:p>
        </w:tc>
        <w:tc>
          <w:tcPr>
            <w:tcW w:w="857" w:type="pct"/>
            <w:shd w:val="clear" w:color="auto" w:fill="FFFFFF"/>
            <w:vAlign w:val="center"/>
          </w:tcPr>
          <w:p w14:paraId="5EE6B7B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质量达标率</w:t>
            </w:r>
          </w:p>
        </w:tc>
        <w:tc>
          <w:tcPr>
            <w:tcW w:w="365" w:type="pct"/>
            <w:shd w:val="clear" w:color="000000" w:fill="FFFFFF"/>
            <w:vAlign w:val="center"/>
          </w:tcPr>
          <w:p w14:paraId="177EA61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w:t>
            </w:r>
          </w:p>
        </w:tc>
        <w:tc>
          <w:tcPr>
            <w:tcW w:w="524" w:type="pct"/>
            <w:shd w:val="clear" w:color="000000" w:fill="FFFFFF"/>
            <w:vAlign w:val="center"/>
          </w:tcPr>
          <w:p w14:paraId="5C5E4B7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100%</w:t>
            </w:r>
          </w:p>
        </w:tc>
        <w:tc>
          <w:tcPr>
            <w:tcW w:w="464" w:type="pct"/>
            <w:shd w:val="clear" w:color="000000" w:fill="FFFFFF"/>
            <w:vAlign w:val="center"/>
          </w:tcPr>
          <w:p w14:paraId="733BAE3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100%</w:t>
            </w:r>
          </w:p>
        </w:tc>
        <w:tc>
          <w:tcPr>
            <w:tcW w:w="610" w:type="pct"/>
            <w:shd w:val="clear" w:color="000000" w:fill="FFFFFF"/>
            <w:vAlign w:val="center"/>
          </w:tcPr>
          <w:p w14:paraId="53E774C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100%</w:t>
            </w:r>
          </w:p>
        </w:tc>
        <w:tc>
          <w:tcPr>
            <w:tcW w:w="482" w:type="pct"/>
            <w:shd w:val="clear" w:color="000000" w:fill="FFFFFF"/>
            <w:vAlign w:val="center"/>
          </w:tcPr>
          <w:p w14:paraId="7EB933B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10</w:t>
            </w:r>
          </w:p>
        </w:tc>
      </w:tr>
      <w:tr w14:paraId="1D3EC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6EF8E3D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584057C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shd w:val="clear" w:color="auto" w:fill="FFFFFF"/>
            <w:vAlign w:val="center"/>
          </w:tcPr>
          <w:p w14:paraId="5585A6D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产出时效</w:t>
            </w:r>
          </w:p>
        </w:tc>
        <w:tc>
          <w:tcPr>
            <w:tcW w:w="857" w:type="pct"/>
            <w:shd w:val="clear" w:color="auto" w:fill="FFFFFF"/>
            <w:vAlign w:val="center"/>
          </w:tcPr>
          <w:p w14:paraId="736144C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完成及时性</w:t>
            </w:r>
          </w:p>
        </w:tc>
        <w:tc>
          <w:tcPr>
            <w:tcW w:w="365" w:type="pct"/>
            <w:shd w:val="clear" w:color="000000" w:fill="FFFFFF"/>
            <w:vAlign w:val="center"/>
          </w:tcPr>
          <w:p w14:paraId="6B303C2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w:t>
            </w:r>
          </w:p>
        </w:tc>
        <w:tc>
          <w:tcPr>
            <w:tcW w:w="524" w:type="pct"/>
            <w:shd w:val="clear" w:color="000000" w:fill="FFFFFF"/>
            <w:vAlign w:val="center"/>
          </w:tcPr>
          <w:p w14:paraId="33AF599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及时</w:t>
            </w:r>
          </w:p>
        </w:tc>
        <w:tc>
          <w:tcPr>
            <w:tcW w:w="464" w:type="pct"/>
            <w:shd w:val="clear" w:color="000000" w:fill="FFFFFF"/>
            <w:vAlign w:val="center"/>
          </w:tcPr>
          <w:p w14:paraId="268CB49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及时</w:t>
            </w:r>
          </w:p>
        </w:tc>
        <w:tc>
          <w:tcPr>
            <w:tcW w:w="610" w:type="pct"/>
            <w:shd w:val="clear" w:color="000000" w:fill="FFFFFF"/>
            <w:vAlign w:val="center"/>
          </w:tcPr>
          <w:p w14:paraId="189F1D4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80%</w:t>
            </w:r>
          </w:p>
        </w:tc>
        <w:tc>
          <w:tcPr>
            <w:tcW w:w="482" w:type="pct"/>
            <w:shd w:val="clear" w:color="000000" w:fill="FFFFFF"/>
            <w:vAlign w:val="center"/>
          </w:tcPr>
          <w:p w14:paraId="777F7A8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8</w:t>
            </w:r>
          </w:p>
        </w:tc>
      </w:tr>
      <w:tr w14:paraId="40A56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493C26A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0507DEB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shd w:val="clear" w:color="auto" w:fill="FFFFFF"/>
            <w:vAlign w:val="center"/>
          </w:tcPr>
          <w:p w14:paraId="6057B67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产出成本</w:t>
            </w:r>
          </w:p>
        </w:tc>
        <w:tc>
          <w:tcPr>
            <w:tcW w:w="857" w:type="pct"/>
            <w:shd w:val="clear" w:color="auto" w:fill="FFFFFF"/>
            <w:vAlign w:val="center"/>
          </w:tcPr>
          <w:p w14:paraId="5B5C11E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成本节约率</w:t>
            </w:r>
          </w:p>
        </w:tc>
        <w:tc>
          <w:tcPr>
            <w:tcW w:w="365" w:type="pct"/>
            <w:shd w:val="clear" w:color="000000" w:fill="FFFFFF"/>
            <w:vAlign w:val="center"/>
          </w:tcPr>
          <w:p w14:paraId="3E4FA5F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w:t>
            </w:r>
          </w:p>
        </w:tc>
        <w:tc>
          <w:tcPr>
            <w:tcW w:w="524" w:type="pct"/>
            <w:shd w:val="clear" w:color="000000" w:fill="FFFFFF"/>
            <w:vAlign w:val="center"/>
          </w:tcPr>
          <w:p w14:paraId="0F93C6D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100%</w:t>
            </w:r>
          </w:p>
        </w:tc>
        <w:tc>
          <w:tcPr>
            <w:tcW w:w="464" w:type="pct"/>
            <w:shd w:val="clear" w:color="000000" w:fill="FFFFFF"/>
            <w:vAlign w:val="center"/>
          </w:tcPr>
          <w:p w14:paraId="7B5463F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90%</w:t>
            </w:r>
          </w:p>
        </w:tc>
        <w:tc>
          <w:tcPr>
            <w:tcW w:w="610" w:type="pct"/>
            <w:shd w:val="clear" w:color="000000" w:fill="FFFFFF"/>
            <w:vAlign w:val="center"/>
          </w:tcPr>
          <w:p w14:paraId="6F326C38">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90%</w:t>
            </w:r>
          </w:p>
        </w:tc>
        <w:tc>
          <w:tcPr>
            <w:tcW w:w="482" w:type="pct"/>
            <w:shd w:val="clear" w:color="000000" w:fill="FFFFFF"/>
            <w:vAlign w:val="center"/>
          </w:tcPr>
          <w:p w14:paraId="6BAF2BF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9</w:t>
            </w:r>
          </w:p>
        </w:tc>
      </w:tr>
      <w:tr w14:paraId="146A9C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restart"/>
            <w:shd w:val="clear" w:color="auto" w:fill="FFFFFF"/>
            <w:vAlign w:val="center"/>
          </w:tcPr>
          <w:p w14:paraId="01D5EAA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效益　</w:t>
            </w:r>
          </w:p>
        </w:tc>
        <w:tc>
          <w:tcPr>
            <w:tcW w:w="497" w:type="pct"/>
            <w:vMerge w:val="restart"/>
            <w:shd w:val="clear" w:color="auto" w:fill="FFFFFF"/>
            <w:vAlign w:val="center"/>
          </w:tcPr>
          <w:p w14:paraId="5C775AE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20分</w:t>
            </w:r>
          </w:p>
        </w:tc>
        <w:tc>
          <w:tcPr>
            <w:tcW w:w="644" w:type="pct"/>
            <w:vMerge w:val="restart"/>
            <w:shd w:val="clear" w:color="auto" w:fill="FFFFFF"/>
            <w:vAlign w:val="center"/>
          </w:tcPr>
          <w:p w14:paraId="38A780A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项目效益　</w:t>
            </w:r>
          </w:p>
        </w:tc>
        <w:tc>
          <w:tcPr>
            <w:tcW w:w="857" w:type="pct"/>
            <w:shd w:val="clear" w:color="auto" w:fill="FFFFFF"/>
            <w:vAlign w:val="center"/>
          </w:tcPr>
          <w:p w14:paraId="1F1D64F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实施效益</w:t>
            </w:r>
          </w:p>
          <w:p w14:paraId="1AE7CE1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（社会效益、经济效益、可持续效益）</w:t>
            </w:r>
          </w:p>
        </w:tc>
        <w:tc>
          <w:tcPr>
            <w:tcW w:w="365" w:type="pct"/>
            <w:shd w:val="clear" w:color="auto" w:fill="FFFFFF"/>
            <w:vAlign w:val="center"/>
          </w:tcPr>
          <w:p w14:paraId="03F05ED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w:t>
            </w:r>
          </w:p>
        </w:tc>
        <w:tc>
          <w:tcPr>
            <w:tcW w:w="524" w:type="pct"/>
            <w:shd w:val="clear" w:color="auto" w:fill="FFFFFF"/>
            <w:vAlign w:val="center"/>
          </w:tcPr>
          <w:p w14:paraId="5FB074E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有效</w:t>
            </w:r>
          </w:p>
        </w:tc>
        <w:tc>
          <w:tcPr>
            <w:tcW w:w="464" w:type="pct"/>
            <w:shd w:val="clear" w:color="auto" w:fill="FFFFFF"/>
            <w:vAlign w:val="center"/>
          </w:tcPr>
          <w:p w14:paraId="1027457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有效</w:t>
            </w:r>
          </w:p>
        </w:tc>
        <w:tc>
          <w:tcPr>
            <w:tcW w:w="610" w:type="pct"/>
            <w:shd w:val="clear" w:color="auto" w:fill="FFFFFF"/>
            <w:vAlign w:val="center"/>
          </w:tcPr>
          <w:p w14:paraId="2C92A4D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100%</w:t>
            </w:r>
          </w:p>
        </w:tc>
        <w:tc>
          <w:tcPr>
            <w:tcW w:w="482" w:type="pct"/>
            <w:shd w:val="clear" w:color="auto" w:fill="FFFFFF"/>
            <w:vAlign w:val="center"/>
          </w:tcPr>
          <w:p w14:paraId="2D49175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0"/>
                <w:szCs w:val="20"/>
                <w:highlight w:val="none"/>
              </w:rPr>
              <w:t>10</w:t>
            </w:r>
          </w:p>
        </w:tc>
      </w:tr>
      <w:tr w14:paraId="685A83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54" w:type="pct"/>
            <w:vMerge w:val="continue"/>
            <w:shd w:val="clear" w:color="auto" w:fill="FFFFFF"/>
            <w:vAlign w:val="center"/>
          </w:tcPr>
          <w:p w14:paraId="0D7AB45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497" w:type="pct"/>
            <w:vMerge w:val="continue"/>
            <w:shd w:val="clear" w:color="auto" w:fill="FFFFFF"/>
            <w:vAlign w:val="center"/>
          </w:tcPr>
          <w:p w14:paraId="5C1ACA5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644" w:type="pct"/>
            <w:vMerge w:val="continue"/>
            <w:shd w:val="clear" w:color="auto" w:fill="FFFFFF"/>
            <w:vAlign w:val="center"/>
          </w:tcPr>
          <w:p w14:paraId="253DFCB8">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57" w:type="pct"/>
            <w:shd w:val="clear" w:color="auto" w:fill="FFFFFF"/>
            <w:vAlign w:val="center"/>
          </w:tcPr>
          <w:p w14:paraId="3118C51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满意度</w:t>
            </w:r>
          </w:p>
        </w:tc>
        <w:tc>
          <w:tcPr>
            <w:tcW w:w="365" w:type="pct"/>
            <w:shd w:val="clear" w:color="000000" w:fill="FFFFFF"/>
            <w:vAlign w:val="center"/>
          </w:tcPr>
          <w:p w14:paraId="54DDBE1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10</w:t>
            </w:r>
          </w:p>
        </w:tc>
        <w:tc>
          <w:tcPr>
            <w:tcW w:w="524" w:type="pct"/>
            <w:shd w:val="clear" w:color="000000" w:fill="FFFFFF"/>
            <w:vAlign w:val="center"/>
          </w:tcPr>
          <w:p w14:paraId="49D795B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≥85%</w:t>
            </w:r>
          </w:p>
        </w:tc>
        <w:tc>
          <w:tcPr>
            <w:tcW w:w="464" w:type="pct"/>
            <w:shd w:val="clear" w:color="000000" w:fill="FFFFFF"/>
            <w:vAlign w:val="center"/>
          </w:tcPr>
          <w:p w14:paraId="2ECC353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84.16%</w:t>
            </w:r>
          </w:p>
        </w:tc>
        <w:tc>
          <w:tcPr>
            <w:tcW w:w="610" w:type="pct"/>
            <w:shd w:val="clear" w:color="000000" w:fill="FFFFFF"/>
            <w:vAlign w:val="center"/>
          </w:tcPr>
          <w:p w14:paraId="24A7811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color w:val="0000FF"/>
                <w:kern w:val="0"/>
                <w:sz w:val="22"/>
                <w:szCs w:val="22"/>
                <w:highlight w:val="none"/>
              </w:rPr>
            </w:pPr>
            <w:r>
              <w:rPr>
                <w:rFonts w:hint="default" w:ascii="Times New Roman" w:hAnsi="Times New Roman" w:cs="Times New Roman"/>
                <w:kern w:val="0"/>
                <w:sz w:val="20"/>
                <w:szCs w:val="20"/>
                <w:highlight w:val="none"/>
              </w:rPr>
              <w:t>99%</w:t>
            </w:r>
          </w:p>
        </w:tc>
        <w:tc>
          <w:tcPr>
            <w:tcW w:w="482" w:type="pct"/>
            <w:shd w:val="clear" w:color="000000" w:fill="FFFFFF"/>
            <w:vAlign w:val="center"/>
          </w:tcPr>
          <w:p w14:paraId="47CBA7D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9.9</w:t>
            </w:r>
          </w:p>
        </w:tc>
      </w:tr>
    </w:tbl>
    <w:p w14:paraId="7D2F000E">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53ACEB2D">
      <w:pPr>
        <w:pStyle w:val="2"/>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6AC9AF0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w:t>
      </w:r>
      <w:r>
        <w:rPr>
          <w:rFonts w:hint="default" w:ascii="Times New Roman" w:hAnsi="Times New Roman" w:eastAsia="仿宋_GB2312" w:cs="Times New Roman"/>
          <w:color w:val="auto"/>
          <w:sz w:val="32"/>
          <w:szCs w:val="32"/>
          <w:highlight w:val="none"/>
          <w:lang w:val="en-US" w:eastAsia="zh-CN"/>
        </w:rPr>
        <w:t>实际得分16.6分，得分率为83%。</w:t>
      </w:r>
    </w:p>
    <w:p w14:paraId="21960235">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049C2CF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18CFEA24">
      <w:pPr>
        <w:spacing w:line="360" w:lineRule="auto"/>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项目立项符合国家法律法规、国民经济发展规划和相关政策；</w:t>
      </w:r>
    </w:p>
    <w:p w14:paraId="1F965280">
      <w:pPr>
        <w:spacing w:line="360" w:lineRule="auto"/>
        <w:rPr>
          <w:rFonts w:hint="default" w:ascii="Times New Roman" w:hAnsi="Times New Roman" w:eastAsia="仿宋_GB2312" w:cs="Times New Roman"/>
          <w:sz w:val="30"/>
          <w:highlight w:val="none"/>
        </w:rPr>
      </w:pPr>
      <w:r>
        <w:rPr>
          <w:rFonts w:hint="default" w:ascii="Times New Roman" w:hAnsi="Times New Roman" w:eastAsia="仿宋_GB2312" w:cs="Times New Roman"/>
          <w:sz w:val="32"/>
          <w:szCs w:val="32"/>
          <w:highlight w:val="none"/>
        </w:rPr>
        <w:t>符合行业发展规划和政策要求；与部门职责范围相符，属于部门履职所需；属于公共财政支持范围，符合中央、地方事权支出责任划分原则；不与相关部门同类项目或部门内部相关项目重复。</w:t>
      </w:r>
    </w:p>
    <w:p w14:paraId="2FC55D2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立项程序规范性</w:t>
      </w:r>
    </w:p>
    <w:p w14:paraId="262AD6E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DBC563F">
      <w:pPr>
        <w:pStyle w:val="17"/>
        <w:keepNext w:val="0"/>
        <w:keepLines w:val="0"/>
        <w:pageBreakBefore w:val="0"/>
        <w:widowControl w:val="0"/>
        <w:numPr>
          <w:ilvl w:val="0"/>
          <w:numId w:val="5"/>
        </w:numPr>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sz w:val="30"/>
          <w:highlight w:val="none"/>
        </w:rPr>
      </w:pPr>
      <w:r>
        <w:rPr>
          <w:rFonts w:hint="default" w:ascii="Times New Roman" w:hAnsi="Times New Roman" w:eastAsia="仿宋_GB2312" w:cs="Times New Roman"/>
          <w:b/>
          <w:bCs/>
          <w:sz w:val="32"/>
          <w:szCs w:val="32"/>
          <w:highlight w:val="none"/>
          <w:lang w:val="en-US" w:eastAsia="zh-CN"/>
        </w:rPr>
        <w:t>绩效目标</w:t>
      </w:r>
    </w:p>
    <w:p w14:paraId="2FD5BD46">
      <w:pPr>
        <w:pStyle w:val="17"/>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绩效目标合理性</w:t>
      </w:r>
    </w:p>
    <w:p w14:paraId="63BABDCF">
      <w:pPr>
        <w:spacing w:line="360" w:lineRule="auto"/>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政府采购项目设立了项目绩效目标，与医院专用设备购置、信息网络及软件购置、零星工程修缮购置等工作具有相关性，项目的预期产出效益和效果也均能符合正常的业绩水平，并且与预算确定的项目投资额或资金量相匹配。</w:t>
      </w:r>
    </w:p>
    <w:p w14:paraId="5DD8321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绩效指标明确性</w:t>
      </w:r>
    </w:p>
    <w:p w14:paraId="5E205E2F">
      <w:pPr>
        <w:spacing w:line="360" w:lineRule="auto"/>
        <w:ind w:firstLine="640" w:firstLineChars="200"/>
        <w:rPr>
          <w:rFonts w:hint="default" w:ascii="Times New Roman" w:hAnsi="Times New Roman" w:eastAsia="仿宋_GB2312" w:cs="Times New Roman"/>
          <w:sz w:val="32"/>
          <w:szCs w:val="32"/>
          <w:highlight w:val="none"/>
        </w:rPr>
      </w:pPr>
      <w:bookmarkStart w:id="6" w:name="_Hlk68699917"/>
      <w:r>
        <w:rPr>
          <w:rFonts w:hint="default" w:ascii="Times New Roman" w:hAnsi="Times New Roman" w:eastAsia="仿宋_GB2312" w:cs="Times New Roman"/>
          <w:sz w:val="32"/>
          <w:szCs w:val="32"/>
          <w:highlight w:val="none"/>
        </w:rPr>
        <w:t>政府采购项目将项目绩效目标细化分解为具体的绩效指标，一级指标共4条，二级指标共7条，三级指标共14条，其中量化指标条数共13条，所有绩效指标均通过清晰、可衡量的指标值予以体现，并且做到了与项目目标任务数或计划数相对应。</w:t>
      </w:r>
      <w:bookmarkEnd w:id="6"/>
    </w:p>
    <w:p w14:paraId="522E4480">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3.资金投入</w:t>
      </w:r>
    </w:p>
    <w:p w14:paraId="4318502A">
      <w:pPr>
        <w:spacing w:line="360" w:lineRule="auto"/>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预算编制科学性</w:t>
      </w:r>
    </w:p>
    <w:p w14:paraId="17BC937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预算编制经过科学论证；预算内容与项目内容相匹配；预算额度测算依据充分，按照政府采购标准编制；预算确定的项目投资额与工作任务相匹配。</w:t>
      </w:r>
    </w:p>
    <w:p w14:paraId="204CD2F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资金分配合理性</w:t>
      </w:r>
    </w:p>
    <w:p w14:paraId="3654474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预算资金分配依据充分；资金分配额度合理，与项目单位相适应。</w:t>
      </w:r>
    </w:p>
    <w:p w14:paraId="0C6BC545">
      <w:pPr>
        <w:pStyle w:val="2"/>
        <w:numPr>
          <w:ilvl w:val="0"/>
          <w:numId w:val="6"/>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17E50E1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项目过程类指标包括资金管理和组织实施两方面的内容，由5个三级指标构成，权重分值为20分，实际得分20分，得分率为100%。</w:t>
      </w:r>
    </w:p>
    <w:p w14:paraId="1294793D">
      <w:pPr>
        <w:rPr>
          <w:rFonts w:hint="default" w:ascii="Times New Roman" w:hAnsi="Times New Roman" w:cs="Times New Roman"/>
          <w:highlight w:val="none"/>
          <w:lang w:val="en-US"/>
        </w:rPr>
      </w:pPr>
      <w:r>
        <w:rPr>
          <w:rFonts w:hint="default" w:ascii="Times New Roman" w:hAnsi="Times New Roman" w:eastAsia="仿宋_GB2312" w:cs="Times New Roman"/>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3B197401">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5DD33B4E">
      <w:pPr>
        <w:ind w:firstLine="640" w:firstLineChars="200"/>
        <w:rPr>
          <w:rFonts w:hint="default" w:ascii="Times New Roman" w:hAnsi="Times New Roman" w:eastAsia="仿宋_GB2312" w:cs="Times New Roman"/>
          <w:color w:val="auto"/>
          <w:sz w:val="30"/>
          <w:highlight w:val="none"/>
        </w:rPr>
      </w:pP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color w:val="auto"/>
          <w:sz w:val="30"/>
          <w:highlight w:val="none"/>
        </w:rPr>
        <w:t>资金到位率：</w:t>
      </w:r>
    </w:p>
    <w:p w14:paraId="4E694D1F">
      <w:pPr>
        <w:shd w:val="clear"/>
        <w:spacing w:line="600" w:lineRule="exact"/>
        <w:ind w:firstLine="640" w:firstLineChars="200"/>
        <w:outlineLvl w:val="0"/>
        <w:rPr>
          <w:rFonts w:hint="default" w:ascii="Times New Roman" w:hAnsi="Times New Roman" w:eastAsia="仿宋_GB2312" w:cs="Times New Roman"/>
          <w:color w:val="FF0000"/>
          <w:sz w:val="30"/>
          <w:highlight w:val="none"/>
          <w:lang w:eastAsia="zh-CN"/>
        </w:rPr>
      </w:pPr>
      <w:r>
        <w:rPr>
          <w:rFonts w:hint="default" w:ascii="Times New Roman" w:hAnsi="Times New Roman" w:eastAsia="仿宋_GB2312" w:cs="Times New Roman"/>
          <w:sz w:val="32"/>
          <w:szCs w:val="32"/>
          <w:highlight w:val="none"/>
          <w:lang w:val="en-US" w:eastAsia="zh-CN"/>
        </w:rPr>
        <w:t>本项目总投资20007.73万元，财政资金及时足额到位，到位率100%，预算资金按计划进度执行。</w:t>
      </w:r>
    </w:p>
    <w:p w14:paraId="343119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sz w:val="30"/>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0"/>
          <w:highlight w:val="none"/>
        </w:rPr>
        <w:t>预算执行率</w:t>
      </w:r>
    </w:p>
    <w:p w14:paraId="3647B0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sz w:val="30"/>
          <w:highlight w:val="none"/>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预算编制较为详细，项目资金支出总体能够按照预算执行，预算资金支出18721.6万元，</w:t>
      </w:r>
      <w:r>
        <w:rPr>
          <w:rFonts w:hint="default" w:ascii="Times New Roman" w:hAnsi="Times New Roman" w:eastAsia="仿宋_GB2312" w:cs="Times New Roman"/>
          <w:color w:val="auto"/>
          <w:sz w:val="32"/>
          <w:szCs w:val="32"/>
          <w:highlight w:val="none"/>
        </w:rPr>
        <w:t>预算执行率为93.57</w:t>
      </w:r>
      <w:r>
        <w:rPr>
          <w:rFonts w:hint="default" w:ascii="Times New Roman" w:hAnsi="Times New Roman" w:eastAsia="仿宋_GB2312" w:cs="Times New Roman"/>
          <w:color w:val="auto"/>
          <w:sz w:val="30"/>
          <w:highlight w:val="none"/>
        </w:rPr>
        <w:t>%</w:t>
      </w:r>
    </w:p>
    <w:p w14:paraId="776628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sz w:val="30"/>
          <w:highlight w:val="none"/>
        </w:rPr>
      </w:pP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0"/>
          <w:highlight w:val="none"/>
        </w:rPr>
        <w:t>资金使用合规性</w:t>
      </w:r>
    </w:p>
    <w:p w14:paraId="4D5D109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2252741C">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1CCDEDF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管理制度健全性</w:t>
      </w:r>
    </w:p>
    <w:p w14:paraId="451D0AE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制定了相关管理办法，对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DB131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制度执行有效性</w:t>
      </w:r>
    </w:p>
    <w:p w14:paraId="5FF9A2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0"/>
          <w:highlight w:val="none"/>
        </w:rPr>
      </w:pPr>
      <w:r>
        <w:rPr>
          <w:rFonts w:hint="default" w:ascii="Times New Roman" w:hAnsi="Times New Roman" w:eastAsia="仿宋_GB2312" w:cs="Times New Roman"/>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14:paraId="39840F6D">
      <w:pPr>
        <w:pStyle w:val="10"/>
        <w:numPr>
          <w:ilvl w:val="0"/>
          <w:numId w:val="6"/>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40EEE937">
      <w:pPr>
        <w:snapToGrid w:val="0"/>
        <w:spacing w:line="560" w:lineRule="exact"/>
        <w:ind w:firstLine="640" w:firstLineChars="200"/>
        <w:rPr>
          <w:rStyle w:val="14"/>
          <w:rFonts w:hint="default" w:ascii="Times New Roman" w:hAnsi="Times New Roman" w:eastAsia="仿宋_GB2312" w:cs="Times New Roman"/>
          <w:bCs w:val="0"/>
          <w:spacing w:val="-4"/>
          <w:sz w:val="32"/>
          <w:szCs w:val="32"/>
          <w:highlight w:val="none"/>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项目产出类指标包括产出数量、产出质量、产出时效、产出成本四方面的内容，由4个三级指标构成，权重分为40分，实际得分35分，得分率为87.5%。具体产出指标完成情况如下：</w:t>
      </w:r>
    </w:p>
    <w:p w14:paraId="04CAC8F3">
      <w:pPr>
        <w:snapToGrid w:val="0"/>
        <w:spacing w:line="560" w:lineRule="exact"/>
        <w:ind w:firstLine="627" w:firstLineChars="200"/>
        <w:rPr>
          <w:rStyle w:val="14"/>
          <w:rFonts w:hint="default" w:ascii="Times New Roman" w:hAnsi="Times New Roman" w:eastAsia="仿宋_GB2312" w:cs="Times New Roman"/>
          <w:bCs w:val="0"/>
          <w:spacing w:val="-4"/>
          <w:sz w:val="32"/>
          <w:szCs w:val="32"/>
          <w:highlight w:val="none"/>
        </w:rPr>
      </w:pPr>
      <w:r>
        <w:rPr>
          <w:rStyle w:val="14"/>
          <w:rFonts w:hint="default" w:ascii="Times New Roman" w:hAnsi="Times New Roman" w:eastAsia="仿宋_GB2312" w:cs="Times New Roman"/>
          <w:bCs w:val="0"/>
          <w:spacing w:val="-4"/>
          <w:sz w:val="32"/>
          <w:szCs w:val="32"/>
          <w:highlight w:val="none"/>
        </w:rPr>
        <w:t>数量指标方面：</w:t>
      </w:r>
    </w:p>
    <w:p w14:paraId="3DBFE69F">
      <w:pPr>
        <w:snapToGrid w:val="0"/>
        <w:spacing w:line="560" w:lineRule="exact"/>
        <w:ind w:firstLine="624" w:firstLineChars="200"/>
        <w:rPr>
          <w:rStyle w:val="14"/>
          <w:rFonts w:hint="default" w:ascii="Times New Roman" w:hAnsi="Times New Roman" w:eastAsia="仿宋_GB2312" w:cs="Times New Roman"/>
          <w:b w:val="0"/>
          <w:spacing w:val="-4"/>
          <w:sz w:val="32"/>
          <w:szCs w:val="32"/>
          <w:highlight w:val="none"/>
        </w:rPr>
      </w:pPr>
      <w:r>
        <w:rPr>
          <w:rStyle w:val="14"/>
          <w:rFonts w:hint="default" w:ascii="Times New Roman" w:hAnsi="Times New Roman" w:eastAsia="仿宋_GB2312" w:cs="Times New Roman"/>
          <w:b w:val="0"/>
          <w:spacing w:val="-4"/>
          <w:sz w:val="32"/>
          <w:szCs w:val="32"/>
          <w:highlight w:val="none"/>
        </w:rPr>
        <w:t>指标1：物业管理面积，指标值：43064平方米，实际完成值：43064平方米，指标完成率100%；</w:t>
      </w:r>
    </w:p>
    <w:p w14:paraId="146883B4">
      <w:pPr>
        <w:snapToGrid w:val="0"/>
        <w:spacing w:line="560" w:lineRule="exact"/>
        <w:ind w:firstLine="624" w:firstLineChars="200"/>
        <w:rPr>
          <w:rStyle w:val="14"/>
          <w:rFonts w:hint="default" w:ascii="Times New Roman" w:hAnsi="Times New Roman" w:eastAsia="仿宋_GB2312" w:cs="Times New Roman"/>
          <w:b w:val="0"/>
          <w:spacing w:val="-4"/>
          <w:sz w:val="32"/>
          <w:szCs w:val="32"/>
          <w:highlight w:val="none"/>
        </w:rPr>
      </w:pPr>
      <w:r>
        <w:rPr>
          <w:rStyle w:val="14"/>
          <w:rFonts w:hint="default" w:ascii="Times New Roman" w:hAnsi="Times New Roman" w:eastAsia="仿宋_GB2312" w:cs="Times New Roman"/>
          <w:b w:val="0"/>
          <w:spacing w:val="-4"/>
          <w:sz w:val="32"/>
          <w:szCs w:val="32"/>
          <w:highlight w:val="none"/>
        </w:rPr>
        <w:t>指标2：信息网络及软件购置数量，指标值：1批，实际完成值：0</w:t>
      </w:r>
      <w:r>
        <w:rPr>
          <w:rStyle w:val="14"/>
          <w:rFonts w:hint="default" w:ascii="Times New Roman" w:hAnsi="Times New Roman" w:eastAsia="仿宋_GB2312" w:cs="Times New Roman"/>
          <w:b w:val="0"/>
          <w:spacing w:val="-4"/>
          <w:sz w:val="32"/>
          <w:szCs w:val="32"/>
          <w:highlight w:val="none"/>
          <w:lang w:val="en-US" w:eastAsia="zh-CN"/>
        </w:rPr>
        <w:t>批</w:t>
      </w:r>
      <w:r>
        <w:rPr>
          <w:rStyle w:val="14"/>
          <w:rFonts w:hint="default" w:ascii="Times New Roman" w:hAnsi="Times New Roman" w:eastAsia="仿宋_GB2312" w:cs="Times New Roman"/>
          <w:b w:val="0"/>
          <w:spacing w:val="-4"/>
          <w:sz w:val="32"/>
          <w:szCs w:val="32"/>
          <w:highlight w:val="none"/>
        </w:rPr>
        <w:t>，指标完成率0%，偏差原因：信息中心在2022年10月填报的2023年度政府采购预算填报表（集中采购目录内）中，包含了电子病历无纸化、应对医保支付改革信息化建设项目（DRG）以及院感手机端软件3个项目。在今年执行中，由于电子病历无纸化项目在相关会议中讨论时存在疑问，因故取消采购。应对医保支付改革信息化建设项目（DRG）由于在2023年中铁建与杭州创业签订的最新软件合同中有类似功能模块，故取消该项目。院感手机端软件项目由于相关科室未提交会议纪要，因此按照项目归口科室管理的相关规定，取消对此项目的采购。</w:t>
      </w:r>
    </w:p>
    <w:p w14:paraId="43AC6082">
      <w:pPr>
        <w:snapToGrid w:val="0"/>
        <w:spacing w:line="560" w:lineRule="exact"/>
        <w:ind w:firstLine="624" w:firstLineChars="200"/>
        <w:rPr>
          <w:rStyle w:val="14"/>
          <w:rFonts w:hint="default" w:ascii="Times New Roman" w:hAnsi="Times New Roman" w:eastAsia="仿宋_GB2312" w:cs="Times New Roman"/>
          <w:b w:val="0"/>
          <w:spacing w:val="-4"/>
          <w:sz w:val="32"/>
          <w:szCs w:val="32"/>
          <w:highlight w:val="none"/>
        </w:rPr>
      </w:pPr>
      <w:r>
        <w:rPr>
          <w:rStyle w:val="14"/>
          <w:rFonts w:hint="default" w:ascii="Times New Roman" w:hAnsi="Times New Roman" w:eastAsia="仿宋_GB2312" w:cs="Times New Roman"/>
          <w:b w:val="0"/>
          <w:spacing w:val="-4"/>
          <w:sz w:val="32"/>
          <w:szCs w:val="32"/>
          <w:highlight w:val="none"/>
        </w:rPr>
        <w:t>在2023年度政府采购预算填报表（分散采购限额标准以上）中，包含无线输液系统、新生儿及儿童智能急救系统以及接入交换机采购。其中，无线输液系统由于新楼未启用，无法进行相关参数、楼层、数量及详细功能的确定，因此取消该项目。截至目前，新生儿及儿童智能急救系统，一直未经自治区科技厅获批，故取消该项目。接入交换机因已使用财政项目预算进行采购并执行；</w:t>
      </w:r>
    </w:p>
    <w:p w14:paraId="795FA560">
      <w:pPr>
        <w:pStyle w:val="2"/>
        <w:ind w:firstLine="624" w:firstLineChars="200"/>
        <w:jc w:val="left"/>
        <w:rPr>
          <w:rStyle w:val="14"/>
          <w:rFonts w:hint="default" w:ascii="Times New Roman" w:hAnsi="Times New Roman" w:eastAsia="仿宋_GB2312" w:cs="Times New Roman"/>
          <w:b w:val="0"/>
          <w:bCs/>
          <w:spacing w:val="-4"/>
          <w:highlight w:val="none"/>
        </w:rPr>
      </w:pPr>
      <w:r>
        <w:rPr>
          <w:rStyle w:val="14"/>
          <w:rFonts w:hint="default" w:ascii="Times New Roman" w:hAnsi="Times New Roman" w:eastAsia="仿宋_GB2312" w:cs="Times New Roman"/>
          <w:b w:val="0"/>
          <w:bCs/>
          <w:spacing w:val="-4"/>
          <w:kern w:val="2"/>
          <w:highlight w:val="none"/>
        </w:rPr>
        <w:t>指标3：</w:t>
      </w:r>
      <w:r>
        <w:rPr>
          <w:rStyle w:val="14"/>
          <w:rFonts w:hint="default" w:ascii="Times New Roman" w:hAnsi="Times New Roman" w:eastAsia="仿宋_GB2312" w:cs="Times New Roman"/>
          <w:b w:val="0"/>
          <w:bCs/>
          <w:spacing w:val="-4"/>
          <w:highlight w:val="none"/>
        </w:rPr>
        <w:t>药品及卫生材料及其他材料数量，指标值：1批，实际完成值：1批，指标完成率100%；</w:t>
      </w:r>
    </w:p>
    <w:p w14:paraId="3E6D6273">
      <w:pPr>
        <w:ind w:firstLine="624" w:firstLineChars="200"/>
        <w:jc w:val="left"/>
        <w:rPr>
          <w:rStyle w:val="14"/>
          <w:rFonts w:hint="default" w:ascii="Times New Roman" w:hAnsi="Times New Roman" w:eastAsia="仿宋_GB2312" w:cs="Times New Roman"/>
          <w:b w:val="0"/>
          <w:spacing w:val="-4"/>
          <w:sz w:val="32"/>
          <w:szCs w:val="32"/>
          <w:highlight w:val="none"/>
        </w:rPr>
      </w:pPr>
      <w:r>
        <w:rPr>
          <w:rStyle w:val="14"/>
          <w:rFonts w:hint="default" w:ascii="Times New Roman" w:hAnsi="Times New Roman" w:eastAsia="仿宋_GB2312" w:cs="Times New Roman"/>
          <w:b w:val="0"/>
          <w:spacing w:val="-4"/>
          <w:sz w:val="32"/>
          <w:szCs w:val="32"/>
          <w:highlight w:val="none"/>
        </w:rPr>
        <w:t>指标4：专用设备购置数量，指标值：1批，实际完成值：</w:t>
      </w:r>
      <w:r>
        <w:rPr>
          <w:rStyle w:val="14"/>
          <w:rFonts w:hint="default" w:ascii="Times New Roman" w:hAnsi="Times New Roman" w:eastAsia="仿宋_GB2312" w:cs="Times New Roman"/>
          <w:b w:val="0"/>
          <w:spacing w:val="-4"/>
          <w:sz w:val="32"/>
          <w:szCs w:val="32"/>
          <w:highlight w:val="none"/>
          <w:lang w:val="en-US" w:eastAsia="zh-CN"/>
        </w:rPr>
        <w:t>1</w:t>
      </w:r>
      <w:r>
        <w:rPr>
          <w:rStyle w:val="14"/>
          <w:rFonts w:hint="default" w:ascii="Times New Roman" w:hAnsi="Times New Roman" w:eastAsia="仿宋_GB2312" w:cs="Times New Roman"/>
          <w:b w:val="0"/>
          <w:spacing w:val="-4"/>
          <w:sz w:val="32"/>
          <w:szCs w:val="32"/>
          <w:highlight w:val="none"/>
        </w:rPr>
        <w:t>批 ，指标完成率100%。</w:t>
      </w:r>
    </w:p>
    <w:p w14:paraId="49A1E8EA">
      <w:pPr>
        <w:spacing w:line="560" w:lineRule="exact"/>
        <w:ind w:firstLine="643" w:firstLineChars="200"/>
        <w:rPr>
          <w:rStyle w:val="16"/>
          <w:rFonts w:hint="default" w:ascii="Times New Roman" w:hAnsi="Times New Roman" w:cs="Times New Roman"/>
          <w:b/>
          <w:bCs/>
          <w:color w:val="auto"/>
          <w:highlight w:val="none"/>
        </w:rPr>
      </w:pPr>
      <w:r>
        <w:rPr>
          <w:rStyle w:val="16"/>
          <w:rFonts w:hint="default" w:ascii="Times New Roman" w:hAnsi="Times New Roman" w:cs="Times New Roman"/>
          <w:b/>
          <w:bCs/>
          <w:color w:val="auto"/>
          <w:highlight w:val="none"/>
        </w:rPr>
        <w:t>质量指标方面：</w:t>
      </w:r>
    </w:p>
    <w:p w14:paraId="4A8B09E3">
      <w:pPr>
        <w:snapToGrid w:val="0"/>
        <w:spacing w:line="560" w:lineRule="exact"/>
        <w:ind w:firstLine="624" w:firstLineChars="200"/>
        <w:rPr>
          <w:rStyle w:val="14"/>
          <w:rFonts w:hint="default" w:ascii="Times New Roman" w:hAnsi="Times New Roman" w:eastAsia="仿宋_GB2312" w:cs="Times New Roman"/>
          <w:b w:val="0"/>
          <w:spacing w:val="-4"/>
          <w:sz w:val="32"/>
          <w:szCs w:val="32"/>
          <w:highlight w:val="none"/>
        </w:rPr>
      </w:pPr>
      <w:r>
        <w:rPr>
          <w:rStyle w:val="14"/>
          <w:rFonts w:hint="default" w:ascii="Times New Roman" w:hAnsi="Times New Roman" w:eastAsia="仿宋_GB2312" w:cs="Times New Roman"/>
          <w:b w:val="0"/>
          <w:spacing w:val="-4"/>
          <w:sz w:val="32"/>
          <w:szCs w:val="32"/>
          <w:highlight w:val="none"/>
        </w:rPr>
        <w:t>指标1：设备购置验收入库合格率，指标值：100% ，实际完成值：100% ，指标完成率100%；</w:t>
      </w:r>
    </w:p>
    <w:p w14:paraId="7323B6C8">
      <w:pPr>
        <w:snapToGrid w:val="0"/>
        <w:spacing w:line="560" w:lineRule="exact"/>
        <w:ind w:firstLine="624" w:firstLineChars="200"/>
        <w:rPr>
          <w:rStyle w:val="14"/>
          <w:rFonts w:hint="default" w:ascii="Times New Roman" w:hAnsi="Times New Roman" w:eastAsia="仿宋_GB2312" w:cs="Times New Roman"/>
          <w:b w:val="0"/>
          <w:spacing w:val="-4"/>
          <w:sz w:val="32"/>
          <w:szCs w:val="32"/>
          <w:highlight w:val="none"/>
          <w:lang w:eastAsia="zh-CN"/>
        </w:rPr>
      </w:pPr>
      <w:r>
        <w:rPr>
          <w:rStyle w:val="14"/>
          <w:rFonts w:hint="default" w:ascii="Times New Roman" w:hAnsi="Times New Roman" w:eastAsia="仿宋_GB2312" w:cs="Times New Roman"/>
          <w:b w:val="0"/>
          <w:spacing w:val="-4"/>
          <w:sz w:val="32"/>
          <w:szCs w:val="32"/>
          <w:highlight w:val="none"/>
        </w:rPr>
        <w:t>指标2：修缮工程验收合格率，指标值：</w:t>
      </w:r>
      <w:r>
        <w:rPr>
          <w:rStyle w:val="14"/>
          <w:rFonts w:hint="default" w:ascii="Times New Roman" w:hAnsi="Times New Roman" w:eastAsia="仿宋_GB2312" w:cs="Times New Roman"/>
          <w:b w:val="0"/>
          <w:spacing w:val="-4"/>
          <w:sz w:val="32"/>
          <w:szCs w:val="32"/>
          <w:highlight w:val="none"/>
          <w:lang w:val="en-US" w:eastAsia="zh-CN"/>
        </w:rPr>
        <w:t>≥</w:t>
      </w:r>
      <w:r>
        <w:rPr>
          <w:rStyle w:val="14"/>
          <w:rFonts w:hint="default" w:ascii="Times New Roman" w:hAnsi="Times New Roman" w:eastAsia="仿宋_GB2312" w:cs="Times New Roman"/>
          <w:b w:val="0"/>
          <w:spacing w:val="-4"/>
          <w:sz w:val="32"/>
          <w:szCs w:val="32"/>
          <w:highlight w:val="none"/>
        </w:rPr>
        <w:t>95% ，实际完成值：95%，指标完成率100%</w:t>
      </w:r>
      <w:r>
        <w:rPr>
          <w:rStyle w:val="14"/>
          <w:rFonts w:hint="default" w:ascii="Times New Roman" w:hAnsi="Times New Roman" w:eastAsia="仿宋_GB2312" w:cs="Times New Roman"/>
          <w:b w:val="0"/>
          <w:spacing w:val="-4"/>
          <w:sz w:val="32"/>
          <w:szCs w:val="32"/>
          <w:highlight w:val="none"/>
          <w:lang w:eastAsia="zh-CN"/>
        </w:rPr>
        <w:t>。</w:t>
      </w:r>
    </w:p>
    <w:p w14:paraId="6CFB5EC8">
      <w:pPr>
        <w:snapToGrid w:val="0"/>
        <w:spacing w:line="560" w:lineRule="exact"/>
        <w:ind w:firstLine="624" w:firstLineChars="200"/>
        <w:rPr>
          <w:rFonts w:hint="default" w:ascii="Times New Roman" w:hAnsi="Times New Roman" w:cs="Times New Roman"/>
          <w:highlight w:val="none"/>
          <w:lang w:val="en-US" w:eastAsia="zh-CN"/>
        </w:rPr>
      </w:pPr>
      <w:r>
        <w:rPr>
          <w:rStyle w:val="14"/>
          <w:rFonts w:hint="default" w:ascii="Times New Roman" w:hAnsi="Times New Roman" w:eastAsia="仿宋_GB2312" w:cs="Times New Roman"/>
          <w:b w:val="0"/>
          <w:spacing w:val="-4"/>
          <w:sz w:val="32"/>
          <w:szCs w:val="32"/>
          <w:highlight w:val="none"/>
        </w:rPr>
        <w:t>指标</w:t>
      </w:r>
      <w:r>
        <w:rPr>
          <w:rStyle w:val="14"/>
          <w:rFonts w:hint="default" w:ascii="Times New Roman" w:hAnsi="Times New Roman" w:eastAsia="仿宋_GB2312" w:cs="Times New Roman"/>
          <w:b w:val="0"/>
          <w:spacing w:val="-4"/>
          <w:sz w:val="32"/>
          <w:szCs w:val="32"/>
          <w:highlight w:val="none"/>
          <w:lang w:val="en-US" w:eastAsia="zh-CN"/>
        </w:rPr>
        <w:t>3</w:t>
      </w:r>
      <w:r>
        <w:rPr>
          <w:rStyle w:val="14"/>
          <w:rFonts w:hint="default" w:ascii="Times New Roman" w:hAnsi="Times New Roman" w:eastAsia="仿宋_GB2312" w:cs="Times New Roman"/>
          <w:b w:val="0"/>
          <w:spacing w:val="-4"/>
          <w:sz w:val="32"/>
          <w:szCs w:val="32"/>
          <w:highlight w:val="none"/>
        </w:rPr>
        <w:t>：</w:t>
      </w:r>
      <w:r>
        <w:rPr>
          <w:rStyle w:val="14"/>
          <w:rFonts w:hint="default" w:ascii="Times New Roman" w:hAnsi="Times New Roman" w:eastAsia="仿宋_GB2312" w:cs="Times New Roman"/>
          <w:b w:val="0"/>
          <w:spacing w:val="-4"/>
          <w:sz w:val="32"/>
          <w:szCs w:val="32"/>
          <w:highlight w:val="none"/>
          <w:lang w:val="en-US" w:eastAsia="zh-CN"/>
        </w:rPr>
        <w:t>资金支付准确率</w:t>
      </w:r>
      <w:r>
        <w:rPr>
          <w:rStyle w:val="14"/>
          <w:rFonts w:hint="default" w:ascii="Times New Roman" w:hAnsi="Times New Roman" w:eastAsia="仿宋_GB2312" w:cs="Times New Roman"/>
          <w:b w:val="0"/>
          <w:spacing w:val="-4"/>
          <w:sz w:val="32"/>
          <w:szCs w:val="32"/>
          <w:highlight w:val="none"/>
        </w:rPr>
        <w:t>，指标值：</w:t>
      </w:r>
      <w:r>
        <w:rPr>
          <w:rStyle w:val="14"/>
          <w:rFonts w:hint="default" w:ascii="Times New Roman" w:hAnsi="Times New Roman" w:eastAsia="仿宋_GB2312" w:cs="Times New Roman"/>
          <w:b w:val="0"/>
          <w:spacing w:val="-4"/>
          <w:sz w:val="32"/>
          <w:szCs w:val="32"/>
          <w:highlight w:val="none"/>
          <w:lang w:val="en-US" w:eastAsia="zh-CN"/>
        </w:rPr>
        <w:t>=100</w:t>
      </w:r>
      <w:r>
        <w:rPr>
          <w:rStyle w:val="14"/>
          <w:rFonts w:hint="default" w:ascii="Times New Roman" w:hAnsi="Times New Roman" w:eastAsia="仿宋_GB2312" w:cs="Times New Roman"/>
          <w:b w:val="0"/>
          <w:spacing w:val="-4"/>
          <w:sz w:val="32"/>
          <w:szCs w:val="32"/>
          <w:highlight w:val="none"/>
        </w:rPr>
        <w:t>% ，实际完成值：</w:t>
      </w:r>
      <w:r>
        <w:rPr>
          <w:rStyle w:val="14"/>
          <w:rFonts w:hint="default" w:ascii="Times New Roman" w:hAnsi="Times New Roman" w:eastAsia="仿宋_GB2312" w:cs="Times New Roman"/>
          <w:b w:val="0"/>
          <w:spacing w:val="-4"/>
          <w:sz w:val="32"/>
          <w:szCs w:val="32"/>
          <w:highlight w:val="none"/>
          <w:lang w:val="en-US" w:eastAsia="zh-CN"/>
        </w:rPr>
        <w:t>100</w:t>
      </w:r>
      <w:r>
        <w:rPr>
          <w:rStyle w:val="14"/>
          <w:rFonts w:hint="default" w:ascii="Times New Roman" w:hAnsi="Times New Roman" w:eastAsia="仿宋_GB2312" w:cs="Times New Roman"/>
          <w:b w:val="0"/>
          <w:spacing w:val="-4"/>
          <w:sz w:val="32"/>
          <w:szCs w:val="32"/>
          <w:highlight w:val="none"/>
        </w:rPr>
        <w:t>%，指标完成率100%</w:t>
      </w:r>
      <w:r>
        <w:rPr>
          <w:rStyle w:val="14"/>
          <w:rFonts w:hint="default" w:ascii="Times New Roman" w:hAnsi="Times New Roman" w:eastAsia="仿宋_GB2312" w:cs="Times New Roman"/>
          <w:b w:val="0"/>
          <w:spacing w:val="-4"/>
          <w:sz w:val="32"/>
          <w:szCs w:val="32"/>
          <w:highlight w:val="none"/>
          <w:lang w:eastAsia="zh-CN"/>
        </w:rPr>
        <w:t>。</w:t>
      </w:r>
    </w:p>
    <w:p w14:paraId="5EB57A10">
      <w:pPr>
        <w:spacing w:line="560" w:lineRule="exact"/>
        <w:ind w:firstLine="643" w:firstLineChars="200"/>
        <w:rPr>
          <w:rStyle w:val="16"/>
          <w:rFonts w:hint="default" w:ascii="Times New Roman" w:hAnsi="Times New Roman" w:cs="Times New Roman"/>
          <w:b/>
          <w:bCs/>
          <w:color w:val="auto"/>
          <w:highlight w:val="none"/>
        </w:rPr>
      </w:pPr>
      <w:r>
        <w:rPr>
          <w:rStyle w:val="16"/>
          <w:rFonts w:hint="default" w:ascii="Times New Roman" w:hAnsi="Times New Roman" w:cs="Times New Roman"/>
          <w:b/>
          <w:bCs/>
          <w:color w:val="auto"/>
          <w:highlight w:val="none"/>
        </w:rPr>
        <w:t>时效指标方面：</w:t>
      </w:r>
    </w:p>
    <w:p w14:paraId="02A0FD32">
      <w:pPr>
        <w:snapToGrid w:val="0"/>
        <w:spacing w:line="560" w:lineRule="exact"/>
        <w:ind w:firstLine="624" w:firstLineChars="200"/>
        <w:rPr>
          <w:rStyle w:val="16"/>
          <w:rFonts w:hint="default" w:ascii="Times New Roman" w:hAnsi="Times New Roman" w:eastAsia="仿宋_GB2312" w:cs="Times New Roman"/>
          <w:color w:val="auto"/>
          <w:highlight w:val="none"/>
          <w:lang w:eastAsia="zh-CN"/>
        </w:rPr>
      </w:pPr>
      <w:r>
        <w:rPr>
          <w:rStyle w:val="14"/>
          <w:rFonts w:hint="default" w:ascii="Times New Roman" w:hAnsi="Times New Roman" w:eastAsia="仿宋_GB2312" w:cs="Times New Roman"/>
          <w:b w:val="0"/>
          <w:spacing w:val="-4"/>
          <w:sz w:val="32"/>
          <w:szCs w:val="32"/>
          <w:highlight w:val="none"/>
        </w:rPr>
        <w:t>指标1：资金支付及时率 ，指标值：100%，实际完成值</w:t>
      </w:r>
      <w:r>
        <w:rPr>
          <w:rStyle w:val="14"/>
          <w:rFonts w:hint="default" w:ascii="Times New Roman" w:hAnsi="Times New Roman" w:eastAsia="仿宋_GB2312" w:cs="Times New Roman"/>
          <w:b w:val="0"/>
          <w:spacing w:val="-4"/>
          <w:sz w:val="32"/>
          <w:szCs w:val="32"/>
          <w:highlight w:val="none"/>
          <w:lang w:eastAsia="zh-CN"/>
        </w:rPr>
        <w:t>：</w:t>
      </w:r>
      <w:r>
        <w:rPr>
          <w:rStyle w:val="14"/>
          <w:rFonts w:hint="default" w:ascii="Times New Roman" w:hAnsi="Times New Roman" w:eastAsia="仿宋_GB2312" w:cs="Times New Roman"/>
          <w:b w:val="0"/>
          <w:spacing w:val="-4"/>
          <w:sz w:val="32"/>
          <w:szCs w:val="32"/>
          <w:highlight w:val="none"/>
          <w:lang w:val="en-US" w:eastAsia="zh-CN"/>
        </w:rPr>
        <w:t>100%</w:t>
      </w:r>
      <w:r>
        <w:rPr>
          <w:rStyle w:val="14"/>
          <w:rFonts w:hint="default" w:ascii="Times New Roman" w:hAnsi="Times New Roman" w:eastAsia="仿宋_GB2312" w:cs="Times New Roman"/>
          <w:b w:val="0"/>
          <w:spacing w:val="-4"/>
          <w:sz w:val="32"/>
          <w:szCs w:val="32"/>
          <w:highlight w:val="none"/>
        </w:rPr>
        <w:t>，指标完成率</w:t>
      </w:r>
      <w:r>
        <w:rPr>
          <w:rStyle w:val="14"/>
          <w:rFonts w:hint="default" w:ascii="Times New Roman" w:hAnsi="Times New Roman" w:eastAsia="仿宋_GB2312" w:cs="Times New Roman"/>
          <w:b w:val="0"/>
          <w:spacing w:val="-4"/>
          <w:sz w:val="32"/>
          <w:szCs w:val="32"/>
          <w:highlight w:val="none"/>
          <w:lang w:val="en-US" w:eastAsia="zh-CN"/>
        </w:rPr>
        <w:t>100</w:t>
      </w:r>
      <w:r>
        <w:rPr>
          <w:rStyle w:val="14"/>
          <w:rFonts w:hint="default" w:ascii="Times New Roman" w:hAnsi="Times New Roman" w:eastAsia="仿宋_GB2312" w:cs="Times New Roman"/>
          <w:b w:val="0"/>
          <w:spacing w:val="-4"/>
          <w:sz w:val="32"/>
          <w:szCs w:val="32"/>
          <w:highlight w:val="none"/>
        </w:rPr>
        <w:t>%</w:t>
      </w:r>
      <w:r>
        <w:rPr>
          <w:rStyle w:val="14"/>
          <w:rFonts w:hint="default" w:ascii="Times New Roman" w:hAnsi="Times New Roman" w:eastAsia="仿宋_GB2312" w:cs="Times New Roman"/>
          <w:b w:val="0"/>
          <w:spacing w:val="-4"/>
          <w:sz w:val="32"/>
          <w:szCs w:val="32"/>
          <w:highlight w:val="none"/>
          <w:lang w:eastAsia="zh-CN"/>
        </w:rPr>
        <w:t>。</w:t>
      </w:r>
    </w:p>
    <w:p w14:paraId="4BFB3771">
      <w:pPr>
        <w:pStyle w:val="2"/>
        <w:spacing w:before="0" w:after="0" w:line="560" w:lineRule="exact"/>
        <w:ind w:firstLine="643" w:firstLineChars="200"/>
        <w:jc w:val="both"/>
        <w:rPr>
          <w:rStyle w:val="16"/>
          <w:rFonts w:hint="default" w:ascii="Times New Roman" w:hAnsi="Times New Roman" w:cs="Times New Roman"/>
          <w:color w:val="auto"/>
          <w:highlight w:val="none"/>
        </w:rPr>
      </w:pPr>
      <w:r>
        <w:rPr>
          <w:rStyle w:val="16"/>
          <w:rFonts w:hint="default" w:ascii="Times New Roman" w:hAnsi="Times New Roman" w:cs="Times New Roman"/>
          <w:color w:val="auto"/>
          <w:highlight w:val="none"/>
        </w:rPr>
        <w:t>成本指标方面：</w:t>
      </w:r>
    </w:p>
    <w:p w14:paraId="705F1E31">
      <w:pPr>
        <w:snapToGrid w:val="0"/>
        <w:spacing w:line="560" w:lineRule="exact"/>
        <w:ind w:firstLine="624" w:firstLineChars="200"/>
        <w:rPr>
          <w:rStyle w:val="14"/>
          <w:rFonts w:hint="default" w:ascii="Times New Roman" w:hAnsi="Times New Roman" w:eastAsia="仿宋_GB2312" w:cs="Times New Roman"/>
          <w:b w:val="0"/>
          <w:spacing w:val="-4"/>
          <w:sz w:val="32"/>
          <w:szCs w:val="32"/>
          <w:highlight w:val="none"/>
        </w:rPr>
      </w:pPr>
      <w:r>
        <w:rPr>
          <w:rStyle w:val="14"/>
          <w:rFonts w:hint="default" w:ascii="Times New Roman" w:hAnsi="Times New Roman" w:eastAsia="仿宋_GB2312" w:cs="Times New Roman"/>
          <w:b w:val="0"/>
          <w:spacing w:val="-4"/>
          <w:sz w:val="32"/>
          <w:szCs w:val="32"/>
          <w:highlight w:val="none"/>
        </w:rPr>
        <w:t>指标1：零星工程修缮，指标值：</w:t>
      </w:r>
      <w:r>
        <w:rPr>
          <w:rStyle w:val="14"/>
          <w:rFonts w:hint="default" w:ascii="Times New Roman" w:hAnsi="Times New Roman" w:eastAsia="仿宋_GB2312" w:cs="Times New Roman"/>
          <w:b w:val="0"/>
          <w:spacing w:val="-4"/>
          <w:sz w:val="32"/>
          <w:szCs w:val="32"/>
          <w:highlight w:val="none"/>
          <w:lang w:val="en-US" w:eastAsia="zh-CN"/>
        </w:rPr>
        <w:t>≤</w:t>
      </w:r>
      <w:r>
        <w:rPr>
          <w:rStyle w:val="14"/>
          <w:rFonts w:hint="default" w:ascii="Times New Roman" w:hAnsi="Times New Roman" w:eastAsia="仿宋_GB2312" w:cs="Times New Roman"/>
          <w:b w:val="0"/>
          <w:spacing w:val="-4"/>
          <w:sz w:val="32"/>
          <w:szCs w:val="32"/>
          <w:highlight w:val="none"/>
        </w:rPr>
        <w:t>707.5万元，实际完成值：75.62万元，指标完成率10.69%，偏差原因：按照总承包单位编制的进度计划，国家儿童区域医疗中心建设项目原定于2023年7月30日完工。因2号楼竣工时间调整，影响1号楼搬迁进度，大型施工改造项目不具备施工条件，造成施工改造项目滞后；</w:t>
      </w:r>
    </w:p>
    <w:p w14:paraId="778A71FF">
      <w:pPr>
        <w:snapToGrid w:val="0"/>
        <w:spacing w:line="560" w:lineRule="exact"/>
        <w:ind w:firstLine="624" w:firstLineChars="200"/>
        <w:rPr>
          <w:rStyle w:val="14"/>
          <w:rFonts w:hint="default" w:ascii="Times New Roman" w:hAnsi="Times New Roman" w:eastAsia="仿宋_GB2312" w:cs="Times New Roman"/>
          <w:b w:val="0"/>
          <w:spacing w:val="-4"/>
          <w:sz w:val="32"/>
          <w:szCs w:val="32"/>
          <w:highlight w:val="none"/>
        </w:rPr>
      </w:pPr>
      <w:r>
        <w:rPr>
          <w:rStyle w:val="14"/>
          <w:rFonts w:hint="default" w:ascii="Times New Roman" w:hAnsi="Times New Roman" w:eastAsia="仿宋_GB2312" w:cs="Times New Roman"/>
          <w:b w:val="0"/>
          <w:spacing w:val="-4"/>
          <w:sz w:val="32"/>
          <w:szCs w:val="32"/>
          <w:highlight w:val="none"/>
        </w:rPr>
        <w:t>指标2：药品及卫生材料及其他材料费用，指标值：</w:t>
      </w:r>
      <w:r>
        <w:rPr>
          <w:rStyle w:val="14"/>
          <w:rFonts w:hint="default" w:ascii="Times New Roman" w:hAnsi="Times New Roman" w:eastAsia="仿宋_GB2312" w:cs="Times New Roman"/>
          <w:b w:val="0"/>
          <w:spacing w:val="-4"/>
          <w:sz w:val="32"/>
          <w:szCs w:val="32"/>
          <w:highlight w:val="none"/>
          <w:lang w:val="en-US" w:eastAsia="zh-CN"/>
        </w:rPr>
        <w:t>≤</w:t>
      </w:r>
      <w:r>
        <w:rPr>
          <w:rStyle w:val="14"/>
          <w:rFonts w:hint="default" w:ascii="Times New Roman" w:hAnsi="Times New Roman" w:eastAsia="仿宋_GB2312" w:cs="Times New Roman"/>
          <w:b w:val="0"/>
          <w:spacing w:val="-4"/>
          <w:sz w:val="32"/>
          <w:szCs w:val="32"/>
          <w:highlight w:val="none"/>
        </w:rPr>
        <w:t>14520万元，实际完成值：13411.3万元，指标完成率100%；</w:t>
      </w:r>
    </w:p>
    <w:p w14:paraId="1C38D0CA">
      <w:pPr>
        <w:snapToGrid w:val="0"/>
        <w:spacing w:line="560" w:lineRule="exact"/>
        <w:ind w:firstLine="624" w:firstLineChars="200"/>
        <w:rPr>
          <w:rStyle w:val="14"/>
          <w:rFonts w:hint="default" w:ascii="Times New Roman" w:hAnsi="Times New Roman" w:eastAsia="仿宋_GB2312" w:cs="Times New Roman"/>
          <w:b w:val="0"/>
          <w:spacing w:val="-4"/>
          <w:sz w:val="32"/>
          <w:szCs w:val="32"/>
          <w:highlight w:val="none"/>
          <w:lang w:eastAsia="zh-CN"/>
        </w:rPr>
      </w:pPr>
      <w:r>
        <w:rPr>
          <w:rStyle w:val="14"/>
          <w:rFonts w:hint="default" w:ascii="Times New Roman" w:hAnsi="Times New Roman" w:eastAsia="仿宋_GB2312" w:cs="Times New Roman"/>
          <w:b w:val="0"/>
          <w:spacing w:val="-4"/>
          <w:sz w:val="32"/>
          <w:szCs w:val="32"/>
          <w:highlight w:val="none"/>
        </w:rPr>
        <w:t>指标3：专用设备购置费用，指标值：</w:t>
      </w:r>
      <w:r>
        <w:rPr>
          <w:rStyle w:val="14"/>
          <w:rFonts w:hint="default" w:ascii="Times New Roman" w:hAnsi="Times New Roman" w:eastAsia="仿宋_GB2312" w:cs="Times New Roman"/>
          <w:b w:val="0"/>
          <w:spacing w:val="-4"/>
          <w:sz w:val="32"/>
          <w:szCs w:val="32"/>
          <w:highlight w:val="none"/>
          <w:lang w:val="en-US" w:eastAsia="zh-CN"/>
        </w:rPr>
        <w:t>≤</w:t>
      </w:r>
      <w:r>
        <w:rPr>
          <w:rStyle w:val="14"/>
          <w:rFonts w:hint="default" w:ascii="Times New Roman" w:hAnsi="Times New Roman" w:eastAsia="仿宋_GB2312" w:cs="Times New Roman"/>
          <w:b w:val="0"/>
          <w:spacing w:val="-4"/>
          <w:sz w:val="32"/>
          <w:szCs w:val="32"/>
          <w:highlight w:val="none"/>
        </w:rPr>
        <w:t>1909万元，实际完成值：1881.69万元，指标完成率100%</w:t>
      </w:r>
      <w:r>
        <w:rPr>
          <w:rStyle w:val="14"/>
          <w:rFonts w:hint="default" w:ascii="Times New Roman" w:hAnsi="Times New Roman" w:eastAsia="仿宋_GB2312" w:cs="Times New Roman"/>
          <w:b w:val="0"/>
          <w:spacing w:val="-4"/>
          <w:sz w:val="32"/>
          <w:szCs w:val="32"/>
          <w:highlight w:val="none"/>
          <w:lang w:eastAsia="zh-CN"/>
        </w:rPr>
        <w:t>。</w:t>
      </w:r>
    </w:p>
    <w:p w14:paraId="20E37FC0">
      <w:pPr>
        <w:pStyle w:val="10"/>
        <w:numPr>
          <w:ilvl w:val="0"/>
          <w:numId w:val="6"/>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效益情况</w:t>
      </w:r>
    </w:p>
    <w:p w14:paraId="47B271C0">
      <w:pPr>
        <w:pStyle w:val="10"/>
        <w:numPr>
          <w:ilvl w:val="0"/>
          <w:numId w:val="0"/>
        </w:numPr>
        <w:spacing w:line="560" w:lineRule="exact"/>
        <w:ind w:firstLine="640" w:firstLineChars="200"/>
        <w:rPr>
          <w:rFonts w:hint="default" w:ascii="Times New Roman" w:hAnsi="Times New Roman" w:eastAsia="楷体_GB2312" w:cs="Times New Roman"/>
          <w:b/>
          <w:bCs/>
          <w:sz w:val="32"/>
          <w:szCs w:val="32"/>
          <w:highlight w:val="none"/>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项目效益类指标包括项目实施效益和满意度两方面的内容，由2个三级指标构成，权重分为20分，实际得分19.9分，得分率为99.5%。具体效益指标及满意度指标完成情况如下：</w:t>
      </w:r>
    </w:p>
    <w:p w14:paraId="4A95520A">
      <w:pPr>
        <w:spacing w:line="560" w:lineRule="exact"/>
        <w:ind w:firstLine="643" w:firstLineChars="200"/>
        <w:rPr>
          <w:rStyle w:val="16"/>
          <w:rFonts w:hint="default" w:ascii="Times New Roman" w:hAnsi="Times New Roman" w:cs="Times New Roman"/>
          <w:b/>
          <w:bCs/>
          <w:color w:val="auto"/>
          <w:highlight w:val="none"/>
        </w:rPr>
      </w:pPr>
      <w:r>
        <w:rPr>
          <w:rStyle w:val="16"/>
          <w:rFonts w:hint="default" w:ascii="Times New Roman" w:hAnsi="Times New Roman" w:cs="Times New Roman"/>
          <w:b/>
          <w:bCs/>
          <w:color w:val="auto"/>
          <w:highlight w:val="none"/>
        </w:rPr>
        <w:t>经济效益指标方面：</w:t>
      </w:r>
    </w:p>
    <w:p w14:paraId="6186BAE4">
      <w:pPr>
        <w:spacing w:line="560" w:lineRule="exact"/>
        <w:ind w:firstLine="640" w:firstLineChars="200"/>
        <w:rPr>
          <w:rStyle w:val="16"/>
          <w:rFonts w:hint="default" w:ascii="Times New Roman" w:hAnsi="Times New Roman" w:eastAsia="仿宋_GB2312" w:cs="Times New Roman"/>
          <w:color w:val="auto"/>
          <w:highlight w:val="none"/>
          <w:lang w:val="en-US" w:eastAsia="zh-CN"/>
        </w:rPr>
      </w:pPr>
      <w:r>
        <w:rPr>
          <w:rStyle w:val="16"/>
          <w:rFonts w:hint="default" w:ascii="Times New Roman" w:hAnsi="Times New Roman" w:cs="Times New Roman"/>
          <w:color w:val="auto"/>
          <w:highlight w:val="none"/>
        </w:rPr>
        <w:t>指标1：设备利用率（%），指标值：</w:t>
      </w:r>
      <w:r>
        <w:rPr>
          <w:rStyle w:val="16"/>
          <w:rFonts w:hint="default" w:ascii="Times New Roman" w:hAnsi="Times New Roman" w:eastAsia="仿宋_GB2312" w:cs="Times New Roman"/>
          <w:color w:val="auto"/>
          <w:highlight w:val="none"/>
          <w:lang w:val="en-US" w:eastAsia="zh-CN"/>
        </w:rPr>
        <w:t>≥</w:t>
      </w:r>
      <w:r>
        <w:rPr>
          <w:rStyle w:val="16"/>
          <w:rFonts w:hint="default" w:ascii="Times New Roman" w:hAnsi="Times New Roman" w:cs="Times New Roman"/>
          <w:color w:val="auto"/>
          <w:highlight w:val="none"/>
        </w:rPr>
        <w:t>90%，实际完成值：91%，指标完成率100%</w:t>
      </w:r>
      <w:r>
        <w:rPr>
          <w:rStyle w:val="16"/>
          <w:rFonts w:hint="default" w:ascii="Times New Roman" w:hAnsi="Times New Roman" w:eastAsia="仿宋_GB2312" w:cs="Times New Roman"/>
          <w:color w:val="auto"/>
          <w:highlight w:val="none"/>
          <w:lang w:eastAsia="zh-CN"/>
        </w:rPr>
        <w:t>。</w:t>
      </w:r>
    </w:p>
    <w:p w14:paraId="102F8950">
      <w:pPr>
        <w:spacing w:line="560" w:lineRule="exact"/>
        <w:ind w:firstLine="643" w:firstLineChars="200"/>
        <w:rPr>
          <w:rStyle w:val="16"/>
          <w:rFonts w:hint="default" w:ascii="Times New Roman" w:hAnsi="Times New Roman" w:cs="Times New Roman"/>
          <w:b/>
          <w:bCs/>
          <w:color w:val="auto"/>
          <w:highlight w:val="none"/>
        </w:rPr>
      </w:pPr>
      <w:r>
        <w:rPr>
          <w:rStyle w:val="16"/>
          <w:rFonts w:hint="default" w:ascii="Times New Roman" w:hAnsi="Times New Roman" w:cs="Times New Roman"/>
          <w:b/>
          <w:bCs/>
          <w:color w:val="auto"/>
          <w:highlight w:val="none"/>
        </w:rPr>
        <w:t>社会效益指标方面：</w:t>
      </w:r>
    </w:p>
    <w:p w14:paraId="04446481">
      <w:pPr>
        <w:spacing w:line="560" w:lineRule="exact"/>
        <w:ind w:firstLine="640" w:firstLineChars="200"/>
        <w:rPr>
          <w:rFonts w:hint="default" w:ascii="Times New Roman" w:hAnsi="Times New Roman" w:eastAsia="仿宋_GB2312" w:cs="Times New Roman"/>
          <w:highlight w:val="none"/>
          <w:lang w:eastAsia="zh-CN"/>
        </w:rPr>
      </w:pPr>
      <w:r>
        <w:rPr>
          <w:rStyle w:val="16"/>
          <w:rFonts w:hint="default" w:ascii="Times New Roman" w:hAnsi="Times New Roman" w:cs="Times New Roman"/>
          <w:color w:val="auto"/>
          <w:highlight w:val="none"/>
        </w:rPr>
        <w:t>指标1：保障单位正常运行，指标值：有效保障，实际完成值：有效保障，指标完成率100 %</w:t>
      </w:r>
      <w:r>
        <w:rPr>
          <w:rStyle w:val="16"/>
          <w:rFonts w:hint="default" w:ascii="Times New Roman" w:hAnsi="Times New Roman" w:eastAsia="仿宋_GB2312" w:cs="Times New Roman"/>
          <w:color w:val="auto"/>
          <w:highlight w:val="none"/>
          <w:lang w:eastAsia="zh-CN"/>
        </w:rPr>
        <w:t>。</w:t>
      </w:r>
    </w:p>
    <w:p w14:paraId="6C45F8AE">
      <w:pPr>
        <w:spacing w:line="560" w:lineRule="exact"/>
        <w:ind w:firstLine="643" w:firstLineChars="200"/>
        <w:rPr>
          <w:rStyle w:val="16"/>
          <w:rFonts w:hint="default" w:ascii="Times New Roman" w:hAnsi="Times New Roman" w:cs="Times New Roman"/>
          <w:b/>
          <w:bCs/>
          <w:color w:val="auto"/>
          <w:highlight w:val="none"/>
        </w:rPr>
      </w:pPr>
      <w:r>
        <w:rPr>
          <w:rStyle w:val="16"/>
          <w:rFonts w:hint="default" w:ascii="Times New Roman" w:hAnsi="Times New Roman" w:cs="Times New Roman"/>
          <w:b/>
          <w:bCs/>
          <w:color w:val="auto"/>
          <w:highlight w:val="none"/>
        </w:rPr>
        <w:t>满意度指标方面：</w:t>
      </w:r>
    </w:p>
    <w:p w14:paraId="33627B1D">
      <w:pPr>
        <w:pageBreakBefore w:val="0"/>
        <w:kinsoku/>
        <w:wordWrap/>
        <w:overflowPunct/>
        <w:topLinePunct w:val="0"/>
        <w:autoSpaceDE/>
        <w:autoSpaceDN/>
        <w:bidi w:val="0"/>
        <w:adjustRightInd/>
        <w:snapToGrid/>
        <w:spacing w:line="540" w:lineRule="exact"/>
        <w:ind w:left="0" w:leftChars="0" w:firstLine="624" w:firstLineChars="200"/>
        <w:jc w:val="both"/>
        <w:textAlignment w:val="auto"/>
        <w:rPr>
          <w:rStyle w:val="14"/>
          <w:rFonts w:hint="default" w:ascii="Times New Roman" w:hAnsi="Times New Roman" w:eastAsia="仿宋_GB2312" w:cs="Times New Roman"/>
          <w:b w:val="0"/>
          <w:spacing w:val="-4"/>
          <w:sz w:val="32"/>
          <w:szCs w:val="32"/>
          <w:highlight w:val="none"/>
        </w:rPr>
      </w:pPr>
      <w:r>
        <w:rPr>
          <w:rStyle w:val="14"/>
          <w:rFonts w:hint="default" w:ascii="Times New Roman" w:hAnsi="Times New Roman" w:eastAsia="仿宋_GB2312" w:cs="Times New Roman"/>
          <w:b w:val="0"/>
          <w:spacing w:val="-4"/>
          <w:sz w:val="32"/>
          <w:szCs w:val="32"/>
          <w:highlight w:val="none"/>
        </w:rPr>
        <w:t>指标1：医务人员满意度，指标值：</w:t>
      </w:r>
      <w:r>
        <w:rPr>
          <w:rStyle w:val="16"/>
          <w:rFonts w:hint="default" w:ascii="Times New Roman" w:hAnsi="Times New Roman" w:eastAsia="仿宋_GB2312" w:cs="Times New Roman"/>
          <w:color w:val="auto"/>
          <w:highlight w:val="none"/>
          <w:lang w:val="en-US" w:eastAsia="zh-CN"/>
        </w:rPr>
        <w:t>≥</w:t>
      </w:r>
      <w:r>
        <w:rPr>
          <w:rStyle w:val="14"/>
          <w:rFonts w:hint="default" w:ascii="Times New Roman" w:hAnsi="Times New Roman" w:eastAsia="仿宋_GB2312" w:cs="Times New Roman"/>
          <w:b w:val="0"/>
          <w:spacing w:val="-4"/>
          <w:sz w:val="32"/>
          <w:szCs w:val="32"/>
          <w:highlight w:val="none"/>
        </w:rPr>
        <w:t>85%，实际完成值：84.16%，指标完成率99 %，偏差原因：</w:t>
      </w:r>
      <w:r>
        <w:rPr>
          <w:rStyle w:val="16"/>
          <w:rFonts w:hint="default" w:ascii="Times New Roman" w:hAnsi="Times New Roman" w:eastAsia="仿宋_GB2312" w:cs="Times New Roman"/>
          <w:color w:val="auto"/>
          <w:highlight w:val="none"/>
          <w:lang w:eastAsia="zh-CN"/>
        </w:rPr>
        <w:t>医院</w:t>
      </w:r>
      <w:r>
        <w:rPr>
          <w:rStyle w:val="16"/>
          <w:rFonts w:hint="default" w:ascii="Times New Roman" w:hAnsi="Times New Roman" w:eastAsia="仿宋_GB2312" w:cs="Times New Roman"/>
          <w:color w:val="auto"/>
          <w:highlight w:val="none"/>
          <w:lang w:val="en-US" w:eastAsia="zh-CN"/>
        </w:rPr>
        <w:t>正处于建设阶段</w:t>
      </w:r>
      <w:r>
        <w:rPr>
          <w:rStyle w:val="16"/>
          <w:rFonts w:hint="default" w:ascii="Times New Roman" w:hAnsi="Times New Roman" w:eastAsia="仿宋_GB2312" w:cs="Times New Roman"/>
          <w:color w:val="auto"/>
          <w:highlight w:val="none"/>
          <w:lang w:eastAsia="zh-CN"/>
        </w:rPr>
        <w:t>，</w:t>
      </w:r>
      <w:r>
        <w:rPr>
          <w:rStyle w:val="16"/>
          <w:rFonts w:hint="default" w:ascii="Times New Roman" w:hAnsi="Times New Roman" w:eastAsia="仿宋_GB2312" w:cs="Times New Roman"/>
          <w:color w:val="auto"/>
          <w:highlight w:val="none"/>
          <w:lang w:val="en-US" w:eastAsia="zh-CN"/>
        </w:rPr>
        <w:t>工作环境和条件有限，</w:t>
      </w:r>
      <w:r>
        <w:rPr>
          <w:rStyle w:val="16"/>
          <w:rFonts w:hint="default" w:ascii="Times New Roman" w:hAnsi="Times New Roman" w:eastAsia="仿宋_GB2312" w:cs="Times New Roman"/>
          <w:color w:val="auto"/>
          <w:highlight w:val="none"/>
          <w:lang w:eastAsia="zh-CN"/>
        </w:rPr>
        <w:t>职工满意度</w:t>
      </w:r>
      <w:r>
        <w:rPr>
          <w:rStyle w:val="16"/>
          <w:rFonts w:hint="default" w:ascii="Times New Roman" w:hAnsi="Times New Roman" w:eastAsia="仿宋_GB2312" w:cs="Times New Roman"/>
          <w:color w:val="auto"/>
          <w:highlight w:val="none"/>
          <w:lang w:val="en-US" w:eastAsia="zh-CN"/>
        </w:rPr>
        <w:t>降</w:t>
      </w:r>
      <w:r>
        <w:rPr>
          <w:rStyle w:val="16"/>
          <w:rFonts w:hint="default" w:ascii="Times New Roman" w:hAnsi="Times New Roman" w:eastAsia="仿宋_GB2312" w:cs="Times New Roman"/>
          <w:color w:val="auto"/>
          <w:highlight w:val="none"/>
          <w:lang w:eastAsia="zh-CN"/>
        </w:rPr>
        <w:t>低。</w:t>
      </w:r>
    </w:p>
    <w:p w14:paraId="48A7F2BC">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五、预算执行进度与绩效指标总体完成率偏差</w:t>
      </w:r>
    </w:p>
    <w:p w14:paraId="61E2D410">
      <w:pPr>
        <w:pStyle w:val="4"/>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政府采购项目预算20007.73万元，到位</w:t>
      </w:r>
      <w:r>
        <w:rPr>
          <w:rFonts w:hint="default" w:ascii="Times New Roman" w:hAnsi="Times New Roman" w:eastAsia="仿宋_GB2312" w:cs="Times New Roman"/>
          <w:sz w:val="32"/>
          <w:szCs w:val="32"/>
          <w:highlight w:val="none"/>
          <w:lang w:val="en-US" w:eastAsia="zh-CN"/>
        </w:rPr>
        <w:t>20007.73</w:t>
      </w:r>
      <w:r>
        <w:rPr>
          <w:rFonts w:hint="default" w:ascii="Times New Roman" w:hAnsi="Times New Roman" w:eastAsia="仿宋_GB2312" w:cs="Times New Roman"/>
          <w:sz w:val="32"/>
          <w:szCs w:val="32"/>
          <w:highlight w:val="none"/>
        </w:rPr>
        <w:t>万元，实际支出18721.6万元，预算执行率为93.57%，项目绩效指标总体完成率为</w:t>
      </w:r>
      <w:r>
        <w:rPr>
          <w:rFonts w:hint="default" w:ascii="Times New Roman" w:hAnsi="Times New Roman" w:eastAsia="仿宋_GB2312" w:cs="Times New Roman"/>
          <w:sz w:val="32"/>
          <w:szCs w:val="32"/>
          <w:highlight w:val="none"/>
          <w:lang w:val="en-US" w:eastAsia="zh-CN"/>
        </w:rPr>
        <w:t>86.41</w:t>
      </w:r>
      <w:r>
        <w:rPr>
          <w:rFonts w:hint="default" w:ascii="Times New Roman" w:hAnsi="Times New Roman" w:eastAsia="仿宋_GB2312" w:cs="Times New Roman"/>
          <w:sz w:val="32"/>
          <w:szCs w:val="32"/>
          <w:highlight w:val="none"/>
        </w:rPr>
        <w:t>%，总体偏差率为</w:t>
      </w:r>
      <w:r>
        <w:rPr>
          <w:rFonts w:hint="default" w:ascii="Times New Roman" w:hAnsi="Times New Roman" w:eastAsia="仿宋_GB2312" w:cs="Times New Roman"/>
          <w:sz w:val="32"/>
          <w:szCs w:val="32"/>
          <w:highlight w:val="none"/>
          <w:lang w:val="en-US" w:eastAsia="zh-CN"/>
        </w:rPr>
        <w:t>7.16</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偏差原因是信息建设、工程改造总体完成率不高，改进措施是提升政府采购效率，根据执行周期合理安排预算下达，科学、精准地编制政府采购预算</w:t>
      </w:r>
      <w:r>
        <w:rPr>
          <w:rFonts w:hint="default" w:ascii="Times New Roman" w:hAnsi="Times New Roman" w:eastAsia="仿宋_GB2312" w:cs="Times New Roman"/>
          <w:sz w:val="32"/>
          <w:szCs w:val="32"/>
          <w:highlight w:val="none"/>
        </w:rPr>
        <w:t>。</w:t>
      </w:r>
    </w:p>
    <w:p w14:paraId="6B30039D">
      <w:pPr>
        <w:pStyle w:val="4"/>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六、主要经验及做法、存在的问题及原因分析</w:t>
      </w:r>
    </w:p>
    <w:p w14:paraId="0BA610D5">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2677736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1D24B50">
      <w:pPr>
        <w:pStyle w:val="2"/>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DC96B39">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6657F73C">
      <w:pPr>
        <w:pStyle w:val="2"/>
        <w:spacing w:before="0" w:after="0" w:line="560" w:lineRule="exact"/>
        <w:ind w:firstLine="640" w:firstLineChars="200"/>
        <w:jc w:val="both"/>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本项目2023年度无存在的问题。</w:t>
      </w:r>
    </w:p>
    <w:p w14:paraId="562313D7">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七、有关建议</w:t>
      </w:r>
    </w:p>
    <w:p w14:paraId="30306896">
      <w:pPr>
        <w:spacing w:line="54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进一步加强对绩效管理工作的组织领导，提高对预算绩效管理工作重要性的认识，总结经验查找问题，抓紧研究制定更全面更完善的绩效评价管理办法。结合项目考核建立绩效工作考核制度，加大全局对全面实施预算绩效管理和绩效管理工作的学习力度，让“花钱必问效，无效必问责”的理念深入工作每个环节。</w:t>
      </w:r>
    </w:p>
    <w:p w14:paraId="733B0736">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八、其他需要说</w:t>
      </w:r>
      <w:bookmarkStart w:id="7" w:name="page8"/>
      <w:bookmarkEnd w:id="7"/>
      <w:r>
        <w:rPr>
          <w:rFonts w:hint="default" w:ascii="Times New Roman" w:hAnsi="Times New Roman" w:eastAsia="黑体" w:cs="Times New Roman"/>
          <w:sz w:val="32"/>
          <w:szCs w:val="32"/>
          <w:highlight w:val="none"/>
        </w:rPr>
        <w:t>明的问题</w:t>
      </w:r>
    </w:p>
    <w:p w14:paraId="108205EE">
      <w:pPr>
        <w:pStyle w:val="11"/>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本项目无其他需说明的问题。</w:t>
      </w:r>
    </w:p>
    <w:p w14:paraId="681B1E8C">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748E61CC">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1362DDB2">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6F84F614">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688694EF">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42981269">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4BE35E0A">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789C8D8F">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413AF1D7">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272A0D28">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0DBD74BD">
      <w:pPr>
        <w:pStyle w:val="11"/>
        <w:spacing w:after="0" w:line="560" w:lineRule="exact"/>
        <w:ind w:left="0" w:leftChars="0" w:firstLine="640"/>
        <w:rPr>
          <w:rFonts w:hint="default" w:ascii="Times New Roman" w:hAnsi="Times New Roman" w:eastAsia="仿宋_GB2312" w:cs="Times New Roman"/>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5"/>
        <w:gridCol w:w="529"/>
        <w:gridCol w:w="557"/>
        <w:gridCol w:w="1025"/>
        <w:gridCol w:w="1006"/>
        <w:gridCol w:w="1041"/>
        <w:gridCol w:w="1041"/>
        <w:gridCol w:w="756"/>
        <w:gridCol w:w="698"/>
        <w:gridCol w:w="523"/>
        <w:gridCol w:w="983"/>
        <w:gridCol w:w="543"/>
        <w:gridCol w:w="460"/>
        <w:gridCol w:w="4427"/>
      </w:tblGrid>
      <w:tr w14:paraId="117F5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0" w:type="auto"/>
            <w:gridSpan w:val="14"/>
            <w:tcBorders>
              <w:top w:val="nil"/>
              <w:left w:val="nil"/>
              <w:bottom w:val="nil"/>
              <w:right w:val="nil"/>
            </w:tcBorders>
            <w:shd w:val="clear" w:color="auto" w:fill="auto"/>
            <w:vAlign w:val="center"/>
          </w:tcPr>
          <w:p w14:paraId="35338E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AF9C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B66F4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p>
        </w:tc>
      </w:tr>
      <w:tr w14:paraId="63E8D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8040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0" w:type="auto"/>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EAF34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新疆维吾尔自治区儿童医院政府采购项目</w:t>
            </w:r>
          </w:p>
        </w:tc>
      </w:tr>
      <w:tr w14:paraId="51774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FD4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D956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6D24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1538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新疆维吾尔自治区儿童医院</w:t>
            </w:r>
          </w:p>
        </w:tc>
      </w:tr>
      <w:tr w14:paraId="4FB3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F07A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450C5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9BE4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11C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C960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904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97F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5DCC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6AFD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3D30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7D7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68F7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20007.73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3FD3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20007.73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C2C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18721.60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7ABE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90C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93.57%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70C0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9.36分</w:t>
            </w:r>
          </w:p>
        </w:tc>
      </w:tr>
      <w:tr w14:paraId="77DFD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72CD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453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6767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A7EA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7D2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A26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EB1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B5F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3D55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D13C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DB70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4574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20007.73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D74C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20007.73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9E5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bookmarkStart w:id="8" w:name="OLE_LINK2"/>
            <w:r>
              <w:rPr>
                <w:rFonts w:hint="eastAsia" w:ascii="宋体" w:hAnsi="宋体" w:eastAsia="宋体" w:cs="宋体"/>
                <w:i w:val="0"/>
                <w:iCs w:val="0"/>
                <w:color w:val="000000"/>
                <w:kern w:val="0"/>
                <w:sz w:val="18"/>
                <w:szCs w:val="18"/>
                <w:u w:val="none"/>
                <w:lang w:val="en-US" w:eastAsia="zh-CN" w:bidi="ar"/>
              </w:rPr>
              <w:t>18721.60</w:t>
            </w:r>
            <w:bookmarkEnd w:id="8"/>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AC3E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17AE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94E7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E483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32A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B8A5A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2A68A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D6CE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ACD6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3D03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1.进一步加强对绩效管理工作，提高对预算绩效管理工作重要性的认识，不断提高管理效率和投入产出效能。2.为患者提供优质服务，提升患者满意度。</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71FCD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本项目总投资20007.73万元，其他资金20007.73万元。项目实际支出18721.60万元， </w:t>
            </w:r>
            <w:r>
              <w:rPr>
                <w:rFonts w:hint="eastAsia" w:ascii="宋体" w:hAnsi="宋体" w:cs="宋体"/>
                <w:i w:val="0"/>
                <w:iCs w:val="0"/>
                <w:color w:val="000000"/>
                <w:kern w:val="0"/>
                <w:sz w:val="18"/>
                <w:szCs w:val="18"/>
                <w:u w:val="none"/>
                <w:lang w:val="en-US" w:eastAsia="zh-CN" w:bidi="ar"/>
              </w:rPr>
              <w:t>执行</w:t>
            </w:r>
            <w:r>
              <w:rPr>
                <w:rFonts w:hint="eastAsia" w:ascii="宋体" w:hAnsi="宋体" w:eastAsia="宋体" w:cs="宋体"/>
                <w:i w:val="0"/>
                <w:iCs w:val="0"/>
                <w:color w:val="000000"/>
                <w:kern w:val="0"/>
                <w:sz w:val="18"/>
                <w:szCs w:val="18"/>
                <w:u w:val="none"/>
                <w:lang w:val="en-US" w:eastAsia="zh-CN" w:bidi="ar"/>
              </w:rPr>
              <w:t>率为</w:t>
            </w:r>
            <w:r>
              <w:rPr>
                <w:rFonts w:hint="eastAsia" w:ascii="宋体" w:hAnsi="宋体" w:cs="宋体"/>
                <w:i w:val="0"/>
                <w:iCs w:val="0"/>
                <w:color w:val="000000"/>
                <w:kern w:val="0"/>
                <w:sz w:val="18"/>
                <w:szCs w:val="18"/>
                <w:u w:val="none"/>
                <w:lang w:val="en-US" w:eastAsia="zh-CN" w:bidi="ar"/>
              </w:rPr>
              <w:t>93.57</w:t>
            </w:r>
            <w:r>
              <w:rPr>
                <w:rFonts w:hint="eastAsia" w:ascii="宋体" w:hAnsi="宋体" w:eastAsia="宋体" w:cs="宋体"/>
                <w:i w:val="0"/>
                <w:iCs w:val="0"/>
                <w:color w:val="000000"/>
                <w:kern w:val="0"/>
                <w:sz w:val="18"/>
                <w:szCs w:val="18"/>
                <w:u w:val="none"/>
                <w:lang w:val="en-US" w:eastAsia="zh-CN" w:bidi="ar"/>
              </w:rPr>
              <w:t>%。</w:t>
            </w:r>
          </w:p>
        </w:tc>
      </w:tr>
      <w:tr w14:paraId="20EF3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0CD9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FEBA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0C4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3C52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A93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626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B1F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38B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828D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EE0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DDE7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5C4F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7F1E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245D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630AD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882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9CDD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90A4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AAA0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EEA9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6CAA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93EE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F639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1516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B1A8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D26A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442F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264A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7F11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r>
      <w:tr w14:paraId="5689B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1CDA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089C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CBAB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A7F3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药品及卫生材料及其他材料数量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419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F064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0EB9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B6B8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B625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30C8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F86D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625B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189C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30217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52261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875F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175D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3D9D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13D4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专用设备购置数量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6618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B58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3A89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0EA9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8998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2033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7927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A90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2DC8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71704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60A0E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1BE4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DE3C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48C1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E598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信息网络及软件购置数量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AF78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0820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DA70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C7CC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6A0F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C157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4DEF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8C21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D5A6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E776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信息中心在2022年10月填报的2023年度政府采购预算填报表（集中采购目录内）中，包含了电子病历无纸化、应对医保支付改革信息化建设项目（DRG）以及院感手机端软件3个项目。在今年执行中，由于电子病历无纸化项目在相关会议中讨论时存在疑问，因故取消采购。应对医保支付改革信息化建设项目（DRG）由于在2023年中铁建与杭州创业签订的最新软件合同中有类似功能模块，故取消该项目。院感手机端软件项目由于相关科室未提交会议纪要，因此按照项目归口科室管理的相关规定，取消对此项目的采购。</w:t>
            </w:r>
          </w:p>
          <w:p w14:paraId="20CBDD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2023年度政府采购预算填报表（分散采购限额标准以上）中，包含无线输液系统、新生儿及儿童智能急救系统以及接入交换机采购。其中，无线输液系统由于新楼未启用，无法进行相关参数、楼层、数量及详细功能的确定，因此取消该项目。截至目前，新生儿及儿童智能急救系统，一直未经自治区科技厅获批，故取消该项目。接入交换机因已使用财政项目预算进行采购并执行。</w:t>
            </w:r>
          </w:p>
        </w:tc>
      </w:tr>
      <w:tr w14:paraId="6C033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5E5A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158D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A2B8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25EE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E783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8E29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=43064平方米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5894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=43064平方米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49EA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DAF0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89BA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D0DB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43064平方米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188C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9E0A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617E5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326EC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6FC1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7938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F0A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2870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修缮工程验收合格率（%）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183D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4612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898E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AABF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0D33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7508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97CC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63DF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2BC8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587CD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6E606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6176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F248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BEA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5E75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设备购置验收入库合格率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C6A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D30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0AD2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4F6D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1619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83B8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4FF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2A64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E7D7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DE2C7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307E4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BC1A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79C7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4582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7698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资金支付准确率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3997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FC36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15EF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4AC1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7631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C415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DFD0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1A88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BA8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0C7DC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49625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FA5A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DE45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BCC3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A817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74E9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461C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1B78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ABEC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3553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80DE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F103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2411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518E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A1688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33ABF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56EF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932E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6E70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048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药品及卫生材料及其他材料费用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CB07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4619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&lt;=14520万元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FF97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=13411.3万元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A302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5938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B554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0AD3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11091.51万元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C038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44E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FCC98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1B76E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C6C9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EC79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8378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075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专用设备购置费用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12B3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A88E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&lt;=1909万元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81B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=1881.69万元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2599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4190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03F7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D470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3854.48万元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413A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307C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43ED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06285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1B84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E336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9D6F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43B9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零星工程修缮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091B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718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&lt;=707.50万元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80A4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=75.62万元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649D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4983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79BC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B80A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39.65万元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0B17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4395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F969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按照总承包单位编制的进度计划，国家儿童区域医疗中心建设项目原定于2023年7月30日完工。因2号楼竣工时间调整，影响1号楼搬迁进度，大型施工改造项目不具备施工条件，造成施工改造项目滞后。</w:t>
            </w:r>
          </w:p>
        </w:tc>
      </w:tr>
      <w:tr w14:paraId="0AD8C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BD8E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74F5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A38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5463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设备利用率（%）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BE91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39DB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728E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4615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2655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C45C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BC48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B680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B6D1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C9669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79B0D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238F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56C3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D30A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D089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保障单位正常运行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8721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4809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CABF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67C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1CC5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0D29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230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700D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9413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C377E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14:paraId="69487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1A2A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EB18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050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DAC3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医务人员满意度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5520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353F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2136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0E07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E09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57D1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86E3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4E84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86E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4A2F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医院持续提升医务人员满意度。</w:t>
            </w:r>
          </w:p>
        </w:tc>
      </w:tr>
      <w:tr w14:paraId="79EA5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gridSpan w:val="4"/>
            <w:tcBorders>
              <w:top w:val="single" w:color="000000" w:sz="4" w:space="0"/>
              <w:left w:val="single" w:color="000000" w:sz="4" w:space="0"/>
              <w:bottom w:val="single" w:color="000000" w:sz="4" w:space="0"/>
              <w:right w:val="nil"/>
            </w:tcBorders>
            <w:shd w:val="clear" w:color="auto" w:fill="auto"/>
            <w:vAlign w:val="center"/>
          </w:tcPr>
          <w:p w14:paraId="05A2B1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A26A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nil"/>
              <w:bottom w:val="single" w:color="000000" w:sz="4" w:space="0"/>
              <w:right w:val="single" w:color="000000" w:sz="4" w:space="0"/>
            </w:tcBorders>
            <w:shd w:val="clear" w:color="auto" w:fill="auto"/>
            <w:vAlign w:val="center"/>
          </w:tcPr>
          <w:p w14:paraId="3067A379">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D1D18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ED2E0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0AD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88.11分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765342">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AD3E0D">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19C3C1">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A9B6FA">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60AE27">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r>
    </w:tbl>
    <w:p w14:paraId="3459801B">
      <w:pPr>
        <w:pStyle w:val="11"/>
        <w:spacing w:after="0" w:line="560" w:lineRule="exact"/>
        <w:ind w:left="0" w:leftChars="0" w:firstLine="0" w:firstLineChars="0"/>
        <w:rPr>
          <w:rFonts w:hint="default" w:ascii="Times New Roman" w:hAnsi="Times New Roman" w:eastAsia="仿宋_GB2312" w:cs="Times New Roman"/>
          <w:sz w:val="32"/>
          <w:szCs w:val="32"/>
          <w:highlight w:val="none"/>
        </w:rPr>
        <w:sectPr>
          <w:pgSz w:w="16838" w:h="11906" w:orient="landscape"/>
          <w:pgMar w:top="1800" w:right="1440" w:bottom="1558" w:left="1440" w:header="851" w:footer="992" w:gutter="0"/>
          <w:cols w:space="425" w:num="1"/>
          <w:docGrid w:type="lines" w:linePitch="312" w:charSpace="0"/>
        </w:sectPr>
      </w:pPr>
    </w:p>
    <w:p w14:paraId="5B9CF332">
      <w:pPr>
        <w:spacing w:line="600" w:lineRule="exact"/>
        <w:rPr>
          <w:rFonts w:hint="default" w:ascii="Times New Roman" w:hAnsi="Times New Roman" w:cs="Times New Roman"/>
          <w:bCs/>
          <w:sz w:val="32"/>
          <w:szCs w:val="32"/>
          <w:highlight w:val="none"/>
        </w:rPr>
      </w:pPr>
      <w:r>
        <w:rPr>
          <w:rFonts w:hint="default" w:ascii="Times New Roman" w:hAnsi="Times New Roman" w:cs="Times New Roman"/>
          <w:bCs/>
          <w:sz w:val="32"/>
          <w:szCs w:val="32"/>
          <w:highlight w:val="none"/>
        </w:rPr>
        <w:t>附件1</w:t>
      </w:r>
    </w:p>
    <w:tbl>
      <w:tblPr>
        <w:tblStyle w:val="1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14:paraId="2C4461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14:paraId="2B7D340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一级指标</w:t>
            </w:r>
          </w:p>
        </w:tc>
        <w:tc>
          <w:tcPr>
            <w:tcW w:w="767" w:type="dxa"/>
            <w:shd w:val="clear" w:color="auto" w:fill="FFFFFF"/>
            <w:vAlign w:val="center"/>
          </w:tcPr>
          <w:p w14:paraId="04962FB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二级指标</w:t>
            </w:r>
          </w:p>
        </w:tc>
        <w:tc>
          <w:tcPr>
            <w:tcW w:w="873" w:type="dxa"/>
            <w:shd w:val="clear" w:color="auto" w:fill="FFFFFF"/>
            <w:vAlign w:val="center"/>
          </w:tcPr>
          <w:p w14:paraId="2A289BF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三级指标</w:t>
            </w:r>
          </w:p>
        </w:tc>
        <w:tc>
          <w:tcPr>
            <w:tcW w:w="2353" w:type="dxa"/>
            <w:shd w:val="clear" w:color="auto" w:fill="FFFFFF"/>
            <w:vAlign w:val="center"/>
          </w:tcPr>
          <w:p w14:paraId="2450F1B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指标解释</w:t>
            </w:r>
          </w:p>
        </w:tc>
        <w:tc>
          <w:tcPr>
            <w:tcW w:w="5188" w:type="dxa"/>
            <w:shd w:val="clear" w:color="auto" w:fill="FFFFFF"/>
            <w:vAlign w:val="center"/>
          </w:tcPr>
          <w:p w14:paraId="39A9A3E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指标说明</w:t>
            </w:r>
          </w:p>
        </w:tc>
        <w:tc>
          <w:tcPr>
            <w:tcW w:w="1300" w:type="dxa"/>
            <w:shd w:val="clear" w:color="auto" w:fill="FFFFFF"/>
            <w:vAlign w:val="center"/>
          </w:tcPr>
          <w:p w14:paraId="4A01EF9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权重</w:t>
            </w:r>
          </w:p>
        </w:tc>
        <w:tc>
          <w:tcPr>
            <w:tcW w:w="1363" w:type="dxa"/>
            <w:shd w:val="clear" w:color="auto" w:fill="FFFFFF"/>
            <w:vAlign w:val="center"/>
          </w:tcPr>
          <w:p w14:paraId="213B140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得分</w:t>
            </w:r>
          </w:p>
        </w:tc>
      </w:tr>
      <w:tr w14:paraId="6BDD8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9" w:type="dxa"/>
            <w:vMerge w:val="restart"/>
            <w:shd w:val="clear" w:color="auto" w:fill="FFFFFF"/>
            <w:vAlign w:val="center"/>
          </w:tcPr>
          <w:p w14:paraId="5D27E51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决策　</w:t>
            </w:r>
          </w:p>
          <w:p w14:paraId="1883021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　</w:t>
            </w:r>
          </w:p>
          <w:p w14:paraId="22FFE6D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　</w:t>
            </w:r>
          </w:p>
        </w:tc>
        <w:tc>
          <w:tcPr>
            <w:tcW w:w="767" w:type="dxa"/>
            <w:vMerge w:val="restart"/>
            <w:shd w:val="clear" w:color="auto" w:fill="FFFFFF"/>
            <w:vAlign w:val="center"/>
          </w:tcPr>
          <w:p w14:paraId="5D9BC4F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项目立项　</w:t>
            </w:r>
          </w:p>
        </w:tc>
        <w:tc>
          <w:tcPr>
            <w:tcW w:w="873" w:type="dxa"/>
            <w:shd w:val="clear" w:color="auto" w:fill="FFFFFF"/>
            <w:vAlign w:val="center"/>
          </w:tcPr>
          <w:p w14:paraId="66D718F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立项依据</w:t>
            </w:r>
          </w:p>
          <w:p w14:paraId="1519BB5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充分性</w:t>
            </w:r>
          </w:p>
        </w:tc>
        <w:tc>
          <w:tcPr>
            <w:tcW w:w="2353" w:type="dxa"/>
            <w:shd w:val="clear" w:color="auto" w:fill="FFFFFF"/>
            <w:vAlign w:val="center"/>
          </w:tcPr>
          <w:p w14:paraId="13D92318">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项目立项是否符合法律法规、相关政策、发展规划以及部门职责，用以反映和考核项目立项依据情况。</w:t>
            </w:r>
          </w:p>
        </w:tc>
        <w:tc>
          <w:tcPr>
            <w:tcW w:w="5188" w:type="dxa"/>
            <w:shd w:val="clear" w:color="auto" w:fill="FFFFFF"/>
            <w:vAlign w:val="center"/>
          </w:tcPr>
          <w:p w14:paraId="49D320E5">
            <w:pPr>
              <w:keepNext w:val="0"/>
              <w:keepLines w:val="0"/>
              <w:widowControl/>
              <w:suppressLineNumbers w:val="0"/>
              <w:spacing w:before="0" w:beforeAutospacing="0" w:after="0" w:afterAutospacing="0" w:line="0" w:lineRule="atLeast"/>
              <w:ind w:left="0" w:right="0"/>
              <w:jc w:val="left"/>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评价要点：</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①项目立项是否符合国家法律法规、国民经济发展规划和相关政策；</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②项目立项是否符合行业发展规划和政策要求；</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③项目立项是否与部门职责范围相符，属于部门履职所需；</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④项目是否属于公共财政支持范围，是否符合中央、地方事权支出责任划分原则；</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⑤项目是否与相关部门同类项目或部门内部相关项目重复。</w:t>
            </w:r>
          </w:p>
        </w:tc>
        <w:tc>
          <w:tcPr>
            <w:tcW w:w="1300" w:type="dxa"/>
            <w:shd w:val="clear" w:color="auto" w:fill="FFFFFF"/>
            <w:vAlign w:val="center"/>
          </w:tcPr>
          <w:p w14:paraId="3D15056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3</w:t>
            </w:r>
          </w:p>
        </w:tc>
        <w:tc>
          <w:tcPr>
            <w:tcW w:w="1363" w:type="dxa"/>
            <w:shd w:val="clear" w:color="auto" w:fill="FFFFFF"/>
            <w:vAlign w:val="center"/>
          </w:tcPr>
          <w:p w14:paraId="5D9953E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2.7</w:t>
            </w:r>
          </w:p>
        </w:tc>
      </w:tr>
      <w:tr w14:paraId="4B74D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14:paraId="17AE403F">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vMerge w:val="continue"/>
            <w:shd w:val="clear" w:color="auto" w:fill="FFFFFF"/>
            <w:vAlign w:val="center"/>
          </w:tcPr>
          <w:p w14:paraId="592D7DC8">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73" w:type="dxa"/>
            <w:shd w:val="clear" w:color="auto" w:fill="FFFFFF"/>
            <w:vAlign w:val="center"/>
          </w:tcPr>
          <w:p w14:paraId="3EF683C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立项程序</w:t>
            </w:r>
          </w:p>
          <w:p w14:paraId="7813AE2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规范性</w:t>
            </w:r>
          </w:p>
        </w:tc>
        <w:tc>
          <w:tcPr>
            <w:tcW w:w="2353" w:type="dxa"/>
            <w:shd w:val="clear" w:color="auto" w:fill="FFFFFF"/>
            <w:vAlign w:val="center"/>
          </w:tcPr>
          <w:p w14:paraId="7487377F">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项目申请、设立过程是否符合相关要求，用以反映和考核项目立项的规范情况。</w:t>
            </w:r>
          </w:p>
        </w:tc>
        <w:tc>
          <w:tcPr>
            <w:tcW w:w="5188" w:type="dxa"/>
            <w:shd w:val="clear" w:color="auto" w:fill="FFFFFF"/>
            <w:vAlign w:val="center"/>
          </w:tcPr>
          <w:p w14:paraId="2F5318B3">
            <w:pPr>
              <w:keepNext w:val="0"/>
              <w:keepLines w:val="0"/>
              <w:widowControl/>
              <w:suppressLineNumbers w:val="0"/>
              <w:spacing w:before="0" w:beforeAutospacing="0" w:after="0" w:afterAutospacing="0" w:line="0" w:lineRule="atLeast"/>
              <w:ind w:left="0" w:right="0"/>
              <w:jc w:val="left"/>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评价要点：</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①项目是否按照规定的程序申请设立；</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②审批文件、材料是否符合相关要求；</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③事前是否已经过必要的可行性研究、专家论证、风险评估、绩效评估、集体决策。</w:t>
            </w:r>
          </w:p>
        </w:tc>
        <w:tc>
          <w:tcPr>
            <w:tcW w:w="1300" w:type="dxa"/>
            <w:shd w:val="clear" w:color="auto" w:fill="FFFFFF"/>
            <w:vAlign w:val="center"/>
          </w:tcPr>
          <w:p w14:paraId="4DB90F6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3</w:t>
            </w:r>
          </w:p>
        </w:tc>
        <w:tc>
          <w:tcPr>
            <w:tcW w:w="1363" w:type="dxa"/>
            <w:shd w:val="clear" w:color="auto" w:fill="FFFFFF"/>
            <w:vAlign w:val="center"/>
          </w:tcPr>
          <w:p w14:paraId="474AF06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2.7</w:t>
            </w:r>
          </w:p>
        </w:tc>
      </w:tr>
      <w:tr w14:paraId="09C72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14:paraId="2F3304EE">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shd w:val="clear" w:color="auto" w:fill="FFFFFF"/>
            <w:vAlign w:val="center"/>
          </w:tcPr>
          <w:p w14:paraId="7D410B0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绩效目标　</w:t>
            </w:r>
          </w:p>
        </w:tc>
        <w:tc>
          <w:tcPr>
            <w:tcW w:w="873" w:type="dxa"/>
            <w:shd w:val="clear" w:color="auto" w:fill="FFFFFF"/>
            <w:vAlign w:val="center"/>
          </w:tcPr>
          <w:p w14:paraId="530890F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绩效目标</w:t>
            </w:r>
          </w:p>
          <w:p w14:paraId="6022D1B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合理性</w:t>
            </w:r>
          </w:p>
        </w:tc>
        <w:tc>
          <w:tcPr>
            <w:tcW w:w="2353" w:type="dxa"/>
            <w:shd w:val="clear" w:color="000000" w:fill="FFFFFF"/>
            <w:vAlign w:val="center"/>
          </w:tcPr>
          <w:p w14:paraId="0A0E1EB2">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vAlign w:val="center"/>
          </w:tcPr>
          <w:p w14:paraId="29FCF7E3">
            <w:pPr>
              <w:keepNext w:val="0"/>
              <w:keepLines w:val="0"/>
              <w:widowControl/>
              <w:suppressLineNumbers w:val="0"/>
              <w:spacing w:before="0" w:beforeAutospacing="0" w:after="0" w:afterAutospacing="0" w:line="0" w:lineRule="atLeast"/>
              <w:ind w:left="0" w:right="0"/>
              <w:jc w:val="left"/>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评价要点：</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（如未设定预算绩效目标，也可考核其他工作任务目标）</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①项目是否有绩效目标；</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②项目绩效目标与实际工作内容是否具有相关性；</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③项目预期产出效益和效果是否符合正常的业绩水平；</w:t>
            </w:r>
          </w:p>
          <w:p w14:paraId="615817F6">
            <w:pPr>
              <w:keepNext w:val="0"/>
              <w:keepLines w:val="0"/>
              <w:widowControl/>
              <w:suppressLineNumbers w:val="0"/>
              <w:spacing w:before="0" w:beforeAutospacing="0" w:after="0" w:afterAutospacing="0" w:line="0" w:lineRule="atLeast"/>
              <w:ind w:left="0" w:right="0"/>
              <w:jc w:val="left"/>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④是否与预算确定的项目投资额或资金量相匹配。</w:t>
            </w:r>
          </w:p>
        </w:tc>
        <w:tc>
          <w:tcPr>
            <w:tcW w:w="1300" w:type="dxa"/>
            <w:shd w:val="clear" w:color="000000" w:fill="FFFFFF"/>
            <w:vAlign w:val="center"/>
          </w:tcPr>
          <w:p w14:paraId="0419617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3</w:t>
            </w:r>
          </w:p>
        </w:tc>
        <w:tc>
          <w:tcPr>
            <w:tcW w:w="1363" w:type="dxa"/>
            <w:shd w:val="clear" w:color="000000" w:fill="FFFFFF"/>
            <w:vAlign w:val="center"/>
          </w:tcPr>
          <w:p w14:paraId="413A569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2.4</w:t>
            </w:r>
          </w:p>
        </w:tc>
      </w:tr>
      <w:tr w14:paraId="60DD36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14:paraId="2DACE12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决策　</w:t>
            </w:r>
          </w:p>
        </w:tc>
        <w:tc>
          <w:tcPr>
            <w:tcW w:w="767" w:type="dxa"/>
            <w:shd w:val="clear" w:color="auto" w:fill="FFFFFF"/>
            <w:vAlign w:val="center"/>
          </w:tcPr>
          <w:p w14:paraId="451F6AB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绩效目标</w:t>
            </w:r>
          </w:p>
        </w:tc>
        <w:tc>
          <w:tcPr>
            <w:tcW w:w="873" w:type="dxa"/>
            <w:shd w:val="clear" w:color="auto" w:fill="FFFFFF"/>
            <w:vAlign w:val="center"/>
          </w:tcPr>
          <w:p w14:paraId="4E8E27A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绩效指标</w:t>
            </w:r>
          </w:p>
          <w:p w14:paraId="1D4EC0B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明确性</w:t>
            </w:r>
          </w:p>
        </w:tc>
        <w:tc>
          <w:tcPr>
            <w:tcW w:w="2353" w:type="dxa"/>
            <w:shd w:val="clear" w:color="000000" w:fill="FFFFFF"/>
            <w:vAlign w:val="center"/>
          </w:tcPr>
          <w:p w14:paraId="31F0D04E">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依据绩效目标设定的绩效指标是否清晰、细化、可衡量等，用以反映和考核项目绩效目标的明细化情况。</w:t>
            </w:r>
          </w:p>
        </w:tc>
        <w:tc>
          <w:tcPr>
            <w:tcW w:w="5188" w:type="dxa"/>
            <w:shd w:val="clear" w:color="000000" w:fill="FFFFFF"/>
            <w:vAlign w:val="center"/>
          </w:tcPr>
          <w:p w14:paraId="00126EA8">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评价要点：</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①是否将项目绩效目标细化分解为具体的绩效指标；</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②是否通过清晰、可衡量的指标值予以体现；</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③是否与项目目标任务数或计划数相对应。</w:t>
            </w:r>
            <w:r>
              <w:rPr>
                <w:rFonts w:hint="default" w:ascii="Times New Roman" w:hAnsi="Times New Roman" w:cs="Times New Roman"/>
                <w:kern w:val="0"/>
                <w:sz w:val="22"/>
                <w:szCs w:val="22"/>
                <w:highlight w:val="none"/>
              </w:rPr>
              <w:br w:type="textWrapping"/>
            </w:r>
          </w:p>
        </w:tc>
        <w:tc>
          <w:tcPr>
            <w:tcW w:w="1300" w:type="dxa"/>
            <w:shd w:val="clear" w:color="000000" w:fill="FFFFFF"/>
            <w:vAlign w:val="center"/>
          </w:tcPr>
          <w:p w14:paraId="2500CAA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3</w:t>
            </w:r>
          </w:p>
        </w:tc>
        <w:tc>
          <w:tcPr>
            <w:tcW w:w="1363" w:type="dxa"/>
            <w:shd w:val="clear" w:color="000000" w:fill="FFFFFF"/>
            <w:vAlign w:val="center"/>
          </w:tcPr>
          <w:p w14:paraId="3BC9026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2.4</w:t>
            </w:r>
          </w:p>
        </w:tc>
      </w:tr>
      <w:tr w14:paraId="05273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14:paraId="0D774B1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vMerge w:val="restart"/>
            <w:shd w:val="clear" w:color="auto" w:fill="FFFFFF"/>
            <w:vAlign w:val="center"/>
          </w:tcPr>
          <w:p w14:paraId="429C7C9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资金投入</w:t>
            </w:r>
          </w:p>
          <w:p w14:paraId="5C7A1F03">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　</w:t>
            </w:r>
          </w:p>
        </w:tc>
        <w:tc>
          <w:tcPr>
            <w:tcW w:w="873" w:type="dxa"/>
            <w:shd w:val="clear" w:color="auto" w:fill="FFFFFF"/>
            <w:vAlign w:val="center"/>
          </w:tcPr>
          <w:p w14:paraId="03BE2F3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预算编制</w:t>
            </w:r>
          </w:p>
          <w:p w14:paraId="7CC39D3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科学性</w:t>
            </w:r>
          </w:p>
        </w:tc>
        <w:tc>
          <w:tcPr>
            <w:tcW w:w="2353" w:type="dxa"/>
            <w:shd w:val="clear" w:color="auto" w:fill="FFFFFF"/>
            <w:vAlign w:val="center"/>
          </w:tcPr>
          <w:p w14:paraId="3C8DE645">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14:paraId="22A00DB0">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评价要点：</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①预算编制是否经过科学论证；</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②预算内容与项目内容是否匹配；</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③预算额度测算依据是否充分，是否按照标准编制；</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④预算确定的项目投资额或资金量是否与工作任务相匹配。</w:t>
            </w:r>
          </w:p>
        </w:tc>
        <w:tc>
          <w:tcPr>
            <w:tcW w:w="1300" w:type="dxa"/>
            <w:shd w:val="clear" w:color="auto" w:fill="FFFFFF"/>
            <w:vAlign w:val="center"/>
          </w:tcPr>
          <w:p w14:paraId="058C572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c>
          <w:tcPr>
            <w:tcW w:w="1363" w:type="dxa"/>
            <w:shd w:val="clear" w:color="auto" w:fill="FFFFFF"/>
            <w:vAlign w:val="center"/>
          </w:tcPr>
          <w:p w14:paraId="0910C7E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3.2</w:t>
            </w:r>
          </w:p>
        </w:tc>
      </w:tr>
      <w:tr w14:paraId="239C3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14:paraId="134FD50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vMerge w:val="continue"/>
            <w:shd w:val="clear" w:color="auto" w:fill="FFFFFF"/>
            <w:vAlign w:val="center"/>
          </w:tcPr>
          <w:p w14:paraId="628BFCC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73" w:type="dxa"/>
            <w:shd w:val="clear" w:color="auto" w:fill="FFFFFF"/>
            <w:vAlign w:val="center"/>
          </w:tcPr>
          <w:p w14:paraId="40777EC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资金分配</w:t>
            </w:r>
          </w:p>
          <w:p w14:paraId="5713026B">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合理性</w:t>
            </w:r>
          </w:p>
        </w:tc>
        <w:tc>
          <w:tcPr>
            <w:tcW w:w="2353" w:type="dxa"/>
            <w:shd w:val="clear" w:color="auto" w:fill="FFFFFF"/>
            <w:vAlign w:val="center"/>
          </w:tcPr>
          <w:p w14:paraId="606405F6">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14:paraId="3DD6FE00">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评价要点：</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①预算资金分配依据是否充分；</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②资金分配额度是否合理，与项目单位或地方实际是否相适应。</w:t>
            </w:r>
          </w:p>
        </w:tc>
        <w:tc>
          <w:tcPr>
            <w:tcW w:w="1300" w:type="dxa"/>
            <w:shd w:val="clear" w:color="auto" w:fill="FFFFFF"/>
            <w:vAlign w:val="center"/>
          </w:tcPr>
          <w:p w14:paraId="6BA321B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c>
          <w:tcPr>
            <w:tcW w:w="1363" w:type="dxa"/>
            <w:shd w:val="clear" w:color="auto" w:fill="FFFFFF"/>
            <w:vAlign w:val="center"/>
          </w:tcPr>
          <w:p w14:paraId="5B58C30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3.2</w:t>
            </w:r>
          </w:p>
        </w:tc>
      </w:tr>
      <w:tr w14:paraId="657A5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14:paraId="16ECDDAA">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过程</w:t>
            </w:r>
          </w:p>
        </w:tc>
        <w:tc>
          <w:tcPr>
            <w:tcW w:w="767" w:type="dxa"/>
            <w:vMerge w:val="restart"/>
            <w:shd w:val="clear" w:color="auto" w:fill="FFFFFF"/>
            <w:vAlign w:val="center"/>
          </w:tcPr>
          <w:p w14:paraId="18FC2A6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资金管理</w:t>
            </w:r>
          </w:p>
        </w:tc>
        <w:tc>
          <w:tcPr>
            <w:tcW w:w="873" w:type="dxa"/>
            <w:shd w:val="clear" w:color="auto" w:fill="FFFFFF"/>
            <w:vAlign w:val="center"/>
          </w:tcPr>
          <w:p w14:paraId="727B3D1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资金到位率</w:t>
            </w:r>
          </w:p>
        </w:tc>
        <w:tc>
          <w:tcPr>
            <w:tcW w:w="2353" w:type="dxa"/>
            <w:shd w:val="clear" w:color="000000" w:fill="FFFFFF"/>
            <w:vAlign w:val="center"/>
          </w:tcPr>
          <w:p w14:paraId="3820C6BF">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实际到位资金与预算资金的比率，用以反映和考核资金落实情况对项目实施的总体保障程度。</w:t>
            </w:r>
          </w:p>
        </w:tc>
        <w:tc>
          <w:tcPr>
            <w:tcW w:w="5188" w:type="dxa"/>
            <w:shd w:val="clear" w:color="000000" w:fill="FFFFFF"/>
            <w:vAlign w:val="center"/>
          </w:tcPr>
          <w:p w14:paraId="08EC1CCB">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资金到位率=（实际到位资金/预算资金）×100%。</w:t>
            </w:r>
          </w:p>
          <w:p w14:paraId="1EEC687C">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实际到位资金：一定时期（本年度或项目期）内落实到具体项目的资金。</w:t>
            </w:r>
          </w:p>
          <w:p w14:paraId="59FBE97D">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预算资金：一定时期（本年度或项目期）内预算安排到具体项目的资金。</w:t>
            </w:r>
          </w:p>
        </w:tc>
        <w:tc>
          <w:tcPr>
            <w:tcW w:w="1300" w:type="dxa"/>
            <w:shd w:val="clear" w:color="000000" w:fill="FFFFFF"/>
            <w:vAlign w:val="center"/>
          </w:tcPr>
          <w:p w14:paraId="615EF65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c>
          <w:tcPr>
            <w:tcW w:w="1363" w:type="dxa"/>
            <w:shd w:val="clear" w:color="000000" w:fill="FFFFFF"/>
            <w:vAlign w:val="center"/>
          </w:tcPr>
          <w:p w14:paraId="618F8DC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r>
      <w:tr w14:paraId="21706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14:paraId="44AD61DB">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vMerge w:val="continue"/>
            <w:shd w:val="clear" w:color="auto" w:fill="FFFFFF"/>
            <w:vAlign w:val="center"/>
          </w:tcPr>
          <w:p w14:paraId="530BE69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73" w:type="dxa"/>
            <w:shd w:val="clear" w:color="auto" w:fill="FFFFFF"/>
            <w:vAlign w:val="center"/>
          </w:tcPr>
          <w:p w14:paraId="105F6BC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预算执行率</w:t>
            </w:r>
          </w:p>
        </w:tc>
        <w:tc>
          <w:tcPr>
            <w:tcW w:w="2353" w:type="dxa"/>
            <w:shd w:val="clear" w:color="auto" w:fill="FFFFFF"/>
            <w:vAlign w:val="center"/>
          </w:tcPr>
          <w:p w14:paraId="411240B1">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项目预算资金是否按照计划执行，用以反映或考核项目预算执行情况。</w:t>
            </w:r>
          </w:p>
        </w:tc>
        <w:tc>
          <w:tcPr>
            <w:tcW w:w="5188" w:type="dxa"/>
            <w:shd w:val="clear" w:color="auto" w:fill="FFFFFF"/>
            <w:vAlign w:val="center"/>
          </w:tcPr>
          <w:p w14:paraId="1F52DC96">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预算执行率=（实际支出资金/实际到位资金）×100%。</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实际支出资金：一定时期（本年度或项目期）内项目实际拨付的资金。</w:t>
            </w:r>
          </w:p>
        </w:tc>
        <w:tc>
          <w:tcPr>
            <w:tcW w:w="1300" w:type="dxa"/>
            <w:shd w:val="clear" w:color="auto" w:fill="FFFFFF"/>
            <w:vAlign w:val="center"/>
          </w:tcPr>
          <w:p w14:paraId="3F6529F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c>
          <w:tcPr>
            <w:tcW w:w="1363" w:type="dxa"/>
            <w:shd w:val="clear" w:color="auto" w:fill="FFFFFF"/>
            <w:vAlign w:val="center"/>
          </w:tcPr>
          <w:p w14:paraId="216FADB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r>
      <w:tr w14:paraId="4F85FD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14:paraId="4CE474E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　</w:t>
            </w:r>
          </w:p>
          <w:p w14:paraId="415B5FEC">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过程　</w:t>
            </w:r>
          </w:p>
        </w:tc>
        <w:tc>
          <w:tcPr>
            <w:tcW w:w="767" w:type="dxa"/>
            <w:shd w:val="clear" w:color="auto" w:fill="FFFFFF"/>
            <w:vAlign w:val="center"/>
          </w:tcPr>
          <w:p w14:paraId="33B2951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资金管理</w:t>
            </w:r>
          </w:p>
        </w:tc>
        <w:tc>
          <w:tcPr>
            <w:tcW w:w="873" w:type="dxa"/>
            <w:shd w:val="clear" w:color="auto" w:fill="FFFFFF"/>
            <w:vAlign w:val="center"/>
          </w:tcPr>
          <w:p w14:paraId="0507CEE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资金使用</w:t>
            </w:r>
          </w:p>
          <w:p w14:paraId="08B4091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合规性</w:t>
            </w:r>
          </w:p>
        </w:tc>
        <w:tc>
          <w:tcPr>
            <w:tcW w:w="2353" w:type="dxa"/>
            <w:shd w:val="clear" w:color="000000" w:fill="FFFFFF"/>
            <w:vAlign w:val="center"/>
          </w:tcPr>
          <w:p w14:paraId="34944906">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项目资金使用是否符合相关的财务管理制度规定，用以反映和考核项目资金的规范运行情况。</w:t>
            </w:r>
          </w:p>
        </w:tc>
        <w:tc>
          <w:tcPr>
            <w:tcW w:w="5188" w:type="dxa"/>
            <w:shd w:val="clear" w:color="000000" w:fill="FFFFFF"/>
            <w:vAlign w:val="center"/>
          </w:tcPr>
          <w:p w14:paraId="1CD7DA52">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评价要点：</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①是否符合国家财经法规和财务管理制度以及有关专项资金管理办法的规定；</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②资金的拨付是否有完整的审批程序和手续；</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③是否符合项目预算批复或合同规定的用途；</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④是否存在截留、挤占、挪用、虚列支出等情况。</w:t>
            </w:r>
          </w:p>
        </w:tc>
        <w:tc>
          <w:tcPr>
            <w:tcW w:w="1300" w:type="dxa"/>
            <w:shd w:val="clear" w:color="000000" w:fill="FFFFFF"/>
            <w:vAlign w:val="center"/>
          </w:tcPr>
          <w:p w14:paraId="62CF6F16">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c>
          <w:tcPr>
            <w:tcW w:w="1363" w:type="dxa"/>
            <w:shd w:val="clear" w:color="000000" w:fill="FFFFFF"/>
            <w:vAlign w:val="center"/>
          </w:tcPr>
          <w:p w14:paraId="67BC01D3">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r>
      <w:tr w14:paraId="00322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14:paraId="099C2920">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vMerge w:val="restart"/>
            <w:shd w:val="clear" w:color="auto" w:fill="FFFFFF"/>
            <w:vAlign w:val="center"/>
          </w:tcPr>
          <w:p w14:paraId="46D4B66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组织实施</w:t>
            </w:r>
          </w:p>
          <w:p w14:paraId="247F1DF9">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　</w:t>
            </w:r>
          </w:p>
        </w:tc>
        <w:tc>
          <w:tcPr>
            <w:tcW w:w="873" w:type="dxa"/>
            <w:shd w:val="clear" w:color="auto" w:fill="FFFFFF"/>
            <w:vAlign w:val="center"/>
          </w:tcPr>
          <w:p w14:paraId="16C5289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管理制度</w:t>
            </w:r>
          </w:p>
          <w:p w14:paraId="6F7B5C6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健全性</w:t>
            </w:r>
          </w:p>
        </w:tc>
        <w:tc>
          <w:tcPr>
            <w:tcW w:w="2353" w:type="dxa"/>
            <w:shd w:val="clear" w:color="000000" w:fill="FFFFFF"/>
            <w:vAlign w:val="center"/>
          </w:tcPr>
          <w:p w14:paraId="58F14BE4">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vAlign w:val="center"/>
          </w:tcPr>
          <w:p w14:paraId="04BCF11C">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评价要点：</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①是否已制定或具有相应的财务和业务管理制度；</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②财务和业务管理制度是否合法、合规、完整。</w:t>
            </w:r>
          </w:p>
        </w:tc>
        <w:tc>
          <w:tcPr>
            <w:tcW w:w="1300" w:type="dxa"/>
            <w:shd w:val="clear" w:color="000000" w:fill="FFFFFF"/>
            <w:vAlign w:val="center"/>
          </w:tcPr>
          <w:p w14:paraId="0A06E535">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c>
          <w:tcPr>
            <w:tcW w:w="1363" w:type="dxa"/>
            <w:shd w:val="clear" w:color="000000" w:fill="FFFFFF"/>
            <w:vAlign w:val="center"/>
          </w:tcPr>
          <w:p w14:paraId="5D58352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r>
      <w:tr w14:paraId="2D05C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14:paraId="65A35EA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vMerge w:val="continue"/>
            <w:shd w:val="clear" w:color="auto" w:fill="FFFFFF"/>
            <w:vAlign w:val="center"/>
          </w:tcPr>
          <w:p w14:paraId="221CDAD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73" w:type="dxa"/>
            <w:shd w:val="clear" w:color="auto" w:fill="FFFFFF"/>
            <w:vAlign w:val="center"/>
          </w:tcPr>
          <w:p w14:paraId="2C268F7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制度执行</w:t>
            </w:r>
          </w:p>
          <w:p w14:paraId="1833E8A4">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有效性</w:t>
            </w:r>
          </w:p>
        </w:tc>
        <w:tc>
          <w:tcPr>
            <w:tcW w:w="2353" w:type="dxa"/>
            <w:shd w:val="clear" w:color="000000" w:fill="FFFFFF"/>
            <w:vAlign w:val="center"/>
          </w:tcPr>
          <w:p w14:paraId="6273A31A">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项目实施是否符合相关管理规定，用以反映和考核相关管理制度的有效执行情况。</w:t>
            </w:r>
          </w:p>
        </w:tc>
        <w:tc>
          <w:tcPr>
            <w:tcW w:w="5188" w:type="dxa"/>
            <w:shd w:val="clear" w:color="000000" w:fill="FFFFFF"/>
            <w:vAlign w:val="center"/>
          </w:tcPr>
          <w:p w14:paraId="0CE93C50">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评价要点：</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①是否遵守相关法律法规和相关管理规定；</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②项目调整及支出调整手续是否完备；</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③项目合同书、验收报告、技术鉴定等资料是否齐全并及时归档；</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④项目实施的人员条件、场地设备、信息支撑等是否落实到位。</w:t>
            </w:r>
          </w:p>
        </w:tc>
        <w:tc>
          <w:tcPr>
            <w:tcW w:w="1300" w:type="dxa"/>
            <w:shd w:val="clear" w:color="000000" w:fill="FFFFFF"/>
            <w:vAlign w:val="center"/>
          </w:tcPr>
          <w:p w14:paraId="5D98FBC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c>
          <w:tcPr>
            <w:tcW w:w="1363" w:type="dxa"/>
            <w:shd w:val="clear" w:color="000000" w:fill="FFFFFF"/>
            <w:vAlign w:val="center"/>
          </w:tcPr>
          <w:p w14:paraId="0396FD8C">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4</w:t>
            </w:r>
          </w:p>
        </w:tc>
      </w:tr>
      <w:tr w14:paraId="2159E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14:paraId="0A3E427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w:t>
            </w:r>
          </w:p>
        </w:tc>
        <w:tc>
          <w:tcPr>
            <w:tcW w:w="767" w:type="dxa"/>
            <w:shd w:val="clear" w:color="auto" w:fill="FFFFFF"/>
            <w:vAlign w:val="center"/>
          </w:tcPr>
          <w:p w14:paraId="413FBE8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产出数量</w:t>
            </w:r>
          </w:p>
        </w:tc>
        <w:tc>
          <w:tcPr>
            <w:tcW w:w="873" w:type="dxa"/>
            <w:shd w:val="clear" w:color="auto" w:fill="FFFFFF"/>
            <w:vAlign w:val="center"/>
          </w:tcPr>
          <w:p w14:paraId="70ABCB0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实际完成率</w:t>
            </w:r>
          </w:p>
        </w:tc>
        <w:tc>
          <w:tcPr>
            <w:tcW w:w="2353" w:type="dxa"/>
            <w:shd w:val="clear" w:color="000000" w:fill="FFFFFF"/>
            <w:vAlign w:val="center"/>
          </w:tcPr>
          <w:p w14:paraId="1ACB147F">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项目实施的实际产出数与计划产出数的比率，用以反映和考核项目产出数量目标的实现程度。</w:t>
            </w:r>
          </w:p>
        </w:tc>
        <w:tc>
          <w:tcPr>
            <w:tcW w:w="5188" w:type="dxa"/>
            <w:shd w:val="clear" w:color="000000" w:fill="FFFFFF"/>
            <w:vAlign w:val="center"/>
          </w:tcPr>
          <w:p w14:paraId="6518387B">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实际完成率=（实际产出数/计划产出数）×100%。</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实际产出数：一定时期（本年度或项目期）内项目实际产出的产品或提供的服务数量。</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14:paraId="3D256F08">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10</w:t>
            </w:r>
          </w:p>
        </w:tc>
        <w:tc>
          <w:tcPr>
            <w:tcW w:w="1363" w:type="dxa"/>
            <w:shd w:val="clear" w:color="000000" w:fill="FFFFFF"/>
            <w:vAlign w:val="center"/>
          </w:tcPr>
          <w:p w14:paraId="6BA481F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8</w:t>
            </w:r>
          </w:p>
        </w:tc>
      </w:tr>
      <w:tr w14:paraId="774540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14:paraId="6A50ECE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w:t>
            </w:r>
          </w:p>
        </w:tc>
        <w:tc>
          <w:tcPr>
            <w:tcW w:w="767" w:type="dxa"/>
            <w:shd w:val="clear" w:color="auto" w:fill="FFFFFF"/>
            <w:vAlign w:val="center"/>
          </w:tcPr>
          <w:p w14:paraId="1E13E8E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产出质量</w:t>
            </w:r>
          </w:p>
        </w:tc>
        <w:tc>
          <w:tcPr>
            <w:tcW w:w="873" w:type="dxa"/>
            <w:shd w:val="clear" w:color="auto" w:fill="FFFFFF"/>
            <w:vAlign w:val="center"/>
          </w:tcPr>
          <w:p w14:paraId="2389FA4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质量达标率</w:t>
            </w:r>
          </w:p>
        </w:tc>
        <w:tc>
          <w:tcPr>
            <w:tcW w:w="2353" w:type="dxa"/>
            <w:shd w:val="clear" w:color="000000" w:fill="FFFFFF"/>
            <w:vAlign w:val="center"/>
          </w:tcPr>
          <w:p w14:paraId="2BC0B209">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项目完成的质量达标产出数与实际产出数的比率，用以反映和考核项目产出质量目标的实现程度。</w:t>
            </w:r>
          </w:p>
        </w:tc>
        <w:tc>
          <w:tcPr>
            <w:tcW w:w="5188" w:type="dxa"/>
            <w:shd w:val="clear" w:color="000000" w:fill="FFFFFF"/>
            <w:vAlign w:val="center"/>
          </w:tcPr>
          <w:p w14:paraId="5C471965">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质量达标率=（质量达标产出数/实际产出数）×100%。</w:t>
            </w:r>
          </w:p>
          <w:p w14:paraId="16B40F9A">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003D0C4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10</w:t>
            </w:r>
          </w:p>
        </w:tc>
        <w:tc>
          <w:tcPr>
            <w:tcW w:w="1363" w:type="dxa"/>
            <w:shd w:val="clear" w:color="000000" w:fill="FFFFFF"/>
            <w:vAlign w:val="center"/>
          </w:tcPr>
          <w:p w14:paraId="238F0191">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10</w:t>
            </w:r>
          </w:p>
        </w:tc>
      </w:tr>
      <w:tr w14:paraId="1F2BA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14:paraId="11E89637">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shd w:val="clear" w:color="auto" w:fill="FFFFFF"/>
            <w:vAlign w:val="center"/>
          </w:tcPr>
          <w:p w14:paraId="4B035F12">
            <w:pPr>
              <w:keepNext w:val="0"/>
              <w:keepLines w:val="0"/>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产出时效</w:t>
            </w:r>
          </w:p>
        </w:tc>
        <w:tc>
          <w:tcPr>
            <w:tcW w:w="873" w:type="dxa"/>
            <w:shd w:val="clear" w:color="auto" w:fill="FFFFFF"/>
            <w:vAlign w:val="center"/>
          </w:tcPr>
          <w:p w14:paraId="2B14704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完成及时性</w:t>
            </w:r>
          </w:p>
        </w:tc>
        <w:tc>
          <w:tcPr>
            <w:tcW w:w="2353" w:type="dxa"/>
            <w:shd w:val="clear" w:color="000000" w:fill="FFFFFF"/>
            <w:vAlign w:val="center"/>
          </w:tcPr>
          <w:p w14:paraId="090476FA">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项目实际完成时间与计划完成时间的比较，用以反映和考核项目产出时效目标的实现程度。</w:t>
            </w:r>
          </w:p>
        </w:tc>
        <w:tc>
          <w:tcPr>
            <w:tcW w:w="5188" w:type="dxa"/>
            <w:shd w:val="clear" w:color="000000" w:fill="FFFFFF"/>
            <w:vAlign w:val="center"/>
          </w:tcPr>
          <w:p w14:paraId="56195C7D">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实际完成时间：项目实施单位完成该项目实际所耗用的时间。</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计划完成时间：按照项目实施计划或相关规定完成该项目所需的时间。</w:t>
            </w:r>
          </w:p>
        </w:tc>
        <w:tc>
          <w:tcPr>
            <w:tcW w:w="1300" w:type="dxa"/>
            <w:shd w:val="clear" w:color="000000" w:fill="FFFFFF"/>
            <w:vAlign w:val="center"/>
          </w:tcPr>
          <w:p w14:paraId="3FAE3CE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10</w:t>
            </w:r>
          </w:p>
        </w:tc>
        <w:tc>
          <w:tcPr>
            <w:tcW w:w="1363" w:type="dxa"/>
            <w:shd w:val="clear" w:color="000000" w:fill="FFFFFF"/>
            <w:vAlign w:val="center"/>
          </w:tcPr>
          <w:p w14:paraId="71525D3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8</w:t>
            </w:r>
          </w:p>
        </w:tc>
      </w:tr>
      <w:tr w14:paraId="3E331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14:paraId="21D6C202">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shd w:val="clear" w:color="auto" w:fill="FFFFFF"/>
            <w:vAlign w:val="center"/>
          </w:tcPr>
          <w:p w14:paraId="33348E2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产出成本</w:t>
            </w:r>
          </w:p>
        </w:tc>
        <w:tc>
          <w:tcPr>
            <w:tcW w:w="873" w:type="dxa"/>
            <w:shd w:val="clear" w:color="auto" w:fill="FFFFFF"/>
            <w:vAlign w:val="center"/>
          </w:tcPr>
          <w:p w14:paraId="2158FF5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成本节约率</w:t>
            </w:r>
          </w:p>
        </w:tc>
        <w:tc>
          <w:tcPr>
            <w:tcW w:w="2353" w:type="dxa"/>
            <w:shd w:val="clear" w:color="000000" w:fill="FFFFFF"/>
            <w:vAlign w:val="center"/>
          </w:tcPr>
          <w:p w14:paraId="3F34AE75">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完成项目计划工作目标的实际节约成本与计划成本的比率，用以反映和考核项目的成本节约程度。</w:t>
            </w:r>
          </w:p>
        </w:tc>
        <w:tc>
          <w:tcPr>
            <w:tcW w:w="5188" w:type="dxa"/>
            <w:shd w:val="clear" w:color="000000" w:fill="FFFFFF"/>
            <w:vAlign w:val="center"/>
          </w:tcPr>
          <w:p w14:paraId="12EADDED">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成本节约率=[（计划成本-实际成本）/计划成本]×100%。</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实际成本：项目实施单位如期、保质、保量完成既定工作目标实际所耗费的支出。</w:t>
            </w:r>
            <w:r>
              <w:rPr>
                <w:rFonts w:hint="default" w:ascii="Times New Roman" w:hAnsi="Times New Roman" w:cs="Times New Roman"/>
                <w:kern w:val="0"/>
                <w:sz w:val="22"/>
                <w:szCs w:val="22"/>
                <w:highlight w:val="none"/>
              </w:rPr>
              <w:br w:type="textWrapping"/>
            </w:r>
            <w:r>
              <w:rPr>
                <w:rFonts w:hint="default" w:ascii="Times New Roman" w:hAnsi="Times New Roman" w:cs="Times New Roman"/>
                <w:kern w:val="0"/>
                <w:sz w:val="22"/>
                <w:szCs w:val="22"/>
                <w:highlight w:val="none"/>
              </w:rPr>
              <w:t>计划成本：项目实施单位为完成工作目标计划安排的支出，一般以项目预算为参考。</w:t>
            </w:r>
          </w:p>
        </w:tc>
        <w:tc>
          <w:tcPr>
            <w:tcW w:w="1300" w:type="dxa"/>
            <w:shd w:val="clear" w:color="000000" w:fill="FFFFFF"/>
            <w:vAlign w:val="center"/>
          </w:tcPr>
          <w:p w14:paraId="1A0622FA">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10</w:t>
            </w:r>
          </w:p>
        </w:tc>
        <w:tc>
          <w:tcPr>
            <w:tcW w:w="1363" w:type="dxa"/>
            <w:shd w:val="clear" w:color="000000" w:fill="FFFFFF"/>
            <w:vAlign w:val="center"/>
          </w:tcPr>
          <w:p w14:paraId="2FABCFF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9</w:t>
            </w:r>
          </w:p>
        </w:tc>
      </w:tr>
      <w:tr w14:paraId="3C685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14:paraId="0A7670F9">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效益　</w:t>
            </w:r>
          </w:p>
        </w:tc>
        <w:tc>
          <w:tcPr>
            <w:tcW w:w="767" w:type="dxa"/>
            <w:vMerge w:val="restart"/>
            <w:shd w:val="clear" w:color="auto" w:fill="FFFFFF"/>
            <w:vAlign w:val="center"/>
          </w:tcPr>
          <w:p w14:paraId="6BCFE36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项目效益　</w:t>
            </w:r>
          </w:p>
        </w:tc>
        <w:tc>
          <w:tcPr>
            <w:tcW w:w="873" w:type="dxa"/>
            <w:shd w:val="clear" w:color="auto" w:fill="FFFFFF"/>
            <w:vAlign w:val="center"/>
          </w:tcPr>
          <w:p w14:paraId="7500D52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实施效益</w:t>
            </w:r>
          </w:p>
        </w:tc>
        <w:tc>
          <w:tcPr>
            <w:tcW w:w="2353" w:type="dxa"/>
            <w:shd w:val="clear" w:color="auto" w:fill="FFFFFF"/>
            <w:vAlign w:val="center"/>
          </w:tcPr>
          <w:p w14:paraId="519D224C">
            <w:pPr>
              <w:keepNext w:val="0"/>
              <w:keepLines w:val="0"/>
              <w:widowControl/>
              <w:suppressLineNumbers w:val="0"/>
              <w:spacing w:before="0" w:beforeAutospacing="0" w:after="0" w:afterAutospacing="0" w:line="0" w:lineRule="atLeast"/>
              <w:ind w:left="0" w:right="0"/>
              <w:jc w:val="left"/>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项目实施所产生的效益。</w:t>
            </w:r>
          </w:p>
        </w:tc>
        <w:tc>
          <w:tcPr>
            <w:tcW w:w="5188" w:type="dxa"/>
            <w:shd w:val="clear" w:color="auto" w:fill="FFFFFF"/>
            <w:vAlign w:val="center"/>
          </w:tcPr>
          <w:p w14:paraId="10A7DEA9">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14:paraId="74F207AD">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10</w:t>
            </w:r>
          </w:p>
        </w:tc>
        <w:tc>
          <w:tcPr>
            <w:tcW w:w="1363" w:type="dxa"/>
            <w:shd w:val="clear" w:color="auto" w:fill="FFFFFF"/>
            <w:vAlign w:val="center"/>
          </w:tcPr>
          <w:p w14:paraId="755488E8">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10</w:t>
            </w:r>
          </w:p>
        </w:tc>
      </w:tr>
      <w:tr w14:paraId="26729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14:paraId="429214D7">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767" w:type="dxa"/>
            <w:vMerge w:val="continue"/>
            <w:shd w:val="clear" w:color="auto" w:fill="FFFFFF"/>
            <w:vAlign w:val="center"/>
          </w:tcPr>
          <w:p w14:paraId="6EF43CD8">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p>
        </w:tc>
        <w:tc>
          <w:tcPr>
            <w:tcW w:w="873" w:type="dxa"/>
            <w:shd w:val="clear" w:color="auto" w:fill="FFFFFF"/>
            <w:vAlign w:val="center"/>
          </w:tcPr>
          <w:p w14:paraId="373F1D1E">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满意度</w:t>
            </w:r>
          </w:p>
        </w:tc>
        <w:tc>
          <w:tcPr>
            <w:tcW w:w="2353" w:type="dxa"/>
            <w:shd w:val="clear" w:color="000000" w:fill="FFFFFF"/>
            <w:vAlign w:val="center"/>
          </w:tcPr>
          <w:p w14:paraId="6309DE89">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社会公众或服务对象对项目实施效果的满意程度。</w:t>
            </w:r>
          </w:p>
        </w:tc>
        <w:tc>
          <w:tcPr>
            <w:tcW w:w="5188" w:type="dxa"/>
            <w:shd w:val="clear" w:color="000000" w:fill="FFFFFF"/>
            <w:vAlign w:val="center"/>
          </w:tcPr>
          <w:p w14:paraId="1570ADAD">
            <w:pPr>
              <w:keepNext w:val="0"/>
              <w:keepLines w:val="0"/>
              <w:widowControl/>
              <w:suppressLineNumbers w:val="0"/>
              <w:spacing w:before="0" w:beforeAutospacing="0" w:after="0" w:afterAutospacing="0" w:line="0" w:lineRule="atLeast"/>
              <w:ind w:left="0" w:right="0"/>
              <w:rPr>
                <w:rFonts w:hint="default" w:ascii="Times New Roman" w:hAnsi="Times New Roman" w:cs="Times New Roman"/>
                <w:kern w:val="0"/>
                <w:sz w:val="22"/>
                <w:szCs w:val="22"/>
                <w:highlight w:val="none"/>
              </w:rPr>
            </w:pPr>
            <w:r>
              <w:rPr>
                <w:rFonts w:hint="default" w:ascii="Times New Roman" w:hAnsi="Times New Roman" w:cs="Times New Roman"/>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14:paraId="5D1874D0">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10</w:t>
            </w:r>
          </w:p>
        </w:tc>
        <w:tc>
          <w:tcPr>
            <w:tcW w:w="1363" w:type="dxa"/>
            <w:shd w:val="clear" w:color="000000" w:fill="FFFFFF"/>
            <w:vAlign w:val="center"/>
          </w:tcPr>
          <w:p w14:paraId="2E68289F">
            <w:pPr>
              <w:keepNext w:val="0"/>
              <w:keepLines w:val="0"/>
              <w:widowControl/>
              <w:suppressLineNumbers w:val="0"/>
              <w:spacing w:before="0" w:beforeAutospacing="0" w:after="0" w:afterAutospacing="0" w:line="0" w:lineRule="atLeast"/>
              <w:ind w:left="0" w:right="0"/>
              <w:jc w:val="center"/>
              <w:rPr>
                <w:rFonts w:hint="default" w:ascii="Times New Roman" w:hAnsi="Times New Roman" w:cs="Times New Roman"/>
                <w:b/>
                <w:bCs/>
                <w:kern w:val="0"/>
                <w:sz w:val="22"/>
                <w:szCs w:val="22"/>
                <w:highlight w:val="none"/>
              </w:rPr>
            </w:pPr>
            <w:r>
              <w:rPr>
                <w:rFonts w:hint="default" w:ascii="Times New Roman" w:hAnsi="Times New Roman" w:cs="Times New Roman"/>
                <w:b/>
                <w:bCs/>
                <w:kern w:val="0"/>
                <w:sz w:val="22"/>
                <w:szCs w:val="22"/>
                <w:highlight w:val="none"/>
              </w:rPr>
              <w:t>9.9</w:t>
            </w:r>
          </w:p>
        </w:tc>
      </w:tr>
    </w:tbl>
    <w:p w14:paraId="1CA5A9C7">
      <w:pPr>
        <w:pStyle w:val="2"/>
        <w:rPr>
          <w:rFonts w:hint="default" w:ascii="Times New Roman" w:hAnsi="Times New Roman" w:cs="Times New Roman"/>
          <w:highlight w:val="none"/>
        </w:rPr>
      </w:pPr>
    </w:p>
    <w:p w14:paraId="17F7D288">
      <w:pPr>
        <w:rPr>
          <w:rFonts w:hint="default" w:ascii="Times New Roman" w:hAnsi="Times New Roman" w:cs="Times New Roman"/>
          <w:highlight w:val="none"/>
        </w:rPr>
      </w:pPr>
    </w:p>
    <w:p w14:paraId="089C666C">
      <w:pPr>
        <w:spacing w:line="540" w:lineRule="exact"/>
        <w:ind w:firstLine="640"/>
        <w:rPr>
          <w:rStyle w:val="14"/>
          <w:rFonts w:hint="default" w:ascii="Times New Roman" w:hAnsi="Times New Roman" w:eastAsia="黑体" w:cs="Times New Roman"/>
          <w:bCs w:val="0"/>
          <w:spacing w:val="-4"/>
          <w:sz w:val="32"/>
          <w:szCs w:val="32"/>
          <w:highlight w:val="none"/>
        </w:rPr>
      </w:pPr>
    </w:p>
    <w:p w14:paraId="2D80D5B5">
      <w:pPr>
        <w:spacing w:line="540" w:lineRule="exact"/>
        <w:ind w:firstLine="640"/>
        <w:rPr>
          <w:rStyle w:val="14"/>
          <w:rFonts w:hint="default" w:ascii="Times New Roman" w:hAnsi="Times New Roman" w:eastAsia="黑体" w:cs="Times New Roman"/>
          <w:bCs w:val="0"/>
          <w:spacing w:val="-4"/>
          <w:sz w:val="32"/>
          <w:szCs w:val="32"/>
          <w:highlight w:val="none"/>
        </w:rPr>
      </w:pPr>
    </w:p>
    <w:p w14:paraId="474795CD">
      <w:pPr>
        <w:spacing w:line="540" w:lineRule="exact"/>
        <w:ind w:firstLine="640"/>
        <w:rPr>
          <w:rStyle w:val="14"/>
          <w:rFonts w:hint="default" w:ascii="Times New Roman" w:hAnsi="Times New Roman" w:eastAsia="黑体" w:cs="Times New Roman"/>
          <w:bCs w:val="0"/>
          <w:spacing w:val="-4"/>
          <w:sz w:val="32"/>
          <w:szCs w:val="32"/>
          <w:highlight w:val="none"/>
        </w:rPr>
      </w:pPr>
    </w:p>
    <w:p w14:paraId="7E779A0C">
      <w:pPr>
        <w:spacing w:line="540" w:lineRule="exact"/>
        <w:ind w:firstLine="640"/>
        <w:rPr>
          <w:rStyle w:val="14"/>
          <w:rFonts w:hint="default" w:ascii="Times New Roman" w:hAnsi="Times New Roman" w:eastAsia="黑体" w:cs="Times New Roman"/>
          <w:bCs w:val="0"/>
          <w:spacing w:val="-4"/>
          <w:sz w:val="32"/>
          <w:szCs w:val="32"/>
          <w:highlight w:val="none"/>
        </w:rPr>
      </w:pPr>
    </w:p>
    <w:p w14:paraId="4262CBFD">
      <w:pPr>
        <w:spacing w:line="540" w:lineRule="exact"/>
        <w:ind w:firstLine="640"/>
        <w:rPr>
          <w:rStyle w:val="14"/>
          <w:rFonts w:hint="default" w:ascii="Times New Roman" w:hAnsi="Times New Roman" w:eastAsia="黑体" w:cs="Times New Roman"/>
          <w:bCs w:val="0"/>
          <w:spacing w:val="-4"/>
          <w:sz w:val="32"/>
          <w:szCs w:val="32"/>
          <w:highlight w:val="none"/>
        </w:rPr>
      </w:pPr>
    </w:p>
    <w:p w14:paraId="02A2BC1A">
      <w:pPr>
        <w:spacing w:line="540" w:lineRule="exact"/>
        <w:ind w:firstLine="640"/>
        <w:rPr>
          <w:rStyle w:val="14"/>
          <w:rFonts w:hint="default" w:ascii="Times New Roman" w:hAnsi="Times New Roman" w:eastAsia="黑体" w:cs="Times New Roman"/>
          <w:bCs w:val="0"/>
          <w:spacing w:val="-4"/>
          <w:sz w:val="32"/>
          <w:szCs w:val="32"/>
          <w:highlight w:val="none"/>
        </w:rPr>
      </w:pPr>
    </w:p>
    <w:p w14:paraId="1D47E115">
      <w:pPr>
        <w:spacing w:line="540" w:lineRule="exact"/>
        <w:rPr>
          <w:rStyle w:val="14"/>
          <w:rFonts w:hint="default" w:ascii="Times New Roman" w:hAnsi="Times New Roman" w:eastAsia="仿宋" w:cs="Times New Roman"/>
          <w:b w:val="0"/>
          <w:spacing w:val="-4"/>
          <w:sz w:val="32"/>
          <w:szCs w:val="32"/>
          <w:highlight w:val="none"/>
        </w:rPr>
      </w:pPr>
    </w:p>
    <w:p w14:paraId="5BE57F20">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9398E7-4E7E-4C1D-8568-726DD85366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98FD723-2671-434B-A30C-1385E5A4077E}"/>
  </w:font>
  <w:font w:name="华文中宋">
    <w:altName w:val="宋体"/>
    <w:panose1 w:val="02010600040101010101"/>
    <w:charset w:val="86"/>
    <w:family w:val="auto"/>
    <w:pitch w:val="default"/>
    <w:sig w:usb0="00000000" w:usb1="00000000" w:usb2="00000000" w:usb3="00000000" w:csb0="0004009F" w:csb1="DFD70000"/>
    <w:embedRegular r:id="rId3" w:fontKey="{8351E3ED-25C2-4060-9BBB-3431EA9223D1}"/>
  </w:font>
  <w:font w:name="方正小标宋_GBK">
    <w:panose1 w:val="02000000000000000000"/>
    <w:charset w:val="86"/>
    <w:family w:val="script"/>
    <w:pitch w:val="default"/>
    <w:sig w:usb0="A00002BF" w:usb1="38CF7CFA" w:usb2="00082016" w:usb3="00000000" w:csb0="00040001" w:csb1="00000000"/>
    <w:embedRegular r:id="rId4" w:fontKey="{EB37A5F4-1B92-4B50-98EF-071D1AAECF89}"/>
  </w:font>
  <w:font w:name="楷体_GB2312">
    <w:panose1 w:val="02010609030101010101"/>
    <w:charset w:val="86"/>
    <w:family w:val="auto"/>
    <w:pitch w:val="default"/>
    <w:sig w:usb0="00000001" w:usb1="080E0000" w:usb2="00000000" w:usb3="00000000" w:csb0="00040000" w:csb1="00000000"/>
    <w:embedRegular r:id="rId5" w:fontKey="{97120135-A889-4D0C-B4DD-4E0FF6129BE6}"/>
  </w:font>
  <w:font w:name="仿宋">
    <w:panose1 w:val="02010609060101010101"/>
    <w:charset w:val="86"/>
    <w:family w:val="modern"/>
    <w:pitch w:val="default"/>
    <w:sig w:usb0="800002BF" w:usb1="38CF7CFA" w:usb2="00000016" w:usb3="00000000" w:csb0="00040001" w:csb1="00000000"/>
    <w:embedRegular r:id="rId6" w:fontKey="{27C254A2-60C9-42FC-BDA7-1210E4B774DE}"/>
  </w:font>
  <w:font w:name="楷体">
    <w:panose1 w:val="02010609060101010101"/>
    <w:charset w:val="86"/>
    <w:family w:val="modern"/>
    <w:pitch w:val="default"/>
    <w:sig w:usb0="800002BF" w:usb1="38CF7CFA" w:usb2="00000016" w:usb3="00000000" w:csb0="00040001" w:csb1="00000000"/>
    <w:embedRegular r:id="rId7" w:fontKey="{629B4873-C74D-499D-971C-AC4D4E7857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E05E8B3">
        <w:pPr>
          <w:pStyle w:val="8"/>
          <w:jc w:val="center"/>
        </w:pPr>
        <w:r>
          <w:fldChar w:fldCharType="begin"/>
        </w:r>
        <w:r>
          <w:instrText xml:space="preserve">PAGE   \* MERGEFORMAT</w:instrText>
        </w:r>
        <w:r>
          <w:fldChar w:fldCharType="separate"/>
        </w:r>
        <w:r>
          <w:rPr>
            <w:lang w:val="zh-CN"/>
          </w:rPr>
          <w:t>1</w:t>
        </w:r>
        <w:r>
          <w:fldChar w:fldCharType="end"/>
        </w:r>
      </w:p>
    </w:sdtContent>
  </w:sdt>
  <w:p w14:paraId="717F6BE3">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049F9232"/>
    <w:multiLevelType w:val="singleLevel"/>
    <w:tmpl w:val="049F9232"/>
    <w:lvl w:ilvl="0" w:tentative="0">
      <w:start w:val="2"/>
      <w:numFmt w:val="decimal"/>
      <w:lvlText w:val="%1."/>
      <w:lvlJc w:val="left"/>
      <w:pPr>
        <w:tabs>
          <w:tab w:val="left" w:pos="312"/>
        </w:tabs>
      </w:p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4"/>
  </w:num>
  <w:num w:numId="3">
    <w:abstractNumId w:val="5"/>
  </w:num>
  <w:num w:numId="4">
    <w:abstractNumId w:val="3"/>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s>
  <w:rsids>
    <w:rsidRoot w:val="00320487"/>
    <w:rsid w:val="00297FF6"/>
    <w:rsid w:val="00320487"/>
    <w:rsid w:val="03962305"/>
    <w:rsid w:val="041E04D2"/>
    <w:rsid w:val="059463E4"/>
    <w:rsid w:val="091805FA"/>
    <w:rsid w:val="0B5F3925"/>
    <w:rsid w:val="0BF027CF"/>
    <w:rsid w:val="0D940501"/>
    <w:rsid w:val="0FAC300F"/>
    <w:rsid w:val="113969C6"/>
    <w:rsid w:val="11470BB2"/>
    <w:rsid w:val="1362048E"/>
    <w:rsid w:val="13E34FDE"/>
    <w:rsid w:val="24561911"/>
    <w:rsid w:val="24B46637"/>
    <w:rsid w:val="250619DA"/>
    <w:rsid w:val="280671AA"/>
    <w:rsid w:val="2A3B3F8A"/>
    <w:rsid w:val="2BA168FF"/>
    <w:rsid w:val="2E186859"/>
    <w:rsid w:val="33EB57CA"/>
    <w:rsid w:val="35577297"/>
    <w:rsid w:val="375D490D"/>
    <w:rsid w:val="38D1110E"/>
    <w:rsid w:val="399F06E0"/>
    <w:rsid w:val="3A033932"/>
    <w:rsid w:val="3C122578"/>
    <w:rsid w:val="3CD15B81"/>
    <w:rsid w:val="40AD06B3"/>
    <w:rsid w:val="410B6ADA"/>
    <w:rsid w:val="42F26851"/>
    <w:rsid w:val="43A22656"/>
    <w:rsid w:val="456B28EB"/>
    <w:rsid w:val="4AAC5B10"/>
    <w:rsid w:val="4EFB65C1"/>
    <w:rsid w:val="4F813436"/>
    <w:rsid w:val="516B6068"/>
    <w:rsid w:val="591F0018"/>
    <w:rsid w:val="5C904CB9"/>
    <w:rsid w:val="5DCC0264"/>
    <w:rsid w:val="5FAA42E4"/>
    <w:rsid w:val="61116571"/>
    <w:rsid w:val="63972DD1"/>
    <w:rsid w:val="644545DB"/>
    <w:rsid w:val="67FBD197"/>
    <w:rsid w:val="68F16A9F"/>
    <w:rsid w:val="6EF54E4F"/>
    <w:rsid w:val="709F0620"/>
    <w:rsid w:val="72275320"/>
    <w:rsid w:val="723914F7"/>
    <w:rsid w:val="7ACE330E"/>
    <w:rsid w:val="7B690C89"/>
    <w:rsid w:val="7D9A7B51"/>
    <w:rsid w:val="7FF10EC3"/>
    <w:rsid w:val="FFFC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Title"/>
    <w:basedOn w:val="1"/>
    <w:next w:val="1"/>
    <w:link w:val="23"/>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0"/>
    <w:autoRedefine/>
    <w:qFormat/>
    <w:uiPriority w:val="99"/>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Balloon Text"/>
    <w:basedOn w:val="1"/>
    <w:link w:val="22"/>
    <w:autoRedefine/>
    <w:qFormat/>
    <w:uiPriority w:val="0"/>
    <w:rPr>
      <w:sz w:val="18"/>
      <w:szCs w:val="18"/>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19"/>
    <w:autoRedefine/>
    <w:qFormat/>
    <w:uiPriority w:val="0"/>
    <w:pPr>
      <w:tabs>
        <w:tab w:val="center" w:pos="4153"/>
        <w:tab w:val="right" w:pos="8306"/>
      </w:tabs>
      <w:snapToGrid w:val="0"/>
      <w:jc w:val="center"/>
    </w:pPr>
    <w:rPr>
      <w:sz w:val="18"/>
      <w:szCs w:val="18"/>
    </w:rPr>
  </w:style>
  <w:style w:type="paragraph" w:styleId="10">
    <w:name w:val="Body Text First Indent"/>
    <w:basedOn w:val="5"/>
    <w:autoRedefine/>
    <w:qFormat/>
    <w:uiPriority w:val="0"/>
    <w:pPr>
      <w:spacing w:after="0"/>
      <w:ind w:firstLine="200" w:firstLineChars="200"/>
    </w:pPr>
  </w:style>
  <w:style w:type="paragraph" w:styleId="11">
    <w:name w:val="Body Text First Indent 2"/>
    <w:basedOn w:val="6"/>
    <w:autoRedefine/>
    <w:qFormat/>
    <w:uiPriority w:val="0"/>
    <w:pPr>
      <w:ind w:firstLine="420" w:firstLineChars="200"/>
    </w:pPr>
  </w:style>
  <w:style w:type="character" w:styleId="14">
    <w:name w:val="Strong"/>
    <w:basedOn w:val="13"/>
    <w:autoRedefine/>
    <w:qFormat/>
    <w:uiPriority w:val="0"/>
    <w:rPr>
      <w:b/>
      <w:bCs/>
    </w:rPr>
  </w:style>
  <w:style w:type="character" w:styleId="15">
    <w:name w:val="annotation reference"/>
    <w:basedOn w:val="13"/>
    <w:autoRedefine/>
    <w:qFormat/>
    <w:uiPriority w:val="99"/>
    <w:rPr>
      <w:sz w:val="21"/>
      <w:szCs w:val="21"/>
    </w:rPr>
  </w:style>
  <w:style w:type="character" w:customStyle="1" w:styleId="16">
    <w:name w:val="fontstyle01"/>
    <w:autoRedefine/>
    <w:qFormat/>
    <w:uiPriority w:val="0"/>
    <w:rPr>
      <w:rFonts w:ascii="仿宋_GB2312" w:hAnsi="仿宋_GB2312" w:eastAsia="仿宋_GB2312" w:cs="仿宋_GB2312"/>
      <w:color w:val="000000"/>
      <w:sz w:val="32"/>
      <w:szCs w:val="32"/>
    </w:rPr>
  </w:style>
  <w:style w:type="paragraph" w:customStyle="1" w:styleId="17">
    <w:name w:val="闻政-正文段落文字"/>
    <w:basedOn w:val="1"/>
    <w:autoRedefine/>
    <w:qFormat/>
    <w:uiPriority w:val="3"/>
    <w:pPr>
      <w:spacing w:line="500" w:lineRule="exact"/>
      <w:ind w:firstLine="200"/>
    </w:pPr>
    <w:rPr>
      <w:kern w:val="0"/>
      <w:szCs w:val="28"/>
    </w:rPr>
  </w:style>
  <w:style w:type="paragraph" w:customStyle="1" w:styleId="18">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页眉 Char"/>
    <w:basedOn w:val="13"/>
    <w:link w:val="9"/>
    <w:autoRedefine/>
    <w:qFormat/>
    <w:uiPriority w:val="0"/>
    <w:rPr>
      <w:rFonts w:ascii="Times New Roman" w:hAnsi="Times New Roman" w:eastAsia="宋体" w:cs="Times New Roman"/>
      <w:kern w:val="2"/>
      <w:sz w:val="18"/>
      <w:szCs w:val="18"/>
    </w:rPr>
  </w:style>
  <w:style w:type="character" w:customStyle="1" w:styleId="20">
    <w:name w:val="批注文字 Char"/>
    <w:basedOn w:val="13"/>
    <w:link w:val="4"/>
    <w:autoRedefine/>
    <w:qFormat/>
    <w:uiPriority w:val="99"/>
    <w:rPr>
      <w:rFonts w:ascii="Times New Roman" w:hAnsi="Times New Roman" w:eastAsia="宋体" w:cs="Times New Roman"/>
      <w:kern w:val="2"/>
      <w:sz w:val="21"/>
      <w:szCs w:val="24"/>
    </w:rPr>
  </w:style>
  <w:style w:type="paragraph" w:customStyle="1" w:styleId="21">
    <w:name w:val="列出段落1"/>
    <w:basedOn w:val="1"/>
    <w:autoRedefine/>
    <w:unhideWhenUsed/>
    <w:qFormat/>
    <w:uiPriority w:val="99"/>
    <w:pPr>
      <w:ind w:firstLine="420" w:firstLineChars="200"/>
    </w:pPr>
  </w:style>
  <w:style w:type="character" w:customStyle="1" w:styleId="22">
    <w:name w:val="批注框文本 Char"/>
    <w:basedOn w:val="13"/>
    <w:link w:val="7"/>
    <w:autoRedefine/>
    <w:qFormat/>
    <w:uiPriority w:val="0"/>
    <w:rPr>
      <w:kern w:val="2"/>
      <w:sz w:val="18"/>
      <w:szCs w:val="18"/>
    </w:rPr>
  </w:style>
  <w:style w:type="character" w:customStyle="1" w:styleId="23">
    <w:name w:val="标题 字符"/>
    <w:basedOn w:val="13"/>
    <w:link w:val="2"/>
    <w:autoRedefine/>
    <w:qFormat/>
    <w:uiPriority w:val="0"/>
    <w:rPr>
      <w:rFonts w:ascii="Calibri Light" w:hAnsi="Calibri Light" w:eastAsia="宋体" w:cs="Times New Roman"/>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11022</Words>
  <Characters>11887</Characters>
  <Lines>12</Lines>
  <Paragraphs>23</Paragraphs>
  <TotalTime>1</TotalTime>
  <ScaleCrop>false</ScaleCrop>
  <LinksUpToDate>false</LinksUpToDate>
  <CharactersWithSpaces>11922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2024-04-10T04:21:00Z</dcterms:created>
  <dc:creator>审核人</dc:creator>
  <cp:lastModifiedBy>薛俊璇</cp:lastModifiedBy>
  <cp:lastPrinted>2024-03-05T08:05:00Z</cp:lastPrinted>
  <dcterms:modified xsi:type="dcterms:W3CDTF">2024-08-28T10:21:40Z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FD20F6D8A07F45899DECC3A607822476_13</vt:lpwstr>
  </property>
</Properties>
</file>