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B7704">
      <w:pPr>
        <w:spacing w:line="540" w:lineRule="exact"/>
        <w:jc w:val="center"/>
        <w:rPr>
          <w:rFonts w:ascii="Times New Roman" w:hAnsi="Times New Roman" w:eastAsia="华文中宋"/>
          <w:b/>
          <w:kern w:val="0"/>
          <w:sz w:val="52"/>
          <w:szCs w:val="52"/>
          <w:highlight w:val="none"/>
        </w:rPr>
      </w:pPr>
    </w:p>
    <w:p w14:paraId="5870DE13">
      <w:pPr>
        <w:spacing w:line="540" w:lineRule="exact"/>
        <w:rPr>
          <w:rFonts w:ascii="Times New Roman" w:hAnsi="Times New Roman" w:eastAsia="华文中宋"/>
          <w:b/>
          <w:kern w:val="0"/>
          <w:sz w:val="52"/>
          <w:szCs w:val="52"/>
          <w:highlight w:val="none"/>
        </w:rPr>
      </w:pPr>
    </w:p>
    <w:p w14:paraId="016AD25A">
      <w:pPr>
        <w:spacing w:line="540" w:lineRule="exact"/>
        <w:jc w:val="center"/>
        <w:rPr>
          <w:rFonts w:ascii="Times New Roman" w:hAnsi="Times New Roman" w:eastAsia="华文中宋"/>
          <w:b/>
          <w:kern w:val="0"/>
          <w:sz w:val="52"/>
          <w:szCs w:val="52"/>
          <w:highlight w:val="none"/>
        </w:rPr>
      </w:pPr>
    </w:p>
    <w:p w14:paraId="4BAFF8E6">
      <w:pPr>
        <w:spacing w:line="540" w:lineRule="exact"/>
        <w:jc w:val="center"/>
        <w:rPr>
          <w:rFonts w:ascii="Times New Roman" w:hAnsi="Times New Roman" w:eastAsia="华文中宋"/>
          <w:b/>
          <w:kern w:val="0"/>
          <w:sz w:val="52"/>
          <w:szCs w:val="52"/>
          <w:highlight w:val="none"/>
        </w:rPr>
      </w:pPr>
    </w:p>
    <w:p w14:paraId="39DAED90">
      <w:pPr>
        <w:spacing w:line="540" w:lineRule="exact"/>
        <w:jc w:val="center"/>
        <w:rPr>
          <w:rFonts w:ascii="Times New Roman" w:hAnsi="Times New Roman" w:eastAsia="方正小标宋简体" w:cs="方正小标宋简体"/>
          <w:kern w:val="0"/>
          <w:sz w:val="48"/>
          <w:szCs w:val="48"/>
          <w:highlight w:val="none"/>
        </w:rPr>
      </w:pPr>
      <w:r>
        <w:rPr>
          <w:rFonts w:hint="eastAsia" w:ascii="Times New Roman" w:hAnsi="Times New Roman" w:eastAsia="方正小标宋简体" w:cs="方正小标宋简体"/>
          <w:kern w:val="0"/>
          <w:sz w:val="48"/>
          <w:szCs w:val="48"/>
          <w:highlight w:val="none"/>
        </w:rPr>
        <w:t>北京儿童医院新疆医院（国家儿童区域医疗中心）专项补助</w:t>
      </w:r>
      <w:r>
        <w:rPr>
          <w:rFonts w:hint="eastAsia" w:eastAsia="方正小标宋简体" w:cs="方正小标宋简体"/>
          <w:kern w:val="0"/>
          <w:sz w:val="48"/>
          <w:szCs w:val="48"/>
          <w:highlight w:val="none"/>
          <w:lang w:eastAsia="zh-CN"/>
        </w:rPr>
        <w:t>经费</w:t>
      </w:r>
      <w:r>
        <w:rPr>
          <w:rFonts w:hint="eastAsia" w:ascii="Times New Roman" w:hAnsi="Times New Roman" w:eastAsia="方正小标宋简体" w:cs="方正小标宋简体"/>
          <w:kern w:val="0"/>
          <w:sz w:val="48"/>
          <w:szCs w:val="48"/>
          <w:highlight w:val="none"/>
        </w:rPr>
        <w:t>项目</w:t>
      </w:r>
    </w:p>
    <w:p w14:paraId="01FC6E4D">
      <w:pPr>
        <w:spacing w:line="540" w:lineRule="exact"/>
        <w:jc w:val="center"/>
        <w:rPr>
          <w:rFonts w:ascii="Times New Roman" w:hAnsi="Times New Roman" w:eastAsia="方正小标宋简体" w:cs="方正小标宋简体"/>
          <w:kern w:val="0"/>
          <w:sz w:val="48"/>
          <w:szCs w:val="48"/>
          <w:highlight w:val="none"/>
        </w:rPr>
      </w:pPr>
      <w:r>
        <w:rPr>
          <w:rFonts w:hint="eastAsia" w:ascii="Times New Roman" w:hAnsi="Times New Roman" w:eastAsia="方正小标宋简体" w:cs="方正小标宋简体"/>
          <w:kern w:val="0"/>
          <w:sz w:val="48"/>
          <w:szCs w:val="48"/>
          <w:highlight w:val="none"/>
        </w:rPr>
        <w:t>支出绩效评价报告</w:t>
      </w:r>
    </w:p>
    <w:p w14:paraId="5D4FA084">
      <w:pPr>
        <w:spacing w:line="540" w:lineRule="exact"/>
        <w:jc w:val="center"/>
        <w:rPr>
          <w:rFonts w:ascii="Times New Roman" w:hAnsi="Times New Roman" w:eastAsia="华文中宋"/>
          <w:b/>
          <w:kern w:val="0"/>
          <w:sz w:val="52"/>
          <w:szCs w:val="52"/>
          <w:highlight w:val="none"/>
        </w:rPr>
      </w:pPr>
    </w:p>
    <w:p w14:paraId="20A294E9">
      <w:pPr>
        <w:spacing w:line="540" w:lineRule="exact"/>
        <w:jc w:val="center"/>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 2023年度）</w:t>
      </w:r>
    </w:p>
    <w:p w14:paraId="0053C4C9">
      <w:pPr>
        <w:spacing w:line="540" w:lineRule="exact"/>
        <w:jc w:val="center"/>
        <w:rPr>
          <w:rFonts w:ascii="Times New Roman" w:hAnsi="Times New Roman" w:eastAsia="仿宋_GB2312"/>
          <w:kern w:val="0"/>
          <w:sz w:val="30"/>
          <w:szCs w:val="30"/>
          <w:highlight w:val="none"/>
        </w:rPr>
      </w:pPr>
    </w:p>
    <w:p w14:paraId="06569333">
      <w:pPr>
        <w:spacing w:line="540" w:lineRule="exact"/>
        <w:jc w:val="center"/>
        <w:rPr>
          <w:rFonts w:ascii="Times New Roman" w:hAnsi="Times New Roman" w:eastAsia="仿宋_GB2312"/>
          <w:kern w:val="0"/>
          <w:sz w:val="30"/>
          <w:szCs w:val="30"/>
          <w:highlight w:val="none"/>
        </w:rPr>
      </w:pPr>
    </w:p>
    <w:p w14:paraId="49DB8FAD">
      <w:pPr>
        <w:spacing w:line="540" w:lineRule="exact"/>
        <w:jc w:val="center"/>
        <w:rPr>
          <w:rFonts w:ascii="Times New Roman" w:hAnsi="Times New Roman" w:eastAsia="仿宋_GB2312"/>
          <w:kern w:val="0"/>
          <w:sz w:val="30"/>
          <w:szCs w:val="30"/>
          <w:highlight w:val="none"/>
        </w:rPr>
      </w:pPr>
    </w:p>
    <w:p w14:paraId="0CDBA85A">
      <w:pPr>
        <w:spacing w:line="540" w:lineRule="exact"/>
        <w:jc w:val="center"/>
        <w:rPr>
          <w:rFonts w:ascii="Times New Roman" w:hAnsi="Times New Roman" w:eastAsia="仿宋_GB2312"/>
          <w:kern w:val="0"/>
          <w:sz w:val="30"/>
          <w:szCs w:val="30"/>
          <w:highlight w:val="none"/>
        </w:rPr>
      </w:pPr>
    </w:p>
    <w:p w14:paraId="01F94972">
      <w:pPr>
        <w:spacing w:line="540" w:lineRule="exact"/>
        <w:rPr>
          <w:rFonts w:ascii="Times New Roman" w:hAnsi="Times New Roman" w:eastAsia="仿宋_GB2312"/>
          <w:kern w:val="0"/>
          <w:sz w:val="30"/>
          <w:szCs w:val="30"/>
          <w:highlight w:val="none"/>
        </w:rPr>
      </w:pPr>
    </w:p>
    <w:p w14:paraId="00E593E7">
      <w:pPr>
        <w:spacing w:line="700" w:lineRule="exact"/>
        <w:ind w:left="1800" w:hanging="1800" w:hangingChars="500"/>
        <w:jc w:val="left"/>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项目名称：</w:t>
      </w:r>
      <w:r>
        <w:rPr>
          <w:rFonts w:hint="eastAsia" w:ascii="Times New Roman" w:hAnsi="Times New Roman" w:eastAsia="仿宋_GB2312"/>
          <w:kern w:val="0"/>
          <w:sz w:val="36"/>
          <w:szCs w:val="36"/>
          <w:highlight w:val="none"/>
        </w:rPr>
        <w:t>北京儿童医院新疆医院（国家儿童区域医疗中心）专项补助经费</w:t>
      </w:r>
    </w:p>
    <w:p w14:paraId="6CCB21E1">
      <w:pPr>
        <w:spacing w:line="700" w:lineRule="exact"/>
        <w:jc w:val="left"/>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实施单位（公章）：</w:t>
      </w:r>
      <w:r>
        <w:rPr>
          <w:rFonts w:hint="eastAsia" w:ascii="Times New Roman" w:hAnsi="Times New Roman" w:eastAsia="仿宋_GB2312"/>
          <w:kern w:val="0"/>
          <w:sz w:val="36"/>
          <w:szCs w:val="36"/>
          <w:highlight w:val="none"/>
        </w:rPr>
        <w:t>新疆维吾尔自治区儿童医院</w:t>
      </w:r>
    </w:p>
    <w:p w14:paraId="48AD89E8">
      <w:pPr>
        <w:spacing w:line="700" w:lineRule="exact"/>
        <w:jc w:val="left"/>
        <w:rPr>
          <w:rFonts w:hint="default" w:ascii="Times New Roman" w:hAnsi="Times New Roman" w:eastAsia="仿宋_GB2312"/>
          <w:kern w:val="0"/>
          <w:sz w:val="36"/>
          <w:szCs w:val="36"/>
          <w:highlight w:val="none"/>
          <w:lang w:val="en-US" w:eastAsia="zh-CN"/>
        </w:rPr>
      </w:pPr>
      <w:r>
        <w:rPr>
          <w:rFonts w:ascii="Times New Roman" w:hAnsi="Times New Roman" w:eastAsia="仿宋_GB2312"/>
          <w:kern w:val="0"/>
          <w:sz w:val="36"/>
          <w:szCs w:val="36"/>
          <w:highlight w:val="none"/>
        </w:rPr>
        <w:t>主管部门（公章）：</w:t>
      </w:r>
      <w:bookmarkStart w:id="0" w:name="OLE_LINK3"/>
      <w:r>
        <w:rPr>
          <w:rFonts w:hint="eastAsia" w:ascii="Times New Roman" w:hAnsi="Times New Roman" w:eastAsia="仿宋_GB2312"/>
          <w:kern w:val="0"/>
          <w:sz w:val="36"/>
          <w:szCs w:val="36"/>
          <w:highlight w:val="none"/>
        </w:rPr>
        <w:t>新疆维吾尔自治区卫生健康委</w:t>
      </w:r>
      <w:r>
        <w:rPr>
          <w:rFonts w:hint="eastAsia" w:ascii="Times New Roman" w:hAnsi="Times New Roman" w:eastAsia="仿宋_GB2312"/>
          <w:kern w:val="0"/>
          <w:sz w:val="36"/>
          <w:szCs w:val="36"/>
          <w:highlight w:val="none"/>
          <w:lang w:val="en-US" w:eastAsia="zh-CN"/>
        </w:rPr>
        <w:t>员会</w:t>
      </w:r>
      <w:bookmarkEnd w:id="0"/>
    </w:p>
    <w:p w14:paraId="77E25A1C">
      <w:pPr>
        <w:spacing w:line="700" w:lineRule="exact"/>
        <w:jc w:val="left"/>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项目负责人（签章）：</w:t>
      </w:r>
      <w:r>
        <w:rPr>
          <w:rFonts w:hint="eastAsia" w:ascii="Times New Roman" w:hAnsi="Times New Roman" w:eastAsia="仿宋_GB2312"/>
          <w:kern w:val="0"/>
          <w:sz w:val="36"/>
          <w:szCs w:val="36"/>
          <w:highlight w:val="none"/>
        </w:rPr>
        <w:t>陆敏</w:t>
      </w:r>
    </w:p>
    <w:p w14:paraId="62DB3F4F">
      <w:pPr>
        <w:spacing w:line="700" w:lineRule="exact"/>
        <w:jc w:val="left"/>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填报时间：</w:t>
      </w:r>
      <w:r>
        <w:rPr>
          <w:rFonts w:hint="eastAsia" w:ascii="Times New Roman" w:hAnsi="Times New Roman" w:eastAsia="仿宋_GB2312"/>
          <w:kern w:val="0"/>
          <w:sz w:val="36"/>
          <w:szCs w:val="36"/>
          <w:highlight w:val="none"/>
        </w:rPr>
        <w:t>2024</w:t>
      </w:r>
      <w:r>
        <w:rPr>
          <w:rFonts w:ascii="Times New Roman" w:hAnsi="Times New Roman" w:eastAsia="仿宋_GB2312"/>
          <w:kern w:val="0"/>
          <w:sz w:val="36"/>
          <w:szCs w:val="36"/>
          <w:highlight w:val="none"/>
        </w:rPr>
        <w:t>年</w:t>
      </w:r>
      <w:r>
        <w:rPr>
          <w:rFonts w:hint="eastAsia" w:ascii="Times New Roman" w:hAnsi="Times New Roman" w:eastAsia="仿宋_GB2312"/>
          <w:kern w:val="0"/>
          <w:sz w:val="36"/>
          <w:szCs w:val="36"/>
          <w:highlight w:val="none"/>
        </w:rPr>
        <w:t>2</w:t>
      </w:r>
      <w:r>
        <w:rPr>
          <w:rFonts w:ascii="Times New Roman" w:hAnsi="Times New Roman" w:eastAsia="仿宋_GB2312"/>
          <w:kern w:val="0"/>
          <w:sz w:val="36"/>
          <w:szCs w:val="36"/>
          <w:highlight w:val="none"/>
        </w:rPr>
        <w:t>月</w:t>
      </w:r>
      <w:r>
        <w:rPr>
          <w:rFonts w:hint="eastAsia" w:ascii="Times New Roman" w:hAnsi="Times New Roman" w:eastAsia="仿宋_GB2312"/>
          <w:kern w:val="0"/>
          <w:sz w:val="36"/>
          <w:szCs w:val="36"/>
          <w:highlight w:val="none"/>
        </w:rPr>
        <w:t>19</w:t>
      </w:r>
      <w:r>
        <w:rPr>
          <w:rFonts w:ascii="Times New Roman" w:hAnsi="Times New Roman" w:eastAsia="仿宋_GB2312"/>
          <w:kern w:val="0"/>
          <w:sz w:val="36"/>
          <w:szCs w:val="36"/>
          <w:highlight w:val="none"/>
        </w:rPr>
        <w:t>日</w:t>
      </w:r>
    </w:p>
    <w:p w14:paraId="4BDFA91A">
      <w:pPr>
        <w:spacing w:line="540" w:lineRule="exact"/>
        <w:jc w:val="center"/>
        <w:rPr>
          <w:rFonts w:ascii="Times New Roman" w:hAnsi="Times New Roman" w:eastAsia="仿宋_GB2312"/>
          <w:kern w:val="0"/>
          <w:sz w:val="30"/>
          <w:szCs w:val="30"/>
          <w:highlight w:val="none"/>
        </w:rPr>
      </w:pPr>
    </w:p>
    <w:p w14:paraId="770043EB">
      <w:pPr>
        <w:spacing w:line="540" w:lineRule="exact"/>
        <w:rPr>
          <w:rStyle w:val="14"/>
          <w:rFonts w:ascii="Times New Roman" w:hAnsi="Times New Roman" w:eastAsia="黑体"/>
          <w:b w:val="0"/>
          <w:spacing w:val="-4"/>
          <w:sz w:val="32"/>
          <w:szCs w:val="32"/>
          <w:highlight w:val="none"/>
        </w:rPr>
      </w:pPr>
    </w:p>
    <w:p w14:paraId="6B9ED9D8">
      <w:pPr>
        <w:spacing w:line="540" w:lineRule="exact"/>
        <w:ind w:firstLine="640"/>
        <w:rPr>
          <w:rStyle w:val="14"/>
          <w:rFonts w:ascii="Times New Roman" w:hAnsi="Times New Roman" w:eastAsia="黑体"/>
          <w:b w:val="0"/>
          <w:spacing w:val="-4"/>
          <w:sz w:val="32"/>
          <w:szCs w:val="32"/>
          <w:highlight w:val="none"/>
        </w:rPr>
      </w:pPr>
    </w:p>
    <w:p w14:paraId="4385CB8B">
      <w:pPr>
        <w:spacing w:line="540" w:lineRule="exact"/>
        <w:rPr>
          <w:rStyle w:val="14"/>
          <w:rFonts w:ascii="Times New Roman" w:hAnsi="Times New Roman" w:eastAsia="黑体"/>
          <w:b w:val="0"/>
          <w:spacing w:val="-4"/>
          <w:sz w:val="32"/>
          <w:szCs w:val="32"/>
          <w:highlight w:val="none"/>
        </w:rPr>
      </w:pPr>
    </w:p>
    <w:p w14:paraId="44E663F7">
      <w:pPr>
        <w:spacing w:line="560" w:lineRule="exact"/>
        <w:ind w:firstLine="640" w:firstLineChars="200"/>
        <w:rPr>
          <w:rFonts w:ascii="Times New Roman" w:hAnsi="Times New Roman" w:eastAsia="黑体"/>
          <w:bCs/>
          <w:sz w:val="32"/>
          <w:szCs w:val="32"/>
          <w:highlight w:val="none"/>
        </w:rPr>
      </w:pPr>
      <w:r>
        <w:rPr>
          <w:rFonts w:ascii="Times New Roman" w:hAnsi="Times New Roman" w:eastAsia="黑体"/>
          <w:bCs/>
          <w:sz w:val="32"/>
          <w:szCs w:val="32"/>
          <w:highlight w:val="none"/>
        </w:rPr>
        <w:t>一、基本情况</w:t>
      </w:r>
    </w:p>
    <w:p w14:paraId="5D64FC91">
      <w:pPr>
        <w:spacing w:line="560" w:lineRule="exact"/>
        <w:ind w:firstLine="643" w:firstLineChars="200"/>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（一）项目概况</w:t>
      </w:r>
    </w:p>
    <w:p w14:paraId="75E7170C">
      <w:pPr>
        <w:spacing w:line="560" w:lineRule="exact"/>
        <w:ind w:firstLine="643" w:firstLineChars="200"/>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1、项目背景</w:t>
      </w:r>
    </w:p>
    <w:p w14:paraId="091BC80B">
      <w:pPr>
        <w:pStyle w:val="9"/>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2016年，自治区党委、政府整合区内优质儿科医疗资源，将我院规划建设为儿童专科医院，成立并挂牌“新疆维吾尔自治区儿童医院”。2020年由自治区人民医院儿科中心整体搬迁至新疆维吾尔自治区儿童医院开始运行，基础条件薄弱，同时儿科相较其他学科收入偏低。2023年7月10日，国家发展改革委，卫生健康委在《关于进一步做好北京儿童医院新疆医院“警示类”项目整改工作的函》中提出：请自治区研究提出北京儿童医院新疆医院2021</w:t>
      </w:r>
      <w:r>
        <w:rPr>
          <w:rFonts w:hint="eastAsia" w:ascii="Times New Roman" w:hAnsi="Times New Roman" w:eastAsia="仿宋_GB2312"/>
          <w:b w:val="0"/>
          <w:bCs w:val="0"/>
          <w:kern w:val="2"/>
          <w:highlight w:val="none"/>
          <w:lang w:eastAsia="zh-CN"/>
        </w:rPr>
        <w:t>—2022年</w:t>
      </w:r>
      <w:r>
        <w:rPr>
          <w:rFonts w:hint="eastAsia" w:ascii="Times New Roman" w:hAnsi="Times New Roman" w:eastAsia="仿宋_GB2312"/>
          <w:b w:val="0"/>
          <w:bCs w:val="0"/>
          <w:kern w:val="2"/>
          <w:highlight w:val="none"/>
        </w:rPr>
        <w:t>实际运营亏损补贴方案，及今后年度的运营亏损补贴方案。</w:t>
      </w:r>
    </w:p>
    <w:p w14:paraId="7D6429A9">
      <w:pPr>
        <w:pStyle w:val="9"/>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根据《新疆维吾尔自治区人民政府与首都医科大学附属北京儿童医院共建国家儿童区域医疗中心合作协议》等文件，建成国家儿童区域医疗中心，承担起新疆区域内、中亚五国、新疆周边及丝绸之路经济带沿线国家疑难复杂患儿诊治及转运工作，在区域儿科医疗服务领域中辐射和引领基层医疗机构医学发展和医疗服务能力提升。</w:t>
      </w:r>
    </w:p>
    <w:p w14:paraId="586A3DE0">
      <w:pPr>
        <w:pStyle w:val="9"/>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63FA52BE">
      <w:pPr>
        <w:spacing w:line="56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根据《新疆维吾尔自治区人民政府与首都医科大学附属</w:t>
      </w:r>
      <w:r>
        <w:rPr>
          <w:rFonts w:hint="eastAsia" w:eastAsia="仿宋_GB2312"/>
          <w:sz w:val="32"/>
          <w:szCs w:val="32"/>
          <w:highlight w:val="none"/>
          <w:lang w:val="en-US" w:eastAsia="zh-CN"/>
        </w:rPr>
        <w:t>北京</w:t>
      </w:r>
      <w:r>
        <w:rPr>
          <w:rFonts w:hint="eastAsia" w:ascii="Times New Roman" w:hAnsi="Times New Roman" w:eastAsia="仿宋_GB2312"/>
          <w:sz w:val="32"/>
          <w:szCs w:val="32"/>
          <w:highlight w:val="none"/>
        </w:rPr>
        <w:t>儿童医院共建国家儿童区域医疗中心合作协议》和发改办社会〔2020〕397号《国家发展改革委办公厅国家卫生健康委办公厅关于区域医疗中心试点项目有关事项的通知》的文件精神，新疆维吾尔自治区人民政府与北京儿童医院协商，达成一致意见，北京儿童医院新疆医院自2020年起十年内，达到国家儿童区域医疗中心设置标准：一是促进新疆维吾尔自治区儿科医疗事业发展，快速提升自治区儿童医院医疗技术综合服务水平，补齐专科建设短板，提升整体服务能力，促进区域医疗资源的均衡化和均质化；二是承担起在国家儿童区域医疗中心开展区域性教学培训、人才培养和儿科疾病临床研究工作，成为新疆区域儿科医学中心和医疗龙头单位，形成资源完整、规模建制完善的儿科国家区域医疗服务体系；三是承担起新疆区域内、中亚五国、新疆周边及丝绸之路经济带沿线国家疑难复杂患儿诊治及转运工作，在区域儿科医疗服务领域中辐射和引领基层医疗机构医学发展和医疗服务能力提升。</w:t>
      </w:r>
    </w:p>
    <w:p w14:paraId="189AE82E">
      <w:pPr>
        <w:spacing w:line="560" w:lineRule="exact"/>
        <w:ind w:firstLine="640" w:firstLineChars="200"/>
        <w:rPr>
          <w:rFonts w:ascii="Times New Roman" w:hAnsi="Times New Roman"/>
          <w:highlight w:val="none"/>
        </w:rPr>
      </w:pPr>
      <w:r>
        <w:rPr>
          <w:rFonts w:ascii="Times New Roman" w:hAnsi="Times New Roman"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5ECA19A3">
      <w:pPr>
        <w:spacing w:line="560" w:lineRule="exact"/>
        <w:ind w:firstLine="640" w:firstLineChars="200"/>
        <w:rPr>
          <w:rFonts w:ascii="Times New Roman" w:hAnsi="Times New Roman" w:eastAsia="仿宋_GB2312"/>
          <w:color w:val="FF0000"/>
          <w:sz w:val="32"/>
          <w:szCs w:val="32"/>
          <w:highlight w:val="none"/>
        </w:rPr>
      </w:pPr>
      <w:r>
        <w:rPr>
          <w:rFonts w:ascii="Times New Roman" w:hAnsi="Times New Roman" w:eastAsia="仿宋_GB2312"/>
          <w:color w:val="000000" w:themeColor="text1"/>
          <w:sz w:val="32"/>
          <w:szCs w:val="32"/>
          <w:highlight w:val="none"/>
        </w:rPr>
        <w:t>本项目总投资</w:t>
      </w:r>
      <w:r>
        <w:rPr>
          <w:rFonts w:hint="eastAsia" w:ascii="Times New Roman" w:hAnsi="Times New Roman" w:eastAsia="仿宋_GB2312"/>
          <w:color w:val="000000" w:themeColor="text1"/>
          <w:sz w:val="32"/>
          <w:szCs w:val="32"/>
          <w:highlight w:val="none"/>
        </w:rPr>
        <w:t>4000</w:t>
      </w:r>
      <w:r>
        <w:rPr>
          <w:rFonts w:ascii="Times New Roman" w:hAnsi="Times New Roman" w:eastAsia="仿宋_GB2312"/>
          <w:color w:val="000000" w:themeColor="text1"/>
          <w:sz w:val="32"/>
          <w:szCs w:val="32"/>
          <w:highlight w:val="none"/>
        </w:rPr>
        <w:t>万元，其中：财政</w:t>
      </w:r>
      <w:r>
        <w:rPr>
          <w:rFonts w:hint="eastAsia" w:ascii="Times New Roman" w:hAnsi="Times New Roman" w:eastAsia="仿宋_GB2312"/>
          <w:color w:val="000000" w:themeColor="text1"/>
          <w:sz w:val="32"/>
          <w:szCs w:val="32"/>
          <w:highlight w:val="none"/>
        </w:rPr>
        <w:t>拨款</w:t>
      </w:r>
      <w:r>
        <w:rPr>
          <w:rFonts w:ascii="Times New Roman" w:hAnsi="Times New Roman" w:eastAsia="仿宋_GB2312"/>
          <w:color w:val="000000" w:themeColor="text1"/>
          <w:sz w:val="32"/>
          <w:szCs w:val="32"/>
          <w:highlight w:val="none"/>
        </w:rPr>
        <w:t>资金</w:t>
      </w:r>
      <w:r>
        <w:rPr>
          <w:rFonts w:hint="eastAsia" w:ascii="Times New Roman" w:hAnsi="Times New Roman" w:eastAsia="仿宋_GB2312"/>
          <w:color w:val="000000" w:themeColor="text1"/>
          <w:sz w:val="32"/>
          <w:szCs w:val="32"/>
          <w:highlight w:val="none"/>
        </w:rPr>
        <w:t>4000</w:t>
      </w:r>
      <w:r>
        <w:rPr>
          <w:rFonts w:ascii="Times New Roman" w:hAnsi="Times New Roman" w:eastAsia="仿宋_GB2312"/>
          <w:color w:val="000000" w:themeColor="text1"/>
          <w:sz w:val="32"/>
          <w:szCs w:val="32"/>
          <w:highlight w:val="none"/>
        </w:rPr>
        <w:t>万元</w:t>
      </w:r>
      <w:r>
        <w:rPr>
          <w:rFonts w:hint="eastAsia" w:ascii="Times New Roman" w:hAnsi="Times New Roman" w:eastAsia="仿宋_GB2312"/>
          <w:color w:val="000000" w:themeColor="text1"/>
          <w:sz w:val="32"/>
          <w:szCs w:val="32"/>
          <w:highlight w:val="none"/>
        </w:rPr>
        <w:t>，其他资金0万元。</w:t>
      </w:r>
      <w:r>
        <w:rPr>
          <w:rFonts w:ascii="Times New Roman" w:hAnsi="Times New Roman" w:eastAsia="仿宋_GB2312"/>
          <w:color w:val="000000" w:themeColor="text1"/>
          <w:sz w:val="32"/>
          <w:szCs w:val="32"/>
          <w:highlight w:val="none"/>
        </w:rPr>
        <w:t>项目实际支出</w:t>
      </w:r>
      <w:r>
        <w:rPr>
          <w:rFonts w:hint="eastAsia" w:ascii="Times New Roman" w:hAnsi="Times New Roman" w:eastAsia="仿宋_GB2312"/>
          <w:color w:val="000000" w:themeColor="text1"/>
          <w:sz w:val="32"/>
          <w:szCs w:val="32"/>
          <w:highlight w:val="none"/>
        </w:rPr>
        <w:t>3692.72</w:t>
      </w:r>
      <w:r>
        <w:rPr>
          <w:rFonts w:ascii="Times New Roman" w:hAnsi="Times New Roman" w:eastAsia="仿宋_GB2312"/>
          <w:color w:val="000000" w:themeColor="text1"/>
          <w:sz w:val="32"/>
          <w:szCs w:val="32"/>
          <w:highlight w:val="none"/>
        </w:rPr>
        <w:t>万元，支出率为</w:t>
      </w:r>
      <w:r>
        <w:rPr>
          <w:rFonts w:hint="eastAsia" w:ascii="Times New Roman" w:hAnsi="Times New Roman" w:eastAsia="仿宋_GB2312"/>
          <w:color w:val="000000" w:themeColor="text1"/>
          <w:sz w:val="32"/>
          <w:szCs w:val="32"/>
          <w:highlight w:val="none"/>
        </w:rPr>
        <w:t>92.32</w:t>
      </w:r>
      <w:r>
        <w:rPr>
          <w:rFonts w:ascii="Times New Roman" w:hAnsi="Times New Roman" w:eastAsia="仿宋_GB2312"/>
          <w:color w:val="000000" w:themeColor="text1"/>
          <w:sz w:val="32"/>
          <w:szCs w:val="32"/>
          <w:highlight w:val="none"/>
        </w:rPr>
        <w:t>%。</w:t>
      </w:r>
    </w:p>
    <w:p w14:paraId="243E9B5C">
      <w:pPr>
        <w:spacing w:line="560" w:lineRule="exact"/>
        <w:ind w:firstLine="643" w:firstLineChars="200"/>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3、资金投入和使用情况</w:t>
      </w:r>
    </w:p>
    <w:p w14:paraId="59ECB07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（1）资金投入情况</w:t>
      </w:r>
    </w:p>
    <w:p w14:paraId="203E0798">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该项目年初预算数4000万元，全年预算数4000万元，实际总投入4000万元，该项目资金已全部落实到位，资金来源为</w:t>
      </w:r>
      <w:r>
        <w:rPr>
          <w:rFonts w:ascii="Times New Roman" w:hAnsi="Times New Roman" w:eastAsia="仿宋_GB2312"/>
          <w:color w:val="000000" w:themeColor="text1"/>
          <w:sz w:val="32"/>
          <w:szCs w:val="32"/>
          <w:highlight w:val="none"/>
        </w:rPr>
        <w:t>财政</w:t>
      </w:r>
      <w:r>
        <w:rPr>
          <w:rFonts w:hint="eastAsia" w:ascii="Times New Roman" w:hAnsi="Times New Roman" w:eastAsia="仿宋_GB2312"/>
          <w:color w:val="000000" w:themeColor="text1"/>
          <w:sz w:val="32"/>
          <w:szCs w:val="32"/>
          <w:highlight w:val="none"/>
        </w:rPr>
        <w:t>拨款</w:t>
      </w:r>
      <w:r>
        <w:rPr>
          <w:rFonts w:hint="eastAsia" w:ascii="Times New Roman" w:hAnsi="Times New Roman" w:eastAsia="仿宋_GB2312" w:cs="Times New Roman"/>
          <w:sz w:val="32"/>
          <w:szCs w:val="32"/>
          <w:highlight w:val="none"/>
          <w:lang w:val="en-US" w:eastAsia="zh-CN"/>
        </w:rPr>
        <w:t>。</w:t>
      </w:r>
    </w:p>
    <w:p w14:paraId="2C4FDE87">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（2）资金使用情况</w:t>
      </w:r>
    </w:p>
    <w:p w14:paraId="15404335">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该项目年初预算数4000万元，全年预算数4000万元，全年执行数</w:t>
      </w:r>
      <w:r>
        <w:rPr>
          <w:rFonts w:hint="eastAsia" w:ascii="Times New Roman" w:hAnsi="Times New Roman" w:eastAsia="仿宋_GB2312"/>
          <w:color w:val="000000" w:themeColor="text1"/>
          <w:sz w:val="32"/>
          <w:szCs w:val="32"/>
          <w:highlight w:val="none"/>
        </w:rPr>
        <w:t>3692.72</w:t>
      </w:r>
      <w:r>
        <w:rPr>
          <w:rFonts w:hint="eastAsia" w:ascii="Times New Roman" w:hAnsi="Times New Roman" w:eastAsia="仿宋_GB2312" w:cs="Times New Roman"/>
          <w:sz w:val="32"/>
          <w:szCs w:val="32"/>
          <w:highlight w:val="none"/>
          <w:lang w:val="en-US" w:eastAsia="zh-CN"/>
        </w:rPr>
        <w:t>万元，预算执行率为92.32%，主要用于：支付项目实施进程中的各项费用。</w:t>
      </w:r>
    </w:p>
    <w:p w14:paraId="2B693071">
      <w:pPr>
        <w:spacing w:line="560" w:lineRule="exact"/>
        <w:ind w:firstLine="643" w:firstLineChars="200"/>
        <w:rPr>
          <w:rFonts w:hint="eastAsia" w:ascii="Times New Roman" w:hAnsi="Times New Roman" w:eastAsia="仿宋_GB2312" w:cs="Times New Roman"/>
          <w:b/>
          <w:bCs/>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（二）项目绩效目标</w:t>
      </w:r>
    </w:p>
    <w:p w14:paraId="35E8493F">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1、总体目标</w:t>
      </w:r>
    </w:p>
    <w:p w14:paraId="28658766">
      <w:pPr>
        <w:spacing w:line="560" w:lineRule="exact"/>
        <w:ind w:firstLine="640" w:firstLineChars="200"/>
        <w:rPr>
          <w:rFonts w:ascii="Times New Roman" w:hAnsi="Times New Roman"/>
          <w:highlight w:val="none"/>
        </w:rPr>
      </w:pPr>
      <w:r>
        <w:rPr>
          <w:rFonts w:hint="eastAsia" w:ascii="Times New Roman" w:hAnsi="Times New Roman" w:eastAsia="仿宋_GB2312"/>
          <w:sz w:val="32"/>
          <w:szCs w:val="32"/>
          <w:highlight w:val="none"/>
        </w:rPr>
        <w:t>根据《新疆维吾尔自治区人民政府与首都医科大学附属</w:t>
      </w:r>
      <w:r>
        <w:rPr>
          <w:rFonts w:hint="eastAsia" w:eastAsia="仿宋_GB2312"/>
          <w:sz w:val="32"/>
          <w:szCs w:val="32"/>
          <w:highlight w:val="none"/>
          <w:lang w:val="en-US" w:eastAsia="zh-CN"/>
        </w:rPr>
        <w:t>北京</w:t>
      </w:r>
      <w:r>
        <w:rPr>
          <w:rFonts w:hint="eastAsia" w:ascii="Times New Roman" w:hAnsi="Times New Roman" w:eastAsia="仿宋_GB2312"/>
          <w:sz w:val="32"/>
          <w:szCs w:val="32"/>
          <w:highlight w:val="none"/>
        </w:rPr>
        <w:t>儿童医院共建国家儿童区域医疗中心合作协议》，依据国家发展改革委办公厅、国家卫生健康委办公厅《关于区域医疗中心试点项目有关事项的通知》（发改办社会〔2020〕397号）的文件精神，北京儿童医院新疆医院自2020年起的10年内，将持续提升医疗服务水平，以满足国家儿童区域医疗中心设置标准。此举一方面将推动自治区儿科医疗事业发展，提升北京儿童医院新疆医院的医疗技术综合服务水平，弥补专科建设短板，增强整体服务能力，促进区域医疗资源均衡化和均质化；另一方面，将积极开展区域性教学培训、人才培养和儿科疾病临床研究工作，构建资源完备、规模建制完善的国家区域医疗中心。同时，北京儿童医院新疆医院还将承担起新疆区域内、中亚五国、新疆周边及丝绸之路经济带沿线疑难重症患儿的诊治及转运工作，在区域儿科医疗服务领域发挥辐射和引领作用，推动基层医疗机构医学发展和医疗服务能力提升。</w:t>
      </w:r>
    </w:p>
    <w:p w14:paraId="6E317265">
      <w:pPr>
        <w:spacing w:line="560" w:lineRule="exact"/>
        <w:ind w:firstLine="640" w:firstLineChars="200"/>
        <w:rPr>
          <w:rFonts w:ascii="Times New Roman" w:hAnsi="Times New Roman"/>
          <w:highlight w:val="none"/>
        </w:rPr>
      </w:pPr>
      <w:r>
        <w:rPr>
          <w:rFonts w:ascii="Times New Roman" w:hAnsi="Times New Roman" w:eastAsia="仿宋_GB2312"/>
          <w:sz w:val="32"/>
          <w:szCs w:val="32"/>
          <w:highlight w:val="none"/>
        </w:rPr>
        <w:t>2、阶段性目标</w:t>
      </w:r>
    </w:p>
    <w:p w14:paraId="7DF8A68E">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（1）前期准备：通过制定项目实施方案，经项目负责人审核通过后，有序开展后续工作。</w:t>
      </w:r>
    </w:p>
    <w:p w14:paraId="14FD5A9B">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（2）组织实施：资金一到位，立即根据项目要求实施项目。项目责任人按照项目实施方案要求逐一进行项目部署安排，提高项目质量及效率性。</w:t>
      </w:r>
    </w:p>
    <w:p w14:paraId="5DD848B7">
      <w:p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二、绩效评价工作开展情况</w:t>
      </w:r>
    </w:p>
    <w:p w14:paraId="74A43125">
      <w:pPr>
        <w:spacing w:line="560" w:lineRule="exact"/>
        <w:ind w:firstLine="643" w:firstLineChars="200"/>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（一）绩效评价目的、对象和范围</w:t>
      </w:r>
    </w:p>
    <w:p w14:paraId="467727A4">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41BD1044">
      <w:pPr>
        <w:pStyle w:val="17"/>
        <w:spacing w:line="560" w:lineRule="exact"/>
        <w:ind w:firstLine="640" w:firstLineChars="200"/>
        <w:rPr>
          <w:rFonts w:ascii="Times New Roman" w:hAnsi="Times New Roman" w:eastAsia="仿宋_GB2312"/>
          <w:kern w:val="2"/>
          <w:sz w:val="32"/>
          <w:szCs w:val="32"/>
          <w:highlight w:val="none"/>
        </w:rPr>
      </w:pPr>
      <w:r>
        <w:rPr>
          <w:rFonts w:ascii="Times New Roman" w:hAnsi="Times New Roman" w:eastAsia="仿宋_GB2312"/>
          <w:sz w:val="32"/>
          <w:szCs w:val="32"/>
          <w:highlight w:val="none"/>
        </w:rPr>
        <w:t>通过开展有效的财政支出绩效评价管理，</w:t>
      </w:r>
      <w:r>
        <w:rPr>
          <w:rFonts w:hint="eastAsia" w:ascii="Times New Roman" w:hAnsi="Times New Roman"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ascii="Times New Roman" w:hAnsi="Times New Roman" w:eastAsia="仿宋_GB2312"/>
          <w:kern w:val="2"/>
          <w:sz w:val="32"/>
          <w:szCs w:val="32"/>
          <w:highlight w:val="none"/>
        </w:rPr>
        <w:t>改进预算管理、控制节约成本，</w:t>
      </w:r>
      <w:r>
        <w:rPr>
          <w:rFonts w:hint="eastAsia" w:ascii="Times New Roman" w:hAnsi="Times New Roman" w:eastAsia="仿宋_GB2312"/>
          <w:kern w:val="2"/>
          <w:sz w:val="32"/>
          <w:szCs w:val="32"/>
          <w:highlight w:val="none"/>
        </w:rPr>
        <w:t>优化资源配置、</w:t>
      </w:r>
      <w:r>
        <w:rPr>
          <w:rFonts w:ascii="Times New Roman" w:hAnsi="Times New Roman" w:eastAsia="仿宋_GB2312"/>
          <w:kern w:val="2"/>
          <w:sz w:val="32"/>
          <w:szCs w:val="32"/>
          <w:highlight w:val="none"/>
        </w:rPr>
        <w:t>提高预算资金使用效益的目的。</w:t>
      </w:r>
    </w:p>
    <w:p w14:paraId="510528B5">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61F98C67">
      <w:pPr>
        <w:spacing w:line="56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kern w:val="0"/>
          <w:sz w:val="32"/>
          <w:szCs w:val="32"/>
          <w:highlight w:val="none"/>
        </w:rPr>
        <w:t>北京儿童医院新疆医院（国家儿童区域医疗中心）专项补助经费</w:t>
      </w:r>
      <w:r>
        <w:rPr>
          <w:rFonts w:hint="eastAsia" w:ascii="Times New Roman" w:hAnsi="Times New Roman" w:eastAsia="仿宋_GB2312" w:cs="仿宋_GB2312"/>
          <w:sz w:val="32"/>
          <w:szCs w:val="32"/>
          <w:highlight w:val="none"/>
        </w:rPr>
        <w:t>项目所包含的全部项目内容。</w:t>
      </w:r>
    </w:p>
    <w:p w14:paraId="37539EE7">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6A08A9AA">
      <w:pPr>
        <w:spacing w:line="56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kern w:val="0"/>
          <w:sz w:val="32"/>
          <w:szCs w:val="32"/>
          <w:highlight w:val="none"/>
        </w:rPr>
        <w:t>北京儿童医院新疆医院（国家儿童区域医疗中心）专项补助经费</w:t>
      </w:r>
      <w:r>
        <w:rPr>
          <w:rFonts w:hint="eastAsia" w:ascii="Times New Roman" w:hAnsi="Times New Roman" w:eastAsia="仿宋_GB2312" w:cs="仿宋_GB2312"/>
          <w:sz w:val="32"/>
          <w:szCs w:val="32"/>
          <w:highlight w:val="none"/>
        </w:rPr>
        <w:t>项目的决策、过程、产出、效益等。</w:t>
      </w:r>
    </w:p>
    <w:p w14:paraId="46E54144">
      <w:pPr>
        <w:spacing w:line="560" w:lineRule="exact"/>
        <w:ind w:firstLine="643" w:firstLineChars="200"/>
        <w:rPr>
          <w:rFonts w:ascii="Times New Roman" w:hAnsi="Times New Roman"/>
          <w:highlight w:val="none"/>
        </w:rPr>
      </w:pPr>
      <w:r>
        <w:rPr>
          <w:rFonts w:ascii="Times New Roman" w:hAnsi="Times New Roman" w:eastAsia="楷体_GB2312"/>
          <w:b/>
          <w:bCs/>
          <w:sz w:val="32"/>
          <w:szCs w:val="32"/>
          <w:highlight w:val="none"/>
        </w:rPr>
        <w:t>（二）绩效评价原则、评价指标体系（详情见表1）、评价方法、评价标准。</w:t>
      </w:r>
    </w:p>
    <w:p w14:paraId="0EA606BA">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6AFA711B">
      <w:pPr>
        <w:spacing w:line="560" w:lineRule="exact"/>
        <w:ind w:firstLine="640" w:firstLineChars="200"/>
        <w:rPr>
          <w:rFonts w:ascii="Times New Roman" w:hAnsi="Times New Roman" w:eastAsia="仿宋_GB2312"/>
          <w:color w:val="000000"/>
          <w:sz w:val="32"/>
          <w:szCs w:val="32"/>
          <w:highlight w:val="none"/>
        </w:rPr>
      </w:pPr>
      <w:r>
        <w:rPr>
          <w:rFonts w:ascii="Times New Roman" w:hAnsi="Times New Roman" w:eastAsia="仿宋_GB2312"/>
          <w:color w:val="000000"/>
          <w:sz w:val="32"/>
          <w:szCs w:val="32"/>
          <w:highlight w:val="none"/>
        </w:rPr>
        <w:t>本次项目绩效评价遵循以下基本原则：</w:t>
      </w:r>
    </w:p>
    <w:p w14:paraId="4CA0B2CE">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r>
        <w:rPr>
          <w:rFonts w:ascii="Times New Roman" w:hAnsi="Times New Roman" w:eastAsia="仿宋_GB2312"/>
          <w:b w:val="0"/>
          <w:bCs w:val="0"/>
          <w:highlight w:val="none"/>
        </w:rPr>
        <w:t>反映。</w:t>
      </w:r>
    </w:p>
    <w:p w14:paraId="640CCC0D">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56353AA">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354CF853">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0EF80484">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53BC8E62">
      <w:pPr>
        <w:spacing w:line="560" w:lineRule="exact"/>
        <w:ind w:firstLine="708" w:firstLineChars="200"/>
        <w:rPr>
          <w:rFonts w:ascii="Times New Roman" w:hAnsi="Times New Roman"/>
          <w:color w:val="000000"/>
          <w:spacing w:val="17"/>
          <w:sz w:val="32"/>
          <w:szCs w:val="32"/>
          <w:highlight w:val="none"/>
        </w:rPr>
      </w:pPr>
      <w:r>
        <w:rPr>
          <w:rFonts w:ascii="Times New Roman" w:hAnsi="Times New Roman"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48D2F94D">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（1）确定评价指标</w:t>
      </w:r>
    </w:p>
    <w:p w14:paraId="60D2A39D">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5622272">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（2）确定权重</w:t>
      </w:r>
    </w:p>
    <w:p w14:paraId="0D458D4D">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2A1187D">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（3）确定指标标准值</w:t>
      </w:r>
    </w:p>
    <w:p w14:paraId="223A6BA7">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31DAC253">
      <w:pPr>
        <w:pStyle w:val="9"/>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53556221">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5F70F2DF">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65135FFC">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912D17A">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3D1CC2A">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（1）比较法</w:t>
      </w:r>
    </w:p>
    <w:p w14:paraId="480497DB">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通过对绩效目标与实施效果、历史与当期情况，综合分析绩效目标实现程度。对项目最终验收情况与年度绩效目标对比、预算资金执行情况等相关因素进行比较。</w:t>
      </w:r>
    </w:p>
    <w:p w14:paraId="1E1777EC">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（2）因素分析法</w:t>
      </w:r>
    </w:p>
    <w:p w14:paraId="6BC58347">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07506DEA">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w:t>
      </w:r>
      <w:r>
        <w:rPr>
          <w:rFonts w:ascii="Times New Roman" w:hAnsi="Times New Roman" w:eastAsia="仿宋_GB2312"/>
          <w:b w:val="0"/>
          <w:bCs w:val="0"/>
          <w:color w:val="000000"/>
          <w:spacing w:val="17"/>
          <w:kern w:val="2"/>
          <w:highlight w:val="none"/>
        </w:rPr>
        <w:t>评价标准</w:t>
      </w:r>
    </w:p>
    <w:p w14:paraId="20F5104C">
      <w:pPr>
        <w:spacing w:line="560" w:lineRule="exact"/>
        <w:ind w:firstLine="640"/>
        <w:rPr>
          <w:rFonts w:ascii="Times New Roman" w:hAnsi="Times New Roman" w:eastAsia="仿宋_GB2312"/>
          <w:color w:val="000000"/>
          <w:spacing w:val="17"/>
          <w:sz w:val="32"/>
          <w:szCs w:val="32"/>
          <w:highlight w:val="none"/>
        </w:rPr>
      </w:pPr>
      <w:r>
        <w:rPr>
          <w:rFonts w:hint="eastAsia" w:ascii="Times New Roman" w:hAnsi="Times New Roman" w:eastAsia="仿宋_GB2312"/>
          <w:color w:val="000000"/>
          <w:spacing w:val="17"/>
          <w:sz w:val="32"/>
          <w:szCs w:val="32"/>
          <w:highlight w:val="none"/>
        </w:rPr>
        <w:t>绩效评价标准通常包括计划标准、行业标准、历史标准等，用于对绩效指标完成情况进行比较、分析、评价。</w:t>
      </w:r>
      <w:r>
        <w:rPr>
          <w:rFonts w:hint="eastAsia" w:ascii="Times New Roman" w:hAnsi="Times New Roman" w:eastAsia="仿宋_GB2312"/>
          <w:color w:val="000000" w:themeColor="text1"/>
          <w:spacing w:val="17"/>
          <w:sz w:val="32"/>
          <w:szCs w:val="32"/>
          <w:highlight w:val="none"/>
        </w:rPr>
        <w:t>本次评价主要采用了计划标准</w:t>
      </w:r>
      <w:r>
        <w:rPr>
          <w:rFonts w:hint="eastAsia" w:ascii="Times New Roman" w:hAnsi="Times New Roman" w:eastAsia="仿宋_GB2312"/>
          <w:color w:val="000000"/>
          <w:spacing w:val="17"/>
          <w:sz w:val="32"/>
          <w:szCs w:val="32"/>
          <w:highlight w:val="none"/>
        </w:rPr>
        <w:t>。</w:t>
      </w:r>
    </w:p>
    <w:p w14:paraId="2660ABBE">
      <w:pPr>
        <w:spacing w:line="560" w:lineRule="exact"/>
        <w:ind w:firstLine="640"/>
        <w:rPr>
          <w:rFonts w:ascii="Times New Roman" w:hAnsi="Times New Roman" w:eastAsia="仿宋_GB2312"/>
          <w:color w:val="000000"/>
          <w:spacing w:val="17"/>
          <w:sz w:val="32"/>
          <w:szCs w:val="32"/>
          <w:highlight w:val="none"/>
        </w:rPr>
      </w:pPr>
      <w:bookmarkStart w:id="1" w:name="_Toc17882"/>
      <w:bookmarkStart w:id="2" w:name="_Toc31464"/>
      <w:r>
        <w:rPr>
          <w:rFonts w:hint="eastAsia" w:ascii="Times New Roman" w:hAnsi="Times New Roman" w:eastAsia="方正仿宋_GBK" w:cs="方正仿宋_GBK"/>
          <w:b/>
          <w:bCs/>
          <w:sz w:val="32"/>
          <w:szCs w:val="32"/>
          <w:highlight w:val="none"/>
        </w:rPr>
        <w:t>计划标准：</w:t>
      </w:r>
      <w:r>
        <w:rPr>
          <w:rFonts w:hint="eastAsia" w:ascii="Times New Roman" w:hAnsi="Times New Roman" w:eastAsia="仿宋_GB2312"/>
          <w:color w:val="000000"/>
          <w:spacing w:val="17"/>
          <w:sz w:val="32"/>
          <w:szCs w:val="32"/>
          <w:highlight w:val="none"/>
        </w:rPr>
        <w:t>指以预先制定的目标、计划、预算、定额等作为评价标准。</w:t>
      </w:r>
      <w:bookmarkEnd w:id="1"/>
      <w:bookmarkEnd w:id="2"/>
    </w:p>
    <w:p w14:paraId="5ED031DE">
      <w:pPr>
        <w:pStyle w:val="9"/>
        <w:numPr>
          <w:ilvl w:val="0"/>
          <w:numId w:val="2"/>
        </w:numPr>
        <w:spacing w:before="0" w:after="0" w:line="560" w:lineRule="exact"/>
        <w:ind w:firstLine="711" w:firstLineChars="200"/>
        <w:jc w:val="both"/>
        <w:rPr>
          <w:rFonts w:ascii="Times New Roman" w:hAnsi="Times New Roman" w:eastAsia="楷体" w:cs="楷体"/>
          <w:color w:val="000000"/>
          <w:spacing w:val="17"/>
          <w:highlight w:val="none"/>
        </w:rPr>
      </w:pPr>
      <w:r>
        <w:rPr>
          <w:rFonts w:hint="eastAsia" w:ascii="Times New Roman" w:hAnsi="Times New Roman" w:eastAsia="楷体" w:cs="楷体"/>
          <w:color w:val="000000"/>
          <w:spacing w:val="17"/>
          <w:highlight w:val="none"/>
        </w:rPr>
        <w:t>绩效评价工作过程</w:t>
      </w:r>
    </w:p>
    <w:p w14:paraId="5EA8CB7B">
      <w:pPr>
        <w:numPr>
          <w:ilvl w:val="0"/>
          <w:numId w:val="3"/>
        </w:numPr>
        <w:spacing w:line="560" w:lineRule="exact"/>
        <w:ind w:firstLine="640" w:firstLineChars="200"/>
        <w:rPr>
          <w:rFonts w:ascii="Times New Roman" w:hAnsi="Times New Roman" w:eastAsia="仿宋_GB2312"/>
          <w:bCs/>
          <w:sz w:val="32"/>
          <w:szCs w:val="32"/>
          <w:highlight w:val="none"/>
        </w:rPr>
      </w:pPr>
      <w:r>
        <w:rPr>
          <w:rFonts w:hint="eastAsia" w:ascii="Times New Roman" w:hAnsi="Times New Roman"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61D506FE">
      <w:pPr>
        <w:numPr>
          <w:ilvl w:val="0"/>
          <w:numId w:val="3"/>
        </w:numPr>
        <w:spacing w:line="560" w:lineRule="exact"/>
        <w:ind w:firstLine="640" w:firstLineChars="200"/>
        <w:rPr>
          <w:rFonts w:ascii="Times New Roman" w:hAnsi="Times New Roman" w:eastAsia="仿宋_GB2312"/>
          <w:bCs/>
          <w:sz w:val="32"/>
          <w:szCs w:val="32"/>
          <w:highlight w:val="none"/>
        </w:rPr>
      </w:pPr>
      <w:r>
        <w:rPr>
          <w:rFonts w:hint="eastAsia" w:ascii="Times New Roman" w:hAnsi="Times New Roman"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7832B7A8">
      <w:pPr>
        <w:numPr>
          <w:ilvl w:val="0"/>
          <w:numId w:val="3"/>
        </w:numPr>
        <w:spacing w:line="560" w:lineRule="exact"/>
        <w:ind w:firstLine="640" w:firstLineChars="200"/>
        <w:rPr>
          <w:rFonts w:ascii="Times New Roman" w:hAnsi="Times New Roman"/>
          <w:sz w:val="32"/>
          <w:szCs w:val="32"/>
          <w:highlight w:val="none"/>
        </w:rPr>
      </w:pPr>
      <w:r>
        <w:rPr>
          <w:rFonts w:hint="eastAsia" w:ascii="Times New Roman" w:hAnsi="Times New Roman"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0D5E0632">
      <w:pPr>
        <w:numPr>
          <w:ilvl w:val="0"/>
          <w:numId w:val="4"/>
        </w:num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综合评价情况及评价结论（附相关评分表）</w:t>
      </w:r>
    </w:p>
    <w:p w14:paraId="728C181C">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highlight w:val="none"/>
          <w:lang w:val="en-US" w:eastAsia="zh-CN"/>
        </w:rPr>
      </w:pP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一</w:t>
      </w: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评价情况</w:t>
      </w:r>
    </w:p>
    <w:p w14:paraId="2A9A2A59">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w:t>
      </w:r>
      <w:r>
        <w:rPr>
          <w:rFonts w:hint="eastAsia" w:eastAsia="仿宋_GB2312" w:cs="Times New Roman"/>
          <w:b w:val="0"/>
          <w:bCs w:val="0"/>
          <w:kern w:val="28"/>
          <w:sz w:val="32"/>
          <w:szCs w:val="32"/>
          <w:highlight w:val="none"/>
          <w:lang w:val="en-US" w:eastAsia="zh-CN" w:bidi="ar-SA"/>
        </w:rPr>
        <w:t>程中</w:t>
      </w:r>
      <w:r>
        <w:rPr>
          <w:rFonts w:hint="eastAsia" w:ascii="Times New Roman" w:hAnsi="Times New Roman" w:eastAsia="仿宋_GB2312" w:cs="Times New Roman"/>
          <w:b w:val="0"/>
          <w:bCs w:val="0"/>
          <w:kern w:val="28"/>
          <w:sz w:val="32"/>
          <w:szCs w:val="32"/>
          <w:highlight w:val="none"/>
          <w:lang w:val="en-US" w:eastAsia="zh-CN" w:bidi="ar-SA"/>
        </w:rPr>
        <w:t>做到认真履职，监督到位。按照相关制度的要求，项目负责人对项目绩效监控执行情况进行跟踪监督，有效完成了本项目的工作目标，确保资金使用安全和最大效益</w:t>
      </w:r>
      <w:r>
        <w:rPr>
          <w:rFonts w:hint="eastAsia" w:eastAsia="仿宋_GB2312" w:cs="Times New Roman"/>
          <w:b w:val="0"/>
          <w:bCs w:val="0"/>
          <w:kern w:val="28"/>
          <w:sz w:val="32"/>
          <w:szCs w:val="32"/>
          <w:highlight w:val="none"/>
          <w:lang w:val="en-US" w:eastAsia="zh-CN" w:bidi="ar-SA"/>
        </w:rPr>
        <w:t>地</w:t>
      </w:r>
      <w:r>
        <w:rPr>
          <w:rFonts w:hint="eastAsia" w:ascii="Times New Roman" w:hAnsi="Times New Roman" w:eastAsia="仿宋_GB2312" w:cs="Times New Roman"/>
          <w:b w:val="0"/>
          <w:bCs w:val="0"/>
          <w:kern w:val="28"/>
          <w:sz w:val="32"/>
          <w:szCs w:val="32"/>
          <w:highlight w:val="none"/>
          <w:lang w:val="en-US" w:eastAsia="zh-CN" w:bidi="ar-SA"/>
        </w:rPr>
        <w:t>发挥，保障项目如期按要求完成。规范了项目档案资料的整理。项目的实施达到项目预期效果。</w:t>
      </w:r>
    </w:p>
    <w:p w14:paraId="6BC4ACE7">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二</w:t>
      </w: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评价结论</w:t>
      </w:r>
    </w:p>
    <w:p w14:paraId="0DA72E9A">
      <w:pPr>
        <w:pStyle w:val="9"/>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highlight w:val="none"/>
        </w:rPr>
        <w:t>对</w:t>
      </w:r>
      <w:r>
        <w:rPr>
          <w:rFonts w:hint="eastAsia" w:ascii="Times New Roman" w:hAnsi="Times New Roman" w:eastAsia="仿宋_GB2312"/>
          <w:b w:val="0"/>
          <w:bCs w:val="0"/>
          <w:kern w:val="0"/>
          <w:highlight w:val="none"/>
        </w:rPr>
        <w:t>北京儿童医院新疆医院（国家儿童区域医疗中心）专项补助经费</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rPr>
        <w:t>91.</w:t>
      </w:r>
      <w:r>
        <w:rPr>
          <w:rFonts w:hint="eastAsia" w:ascii="Times New Roman" w:hAnsi="Times New Roman" w:eastAsia="仿宋_GB2312"/>
          <w:b w:val="0"/>
          <w:bCs w:val="0"/>
          <w:highlight w:val="none"/>
          <w:lang w:val="en-US" w:eastAsia="zh-CN"/>
        </w:rPr>
        <w:t>37</w:t>
      </w:r>
      <w:r>
        <w:rPr>
          <w:rFonts w:ascii="Times New Roman" w:hAnsi="Times New Roman" w:eastAsia="仿宋_GB2312"/>
          <w:b w:val="0"/>
          <w:bCs w:val="0"/>
          <w:highlight w:val="none"/>
        </w:rPr>
        <w:t>分，属于“优”</w:t>
      </w:r>
      <w:r>
        <w:rPr>
          <w:rFonts w:hint="eastAsia" w:ascii="Times New Roman" w:hAnsi="Times New Roman" w:eastAsia="仿宋_GB2312"/>
          <w:b w:val="0"/>
          <w:bCs w:val="0"/>
          <w:highlight w:val="none"/>
        </w:rPr>
        <w:t>（良、中、差）</w:t>
      </w:r>
      <w:r>
        <w:rPr>
          <w:rFonts w:ascii="Times New Roman" w:hAnsi="Times New Roman" w:eastAsia="仿宋_GB2312"/>
          <w:b w:val="0"/>
          <w:bCs w:val="0"/>
          <w:highlight w:val="none"/>
        </w:rPr>
        <w:t>。其中，项目决策类指标权重为20分，得分为</w:t>
      </w:r>
      <w:r>
        <w:rPr>
          <w:rFonts w:hint="eastAsia" w:ascii="Times New Roman" w:hAnsi="Times New Roman" w:eastAsia="仿宋_GB2312"/>
          <w:b w:val="0"/>
          <w:bCs w:val="0"/>
          <w:highlight w:val="none"/>
        </w:rPr>
        <w:t>18.77</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93.85</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rPr>
        <w:t>1</w:t>
      </w:r>
      <w:r>
        <w:rPr>
          <w:rFonts w:hint="eastAsia" w:ascii="Times New Roman" w:hAnsi="Times New Roman" w:eastAsia="仿宋_GB2312"/>
          <w:b w:val="0"/>
          <w:bCs w:val="0"/>
          <w:highlight w:val="none"/>
          <w:lang w:val="en-US" w:eastAsia="zh-CN"/>
        </w:rPr>
        <w:t>9.3</w:t>
      </w:r>
      <w:r>
        <w:rPr>
          <w:rFonts w:hint="eastAsia" w:ascii="Times New Roman" w:hAnsi="Times New Roman" w:eastAsia="仿宋_GB2312"/>
          <w:b w:val="0"/>
          <w:bCs w:val="0"/>
          <w:highlight w:val="none"/>
        </w:rPr>
        <w:t>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9</w:t>
      </w:r>
      <w:r>
        <w:rPr>
          <w:rFonts w:hint="eastAsia" w:ascii="Times New Roman" w:hAnsi="Times New Roman" w:eastAsia="仿宋_GB2312"/>
          <w:b w:val="0"/>
          <w:bCs w:val="0"/>
          <w:highlight w:val="none"/>
          <w:lang w:val="en-US" w:eastAsia="zh-CN"/>
        </w:rPr>
        <w:t>6.50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rPr>
        <w:t>35.50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88.75</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rPr>
        <w:t>17.80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89</w:t>
      </w:r>
      <w:r>
        <w:rPr>
          <w:rFonts w:ascii="Times New Roman" w:hAnsi="Times New Roman" w:eastAsia="仿宋_GB2312"/>
          <w:b w:val="0"/>
          <w:bCs w:val="0"/>
          <w:highlight w:val="none"/>
        </w:rPr>
        <w:t>%。</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4A813D6A">
      <w:pPr>
        <w:pStyle w:val="9"/>
        <w:rPr>
          <w:rFonts w:ascii="Times New Roman" w:hAnsi="Times New Roman"/>
          <w:highlight w:val="none"/>
        </w:rPr>
      </w:pPr>
      <w:r>
        <w:rPr>
          <w:rFonts w:ascii="Times New Roman" w:hAnsi="Times New Roman" w:eastAsia="仿宋_GB2312"/>
          <w:sz w:val="30"/>
          <w:szCs w:val="30"/>
          <w:highlight w:val="none"/>
        </w:rPr>
        <w:t>表1综合评分表</w:t>
      </w:r>
    </w:p>
    <w:tbl>
      <w:tblPr>
        <w:tblStyle w:val="12"/>
        <w:tblpPr w:leftFromText="180" w:rightFromText="180" w:vertAnchor="text" w:horzAnchor="page" w:tblpX="1002" w:tblpY="-1101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76EBC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1104" w:type="dxa"/>
            <w:shd w:val="clear" w:color="auto" w:fill="BFBFBF"/>
            <w:vAlign w:val="center"/>
          </w:tcPr>
          <w:p w14:paraId="2688208E">
            <w:pPr>
              <w:widowControl/>
              <w:spacing w:line="0" w:lineRule="atLeast"/>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一级指标</w:t>
            </w:r>
          </w:p>
        </w:tc>
        <w:tc>
          <w:tcPr>
            <w:tcW w:w="990" w:type="dxa"/>
            <w:shd w:val="clear" w:color="auto" w:fill="BFBFBF"/>
            <w:vAlign w:val="center"/>
          </w:tcPr>
          <w:p w14:paraId="2B90E008">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分值</w:t>
            </w:r>
          </w:p>
        </w:tc>
        <w:tc>
          <w:tcPr>
            <w:tcW w:w="1283" w:type="dxa"/>
            <w:shd w:val="clear" w:color="auto" w:fill="BFBFBF"/>
            <w:vAlign w:val="center"/>
          </w:tcPr>
          <w:p w14:paraId="715F2632">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二级指标</w:t>
            </w:r>
          </w:p>
        </w:tc>
        <w:tc>
          <w:tcPr>
            <w:tcW w:w="1707" w:type="dxa"/>
            <w:shd w:val="clear" w:color="auto" w:fill="BFBFBF"/>
            <w:vAlign w:val="center"/>
          </w:tcPr>
          <w:p w14:paraId="6A9BA428">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三级指标</w:t>
            </w:r>
          </w:p>
        </w:tc>
        <w:tc>
          <w:tcPr>
            <w:tcW w:w="727" w:type="dxa"/>
            <w:shd w:val="clear" w:color="auto" w:fill="BFBFBF"/>
            <w:vAlign w:val="center"/>
          </w:tcPr>
          <w:p w14:paraId="47ED2FC5">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权重</w:t>
            </w:r>
          </w:p>
        </w:tc>
        <w:tc>
          <w:tcPr>
            <w:tcW w:w="1044" w:type="dxa"/>
            <w:shd w:val="clear" w:color="auto" w:fill="BFBFBF"/>
            <w:vAlign w:val="center"/>
          </w:tcPr>
          <w:p w14:paraId="5F94F76A">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目标值</w:t>
            </w:r>
          </w:p>
        </w:tc>
        <w:tc>
          <w:tcPr>
            <w:tcW w:w="924" w:type="dxa"/>
            <w:shd w:val="clear" w:color="auto" w:fill="BFBFBF"/>
            <w:vAlign w:val="center"/>
          </w:tcPr>
          <w:p w14:paraId="6FBA1C26">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业绩值</w:t>
            </w:r>
          </w:p>
        </w:tc>
        <w:tc>
          <w:tcPr>
            <w:tcW w:w="1215" w:type="dxa"/>
            <w:shd w:val="clear" w:color="auto" w:fill="BFBFBF"/>
            <w:vAlign w:val="center"/>
          </w:tcPr>
          <w:p w14:paraId="7776185B">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得分率</w:t>
            </w:r>
          </w:p>
        </w:tc>
        <w:tc>
          <w:tcPr>
            <w:tcW w:w="960" w:type="dxa"/>
            <w:shd w:val="clear" w:color="auto" w:fill="BFBFBF"/>
            <w:vAlign w:val="center"/>
          </w:tcPr>
          <w:p w14:paraId="52E2C577">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得分</w:t>
            </w:r>
          </w:p>
        </w:tc>
      </w:tr>
      <w:tr w14:paraId="084BA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64B627C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决策　</w:t>
            </w:r>
          </w:p>
          <w:p w14:paraId="5DF5466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5A378905">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763243D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990" w:type="dxa"/>
            <w:vMerge w:val="restart"/>
            <w:shd w:val="clear" w:color="auto" w:fill="FFFFFF"/>
            <w:vAlign w:val="center"/>
          </w:tcPr>
          <w:p w14:paraId="6527F480">
            <w:pPr>
              <w:widowControl/>
              <w:spacing w:line="0" w:lineRule="atLeast"/>
              <w:jc w:val="center"/>
              <w:rPr>
                <w:rFonts w:ascii="Times New Roman" w:hAnsi="Times New Roman"/>
                <w:color w:val="000000"/>
                <w:kern w:val="0"/>
                <w:sz w:val="22"/>
                <w:szCs w:val="22"/>
                <w:highlight w:val="none"/>
              </w:rPr>
            </w:pPr>
            <w:r>
              <w:rPr>
                <w:rFonts w:ascii="Times New Roman" w:hAnsi="Times New Roman"/>
                <w:kern w:val="0"/>
                <w:sz w:val="22"/>
                <w:szCs w:val="22"/>
                <w:highlight w:val="none"/>
              </w:rPr>
              <w:t>20分</w:t>
            </w:r>
          </w:p>
        </w:tc>
        <w:tc>
          <w:tcPr>
            <w:tcW w:w="1283" w:type="dxa"/>
            <w:vMerge w:val="restart"/>
            <w:shd w:val="clear" w:color="auto" w:fill="FFFFFF"/>
            <w:vAlign w:val="center"/>
          </w:tcPr>
          <w:p w14:paraId="07DF886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项目立项　</w:t>
            </w:r>
          </w:p>
        </w:tc>
        <w:tc>
          <w:tcPr>
            <w:tcW w:w="1707" w:type="dxa"/>
            <w:shd w:val="clear" w:color="auto" w:fill="FFFFFF"/>
            <w:vAlign w:val="center"/>
          </w:tcPr>
          <w:p w14:paraId="120BF55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立项依据</w:t>
            </w:r>
          </w:p>
          <w:p w14:paraId="4FDDE2A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充分性</w:t>
            </w:r>
          </w:p>
        </w:tc>
        <w:tc>
          <w:tcPr>
            <w:tcW w:w="727" w:type="dxa"/>
            <w:shd w:val="clear" w:color="auto" w:fill="FFFFFF"/>
            <w:vAlign w:val="center"/>
          </w:tcPr>
          <w:p w14:paraId="141C7BC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1044" w:type="dxa"/>
            <w:shd w:val="clear" w:color="auto" w:fill="FFFFFF"/>
            <w:vAlign w:val="center"/>
          </w:tcPr>
          <w:p w14:paraId="519E306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w:t>
            </w:r>
          </w:p>
        </w:tc>
        <w:tc>
          <w:tcPr>
            <w:tcW w:w="924" w:type="dxa"/>
            <w:shd w:val="clear" w:color="auto" w:fill="FFFFFF"/>
            <w:vAlign w:val="center"/>
          </w:tcPr>
          <w:p w14:paraId="773410D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w:t>
            </w:r>
          </w:p>
        </w:tc>
        <w:tc>
          <w:tcPr>
            <w:tcW w:w="1215" w:type="dxa"/>
            <w:shd w:val="clear" w:color="auto" w:fill="FFFFFF"/>
            <w:vAlign w:val="center"/>
          </w:tcPr>
          <w:p w14:paraId="2450DF6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c>
          <w:tcPr>
            <w:tcW w:w="960" w:type="dxa"/>
            <w:shd w:val="clear" w:color="auto" w:fill="FFFFFF"/>
            <w:vAlign w:val="center"/>
          </w:tcPr>
          <w:p w14:paraId="06CF4796">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2.85</w:t>
            </w:r>
          </w:p>
        </w:tc>
      </w:tr>
      <w:tr w14:paraId="10C98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D28B5B7">
            <w:pPr>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5CDFA19C">
            <w:pPr>
              <w:widowControl/>
              <w:spacing w:line="0" w:lineRule="atLeast"/>
              <w:jc w:val="center"/>
              <w:rPr>
                <w:rFonts w:ascii="Times New Roman" w:hAnsi="Times New Roman"/>
                <w:color w:val="000000"/>
                <w:kern w:val="0"/>
                <w:sz w:val="22"/>
                <w:szCs w:val="22"/>
                <w:highlight w:val="none"/>
              </w:rPr>
            </w:pPr>
          </w:p>
        </w:tc>
        <w:tc>
          <w:tcPr>
            <w:tcW w:w="1283" w:type="dxa"/>
            <w:vMerge w:val="continue"/>
            <w:shd w:val="clear" w:color="auto" w:fill="FFFFFF"/>
            <w:vAlign w:val="center"/>
          </w:tcPr>
          <w:p w14:paraId="41A3FD48">
            <w:pPr>
              <w:widowControl/>
              <w:spacing w:line="0" w:lineRule="atLeast"/>
              <w:jc w:val="center"/>
              <w:rPr>
                <w:rFonts w:ascii="Times New Roman" w:hAnsi="Times New Roman"/>
                <w:color w:val="000000"/>
                <w:kern w:val="0"/>
                <w:sz w:val="22"/>
                <w:szCs w:val="22"/>
                <w:highlight w:val="none"/>
              </w:rPr>
            </w:pPr>
          </w:p>
        </w:tc>
        <w:tc>
          <w:tcPr>
            <w:tcW w:w="1707" w:type="dxa"/>
            <w:shd w:val="clear" w:color="auto" w:fill="FFFFFF"/>
            <w:vAlign w:val="center"/>
          </w:tcPr>
          <w:p w14:paraId="225041C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立项程序</w:t>
            </w:r>
          </w:p>
          <w:p w14:paraId="6758151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规范性</w:t>
            </w:r>
          </w:p>
        </w:tc>
        <w:tc>
          <w:tcPr>
            <w:tcW w:w="727" w:type="dxa"/>
            <w:shd w:val="clear" w:color="auto" w:fill="FFFFFF"/>
            <w:vAlign w:val="center"/>
          </w:tcPr>
          <w:p w14:paraId="247A434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1044" w:type="dxa"/>
            <w:shd w:val="clear" w:color="auto" w:fill="FFFFFF"/>
            <w:vAlign w:val="center"/>
          </w:tcPr>
          <w:p w14:paraId="72FE1D1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w:t>
            </w:r>
          </w:p>
        </w:tc>
        <w:tc>
          <w:tcPr>
            <w:tcW w:w="924" w:type="dxa"/>
            <w:shd w:val="clear" w:color="auto" w:fill="FFFFFF"/>
            <w:vAlign w:val="center"/>
          </w:tcPr>
          <w:p w14:paraId="1C3BF4A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w:t>
            </w:r>
          </w:p>
        </w:tc>
        <w:tc>
          <w:tcPr>
            <w:tcW w:w="1215" w:type="dxa"/>
            <w:shd w:val="clear" w:color="auto" w:fill="FFFFFF"/>
            <w:vAlign w:val="center"/>
          </w:tcPr>
          <w:p w14:paraId="40A86788">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c>
          <w:tcPr>
            <w:tcW w:w="960" w:type="dxa"/>
            <w:shd w:val="clear" w:color="auto" w:fill="FFFFFF"/>
            <w:vAlign w:val="center"/>
          </w:tcPr>
          <w:p w14:paraId="26CF7A1F">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2.85</w:t>
            </w:r>
          </w:p>
        </w:tc>
      </w:tr>
      <w:tr w14:paraId="6CF42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60F06F9">
            <w:pPr>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22058B33">
            <w:pPr>
              <w:widowControl/>
              <w:spacing w:line="0" w:lineRule="atLeast"/>
              <w:jc w:val="center"/>
              <w:rPr>
                <w:rFonts w:ascii="Times New Roman" w:hAnsi="Times New Roman"/>
                <w:color w:val="000000"/>
                <w:kern w:val="0"/>
                <w:sz w:val="22"/>
                <w:szCs w:val="22"/>
                <w:highlight w:val="none"/>
              </w:rPr>
            </w:pPr>
          </w:p>
        </w:tc>
        <w:tc>
          <w:tcPr>
            <w:tcW w:w="1283" w:type="dxa"/>
            <w:vMerge w:val="restart"/>
            <w:shd w:val="clear" w:color="auto" w:fill="FFFFFF"/>
            <w:vAlign w:val="center"/>
          </w:tcPr>
          <w:p w14:paraId="6604D65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　</w:t>
            </w:r>
          </w:p>
        </w:tc>
        <w:tc>
          <w:tcPr>
            <w:tcW w:w="1707" w:type="dxa"/>
            <w:shd w:val="clear" w:color="auto" w:fill="FFFFFF"/>
            <w:vAlign w:val="center"/>
          </w:tcPr>
          <w:p w14:paraId="11DFDE4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w:t>
            </w:r>
          </w:p>
          <w:p w14:paraId="4899EBF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727" w:type="dxa"/>
            <w:shd w:val="clear" w:color="000000" w:fill="FFFFFF"/>
            <w:vAlign w:val="center"/>
          </w:tcPr>
          <w:p w14:paraId="34322CE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1044" w:type="dxa"/>
            <w:shd w:val="clear" w:color="000000" w:fill="FFFFFF"/>
            <w:vAlign w:val="center"/>
          </w:tcPr>
          <w:p w14:paraId="52C5883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924" w:type="dxa"/>
            <w:shd w:val="clear" w:color="000000" w:fill="FFFFFF"/>
            <w:vAlign w:val="center"/>
          </w:tcPr>
          <w:p w14:paraId="72A89C0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1215" w:type="dxa"/>
            <w:shd w:val="clear" w:color="000000" w:fill="FFFFFF"/>
            <w:vAlign w:val="center"/>
          </w:tcPr>
          <w:p w14:paraId="2C31E723">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c>
          <w:tcPr>
            <w:tcW w:w="960" w:type="dxa"/>
            <w:shd w:val="clear" w:color="000000" w:fill="FFFFFF"/>
            <w:vAlign w:val="center"/>
          </w:tcPr>
          <w:p w14:paraId="25943266">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2.85</w:t>
            </w:r>
          </w:p>
        </w:tc>
      </w:tr>
      <w:tr w14:paraId="00E63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3A4FF79">
            <w:pPr>
              <w:widowControl/>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46627DA5">
            <w:pPr>
              <w:widowControl/>
              <w:spacing w:line="0" w:lineRule="atLeast"/>
              <w:jc w:val="center"/>
              <w:rPr>
                <w:rFonts w:ascii="Times New Roman" w:hAnsi="Times New Roman"/>
                <w:color w:val="000000"/>
                <w:kern w:val="0"/>
                <w:sz w:val="22"/>
                <w:szCs w:val="22"/>
                <w:highlight w:val="none"/>
              </w:rPr>
            </w:pPr>
          </w:p>
        </w:tc>
        <w:tc>
          <w:tcPr>
            <w:tcW w:w="1283" w:type="dxa"/>
            <w:vMerge w:val="continue"/>
            <w:shd w:val="clear" w:color="auto" w:fill="FFFFFF"/>
            <w:vAlign w:val="center"/>
          </w:tcPr>
          <w:p w14:paraId="13A4A20B">
            <w:pPr>
              <w:widowControl/>
              <w:spacing w:line="0" w:lineRule="atLeast"/>
              <w:jc w:val="center"/>
              <w:rPr>
                <w:rFonts w:ascii="Times New Roman" w:hAnsi="Times New Roman"/>
                <w:color w:val="000000"/>
                <w:kern w:val="0"/>
                <w:sz w:val="22"/>
                <w:szCs w:val="22"/>
                <w:highlight w:val="none"/>
              </w:rPr>
            </w:pPr>
          </w:p>
        </w:tc>
        <w:tc>
          <w:tcPr>
            <w:tcW w:w="1707" w:type="dxa"/>
            <w:shd w:val="clear" w:color="auto" w:fill="FFFFFF"/>
            <w:vAlign w:val="center"/>
          </w:tcPr>
          <w:p w14:paraId="336125A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绩效指标</w:t>
            </w:r>
          </w:p>
          <w:p w14:paraId="066967C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明确性</w:t>
            </w:r>
          </w:p>
        </w:tc>
        <w:tc>
          <w:tcPr>
            <w:tcW w:w="727" w:type="dxa"/>
            <w:shd w:val="clear" w:color="000000" w:fill="FFFFFF"/>
            <w:vAlign w:val="center"/>
          </w:tcPr>
          <w:p w14:paraId="40374F6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1044" w:type="dxa"/>
            <w:shd w:val="clear" w:color="000000" w:fill="FFFFFF"/>
            <w:vAlign w:val="center"/>
          </w:tcPr>
          <w:p w14:paraId="77787DB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w:t>
            </w:r>
          </w:p>
        </w:tc>
        <w:tc>
          <w:tcPr>
            <w:tcW w:w="924" w:type="dxa"/>
            <w:shd w:val="clear" w:color="000000" w:fill="FFFFFF"/>
            <w:vAlign w:val="center"/>
          </w:tcPr>
          <w:p w14:paraId="60526D5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w:t>
            </w:r>
          </w:p>
        </w:tc>
        <w:tc>
          <w:tcPr>
            <w:tcW w:w="1215" w:type="dxa"/>
            <w:shd w:val="clear" w:color="000000" w:fill="FFFFFF"/>
            <w:vAlign w:val="center"/>
          </w:tcPr>
          <w:p w14:paraId="15C3AEE4">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p>
        </w:tc>
        <w:tc>
          <w:tcPr>
            <w:tcW w:w="960" w:type="dxa"/>
            <w:shd w:val="clear" w:color="000000" w:fill="FFFFFF"/>
            <w:vAlign w:val="center"/>
          </w:tcPr>
          <w:p w14:paraId="7A4B20E2">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2.70</w:t>
            </w:r>
          </w:p>
        </w:tc>
      </w:tr>
      <w:tr w14:paraId="58E1C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A0ECA5F">
            <w:pPr>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6B99EA52">
            <w:pPr>
              <w:spacing w:line="0" w:lineRule="atLeast"/>
              <w:jc w:val="center"/>
              <w:rPr>
                <w:rFonts w:ascii="Times New Roman" w:hAnsi="Times New Roman"/>
                <w:color w:val="000000"/>
                <w:kern w:val="0"/>
                <w:sz w:val="22"/>
                <w:szCs w:val="22"/>
                <w:highlight w:val="none"/>
              </w:rPr>
            </w:pPr>
          </w:p>
        </w:tc>
        <w:tc>
          <w:tcPr>
            <w:tcW w:w="1283" w:type="dxa"/>
            <w:vMerge w:val="restart"/>
            <w:shd w:val="clear" w:color="auto" w:fill="FFFFFF"/>
            <w:vAlign w:val="center"/>
          </w:tcPr>
          <w:p w14:paraId="5F936D0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资金投入</w:t>
            </w:r>
          </w:p>
        </w:tc>
        <w:tc>
          <w:tcPr>
            <w:tcW w:w="1707" w:type="dxa"/>
            <w:shd w:val="clear" w:color="auto" w:fill="FFFFFF"/>
            <w:vAlign w:val="center"/>
          </w:tcPr>
          <w:p w14:paraId="0CF41AC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预算编制</w:t>
            </w:r>
          </w:p>
          <w:p w14:paraId="7E3E76F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科学性</w:t>
            </w:r>
          </w:p>
        </w:tc>
        <w:tc>
          <w:tcPr>
            <w:tcW w:w="727" w:type="dxa"/>
            <w:shd w:val="clear" w:color="auto" w:fill="FFFFFF"/>
            <w:vAlign w:val="center"/>
          </w:tcPr>
          <w:p w14:paraId="488BF8D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1044" w:type="dxa"/>
            <w:shd w:val="clear" w:color="auto" w:fill="FFFFFF"/>
            <w:vAlign w:val="center"/>
          </w:tcPr>
          <w:p w14:paraId="5EBC7BB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w:t>
            </w:r>
          </w:p>
        </w:tc>
        <w:tc>
          <w:tcPr>
            <w:tcW w:w="924" w:type="dxa"/>
            <w:shd w:val="clear" w:color="auto" w:fill="FFFFFF"/>
            <w:vAlign w:val="center"/>
          </w:tcPr>
          <w:p w14:paraId="706F01F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w:t>
            </w:r>
          </w:p>
        </w:tc>
        <w:tc>
          <w:tcPr>
            <w:tcW w:w="1215" w:type="dxa"/>
            <w:shd w:val="clear" w:color="auto" w:fill="FFFFFF"/>
            <w:vAlign w:val="center"/>
          </w:tcPr>
          <w:p w14:paraId="6FD4B5FE">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c>
          <w:tcPr>
            <w:tcW w:w="960" w:type="dxa"/>
            <w:shd w:val="clear" w:color="auto" w:fill="FFFFFF"/>
            <w:vAlign w:val="center"/>
          </w:tcPr>
          <w:p w14:paraId="79CE1203">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3.8</w:t>
            </w:r>
          </w:p>
        </w:tc>
      </w:tr>
      <w:tr w14:paraId="57805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EA520D0">
            <w:pPr>
              <w:widowControl/>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597A6141">
            <w:pPr>
              <w:widowControl/>
              <w:spacing w:line="0" w:lineRule="atLeast"/>
              <w:jc w:val="center"/>
              <w:rPr>
                <w:rFonts w:ascii="Times New Roman" w:hAnsi="Times New Roman"/>
                <w:color w:val="000000"/>
                <w:kern w:val="0"/>
                <w:sz w:val="22"/>
                <w:szCs w:val="22"/>
                <w:highlight w:val="none"/>
              </w:rPr>
            </w:pPr>
          </w:p>
        </w:tc>
        <w:tc>
          <w:tcPr>
            <w:tcW w:w="1283" w:type="dxa"/>
            <w:vMerge w:val="continue"/>
            <w:shd w:val="clear" w:color="auto" w:fill="FFFFFF"/>
            <w:vAlign w:val="center"/>
          </w:tcPr>
          <w:p w14:paraId="6E1BC57F">
            <w:pPr>
              <w:widowControl/>
              <w:spacing w:line="0" w:lineRule="atLeast"/>
              <w:jc w:val="center"/>
              <w:rPr>
                <w:rFonts w:ascii="Times New Roman" w:hAnsi="Times New Roman"/>
                <w:color w:val="000000"/>
                <w:kern w:val="0"/>
                <w:sz w:val="22"/>
                <w:szCs w:val="22"/>
                <w:highlight w:val="none"/>
              </w:rPr>
            </w:pPr>
          </w:p>
        </w:tc>
        <w:tc>
          <w:tcPr>
            <w:tcW w:w="1707" w:type="dxa"/>
            <w:shd w:val="clear" w:color="auto" w:fill="FFFFFF"/>
            <w:vAlign w:val="center"/>
          </w:tcPr>
          <w:p w14:paraId="211C6B5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资金分配</w:t>
            </w:r>
          </w:p>
          <w:p w14:paraId="3E51429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727" w:type="dxa"/>
            <w:shd w:val="clear" w:color="auto" w:fill="FFFFFF"/>
            <w:vAlign w:val="center"/>
          </w:tcPr>
          <w:p w14:paraId="38780F9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1044" w:type="dxa"/>
            <w:shd w:val="clear" w:color="auto" w:fill="FFFFFF"/>
            <w:vAlign w:val="center"/>
          </w:tcPr>
          <w:p w14:paraId="296DD9D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924" w:type="dxa"/>
            <w:shd w:val="clear" w:color="auto" w:fill="FFFFFF"/>
            <w:vAlign w:val="center"/>
          </w:tcPr>
          <w:p w14:paraId="261EEC3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1215" w:type="dxa"/>
            <w:shd w:val="clear" w:color="auto" w:fill="FFFFFF"/>
            <w:vAlign w:val="center"/>
          </w:tcPr>
          <w:p w14:paraId="7F3EEA57">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93%</w:t>
            </w:r>
          </w:p>
        </w:tc>
        <w:tc>
          <w:tcPr>
            <w:tcW w:w="960" w:type="dxa"/>
            <w:shd w:val="clear" w:color="auto" w:fill="FFFFFF"/>
            <w:vAlign w:val="center"/>
          </w:tcPr>
          <w:p w14:paraId="2B6401B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3.72</w:t>
            </w:r>
          </w:p>
        </w:tc>
      </w:tr>
      <w:tr w14:paraId="14D4A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64AB5621">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过程</w:t>
            </w:r>
          </w:p>
          <w:p w14:paraId="42EBC077">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990" w:type="dxa"/>
            <w:vMerge w:val="restart"/>
            <w:shd w:val="clear" w:color="auto" w:fill="FFFFFF"/>
            <w:vAlign w:val="center"/>
          </w:tcPr>
          <w:p w14:paraId="00C4497D">
            <w:pPr>
              <w:widowControl/>
              <w:spacing w:line="0" w:lineRule="atLeast"/>
              <w:jc w:val="center"/>
              <w:rPr>
                <w:rFonts w:ascii="Times New Roman" w:hAnsi="Times New Roman"/>
                <w:color w:val="000000"/>
                <w:kern w:val="0"/>
                <w:sz w:val="22"/>
                <w:szCs w:val="22"/>
                <w:highlight w:val="none"/>
              </w:rPr>
            </w:pPr>
            <w:r>
              <w:rPr>
                <w:rFonts w:ascii="Times New Roman" w:hAnsi="Times New Roman"/>
                <w:kern w:val="0"/>
                <w:sz w:val="22"/>
                <w:szCs w:val="22"/>
                <w:highlight w:val="none"/>
              </w:rPr>
              <w:t>20分</w:t>
            </w:r>
          </w:p>
        </w:tc>
        <w:tc>
          <w:tcPr>
            <w:tcW w:w="1283" w:type="dxa"/>
            <w:vMerge w:val="restart"/>
            <w:shd w:val="clear" w:color="auto" w:fill="FFFFFF"/>
            <w:vAlign w:val="center"/>
          </w:tcPr>
          <w:p w14:paraId="57C5C3C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1707" w:type="dxa"/>
            <w:shd w:val="clear" w:color="auto" w:fill="FFFFFF"/>
            <w:vAlign w:val="center"/>
          </w:tcPr>
          <w:p w14:paraId="4433BDA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资金到位率</w:t>
            </w:r>
          </w:p>
        </w:tc>
        <w:tc>
          <w:tcPr>
            <w:tcW w:w="727" w:type="dxa"/>
            <w:shd w:val="clear" w:color="000000" w:fill="FFFFFF"/>
            <w:vAlign w:val="center"/>
          </w:tcPr>
          <w:p w14:paraId="4228FBA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1044" w:type="dxa"/>
            <w:shd w:val="clear" w:color="000000" w:fill="FFFFFF"/>
            <w:vAlign w:val="center"/>
          </w:tcPr>
          <w:p w14:paraId="0534A32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924" w:type="dxa"/>
            <w:shd w:val="clear" w:color="000000" w:fill="FFFFFF"/>
            <w:vAlign w:val="center"/>
          </w:tcPr>
          <w:p w14:paraId="7CF1543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r>
              <w:rPr>
                <w:rFonts w:ascii="Times New Roman" w:hAnsi="Times New Roman"/>
                <w:color w:val="000000"/>
                <w:kern w:val="0"/>
                <w:sz w:val="22"/>
                <w:szCs w:val="22"/>
                <w:highlight w:val="none"/>
              </w:rPr>
              <w:t>%</w:t>
            </w:r>
          </w:p>
        </w:tc>
        <w:tc>
          <w:tcPr>
            <w:tcW w:w="1215" w:type="dxa"/>
            <w:shd w:val="clear" w:color="000000" w:fill="FFFFFF"/>
            <w:vAlign w:val="center"/>
          </w:tcPr>
          <w:p w14:paraId="34095EB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960" w:type="dxa"/>
            <w:shd w:val="clear" w:color="000000" w:fill="FFFFFF"/>
            <w:vAlign w:val="center"/>
          </w:tcPr>
          <w:p w14:paraId="02411B98">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68CFA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A2F03E">
            <w:pPr>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5645C2DD">
            <w:pPr>
              <w:spacing w:line="0" w:lineRule="atLeast"/>
              <w:jc w:val="center"/>
              <w:rPr>
                <w:rFonts w:ascii="Times New Roman" w:hAnsi="Times New Roman"/>
                <w:color w:val="000000"/>
                <w:kern w:val="0"/>
                <w:sz w:val="22"/>
                <w:szCs w:val="22"/>
                <w:highlight w:val="none"/>
              </w:rPr>
            </w:pPr>
          </w:p>
        </w:tc>
        <w:tc>
          <w:tcPr>
            <w:tcW w:w="1283" w:type="dxa"/>
            <w:vMerge w:val="continue"/>
            <w:shd w:val="clear" w:color="auto" w:fill="FFFFFF"/>
            <w:vAlign w:val="center"/>
          </w:tcPr>
          <w:p w14:paraId="20B2976E">
            <w:pPr>
              <w:spacing w:line="0" w:lineRule="atLeast"/>
              <w:jc w:val="center"/>
              <w:rPr>
                <w:rFonts w:ascii="Times New Roman" w:hAnsi="Times New Roman"/>
                <w:color w:val="000000"/>
                <w:kern w:val="0"/>
                <w:sz w:val="22"/>
                <w:szCs w:val="22"/>
                <w:highlight w:val="none"/>
              </w:rPr>
            </w:pPr>
          </w:p>
        </w:tc>
        <w:tc>
          <w:tcPr>
            <w:tcW w:w="1707" w:type="dxa"/>
            <w:shd w:val="clear" w:color="auto" w:fill="FFFFFF"/>
            <w:vAlign w:val="center"/>
          </w:tcPr>
          <w:p w14:paraId="70AD65B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预算执行率</w:t>
            </w:r>
          </w:p>
        </w:tc>
        <w:tc>
          <w:tcPr>
            <w:tcW w:w="727" w:type="dxa"/>
            <w:shd w:val="clear" w:color="auto" w:fill="FFFFFF"/>
            <w:vAlign w:val="center"/>
          </w:tcPr>
          <w:p w14:paraId="6285D2C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1044" w:type="dxa"/>
            <w:shd w:val="clear" w:color="auto" w:fill="FFFFFF"/>
            <w:vAlign w:val="center"/>
          </w:tcPr>
          <w:p w14:paraId="422F532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924" w:type="dxa"/>
            <w:shd w:val="clear" w:color="auto" w:fill="FFFFFF"/>
            <w:vAlign w:val="center"/>
          </w:tcPr>
          <w:p w14:paraId="22593231">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r>
              <w:rPr>
                <w:rFonts w:ascii="Times New Roman" w:hAnsi="Times New Roman"/>
                <w:color w:val="000000"/>
                <w:kern w:val="0"/>
                <w:sz w:val="22"/>
                <w:szCs w:val="22"/>
                <w:highlight w:val="none"/>
              </w:rPr>
              <w:t>%</w:t>
            </w:r>
          </w:p>
        </w:tc>
        <w:tc>
          <w:tcPr>
            <w:tcW w:w="1215" w:type="dxa"/>
            <w:shd w:val="clear" w:color="auto" w:fill="FFFFFF"/>
            <w:vAlign w:val="center"/>
          </w:tcPr>
          <w:p w14:paraId="102AC40E">
            <w:pPr>
              <w:widowControl/>
              <w:spacing w:line="0" w:lineRule="atLeast"/>
              <w:jc w:val="center"/>
              <w:rPr>
                <w:rFonts w:ascii="Times New Roman" w:hAnsi="Times New Roman"/>
                <w:color w:val="000000"/>
                <w:kern w:val="0"/>
                <w:sz w:val="22"/>
                <w:szCs w:val="22"/>
                <w:highlight w:val="none"/>
              </w:rPr>
            </w:pPr>
            <w:r>
              <w:rPr>
                <w:rFonts w:hint="eastAsia"/>
                <w:color w:val="000000"/>
                <w:kern w:val="0"/>
                <w:sz w:val="22"/>
                <w:szCs w:val="22"/>
                <w:highlight w:val="none"/>
                <w:lang w:val="en-US" w:eastAsia="zh-CN"/>
              </w:rPr>
              <w:t>92.32</w:t>
            </w:r>
            <w:r>
              <w:rPr>
                <w:rFonts w:ascii="Times New Roman" w:hAnsi="Times New Roman"/>
                <w:color w:val="000000"/>
                <w:kern w:val="0"/>
                <w:sz w:val="22"/>
                <w:szCs w:val="22"/>
                <w:highlight w:val="none"/>
              </w:rPr>
              <w:t>%</w:t>
            </w:r>
          </w:p>
        </w:tc>
        <w:tc>
          <w:tcPr>
            <w:tcW w:w="960" w:type="dxa"/>
            <w:shd w:val="clear" w:color="auto" w:fill="FFFFFF"/>
            <w:vAlign w:val="center"/>
          </w:tcPr>
          <w:p w14:paraId="4798DDC6">
            <w:pPr>
              <w:widowControl/>
              <w:spacing w:line="0" w:lineRule="atLeast"/>
              <w:jc w:val="center"/>
              <w:rPr>
                <w:rFonts w:hint="default" w:ascii="Times New Roman" w:hAnsi="Times New Roman" w:eastAsia="宋体"/>
                <w:color w:val="000000"/>
                <w:kern w:val="0"/>
                <w:sz w:val="22"/>
                <w:szCs w:val="22"/>
                <w:highlight w:val="none"/>
                <w:lang w:val="en-US" w:eastAsia="zh-CN"/>
              </w:rPr>
            </w:pPr>
            <w:r>
              <w:rPr>
                <w:rFonts w:hint="eastAsia"/>
                <w:color w:val="000000"/>
                <w:kern w:val="0"/>
                <w:sz w:val="22"/>
                <w:szCs w:val="22"/>
                <w:highlight w:val="none"/>
                <w:lang w:val="en-US" w:eastAsia="zh-CN"/>
              </w:rPr>
              <w:t>3.7</w:t>
            </w:r>
          </w:p>
        </w:tc>
      </w:tr>
      <w:tr w14:paraId="3B659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104" w:type="dxa"/>
            <w:vMerge w:val="continue"/>
            <w:shd w:val="clear" w:color="auto" w:fill="FFFFFF"/>
            <w:vAlign w:val="center"/>
          </w:tcPr>
          <w:p w14:paraId="36A197B9">
            <w:pPr>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7642372E">
            <w:pPr>
              <w:widowControl/>
              <w:spacing w:line="0" w:lineRule="atLeast"/>
              <w:jc w:val="center"/>
              <w:rPr>
                <w:rFonts w:ascii="Times New Roman" w:hAnsi="Times New Roman"/>
                <w:color w:val="000000"/>
                <w:kern w:val="0"/>
                <w:sz w:val="22"/>
                <w:szCs w:val="22"/>
                <w:highlight w:val="none"/>
              </w:rPr>
            </w:pPr>
          </w:p>
        </w:tc>
        <w:tc>
          <w:tcPr>
            <w:tcW w:w="1283" w:type="dxa"/>
            <w:shd w:val="clear" w:color="auto" w:fill="FFFFFF"/>
            <w:vAlign w:val="center"/>
          </w:tcPr>
          <w:p w14:paraId="63BE36C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1707" w:type="dxa"/>
            <w:shd w:val="clear" w:color="auto" w:fill="FFFFFF"/>
            <w:vAlign w:val="center"/>
          </w:tcPr>
          <w:p w14:paraId="1E7044A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资金使用</w:t>
            </w:r>
          </w:p>
          <w:p w14:paraId="61FF1FA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合规性</w:t>
            </w:r>
          </w:p>
        </w:tc>
        <w:tc>
          <w:tcPr>
            <w:tcW w:w="727" w:type="dxa"/>
            <w:shd w:val="clear" w:color="000000" w:fill="FFFFFF"/>
            <w:vAlign w:val="center"/>
          </w:tcPr>
          <w:p w14:paraId="0FF34CA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1044" w:type="dxa"/>
            <w:shd w:val="clear" w:color="000000" w:fill="FFFFFF"/>
            <w:vAlign w:val="center"/>
          </w:tcPr>
          <w:p w14:paraId="50065E1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合格</w:t>
            </w:r>
          </w:p>
        </w:tc>
        <w:tc>
          <w:tcPr>
            <w:tcW w:w="924" w:type="dxa"/>
            <w:shd w:val="clear" w:color="000000" w:fill="FFFFFF"/>
            <w:vAlign w:val="center"/>
          </w:tcPr>
          <w:p w14:paraId="04ED2A4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合格</w:t>
            </w:r>
          </w:p>
        </w:tc>
        <w:tc>
          <w:tcPr>
            <w:tcW w:w="1215" w:type="dxa"/>
            <w:shd w:val="clear" w:color="000000" w:fill="FFFFFF"/>
            <w:vAlign w:val="center"/>
          </w:tcPr>
          <w:p w14:paraId="5A283E0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960" w:type="dxa"/>
            <w:shd w:val="clear" w:color="000000" w:fill="FFFFFF"/>
            <w:vAlign w:val="center"/>
          </w:tcPr>
          <w:p w14:paraId="272A016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14615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36684ED">
            <w:pPr>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39B9DFBB">
            <w:pPr>
              <w:spacing w:line="0" w:lineRule="atLeast"/>
              <w:jc w:val="center"/>
              <w:rPr>
                <w:rFonts w:ascii="Times New Roman" w:hAnsi="Times New Roman"/>
                <w:color w:val="000000"/>
                <w:kern w:val="0"/>
                <w:sz w:val="22"/>
                <w:szCs w:val="22"/>
                <w:highlight w:val="none"/>
              </w:rPr>
            </w:pPr>
          </w:p>
        </w:tc>
        <w:tc>
          <w:tcPr>
            <w:tcW w:w="1283" w:type="dxa"/>
            <w:vMerge w:val="restart"/>
            <w:shd w:val="clear" w:color="auto" w:fill="FFFFFF"/>
            <w:vAlign w:val="center"/>
          </w:tcPr>
          <w:p w14:paraId="281B2D4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组织实施</w:t>
            </w:r>
          </w:p>
        </w:tc>
        <w:tc>
          <w:tcPr>
            <w:tcW w:w="1707" w:type="dxa"/>
            <w:shd w:val="clear" w:color="auto" w:fill="FFFFFF"/>
            <w:vAlign w:val="center"/>
          </w:tcPr>
          <w:p w14:paraId="2045DD3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管理制度</w:t>
            </w:r>
          </w:p>
          <w:p w14:paraId="35FBA79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健全性</w:t>
            </w:r>
          </w:p>
        </w:tc>
        <w:tc>
          <w:tcPr>
            <w:tcW w:w="727" w:type="dxa"/>
            <w:shd w:val="clear" w:color="000000" w:fill="FFFFFF"/>
            <w:vAlign w:val="center"/>
          </w:tcPr>
          <w:p w14:paraId="245A497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1044" w:type="dxa"/>
            <w:shd w:val="clear" w:color="000000" w:fill="FFFFFF"/>
            <w:vAlign w:val="center"/>
          </w:tcPr>
          <w:p w14:paraId="5F3A4B4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w:t>
            </w:r>
          </w:p>
        </w:tc>
        <w:tc>
          <w:tcPr>
            <w:tcW w:w="924" w:type="dxa"/>
            <w:shd w:val="clear" w:color="000000" w:fill="FFFFFF"/>
            <w:vAlign w:val="center"/>
          </w:tcPr>
          <w:p w14:paraId="41D4292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w:t>
            </w:r>
          </w:p>
        </w:tc>
        <w:tc>
          <w:tcPr>
            <w:tcW w:w="1215" w:type="dxa"/>
            <w:shd w:val="clear" w:color="000000" w:fill="FFFFFF"/>
            <w:vAlign w:val="center"/>
          </w:tcPr>
          <w:p w14:paraId="055EA1B7">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c>
          <w:tcPr>
            <w:tcW w:w="960" w:type="dxa"/>
            <w:shd w:val="clear" w:color="000000" w:fill="FFFFFF"/>
            <w:vAlign w:val="center"/>
          </w:tcPr>
          <w:p w14:paraId="2B755E86">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3.8</w:t>
            </w:r>
          </w:p>
        </w:tc>
      </w:tr>
      <w:tr w14:paraId="1EB4F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00FAB1D">
            <w:pPr>
              <w:widowControl/>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2CD247CD">
            <w:pPr>
              <w:widowControl/>
              <w:spacing w:line="0" w:lineRule="atLeast"/>
              <w:jc w:val="center"/>
              <w:rPr>
                <w:rFonts w:ascii="Times New Roman" w:hAnsi="Times New Roman"/>
                <w:color w:val="000000"/>
                <w:kern w:val="0"/>
                <w:sz w:val="22"/>
                <w:szCs w:val="22"/>
                <w:highlight w:val="none"/>
              </w:rPr>
            </w:pPr>
          </w:p>
        </w:tc>
        <w:tc>
          <w:tcPr>
            <w:tcW w:w="1283" w:type="dxa"/>
            <w:vMerge w:val="continue"/>
            <w:shd w:val="clear" w:color="auto" w:fill="FFFFFF"/>
            <w:vAlign w:val="center"/>
          </w:tcPr>
          <w:p w14:paraId="51CEC5ED">
            <w:pPr>
              <w:widowControl/>
              <w:spacing w:line="0" w:lineRule="atLeast"/>
              <w:jc w:val="center"/>
              <w:rPr>
                <w:rFonts w:ascii="Times New Roman" w:hAnsi="Times New Roman"/>
                <w:color w:val="000000"/>
                <w:kern w:val="0"/>
                <w:sz w:val="22"/>
                <w:szCs w:val="22"/>
                <w:highlight w:val="none"/>
              </w:rPr>
            </w:pPr>
          </w:p>
        </w:tc>
        <w:tc>
          <w:tcPr>
            <w:tcW w:w="1707" w:type="dxa"/>
            <w:shd w:val="clear" w:color="auto" w:fill="FFFFFF"/>
            <w:vAlign w:val="center"/>
          </w:tcPr>
          <w:p w14:paraId="3D1DC01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制度执行</w:t>
            </w:r>
          </w:p>
          <w:p w14:paraId="4724957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有效性</w:t>
            </w:r>
          </w:p>
        </w:tc>
        <w:tc>
          <w:tcPr>
            <w:tcW w:w="727" w:type="dxa"/>
            <w:shd w:val="clear" w:color="000000" w:fill="FFFFFF"/>
            <w:vAlign w:val="center"/>
          </w:tcPr>
          <w:p w14:paraId="261B1D4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1044" w:type="dxa"/>
            <w:shd w:val="clear" w:color="000000" w:fill="FFFFFF"/>
            <w:vAlign w:val="center"/>
          </w:tcPr>
          <w:p w14:paraId="5E7CEAB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924" w:type="dxa"/>
            <w:shd w:val="clear" w:color="000000" w:fill="FFFFFF"/>
            <w:vAlign w:val="center"/>
          </w:tcPr>
          <w:p w14:paraId="280E04D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1215" w:type="dxa"/>
            <w:shd w:val="clear" w:color="000000" w:fill="FFFFFF"/>
            <w:vAlign w:val="center"/>
          </w:tcPr>
          <w:p w14:paraId="19640FD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c>
          <w:tcPr>
            <w:tcW w:w="960" w:type="dxa"/>
            <w:shd w:val="clear" w:color="000000" w:fill="FFFFFF"/>
            <w:vAlign w:val="center"/>
          </w:tcPr>
          <w:p w14:paraId="3139FCC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3.8</w:t>
            </w:r>
          </w:p>
        </w:tc>
      </w:tr>
      <w:tr w14:paraId="05D02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652AB8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w:t>
            </w:r>
          </w:p>
        </w:tc>
        <w:tc>
          <w:tcPr>
            <w:tcW w:w="990" w:type="dxa"/>
            <w:vMerge w:val="restart"/>
            <w:shd w:val="clear" w:color="auto" w:fill="FFFFFF"/>
            <w:vAlign w:val="center"/>
          </w:tcPr>
          <w:p w14:paraId="3F705387">
            <w:pPr>
              <w:widowControl/>
              <w:spacing w:line="0" w:lineRule="atLeast"/>
              <w:jc w:val="center"/>
              <w:rPr>
                <w:rFonts w:ascii="Times New Roman" w:hAnsi="Times New Roman"/>
                <w:color w:val="000000"/>
                <w:kern w:val="0"/>
                <w:sz w:val="22"/>
                <w:szCs w:val="22"/>
                <w:highlight w:val="none"/>
              </w:rPr>
            </w:pPr>
            <w:r>
              <w:rPr>
                <w:rFonts w:ascii="Times New Roman" w:hAnsi="Times New Roman"/>
                <w:kern w:val="0"/>
                <w:sz w:val="22"/>
                <w:szCs w:val="22"/>
                <w:highlight w:val="none"/>
              </w:rPr>
              <w:t>40分</w:t>
            </w:r>
          </w:p>
        </w:tc>
        <w:tc>
          <w:tcPr>
            <w:tcW w:w="1283" w:type="dxa"/>
            <w:shd w:val="clear" w:color="auto" w:fill="FFFFFF"/>
            <w:vAlign w:val="center"/>
          </w:tcPr>
          <w:p w14:paraId="6E61298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产出数量</w:t>
            </w:r>
          </w:p>
        </w:tc>
        <w:tc>
          <w:tcPr>
            <w:tcW w:w="1707" w:type="dxa"/>
            <w:shd w:val="clear" w:color="auto" w:fill="FFFFFF"/>
            <w:vAlign w:val="center"/>
          </w:tcPr>
          <w:p w14:paraId="22DE642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实际完成率</w:t>
            </w:r>
          </w:p>
        </w:tc>
        <w:tc>
          <w:tcPr>
            <w:tcW w:w="727" w:type="dxa"/>
            <w:shd w:val="clear" w:color="000000" w:fill="FFFFFF"/>
            <w:vAlign w:val="center"/>
          </w:tcPr>
          <w:p w14:paraId="4E17101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1044" w:type="dxa"/>
            <w:shd w:val="clear" w:color="000000" w:fill="FFFFFF"/>
            <w:vAlign w:val="center"/>
          </w:tcPr>
          <w:p w14:paraId="4F4A715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924" w:type="dxa"/>
            <w:shd w:val="clear" w:color="000000" w:fill="FFFFFF"/>
            <w:vAlign w:val="center"/>
          </w:tcPr>
          <w:p w14:paraId="7A906F99">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r>
              <w:rPr>
                <w:rFonts w:ascii="Times New Roman" w:hAnsi="Times New Roman"/>
                <w:color w:val="000000"/>
                <w:kern w:val="0"/>
                <w:sz w:val="22"/>
                <w:szCs w:val="22"/>
                <w:highlight w:val="none"/>
              </w:rPr>
              <w:t>%</w:t>
            </w:r>
          </w:p>
        </w:tc>
        <w:tc>
          <w:tcPr>
            <w:tcW w:w="1215" w:type="dxa"/>
            <w:shd w:val="clear" w:color="000000" w:fill="FFFFFF"/>
            <w:vAlign w:val="center"/>
          </w:tcPr>
          <w:p w14:paraId="7C6C8454">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85%</w:t>
            </w:r>
          </w:p>
        </w:tc>
        <w:tc>
          <w:tcPr>
            <w:tcW w:w="960" w:type="dxa"/>
            <w:shd w:val="clear" w:color="000000" w:fill="FFFFFF"/>
            <w:vAlign w:val="center"/>
          </w:tcPr>
          <w:p w14:paraId="5C7615CB">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8.5</w:t>
            </w:r>
          </w:p>
        </w:tc>
      </w:tr>
      <w:tr w14:paraId="748CE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9A3B6D">
            <w:pPr>
              <w:widowControl/>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692F40F4">
            <w:pPr>
              <w:widowControl/>
              <w:spacing w:line="0" w:lineRule="atLeast"/>
              <w:jc w:val="center"/>
              <w:rPr>
                <w:rFonts w:ascii="Times New Roman" w:hAnsi="Times New Roman"/>
                <w:color w:val="000000"/>
                <w:kern w:val="0"/>
                <w:sz w:val="22"/>
                <w:szCs w:val="22"/>
                <w:highlight w:val="none"/>
              </w:rPr>
            </w:pPr>
          </w:p>
        </w:tc>
        <w:tc>
          <w:tcPr>
            <w:tcW w:w="1283" w:type="dxa"/>
            <w:shd w:val="clear" w:color="auto" w:fill="FFFFFF"/>
            <w:vAlign w:val="center"/>
          </w:tcPr>
          <w:p w14:paraId="6CE9C7E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产出质量</w:t>
            </w:r>
          </w:p>
        </w:tc>
        <w:tc>
          <w:tcPr>
            <w:tcW w:w="1707" w:type="dxa"/>
            <w:shd w:val="clear" w:color="auto" w:fill="FFFFFF"/>
            <w:vAlign w:val="center"/>
          </w:tcPr>
          <w:p w14:paraId="20E0B91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质量达标率</w:t>
            </w:r>
          </w:p>
        </w:tc>
        <w:tc>
          <w:tcPr>
            <w:tcW w:w="727" w:type="dxa"/>
            <w:shd w:val="clear" w:color="000000" w:fill="FFFFFF"/>
            <w:vAlign w:val="center"/>
          </w:tcPr>
          <w:p w14:paraId="40C543B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1044" w:type="dxa"/>
            <w:shd w:val="clear" w:color="000000" w:fill="FFFFFF"/>
            <w:vAlign w:val="center"/>
          </w:tcPr>
          <w:p w14:paraId="3D74606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924" w:type="dxa"/>
            <w:shd w:val="clear" w:color="000000" w:fill="FFFFFF"/>
            <w:vAlign w:val="center"/>
          </w:tcPr>
          <w:p w14:paraId="657EA143">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r>
              <w:rPr>
                <w:rFonts w:ascii="Times New Roman" w:hAnsi="Times New Roman"/>
                <w:color w:val="000000"/>
                <w:kern w:val="0"/>
                <w:sz w:val="22"/>
                <w:szCs w:val="22"/>
                <w:highlight w:val="none"/>
              </w:rPr>
              <w:t>%</w:t>
            </w:r>
          </w:p>
        </w:tc>
        <w:tc>
          <w:tcPr>
            <w:tcW w:w="1215" w:type="dxa"/>
            <w:shd w:val="clear" w:color="000000" w:fill="FFFFFF"/>
            <w:vAlign w:val="center"/>
          </w:tcPr>
          <w:p w14:paraId="7534361C">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85%</w:t>
            </w:r>
          </w:p>
        </w:tc>
        <w:tc>
          <w:tcPr>
            <w:tcW w:w="960" w:type="dxa"/>
            <w:shd w:val="clear" w:color="000000" w:fill="FFFFFF"/>
            <w:vAlign w:val="center"/>
          </w:tcPr>
          <w:p w14:paraId="17F36DBD">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8.5</w:t>
            </w:r>
          </w:p>
        </w:tc>
      </w:tr>
      <w:tr w14:paraId="55D66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CF40BA">
            <w:pPr>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65F15408">
            <w:pPr>
              <w:spacing w:line="0" w:lineRule="atLeast"/>
              <w:jc w:val="center"/>
              <w:rPr>
                <w:rFonts w:ascii="Times New Roman" w:hAnsi="Times New Roman"/>
                <w:color w:val="000000"/>
                <w:kern w:val="0"/>
                <w:sz w:val="22"/>
                <w:szCs w:val="22"/>
                <w:highlight w:val="none"/>
              </w:rPr>
            </w:pPr>
          </w:p>
        </w:tc>
        <w:tc>
          <w:tcPr>
            <w:tcW w:w="1283" w:type="dxa"/>
            <w:shd w:val="clear" w:color="auto" w:fill="FFFFFF"/>
            <w:vAlign w:val="center"/>
          </w:tcPr>
          <w:p w14:paraId="35C309F7">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产出时效</w:t>
            </w:r>
          </w:p>
        </w:tc>
        <w:tc>
          <w:tcPr>
            <w:tcW w:w="1707" w:type="dxa"/>
            <w:shd w:val="clear" w:color="auto" w:fill="FFFFFF"/>
            <w:vAlign w:val="center"/>
          </w:tcPr>
          <w:p w14:paraId="4C2CCAA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完成及时性</w:t>
            </w:r>
          </w:p>
        </w:tc>
        <w:tc>
          <w:tcPr>
            <w:tcW w:w="727" w:type="dxa"/>
            <w:shd w:val="clear" w:color="000000" w:fill="FFFFFF"/>
            <w:vAlign w:val="center"/>
          </w:tcPr>
          <w:p w14:paraId="1EAA59E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1044" w:type="dxa"/>
            <w:shd w:val="clear" w:color="000000" w:fill="FFFFFF"/>
            <w:vAlign w:val="center"/>
          </w:tcPr>
          <w:p w14:paraId="3BF3933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及时</w:t>
            </w:r>
          </w:p>
        </w:tc>
        <w:tc>
          <w:tcPr>
            <w:tcW w:w="924" w:type="dxa"/>
            <w:shd w:val="clear" w:color="000000" w:fill="FFFFFF"/>
            <w:vAlign w:val="center"/>
          </w:tcPr>
          <w:p w14:paraId="4573CE4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及时</w:t>
            </w:r>
          </w:p>
        </w:tc>
        <w:tc>
          <w:tcPr>
            <w:tcW w:w="1215" w:type="dxa"/>
            <w:shd w:val="clear" w:color="000000" w:fill="FFFFFF"/>
            <w:vAlign w:val="center"/>
          </w:tcPr>
          <w:p w14:paraId="0661834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c>
          <w:tcPr>
            <w:tcW w:w="960" w:type="dxa"/>
            <w:shd w:val="clear" w:color="000000" w:fill="FFFFFF"/>
            <w:vAlign w:val="center"/>
          </w:tcPr>
          <w:p w14:paraId="25C3D851">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9.5</w:t>
            </w:r>
          </w:p>
        </w:tc>
      </w:tr>
      <w:tr w14:paraId="1B426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8A3EDF1">
            <w:pPr>
              <w:widowControl/>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1CC6849D">
            <w:pPr>
              <w:widowControl/>
              <w:spacing w:line="0" w:lineRule="atLeast"/>
              <w:jc w:val="center"/>
              <w:rPr>
                <w:rFonts w:ascii="Times New Roman" w:hAnsi="Times New Roman"/>
                <w:color w:val="000000"/>
                <w:kern w:val="0"/>
                <w:sz w:val="22"/>
                <w:szCs w:val="22"/>
                <w:highlight w:val="none"/>
              </w:rPr>
            </w:pPr>
          </w:p>
        </w:tc>
        <w:tc>
          <w:tcPr>
            <w:tcW w:w="1283" w:type="dxa"/>
            <w:shd w:val="clear" w:color="auto" w:fill="FFFFFF"/>
            <w:vAlign w:val="center"/>
          </w:tcPr>
          <w:p w14:paraId="45D717B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产出成本</w:t>
            </w:r>
          </w:p>
        </w:tc>
        <w:tc>
          <w:tcPr>
            <w:tcW w:w="1707" w:type="dxa"/>
            <w:shd w:val="clear" w:color="auto" w:fill="FFFFFF"/>
            <w:vAlign w:val="center"/>
          </w:tcPr>
          <w:p w14:paraId="7E7CB45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成本节约率</w:t>
            </w:r>
          </w:p>
        </w:tc>
        <w:tc>
          <w:tcPr>
            <w:tcW w:w="727" w:type="dxa"/>
            <w:shd w:val="clear" w:color="000000" w:fill="FFFFFF"/>
            <w:vAlign w:val="center"/>
          </w:tcPr>
          <w:p w14:paraId="5FA0BBE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1044" w:type="dxa"/>
            <w:shd w:val="clear" w:color="000000" w:fill="FFFFFF"/>
            <w:vAlign w:val="center"/>
          </w:tcPr>
          <w:p w14:paraId="4961630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924" w:type="dxa"/>
            <w:shd w:val="clear" w:color="000000" w:fill="FFFFFF"/>
            <w:vAlign w:val="center"/>
          </w:tcPr>
          <w:p w14:paraId="1BE77EF3">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r>
              <w:rPr>
                <w:rFonts w:ascii="Times New Roman" w:hAnsi="Times New Roman"/>
                <w:color w:val="000000"/>
                <w:kern w:val="0"/>
                <w:sz w:val="22"/>
                <w:szCs w:val="22"/>
                <w:highlight w:val="none"/>
              </w:rPr>
              <w:t>%</w:t>
            </w:r>
          </w:p>
        </w:tc>
        <w:tc>
          <w:tcPr>
            <w:tcW w:w="1215" w:type="dxa"/>
            <w:shd w:val="clear" w:color="000000" w:fill="FFFFFF"/>
            <w:vAlign w:val="center"/>
          </w:tcPr>
          <w:p w14:paraId="100DB8DB">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p>
        </w:tc>
        <w:tc>
          <w:tcPr>
            <w:tcW w:w="960" w:type="dxa"/>
            <w:shd w:val="clear" w:color="000000" w:fill="FFFFFF"/>
            <w:vAlign w:val="center"/>
          </w:tcPr>
          <w:p w14:paraId="2819039F">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w:t>
            </w:r>
          </w:p>
        </w:tc>
      </w:tr>
      <w:tr w14:paraId="64E6A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2F5CF9A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效益　</w:t>
            </w:r>
          </w:p>
        </w:tc>
        <w:tc>
          <w:tcPr>
            <w:tcW w:w="990" w:type="dxa"/>
            <w:vMerge w:val="restart"/>
            <w:shd w:val="clear" w:color="auto" w:fill="FFFFFF"/>
            <w:vAlign w:val="center"/>
          </w:tcPr>
          <w:p w14:paraId="299C46D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20分</w:t>
            </w:r>
          </w:p>
        </w:tc>
        <w:tc>
          <w:tcPr>
            <w:tcW w:w="1283" w:type="dxa"/>
            <w:vMerge w:val="restart"/>
            <w:shd w:val="clear" w:color="auto" w:fill="FFFFFF"/>
            <w:vAlign w:val="center"/>
          </w:tcPr>
          <w:p w14:paraId="24F68AC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项目效益　</w:t>
            </w:r>
          </w:p>
        </w:tc>
        <w:tc>
          <w:tcPr>
            <w:tcW w:w="1707" w:type="dxa"/>
            <w:shd w:val="clear" w:color="auto" w:fill="FFFFFF"/>
            <w:vAlign w:val="center"/>
          </w:tcPr>
          <w:p w14:paraId="7769EE3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实施效益</w:t>
            </w:r>
          </w:p>
          <w:p w14:paraId="0FA2F92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（社会效益、经济效益、可持续效益）</w:t>
            </w:r>
          </w:p>
        </w:tc>
        <w:tc>
          <w:tcPr>
            <w:tcW w:w="727" w:type="dxa"/>
            <w:shd w:val="clear" w:color="auto" w:fill="FFFFFF"/>
            <w:vAlign w:val="center"/>
          </w:tcPr>
          <w:p w14:paraId="3BB70C6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1044" w:type="dxa"/>
            <w:shd w:val="clear" w:color="auto" w:fill="FFFFFF"/>
            <w:vAlign w:val="center"/>
          </w:tcPr>
          <w:p w14:paraId="2CB936F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924" w:type="dxa"/>
            <w:shd w:val="clear" w:color="auto" w:fill="FFFFFF"/>
            <w:vAlign w:val="center"/>
          </w:tcPr>
          <w:p w14:paraId="64236EB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1215" w:type="dxa"/>
            <w:shd w:val="clear" w:color="auto" w:fill="FFFFFF"/>
            <w:vAlign w:val="center"/>
          </w:tcPr>
          <w:p w14:paraId="77F459BC">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98%</w:t>
            </w:r>
          </w:p>
        </w:tc>
        <w:tc>
          <w:tcPr>
            <w:tcW w:w="960" w:type="dxa"/>
            <w:shd w:val="clear" w:color="auto" w:fill="FFFFFF"/>
            <w:vAlign w:val="center"/>
          </w:tcPr>
          <w:p w14:paraId="50634702">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9.8</w:t>
            </w:r>
          </w:p>
        </w:tc>
      </w:tr>
      <w:tr w14:paraId="25BFF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8371FC7">
            <w:pPr>
              <w:widowControl/>
              <w:spacing w:line="0" w:lineRule="atLeast"/>
              <w:jc w:val="center"/>
              <w:rPr>
                <w:rFonts w:ascii="Times New Roman" w:hAnsi="Times New Roman"/>
                <w:color w:val="000000"/>
                <w:kern w:val="0"/>
                <w:sz w:val="22"/>
                <w:szCs w:val="22"/>
                <w:highlight w:val="none"/>
              </w:rPr>
            </w:pPr>
          </w:p>
        </w:tc>
        <w:tc>
          <w:tcPr>
            <w:tcW w:w="990" w:type="dxa"/>
            <w:vMerge w:val="continue"/>
            <w:shd w:val="clear" w:color="auto" w:fill="FFFFFF"/>
            <w:vAlign w:val="center"/>
          </w:tcPr>
          <w:p w14:paraId="38BE7487">
            <w:pPr>
              <w:widowControl/>
              <w:spacing w:line="0" w:lineRule="atLeast"/>
              <w:jc w:val="center"/>
              <w:rPr>
                <w:rFonts w:ascii="Times New Roman" w:hAnsi="Times New Roman"/>
                <w:color w:val="000000"/>
                <w:kern w:val="0"/>
                <w:sz w:val="22"/>
                <w:szCs w:val="22"/>
                <w:highlight w:val="none"/>
              </w:rPr>
            </w:pPr>
          </w:p>
        </w:tc>
        <w:tc>
          <w:tcPr>
            <w:tcW w:w="1283" w:type="dxa"/>
            <w:vMerge w:val="continue"/>
            <w:shd w:val="clear" w:color="auto" w:fill="FFFFFF"/>
            <w:vAlign w:val="center"/>
          </w:tcPr>
          <w:p w14:paraId="3C8BBAA9">
            <w:pPr>
              <w:widowControl/>
              <w:spacing w:line="0" w:lineRule="atLeast"/>
              <w:jc w:val="center"/>
              <w:rPr>
                <w:rFonts w:ascii="Times New Roman" w:hAnsi="Times New Roman"/>
                <w:color w:val="000000"/>
                <w:kern w:val="0"/>
                <w:sz w:val="22"/>
                <w:szCs w:val="22"/>
                <w:highlight w:val="none"/>
              </w:rPr>
            </w:pPr>
          </w:p>
        </w:tc>
        <w:tc>
          <w:tcPr>
            <w:tcW w:w="1707" w:type="dxa"/>
            <w:shd w:val="clear" w:color="auto" w:fill="FFFFFF"/>
            <w:vAlign w:val="center"/>
          </w:tcPr>
          <w:p w14:paraId="2091517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满意度</w:t>
            </w:r>
          </w:p>
        </w:tc>
        <w:tc>
          <w:tcPr>
            <w:tcW w:w="727" w:type="dxa"/>
            <w:shd w:val="clear" w:color="000000" w:fill="FFFFFF"/>
            <w:vAlign w:val="center"/>
          </w:tcPr>
          <w:p w14:paraId="4C28833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1044" w:type="dxa"/>
            <w:shd w:val="clear" w:color="000000" w:fill="FFFFFF"/>
            <w:vAlign w:val="center"/>
          </w:tcPr>
          <w:p w14:paraId="52764EA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w:t>
            </w:r>
            <w:r>
              <w:rPr>
                <w:rFonts w:hint="eastAsia" w:ascii="Times New Roman" w:hAnsi="Times New Roman"/>
                <w:color w:val="000000"/>
                <w:kern w:val="0"/>
                <w:sz w:val="22"/>
                <w:szCs w:val="22"/>
                <w:highlight w:val="none"/>
              </w:rPr>
              <w:t>85</w:t>
            </w:r>
            <w:r>
              <w:rPr>
                <w:rFonts w:ascii="Times New Roman" w:hAnsi="Times New Roman"/>
                <w:color w:val="000000"/>
                <w:kern w:val="0"/>
                <w:sz w:val="22"/>
                <w:szCs w:val="22"/>
                <w:highlight w:val="none"/>
              </w:rPr>
              <w:t>%</w:t>
            </w:r>
          </w:p>
        </w:tc>
        <w:tc>
          <w:tcPr>
            <w:tcW w:w="924" w:type="dxa"/>
            <w:shd w:val="clear" w:color="000000" w:fill="FFFFFF"/>
            <w:vAlign w:val="center"/>
          </w:tcPr>
          <w:p w14:paraId="5B859932">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80%</w:t>
            </w:r>
          </w:p>
        </w:tc>
        <w:tc>
          <w:tcPr>
            <w:tcW w:w="1215" w:type="dxa"/>
            <w:shd w:val="clear" w:color="000000" w:fill="FFFFFF"/>
            <w:vAlign w:val="center"/>
          </w:tcPr>
          <w:p w14:paraId="0E741CE9">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80%</w:t>
            </w:r>
          </w:p>
        </w:tc>
        <w:tc>
          <w:tcPr>
            <w:tcW w:w="960" w:type="dxa"/>
            <w:shd w:val="clear" w:color="000000" w:fill="FFFFFF"/>
            <w:vAlign w:val="center"/>
          </w:tcPr>
          <w:p w14:paraId="4887F5CD">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8</w:t>
            </w:r>
          </w:p>
        </w:tc>
      </w:tr>
    </w:tbl>
    <w:p w14:paraId="6BC6D5A2">
      <w:p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四、绩效评价指标分析</w:t>
      </w:r>
    </w:p>
    <w:p w14:paraId="71922E0E">
      <w:pPr>
        <w:pStyle w:val="9"/>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6CC54E78">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项目决策类指标包括项目立项、绩效目标和资金投入三方面的内容，由6个三级指标构成，权重分值为20分，实际得分18.77分，得分率为93.85%。</w:t>
      </w:r>
    </w:p>
    <w:p w14:paraId="78008994">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Times New Roman" w:hAnsi="Times New Roman" w:eastAsia="仿宋_GB2312" w:cs="仿宋_GB2312"/>
          <w:b/>
          <w:bCs/>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1.项目立项</w:t>
      </w:r>
    </w:p>
    <w:p w14:paraId="4E400832">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（1）立项依据充分性</w:t>
      </w:r>
    </w:p>
    <w:p w14:paraId="06B7BC64">
      <w:pPr>
        <w:shd w:val="clear"/>
        <w:spacing w:line="600" w:lineRule="exact"/>
        <w:ind w:firstLine="640" w:firstLineChars="200"/>
        <w:outlineLvl w:val="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1、立项依据充分性</w:t>
      </w:r>
    </w:p>
    <w:p w14:paraId="44CFF6D4">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（1）该项目符合国家法律法规、国民经济发展规划和相关政策。建设国家区域医疗中心是党中央、国务院重大战略部署，国家及自治区层面均对国家区域医疗中心财政基本运营补助工作做出基本要求。</w:t>
      </w:r>
    </w:p>
    <w:p w14:paraId="2EF282BE">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2）该项目符合《“健康中国2030”规划纲要》，符合新疆维吾尔自治区卫生发展规划。《“健康中国2030”规划纲要》提出：依托现有机构，建设一批引领国内、具有全球影响力的国家级医学中心，建设一批区域医学中心和国家临床重点专科群，推进京津冀、长江经济带等区域医疗卫生协同发展，带动医疗服务区域发展和整体水平提升。实施健康儿童计划，加强儿童早期发展，加强儿科建设，加大儿童重点疾病防治力度，扩大新生儿疾病筛查，继续开展重点地区儿童营养改善等项目。</w:t>
      </w:r>
    </w:p>
    <w:p w14:paraId="1425DD92">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新疆维吾尔自治区卫生健康事业“十四五”发展规划：逐步打造以国家区域医疗中心为“医疗高峰”、自治区级区域医疗中心为“医疗高原”，地市级三甲医院为“医疗高地”的区域医疗中心建设，并加快“2+4+8+3”医疗“高峰、高原、高地”的均衡布局。持续抓好国家儿童医院区域医疗中心建设。</w:t>
      </w:r>
    </w:p>
    <w:p w14:paraId="46CB5C43">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3）该项目属于新疆维吾尔自治区国家区域医疗中心建设综合改革试点方案：按照自治区党委、人民政府有关精神，全面落实政府对公立医院的六项投入政策，在医院的基本建设、大型设备购置、重点学科发展、人才队伍建设、离退休人员费用和承担公共卫生服务等方面予以补助，落实对各改革试点医院每年定额运营补助，加强财政补助资金绩效管理。</w:t>
      </w:r>
    </w:p>
    <w:p w14:paraId="4DEC150E">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（4）该项目为自治区重点项目，与相关部门同类项目或部门内部相关项目不重复。</w:t>
      </w:r>
    </w:p>
    <w:p w14:paraId="4B970A63">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（2）立项程序规范性</w:t>
      </w:r>
    </w:p>
    <w:p w14:paraId="07DB1E9E">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rPr>
        <w:t>项目申请、设立过程符合相关要求，</w:t>
      </w:r>
      <w:r>
        <w:rPr>
          <w:rFonts w:hint="eastAsia" w:ascii="Times New Roman" w:hAnsi="Times New Roman" w:eastAsia="仿宋_GB2312" w:cs="仿宋_GB2312"/>
          <w:sz w:val="32"/>
          <w:szCs w:val="32"/>
          <w:highlight w:val="none"/>
          <w:lang w:eastAsia="zh-Hans"/>
        </w:rPr>
        <w:t>严格按照审批流程准备符合要求的文件、材料；</w:t>
      </w:r>
      <w:r>
        <w:rPr>
          <w:rFonts w:hint="eastAsia" w:ascii="Times New Roman" w:hAnsi="Times New Roman"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4D206F3D">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Times New Roman" w:hAnsi="Times New Roman" w:eastAsia="仿宋_GB2312" w:cs="仿宋_GB2312"/>
          <w:b/>
          <w:bCs/>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2.绩效目标</w:t>
      </w:r>
    </w:p>
    <w:p w14:paraId="28AB97EE">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（1）绩效目标合理性</w:t>
      </w:r>
    </w:p>
    <w:p w14:paraId="3969AFF3">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Hans"/>
        </w:rPr>
        <w:t>年初结合实际工作内容</w:t>
      </w:r>
      <w:r>
        <w:rPr>
          <w:rFonts w:hint="eastAsia" w:ascii="Times New Roman" w:hAnsi="Times New Roman" w:eastAsia="仿宋_GB2312" w:cs="仿宋_GB2312"/>
          <w:sz w:val="32"/>
          <w:szCs w:val="32"/>
          <w:highlight w:val="none"/>
          <w:lang w:val="en-US" w:eastAsia="zh-CN"/>
        </w:rPr>
        <w:t>设定绩效目标</w:t>
      </w:r>
      <w:r>
        <w:rPr>
          <w:rFonts w:hint="eastAsia" w:ascii="Times New Roman" w:hAnsi="Times New Roman" w:eastAsia="仿宋_GB2312" w:cs="仿宋_GB2312"/>
          <w:sz w:val="32"/>
          <w:szCs w:val="32"/>
          <w:highlight w:val="none"/>
          <w:lang w:val="en-US" w:eastAsia="zh-Hans"/>
        </w:rPr>
        <w:t>，绩效目标</w:t>
      </w:r>
      <w:r>
        <w:rPr>
          <w:rFonts w:hint="eastAsia" w:ascii="Times New Roman" w:hAnsi="Times New Roman"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w:t>
      </w:r>
      <w:r>
        <w:rPr>
          <w:rFonts w:hint="eastAsia" w:eastAsia="仿宋_GB2312" w:cs="仿宋_GB2312"/>
          <w:sz w:val="32"/>
          <w:szCs w:val="32"/>
          <w:highlight w:val="none"/>
          <w:lang w:val="en-US" w:eastAsia="zh-CN"/>
        </w:rPr>
        <w:t>的</w:t>
      </w:r>
      <w:r>
        <w:rPr>
          <w:rFonts w:hint="eastAsia" w:ascii="Times New Roman" w:hAnsi="Times New Roman" w:eastAsia="仿宋_GB2312" w:cs="仿宋_GB2312"/>
          <w:sz w:val="32"/>
          <w:szCs w:val="32"/>
          <w:highlight w:val="none"/>
          <w:lang w:val="en-US" w:eastAsia="zh-CN"/>
        </w:rPr>
        <w:t>细化情况。绩效目标表经过审核，绩效目标与实际工作内容具有相关性，预算与确定的项目投资额相匹配，对项目任务进行了详细分解。项目预期产出效益及效果符合正常的业绩水平。</w:t>
      </w:r>
    </w:p>
    <w:p w14:paraId="7B4EC902">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（2）绩效指标明确性</w:t>
      </w:r>
    </w:p>
    <w:p w14:paraId="6A317564">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50134A17">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Times New Roman" w:hAnsi="Times New Roman" w:eastAsia="仿宋_GB2312" w:cs="仿宋_GB2312"/>
          <w:b/>
          <w:bCs/>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3.资金投入</w:t>
      </w:r>
    </w:p>
    <w:p w14:paraId="792B79AE">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（1）预算编制科学性</w:t>
      </w:r>
    </w:p>
    <w:p w14:paraId="198042D8">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预算编制经过科学论证，提供充分的测算依据佐证资料，预算内容与项目内容相匹配。项目投资额与工作任务相匹配。</w:t>
      </w:r>
    </w:p>
    <w:p w14:paraId="378C7112">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（2）资金分配合理性</w:t>
      </w:r>
    </w:p>
    <w:p w14:paraId="26A609B7">
      <w:pPr>
        <w:spacing w:line="560" w:lineRule="exact"/>
        <w:ind w:firstLine="640" w:firstLineChars="20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资金分配额度与项目单位实际工作内容相适应，资金分配额度合理，资金分配依据充分。</w:t>
      </w:r>
    </w:p>
    <w:p w14:paraId="0B7DD99C">
      <w:pPr>
        <w:pStyle w:val="9"/>
        <w:numPr>
          <w:ilvl w:val="0"/>
          <w:numId w:val="5"/>
        </w:numPr>
        <w:spacing w:before="0" w:after="0" w:line="560" w:lineRule="exact"/>
        <w:ind w:firstLine="643" w:firstLineChars="200"/>
        <w:jc w:val="both"/>
        <w:rPr>
          <w:rFonts w:ascii="Times New Roman" w:hAnsi="Times New Roman" w:eastAsia="楷体" w:cs="楷体"/>
          <w:highlight w:val="none"/>
        </w:rPr>
      </w:pPr>
      <w:r>
        <w:rPr>
          <w:rFonts w:hint="eastAsia" w:ascii="Times New Roman" w:hAnsi="Times New Roman" w:eastAsia="楷体" w:cs="楷体"/>
          <w:highlight w:val="none"/>
        </w:rPr>
        <w:t>项目过程情况</w:t>
      </w:r>
    </w:p>
    <w:p w14:paraId="603FD86C">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项目过程类指标包括资金管理和组织实施两方面的内容，由5个三级指标构成，权重分值为20分，实际得分19.</w:t>
      </w:r>
      <w:r>
        <w:rPr>
          <w:rFonts w:hint="eastAsia" w:eastAsia="仿宋_GB2312" w:cs="仿宋_GB2312"/>
          <w:sz w:val="32"/>
          <w:szCs w:val="32"/>
          <w:highlight w:val="none"/>
          <w:lang w:val="en-US" w:eastAsia="zh-CN"/>
        </w:rPr>
        <w:t>3</w:t>
      </w:r>
      <w:r>
        <w:rPr>
          <w:rFonts w:hint="eastAsia" w:ascii="Times New Roman" w:hAnsi="Times New Roman" w:eastAsia="仿宋_GB2312" w:cs="仿宋_GB2312"/>
          <w:sz w:val="32"/>
          <w:szCs w:val="32"/>
          <w:highlight w:val="none"/>
          <w:lang w:val="en-US" w:eastAsia="zh-CN"/>
        </w:rPr>
        <w:t>分，得分率为9</w:t>
      </w:r>
      <w:r>
        <w:rPr>
          <w:rFonts w:hint="eastAsia" w:eastAsia="仿宋_GB2312" w:cs="仿宋_GB2312"/>
          <w:sz w:val="32"/>
          <w:szCs w:val="32"/>
          <w:highlight w:val="none"/>
          <w:lang w:val="en-US" w:eastAsia="zh-CN"/>
        </w:rPr>
        <w:t>6.5</w:t>
      </w:r>
      <w:r>
        <w:rPr>
          <w:rFonts w:hint="eastAsia" w:ascii="Times New Roman" w:hAnsi="Times New Roman" w:eastAsia="仿宋_GB2312" w:cs="仿宋_GB2312"/>
          <w:sz w:val="32"/>
          <w:szCs w:val="32"/>
          <w:highlight w:val="none"/>
          <w:lang w:val="en-US" w:eastAsia="zh-CN"/>
        </w:rPr>
        <w:t>%。</w:t>
      </w:r>
    </w:p>
    <w:p w14:paraId="563BFDFC">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1CC9692D">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1、资金到位率：</w:t>
      </w:r>
    </w:p>
    <w:p w14:paraId="187D73E5">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实际到位资金4000万元，预算资金4000万元，资金到位率100%</w:t>
      </w:r>
    </w:p>
    <w:p w14:paraId="2C553D39">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2、预算执行率</w:t>
      </w:r>
    </w:p>
    <w:p w14:paraId="3977A42B">
      <w:pPr>
        <w:spacing w:line="560" w:lineRule="exact"/>
        <w:ind w:firstLine="640" w:firstLineChars="200"/>
        <w:rPr>
          <w:rFonts w:hint="eastAsia" w:ascii="Times New Roman" w:hAnsi="Times New Roman" w:eastAsia="仿宋_GB2312"/>
          <w:sz w:val="32"/>
          <w:szCs w:val="28"/>
          <w:highlight w:val="none"/>
          <w:lang w:eastAsia="zh-CN"/>
        </w:rPr>
      </w:pPr>
      <w:r>
        <w:rPr>
          <w:rFonts w:hint="eastAsia" w:ascii="Times New Roman" w:hAnsi="Times New Roman" w:eastAsia="仿宋_GB2312"/>
          <w:sz w:val="32"/>
          <w:szCs w:val="28"/>
          <w:highlight w:val="none"/>
        </w:rPr>
        <w:t>年初预算数4000万元，全年预算数4000万元，全年执行数3692.72万元，预算执行率为92.32%</w:t>
      </w:r>
      <w:r>
        <w:rPr>
          <w:rFonts w:hint="eastAsia" w:ascii="Times New Roman" w:hAnsi="Times New Roman" w:eastAsia="仿宋_GB2312"/>
          <w:sz w:val="32"/>
          <w:szCs w:val="28"/>
          <w:highlight w:val="none"/>
          <w:lang w:eastAsia="zh-CN"/>
        </w:rPr>
        <w:t>。</w:t>
      </w:r>
    </w:p>
    <w:p w14:paraId="60DF2484">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3、资金使用合规性</w:t>
      </w:r>
    </w:p>
    <w:p w14:paraId="604740B5">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项目资金使用符合国家财经法规和财务管理制度以及有关专项资金管理办法的规定；项目资金的拨付有完整的审批程序和手续；符合项目预算批复或合同规定的用途；不存在截留、挤占、挪用、虚列支出等情况。</w:t>
      </w:r>
    </w:p>
    <w:p w14:paraId="4B3A5188">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4、管理制度健全性</w:t>
      </w:r>
    </w:p>
    <w:p w14:paraId="00C8D065">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医院已制定或具有相应的财务和业务管理制度；医院财务和业务管理制度合法、合规、完整。</w:t>
      </w:r>
    </w:p>
    <w:p w14:paraId="06C201B8">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5、制度执行有效性</w:t>
      </w:r>
    </w:p>
    <w:p w14:paraId="3110A13D">
      <w:pPr>
        <w:spacing w:line="560" w:lineRule="exact"/>
        <w:ind w:firstLine="640" w:firstLineChars="200"/>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项目资金遵守相关法律法规和相关管理规定；项目调整及支出调整手续完备；项目合同书、验收报告、技术鉴定等资料齐全并及时归档；项目实施的人员条件、场地设备、信息支撑等落实到位。</w:t>
      </w:r>
    </w:p>
    <w:p w14:paraId="4B040B99">
      <w:pPr>
        <w:pStyle w:val="10"/>
        <w:numPr>
          <w:ilvl w:val="0"/>
          <w:numId w:val="5"/>
        </w:numPr>
        <w:spacing w:line="560" w:lineRule="exact"/>
        <w:ind w:firstLine="641"/>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项目产出</w:t>
      </w:r>
    </w:p>
    <w:p w14:paraId="1FD1DDF6">
      <w:pPr>
        <w:shd w:val="clear"/>
        <w:spacing w:line="600" w:lineRule="exact"/>
        <w:ind w:firstLine="640" w:firstLineChars="200"/>
        <w:outlineLvl w:val="0"/>
        <w:rPr>
          <w:rFonts w:hint="default"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项目产出类指标包括产出数量、产出质量、产出时效、产出成本四方面的内容，由11个三级指标构成，权重分为40分，实际得分35.5分，得分率为88.75%。具体产出指标完成情况如下：</w:t>
      </w:r>
    </w:p>
    <w:p w14:paraId="6A5AF9C4">
      <w:pPr>
        <w:snapToGrid w:val="0"/>
        <w:spacing w:line="560" w:lineRule="exact"/>
        <w:ind w:firstLine="627" w:firstLineChars="200"/>
        <w:rPr>
          <w:rStyle w:val="14"/>
          <w:rFonts w:ascii="Times New Roman" w:hAnsi="Times New Roman" w:eastAsia="仿宋_GB2312"/>
          <w:bCs w:val="0"/>
          <w:spacing w:val="-4"/>
          <w:sz w:val="32"/>
          <w:szCs w:val="32"/>
          <w:highlight w:val="none"/>
        </w:rPr>
      </w:pPr>
      <w:r>
        <w:rPr>
          <w:rStyle w:val="14"/>
          <w:rFonts w:ascii="Times New Roman" w:hAnsi="Times New Roman" w:eastAsia="仿宋_GB2312"/>
          <w:bCs w:val="0"/>
          <w:spacing w:val="-4"/>
          <w:sz w:val="32"/>
          <w:szCs w:val="32"/>
          <w:highlight w:val="none"/>
        </w:rPr>
        <w:t>数量指标方面：</w:t>
      </w:r>
    </w:p>
    <w:p w14:paraId="37B310A7">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下转患者人次数（门急诊、住院）</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=300例</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896例</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Style w:val="14"/>
          <w:rFonts w:ascii="Times New Roman" w:hAnsi="Times New Roman" w:eastAsia="仿宋_GB2312"/>
          <w:b w:val="0"/>
          <w:spacing w:val="-4"/>
          <w:sz w:val="32"/>
          <w:szCs w:val="32"/>
          <w:highlight w:val="none"/>
        </w:rPr>
        <w:t>；</w:t>
      </w:r>
    </w:p>
    <w:p w14:paraId="353133B5">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2</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开展的新技术、新方法、新材料</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=20项</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33项</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Style w:val="14"/>
          <w:rFonts w:ascii="Times New Roman" w:hAnsi="Times New Roman" w:eastAsia="仿宋_GB2312"/>
          <w:b w:val="0"/>
          <w:spacing w:val="-4"/>
          <w:sz w:val="32"/>
          <w:szCs w:val="32"/>
          <w:highlight w:val="none"/>
        </w:rPr>
        <w:t>；</w:t>
      </w:r>
    </w:p>
    <w:p w14:paraId="08337C4B">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3</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自治区级重点学科</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=1个</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1个</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Style w:val="14"/>
          <w:rFonts w:ascii="Times New Roman" w:hAnsi="Times New Roman" w:eastAsia="仿宋_GB2312"/>
          <w:b w:val="0"/>
          <w:spacing w:val="-4"/>
          <w:sz w:val="32"/>
          <w:szCs w:val="32"/>
          <w:highlight w:val="none"/>
        </w:rPr>
        <w:t>；</w:t>
      </w:r>
    </w:p>
    <w:p w14:paraId="1EB3B594">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4</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年外出进修/培训人数</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=30人</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30人</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Style w:val="14"/>
          <w:rFonts w:ascii="Times New Roman" w:hAnsi="Times New Roman" w:eastAsia="仿宋_GB2312"/>
          <w:b w:val="0"/>
          <w:spacing w:val="-4"/>
          <w:sz w:val="32"/>
          <w:szCs w:val="32"/>
          <w:highlight w:val="none"/>
        </w:rPr>
        <w:t>；</w:t>
      </w:r>
    </w:p>
    <w:p w14:paraId="2A4B3118">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5</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办公家具购置数量</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=2000件</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1412件</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70.62</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，偏差原因：部分办公家具暂未到货。</w:t>
      </w:r>
    </w:p>
    <w:p w14:paraId="076F2E2C">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质量指标方面：</w:t>
      </w:r>
    </w:p>
    <w:p w14:paraId="705FD847">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优质护理服务病房覆盖率</w:t>
      </w:r>
      <w:r>
        <w:rPr>
          <w:rStyle w:val="14"/>
          <w:rFonts w:ascii="Times New Roman" w:hAnsi="Times New Roman" w:eastAsia="仿宋_GB2312"/>
          <w:b w:val="0"/>
          <w:spacing w:val="-4"/>
          <w:sz w:val="32"/>
          <w:szCs w:val="32"/>
          <w:highlight w:val="none"/>
        </w:rPr>
        <w:t>，指标值：=90%，实际完成值：</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Style w:val="14"/>
          <w:rFonts w:ascii="Times New Roman" w:hAnsi="Times New Roman" w:eastAsia="仿宋_GB2312"/>
          <w:b w:val="0"/>
          <w:spacing w:val="-4"/>
          <w:sz w:val="32"/>
          <w:szCs w:val="32"/>
          <w:highlight w:val="none"/>
        </w:rPr>
        <w:t>；</w:t>
      </w:r>
    </w:p>
    <w:p w14:paraId="053AB01D">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2</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大型医用设备检查阳性率</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ascii="Times New Roman" w:hAnsi="Times New Roman" w:eastAsia="仿宋_GB2312"/>
          <w:b w:val="0"/>
          <w:spacing w:val="-4"/>
          <w:sz w:val="32"/>
          <w:szCs w:val="32"/>
          <w:highlight w:val="none"/>
        </w:rPr>
        <w:t>=75%，实际完成值：</w:t>
      </w:r>
      <w:r>
        <w:rPr>
          <w:rStyle w:val="14"/>
          <w:rFonts w:hint="eastAsia" w:ascii="Times New Roman" w:hAnsi="Times New Roman" w:eastAsia="仿宋_GB2312"/>
          <w:b w:val="0"/>
          <w:spacing w:val="-4"/>
          <w:sz w:val="32"/>
          <w:szCs w:val="32"/>
          <w:highlight w:val="none"/>
        </w:rPr>
        <w:t>94%</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p>
    <w:p w14:paraId="5F8A7085">
      <w:pPr>
        <w:pStyle w:val="9"/>
        <w:spacing w:before="0" w:after="0" w:line="560" w:lineRule="exact"/>
        <w:ind w:firstLine="643" w:firstLineChars="200"/>
        <w:jc w:val="both"/>
        <w:rPr>
          <w:rStyle w:val="16"/>
          <w:rFonts w:ascii="Times New Roman" w:hAnsi="Times New Roman" w:cs="Times New Roman"/>
          <w:color w:val="auto"/>
          <w:highlight w:val="none"/>
        </w:rPr>
      </w:pPr>
      <w:r>
        <w:rPr>
          <w:rStyle w:val="16"/>
          <w:rFonts w:ascii="Times New Roman" w:hAnsi="Times New Roman" w:cs="Times New Roman"/>
          <w:color w:val="auto"/>
          <w:highlight w:val="none"/>
        </w:rPr>
        <w:t>成本指标方面：</w:t>
      </w:r>
    </w:p>
    <w:p w14:paraId="5FF50F36">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办公家具购置费用</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=648.54万元</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341.26万元</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56.62</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，偏差原因：医院在项目政府采购过程中，因废标情况的发生以及设备采购前期就参数制定、招标文件内容等一直在不断修订，导致挂网时间延后，对资金支付产生了一定程度上的影响</w:t>
      </w:r>
      <w:r>
        <w:rPr>
          <w:rStyle w:val="14"/>
          <w:rFonts w:ascii="Times New Roman" w:hAnsi="Times New Roman" w:eastAsia="仿宋_GB2312"/>
          <w:b w:val="0"/>
          <w:spacing w:val="-4"/>
          <w:sz w:val="32"/>
          <w:szCs w:val="32"/>
          <w:highlight w:val="none"/>
        </w:rPr>
        <w:t>；</w:t>
      </w:r>
    </w:p>
    <w:p w14:paraId="42B39FFF">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2</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人员经费支出</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=2440万元</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2440万元</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Style w:val="14"/>
          <w:rFonts w:ascii="Times New Roman" w:hAnsi="Times New Roman" w:eastAsia="仿宋_GB2312"/>
          <w:b w:val="0"/>
          <w:spacing w:val="-4"/>
          <w:sz w:val="32"/>
          <w:szCs w:val="32"/>
          <w:highlight w:val="none"/>
        </w:rPr>
        <w:t>；</w:t>
      </w:r>
    </w:p>
    <w:p w14:paraId="1AA456EC">
      <w:pPr>
        <w:snapToGrid w:val="0"/>
        <w:spacing w:line="560" w:lineRule="exact"/>
        <w:ind w:firstLine="624" w:firstLineChars="200"/>
        <w:rPr>
          <w:rStyle w:val="14"/>
          <w:rFonts w:ascii="Times New Roman" w:hAnsi="Times New Roman"/>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3</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日常运转经费支出</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=911.46万元</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911.46万元</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Fonts w:hint="eastAsia" w:ascii="Times New Roman" w:hAnsi="Times New Roman"/>
          <w:highlight w:val="none"/>
        </w:rPr>
        <w:t>。</w:t>
      </w:r>
    </w:p>
    <w:p w14:paraId="09FD31C1">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时效指标方面：</w:t>
      </w:r>
    </w:p>
    <w:p w14:paraId="716414A9">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w:t>
      </w:r>
      <w:r>
        <w:rPr>
          <w:rStyle w:val="16"/>
          <w:rFonts w:hint="eastAsia" w:ascii="Times New Roman" w:hAnsi="Times New Roman" w:cs="Times New Roman"/>
          <w:color w:val="auto"/>
          <w:highlight w:val="none"/>
        </w:rPr>
        <w:t>出院患者平均住院日</w:t>
      </w:r>
      <w:r>
        <w:rPr>
          <w:rStyle w:val="16"/>
          <w:rFonts w:ascii="Times New Roman" w:hAnsi="Times New Roman" w:cs="Times New Roman"/>
          <w:color w:val="auto"/>
          <w:highlight w:val="none"/>
        </w:rPr>
        <w:t>，指标值：</w:t>
      </w:r>
      <w:r>
        <w:rPr>
          <w:rStyle w:val="16"/>
          <w:rFonts w:hint="eastAsia" w:eastAsia="仿宋_GB2312" w:cs="Times New Roman"/>
          <w:color w:val="auto"/>
          <w:highlight w:val="none"/>
          <w:lang w:eastAsia="zh-CN"/>
        </w:rPr>
        <w:t>〈</w:t>
      </w:r>
      <w:r>
        <w:rPr>
          <w:rStyle w:val="16"/>
          <w:rFonts w:hint="eastAsia" w:ascii="Times New Roman" w:hAnsi="Times New Roman" w:cs="Times New Roman"/>
          <w:color w:val="auto"/>
          <w:highlight w:val="none"/>
        </w:rPr>
        <w:t>=9天</w:t>
      </w:r>
      <w:r>
        <w:rPr>
          <w:rStyle w:val="16"/>
          <w:rFonts w:ascii="Times New Roman" w:hAnsi="Times New Roman" w:cs="Times New Roman"/>
          <w:color w:val="auto"/>
          <w:highlight w:val="none"/>
        </w:rPr>
        <w:t>，实际完成值：</w:t>
      </w:r>
      <w:r>
        <w:rPr>
          <w:rStyle w:val="16"/>
          <w:rFonts w:hint="eastAsia" w:ascii="Times New Roman" w:hAnsi="Times New Roman" w:cs="Times New Roman"/>
          <w:color w:val="auto"/>
          <w:highlight w:val="none"/>
        </w:rPr>
        <w:t>7.85天</w:t>
      </w:r>
      <w:r>
        <w:rPr>
          <w:rStyle w:val="16"/>
          <w:rFonts w:ascii="Times New Roman" w:hAnsi="Times New Roman" w:cs="Times New Roman"/>
          <w:color w:val="auto"/>
          <w:highlight w:val="none"/>
        </w:rPr>
        <w:t>，指标完成率</w:t>
      </w:r>
      <w:r>
        <w:rPr>
          <w:rStyle w:val="16"/>
          <w:rFonts w:hint="eastAsia" w:ascii="Times New Roman" w:hAnsi="Times New Roman" w:cs="Times New Roman"/>
          <w:color w:val="auto"/>
          <w:highlight w:val="none"/>
        </w:rPr>
        <w:t>100</w:t>
      </w:r>
      <w:r>
        <w:rPr>
          <w:rStyle w:val="16"/>
          <w:rFonts w:ascii="Times New Roman" w:hAnsi="Times New Roman" w:cs="Times New Roman"/>
          <w:color w:val="auto"/>
          <w:highlight w:val="none"/>
        </w:rPr>
        <w:t>%</w:t>
      </w:r>
      <w:r>
        <w:rPr>
          <w:rStyle w:val="14"/>
          <w:rFonts w:hint="eastAsia" w:ascii="Times New Roman" w:hAnsi="Times New Roman" w:eastAsia="仿宋_GB2312"/>
          <w:b w:val="0"/>
          <w:spacing w:val="-4"/>
          <w:sz w:val="32"/>
          <w:szCs w:val="32"/>
          <w:highlight w:val="none"/>
        </w:rPr>
        <w:t>，偏差原因：无。</w:t>
      </w:r>
    </w:p>
    <w:p w14:paraId="1CC19AC5">
      <w:pPr>
        <w:pStyle w:val="10"/>
        <w:numPr>
          <w:ilvl w:val="0"/>
          <w:numId w:val="5"/>
        </w:numPr>
        <w:spacing w:line="560" w:lineRule="exact"/>
        <w:ind w:firstLine="641"/>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效益情况</w:t>
      </w:r>
    </w:p>
    <w:p w14:paraId="6408D555">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项目效益类指标包括项目实施效益和满意度两方面的内容，由4个三级指标构成，权重分为20分，实际得分17.8分，得分率为89%。具体效益指标及满意度指标完成情况如下：</w:t>
      </w:r>
    </w:p>
    <w:p w14:paraId="3F731AE5">
      <w:pPr>
        <w:spacing w:line="560" w:lineRule="exact"/>
        <w:ind w:firstLine="643" w:firstLineChars="200"/>
        <w:rPr>
          <w:rStyle w:val="16"/>
          <w:rFonts w:ascii="Times New Roman" w:hAnsi="Times New Roman" w:cs="Times New Roman"/>
          <w:b/>
          <w:bCs/>
          <w:color w:val="auto"/>
          <w:highlight w:val="none"/>
        </w:rPr>
      </w:pPr>
      <w:r>
        <w:rPr>
          <w:rStyle w:val="16"/>
          <w:rFonts w:hint="eastAsia" w:ascii="Times New Roman" w:hAnsi="Times New Roman" w:cs="Times New Roman"/>
          <w:b/>
          <w:bCs/>
          <w:color w:val="auto"/>
          <w:highlight w:val="none"/>
        </w:rPr>
        <w:t>经济效益指标方面：</w:t>
      </w:r>
    </w:p>
    <w:p w14:paraId="0299C9D6">
      <w:pPr>
        <w:spacing w:line="560" w:lineRule="exact"/>
        <w:ind w:firstLine="640" w:firstLineChars="200"/>
        <w:rPr>
          <w:rStyle w:val="16"/>
          <w:rFonts w:ascii="Times New Roman" w:hAnsi="Times New Roman" w:cs="Times New Roman"/>
          <w:color w:val="auto"/>
          <w:highlight w:val="none"/>
        </w:rPr>
      </w:pPr>
      <w:r>
        <w:rPr>
          <w:rStyle w:val="16"/>
          <w:rFonts w:ascii="Times New Roman" w:hAnsi="Times New Roman" w:cs="Times New Roman"/>
          <w:color w:val="auto"/>
          <w:highlight w:val="none"/>
        </w:rPr>
        <w:t>指标1：</w:t>
      </w:r>
      <w:r>
        <w:rPr>
          <w:rStyle w:val="16"/>
          <w:rFonts w:hint="eastAsia" w:ascii="Times New Roman" w:hAnsi="Times New Roman" w:cs="Times New Roman"/>
          <w:color w:val="auto"/>
          <w:highlight w:val="none"/>
        </w:rPr>
        <w:t>医疗收入中医疗服务收入比例</w:t>
      </w:r>
      <w:r>
        <w:rPr>
          <w:rStyle w:val="16"/>
          <w:rFonts w:ascii="Times New Roman" w:hAnsi="Times New Roman" w:cs="Times New Roman"/>
          <w:color w:val="auto"/>
          <w:highlight w:val="none"/>
        </w:rPr>
        <w:t>，指标值</w:t>
      </w:r>
      <w:r>
        <w:rPr>
          <w:rStyle w:val="16"/>
          <w:rFonts w:hint="eastAsia" w:eastAsia="仿宋_GB2312" w:cs="Times New Roman"/>
          <w:color w:val="auto"/>
          <w:highlight w:val="none"/>
          <w:lang w:eastAsia="zh-CN"/>
        </w:rPr>
        <w:t>：</w:t>
      </w:r>
      <w:r>
        <w:rPr>
          <w:rStyle w:val="16"/>
          <w:rFonts w:ascii="Times New Roman" w:hAnsi="Times New Roman" w:cs="Times New Roman"/>
          <w:color w:val="auto"/>
          <w:highlight w:val="none"/>
        </w:rPr>
        <w:t>=31%，实际完成值：</w:t>
      </w:r>
      <w:r>
        <w:rPr>
          <w:rStyle w:val="16"/>
          <w:rFonts w:hint="eastAsia" w:ascii="Times New Roman" w:hAnsi="Times New Roman" w:cs="Times New Roman"/>
          <w:color w:val="auto"/>
          <w:highlight w:val="none"/>
        </w:rPr>
        <w:t>32%</w:t>
      </w:r>
      <w:r>
        <w:rPr>
          <w:rStyle w:val="16"/>
          <w:rFonts w:ascii="Times New Roman" w:hAnsi="Times New Roman" w:cs="Times New Roman"/>
          <w:color w:val="auto"/>
          <w:highlight w:val="none"/>
        </w:rPr>
        <w:t>，指标完成率</w:t>
      </w:r>
      <w:r>
        <w:rPr>
          <w:rStyle w:val="16"/>
          <w:rFonts w:hint="eastAsia" w:ascii="Times New Roman" w:hAnsi="Times New Roman" w:cs="Times New Roman"/>
          <w:color w:val="auto"/>
          <w:highlight w:val="none"/>
        </w:rPr>
        <w:t>100</w:t>
      </w:r>
      <w:r>
        <w:rPr>
          <w:rStyle w:val="16"/>
          <w:rFonts w:ascii="Times New Roman" w:hAnsi="Times New Roman" w:cs="Times New Roman"/>
          <w:color w:val="auto"/>
          <w:highlight w:val="none"/>
        </w:rPr>
        <w:t>%</w:t>
      </w:r>
      <w:r>
        <w:rPr>
          <w:rStyle w:val="14"/>
          <w:rFonts w:hint="eastAsia" w:ascii="Times New Roman" w:hAnsi="Times New Roman" w:eastAsia="仿宋_GB2312"/>
          <w:b w:val="0"/>
          <w:spacing w:val="-4"/>
          <w:sz w:val="32"/>
          <w:szCs w:val="32"/>
          <w:highlight w:val="none"/>
        </w:rPr>
        <w:t>，偏差原因：无</w:t>
      </w:r>
      <w:r>
        <w:rPr>
          <w:rStyle w:val="16"/>
          <w:rFonts w:ascii="Times New Roman" w:hAnsi="Times New Roman" w:cs="Times New Roman"/>
          <w:color w:val="auto"/>
          <w:highlight w:val="none"/>
        </w:rPr>
        <w:t>；</w:t>
      </w:r>
    </w:p>
    <w:p w14:paraId="22567BD1">
      <w:pPr>
        <w:spacing w:line="560" w:lineRule="exact"/>
        <w:ind w:firstLine="640" w:firstLineChars="200"/>
        <w:rPr>
          <w:rStyle w:val="16"/>
          <w:rFonts w:ascii="Times New Roman" w:hAnsi="Times New Roman" w:cs="Times New Roman"/>
          <w:color w:val="auto"/>
          <w:highlight w:val="none"/>
        </w:rPr>
      </w:pPr>
      <w:r>
        <w:rPr>
          <w:rStyle w:val="16"/>
          <w:rFonts w:ascii="Times New Roman" w:hAnsi="Times New Roman" w:cs="Times New Roman"/>
          <w:color w:val="auto"/>
          <w:highlight w:val="none"/>
        </w:rPr>
        <w:t>指标</w:t>
      </w:r>
      <w:r>
        <w:rPr>
          <w:rStyle w:val="16"/>
          <w:rFonts w:hint="eastAsia" w:ascii="Times New Roman" w:hAnsi="Times New Roman" w:cs="Times New Roman"/>
          <w:color w:val="auto"/>
          <w:highlight w:val="none"/>
        </w:rPr>
        <w:t>2</w:t>
      </w:r>
      <w:r>
        <w:rPr>
          <w:rStyle w:val="16"/>
          <w:rFonts w:ascii="Times New Roman" w:hAnsi="Times New Roman" w:cs="Times New Roman"/>
          <w:color w:val="auto"/>
          <w:highlight w:val="none"/>
        </w:rPr>
        <w:t>：</w:t>
      </w:r>
      <w:r>
        <w:rPr>
          <w:rStyle w:val="16"/>
          <w:rFonts w:hint="eastAsia" w:ascii="Times New Roman" w:hAnsi="Times New Roman" w:cs="Times New Roman"/>
          <w:color w:val="auto"/>
          <w:highlight w:val="none"/>
        </w:rPr>
        <w:t>资产负债率</w:t>
      </w:r>
      <w:r>
        <w:rPr>
          <w:rStyle w:val="16"/>
          <w:rFonts w:ascii="Times New Roman" w:hAnsi="Times New Roman" w:cs="Times New Roman"/>
          <w:color w:val="auto"/>
          <w:highlight w:val="none"/>
        </w:rPr>
        <w:t>，指标值：</w:t>
      </w:r>
      <w:r>
        <w:rPr>
          <w:rStyle w:val="16"/>
          <w:rFonts w:hint="eastAsia" w:eastAsia="仿宋_GB2312" w:cs="Times New Roman"/>
          <w:color w:val="auto"/>
          <w:highlight w:val="none"/>
          <w:lang w:eastAsia="zh-CN"/>
        </w:rPr>
        <w:t>〈</w:t>
      </w:r>
      <w:r>
        <w:rPr>
          <w:rStyle w:val="16"/>
          <w:rFonts w:ascii="Times New Roman" w:hAnsi="Times New Roman" w:cs="Times New Roman"/>
          <w:color w:val="auto"/>
          <w:highlight w:val="none"/>
        </w:rPr>
        <w:t>=60%，实际完成值：</w:t>
      </w:r>
      <w:r>
        <w:rPr>
          <w:rStyle w:val="16"/>
          <w:rFonts w:hint="eastAsia" w:ascii="Times New Roman" w:hAnsi="Times New Roman" w:cs="Times New Roman"/>
          <w:color w:val="auto"/>
          <w:highlight w:val="none"/>
        </w:rPr>
        <w:t>27%</w:t>
      </w:r>
      <w:r>
        <w:rPr>
          <w:rStyle w:val="16"/>
          <w:rFonts w:ascii="Times New Roman" w:hAnsi="Times New Roman" w:cs="Times New Roman"/>
          <w:color w:val="auto"/>
          <w:highlight w:val="none"/>
        </w:rPr>
        <w:t>，指标完成率</w:t>
      </w:r>
      <w:r>
        <w:rPr>
          <w:rStyle w:val="16"/>
          <w:rFonts w:hint="eastAsia" w:ascii="Times New Roman" w:hAnsi="Times New Roman" w:cs="Times New Roman"/>
          <w:color w:val="auto"/>
          <w:highlight w:val="none"/>
        </w:rPr>
        <w:t>100</w:t>
      </w:r>
      <w:r>
        <w:rPr>
          <w:rStyle w:val="16"/>
          <w:rFonts w:ascii="Times New Roman" w:hAnsi="Times New Roman" w:cs="Times New Roman"/>
          <w:color w:val="auto"/>
          <w:highlight w:val="none"/>
        </w:rPr>
        <w:t>%</w:t>
      </w:r>
      <w:r>
        <w:rPr>
          <w:rStyle w:val="14"/>
          <w:rFonts w:hint="eastAsia" w:ascii="Times New Roman" w:hAnsi="Times New Roman" w:eastAsia="仿宋_GB2312"/>
          <w:b w:val="0"/>
          <w:spacing w:val="-4"/>
          <w:sz w:val="32"/>
          <w:szCs w:val="32"/>
          <w:highlight w:val="none"/>
        </w:rPr>
        <w:t>，偏差原因：无。</w:t>
      </w:r>
    </w:p>
    <w:p w14:paraId="19775B98">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社会效益指标方面：</w:t>
      </w:r>
    </w:p>
    <w:p w14:paraId="4C6F2F2C">
      <w:pPr>
        <w:spacing w:line="560" w:lineRule="exact"/>
        <w:ind w:firstLine="640" w:firstLineChars="200"/>
        <w:rPr>
          <w:rStyle w:val="16"/>
          <w:rFonts w:ascii="Times New Roman" w:hAnsi="Times New Roman" w:cs="Times New Roman"/>
          <w:color w:val="auto"/>
          <w:highlight w:val="none"/>
        </w:rPr>
      </w:pPr>
      <w:r>
        <w:rPr>
          <w:rStyle w:val="16"/>
          <w:rFonts w:ascii="Times New Roman" w:hAnsi="Times New Roman" w:cs="Times New Roman"/>
          <w:color w:val="auto"/>
          <w:highlight w:val="none"/>
        </w:rPr>
        <w:t>指标1：</w:t>
      </w:r>
      <w:r>
        <w:rPr>
          <w:rStyle w:val="16"/>
          <w:rFonts w:hint="eastAsia" w:ascii="Times New Roman" w:hAnsi="Times New Roman" w:cs="Times New Roman"/>
          <w:color w:val="auto"/>
          <w:highlight w:val="none"/>
        </w:rPr>
        <w:t>出院患者四级手术比例</w:t>
      </w:r>
      <w:r>
        <w:rPr>
          <w:rStyle w:val="16"/>
          <w:rFonts w:ascii="Times New Roman" w:hAnsi="Times New Roman" w:cs="Times New Roman"/>
          <w:color w:val="auto"/>
          <w:highlight w:val="none"/>
        </w:rPr>
        <w:t>，指标值</w:t>
      </w:r>
      <w:r>
        <w:rPr>
          <w:rStyle w:val="16"/>
          <w:rFonts w:hint="eastAsia" w:eastAsia="仿宋_GB2312" w:cs="Times New Roman"/>
          <w:color w:val="auto"/>
          <w:highlight w:val="none"/>
          <w:lang w:eastAsia="zh-CN"/>
        </w:rPr>
        <w:t>：</w:t>
      </w:r>
      <w:r>
        <w:rPr>
          <w:rStyle w:val="16"/>
          <w:rFonts w:ascii="Times New Roman" w:hAnsi="Times New Roman" w:cs="Times New Roman"/>
          <w:color w:val="auto"/>
          <w:highlight w:val="none"/>
        </w:rPr>
        <w:t>=15%，实际完成值：</w:t>
      </w:r>
      <w:r>
        <w:rPr>
          <w:rStyle w:val="16"/>
          <w:rFonts w:hint="eastAsia" w:ascii="Times New Roman" w:hAnsi="Times New Roman" w:cs="Times New Roman"/>
          <w:color w:val="auto"/>
          <w:highlight w:val="none"/>
        </w:rPr>
        <w:t>12.5%</w:t>
      </w:r>
      <w:r>
        <w:rPr>
          <w:rStyle w:val="16"/>
          <w:rFonts w:ascii="Times New Roman" w:hAnsi="Times New Roman" w:cs="Times New Roman"/>
          <w:color w:val="auto"/>
          <w:highlight w:val="none"/>
        </w:rPr>
        <w:t>，指标完成率</w:t>
      </w:r>
      <w:r>
        <w:rPr>
          <w:rStyle w:val="16"/>
          <w:rFonts w:hint="eastAsia" w:ascii="Times New Roman" w:hAnsi="Times New Roman" w:cs="Times New Roman"/>
          <w:color w:val="auto"/>
          <w:highlight w:val="none"/>
        </w:rPr>
        <w:t>84</w:t>
      </w:r>
      <w:r>
        <w:rPr>
          <w:rStyle w:val="16"/>
          <w:rFonts w:ascii="Times New Roman" w:hAnsi="Times New Roman" w:cs="Times New Roman"/>
          <w:color w:val="auto"/>
          <w:highlight w:val="none"/>
        </w:rPr>
        <w:t>%</w:t>
      </w:r>
      <w:r>
        <w:rPr>
          <w:rStyle w:val="14"/>
          <w:rFonts w:hint="eastAsia" w:ascii="Times New Roman" w:hAnsi="Times New Roman" w:eastAsia="仿宋_GB2312"/>
          <w:b w:val="0"/>
          <w:spacing w:val="-4"/>
          <w:sz w:val="32"/>
          <w:szCs w:val="32"/>
          <w:highlight w:val="none"/>
        </w:rPr>
        <w:t>，偏差原因：规范梳理三四级手术目录，调整部分四级手术；四级手术量未增加，总手术量增加，四级手术占比相应降低。</w:t>
      </w:r>
    </w:p>
    <w:p w14:paraId="0813283D">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满意度指标方面：</w:t>
      </w:r>
    </w:p>
    <w:p w14:paraId="404BDC32">
      <w:pPr>
        <w:snapToGrid w:val="0"/>
        <w:spacing w:line="560" w:lineRule="exact"/>
        <w:ind w:firstLine="624" w:firstLineChars="200"/>
        <w:rPr>
          <w:rStyle w:val="14"/>
          <w:rFonts w:ascii="Times New Roman" w:hAnsi="Times New Roman"/>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患者满意度</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ascii="Times New Roman" w:hAnsi="Times New Roman" w:eastAsia="仿宋_GB2312"/>
          <w:b w:val="0"/>
          <w:spacing w:val="-4"/>
          <w:sz w:val="32"/>
          <w:szCs w:val="32"/>
          <w:highlight w:val="none"/>
        </w:rPr>
        <w:t>=70%，实际完成值：</w:t>
      </w:r>
      <w:r>
        <w:rPr>
          <w:rStyle w:val="14"/>
          <w:rFonts w:hint="eastAsia" w:ascii="Times New Roman" w:hAnsi="Times New Roman" w:eastAsia="仿宋_GB2312"/>
          <w:b w:val="0"/>
          <w:spacing w:val="-4"/>
          <w:sz w:val="32"/>
          <w:szCs w:val="32"/>
          <w:highlight w:val="none"/>
        </w:rPr>
        <w:t>96%</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 xml:space="preserve">，偏差原因：2023年开展管理、技术、文化等软实力的同质化平移，派驻北京专家104人、158人次，改善患者就医体验，提高了患者满意度。 </w:t>
      </w:r>
    </w:p>
    <w:p w14:paraId="5906E720">
      <w:p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五、</w:t>
      </w:r>
      <w:r>
        <w:rPr>
          <w:rFonts w:hint="eastAsia" w:ascii="Times New Roman" w:hAnsi="Times New Roman" w:eastAsia="黑体"/>
          <w:sz w:val="32"/>
          <w:szCs w:val="32"/>
          <w:highlight w:val="none"/>
        </w:rPr>
        <w:t>预算执行进度与绩效指标总体完成率偏差</w:t>
      </w:r>
    </w:p>
    <w:p w14:paraId="61D07221">
      <w:pPr>
        <w:pStyle w:val="17"/>
        <w:spacing w:line="560" w:lineRule="exact"/>
        <w:ind w:firstLine="640"/>
        <w:rPr>
          <w:rStyle w:val="14"/>
          <w:rFonts w:hint="default" w:eastAsia="仿宋_GB2312"/>
          <w:b w:val="0"/>
          <w:spacing w:val="-4"/>
          <w:kern w:val="2"/>
          <w:sz w:val="32"/>
          <w:szCs w:val="32"/>
          <w:highlight w:val="none"/>
          <w:lang w:val="en-US" w:eastAsia="zh-CN"/>
        </w:rPr>
      </w:pPr>
      <w:r>
        <w:rPr>
          <w:rStyle w:val="14"/>
          <w:rFonts w:hint="eastAsia" w:ascii="Times New Roman" w:hAnsi="Times New Roman" w:eastAsia="仿宋_GB2312"/>
          <w:b w:val="0"/>
          <w:spacing w:val="-4"/>
          <w:kern w:val="2"/>
          <w:sz w:val="32"/>
          <w:szCs w:val="32"/>
          <w:highlight w:val="none"/>
        </w:rPr>
        <w:t>北京儿童医院新疆医院（国家儿童区域医疗中心）专项补助经费项目预算4000万元，到位4000万元，实际支出3692.72万元，预算执行率为92.32%，项目绩效指标总体完成率为93.82%，总体偏差率为1.5%</w:t>
      </w:r>
      <w:r>
        <w:rPr>
          <w:rStyle w:val="14"/>
          <w:rFonts w:hint="eastAsia" w:eastAsia="仿宋_GB2312"/>
          <w:b w:val="0"/>
          <w:spacing w:val="-4"/>
          <w:kern w:val="2"/>
          <w:sz w:val="32"/>
          <w:szCs w:val="32"/>
          <w:highlight w:val="none"/>
          <w:lang w:eastAsia="zh-CN"/>
        </w:rPr>
        <w:t>，</w:t>
      </w:r>
      <w:r>
        <w:rPr>
          <w:rStyle w:val="14"/>
          <w:rFonts w:hint="eastAsia" w:eastAsia="仿宋_GB2312"/>
          <w:b w:val="0"/>
          <w:spacing w:val="-4"/>
          <w:kern w:val="2"/>
          <w:sz w:val="32"/>
          <w:szCs w:val="32"/>
          <w:highlight w:val="none"/>
          <w:lang w:val="en-US" w:eastAsia="zh-CN"/>
        </w:rPr>
        <w:t>偏差原因：出院患者四级手术比例未达到指标值；医院在项目政府采购过程中，因废标情况的发生以及设备采购前期就参数制定、招标文件内容等一直在不断修订，导致挂网时间延后，对资金支付产生了一定程度上的影响。改进措施：我院将规范梳理三四级手术目录，调整部分四级手术；同时严格按照资金支付计划进行支付。</w:t>
      </w:r>
    </w:p>
    <w:p w14:paraId="5CFCF403">
      <w:pPr>
        <w:spacing w:line="560" w:lineRule="exact"/>
        <w:ind w:firstLine="640" w:firstLineChars="200"/>
        <w:rPr>
          <w:rStyle w:val="16"/>
          <w:rFonts w:ascii="Times New Roman" w:hAnsi="Times New Roman" w:cs="Times New Roman"/>
          <w:color w:val="auto"/>
          <w:highlight w:val="none"/>
        </w:rPr>
      </w:pPr>
      <w:r>
        <w:rPr>
          <w:rFonts w:hint="eastAsia" w:ascii="Times New Roman" w:hAnsi="Times New Roman" w:eastAsia="黑体"/>
          <w:sz w:val="32"/>
          <w:szCs w:val="32"/>
          <w:highlight w:val="none"/>
        </w:rPr>
        <w:t>六</w:t>
      </w:r>
      <w:r>
        <w:rPr>
          <w:rFonts w:ascii="Times New Roman" w:hAnsi="Times New Roman" w:eastAsia="黑体"/>
          <w:sz w:val="32"/>
          <w:szCs w:val="32"/>
          <w:highlight w:val="none"/>
        </w:rPr>
        <w:t>、主要经验及做法、存在的问题及原因分析</w:t>
      </w:r>
    </w:p>
    <w:p w14:paraId="24E04D37">
      <w:pPr>
        <w:spacing w:line="560" w:lineRule="exact"/>
        <w:ind w:firstLine="627" w:firstLineChars="200"/>
        <w:rPr>
          <w:rFonts w:ascii="Times New Roman" w:hAnsi="Times New Roman" w:eastAsia="楷体"/>
          <w:b/>
          <w:spacing w:val="-4"/>
          <w:sz w:val="32"/>
          <w:szCs w:val="32"/>
          <w:highlight w:val="none"/>
        </w:rPr>
      </w:pPr>
      <w:r>
        <w:rPr>
          <w:rFonts w:ascii="Times New Roman" w:hAnsi="Times New Roman" w:eastAsia="楷体"/>
          <w:b/>
          <w:spacing w:val="-4"/>
          <w:sz w:val="32"/>
          <w:szCs w:val="32"/>
          <w:highlight w:val="none"/>
        </w:rPr>
        <w:t>（一）主要经验及做法</w:t>
      </w:r>
    </w:p>
    <w:p w14:paraId="0734EC67">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41D2E81">
      <w:pPr>
        <w:pStyle w:val="9"/>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4231374">
      <w:pPr>
        <w:keepNext/>
        <w:keepLines/>
        <w:numPr>
          <w:ilvl w:val="0"/>
          <w:numId w:val="6"/>
        </w:numPr>
        <w:spacing w:line="560" w:lineRule="exact"/>
        <w:ind w:firstLine="643" w:firstLineChars="200"/>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存在的问题及原因分析</w:t>
      </w:r>
    </w:p>
    <w:p w14:paraId="70234112">
      <w:pPr>
        <w:pStyle w:val="9"/>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本项目</w:t>
      </w:r>
      <w:r>
        <w:rPr>
          <w:rFonts w:ascii="Times New Roman" w:hAnsi="Times New Roman" w:eastAsia="仿宋_GB2312"/>
          <w:b w:val="0"/>
          <w:bCs w:val="0"/>
          <w:kern w:val="2"/>
          <w:highlight w:val="none"/>
        </w:rPr>
        <w:t>202</w:t>
      </w:r>
      <w:r>
        <w:rPr>
          <w:rFonts w:hint="eastAsia" w:ascii="Times New Roman" w:hAnsi="Times New Roman" w:eastAsia="仿宋_GB2312"/>
          <w:b w:val="0"/>
          <w:bCs w:val="0"/>
          <w:kern w:val="2"/>
          <w:highlight w:val="none"/>
        </w:rPr>
        <w:t>3年度无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rPr>
        <w:t>。</w:t>
      </w:r>
    </w:p>
    <w:p w14:paraId="3BC21DF0">
      <w:pPr>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七、</w:t>
      </w:r>
      <w:r>
        <w:rPr>
          <w:rFonts w:ascii="Times New Roman" w:hAnsi="Times New Roman" w:eastAsia="黑体"/>
          <w:sz w:val="32"/>
          <w:szCs w:val="32"/>
          <w:highlight w:val="none"/>
        </w:rPr>
        <w:t>有关建议</w:t>
      </w:r>
    </w:p>
    <w:p w14:paraId="280D03E8">
      <w:pPr>
        <w:spacing w:line="560" w:lineRule="exact"/>
        <w:ind w:firstLine="640" w:firstLineChars="200"/>
        <w:rPr>
          <w:rFonts w:ascii="Times New Roman" w:hAnsi="Times New Roman" w:eastAsia="仿宋_GB2312" w:cs="仿宋_GB2312"/>
          <w:sz w:val="32"/>
          <w:szCs w:val="28"/>
          <w:highlight w:val="none"/>
        </w:rPr>
      </w:pPr>
      <w:r>
        <w:rPr>
          <w:rFonts w:hint="eastAsia" w:ascii="Times New Roman" w:hAnsi="Times New Roman"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w:t>
      </w:r>
    </w:p>
    <w:p w14:paraId="2D88A4E5">
      <w:pPr>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八、</w:t>
      </w:r>
      <w:r>
        <w:rPr>
          <w:rFonts w:ascii="Times New Roman" w:hAnsi="Times New Roman" w:eastAsia="黑体"/>
          <w:sz w:val="32"/>
          <w:szCs w:val="32"/>
          <w:highlight w:val="none"/>
        </w:rPr>
        <w:t>其他需要说</w:t>
      </w:r>
      <w:bookmarkStart w:id="3" w:name="page8"/>
      <w:bookmarkEnd w:id="3"/>
      <w:r>
        <w:rPr>
          <w:rFonts w:ascii="Times New Roman" w:hAnsi="Times New Roman" w:eastAsia="黑体"/>
          <w:sz w:val="32"/>
          <w:szCs w:val="32"/>
          <w:highlight w:val="none"/>
        </w:rPr>
        <w:t>明的问题</w:t>
      </w:r>
    </w:p>
    <w:p w14:paraId="2472F2C1">
      <w:pPr>
        <w:pStyle w:val="11"/>
        <w:spacing w:after="0" w:line="560" w:lineRule="exact"/>
        <w:ind w:left="0" w:leftChars="0" w:firstLine="64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本项目无其他需说明的问题。</w:t>
      </w:r>
    </w:p>
    <w:p w14:paraId="7468788F">
      <w:pPr>
        <w:pStyle w:val="9"/>
        <w:jc w:val="both"/>
        <w:rPr>
          <w:rFonts w:ascii="Times New Roman" w:hAnsi="Times New Roman"/>
          <w:highlight w:val="none"/>
        </w:rPr>
      </w:pPr>
    </w:p>
    <w:p w14:paraId="6ACCE24C">
      <w:pPr>
        <w:rPr>
          <w:rFonts w:ascii="Times New Roman" w:hAnsi="Times New Roman"/>
          <w:highlight w:val="none"/>
        </w:rPr>
        <w:sectPr>
          <w:footerReference r:id="rId3" w:type="default"/>
          <w:pgSz w:w="11906" w:h="16838"/>
          <w:pgMar w:top="1440" w:right="1558" w:bottom="1440" w:left="1800" w:header="851" w:footer="992" w:gutter="0"/>
          <w:cols w:space="425" w:num="1"/>
          <w:docGrid w:type="lines" w:linePitch="312" w:charSpace="0"/>
        </w:sectPr>
      </w:pPr>
      <w:bookmarkStart w:id="6" w:name="_GoBack"/>
      <w:bookmarkEnd w:id="6"/>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3FDE2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071669C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7FE9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FC25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7AD74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D1C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4CB04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北京儿童医院新疆医院（国家儿童区域医疗中心）专项补助经费</w:t>
            </w:r>
          </w:p>
        </w:tc>
      </w:tr>
      <w:tr w14:paraId="6C217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8F5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346E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47B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68E0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新疆维吾尔自治区儿童医院</w:t>
            </w:r>
          </w:p>
        </w:tc>
      </w:tr>
      <w:tr w14:paraId="25119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F9CD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241D0">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9C5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1D3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AB55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FC8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FBF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B14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C0E7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84079">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1BC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D2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4" w:name="OLE_LINK1"/>
            <w:r>
              <w:rPr>
                <w:rFonts w:hint="eastAsia" w:ascii="宋体" w:hAnsi="宋体" w:eastAsia="宋体" w:cs="宋体"/>
                <w:i w:val="0"/>
                <w:iCs w:val="0"/>
                <w:color w:val="000000"/>
                <w:kern w:val="0"/>
                <w:sz w:val="18"/>
                <w:szCs w:val="18"/>
                <w:u w:val="none"/>
                <w:lang w:val="en-US" w:eastAsia="zh-CN" w:bidi="ar"/>
              </w:rPr>
              <w:t>4000.00</w:t>
            </w:r>
            <w:bookmarkEnd w:id="4"/>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55A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4D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3692.72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02E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15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92.32%</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31C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9.23分</w:t>
            </w:r>
          </w:p>
        </w:tc>
      </w:tr>
      <w:tr w14:paraId="0D90E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7907E">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45D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3C3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26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4000.00 </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ACC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3692.72 </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2DB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700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17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56F7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80620">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DDC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843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6C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5" w:name="OLE_LINK2"/>
            <w:r>
              <w:rPr>
                <w:rFonts w:hint="eastAsia" w:ascii="宋体" w:hAnsi="宋体" w:eastAsia="宋体" w:cs="宋体"/>
                <w:i w:val="0"/>
                <w:iCs w:val="0"/>
                <w:color w:val="000000"/>
                <w:kern w:val="0"/>
                <w:sz w:val="18"/>
                <w:szCs w:val="18"/>
                <w:u w:val="none"/>
                <w:lang w:val="en-US" w:eastAsia="zh-CN" w:bidi="ar"/>
              </w:rPr>
              <w:t>0</w:t>
            </w:r>
            <w:bookmarkEnd w:id="5"/>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B8ABA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F0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E70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60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EAE6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33C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0C34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9B3F1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4F10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988D4">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0409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新疆维吾尔自治区人民政府与首都医科大学附属北京儿童医院共建国家儿童区域医疗中心合作协议》等文件，建成国家儿童区域医疗中心，承担起新疆区域内、中亚五国、新疆周边及丝绸之路经济带沿线国家疑难复杂患儿诊治及转运工作，在区域儿科医疗服务领域中辐射和引领基层医疗机构医学发展和医疗服务能力提升。2023年专项经费4000万元，用于对北京儿童医院新疆医院经营性亏损给予补助。</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884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准确完成资金支付，完成绩效指标，项目目前已经基本完成实际设立的目标，项目在实施过程中严格按照目标设立的各阶段任务进行开展工作，在前期立项过程中严格把质量关，建立安全防护机制，保证项目实施各阶段安全顺利进行。</w:t>
            </w:r>
          </w:p>
        </w:tc>
      </w:tr>
      <w:tr w14:paraId="2C890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8784AA">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774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7CF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006F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4D6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5C9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87B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ECD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8B0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BD3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F9B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EABF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85C3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236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7E0D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2CC0B">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B57F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E57D1">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DF0F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A257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32F7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AD73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4082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A264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9E95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A93E0">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117D2">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49467">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8EBB5">
            <w:pPr>
              <w:jc w:val="center"/>
              <w:rPr>
                <w:rFonts w:hint="eastAsia" w:ascii="宋体" w:hAnsi="宋体" w:eastAsia="宋体" w:cs="宋体"/>
                <w:b/>
                <w:bCs/>
                <w:i w:val="0"/>
                <w:iCs w:val="0"/>
                <w:color w:val="000000"/>
                <w:sz w:val="18"/>
                <w:szCs w:val="18"/>
                <w:u w:val="none"/>
              </w:rPr>
            </w:pPr>
          </w:p>
        </w:tc>
      </w:tr>
      <w:tr w14:paraId="2E943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03A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4D3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D05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A8C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下转患者人次数（门急诊、住院）</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806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8A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&gt;=300例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A8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=896例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70A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A8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6C0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C9282">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B06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94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B049">
            <w:pPr>
              <w:jc w:val="center"/>
              <w:rPr>
                <w:rFonts w:hint="eastAsia" w:ascii="宋体" w:hAnsi="宋体" w:eastAsia="宋体" w:cs="宋体"/>
                <w:i w:val="0"/>
                <w:iCs w:val="0"/>
                <w:color w:val="000000"/>
                <w:sz w:val="18"/>
                <w:szCs w:val="18"/>
                <w:u w:val="none"/>
              </w:rPr>
            </w:pPr>
          </w:p>
        </w:tc>
      </w:tr>
      <w:tr w14:paraId="1A310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AC64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94BA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9F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ECB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开展的新技术、新方法、新材料</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E5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9D6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1A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B9A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9CF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95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A5B83">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700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240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3DCA5">
            <w:pPr>
              <w:jc w:val="center"/>
              <w:rPr>
                <w:rFonts w:hint="eastAsia" w:ascii="宋体" w:hAnsi="宋体" w:eastAsia="宋体" w:cs="宋体"/>
                <w:i w:val="0"/>
                <w:iCs w:val="0"/>
                <w:color w:val="000000"/>
                <w:sz w:val="18"/>
                <w:szCs w:val="18"/>
                <w:u w:val="none"/>
              </w:rPr>
            </w:pPr>
          </w:p>
        </w:tc>
      </w:tr>
      <w:tr w14:paraId="27D3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AD1A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6DCF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602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808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自治区级重点学科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4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FF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230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D0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5A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FC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5493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A5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9E9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2234A">
            <w:pPr>
              <w:jc w:val="center"/>
              <w:rPr>
                <w:rFonts w:hint="eastAsia" w:ascii="宋体" w:hAnsi="宋体" w:eastAsia="宋体" w:cs="宋体"/>
                <w:i w:val="0"/>
                <w:iCs w:val="0"/>
                <w:color w:val="000000"/>
                <w:sz w:val="18"/>
                <w:szCs w:val="18"/>
                <w:u w:val="none"/>
              </w:rPr>
            </w:pPr>
          </w:p>
        </w:tc>
      </w:tr>
      <w:tr w14:paraId="4D9E5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A9B1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5F73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DE0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302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年外出进修/培训人数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B3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62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&gt;=30人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E56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20D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9AF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F6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CF9FC">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A75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70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6485B">
            <w:pPr>
              <w:jc w:val="center"/>
              <w:rPr>
                <w:rFonts w:hint="eastAsia" w:ascii="宋体" w:hAnsi="宋体" w:eastAsia="宋体" w:cs="宋体"/>
                <w:i w:val="0"/>
                <w:iCs w:val="0"/>
                <w:color w:val="000000"/>
                <w:sz w:val="18"/>
                <w:szCs w:val="18"/>
                <w:u w:val="none"/>
              </w:rPr>
            </w:pPr>
          </w:p>
        </w:tc>
      </w:tr>
      <w:tr w14:paraId="5C671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BD0D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D0DD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17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F9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办公家具购置数量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F94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88F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&gt;=2000件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B9C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=1412件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96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70.62%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881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933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5ED1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D1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60B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A5E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部分办公家具暂未到货。</w:t>
            </w:r>
          </w:p>
        </w:tc>
      </w:tr>
      <w:tr w14:paraId="4A9F5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3D52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8749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02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CD8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优质护理服务病房覆盖率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AB5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57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BF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C8B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3EB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A08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97CB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E27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7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BEA87">
            <w:pPr>
              <w:jc w:val="center"/>
              <w:rPr>
                <w:rFonts w:hint="eastAsia" w:ascii="宋体" w:hAnsi="宋体" w:eastAsia="宋体" w:cs="宋体"/>
                <w:i w:val="0"/>
                <w:iCs w:val="0"/>
                <w:color w:val="000000"/>
                <w:sz w:val="18"/>
                <w:szCs w:val="18"/>
                <w:u w:val="none"/>
              </w:rPr>
            </w:pPr>
          </w:p>
        </w:tc>
      </w:tr>
      <w:tr w14:paraId="7D1FF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6192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E32C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8A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2E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大型医用设备检查阳性率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0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96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C93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A19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6D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5E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9C61D">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A0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7E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35418">
            <w:pPr>
              <w:jc w:val="center"/>
              <w:rPr>
                <w:rFonts w:hint="eastAsia" w:ascii="宋体" w:hAnsi="宋体" w:eastAsia="宋体" w:cs="宋体"/>
                <w:i w:val="0"/>
                <w:iCs w:val="0"/>
                <w:color w:val="000000"/>
                <w:sz w:val="18"/>
                <w:szCs w:val="18"/>
                <w:u w:val="none"/>
              </w:rPr>
            </w:pPr>
          </w:p>
        </w:tc>
      </w:tr>
      <w:tr w14:paraId="0982D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DAE0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EC98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1F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63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出院患者平均住院日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2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4A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&lt;=9天</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0B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=7.85天</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AE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5C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B0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1ABB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B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01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9B51D">
            <w:pPr>
              <w:jc w:val="center"/>
              <w:rPr>
                <w:rFonts w:hint="eastAsia" w:ascii="宋体" w:hAnsi="宋体" w:eastAsia="宋体" w:cs="宋体"/>
                <w:i w:val="0"/>
                <w:iCs w:val="0"/>
                <w:color w:val="000000"/>
                <w:sz w:val="18"/>
                <w:szCs w:val="18"/>
                <w:u w:val="none"/>
              </w:rPr>
            </w:pPr>
          </w:p>
        </w:tc>
      </w:tr>
      <w:tr w14:paraId="33A01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F5960">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79CF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B3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7E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办公家具购置费用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035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094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&lt;=648.54万元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E6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=341.26万元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0E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52.62%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0D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4D2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2866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300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2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30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医院在项目政府采购过程中，因废标情况的发生以及设备采购前期就参数制定、招标文件内容等一直在不断修订，导致挂网时间延后，对资金支付产生了一定程度上的影响。</w:t>
            </w:r>
          </w:p>
        </w:tc>
      </w:tr>
      <w:tr w14:paraId="261EA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FAD8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3C224">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115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86A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人员经费支出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BB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3A0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&lt;=2440万元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C3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=2440万元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C58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56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3DA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BBA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617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2F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1D986">
            <w:pPr>
              <w:jc w:val="center"/>
              <w:rPr>
                <w:rFonts w:hint="eastAsia" w:ascii="宋体" w:hAnsi="宋体" w:eastAsia="宋体" w:cs="宋体"/>
                <w:i w:val="0"/>
                <w:iCs w:val="0"/>
                <w:color w:val="000000"/>
                <w:sz w:val="18"/>
                <w:szCs w:val="18"/>
                <w:u w:val="none"/>
              </w:rPr>
            </w:pPr>
          </w:p>
        </w:tc>
      </w:tr>
      <w:tr w14:paraId="5B31D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636F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3012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53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38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日常运转经费支出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BB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B7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&lt;=911.46万元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87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=911.46万元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A1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457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36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675F">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BC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BB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4BC64">
            <w:pPr>
              <w:jc w:val="center"/>
              <w:rPr>
                <w:rFonts w:hint="eastAsia" w:ascii="宋体" w:hAnsi="宋体" w:eastAsia="宋体" w:cs="宋体"/>
                <w:i w:val="0"/>
                <w:iCs w:val="0"/>
                <w:color w:val="000000"/>
                <w:sz w:val="18"/>
                <w:szCs w:val="18"/>
                <w:u w:val="none"/>
              </w:rPr>
            </w:pPr>
          </w:p>
        </w:tc>
      </w:tr>
      <w:tr w14:paraId="6A863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EADC1">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0A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58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98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医疗收入中医疗服务收入比例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E69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A5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09E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C0F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2F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B9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F2A4A">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DA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688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96AB">
            <w:pPr>
              <w:jc w:val="center"/>
              <w:rPr>
                <w:rFonts w:hint="eastAsia" w:ascii="宋体" w:hAnsi="宋体" w:eastAsia="宋体" w:cs="宋体"/>
                <w:i w:val="0"/>
                <w:iCs w:val="0"/>
                <w:color w:val="000000"/>
                <w:sz w:val="18"/>
                <w:szCs w:val="18"/>
                <w:u w:val="none"/>
              </w:rPr>
            </w:pPr>
          </w:p>
        </w:tc>
      </w:tr>
      <w:tr w14:paraId="4C5B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C7D8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D3144">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DC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6FF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资产负债率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3C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3B5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76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28B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33C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0C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182E0">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65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4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E866F">
            <w:pPr>
              <w:jc w:val="center"/>
              <w:rPr>
                <w:rFonts w:hint="eastAsia" w:ascii="宋体" w:hAnsi="宋体" w:eastAsia="宋体" w:cs="宋体"/>
                <w:i w:val="0"/>
                <w:iCs w:val="0"/>
                <w:color w:val="000000"/>
                <w:sz w:val="18"/>
                <w:szCs w:val="18"/>
                <w:u w:val="none"/>
              </w:rPr>
            </w:pPr>
          </w:p>
        </w:tc>
      </w:tr>
      <w:tr w14:paraId="02CA9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B70B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3203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C79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8C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出院患者四级手术比例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17F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C35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93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BAB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28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C9F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C577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D9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A9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70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规范梳理三四级手术目录，调整部分四级手术；四级手术量未增加，总手术量增加，四级手术占比相应降低。</w:t>
            </w:r>
          </w:p>
        </w:tc>
      </w:tr>
      <w:tr w14:paraId="5E685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B8EBE">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6B8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A85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94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患者满意度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9D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9E6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68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A44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16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43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7A8D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6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4EF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CBB4B">
            <w:pPr>
              <w:jc w:val="center"/>
              <w:rPr>
                <w:rFonts w:hint="eastAsia" w:ascii="宋体" w:hAnsi="宋体" w:eastAsia="宋体" w:cs="宋体"/>
                <w:i w:val="0"/>
                <w:iCs w:val="0"/>
                <w:color w:val="000000"/>
                <w:sz w:val="18"/>
                <w:szCs w:val="18"/>
                <w:u w:val="none"/>
              </w:rPr>
            </w:pPr>
          </w:p>
        </w:tc>
      </w:tr>
      <w:tr w14:paraId="1690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269033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12E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7FBFC159">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EA54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C2E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6C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86.56分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706E">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A8678">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1D12A">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8D2E">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EFA7B">
            <w:pPr>
              <w:rPr>
                <w:rFonts w:hint="eastAsia" w:ascii="宋体" w:hAnsi="宋体" w:eastAsia="宋体" w:cs="宋体"/>
                <w:i w:val="0"/>
                <w:iCs w:val="0"/>
                <w:color w:val="000000"/>
                <w:sz w:val="18"/>
                <w:szCs w:val="18"/>
                <w:u w:val="none"/>
              </w:rPr>
            </w:pPr>
          </w:p>
        </w:tc>
      </w:tr>
    </w:tbl>
    <w:p w14:paraId="20C7823B">
      <w:pPr>
        <w:spacing w:line="600" w:lineRule="exact"/>
        <w:rPr>
          <w:rFonts w:ascii="Times New Roman" w:hAnsi="Times New Roman"/>
          <w:bCs/>
          <w:sz w:val="32"/>
          <w:szCs w:val="32"/>
          <w:highlight w:val="none"/>
        </w:rPr>
        <w:sectPr>
          <w:pgSz w:w="16838" w:h="11906" w:orient="landscape"/>
          <w:pgMar w:top="1800" w:right="1440" w:bottom="1558" w:left="1440" w:header="851" w:footer="992" w:gutter="0"/>
          <w:cols w:space="425" w:num="1"/>
          <w:docGrid w:type="lines" w:linePitch="312" w:charSpace="0"/>
        </w:sectPr>
      </w:pPr>
    </w:p>
    <w:p w14:paraId="5A9ECE83">
      <w:pPr>
        <w:spacing w:line="600" w:lineRule="exact"/>
        <w:rPr>
          <w:rFonts w:ascii="Times New Roman" w:hAnsi="Times New Roman"/>
          <w:bCs/>
          <w:sz w:val="32"/>
          <w:szCs w:val="32"/>
          <w:highlight w:val="none"/>
        </w:rPr>
      </w:pPr>
      <w:r>
        <w:rPr>
          <w:rFonts w:ascii="Times New Roman" w:hAnsi="Times New Roman"/>
          <w:bCs/>
          <w:sz w:val="32"/>
          <w:szCs w:val="32"/>
          <w:highlight w:val="none"/>
        </w:rPr>
        <w:t>附件1</w:t>
      </w:r>
    </w:p>
    <w:tbl>
      <w:tblPr>
        <w:tblStyle w:val="1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3CC83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3B97E31A">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一级指标</w:t>
            </w:r>
          </w:p>
        </w:tc>
        <w:tc>
          <w:tcPr>
            <w:tcW w:w="302" w:type="pct"/>
            <w:shd w:val="clear" w:color="auto" w:fill="FFFFFF"/>
            <w:vAlign w:val="center"/>
          </w:tcPr>
          <w:p w14:paraId="4736C82B">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二级指标</w:t>
            </w:r>
          </w:p>
        </w:tc>
        <w:tc>
          <w:tcPr>
            <w:tcW w:w="344" w:type="pct"/>
            <w:shd w:val="clear" w:color="auto" w:fill="FFFFFF"/>
            <w:vAlign w:val="center"/>
          </w:tcPr>
          <w:p w14:paraId="770DEFD4">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三级指标</w:t>
            </w:r>
          </w:p>
        </w:tc>
        <w:tc>
          <w:tcPr>
            <w:tcW w:w="927" w:type="pct"/>
            <w:shd w:val="clear" w:color="auto" w:fill="FFFFFF"/>
            <w:vAlign w:val="center"/>
          </w:tcPr>
          <w:p w14:paraId="6F3F1B32">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指标解释</w:t>
            </w:r>
          </w:p>
        </w:tc>
        <w:tc>
          <w:tcPr>
            <w:tcW w:w="2044" w:type="pct"/>
            <w:shd w:val="clear" w:color="auto" w:fill="FFFFFF"/>
            <w:vAlign w:val="center"/>
          </w:tcPr>
          <w:p w14:paraId="2850980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指标说明</w:t>
            </w:r>
          </w:p>
        </w:tc>
        <w:tc>
          <w:tcPr>
            <w:tcW w:w="512" w:type="pct"/>
            <w:shd w:val="clear" w:color="auto" w:fill="FFFFFF"/>
            <w:vAlign w:val="center"/>
          </w:tcPr>
          <w:p w14:paraId="189F8BB0">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权重</w:t>
            </w:r>
          </w:p>
        </w:tc>
        <w:tc>
          <w:tcPr>
            <w:tcW w:w="537" w:type="pct"/>
            <w:shd w:val="clear" w:color="auto" w:fill="FFFFFF"/>
            <w:vAlign w:val="center"/>
          </w:tcPr>
          <w:p w14:paraId="3498B187">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得分</w:t>
            </w:r>
          </w:p>
        </w:tc>
      </w:tr>
      <w:tr w14:paraId="0C0F1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5EE8256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决策　</w:t>
            </w:r>
          </w:p>
          <w:p w14:paraId="319E695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63AD2B85">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302" w:type="pct"/>
            <w:vMerge w:val="restart"/>
            <w:shd w:val="clear" w:color="auto" w:fill="FFFFFF"/>
            <w:vAlign w:val="center"/>
          </w:tcPr>
          <w:p w14:paraId="3A5AC3B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项目立项　</w:t>
            </w:r>
          </w:p>
        </w:tc>
        <w:tc>
          <w:tcPr>
            <w:tcW w:w="344" w:type="pct"/>
            <w:shd w:val="clear" w:color="auto" w:fill="FFFFFF"/>
            <w:vAlign w:val="center"/>
          </w:tcPr>
          <w:p w14:paraId="38D22C2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立项依据</w:t>
            </w:r>
          </w:p>
          <w:p w14:paraId="5155F1C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充分性</w:t>
            </w:r>
          </w:p>
        </w:tc>
        <w:tc>
          <w:tcPr>
            <w:tcW w:w="927" w:type="pct"/>
            <w:shd w:val="clear" w:color="auto" w:fill="FFFFFF"/>
            <w:vAlign w:val="center"/>
          </w:tcPr>
          <w:p w14:paraId="1CC3F172">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5188B94E">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①项目立项是否符合国家法律法规、国民经济发展规划和相关政策；</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②项目立项是否符合行业发展规划和政策要求；</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③项目立项是否与部门职责范围相符，属于部门履职所需；</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④项目是否属于公共财政支持范围，是否符合中央、地方事权支出责任划分原则；</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⑤项目是否与相关部门同类项目或部门内部相关项目重复。</w:t>
            </w:r>
          </w:p>
        </w:tc>
        <w:tc>
          <w:tcPr>
            <w:tcW w:w="512" w:type="pct"/>
            <w:shd w:val="clear" w:color="auto" w:fill="FFFFFF"/>
            <w:vAlign w:val="center"/>
          </w:tcPr>
          <w:p w14:paraId="5B38E341">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auto" w:fill="FFFFFF"/>
            <w:vAlign w:val="center"/>
          </w:tcPr>
          <w:p w14:paraId="6AA161B3">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2.85</w:t>
            </w:r>
          </w:p>
        </w:tc>
      </w:tr>
      <w:tr w14:paraId="26685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5778F0A8">
            <w:pPr>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4E50AC1D">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137A5CD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立项程序</w:t>
            </w:r>
          </w:p>
          <w:p w14:paraId="3ACF629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规范性</w:t>
            </w:r>
          </w:p>
        </w:tc>
        <w:tc>
          <w:tcPr>
            <w:tcW w:w="927" w:type="pct"/>
            <w:shd w:val="clear" w:color="auto" w:fill="FFFFFF"/>
            <w:vAlign w:val="center"/>
          </w:tcPr>
          <w:p w14:paraId="1F46AE2E">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271675B8">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①项目是否按照规定的程序申请设立；</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②审批文件、材料是否符合相关要求；</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78612DB7">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auto" w:fill="FFFFFF"/>
            <w:vAlign w:val="center"/>
          </w:tcPr>
          <w:p w14:paraId="56A048C6">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2.85</w:t>
            </w:r>
          </w:p>
        </w:tc>
      </w:tr>
      <w:tr w14:paraId="7EA58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282CD25C">
            <w:pPr>
              <w:spacing w:line="0" w:lineRule="atLeast"/>
              <w:jc w:val="center"/>
              <w:rPr>
                <w:rFonts w:ascii="Times New Roman" w:hAnsi="Times New Roman"/>
                <w:color w:val="000000"/>
                <w:kern w:val="0"/>
                <w:sz w:val="22"/>
                <w:szCs w:val="22"/>
                <w:highlight w:val="none"/>
              </w:rPr>
            </w:pPr>
          </w:p>
        </w:tc>
        <w:tc>
          <w:tcPr>
            <w:tcW w:w="302" w:type="pct"/>
            <w:shd w:val="clear" w:color="auto" w:fill="FFFFFF"/>
            <w:vAlign w:val="center"/>
          </w:tcPr>
          <w:p w14:paraId="757DEDC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　</w:t>
            </w:r>
          </w:p>
        </w:tc>
        <w:tc>
          <w:tcPr>
            <w:tcW w:w="344" w:type="pct"/>
            <w:shd w:val="clear" w:color="auto" w:fill="FFFFFF"/>
            <w:vAlign w:val="center"/>
          </w:tcPr>
          <w:p w14:paraId="44F00D8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w:t>
            </w:r>
          </w:p>
          <w:p w14:paraId="17FE3F5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927" w:type="pct"/>
            <w:shd w:val="clear" w:color="000000" w:fill="FFFFFF"/>
            <w:vAlign w:val="center"/>
          </w:tcPr>
          <w:p w14:paraId="1AD532AB">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00DCDCA0">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（如未设定预算绩效目标，也可考核其他工作任务目标）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①项目是否有绩效目标；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②项目绩效目标与实际工作内容是否具有相关性；</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③项目预期产出效益和效果是否符合正常的业绩水平；</w:t>
            </w:r>
          </w:p>
          <w:p w14:paraId="419C7B72">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④是否与预算确定的项目投资额或资金量相匹配。</w:t>
            </w:r>
          </w:p>
        </w:tc>
        <w:tc>
          <w:tcPr>
            <w:tcW w:w="512" w:type="pct"/>
            <w:shd w:val="clear" w:color="000000" w:fill="FFFFFF"/>
            <w:vAlign w:val="center"/>
          </w:tcPr>
          <w:p w14:paraId="7E17F681">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000000" w:fill="FFFFFF"/>
            <w:vAlign w:val="center"/>
          </w:tcPr>
          <w:p w14:paraId="0C9ED1CF">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2.85</w:t>
            </w:r>
          </w:p>
        </w:tc>
      </w:tr>
      <w:tr w14:paraId="45159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1A6546F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决策　</w:t>
            </w:r>
          </w:p>
        </w:tc>
        <w:tc>
          <w:tcPr>
            <w:tcW w:w="302" w:type="pct"/>
            <w:shd w:val="clear" w:color="auto" w:fill="FFFFFF"/>
            <w:vAlign w:val="center"/>
          </w:tcPr>
          <w:p w14:paraId="6314B1F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w:t>
            </w:r>
          </w:p>
        </w:tc>
        <w:tc>
          <w:tcPr>
            <w:tcW w:w="344" w:type="pct"/>
            <w:shd w:val="clear" w:color="auto" w:fill="FFFFFF"/>
            <w:vAlign w:val="center"/>
          </w:tcPr>
          <w:p w14:paraId="1B86111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绩效指标</w:t>
            </w:r>
          </w:p>
          <w:p w14:paraId="5AD6CDB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明确性</w:t>
            </w:r>
          </w:p>
        </w:tc>
        <w:tc>
          <w:tcPr>
            <w:tcW w:w="927" w:type="pct"/>
            <w:shd w:val="clear" w:color="000000" w:fill="FFFFFF"/>
            <w:vAlign w:val="center"/>
          </w:tcPr>
          <w:p w14:paraId="68C50610">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24AA1368">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①是否将项目绩效目标细化分解为具体的绩效指标；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②是否通过清晰、可衡量的指标值予以体现；</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③是否与项目目标任务数或计划数相对应。</w:t>
            </w:r>
            <w:r>
              <w:rPr>
                <w:rFonts w:ascii="Times New Roman" w:hAnsi="Times New Roman"/>
                <w:color w:val="000000"/>
                <w:kern w:val="0"/>
                <w:sz w:val="22"/>
                <w:szCs w:val="22"/>
                <w:highlight w:val="none"/>
              </w:rPr>
              <w:br w:type="textWrapping"/>
            </w:r>
          </w:p>
        </w:tc>
        <w:tc>
          <w:tcPr>
            <w:tcW w:w="512" w:type="pct"/>
            <w:shd w:val="clear" w:color="000000" w:fill="FFFFFF"/>
            <w:vAlign w:val="center"/>
          </w:tcPr>
          <w:p w14:paraId="21E00B75">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000000" w:fill="FFFFFF"/>
            <w:vAlign w:val="center"/>
          </w:tcPr>
          <w:p w14:paraId="0A914FED">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2.7</w:t>
            </w:r>
          </w:p>
        </w:tc>
      </w:tr>
      <w:tr w14:paraId="433C1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250E31F8">
            <w:pPr>
              <w:spacing w:line="0" w:lineRule="atLeast"/>
              <w:jc w:val="center"/>
              <w:rPr>
                <w:rFonts w:ascii="Times New Roman" w:hAnsi="Times New Roman"/>
                <w:color w:val="000000"/>
                <w:kern w:val="0"/>
                <w:sz w:val="22"/>
                <w:szCs w:val="22"/>
                <w:highlight w:val="none"/>
              </w:rPr>
            </w:pPr>
          </w:p>
        </w:tc>
        <w:tc>
          <w:tcPr>
            <w:tcW w:w="302" w:type="pct"/>
            <w:vMerge w:val="restart"/>
            <w:shd w:val="clear" w:color="auto" w:fill="FFFFFF"/>
            <w:vAlign w:val="center"/>
          </w:tcPr>
          <w:p w14:paraId="39FF750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资金投入</w:t>
            </w:r>
          </w:p>
          <w:p w14:paraId="0F099C51">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344" w:type="pct"/>
            <w:shd w:val="clear" w:color="auto" w:fill="FFFFFF"/>
            <w:vAlign w:val="center"/>
          </w:tcPr>
          <w:p w14:paraId="3D20758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预算编制</w:t>
            </w:r>
          </w:p>
          <w:p w14:paraId="0CA51E0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科学性</w:t>
            </w:r>
          </w:p>
        </w:tc>
        <w:tc>
          <w:tcPr>
            <w:tcW w:w="927" w:type="pct"/>
            <w:shd w:val="clear" w:color="auto" w:fill="FFFFFF"/>
            <w:vAlign w:val="center"/>
          </w:tcPr>
          <w:p w14:paraId="663B7671">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6B4E9B4D">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①预算编制是否经过科学论证；</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②预算内容与项目内容是否匹配；</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③预算额度测算依据是否充分，是否按照标准编制；</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④预算确定的项目投资额或资金量是否与工作任务相匹配。</w:t>
            </w:r>
          </w:p>
        </w:tc>
        <w:tc>
          <w:tcPr>
            <w:tcW w:w="512" w:type="pct"/>
            <w:shd w:val="clear" w:color="auto" w:fill="FFFFFF"/>
            <w:vAlign w:val="center"/>
          </w:tcPr>
          <w:p w14:paraId="2679B0A7">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auto" w:fill="FFFFFF"/>
            <w:vAlign w:val="center"/>
          </w:tcPr>
          <w:p w14:paraId="528989C6">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3.8</w:t>
            </w:r>
          </w:p>
        </w:tc>
      </w:tr>
      <w:tr w14:paraId="17B14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276D6D6B">
            <w:pPr>
              <w:widowControl/>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2B754190">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4A2D3D4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资金分配</w:t>
            </w:r>
          </w:p>
          <w:p w14:paraId="1775BED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927" w:type="pct"/>
            <w:shd w:val="clear" w:color="auto" w:fill="FFFFFF"/>
            <w:vAlign w:val="center"/>
          </w:tcPr>
          <w:p w14:paraId="1BDA3AE3">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11896EF5">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①预算资金分配依据是否充分；</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②资金分配额度是否合理，与项目单位或地方实际是否相适应。</w:t>
            </w:r>
          </w:p>
        </w:tc>
        <w:tc>
          <w:tcPr>
            <w:tcW w:w="512" w:type="pct"/>
            <w:shd w:val="clear" w:color="auto" w:fill="FFFFFF"/>
            <w:vAlign w:val="center"/>
          </w:tcPr>
          <w:p w14:paraId="331B664F">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auto" w:fill="FFFFFF"/>
            <w:vAlign w:val="center"/>
          </w:tcPr>
          <w:p w14:paraId="74995242">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3.72</w:t>
            </w:r>
          </w:p>
        </w:tc>
      </w:tr>
      <w:tr w14:paraId="74CE1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4CB6DB06">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过程</w:t>
            </w:r>
          </w:p>
        </w:tc>
        <w:tc>
          <w:tcPr>
            <w:tcW w:w="302" w:type="pct"/>
            <w:vMerge w:val="restart"/>
            <w:shd w:val="clear" w:color="auto" w:fill="FFFFFF"/>
            <w:vAlign w:val="center"/>
          </w:tcPr>
          <w:p w14:paraId="7501FE4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344" w:type="pct"/>
            <w:shd w:val="clear" w:color="auto" w:fill="FFFFFF"/>
            <w:vAlign w:val="center"/>
          </w:tcPr>
          <w:p w14:paraId="5EBDA10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资金到位率</w:t>
            </w:r>
          </w:p>
        </w:tc>
        <w:tc>
          <w:tcPr>
            <w:tcW w:w="927" w:type="pct"/>
            <w:shd w:val="clear" w:color="000000" w:fill="FFFFFF"/>
            <w:vAlign w:val="center"/>
          </w:tcPr>
          <w:p w14:paraId="0FE49DAD">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0262A066">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资金到位率=（实际到位资金/预算资金）×100%。</w:t>
            </w:r>
          </w:p>
          <w:p w14:paraId="7D6CFE9A">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实际到位资金：一定时期（本年度或项目期）内落实到具体项目的资金。</w:t>
            </w:r>
          </w:p>
          <w:p w14:paraId="12DE70B0">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746043AF">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4901EB0B">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6FE95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37F81420">
            <w:pPr>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1D91C0D1">
            <w:pPr>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04DDD53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预算执行率</w:t>
            </w:r>
          </w:p>
        </w:tc>
        <w:tc>
          <w:tcPr>
            <w:tcW w:w="927" w:type="pct"/>
            <w:shd w:val="clear" w:color="auto" w:fill="FFFFFF"/>
            <w:vAlign w:val="center"/>
          </w:tcPr>
          <w:p w14:paraId="3FE81455">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522CC9E5">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预算执行率=（实际支出资金/实际到位资金）×100%。</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448A5651">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auto" w:fill="FFFFFF"/>
            <w:vAlign w:val="center"/>
          </w:tcPr>
          <w:p w14:paraId="1A59927F">
            <w:pPr>
              <w:widowControl/>
              <w:spacing w:line="0" w:lineRule="atLeast"/>
              <w:jc w:val="center"/>
              <w:rPr>
                <w:rFonts w:hint="default" w:ascii="Times New Roman" w:hAnsi="Times New Roman"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3.7</w:t>
            </w:r>
          </w:p>
        </w:tc>
      </w:tr>
      <w:tr w14:paraId="42139D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5FD18C9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7E502727">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过程　</w:t>
            </w:r>
          </w:p>
        </w:tc>
        <w:tc>
          <w:tcPr>
            <w:tcW w:w="302" w:type="pct"/>
            <w:shd w:val="clear" w:color="auto" w:fill="FFFFFF"/>
            <w:vAlign w:val="center"/>
          </w:tcPr>
          <w:p w14:paraId="74C5E87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344" w:type="pct"/>
            <w:shd w:val="clear" w:color="auto" w:fill="FFFFFF"/>
            <w:vAlign w:val="center"/>
          </w:tcPr>
          <w:p w14:paraId="37ADE0F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资金使用</w:t>
            </w:r>
          </w:p>
          <w:p w14:paraId="0199860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合规性</w:t>
            </w:r>
          </w:p>
        </w:tc>
        <w:tc>
          <w:tcPr>
            <w:tcW w:w="927" w:type="pct"/>
            <w:shd w:val="clear" w:color="000000" w:fill="FFFFFF"/>
            <w:vAlign w:val="center"/>
          </w:tcPr>
          <w:p w14:paraId="605100B2">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696FFE02">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①是否符合国家财经法规和财务管理制度以及有关专项资金管理办法的规定；</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②资金的拨付是否有完整的审批程序和手续；</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③是否符合项目预算批复或合同规定的用途；</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④是否存在截留、挤占、挪用、虚列支出等情况。</w:t>
            </w:r>
          </w:p>
        </w:tc>
        <w:tc>
          <w:tcPr>
            <w:tcW w:w="512" w:type="pct"/>
            <w:shd w:val="clear" w:color="000000" w:fill="FFFFFF"/>
            <w:vAlign w:val="center"/>
          </w:tcPr>
          <w:p w14:paraId="17B9090D">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048D8B1D">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0D465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3B3B29AD">
            <w:pPr>
              <w:spacing w:line="0" w:lineRule="atLeast"/>
              <w:jc w:val="center"/>
              <w:rPr>
                <w:rFonts w:ascii="Times New Roman" w:hAnsi="Times New Roman"/>
                <w:color w:val="000000"/>
                <w:kern w:val="0"/>
                <w:sz w:val="22"/>
                <w:szCs w:val="22"/>
                <w:highlight w:val="none"/>
              </w:rPr>
            </w:pPr>
          </w:p>
        </w:tc>
        <w:tc>
          <w:tcPr>
            <w:tcW w:w="302" w:type="pct"/>
            <w:vMerge w:val="restart"/>
            <w:shd w:val="clear" w:color="auto" w:fill="FFFFFF"/>
            <w:vAlign w:val="center"/>
          </w:tcPr>
          <w:p w14:paraId="45B96BA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组织实施</w:t>
            </w:r>
          </w:p>
          <w:p w14:paraId="6F3159A5">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344" w:type="pct"/>
            <w:shd w:val="clear" w:color="auto" w:fill="FFFFFF"/>
            <w:vAlign w:val="center"/>
          </w:tcPr>
          <w:p w14:paraId="6D87711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管理制度</w:t>
            </w:r>
          </w:p>
          <w:p w14:paraId="618CAF1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健全性</w:t>
            </w:r>
          </w:p>
        </w:tc>
        <w:tc>
          <w:tcPr>
            <w:tcW w:w="927" w:type="pct"/>
            <w:shd w:val="clear" w:color="000000" w:fill="FFFFFF"/>
            <w:vAlign w:val="center"/>
          </w:tcPr>
          <w:p w14:paraId="7C83B011">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3A267867">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①是否已制定或具有相应的财务和业务管理制度；</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②财务和业务管理制度是否合法、合规、完整。</w:t>
            </w:r>
          </w:p>
        </w:tc>
        <w:tc>
          <w:tcPr>
            <w:tcW w:w="512" w:type="pct"/>
            <w:shd w:val="clear" w:color="000000" w:fill="FFFFFF"/>
            <w:vAlign w:val="center"/>
          </w:tcPr>
          <w:p w14:paraId="4BA0ECBD">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35715503">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3.8</w:t>
            </w:r>
          </w:p>
        </w:tc>
      </w:tr>
      <w:tr w14:paraId="41915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0F437354">
            <w:pPr>
              <w:widowControl/>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37148B6A">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29C2B42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制度执行</w:t>
            </w:r>
          </w:p>
          <w:p w14:paraId="09236D8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有效性</w:t>
            </w:r>
          </w:p>
        </w:tc>
        <w:tc>
          <w:tcPr>
            <w:tcW w:w="927" w:type="pct"/>
            <w:shd w:val="clear" w:color="000000" w:fill="FFFFFF"/>
            <w:vAlign w:val="center"/>
          </w:tcPr>
          <w:p w14:paraId="66748ABF">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254DC17B">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①是否遵守相关法律法规和相关管理规定；</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②项目调整及支出调整手续是否完备；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③项目合同书、验收报告、技术鉴定等资料是否齐全并及时归档；</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④项目实施的人员条件、场地设备、信息支撑等是否落实到位。</w:t>
            </w:r>
          </w:p>
        </w:tc>
        <w:tc>
          <w:tcPr>
            <w:tcW w:w="512" w:type="pct"/>
            <w:shd w:val="clear" w:color="000000" w:fill="FFFFFF"/>
            <w:vAlign w:val="center"/>
          </w:tcPr>
          <w:p w14:paraId="7033034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78D38E24">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3.8</w:t>
            </w:r>
          </w:p>
        </w:tc>
      </w:tr>
      <w:tr w14:paraId="33965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524CBAB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w:t>
            </w:r>
          </w:p>
        </w:tc>
        <w:tc>
          <w:tcPr>
            <w:tcW w:w="302" w:type="pct"/>
            <w:shd w:val="clear" w:color="auto" w:fill="FFFFFF"/>
            <w:vAlign w:val="center"/>
          </w:tcPr>
          <w:p w14:paraId="0F6CA38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产出数量</w:t>
            </w:r>
          </w:p>
        </w:tc>
        <w:tc>
          <w:tcPr>
            <w:tcW w:w="344" w:type="pct"/>
            <w:shd w:val="clear" w:color="auto" w:fill="FFFFFF"/>
            <w:vAlign w:val="center"/>
          </w:tcPr>
          <w:p w14:paraId="0D944F9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实际完成率</w:t>
            </w:r>
          </w:p>
        </w:tc>
        <w:tc>
          <w:tcPr>
            <w:tcW w:w="927" w:type="pct"/>
            <w:shd w:val="clear" w:color="000000" w:fill="FFFFFF"/>
            <w:vAlign w:val="center"/>
          </w:tcPr>
          <w:p w14:paraId="079D1FC7">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2C05F1ED">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实际完成率=（实际产出数/计划产出数）×100%。</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实际产出数：一定时期（本年度或项目期）内项目实际产出的产品或提供的服务数量。</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65F57DCB">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7841D6D5">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8.5</w:t>
            </w:r>
          </w:p>
        </w:tc>
      </w:tr>
      <w:tr w14:paraId="38533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25A42DF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w:t>
            </w:r>
          </w:p>
        </w:tc>
        <w:tc>
          <w:tcPr>
            <w:tcW w:w="302" w:type="pct"/>
            <w:shd w:val="clear" w:color="auto" w:fill="FFFFFF"/>
            <w:vAlign w:val="center"/>
          </w:tcPr>
          <w:p w14:paraId="3AC0387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产出质量</w:t>
            </w:r>
          </w:p>
        </w:tc>
        <w:tc>
          <w:tcPr>
            <w:tcW w:w="344" w:type="pct"/>
            <w:shd w:val="clear" w:color="auto" w:fill="FFFFFF"/>
            <w:vAlign w:val="center"/>
          </w:tcPr>
          <w:p w14:paraId="58D9EE1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质量达标率</w:t>
            </w:r>
          </w:p>
        </w:tc>
        <w:tc>
          <w:tcPr>
            <w:tcW w:w="927" w:type="pct"/>
            <w:shd w:val="clear" w:color="000000" w:fill="FFFFFF"/>
            <w:vAlign w:val="center"/>
          </w:tcPr>
          <w:p w14:paraId="6C90E1F6">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19B93000">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质量达标率=（质量达标产出数/实际产出数）×100%。</w:t>
            </w:r>
          </w:p>
          <w:p w14:paraId="3A0B3A63">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55B8BFE">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324EFBFD">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8.5</w:t>
            </w:r>
          </w:p>
        </w:tc>
      </w:tr>
      <w:tr w14:paraId="73195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1B78AC3B">
            <w:pPr>
              <w:spacing w:line="0" w:lineRule="atLeast"/>
              <w:jc w:val="center"/>
              <w:rPr>
                <w:rFonts w:ascii="Times New Roman" w:hAnsi="Times New Roman"/>
                <w:color w:val="000000"/>
                <w:kern w:val="0"/>
                <w:sz w:val="22"/>
                <w:szCs w:val="22"/>
                <w:highlight w:val="none"/>
              </w:rPr>
            </w:pPr>
          </w:p>
        </w:tc>
        <w:tc>
          <w:tcPr>
            <w:tcW w:w="302" w:type="pct"/>
            <w:shd w:val="clear" w:color="auto" w:fill="FFFFFF"/>
            <w:vAlign w:val="center"/>
          </w:tcPr>
          <w:p w14:paraId="197B97CD">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产出时效</w:t>
            </w:r>
          </w:p>
        </w:tc>
        <w:tc>
          <w:tcPr>
            <w:tcW w:w="344" w:type="pct"/>
            <w:shd w:val="clear" w:color="auto" w:fill="FFFFFF"/>
            <w:vAlign w:val="center"/>
          </w:tcPr>
          <w:p w14:paraId="2BB0982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完成及时性</w:t>
            </w:r>
          </w:p>
        </w:tc>
        <w:tc>
          <w:tcPr>
            <w:tcW w:w="927" w:type="pct"/>
            <w:shd w:val="clear" w:color="000000" w:fill="FFFFFF"/>
            <w:vAlign w:val="center"/>
          </w:tcPr>
          <w:p w14:paraId="14791974">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595EA960">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实际完成时间：项目实施单位完成该项目实际所耗用的时间。</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75DE97ED">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4431FAEF">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9.5</w:t>
            </w:r>
          </w:p>
        </w:tc>
      </w:tr>
      <w:tr w14:paraId="19549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7438F8E7">
            <w:pPr>
              <w:widowControl/>
              <w:spacing w:line="0" w:lineRule="atLeast"/>
              <w:jc w:val="center"/>
              <w:rPr>
                <w:rFonts w:ascii="Times New Roman" w:hAnsi="Times New Roman"/>
                <w:color w:val="000000"/>
                <w:kern w:val="0"/>
                <w:sz w:val="22"/>
                <w:szCs w:val="22"/>
                <w:highlight w:val="none"/>
              </w:rPr>
            </w:pPr>
          </w:p>
        </w:tc>
        <w:tc>
          <w:tcPr>
            <w:tcW w:w="302" w:type="pct"/>
            <w:shd w:val="clear" w:color="auto" w:fill="FFFFFF"/>
            <w:vAlign w:val="center"/>
          </w:tcPr>
          <w:p w14:paraId="70F1AC2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产出成本</w:t>
            </w:r>
          </w:p>
        </w:tc>
        <w:tc>
          <w:tcPr>
            <w:tcW w:w="344" w:type="pct"/>
            <w:shd w:val="clear" w:color="auto" w:fill="FFFFFF"/>
            <w:vAlign w:val="center"/>
          </w:tcPr>
          <w:p w14:paraId="6DF41FE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成本节约率</w:t>
            </w:r>
          </w:p>
        </w:tc>
        <w:tc>
          <w:tcPr>
            <w:tcW w:w="927" w:type="pct"/>
            <w:shd w:val="clear" w:color="000000" w:fill="FFFFFF"/>
            <w:vAlign w:val="center"/>
          </w:tcPr>
          <w:p w14:paraId="49697F9F">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70CE7E17">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成本节约率=[（计划成本-实际成本）/计划成本]×100%。</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实际成本：项目实施单位如期、保质、保量完成既定工作目标实际所耗费的支出。</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32A17878">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494B29F2">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9</w:t>
            </w:r>
          </w:p>
        </w:tc>
      </w:tr>
      <w:tr w14:paraId="14382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459DFC8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效益　</w:t>
            </w:r>
          </w:p>
        </w:tc>
        <w:tc>
          <w:tcPr>
            <w:tcW w:w="302" w:type="pct"/>
            <w:vMerge w:val="restart"/>
            <w:shd w:val="clear" w:color="auto" w:fill="FFFFFF"/>
            <w:vAlign w:val="center"/>
          </w:tcPr>
          <w:p w14:paraId="666BDEE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项目效益　</w:t>
            </w:r>
          </w:p>
        </w:tc>
        <w:tc>
          <w:tcPr>
            <w:tcW w:w="344" w:type="pct"/>
            <w:shd w:val="clear" w:color="auto" w:fill="FFFFFF"/>
            <w:vAlign w:val="center"/>
          </w:tcPr>
          <w:p w14:paraId="559A1DF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实施效益</w:t>
            </w:r>
          </w:p>
        </w:tc>
        <w:tc>
          <w:tcPr>
            <w:tcW w:w="927" w:type="pct"/>
            <w:shd w:val="clear" w:color="auto" w:fill="FFFFFF"/>
            <w:vAlign w:val="center"/>
          </w:tcPr>
          <w:p w14:paraId="00EF2F79">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项目实施所产生的效益。</w:t>
            </w:r>
          </w:p>
        </w:tc>
        <w:tc>
          <w:tcPr>
            <w:tcW w:w="2044" w:type="pct"/>
            <w:shd w:val="clear" w:color="auto" w:fill="FFFFFF"/>
            <w:vAlign w:val="center"/>
          </w:tcPr>
          <w:p w14:paraId="42A46844">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022A12E4">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auto" w:fill="FFFFFF"/>
            <w:vAlign w:val="center"/>
          </w:tcPr>
          <w:p w14:paraId="03D6D7ED">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9.8</w:t>
            </w:r>
          </w:p>
        </w:tc>
      </w:tr>
      <w:tr w14:paraId="53CF2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7FEA2EB7">
            <w:pPr>
              <w:widowControl/>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5DC76F4E">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1444A21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满意度</w:t>
            </w:r>
          </w:p>
        </w:tc>
        <w:tc>
          <w:tcPr>
            <w:tcW w:w="927" w:type="pct"/>
            <w:shd w:val="clear" w:color="000000" w:fill="FFFFFF"/>
            <w:vAlign w:val="center"/>
          </w:tcPr>
          <w:p w14:paraId="4C31D59C">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社会公众或服务对象对项目实施效果的满意程度。</w:t>
            </w:r>
          </w:p>
        </w:tc>
        <w:tc>
          <w:tcPr>
            <w:tcW w:w="2044" w:type="pct"/>
            <w:shd w:val="clear" w:color="000000" w:fill="FFFFFF"/>
            <w:vAlign w:val="center"/>
          </w:tcPr>
          <w:p w14:paraId="5E454551">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641EACAB">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79929779">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8</w:t>
            </w:r>
          </w:p>
        </w:tc>
      </w:tr>
    </w:tbl>
    <w:p w14:paraId="1E8B1AD6">
      <w:pPr>
        <w:pStyle w:val="9"/>
        <w:rPr>
          <w:rFonts w:ascii="Times New Roman" w:hAnsi="Times New Roman"/>
          <w:highlight w:val="none"/>
        </w:rPr>
      </w:pPr>
    </w:p>
    <w:p w14:paraId="28D9A019">
      <w:pPr>
        <w:rPr>
          <w:rFonts w:ascii="Times New Roman" w:hAnsi="Times New Roman"/>
          <w:highlight w:val="none"/>
        </w:rPr>
      </w:pPr>
    </w:p>
    <w:p w14:paraId="69D32653">
      <w:pPr>
        <w:spacing w:line="540" w:lineRule="exact"/>
        <w:ind w:firstLine="640"/>
        <w:rPr>
          <w:rStyle w:val="14"/>
          <w:rFonts w:ascii="Times New Roman" w:hAnsi="Times New Roman" w:eastAsia="黑体"/>
          <w:bCs w:val="0"/>
          <w:spacing w:val="-4"/>
          <w:sz w:val="32"/>
          <w:szCs w:val="32"/>
          <w:highlight w:val="none"/>
        </w:rPr>
      </w:pPr>
    </w:p>
    <w:p w14:paraId="1424A04B">
      <w:pPr>
        <w:spacing w:line="540" w:lineRule="exact"/>
        <w:ind w:firstLine="640"/>
        <w:rPr>
          <w:rStyle w:val="14"/>
          <w:rFonts w:ascii="Times New Roman" w:hAnsi="Times New Roman" w:eastAsia="黑体"/>
          <w:bCs w:val="0"/>
          <w:spacing w:val="-4"/>
          <w:sz w:val="32"/>
          <w:szCs w:val="32"/>
          <w:highlight w:val="none"/>
        </w:rPr>
      </w:pPr>
    </w:p>
    <w:p w14:paraId="55FABF68">
      <w:pPr>
        <w:spacing w:line="540" w:lineRule="exact"/>
        <w:ind w:firstLine="640"/>
        <w:rPr>
          <w:rStyle w:val="14"/>
          <w:rFonts w:ascii="Times New Roman" w:hAnsi="Times New Roman" w:eastAsia="黑体"/>
          <w:bCs w:val="0"/>
          <w:spacing w:val="-4"/>
          <w:sz w:val="32"/>
          <w:szCs w:val="32"/>
          <w:highlight w:val="none"/>
        </w:rPr>
      </w:pPr>
    </w:p>
    <w:p w14:paraId="0975932D">
      <w:pPr>
        <w:spacing w:line="540" w:lineRule="exact"/>
        <w:ind w:firstLine="640"/>
        <w:rPr>
          <w:rStyle w:val="14"/>
          <w:rFonts w:ascii="Times New Roman" w:hAnsi="Times New Roman" w:eastAsia="黑体"/>
          <w:bCs w:val="0"/>
          <w:spacing w:val="-4"/>
          <w:sz w:val="32"/>
          <w:szCs w:val="32"/>
          <w:highlight w:val="none"/>
        </w:rPr>
      </w:pPr>
    </w:p>
    <w:p w14:paraId="1DE15638">
      <w:pPr>
        <w:spacing w:line="540" w:lineRule="exact"/>
        <w:ind w:firstLine="640"/>
        <w:rPr>
          <w:rStyle w:val="14"/>
          <w:rFonts w:ascii="Times New Roman" w:hAnsi="Times New Roman" w:eastAsia="黑体"/>
          <w:bCs w:val="0"/>
          <w:spacing w:val="-4"/>
          <w:sz w:val="32"/>
          <w:szCs w:val="32"/>
          <w:highlight w:val="none"/>
        </w:rPr>
      </w:pPr>
    </w:p>
    <w:p w14:paraId="15C6A9E1">
      <w:pPr>
        <w:spacing w:line="540" w:lineRule="exact"/>
        <w:ind w:firstLine="640"/>
        <w:rPr>
          <w:rStyle w:val="14"/>
          <w:rFonts w:ascii="Times New Roman" w:hAnsi="Times New Roman" w:eastAsia="黑体"/>
          <w:bCs w:val="0"/>
          <w:spacing w:val="-4"/>
          <w:sz w:val="32"/>
          <w:szCs w:val="32"/>
          <w:highlight w:val="none"/>
        </w:rPr>
      </w:pPr>
    </w:p>
    <w:p w14:paraId="5AF0EBD6">
      <w:pPr>
        <w:spacing w:line="540" w:lineRule="exact"/>
        <w:rPr>
          <w:rStyle w:val="14"/>
          <w:rFonts w:ascii="Times New Roman" w:hAnsi="Times New Roman" w:eastAsia="仿宋"/>
          <w:b w:val="0"/>
          <w:spacing w:val="-4"/>
          <w:sz w:val="32"/>
          <w:szCs w:val="32"/>
          <w:highlight w:val="none"/>
        </w:rPr>
      </w:pPr>
    </w:p>
    <w:p w14:paraId="35EB19A1">
      <w:pPr>
        <w:rPr>
          <w:rFonts w:ascii="Times New Roman" w:hAnsi="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39478E-2EBC-4225-BF21-BC216228FC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14222E7-5E37-42BF-A734-264EBFC712F1}"/>
  </w:font>
  <w:font w:name="华文中宋">
    <w:panose1 w:val="02010600040101010101"/>
    <w:charset w:val="86"/>
    <w:family w:val="auto"/>
    <w:pitch w:val="default"/>
    <w:sig w:usb0="00000287" w:usb1="080F0000" w:usb2="00000000" w:usb3="00000000" w:csb0="0004009F" w:csb1="DFD70000"/>
    <w:embedRegular r:id="rId3" w:fontKey="{2C871871-786E-4975-AE77-7EDA7EF3978D}"/>
  </w:font>
  <w:font w:name="方正小标宋简体">
    <w:panose1 w:val="02000000000000000000"/>
    <w:charset w:val="86"/>
    <w:family w:val="script"/>
    <w:pitch w:val="default"/>
    <w:sig w:usb0="00000001" w:usb1="08000000" w:usb2="00000000" w:usb3="00000000" w:csb0="00040000" w:csb1="00000000"/>
    <w:embedRegular r:id="rId4" w:fontKey="{B0D4E2F0-130A-4D75-9FD6-A0DB1F3597CE}"/>
  </w:font>
  <w:font w:name="楷体_GB2312">
    <w:panose1 w:val="02010609030101010101"/>
    <w:charset w:val="86"/>
    <w:family w:val="auto"/>
    <w:pitch w:val="default"/>
    <w:sig w:usb0="00000001" w:usb1="080E0000" w:usb2="00000000" w:usb3="00000000" w:csb0="00040000" w:csb1="00000000"/>
    <w:embedRegular r:id="rId5" w:fontKey="{625B42C6-755D-4C4D-BAD1-75BBA1538F50}"/>
  </w:font>
  <w:font w:name="方正仿宋_GBK">
    <w:panose1 w:val="02000000000000000000"/>
    <w:charset w:val="86"/>
    <w:family w:val="auto"/>
    <w:pitch w:val="default"/>
    <w:sig w:usb0="A00002BF" w:usb1="38CF7CFA" w:usb2="00082016" w:usb3="00000000" w:csb0="00040001" w:csb1="00000000"/>
    <w:embedRegular r:id="rId6" w:fontKey="{AF6DC951-DE3E-4B09-B05E-A2728B626FEF}"/>
  </w:font>
  <w:font w:name="楷体">
    <w:panose1 w:val="02010609060101010101"/>
    <w:charset w:val="86"/>
    <w:family w:val="modern"/>
    <w:pitch w:val="default"/>
    <w:sig w:usb0="800002BF" w:usb1="38CF7CFA" w:usb2="00000016" w:usb3="00000000" w:csb0="00040001" w:csb1="00000000"/>
    <w:embedRegular r:id="rId7" w:fontKey="{B40E4BDB-F6AF-402A-9981-9DE11FC6B8C9}"/>
  </w:font>
  <w:font w:name="仿宋">
    <w:panose1 w:val="02010609060101010101"/>
    <w:charset w:val="86"/>
    <w:family w:val="modern"/>
    <w:pitch w:val="default"/>
    <w:sig w:usb0="800002BF" w:usb1="38CF7CFA" w:usb2="00000016" w:usb3="00000000" w:csb0="00040001" w:csb1="00000000"/>
    <w:embedRegular r:id="rId8" w:fontKey="{2E2E7819-E9CD-415C-92CB-5E0C259A0D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D4838FC">
        <w:pPr>
          <w:pStyle w:val="7"/>
          <w:jc w:val="center"/>
        </w:pPr>
        <w:r>
          <w:fldChar w:fldCharType="begin"/>
        </w:r>
        <w:r>
          <w:instrText xml:space="preserve">PAGE   \* MERGEFORMAT</w:instrText>
        </w:r>
        <w:r>
          <w:fldChar w:fldCharType="separate"/>
        </w:r>
        <w:r>
          <w:rPr>
            <w:lang w:val="zh-CN"/>
          </w:rPr>
          <w:t>22</w:t>
        </w:r>
        <w:r>
          <w:fldChar w:fldCharType="end"/>
        </w:r>
      </w:p>
    </w:sdtContent>
  </w:sdt>
  <w:p w14:paraId="31F5C82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Q0ZWU3YTE2MTg0MmFjZGY4ZGU3MzE1ZTAyMTExNjgifQ=="/>
  </w:docVars>
  <w:rsids>
    <w:rsidRoot w:val="FF6C4049"/>
    <w:rsid w:val="00094907"/>
    <w:rsid w:val="00095176"/>
    <w:rsid w:val="00467F4B"/>
    <w:rsid w:val="004712B7"/>
    <w:rsid w:val="00563098"/>
    <w:rsid w:val="006E52FE"/>
    <w:rsid w:val="006F4412"/>
    <w:rsid w:val="00714727"/>
    <w:rsid w:val="009D6647"/>
    <w:rsid w:val="00FB23E0"/>
    <w:rsid w:val="00FC0546"/>
    <w:rsid w:val="00FC7F82"/>
    <w:rsid w:val="00FD3DF8"/>
    <w:rsid w:val="020403C7"/>
    <w:rsid w:val="02953CAB"/>
    <w:rsid w:val="0A261DE6"/>
    <w:rsid w:val="0C85560D"/>
    <w:rsid w:val="0FA051F9"/>
    <w:rsid w:val="132462FB"/>
    <w:rsid w:val="13543210"/>
    <w:rsid w:val="13B90F01"/>
    <w:rsid w:val="13E24064"/>
    <w:rsid w:val="14BC7BE8"/>
    <w:rsid w:val="15153994"/>
    <w:rsid w:val="1BE5091B"/>
    <w:rsid w:val="1C671E73"/>
    <w:rsid w:val="207D242B"/>
    <w:rsid w:val="213E5926"/>
    <w:rsid w:val="213F645A"/>
    <w:rsid w:val="219750A0"/>
    <w:rsid w:val="23FE41FA"/>
    <w:rsid w:val="24D64800"/>
    <w:rsid w:val="25E12BA4"/>
    <w:rsid w:val="2A67611A"/>
    <w:rsid w:val="2BFD6B16"/>
    <w:rsid w:val="2E783FC3"/>
    <w:rsid w:val="33482E57"/>
    <w:rsid w:val="395F2B56"/>
    <w:rsid w:val="3B8145D9"/>
    <w:rsid w:val="3BECE841"/>
    <w:rsid w:val="3BFF5F92"/>
    <w:rsid w:val="3FF7797D"/>
    <w:rsid w:val="43C6389B"/>
    <w:rsid w:val="44331EBC"/>
    <w:rsid w:val="47175674"/>
    <w:rsid w:val="474C6E20"/>
    <w:rsid w:val="4832149E"/>
    <w:rsid w:val="4B7C1375"/>
    <w:rsid w:val="4CC077CC"/>
    <w:rsid w:val="4D267F37"/>
    <w:rsid w:val="4D8558C8"/>
    <w:rsid w:val="4FB6261C"/>
    <w:rsid w:val="512624C8"/>
    <w:rsid w:val="51695F30"/>
    <w:rsid w:val="51925198"/>
    <w:rsid w:val="519342B3"/>
    <w:rsid w:val="51BD5DD7"/>
    <w:rsid w:val="54462282"/>
    <w:rsid w:val="548D0F83"/>
    <w:rsid w:val="586F1209"/>
    <w:rsid w:val="5B394BC5"/>
    <w:rsid w:val="5BFF6039"/>
    <w:rsid w:val="5D76A616"/>
    <w:rsid w:val="5D7F20B9"/>
    <w:rsid w:val="5DAC7D0E"/>
    <w:rsid w:val="5E495044"/>
    <w:rsid w:val="5F25129A"/>
    <w:rsid w:val="5FFE8511"/>
    <w:rsid w:val="5FFEACE2"/>
    <w:rsid w:val="60E20362"/>
    <w:rsid w:val="643A5739"/>
    <w:rsid w:val="643EE26D"/>
    <w:rsid w:val="6A18144A"/>
    <w:rsid w:val="6E814D8A"/>
    <w:rsid w:val="6E8C07F7"/>
    <w:rsid w:val="6E973F62"/>
    <w:rsid w:val="6FAF6C78"/>
    <w:rsid w:val="717958C4"/>
    <w:rsid w:val="71D85D2B"/>
    <w:rsid w:val="7317C656"/>
    <w:rsid w:val="77FD8BE9"/>
    <w:rsid w:val="79A9BD3F"/>
    <w:rsid w:val="7AEA1EB1"/>
    <w:rsid w:val="7BFFFDD0"/>
    <w:rsid w:val="7D7A5F86"/>
    <w:rsid w:val="7DC46119"/>
    <w:rsid w:val="7EFF6E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EBFD9DFD"/>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0"/>
    <w:autoRedefine/>
    <w:qFormat/>
    <w:uiPriority w:val="99"/>
    <w:pPr>
      <w:jc w:val="left"/>
    </w:pPr>
  </w:style>
  <w:style w:type="paragraph" w:styleId="4">
    <w:name w:val="Body Text"/>
    <w:basedOn w:val="1"/>
    <w:autoRedefine/>
    <w:qFormat/>
    <w:uiPriority w:val="0"/>
    <w:pPr>
      <w:spacing w:after="120"/>
    </w:pPr>
  </w:style>
  <w:style w:type="paragraph" w:styleId="5">
    <w:name w:val="Body Text Indent"/>
    <w:basedOn w:val="1"/>
    <w:autoRedefine/>
    <w:qFormat/>
    <w:uiPriority w:val="0"/>
    <w:pPr>
      <w:spacing w:after="120"/>
      <w:ind w:left="420" w:leftChars="200"/>
    </w:pPr>
    <w:rPr>
      <w:rFonts w:ascii="Calibri" w:hAnsi="Calibri"/>
    </w:rPr>
  </w:style>
  <w:style w:type="paragraph" w:styleId="6">
    <w:name w:val="Balloon Text"/>
    <w:basedOn w:val="1"/>
    <w:link w:val="29"/>
    <w:autoRedefine/>
    <w:qFormat/>
    <w:uiPriority w:val="0"/>
    <w:rPr>
      <w:sz w:val="18"/>
      <w:szCs w:val="18"/>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19"/>
    <w:autoRedefine/>
    <w:qFormat/>
    <w:uiPriority w:val="0"/>
    <w:pPr>
      <w:tabs>
        <w:tab w:val="center" w:pos="4153"/>
        <w:tab w:val="right" w:pos="8306"/>
      </w:tabs>
      <w:snapToGrid w:val="0"/>
      <w:jc w:val="center"/>
    </w:pPr>
    <w:rPr>
      <w:sz w:val="18"/>
      <w:szCs w:val="18"/>
    </w:rPr>
  </w:style>
  <w:style w:type="paragraph" w:styleId="9">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4"/>
    <w:autoRedefine/>
    <w:qFormat/>
    <w:uiPriority w:val="0"/>
    <w:pPr>
      <w:spacing w:after="0"/>
      <w:ind w:firstLine="200" w:firstLineChars="200"/>
    </w:pPr>
  </w:style>
  <w:style w:type="paragraph" w:styleId="11">
    <w:name w:val="Body Text First Indent 2"/>
    <w:basedOn w:val="5"/>
    <w:autoRedefine/>
    <w:qFormat/>
    <w:uiPriority w:val="0"/>
    <w:pPr>
      <w:ind w:firstLine="420" w:firstLineChars="200"/>
    </w:pPr>
  </w:style>
  <w:style w:type="character" w:styleId="14">
    <w:name w:val="Strong"/>
    <w:basedOn w:val="13"/>
    <w:autoRedefine/>
    <w:qFormat/>
    <w:uiPriority w:val="0"/>
    <w:rPr>
      <w:b/>
      <w:bCs/>
    </w:rPr>
  </w:style>
  <w:style w:type="character" w:styleId="15">
    <w:name w:val="annotation reference"/>
    <w:basedOn w:val="13"/>
    <w:autoRedefine/>
    <w:qFormat/>
    <w:uiPriority w:val="99"/>
    <w:rPr>
      <w:sz w:val="21"/>
      <w:szCs w:val="21"/>
    </w:rPr>
  </w:style>
  <w:style w:type="character" w:customStyle="1" w:styleId="16">
    <w:name w:val="fontstyle01"/>
    <w:autoRedefine/>
    <w:qFormat/>
    <w:uiPriority w:val="0"/>
    <w:rPr>
      <w:rFonts w:ascii="仿宋_GB2312" w:hAnsi="仿宋_GB2312" w:eastAsia="仿宋_GB2312" w:cs="仿宋_GB2312"/>
      <w:color w:val="000000"/>
      <w:sz w:val="32"/>
      <w:szCs w:val="32"/>
    </w:rPr>
  </w:style>
  <w:style w:type="paragraph" w:customStyle="1" w:styleId="17">
    <w:name w:val="闻政-正文段落文字"/>
    <w:basedOn w:val="1"/>
    <w:autoRedefine/>
    <w:qFormat/>
    <w:uiPriority w:val="3"/>
    <w:pPr>
      <w:spacing w:line="500" w:lineRule="exact"/>
      <w:ind w:firstLine="200"/>
    </w:pPr>
    <w:rPr>
      <w:kern w:val="0"/>
      <w:szCs w:val="28"/>
    </w:rPr>
  </w:style>
  <w:style w:type="paragraph" w:customStyle="1" w:styleId="18">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眉 Char"/>
    <w:basedOn w:val="13"/>
    <w:link w:val="8"/>
    <w:autoRedefine/>
    <w:qFormat/>
    <w:uiPriority w:val="0"/>
    <w:rPr>
      <w:rFonts w:ascii="Times New Roman" w:hAnsi="Times New Roman" w:eastAsia="宋体" w:cs="Times New Roman"/>
      <w:kern w:val="2"/>
      <w:sz w:val="18"/>
      <w:szCs w:val="18"/>
    </w:rPr>
  </w:style>
  <w:style w:type="character" w:customStyle="1" w:styleId="20">
    <w:name w:val="批注文字 Char"/>
    <w:basedOn w:val="13"/>
    <w:link w:val="3"/>
    <w:autoRedefine/>
    <w:qFormat/>
    <w:uiPriority w:val="99"/>
    <w:rPr>
      <w:rFonts w:ascii="Times New Roman" w:hAnsi="Times New Roman" w:eastAsia="宋体" w:cs="Times New Roman"/>
      <w:kern w:val="2"/>
      <w:sz w:val="21"/>
      <w:szCs w:val="24"/>
    </w:rPr>
  </w:style>
  <w:style w:type="paragraph" w:styleId="21">
    <w:name w:val="List Paragraph"/>
    <w:basedOn w:val="1"/>
    <w:autoRedefine/>
    <w:unhideWhenUsed/>
    <w:qFormat/>
    <w:uiPriority w:val="99"/>
    <w:pPr>
      <w:ind w:firstLine="420" w:firstLineChars="200"/>
    </w:pPr>
  </w:style>
  <w:style w:type="character" w:customStyle="1" w:styleId="22">
    <w:name w:val="font11"/>
    <w:basedOn w:val="13"/>
    <w:autoRedefine/>
    <w:qFormat/>
    <w:uiPriority w:val="0"/>
    <w:rPr>
      <w:rFonts w:hint="eastAsia" w:ascii="宋体" w:hAnsi="宋体" w:eastAsia="宋体" w:cs="宋体"/>
      <w:color w:val="000000"/>
      <w:sz w:val="18"/>
      <w:szCs w:val="18"/>
      <w:u w:val="none"/>
    </w:rPr>
  </w:style>
  <w:style w:type="character" w:customStyle="1" w:styleId="23">
    <w:name w:val="font31"/>
    <w:basedOn w:val="13"/>
    <w:autoRedefine/>
    <w:qFormat/>
    <w:uiPriority w:val="0"/>
    <w:rPr>
      <w:rFonts w:hint="default" w:ascii="Times New Roman" w:hAnsi="Times New Roman" w:cs="Times New Roman"/>
      <w:color w:val="000000"/>
      <w:sz w:val="18"/>
      <w:szCs w:val="18"/>
      <w:u w:val="none"/>
    </w:rPr>
  </w:style>
  <w:style w:type="character" w:customStyle="1" w:styleId="24">
    <w:name w:val="font01"/>
    <w:basedOn w:val="13"/>
    <w:autoRedefine/>
    <w:qFormat/>
    <w:uiPriority w:val="0"/>
    <w:rPr>
      <w:rFonts w:hint="eastAsia" w:ascii="宋体" w:hAnsi="宋体" w:eastAsia="宋体" w:cs="宋体"/>
      <w:color w:val="000000"/>
      <w:sz w:val="22"/>
      <w:szCs w:val="22"/>
      <w:u w:val="none"/>
    </w:rPr>
  </w:style>
  <w:style w:type="character" w:customStyle="1" w:styleId="25">
    <w:name w:val="font61"/>
    <w:basedOn w:val="13"/>
    <w:autoRedefine/>
    <w:qFormat/>
    <w:uiPriority w:val="0"/>
    <w:rPr>
      <w:rFonts w:hint="default" w:ascii="Times New Roman" w:hAnsi="Times New Roman" w:cs="Times New Roman"/>
      <w:color w:val="000000"/>
      <w:sz w:val="22"/>
      <w:szCs w:val="22"/>
      <w:u w:val="none"/>
    </w:rPr>
  </w:style>
  <w:style w:type="character" w:customStyle="1" w:styleId="26">
    <w:name w:val="font41"/>
    <w:basedOn w:val="13"/>
    <w:autoRedefine/>
    <w:qFormat/>
    <w:uiPriority w:val="0"/>
    <w:rPr>
      <w:rFonts w:hint="default" w:ascii="Times New Roman" w:hAnsi="Times New Roman" w:cs="Times New Roman"/>
      <w:color w:val="000000"/>
      <w:sz w:val="18"/>
      <w:szCs w:val="18"/>
      <w:u w:val="none"/>
    </w:rPr>
  </w:style>
  <w:style w:type="character" w:customStyle="1" w:styleId="27">
    <w:name w:val="font51"/>
    <w:basedOn w:val="13"/>
    <w:autoRedefine/>
    <w:qFormat/>
    <w:uiPriority w:val="0"/>
    <w:rPr>
      <w:rFonts w:hint="eastAsia" w:ascii="宋体" w:hAnsi="宋体" w:eastAsia="宋体" w:cs="宋体"/>
      <w:color w:val="000000"/>
      <w:sz w:val="18"/>
      <w:szCs w:val="18"/>
      <w:u w:val="none"/>
    </w:rPr>
  </w:style>
  <w:style w:type="character" w:customStyle="1" w:styleId="28">
    <w:name w:val="font71"/>
    <w:basedOn w:val="13"/>
    <w:autoRedefine/>
    <w:qFormat/>
    <w:uiPriority w:val="0"/>
    <w:rPr>
      <w:rFonts w:hint="default" w:ascii="Times New Roman" w:hAnsi="Times New Roman" w:cs="Times New Roman"/>
      <w:color w:val="000000"/>
      <w:sz w:val="18"/>
      <w:szCs w:val="18"/>
      <w:u w:val="none"/>
    </w:rPr>
  </w:style>
  <w:style w:type="character" w:customStyle="1" w:styleId="29">
    <w:name w:val="批注框文本 Char"/>
    <w:basedOn w:val="13"/>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11297</Words>
  <Characters>12087</Characters>
  <Lines>11</Lines>
  <Paragraphs>24</Paragraphs>
  <TotalTime>19</TotalTime>
  <ScaleCrop>false</ScaleCrop>
  <LinksUpToDate>false</LinksUpToDate>
  <CharactersWithSpaces>12116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薛俊璇</cp:lastModifiedBy>
  <dcterms:modified xsi:type="dcterms:W3CDTF">2024-08-28T10:22:47Z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115C85DCA61D493EAE5154E1230E459D_13</vt:lpwstr>
  </property>
</Properties>
</file>