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51F2C">
      <w:pPr>
        <w:spacing w:line="540" w:lineRule="exact"/>
        <w:jc w:val="both"/>
        <w:rPr>
          <w:rFonts w:ascii="Times New Roman" w:hAnsi="Times New Roman" w:eastAsia="华文中宋" w:cs="Times New Roman"/>
          <w:b/>
          <w:kern w:val="0"/>
          <w:sz w:val="52"/>
          <w:szCs w:val="52"/>
          <w:highlight w:val="none"/>
        </w:rPr>
      </w:pPr>
    </w:p>
    <w:p w14:paraId="2849E963">
      <w:pPr>
        <w:spacing w:line="540" w:lineRule="exact"/>
        <w:rPr>
          <w:rFonts w:ascii="Times New Roman" w:hAnsi="Times New Roman" w:eastAsia="华文中宋" w:cs="Times New Roman"/>
          <w:b/>
          <w:kern w:val="0"/>
          <w:sz w:val="52"/>
          <w:szCs w:val="52"/>
          <w:highlight w:val="none"/>
        </w:rPr>
      </w:pPr>
    </w:p>
    <w:p w14:paraId="558B4602">
      <w:pPr>
        <w:spacing w:line="540" w:lineRule="exact"/>
        <w:jc w:val="center"/>
        <w:rPr>
          <w:rFonts w:ascii="Times New Roman" w:hAnsi="Times New Roman" w:eastAsia="华文中宋" w:cs="Times New Roman"/>
          <w:b/>
          <w:kern w:val="0"/>
          <w:sz w:val="52"/>
          <w:szCs w:val="52"/>
          <w:highlight w:val="none"/>
        </w:rPr>
      </w:pPr>
    </w:p>
    <w:p w14:paraId="32F30DAB">
      <w:pPr>
        <w:spacing w:line="540" w:lineRule="exact"/>
        <w:jc w:val="center"/>
        <w:rPr>
          <w:rFonts w:ascii="Times New Roman" w:hAnsi="Times New Roman" w:eastAsia="华文中宋" w:cs="Times New Roman"/>
          <w:b/>
          <w:kern w:val="0"/>
          <w:sz w:val="52"/>
          <w:szCs w:val="52"/>
          <w:highlight w:val="none"/>
        </w:rPr>
      </w:pPr>
    </w:p>
    <w:p w14:paraId="3142FA30">
      <w:pPr>
        <w:spacing w:line="540" w:lineRule="exact"/>
        <w:jc w:val="center"/>
        <w:rPr>
          <w:rFonts w:ascii="Times New Roman" w:hAnsi="Times New Roman" w:eastAsia="方正小标宋_GBK" w:cs="Times New Roman"/>
          <w:kern w:val="0"/>
          <w:sz w:val="48"/>
          <w:szCs w:val="48"/>
          <w:highlight w:val="none"/>
        </w:rPr>
      </w:pPr>
      <w:r>
        <w:rPr>
          <w:rFonts w:hint="default" w:ascii="Times New Roman" w:hAnsi="Times New Roman" w:eastAsia="方正小标宋_GBK" w:cs="Times New Roman"/>
          <w:kern w:val="0"/>
          <w:sz w:val="48"/>
          <w:szCs w:val="48"/>
          <w:highlight w:val="none"/>
        </w:rPr>
        <w:t>自治区2023年第一批疫情防控</w:t>
      </w:r>
      <w:r>
        <w:rPr>
          <w:rFonts w:ascii="Times New Roman" w:hAnsi="Times New Roman" w:eastAsia="方正小标宋_GBK" w:cs="Times New Roman"/>
          <w:kern w:val="0"/>
          <w:sz w:val="48"/>
          <w:szCs w:val="48"/>
          <w:highlight w:val="none"/>
        </w:rPr>
        <w:t>资金项目支出绩效评价报告</w:t>
      </w:r>
    </w:p>
    <w:p w14:paraId="32AF50AC">
      <w:pPr>
        <w:spacing w:line="540" w:lineRule="exact"/>
        <w:jc w:val="center"/>
        <w:rPr>
          <w:rFonts w:ascii="Times New Roman" w:hAnsi="Times New Roman" w:eastAsia="华文中宋" w:cs="Times New Roman"/>
          <w:b/>
          <w:kern w:val="0"/>
          <w:sz w:val="52"/>
          <w:szCs w:val="52"/>
          <w:highlight w:val="none"/>
        </w:rPr>
      </w:pPr>
    </w:p>
    <w:p w14:paraId="4C1D19AB">
      <w:pPr>
        <w:spacing w:line="540" w:lineRule="exact"/>
        <w:jc w:val="center"/>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 2023年度）</w:t>
      </w:r>
    </w:p>
    <w:p w14:paraId="52FB8004">
      <w:pPr>
        <w:spacing w:line="540" w:lineRule="exact"/>
        <w:jc w:val="center"/>
        <w:rPr>
          <w:rFonts w:ascii="Times New Roman" w:hAnsi="Times New Roman" w:eastAsia="仿宋_GB2312" w:cs="Times New Roman"/>
          <w:kern w:val="0"/>
          <w:sz w:val="30"/>
          <w:szCs w:val="30"/>
          <w:highlight w:val="none"/>
        </w:rPr>
      </w:pPr>
    </w:p>
    <w:p w14:paraId="40538F90">
      <w:pPr>
        <w:spacing w:line="540" w:lineRule="exact"/>
        <w:jc w:val="center"/>
        <w:rPr>
          <w:rFonts w:ascii="Times New Roman" w:hAnsi="Times New Roman" w:eastAsia="仿宋_GB2312" w:cs="Times New Roman"/>
          <w:kern w:val="0"/>
          <w:sz w:val="30"/>
          <w:szCs w:val="30"/>
          <w:highlight w:val="none"/>
        </w:rPr>
      </w:pPr>
    </w:p>
    <w:p w14:paraId="07633ABD">
      <w:pPr>
        <w:spacing w:line="540" w:lineRule="exact"/>
        <w:jc w:val="center"/>
        <w:rPr>
          <w:rFonts w:ascii="Times New Roman" w:hAnsi="Times New Roman" w:eastAsia="仿宋_GB2312" w:cs="Times New Roman"/>
          <w:kern w:val="0"/>
          <w:sz w:val="30"/>
          <w:szCs w:val="30"/>
          <w:highlight w:val="none"/>
        </w:rPr>
      </w:pPr>
    </w:p>
    <w:p w14:paraId="028CEEAE">
      <w:pPr>
        <w:spacing w:line="540" w:lineRule="exact"/>
        <w:jc w:val="center"/>
        <w:rPr>
          <w:rFonts w:ascii="Times New Roman" w:hAnsi="Times New Roman" w:eastAsia="仿宋_GB2312" w:cs="Times New Roman"/>
          <w:kern w:val="0"/>
          <w:sz w:val="30"/>
          <w:szCs w:val="30"/>
          <w:highlight w:val="none"/>
        </w:rPr>
      </w:pPr>
    </w:p>
    <w:p w14:paraId="4C034443">
      <w:pPr>
        <w:spacing w:line="540" w:lineRule="exact"/>
        <w:rPr>
          <w:rFonts w:ascii="Times New Roman" w:hAnsi="Times New Roman" w:eastAsia="仿宋_GB2312" w:cs="Times New Roman"/>
          <w:kern w:val="0"/>
          <w:sz w:val="30"/>
          <w:szCs w:val="30"/>
          <w:highlight w:val="none"/>
        </w:rPr>
      </w:pPr>
    </w:p>
    <w:p w14:paraId="3B7D6FC2">
      <w:pPr>
        <w:spacing w:line="700" w:lineRule="exact"/>
        <w:ind w:left="3236" w:leftChars="684" w:hanging="1800" w:hangingChars="500"/>
        <w:jc w:val="left"/>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项目名称：</w:t>
      </w:r>
      <w:r>
        <w:rPr>
          <w:rFonts w:hint="default" w:ascii="Times New Roman" w:hAnsi="Times New Roman" w:eastAsia="仿宋_GB2312" w:cs="Times New Roman"/>
          <w:kern w:val="0"/>
          <w:sz w:val="36"/>
          <w:szCs w:val="36"/>
          <w:highlight w:val="none"/>
        </w:rPr>
        <w:t>自治区2023年第一批疫情防控补助资金（自治区本级医疗机构重症床位设备配置经费）</w:t>
      </w:r>
    </w:p>
    <w:p w14:paraId="6AD9AE50">
      <w:pPr>
        <w:spacing w:line="700" w:lineRule="exact"/>
        <w:ind w:firstLine="1440" w:firstLineChars="400"/>
        <w:jc w:val="left"/>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实施单位（公章）：</w:t>
      </w:r>
      <w:r>
        <w:rPr>
          <w:rFonts w:hint="default" w:ascii="Times New Roman" w:hAnsi="Times New Roman" w:eastAsia="仿宋_GB2312" w:cs="Times New Roman"/>
          <w:kern w:val="0"/>
          <w:sz w:val="36"/>
          <w:szCs w:val="36"/>
          <w:highlight w:val="none"/>
        </w:rPr>
        <w:t>自治区人民医院</w:t>
      </w:r>
    </w:p>
    <w:p w14:paraId="14F49BD4">
      <w:pPr>
        <w:spacing w:line="700" w:lineRule="exact"/>
        <w:ind w:firstLine="1440" w:firstLineChars="400"/>
        <w:jc w:val="left"/>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主管部门（公章）：</w:t>
      </w:r>
      <w:r>
        <w:rPr>
          <w:rFonts w:hint="default" w:ascii="Times New Roman" w:hAnsi="Times New Roman" w:eastAsia="仿宋_GB2312" w:cs="Times New Roman"/>
          <w:kern w:val="0"/>
          <w:sz w:val="36"/>
          <w:szCs w:val="36"/>
          <w:highlight w:val="none"/>
        </w:rPr>
        <w:t>自治区卫生健康委员会</w:t>
      </w:r>
    </w:p>
    <w:p w14:paraId="4B1A2521">
      <w:pPr>
        <w:spacing w:line="700" w:lineRule="exact"/>
        <w:ind w:firstLine="1440" w:firstLineChars="400"/>
        <w:jc w:val="left"/>
        <w:rPr>
          <w:rFonts w:hint="default" w:ascii="Times New Roman" w:hAnsi="Times New Roman" w:eastAsia="仿宋_GB2312" w:cs="Times New Roman"/>
          <w:kern w:val="0"/>
          <w:sz w:val="36"/>
          <w:szCs w:val="36"/>
          <w:highlight w:val="none"/>
          <w:lang w:eastAsia="zh-CN"/>
        </w:rPr>
      </w:pPr>
      <w:r>
        <w:rPr>
          <w:rFonts w:ascii="Times New Roman" w:hAnsi="Times New Roman" w:eastAsia="仿宋_GB2312" w:cs="Times New Roman"/>
          <w:kern w:val="0"/>
          <w:sz w:val="36"/>
          <w:szCs w:val="36"/>
          <w:highlight w:val="none"/>
        </w:rPr>
        <w:t>项目负责人（签章）：</w:t>
      </w:r>
      <w:r>
        <w:rPr>
          <w:rFonts w:hint="default" w:ascii="Times New Roman" w:hAnsi="Times New Roman" w:eastAsia="仿宋_GB2312" w:cs="Times New Roman"/>
          <w:kern w:val="0"/>
          <w:sz w:val="36"/>
          <w:szCs w:val="36"/>
          <w:highlight w:val="none"/>
          <w:lang w:val="en-US" w:eastAsia="zh-CN"/>
        </w:rPr>
        <w:t>白生蕾</w:t>
      </w:r>
    </w:p>
    <w:p w14:paraId="1736A1F0">
      <w:pPr>
        <w:spacing w:line="700" w:lineRule="exact"/>
        <w:ind w:firstLine="1440" w:firstLineChars="400"/>
        <w:jc w:val="left"/>
        <w:rPr>
          <w:rFonts w:ascii="Times New Roman" w:hAnsi="Times New Roman" w:eastAsia="仿宋_GB2312" w:cs="Times New Roman"/>
          <w:kern w:val="0"/>
          <w:sz w:val="36"/>
          <w:szCs w:val="36"/>
          <w:highlight w:val="none"/>
        </w:rPr>
      </w:pPr>
      <w:r>
        <w:rPr>
          <w:rFonts w:ascii="Times New Roman" w:hAnsi="Times New Roman" w:eastAsia="仿宋_GB2312" w:cs="Times New Roman"/>
          <w:kern w:val="0"/>
          <w:sz w:val="36"/>
          <w:szCs w:val="36"/>
          <w:highlight w:val="none"/>
        </w:rPr>
        <w:t>填报时间：</w:t>
      </w:r>
      <w:r>
        <w:rPr>
          <w:rFonts w:hint="default" w:ascii="Times New Roman" w:hAnsi="Times New Roman" w:eastAsia="仿宋_GB2312" w:cs="Times New Roman"/>
          <w:kern w:val="0"/>
          <w:sz w:val="36"/>
          <w:szCs w:val="36"/>
          <w:highlight w:val="none"/>
          <w:lang w:val="en-US" w:eastAsia="zh-CN"/>
        </w:rPr>
        <w:t>2024</w:t>
      </w:r>
      <w:r>
        <w:rPr>
          <w:rFonts w:ascii="Times New Roman" w:hAnsi="Times New Roman" w:eastAsia="仿宋_GB2312" w:cs="Times New Roman"/>
          <w:kern w:val="0"/>
          <w:sz w:val="36"/>
          <w:szCs w:val="36"/>
          <w:highlight w:val="none"/>
        </w:rPr>
        <w:t>年</w:t>
      </w:r>
      <w:r>
        <w:rPr>
          <w:rFonts w:hint="default" w:ascii="Times New Roman" w:hAnsi="Times New Roman" w:eastAsia="仿宋_GB2312" w:cs="Times New Roman"/>
          <w:kern w:val="0"/>
          <w:sz w:val="36"/>
          <w:szCs w:val="36"/>
          <w:highlight w:val="none"/>
          <w:lang w:val="en-US" w:eastAsia="zh-CN"/>
        </w:rPr>
        <w:t>3</w:t>
      </w:r>
      <w:r>
        <w:rPr>
          <w:rFonts w:ascii="Times New Roman" w:hAnsi="Times New Roman" w:eastAsia="仿宋_GB2312" w:cs="Times New Roman"/>
          <w:kern w:val="0"/>
          <w:sz w:val="36"/>
          <w:szCs w:val="36"/>
          <w:highlight w:val="none"/>
        </w:rPr>
        <w:t>月</w:t>
      </w:r>
      <w:r>
        <w:rPr>
          <w:rFonts w:hint="default" w:ascii="Times New Roman" w:hAnsi="Times New Roman" w:eastAsia="仿宋_GB2312" w:cs="Times New Roman"/>
          <w:kern w:val="0"/>
          <w:sz w:val="36"/>
          <w:szCs w:val="36"/>
          <w:highlight w:val="none"/>
          <w:lang w:val="en-US" w:eastAsia="zh-CN"/>
        </w:rPr>
        <w:t>1</w:t>
      </w:r>
      <w:r>
        <w:rPr>
          <w:rFonts w:ascii="Times New Roman" w:hAnsi="Times New Roman" w:eastAsia="仿宋_GB2312" w:cs="Times New Roman"/>
          <w:kern w:val="0"/>
          <w:sz w:val="36"/>
          <w:szCs w:val="36"/>
          <w:highlight w:val="none"/>
        </w:rPr>
        <w:t>日</w:t>
      </w:r>
    </w:p>
    <w:p w14:paraId="47724BDD">
      <w:pPr>
        <w:spacing w:line="540" w:lineRule="exact"/>
        <w:jc w:val="center"/>
        <w:rPr>
          <w:rFonts w:ascii="Times New Roman" w:hAnsi="Times New Roman" w:eastAsia="仿宋_GB2312" w:cs="Times New Roman"/>
          <w:kern w:val="0"/>
          <w:sz w:val="30"/>
          <w:szCs w:val="30"/>
          <w:highlight w:val="none"/>
        </w:rPr>
      </w:pPr>
    </w:p>
    <w:p w14:paraId="7B4B139E">
      <w:pPr>
        <w:spacing w:line="540" w:lineRule="exact"/>
        <w:rPr>
          <w:rStyle w:val="14"/>
          <w:rFonts w:ascii="Times New Roman" w:hAnsi="Times New Roman" w:eastAsia="黑体" w:cs="Times New Roman"/>
          <w:b w:val="0"/>
          <w:spacing w:val="-4"/>
          <w:sz w:val="32"/>
          <w:szCs w:val="32"/>
          <w:highlight w:val="none"/>
        </w:rPr>
      </w:pPr>
    </w:p>
    <w:p w14:paraId="59FDFC80">
      <w:pPr>
        <w:spacing w:line="540" w:lineRule="exact"/>
        <w:ind w:firstLine="640"/>
        <w:rPr>
          <w:rStyle w:val="14"/>
          <w:rFonts w:ascii="Times New Roman" w:hAnsi="Times New Roman" w:eastAsia="黑体" w:cs="Times New Roman"/>
          <w:b w:val="0"/>
          <w:spacing w:val="-4"/>
          <w:sz w:val="32"/>
          <w:szCs w:val="32"/>
          <w:highlight w:val="none"/>
        </w:rPr>
      </w:pPr>
    </w:p>
    <w:p w14:paraId="40797F25">
      <w:pPr>
        <w:spacing w:line="560" w:lineRule="exact"/>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一、基本情况</w:t>
      </w:r>
    </w:p>
    <w:p w14:paraId="4D3C69A1">
      <w:pPr>
        <w:spacing w:line="560" w:lineRule="exact"/>
        <w:ind w:firstLine="643" w:firstLineChars="200"/>
        <w:rPr>
          <w:rFonts w:ascii="Times New Roman" w:hAnsi="Times New Roman" w:eastAsia="楷体_GB2312" w:cs="Times New Roman"/>
          <w:b/>
          <w:bCs/>
          <w:sz w:val="32"/>
          <w:szCs w:val="32"/>
          <w:highlight w:val="none"/>
        </w:rPr>
      </w:pPr>
      <w:r>
        <w:rPr>
          <w:rFonts w:ascii="Times New Roman" w:hAnsi="Times New Roman" w:eastAsia="楷体_GB2312" w:cs="Times New Roman"/>
          <w:b/>
          <w:bCs/>
          <w:sz w:val="32"/>
          <w:szCs w:val="32"/>
          <w:highlight w:val="none"/>
        </w:rPr>
        <w:t>（一）项目概况</w:t>
      </w:r>
    </w:p>
    <w:p w14:paraId="64DD46D5">
      <w:pPr>
        <w:spacing w:line="560" w:lineRule="exact"/>
        <w:ind w:firstLine="643" w:firstLineChars="200"/>
        <w:rPr>
          <w:rFonts w:ascii="Times New Roman" w:hAnsi="Times New Roman" w:eastAsia="仿宋_GB2312" w:cs="Times New Roman"/>
          <w:b/>
          <w:bCs/>
          <w:sz w:val="32"/>
          <w:szCs w:val="32"/>
          <w:highlight w:val="none"/>
        </w:rPr>
      </w:pPr>
      <w:r>
        <w:rPr>
          <w:rFonts w:ascii="Times New Roman" w:hAnsi="Times New Roman" w:eastAsia="仿宋_GB2312" w:cs="Times New Roman"/>
          <w:b/>
          <w:bCs/>
          <w:sz w:val="32"/>
          <w:szCs w:val="32"/>
          <w:highlight w:val="none"/>
        </w:rPr>
        <w:t>1、项目背景</w:t>
      </w:r>
    </w:p>
    <w:p w14:paraId="40B86BC4">
      <w:pPr>
        <w:pStyle w:val="9"/>
        <w:spacing w:before="0" w:beforeAutospacing="0" w:after="0" w:afterAutospacing="0" w:line="560" w:lineRule="exact"/>
        <w:ind w:firstLine="640" w:firstLineChars="200"/>
        <w:rPr>
          <w:rFonts w:ascii="Times New Roman" w:hAnsi="Times New Roman" w:eastAsia="仿宋_GB2312" w:cs="Times New Roman"/>
          <w:kern w:val="2"/>
          <w:sz w:val="32"/>
          <w:szCs w:val="32"/>
          <w:highlight w:val="none"/>
        </w:rPr>
      </w:pPr>
      <w:r>
        <w:rPr>
          <w:rFonts w:hint="default" w:ascii="Times New Roman" w:hAnsi="Times New Roman" w:eastAsia="仿宋_GB2312" w:cs="Times New Roman"/>
          <w:kern w:val="2"/>
          <w:sz w:val="32"/>
          <w:szCs w:val="32"/>
          <w:highlight w:val="none"/>
        </w:rPr>
        <w:t>我国医疗资源发展不均衡、不充分，特别是地区之间、城乡之间差异比较大；医疗资源总体上相对不足，每千人口医疗床位6.7张，每10万人口的重症医疗床位不到4张。因此，整体医疗资源都需要提质扩容和区域均衡布局，特别是要补齐重症医疗服务的短板。随着新冠肺炎疫情全球持续蔓延和病毒的不断变异，凸显了加强公共卫生体系建设的重要性和紧迫性。</w:t>
      </w:r>
      <w:r>
        <w:rPr>
          <w:rFonts w:ascii="Times New Roman" w:hAnsi="Times New Roman" w:eastAsia="仿宋_GB2312" w:cs="Times New Roman"/>
          <w:kern w:val="2"/>
          <w:sz w:val="32"/>
          <w:szCs w:val="32"/>
          <w:highlight w:val="none"/>
        </w:rPr>
        <w:t>当前的奥密克戎变异株传染性强、传播速度快，特别是在很短的时间内会引起聚集性疫情甚至较大规模疫情。我国是一个拥有14亿人口的大国，老龄人口多、有基础性疾病的人也多，都是容易发生重症的脆弱人群。在重症患者中，一方面是新冠病毒引起的重症，另外一方面是基础性疾病叠加了新冠感染，这部分患者也需要多学科救治。因此，加强重症力量的储备，特别是多学科综合能力的提升，是非常必要的。</w:t>
      </w:r>
    </w:p>
    <w:p w14:paraId="2A093381">
      <w:pPr>
        <w:pStyle w:val="22"/>
        <w:spacing w:line="560" w:lineRule="exact"/>
        <w:ind w:firstLine="560"/>
        <w:jc w:val="both"/>
        <w:rPr>
          <w:rFonts w:ascii="Times New Roman" w:hAnsi="Times New Roman" w:eastAsia="仿宋_GB2312" w:cs="Times New Roman"/>
          <w:sz w:val="32"/>
          <w:szCs w:val="32"/>
          <w:highlight w:val="none"/>
        </w:rPr>
      </w:pPr>
      <w:r>
        <w:rPr>
          <w:rFonts w:ascii="Times New Roman" w:hAnsi="Times New Roman" w:cs="Times New Roman"/>
          <w:highlight w:val="none"/>
        </w:rPr>
        <w:fldChar w:fldCharType="begin"/>
      </w:r>
      <w:r>
        <w:rPr>
          <w:rFonts w:ascii="Times New Roman" w:hAnsi="Times New Roman" w:cs="Times New Roman"/>
          <w:highlight w:val="none"/>
        </w:rPr>
        <w:instrText xml:space="preserve"> HYPERLINK "https://baike.baidu.com/item/%E5%9B%BD%E5%AE%B6%E7%BB%9F%E8%AE%A1%E5%B1%80/3106083?fromModule=lemma_inlink" \t "_blank" </w:instrText>
      </w:r>
      <w:r>
        <w:rPr>
          <w:rFonts w:ascii="Times New Roman" w:hAnsi="Times New Roman" w:cs="Times New Roman"/>
          <w:highlight w:val="none"/>
        </w:rPr>
        <w:fldChar w:fldCharType="separate"/>
      </w:r>
      <w:r>
        <w:rPr>
          <w:rFonts w:hint="default" w:ascii="Times New Roman" w:hAnsi="Times New Roman" w:eastAsia="仿宋_GB2312" w:cs="Times New Roman"/>
          <w:sz w:val="32"/>
          <w:szCs w:val="32"/>
          <w:highlight w:val="none"/>
        </w:rPr>
        <w:t>国家统计局</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据显示，2021年自治区常住人口为2589万人。随着经济水平及居民健康意识的提升，新疆对卫生服务的需求不断增高，疾病的诊断率亦呈上升趋势，尤其随着居民体检意识及就医需求的加强，肿瘤及疑难疾病的发病率明显提升，对此类疾病治疗新技术的需求也不断增加。应对新疆新冠疫情的需要。此次新冠疫情发生以来，全疆乃至全国防治体系面临极大挑战，早期识别、临床诊断、危重症救治、预防、人才储备、硬件设施等建设均明显落后。新疆防治体系建设极不完善，各地州、各医院诊治水平不均衡、救治能力十分有限，主要体现在重症专业人员不足，重症医师队伍极不稳定，重症床位不足、设备缺质少量，基层医疗机构呈现战时临时组建的现象。</w:t>
      </w:r>
    </w:p>
    <w:p w14:paraId="57D695D3">
      <w:pPr>
        <w:pStyle w:val="22"/>
        <w:spacing w:line="560" w:lineRule="exact"/>
        <w:ind w:firstLine="640"/>
        <w:jc w:val="both"/>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加强自治区人民医院重症床位扩容、提升重症患者诊疗能力水平能力建设项目，是防控新冠疫情和传染病的重要手段，也是造福人民的重大民生工程，因此非常有必要。</w:t>
      </w:r>
    </w:p>
    <w:p w14:paraId="2F92AF2B">
      <w:pPr>
        <w:pStyle w:val="22"/>
        <w:spacing w:line="560" w:lineRule="exact"/>
        <w:ind w:firstLine="640"/>
        <w:jc w:val="both"/>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本项目的建设是必要的，也是紧迫的。</w:t>
      </w:r>
    </w:p>
    <w:p w14:paraId="3BAF7D89">
      <w:pPr>
        <w:pStyle w:val="2"/>
        <w:numPr>
          <w:ilvl w:val="0"/>
          <w:numId w:val="1"/>
        </w:numPr>
        <w:spacing w:before="0" w:after="0" w:line="560" w:lineRule="exact"/>
        <w:ind w:firstLine="643" w:firstLineChars="200"/>
        <w:jc w:val="both"/>
        <w:rPr>
          <w:rFonts w:ascii="Times New Roman" w:hAnsi="Times New Roman" w:eastAsia="仿宋_GB2312" w:cs="Times New Roman"/>
          <w:kern w:val="2"/>
          <w:highlight w:val="none"/>
        </w:rPr>
      </w:pPr>
      <w:r>
        <w:rPr>
          <w:rFonts w:ascii="Times New Roman" w:hAnsi="Times New Roman" w:eastAsia="仿宋_GB2312" w:cs="Times New Roman"/>
          <w:kern w:val="2"/>
          <w:highlight w:val="none"/>
        </w:rPr>
        <w:t>项目主要内容：</w:t>
      </w:r>
    </w:p>
    <w:p w14:paraId="4E3ECBB5">
      <w:pPr>
        <w:pStyle w:val="22"/>
        <w:spacing w:line="560" w:lineRule="exact"/>
        <w:ind w:firstLine="640"/>
        <w:jc w:val="both"/>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项目主要内容：</w:t>
      </w:r>
      <w:r>
        <w:rPr>
          <w:rFonts w:hint="default" w:ascii="Times New Roman" w:hAnsi="Times New Roman" w:eastAsia="仿宋_GB2312" w:cs="Times New Roman"/>
          <w:sz w:val="32"/>
          <w:szCs w:val="32"/>
          <w:highlight w:val="none"/>
        </w:rPr>
        <w:t>目前总体具备新冠肺炎重症患者诊治能力，发生突发公共卫生事件时，医院能够在接到指令后 6 小时内紧急开放 500 张以上应急床位，收治 500 名以上伤员（包括 50 名以上危重伤员）。但新冠肺炎重症患者诊治负荷较重，配套设备数量不够、配套设备陈旧等问题较为突出。通过固定资产台账调查，发现医疗设备陈旧、很多设备已列为报废设备，并且从设备种类和数量上也存在严重缺口</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现有医疗设备远远不能满足医疗需求。须按国家要求补充设备。</w:t>
      </w:r>
      <w:r>
        <w:rPr>
          <w:rFonts w:hint="default" w:ascii="Times New Roman" w:hAnsi="Times New Roman" w:eastAsia="仿宋_GB2312" w:cs="Times New Roman"/>
          <w:b w:val="0"/>
          <w:bCs w:val="0"/>
          <w:kern w:val="2"/>
          <w:sz w:val="32"/>
          <w:szCs w:val="32"/>
          <w:highlight w:val="none"/>
          <w:lang w:val="en-US" w:eastAsia="zh-CN" w:bidi="ar-SA"/>
        </w:rPr>
        <w:t>据医院现状分析，需配备一批呼吸机、纤维支气管镜等重症医疗设备和过氧化氢消毒机等消毒类设备，从而有效提升医院临床重症、危重症患者的救治能力和水平和疫情防控能力。</w:t>
      </w:r>
    </w:p>
    <w:p w14:paraId="6BC85022">
      <w:pPr>
        <w:spacing w:line="560" w:lineRule="exact"/>
        <w:ind w:firstLine="640" w:firstLineChars="200"/>
        <w:rPr>
          <w:rFonts w:ascii="Times New Roman" w:hAnsi="Times New Roman" w:cs="Times New Roman"/>
          <w:highlight w:val="none"/>
        </w:rPr>
      </w:pPr>
      <w:r>
        <w:rPr>
          <w:rFonts w:ascii="Times New Roman" w:hAnsi="Times New Roman" w:eastAsia="仿宋_GB2312" w:cs="Times New Roman"/>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A4F570F">
      <w:pPr>
        <w:spacing w:line="560" w:lineRule="exact"/>
        <w:ind w:firstLine="643" w:firstLineChars="200"/>
        <w:rPr>
          <w:rFonts w:ascii="Times New Roman" w:hAnsi="Times New Roman" w:eastAsia="仿宋_GB2312" w:cs="Times New Roman"/>
          <w:b/>
          <w:bCs/>
          <w:sz w:val="32"/>
          <w:szCs w:val="32"/>
          <w:highlight w:val="none"/>
        </w:rPr>
      </w:pPr>
      <w:r>
        <w:rPr>
          <w:rFonts w:ascii="Times New Roman" w:hAnsi="Times New Roman" w:eastAsia="仿宋_GB2312" w:cs="Times New Roman"/>
          <w:b/>
          <w:bCs/>
          <w:sz w:val="32"/>
          <w:szCs w:val="32"/>
          <w:highlight w:val="none"/>
        </w:rPr>
        <w:t>3、资金投入和使用情况</w:t>
      </w:r>
    </w:p>
    <w:p w14:paraId="3E4D8C87">
      <w:pPr>
        <w:spacing w:line="560" w:lineRule="exact"/>
        <w:ind w:firstLine="640" w:firstLineChars="200"/>
        <w:rPr>
          <w:rFonts w:hint="default" w:ascii="Times New Roman" w:hAnsi="Times New Roman" w:eastAsia="仿宋_GB2312" w:cs="Times New Roman"/>
          <w:sz w:val="20"/>
          <w:szCs w:val="20"/>
          <w:highlight w:val="none"/>
          <w:lang w:val="en-US" w:eastAsia="zh-CN"/>
        </w:rPr>
      </w:pPr>
      <w:r>
        <w:rPr>
          <w:rFonts w:ascii="Times New Roman" w:hAnsi="Times New Roman" w:eastAsia="仿宋_GB2312" w:cs="Times New Roman"/>
          <w:sz w:val="32"/>
          <w:szCs w:val="32"/>
          <w:highlight w:val="none"/>
        </w:rPr>
        <w:t>（1）资金</w:t>
      </w:r>
      <w:r>
        <w:rPr>
          <w:rFonts w:hint="default" w:ascii="Times New Roman" w:hAnsi="Times New Roman" w:eastAsia="仿宋_GB2312" w:cs="Times New Roman"/>
          <w:sz w:val="32"/>
          <w:szCs w:val="32"/>
          <w:highlight w:val="none"/>
          <w:lang w:val="en-US" w:eastAsia="zh-CN"/>
        </w:rPr>
        <w:t>投入情况</w:t>
      </w:r>
    </w:p>
    <w:p w14:paraId="5E9778D4">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highlight w:val="none"/>
          <w:lang w:val="en-US" w:eastAsia="zh-CN"/>
        </w:rPr>
        <w:t>年初安排预算2922万元，全年预算数2922</w:t>
      </w:r>
      <w:r>
        <w:rPr>
          <w:rFonts w:ascii="Times New Roman" w:hAnsi="Times New Roman" w:eastAsia="仿宋_GB2312" w:cs="Times New Roman"/>
          <w:sz w:val="32"/>
          <w:szCs w:val="32"/>
          <w:highlight w:val="none"/>
        </w:rPr>
        <w:t>万元，其中：财政</w:t>
      </w:r>
      <w:r>
        <w:rPr>
          <w:rFonts w:hint="default" w:ascii="Times New Roman" w:hAnsi="Times New Roman" w:eastAsia="仿宋_GB2312" w:cs="Times New Roman"/>
          <w:sz w:val="32"/>
          <w:szCs w:val="32"/>
          <w:highlight w:val="none"/>
        </w:rPr>
        <w:t>拨款</w:t>
      </w:r>
      <w:r>
        <w:rPr>
          <w:rFonts w:ascii="Times New Roman" w:hAnsi="Times New Roman" w:eastAsia="仿宋_GB2312" w:cs="Times New Roman"/>
          <w:sz w:val="32"/>
          <w:szCs w:val="32"/>
          <w:highlight w:val="none"/>
        </w:rPr>
        <w:t>资金</w:t>
      </w:r>
      <w:r>
        <w:rPr>
          <w:rFonts w:hint="default" w:ascii="Times New Roman" w:hAnsi="Times New Roman" w:eastAsia="仿宋_GB2312" w:cs="Times New Roman"/>
          <w:sz w:val="32"/>
          <w:szCs w:val="32"/>
          <w:highlight w:val="none"/>
          <w:lang w:val="en-US" w:eastAsia="zh-CN"/>
        </w:rPr>
        <w:t>2922</w:t>
      </w:r>
      <w:r>
        <w:rPr>
          <w:rFonts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其他资金</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val="en-US" w:eastAsia="zh-CN"/>
        </w:rPr>
        <w:t>项目资金到位2922万元，资金到位率100%。项目预算资金来源于一般公共预算。</w:t>
      </w:r>
    </w:p>
    <w:p w14:paraId="64BECF30">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（2）资金使用情况</w:t>
      </w:r>
      <w:bookmarkStart w:id="0" w:name="page10"/>
      <w:bookmarkEnd w:id="0"/>
    </w:p>
    <w:p w14:paraId="777C920F">
      <w:pPr>
        <w:pStyle w:val="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highlight w:val="none"/>
          <w:lang w:eastAsia="zh-CN"/>
        </w:rPr>
        <w:t>截至2023年</w:t>
      </w:r>
      <w:r>
        <w:rPr>
          <w:rFonts w:hint="default" w:ascii="Times New Roman" w:hAnsi="Times New Roman" w:eastAsia="仿宋_GB2312" w:cs="Times New Roman"/>
          <w:b w:val="0"/>
          <w:bCs w:val="0"/>
          <w:kern w:val="2"/>
          <w:highlight w:val="none"/>
        </w:rPr>
        <w:t>12月31日，该项目全年预算数</w:t>
      </w:r>
      <w:r>
        <w:rPr>
          <w:rFonts w:hint="default" w:ascii="Times New Roman" w:hAnsi="Times New Roman" w:eastAsia="仿宋_GB2312" w:cs="Times New Roman"/>
          <w:b w:val="0"/>
          <w:bCs w:val="0"/>
          <w:kern w:val="2"/>
          <w:highlight w:val="none"/>
          <w:lang w:val="en-US" w:eastAsia="zh-CN"/>
        </w:rPr>
        <w:t>2922</w:t>
      </w:r>
      <w:r>
        <w:rPr>
          <w:rFonts w:hint="default" w:ascii="Times New Roman" w:hAnsi="Times New Roman" w:eastAsia="仿宋_GB2312" w:cs="Times New Roman"/>
          <w:b w:val="0"/>
          <w:bCs w:val="0"/>
          <w:kern w:val="2"/>
          <w:highlight w:val="none"/>
        </w:rPr>
        <w:t>万元，全年执行数</w:t>
      </w:r>
      <w:r>
        <w:rPr>
          <w:rFonts w:hint="default" w:ascii="Times New Roman" w:hAnsi="Times New Roman" w:eastAsia="仿宋_GB2312" w:cs="Times New Roman"/>
          <w:b w:val="0"/>
          <w:bCs w:val="0"/>
          <w:kern w:val="2"/>
          <w:highlight w:val="none"/>
          <w:lang w:val="en-US" w:eastAsia="zh-CN"/>
        </w:rPr>
        <w:t>2922</w:t>
      </w:r>
      <w:r>
        <w:rPr>
          <w:rFonts w:hint="default" w:ascii="Times New Roman" w:hAnsi="Times New Roman" w:eastAsia="仿宋_GB2312" w:cs="Times New Roman"/>
          <w:b w:val="0"/>
          <w:bCs w:val="0"/>
          <w:kern w:val="2"/>
          <w:highlight w:val="none"/>
        </w:rPr>
        <w:t>万元，预算执行率</w:t>
      </w:r>
      <w:r>
        <w:rPr>
          <w:rFonts w:hint="default" w:ascii="Times New Roman" w:hAnsi="Times New Roman" w:eastAsia="仿宋_GB2312" w:cs="Times New Roman"/>
          <w:b w:val="0"/>
          <w:bCs w:val="0"/>
          <w:kern w:val="2"/>
          <w:highlight w:val="none"/>
          <w:lang w:val="en-US" w:eastAsia="zh-CN"/>
        </w:rPr>
        <w:t>100</w:t>
      </w:r>
      <w:r>
        <w:rPr>
          <w:rFonts w:hint="default" w:ascii="Times New Roman" w:hAnsi="Times New Roman" w:eastAsia="仿宋_GB2312" w:cs="Times New Roman"/>
          <w:b w:val="0"/>
          <w:bCs w:val="0"/>
          <w:kern w:val="2"/>
          <w:highlight w:val="none"/>
        </w:rPr>
        <w:t>%。</w:t>
      </w:r>
      <w:r>
        <w:rPr>
          <w:rFonts w:hint="default" w:ascii="Times New Roman" w:hAnsi="Times New Roman" w:eastAsia="仿宋_GB2312" w:cs="Times New Roman"/>
          <w:b w:val="0"/>
          <w:bCs w:val="0"/>
          <w:kern w:val="2"/>
          <w:highlight w:val="none"/>
          <w:lang w:val="en-US" w:eastAsia="zh-CN"/>
        </w:rPr>
        <w:t>主要</w:t>
      </w:r>
      <w:r>
        <w:rPr>
          <w:rFonts w:ascii="Times New Roman" w:hAnsi="Times New Roman" w:eastAsia="仿宋_GB2312" w:cs="Times New Roman"/>
          <w:b w:val="0"/>
          <w:bCs w:val="0"/>
          <w:kern w:val="2"/>
          <w:sz w:val="32"/>
          <w:szCs w:val="32"/>
          <w:highlight w:val="none"/>
          <w:lang w:val="en-US" w:eastAsia="zh-CN" w:bidi="ar-SA"/>
        </w:rPr>
        <w:t>用于支付项目实施进程中的各项费用。按照单位财务制度等相关规定，资金支出符合</w:t>
      </w: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w:t>
      </w:r>
      <w:r>
        <w:rPr>
          <w:rFonts w:hint="default" w:ascii="Times New Roman" w:hAnsi="Times New Roman" w:eastAsia="仿宋_GB2312" w:cs="Times New Roman"/>
          <w:b w:val="0"/>
          <w:bCs w:val="0"/>
          <w:kern w:val="2"/>
          <w:sz w:val="32"/>
          <w:szCs w:val="32"/>
          <w:highlight w:val="none"/>
          <w:lang w:val="en-US" w:eastAsia="zh-Hans" w:bidi="ar-SA"/>
        </w:rPr>
        <w:t>项目</w:t>
      </w:r>
      <w:r>
        <w:rPr>
          <w:rFonts w:ascii="Times New Roman" w:hAnsi="Times New Roman" w:eastAsia="仿宋_GB2312" w:cs="Times New Roman"/>
          <w:b w:val="0"/>
          <w:bCs w:val="0"/>
          <w:kern w:val="2"/>
          <w:sz w:val="32"/>
          <w:szCs w:val="32"/>
          <w:highlight w:val="none"/>
          <w:lang w:val="en-US" w:eastAsia="zh-CN" w:bidi="ar-SA"/>
        </w:rPr>
        <w:t>资金费用范围，做到了专款专用。在项目资金拨付和使用过程中，为确保项目资金的安全性，提高项目资金使用效率，严格遵循</w:t>
      </w: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w:t>
      </w:r>
      <w:r>
        <w:rPr>
          <w:rFonts w:hint="default" w:ascii="Times New Roman" w:hAnsi="Times New Roman" w:eastAsia="仿宋_GB2312" w:cs="Times New Roman"/>
          <w:b w:val="0"/>
          <w:bCs w:val="0"/>
          <w:kern w:val="2"/>
          <w:sz w:val="32"/>
          <w:szCs w:val="32"/>
          <w:highlight w:val="none"/>
          <w:lang w:val="en-US" w:eastAsia="zh-Hans" w:bidi="ar-SA"/>
        </w:rPr>
        <w:t>项目</w:t>
      </w:r>
      <w:r>
        <w:rPr>
          <w:rFonts w:ascii="Times New Roman" w:hAnsi="Times New Roman" w:eastAsia="仿宋_GB2312" w:cs="Times New Roman"/>
          <w:b w:val="0"/>
          <w:bCs w:val="0"/>
          <w:kern w:val="2"/>
          <w:sz w:val="32"/>
          <w:szCs w:val="32"/>
          <w:highlight w:val="none"/>
          <w:lang w:val="en-US" w:eastAsia="zh-CN" w:bidi="ar-SA"/>
        </w:rPr>
        <w:t>资金的拨付程序，认真审核项目实施各阶段的相关材料和手续，根据项目实施进展情况拨付资金。</w:t>
      </w:r>
    </w:p>
    <w:p w14:paraId="06F442A9">
      <w:pPr>
        <w:spacing w:line="560" w:lineRule="exact"/>
        <w:ind w:firstLine="643" w:firstLineChars="200"/>
        <w:rPr>
          <w:rFonts w:ascii="Times New Roman" w:hAnsi="Times New Roman" w:eastAsia="楷体_GB2312" w:cs="Times New Roman"/>
          <w:b/>
          <w:bCs/>
          <w:sz w:val="32"/>
          <w:szCs w:val="32"/>
          <w:highlight w:val="none"/>
        </w:rPr>
      </w:pPr>
      <w:r>
        <w:rPr>
          <w:rFonts w:ascii="Times New Roman" w:hAnsi="Times New Roman" w:eastAsia="楷体_GB2312" w:cs="Times New Roman"/>
          <w:b/>
          <w:bCs/>
          <w:sz w:val="32"/>
          <w:szCs w:val="32"/>
          <w:highlight w:val="none"/>
        </w:rPr>
        <w:t>（二）项目绩效目标</w:t>
      </w:r>
    </w:p>
    <w:p w14:paraId="06C6ABFC">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1、总体目标</w:t>
      </w:r>
    </w:p>
    <w:p w14:paraId="48FF8C21">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按照国务院联防联控机制《关于印发做好医疗资源准备工作方案的通知》（联防联控机制综发</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2022</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112号）要求和新冠病毒感染疫情乙类乙管工作要求，有效提升医疗机构重症救治资源储备，扩充ICU和可转化ICU床位数，补齐设备缺口，有效开展疫情期间重症病例救治工作。</w:t>
      </w:r>
    </w:p>
    <w:p w14:paraId="4C236A0B">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2、阶段性目标</w:t>
      </w:r>
    </w:p>
    <w:p w14:paraId="77F8045F">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（1）前期准备：通过制定项目实施方案，经项目负责人审核通过后，有序开展后续工作。</w:t>
      </w:r>
    </w:p>
    <w:p w14:paraId="72E357B1">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（2）组织实施：资金一到位，立即根据项目要求实施项目。项目责任人按照项目实施方案要求逐一进行项目部署安排，提高项目质量及效率性。</w:t>
      </w:r>
    </w:p>
    <w:p w14:paraId="05CB2BCF">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二、绩效评价工作开展情况</w:t>
      </w:r>
    </w:p>
    <w:p w14:paraId="69E142B3">
      <w:pPr>
        <w:spacing w:line="560" w:lineRule="exact"/>
        <w:ind w:firstLine="643" w:firstLineChars="200"/>
        <w:rPr>
          <w:rFonts w:ascii="Times New Roman" w:hAnsi="Times New Roman" w:eastAsia="楷体_GB2312" w:cs="Times New Roman"/>
          <w:b/>
          <w:bCs/>
          <w:sz w:val="32"/>
          <w:szCs w:val="32"/>
          <w:highlight w:val="none"/>
        </w:rPr>
      </w:pPr>
      <w:r>
        <w:rPr>
          <w:rFonts w:ascii="Times New Roman" w:hAnsi="Times New Roman" w:eastAsia="楷体_GB2312" w:cs="Times New Roman"/>
          <w:b/>
          <w:bCs/>
          <w:sz w:val="32"/>
          <w:szCs w:val="32"/>
          <w:highlight w:val="none"/>
        </w:rPr>
        <w:t>（一）绩效评价目的、对象和范围</w:t>
      </w:r>
    </w:p>
    <w:p w14:paraId="1E05A039">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1、绩效评价的目的</w:t>
      </w:r>
    </w:p>
    <w:p w14:paraId="4DC9021E">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075FAB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项目在实施前向项目负责人提供财政支出绩效方面的资金管理信息，促进项目支出严格按照资金管理规定进行。</w:t>
      </w:r>
    </w:p>
    <w:p w14:paraId="060E1B8D">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（2）项目绩效管</w:t>
      </w:r>
      <w:r>
        <w:rPr>
          <w:rFonts w:hint="eastAsia" w:eastAsia="仿宋_GB2312" w:cs="Times New Roman"/>
          <w:b w:val="0"/>
          <w:bCs w:val="0"/>
          <w:kern w:val="2"/>
          <w:sz w:val="32"/>
          <w:szCs w:val="32"/>
          <w:highlight w:val="none"/>
          <w:lang w:val="en-US" w:eastAsia="zh-CN" w:bidi="ar-SA"/>
        </w:rPr>
        <w:t>理为</w:t>
      </w:r>
      <w:r>
        <w:rPr>
          <w:rFonts w:ascii="Times New Roman" w:hAnsi="Times New Roman" w:eastAsia="仿宋_GB2312" w:cs="Times New Roman"/>
          <w:b w:val="0"/>
          <w:bCs w:val="0"/>
          <w:kern w:val="2"/>
          <w:sz w:val="32"/>
          <w:szCs w:val="32"/>
          <w:highlight w:val="none"/>
          <w:lang w:val="en-US" w:eastAsia="zh-CN" w:bidi="ar-SA"/>
        </w:rPr>
        <w:t>财政支出运行提供及时、有效的信息。</w:t>
      </w:r>
    </w:p>
    <w:p w14:paraId="697B6E36">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综合来看，通过开展有效的财政支出绩效评价管理，</w:t>
      </w:r>
      <w:r>
        <w:rPr>
          <w:rFonts w:hint="default" w:ascii="Times New Roman" w:hAnsi="Times New Roman" w:eastAsia="仿宋_GB2312" w:cs="Times New Roman"/>
          <w:b w:val="0"/>
          <w:bCs w:val="0"/>
          <w:kern w:val="2"/>
          <w:sz w:val="32"/>
          <w:szCs w:val="32"/>
          <w:highlight w:val="none"/>
          <w:lang w:val="en-US" w:eastAsia="zh-CN" w:bidi="ar-SA"/>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w:t>
      </w:r>
      <w:r>
        <w:rPr>
          <w:rFonts w:ascii="Times New Roman" w:hAnsi="Times New Roman" w:eastAsia="仿宋_GB2312" w:cs="Times New Roman"/>
          <w:b w:val="0"/>
          <w:bCs w:val="0"/>
          <w:kern w:val="2"/>
          <w:sz w:val="32"/>
          <w:szCs w:val="32"/>
          <w:highlight w:val="none"/>
          <w:lang w:val="en-US" w:eastAsia="zh-CN" w:bidi="ar-SA"/>
        </w:rPr>
        <w:t>改进预算管理、控制节约成本，</w:t>
      </w:r>
      <w:r>
        <w:rPr>
          <w:rFonts w:hint="default" w:ascii="Times New Roman" w:hAnsi="Times New Roman" w:eastAsia="仿宋_GB2312" w:cs="Times New Roman"/>
          <w:b w:val="0"/>
          <w:bCs w:val="0"/>
          <w:kern w:val="2"/>
          <w:sz w:val="32"/>
          <w:szCs w:val="32"/>
          <w:highlight w:val="none"/>
          <w:lang w:val="en-US" w:eastAsia="zh-CN" w:bidi="ar-SA"/>
        </w:rPr>
        <w:t>优化资源配置、</w:t>
      </w:r>
      <w:r>
        <w:rPr>
          <w:rFonts w:ascii="Times New Roman" w:hAnsi="Times New Roman" w:eastAsia="仿宋_GB2312" w:cs="Times New Roman"/>
          <w:b w:val="0"/>
          <w:bCs w:val="0"/>
          <w:kern w:val="2"/>
          <w:sz w:val="32"/>
          <w:szCs w:val="32"/>
          <w:highlight w:val="none"/>
          <w:lang w:val="en-US" w:eastAsia="zh-CN" w:bidi="ar-SA"/>
        </w:rPr>
        <w:t>提高预算资金使用效益的目的。</w:t>
      </w:r>
    </w:p>
    <w:p w14:paraId="131F3919">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2、绩效评价的对象</w:t>
      </w:r>
    </w:p>
    <w:p w14:paraId="4E256C81">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w:t>
      </w:r>
      <w:r>
        <w:rPr>
          <w:rFonts w:hint="default" w:ascii="Times New Roman" w:hAnsi="Times New Roman" w:eastAsia="仿宋_GB2312" w:cs="Times New Roman"/>
          <w:color w:val="auto"/>
          <w:sz w:val="32"/>
          <w:szCs w:val="32"/>
          <w:highlight w:val="none"/>
          <w:lang w:eastAsia="zh-Hans"/>
        </w:rPr>
        <w:t>项目</w:t>
      </w:r>
      <w:r>
        <w:rPr>
          <w:rFonts w:hint="default" w:ascii="Times New Roman" w:hAnsi="Times New Roman" w:eastAsia="仿宋_GB2312" w:cs="Times New Roman"/>
          <w:color w:val="auto"/>
          <w:sz w:val="32"/>
          <w:szCs w:val="32"/>
          <w:highlight w:val="none"/>
        </w:rPr>
        <w:t>所包含的全部项目内容</w:t>
      </w:r>
      <w:r>
        <w:rPr>
          <w:rFonts w:hint="default" w:ascii="Times New Roman" w:hAnsi="Times New Roman" w:eastAsia="仿宋_GB2312" w:cs="Times New Roman"/>
          <w:b w:val="0"/>
          <w:bCs w:val="0"/>
          <w:kern w:val="2"/>
          <w:sz w:val="32"/>
          <w:szCs w:val="32"/>
          <w:highlight w:val="none"/>
          <w:lang w:val="en-US" w:eastAsia="zh-CN" w:bidi="ar-SA"/>
        </w:rPr>
        <w:t>。</w:t>
      </w:r>
    </w:p>
    <w:p w14:paraId="35049FDA">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3、绩效评价的范围</w:t>
      </w:r>
    </w:p>
    <w:p w14:paraId="36DA0725">
      <w:pPr>
        <w:spacing w:line="560" w:lineRule="exact"/>
        <w:ind w:firstLine="640" w:firstLineChars="200"/>
        <w:rPr>
          <w:rFonts w:ascii="Times New Roman" w:hAnsi="Times New Roman" w:eastAsia="仿宋_GB2312" w:cs="Times New Roman"/>
          <w:kern w:val="0"/>
          <w:sz w:val="32"/>
          <w:szCs w:val="32"/>
          <w:highlight w:val="none"/>
        </w:rPr>
      </w:pPr>
      <w:r>
        <w:rPr>
          <w:rFonts w:hint="default" w:ascii="Times New Roman" w:hAnsi="Times New Roman" w:eastAsia="仿宋_GB2312" w:cs="Times New Roman"/>
          <w:color w:val="auto"/>
          <w:sz w:val="32"/>
          <w:szCs w:val="32"/>
          <w:highlight w:val="none"/>
        </w:rPr>
        <w:t>本次评价从项目决策（包括项目立项、绩效目标、资金投入）、项目过程（包括资金管理、组织实施）、项目产出（包括项目产出数量、产出质量、产出时效和产出成本）、项目效益（实施效益、满意度）四个维度对</w:t>
      </w: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w:t>
      </w:r>
      <w:r>
        <w:rPr>
          <w:rFonts w:hint="default" w:ascii="Times New Roman" w:hAnsi="Times New Roman" w:eastAsia="仿宋_GB2312" w:cs="Times New Roman"/>
          <w:color w:val="auto"/>
          <w:sz w:val="32"/>
          <w:szCs w:val="32"/>
          <w:highlight w:val="none"/>
          <w:lang w:eastAsia="zh-Hans"/>
        </w:rPr>
        <w:t>项目</w:t>
      </w:r>
      <w:r>
        <w:rPr>
          <w:rFonts w:hint="default" w:ascii="Times New Roman" w:hAnsi="Times New Roman" w:eastAsia="仿宋_GB2312" w:cs="Times New Roman"/>
          <w:color w:val="auto"/>
          <w:sz w:val="32"/>
          <w:szCs w:val="32"/>
          <w:highlight w:val="none"/>
        </w:rPr>
        <w:t>进行评价，评价核心为项目资金的支出完成情况和效果。</w:t>
      </w:r>
    </w:p>
    <w:p w14:paraId="0B53B872">
      <w:pPr>
        <w:spacing w:line="560" w:lineRule="exact"/>
        <w:ind w:firstLine="643" w:firstLineChars="200"/>
        <w:rPr>
          <w:rFonts w:ascii="Times New Roman" w:hAnsi="Times New Roman" w:cs="Times New Roman"/>
          <w:highlight w:val="none"/>
        </w:rPr>
      </w:pPr>
      <w:r>
        <w:rPr>
          <w:rFonts w:ascii="Times New Roman" w:hAnsi="Times New Roman" w:eastAsia="楷体_GB2312" w:cs="Times New Roman"/>
          <w:b/>
          <w:bCs/>
          <w:sz w:val="32"/>
          <w:szCs w:val="32"/>
          <w:highlight w:val="none"/>
        </w:rPr>
        <w:t>（二）绩效评价原则、评价指标体系（详情见表1）、评价方法、评价标准。</w:t>
      </w:r>
    </w:p>
    <w:p w14:paraId="379EBEF4">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1、绩效评价原则</w:t>
      </w:r>
    </w:p>
    <w:p w14:paraId="1B05DE4F">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本次项目绩效评价遵循以下基本原则：</w:t>
      </w:r>
    </w:p>
    <w:p w14:paraId="0FD0081C">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w:t>
      </w:r>
      <w:r>
        <w:rPr>
          <w:rFonts w:hint="eastAsia" w:eastAsia="仿宋_GB2312" w:cs="Times New Roman"/>
          <w:b w:val="0"/>
          <w:bCs w:val="0"/>
          <w:kern w:val="2"/>
          <w:sz w:val="32"/>
          <w:szCs w:val="32"/>
          <w:highlight w:val="none"/>
          <w:lang w:val="en-US" w:eastAsia="zh-CN" w:bidi="ar-SA"/>
        </w:rPr>
        <w:t>的</w:t>
      </w:r>
      <w:r>
        <w:rPr>
          <w:rFonts w:ascii="Times New Roman" w:hAnsi="Times New Roman" w:eastAsia="仿宋_GB2312" w:cs="Times New Roman"/>
          <w:b w:val="0"/>
          <w:bCs w:val="0"/>
          <w:kern w:val="2"/>
          <w:sz w:val="32"/>
          <w:szCs w:val="32"/>
          <w:highlight w:val="none"/>
          <w:lang w:val="en-US" w:eastAsia="zh-CN" w:bidi="ar-SA"/>
        </w:rPr>
        <w:t>反映。</w:t>
      </w:r>
    </w:p>
    <w:p w14:paraId="62BDB8B3">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78237EA0">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000F4EE1">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5CEE9701">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2、评价指标体系</w:t>
      </w:r>
    </w:p>
    <w:p w14:paraId="3AF2994F">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39B73328">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（1）确定评价指标</w:t>
      </w:r>
    </w:p>
    <w:p w14:paraId="2D54FFD8">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0ECA5531">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（2）确定权重</w:t>
      </w:r>
    </w:p>
    <w:p w14:paraId="73FCBF9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10704922">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（3）确定指标标准值</w:t>
      </w:r>
    </w:p>
    <w:p w14:paraId="5A2CE74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3BDB2AAC">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绩效评价总分值100分，根据综合评分结果，评价计分90分</w:t>
      </w:r>
      <w:r>
        <w:rPr>
          <w:rFonts w:hint="eastAsia" w:eastAsia="仿宋_GB2312" w:cs="Times New Roman"/>
          <w:b w:val="0"/>
          <w:bCs w:val="0"/>
          <w:kern w:val="2"/>
          <w:sz w:val="32"/>
          <w:szCs w:val="32"/>
          <w:highlight w:val="none"/>
          <w:lang w:val="en-US" w:eastAsia="zh-CN" w:bidi="ar-SA"/>
        </w:rPr>
        <w:t>—</w:t>
      </w:r>
      <w:r>
        <w:rPr>
          <w:rFonts w:ascii="Times New Roman" w:hAnsi="Times New Roman" w:eastAsia="仿宋_GB2312" w:cs="Times New Roman"/>
          <w:b w:val="0"/>
          <w:bCs w:val="0"/>
          <w:kern w:val="2"/>
          <w:sz w:val="32"/>
          <w:szCs w:val="32"/>
          <w:highlight w:val="none"/>
          <w:lang w:val="en-US" w:eastAsia="zh-CN" w:bidi="ar-SA"/>
        </w:rPr>
        <w:t>100分（含90分）对应的评分结果级别为优，80</w:t>
      </w:r>
      <w:r>
        <w:rPr>
          <w:rFonts w:hint="eastAsia" w:eastAsia="仿宋_GB2312" w:cs="Times New Roman"/>
          <w:b w:val="0"/>
          <w:bCs w:val="0"/>
          <w:kern w:val="2"/>
          <w:sz w:val="32"/>
          <w:szCs w:val="32"/>
          <w:highlight w:val="none"/>
          <w:lang w:val="en-US" w:eastAsia="zh-CN" w:bidi="ar-SA"/>
        </w:rPr>
        <w:t>—</w:t>
      </w:r>
      <w:r>
        <w:rPr>
          <w:rFonts w:ascii="Times New Roman" w:hAnsi="Times New Roman" w:eastAsia="仿宋_GB2312" w:cs="Times New Roman"/>
          <w:b w:val="0"/>
          <w:bCs w:val="0"/>
          <w:kern w:val="2"/>
          <w:sz w:val="32"/>
          <w:szCs w:val="32"/>
          <w:highlight w:val="none"/>
          <w:lang w:val="en-US" w:eastAsia="zh-CN" w:bidi="ar-SA"/>
        </w:rPr>
        <w:t>90分（含80分）对应的评分结果级别为良，60</w:t>
      </w:r>
      <w:r>
        <w:rPr>
          <w:rFonts w:hint="eastAsia" w:eastAsia="仿宋_GB2312" w:cs="Times New Roman"/>
          <w:b w:val="0"/>
          <w:bCs w:val="0"/>
          <w:kern w:val="2"/>
          <w:sz w:val="32"/>
          <w:szCs w:val="32"/>
          <w:highlight w:val="none"/>
          <w:lang w:val="en-US" w:eastAsia="zh-CN" w:bidi="ar-SA"/>
        </w:rPr>
        <w:t>—</w:t>
      </w:r>
      <w:r>
        <w:rPr>
          <w:rFonts w:ascii="Times New Roman" w:hAnsi="Times New Roman" w:eastAsia="仿宋_GB2312" w:cs="Times New Roman"/>
          <w:b w:val="0"/>
          <w:bCs w:val="0"/>
          <w:kern w:val="2"/>
          <w:sz w:val="32"/>
          <w:szCs w:val="32"/>
          <w:highlight w:val="none"/>
          <w:lang w:val="en-US" w:eastAsia="zh-CN" w:bidi="ar-SA"/>
        </w:rPr>
        <w:t>80分（含60分）对应的评分结果级别为中，60分以下对应的评分结果级别为差。</w:t>
      </w:r>
    </w:p>
    <w:p w14:paraId="3475F172">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具体评价指标体系详情见附件1</w:t>
      </w:r>
      <w:r>
        <w:rPr>
          <w:rFonts w:hint="default" w:ascii="Times New Roman" w:hAnsi="Times New Roman" w:eastAsia="仿宋_GB2312" w:cs="Times New Roman"/>
          <w:b w:val="0"/>
          <w:bCs w:val="0"/>
          <w:kern w:val="2"/>
          <w:sz w:val="32"/>
          <w:szCs w:val="32"/>
          <w:highlight w:val="none"/>
          <w:lang w:val="en-US" w:eastAsia="zh-CN" w:bidi="ar-SA"/>
        </w:rPr>
        <w:t>。</w:t>
      </w:r>
    </w:p>
    <w:p w14:paraId="2F70B94C">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3、绩效评价方法</w:t>
      </w:r>
    </w:p>
    <w:p w14:paraId="6D32164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绩效评价从项目决策、项目过程、项目产出、项目效益四个维度进行评价。评价对象为项目目标实施情况，评价核心为资金的支出完成情况和项目的产出效益。</w:t>
      </w:r>
    </w:p>
    <w:p w14:paraId="5E58CA96">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23431F30">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（1）比较法</w:t>
      </w:r>
    </w:p>
    <w:p w14:paraId="617EE833">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通过对绩效目标与实施效果、历史与当期情况，综合分析绩效目标实现程度。对项目最终验收情况与年度绩效目标对比、预算资金执行情况等相关因素进行比较。</w:t>
      </w:r>
    </w:p>
    <w:p w14:paraId="3A266C46">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（2）因素分析法</w:t>
      </w:r>
    </w:p>
    <w:p w14:paraId="30112AD6">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25B6D299">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4、评价标准</w:t>
      </w:r>
    </w:p>
    <w:p w14:paraId="02186A2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绩效评价标准通常包括计划标准、行业标准、历史标准等，用于对绩效指标完成情况进行比较、分析、评价。</w:t>
      </w:r>
      <w:bookmarkStart w:id="1" w:name="_Toc31464"/>
      <w:bookmarkStart w:id="2" w:name="_Toc17882"/>
      <w:r>
        <w:rPr>
          <w:rFonts w:hint="default" w:ascii="Times New Roman" w:hAnsi="Times New Roman" w:eastAsia="仿宋_GB2312" w:cs="Times New Roman"/>
          <w:sz w:val="32"/>
          <w:szCs w:val="32"/>
          <w:highlight w:val="none"/>
        </w:rPr>
        <w:t>本次评价主要采用了计划标准和行业标准。</w:t>
      </w:r>
    </w:p>
    <w:p w14:paraId="6581ACF4">
      <w:pPr>
        <w:spacing w:line="560" w:lineRule="exact"/>
        <w:ind w:firstLine="643"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计划标准：</w:t>
      </w:r>
      <w:r>
        <w:rPr>
          <w:rFonts w:hint="default" w:ascii="Times New Roman" w:hAnsi="Times New Roman" w:eastAsia="仿宋_GB2312" w:cs="Times New Roman"/>
          <w:sz w:val="32"/>
          <w:szCs w:val="32"/>
          <w:highlight w:val="none"/>
        </w:rPr>
        <w:t>指以预先制定的目标、计划、预算、定额等作为评价标准。</w:t>
      </w:r>
      <w:bookmarkEnd w:id="1"/>
      <w:bookmarkEnd w:id="2"/>
    </w:p>
    <w:p w14:paraId="58F14C11">
      <w:pPr>
        <w:spacing w:line="560" w:lineRule="exact"/>
        <w:ind w:firstLine="643" w:firstLineChars="200"/>
        <w:rPr>
          <w:rFonts w:ascii="Times New Roman" w:hAnsi="Times New Roman" w:eastAsia="仿宋_GB2312" w:cs="Times New Roman"/>
          <w:sz w:val="32"/>
          <w:szCs w:val="32"/>
          <w:highlight w:val="none"/>
        </w:rPr>
      </w:pPr>
      <w:bookmarkStart w:id="3" w:name="_Toc2318"/>
      <w:bookmarkStart w:id="4" w:name="_Toc5633"/>
      <w:r>
        <w:rPr>
          <w:rFonts w:hint="default" w:ascii="Times New Roman" w:hAnsi="Times New Roman" w:eastAsia="仿宋_GB2312" w:cs="Times New Roman"/>
          <w:b/>
          <w:bCs/>
          <w:sz w:val="32"/>
          <w:szCs w:val="32"/>
          <w:highlight w:val="none"/>
        </w:rPr>
        <w:t>行业标准：</w:t>
      </w:r>
      <w:r>
        <w:rPr>
          <w:rFonts w:hint="default" w:ascii="Times New Roman" w:hAnsi="Times New Roman" w:eastAsia="仿宋_GB2312" w:cs="Times New Roman"/>
          <w:sz w:val="32"/>
          <w:szCs w:val="32"/>
          <w:highlight w:val="none"/>
        </w:rPr>
        <w:t>指参照国家公布的行业指标数据制定的评价标准。</w:t>
      </w:r>
      <w:bookmarkEnd w:id="3"/>
      <w:bookmarkEnd w:id="4"/>
    </w:p>
    <w:p w14:paraId="682FD86E">
      <w:pPr>
        <w:pStyle w:val="2"/>
        <w:numPr>
          <w:ilvl w:val="0"/>
          <w:numId w:val="2"/>
        </w:numPr>
        <w:spacing w:before="0" w:after="0" w:line="560" w:lineRule="exact"/>
        <w:ind w:firstLine="711" w:firstLineChars="200"/>
        <w:jc w:val="both"/>
        <w:rPr>
          <w:rFonts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0FB6AA5C">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1、前期准备。首先成立评价工作组，开展前期调研；其次明确项目绩效目标，设计绩效评价指标体系并确定绩效评价方法；接着确定现场和非现场评价范围，设计资料清单；最后制定评价实施方案并进行论证。</w:t>
      </w:r>
    </w:p>
    <w:p w14:paraId="78A9D0B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组织实施。制定绩效评价工作方案，具体包括项目概况、评价思路、方法手段、组织实施、进度安排等。收集项目立项依据、相关会议纪要、实施方案、财政资金分配方案、支付管理情况等相关评价资料并进行梳理。</w:t>
      </w:r>
    </w:p>
    <w:p w14:paraId="523AD770">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28FE1FA1">
      <w:pPr>
        <w:numPr>
          <w:ilvl w:val="0"/>
          <w:numId w:val="3"/>
        </w:num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综合评价情况及评价结论（附相关评分表）</w:t>
      </w:r>
    </w:p>
    <w:p w14:paraId="78BE79EC">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1C766377">
      <w:pPr>
        <w:spacing w:line="560" w:lineRule="exact"/>
        <w:ind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项目总体组织规范，在项目实施过</w:t>
      </w:r>
      <w:r>
        <w:rPr>
          <w:rFonts w:hint="eastAsia" w:eastAsia="仿宋_GB2312" w:cs="Times New Roman"/>
          <w:b w:val="0"/>
          <w:bCs w:val="0"/>
          <w:sz w:val="32"/>
          <w:szCs w:val="32"/>
          <w:highlight w:val="none"/>
          <w:lang w:val="en-US" w:eastAsia="zh-CN"/>
        </w:rPr>
        <w:t>程中</w:t>
      </w:r>
      <w:r>
        <w:rPr>
          <w:rFonts w:hint="default" w:ascii="Times New Roman" w:hAnsi="Times New Roman" w:eastAsia="仿宋_GB2312" w:cs="Times New Roman"/>
          <w:b w:val="0"/>
          <w:bCs w:val="0"/>
          <w:sz w:val="32"/>
          <w:szCs w:val="32"/>
          <w:highlight w:val="none"/>
          <w:lang w:val="en-US" w:eastAsia="zh-CN"/>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sz w:val="32"/>
          <w:szCs w:val="32"/>
          <w:highlight w:val="none"/>
          <w:lang w:val="en-US" w:eastAsia="zh-CN"/>
        </w:rPr>
        <w:t>地</w:t>
      </w:r>
      <w:r>
        <w:rPr>
          <w:rFonts w:hint="default" w:ascii="Times New Roman" w:hAnsi="Times New Roman" w:eastAsia="仿宋_GB2312" w:cs="Times New Roman"/>
          <w:b w:val="0"/>
          <w:bCs w:val="0"/>
          <w:sz w:val="32"/>
          <w:szCs w:val="32"/>
          <w:highlight w:val="none"/>
          <w:lang w:val="en-US" w:eastAsia="zh-CN"/>
        </w:rPr>
        <w:t>发挥，保障项目如期按要求完成。规范了项目档案资料的整理。项目的实施达到项目预期效果。</w:t>
      </w:r>
    </w:p>
    <w:p w14:paraId="3BAC4A8B">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6F2273F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对自治区2023年第一批疫情防控补助资金（自治区本级医疗机构重症床位设备配置经费）项目进行客观评价，最终评分结果：总得分为 100分，属于“优”。其中，项目决策类指标权重为20分，得分为 20分，得分率为 100%。项目过程类指标权重为20分，得分为20分，得分率为 100%。项目产出类指标权重为40分，得分为20分，得分率为 100%。项目效益类指标权重为20分，得分为20分，得分率为100%。</w:t>
      </w:r>
    </w:p>
    <w:p w14:paraId="7260F999">
      <w:pPr>
        <w:pStyle w:val="2"/>
        <w:rPr>
          <w:rFonts w:ascii="Times New Roman" w:hAnsi="Times New Roman" w:cs="Times New Roman"/>
          <w:highlight w:val="none"/>
        </w:rPr>
      </w:pPr>
      <w:r>
        <w:rPr>
          <w:rFonts w:ascii="Times New Roman" w:hAnsi="Times New Roman" w:eastAsia="仿宋_GB2312" w:cs="Times New Roman"/>
          <w:sz w:val="30"/>
          <w:szCs w:val="30"/>
          <w:highlight w:val="none"/>
        </w:rPr>
        <w:t>表1综合评分表</w:t>
      </w:r>
    </w:p>
    <w:tbl>
      <w:tblPr>
        <w:tblStyle w:val="12"/>
        <w:tblW w:w="910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759"/>
        <w:gridCol w:w="1171"/>
        <w:gridCol w:w="1388"/>
        <w:gridCol w:w="806"/>
        <w:gridCol w:w="975"/>
        <w:gridCol w:w="1050"/>
        <w:gridCol w:w="1050"/>
        <w:gridCol w:w="806"/>
      </w:tblGrid>
      <w:tr w14:paraId="25230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4" w:hRule="atLeast"/>
          <w:tblHeader/>
          <w:jc w:val="center"/>
        </w:trPr>
        <w:tc>
          <w:tcPr>
            <w:tcW w:w="1104" w:type="dxa"/>
            <w:shd w:val="clear" w:color="auto" w:fill="BFBFBF"/>
            <w:vAlign w:val="center"/>
          </w:tcPr>
          <w:p w14:paraId="3CE90A75">
            <w:pPr>
              <w:widowControl/>
              <w:spacing w:line="0" w:lineRule="atLeast"/>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一级指标</w:t>
            </w:r>
          </w:p>
        </w:tc>
        <w:tc>
          <w:tcPr>
            <w:tcW w:w="759" w:type="dxa"/>
            <w:shd w:val="clear" w:color="auto" w:fill="BFBFBF"/>
            <w:vAlign w:val="center"/>
          </w:tcPr>
          <w:p w14:paraId="26E7BCFD">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分值</w:t>
            </w:r>
          </w:p>
        </w:tc>
        <w:tc>
          <w:tcPr>
            <w:tcW w:w="1171" w:type="dxa"/>
            <w:shd w:val="clear" w:color="auto" w:fill="BFBFBF"/>
            <w:vAlign w:val="center"/>
          </w:tcPr>
          <w:p w14:paraId="3EEDA44C">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二级指标</w:t>
            </w:r>
          </w:p>
        </w:tc>
        <w:tc>
          <w:tcPr>
            <w:tcW w:w="1388" w:type="dxa"/>
            <w:shd w:val="clear" w:color="auto" w:fill="BFBFBF"/>
            <w:vAlign w:val="center"/>
          </w:tcPr>
          <w:p w14:paraId="405E97F8">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三级指标</w:t>
            </w:r>
          </w:p>
        </w:tc>
        <w:tc>
          <w:tcPr>
            <w:tcW w:w="806" w:type="dxa"/>
            <w:shd w:val="clear" w:color="auto" w:fill="BFBFBF"/>
            <w:vAlign w:val="center"/>
          </w:tcPr>
          <w:p w14:paraId="1992E782">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权重</w:t>
            </w:r>
          </w:p>
        </w:tc>
        <w:tc>
          <w:tcPr>
            <w:tcW w:w="975" w:type="dxa"/>
            <w:shd w:val="clear" w:color="auto" w:fill="BFBFBF"/>
            <w:vAlign w:val="center"/>
          </w:tcPr>
          <w:p w14:paraId="69868A42">
            <w:pPr>
              <w:widowControl/>
              <w:tabs>
                <w:tab w:val="left" w:pos="1333"/>
                <w:tab w:val="center" w:pos="3623"/>
              </w:tabs>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目标值</w:t>
            </w:r>
          </w:p>
        </w:tc>
        <w:tc>
          <w:tcPr>
            <w:tcW w:w="1050" w:type="dxa"/>
            <w:shd w:val="clear" w:color="auto" w:fill="BFBFBF"/>
            <w:vAlign w:val="center"/>
          </w:tcPr>
          <w:p w14:paraId="60D70D27">
            <w:pPr>
              <w:widowControl/>
              <w:tabs>
                <w:tab w:val="left" w:pos="1333"/>
                <w:tab w:val="center" w:pos="3623"/>
              </w:tabs>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业绩值</w:t>
            </w:r>
          </w:p>
        </w:tc>
        <w:tc>
          <w:tcPr>
            <w:tcW w:w="1050" w:type="dxa"/>
            <w:shd w:val="clear" w:color="auto" w:fill="BFBFBF"/>
            <w:vAlign w:val="center"/>
          </w:tcPr>
          <w:p w14:paraId="252F7F15">
            <w:pPr>
              <w:widowControl/>
              <w:tabs>
                <w:tab w:val="left" w:pos="1333"/>
                <w:tab w:val="center" w:pos="3623"/>
              </w:tabs>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得分率</w:t>
            </w:r>
          </w:p>
        </w:tc>
        <w:tc>
          <w:tcPr>
            <w:tcW w:w="806" w:type="dxa"/>
            <w:shd w:val="clear" w:color="auto" w:fill="BFBFBF"/>
            <w:vAlign w:val="center"/>
          </w:tcPr>
          <w:p w14:paraId="04BD90FB">
            <w:pPr>
              <w:widowControl/>
              <w:tabs>
                <w:tab w:val="left" w:pos="1333"/>
                <w:tab w:val="center" w:pos="3623"/>
              </w:tabs>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得分</w:t>
            </w:r>
          </w:p>
        </w:tc>
      </w:tr>
      <w:tr w14:paraId="2AE27C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0632EA31">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决策　</w:t>
            </w:r>
          </w:p>
          <w:p w14:paraId="32115C6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p w14:paraId="7C0EFB17">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p w14:paraId="7FD6640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tc>
        <w:tc>
          <w:tcPr>
            <w:tcW w:w="759" w:type="dxa"/>
            <w:vMerge w:val="restart"/>
            <w:shd w:val="clear" w:color="auto" w:fill="FFFFFF"/>
            <w:vAlign w:val="center"/>
          </w:tcPr>
          <w:p w14:paraId="42BF294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kern w:val="0"/>
                <w:sz w:val="22"/>
                <w:szCs w:val="22"/>
                <w:highlight w:val="none"/>
              </w:rPr>
              <w:t>20分</w:t>
            </w:r>
          </w:p>
        </w:tc>
        <w:tc>
          <w:tcPr>
            <w:tcW w:w="1171" w:type="dxa"/>
            <w:vMerge w:val="restart"/>
            <w:shd w:val="clear" w:color="auto" w:fill="FFFFFF"/>
            <w:vAlign w:val="center"/>
          </w:tcPr>
          <w:p w14:paraId="41F44D4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项目立项　</w:t>
            </w:r>
          </w:p>
        </w:tc>
        <w:tc>
          <w:tcPr>
            <w:tcW w:w="1388" w:type="dxa"/>
            <w:shd w:val="clear" w:color="auto" w:fill="FFFFFF"/>
            <w:vAlign w:val="center"/>
          </w:tcPr>
          <w:p w14:paraId="2353EB6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立项依据</w:t>
            </w:r>
          </w:p>
          <w:p w14:paraId="2FF964CD">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充分性</w:t>
            </w:r>
          </w:p>
        </w:tc>
        <w:tc>
          <w:tcPr>
            <w:tcW w:w="806" w:type="dxa"/>
            <w:shd w:val="clear" w:color="auto" w:fill="FFFFFF"/>
            <w:vAlign w:val="center"/>
          </w:tcPr>
          <w:p w14:paraId="71C43B8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3</w:t>
            </w:r>
          </w:p>
        </w:tc>
        <w:tc>
          <w:tcPr>
            <w:tcW w:w="975" w:type="dxa"/>
            <w:shd w:val="clear" w:color="auto" w:fill="FFFFFF"/>
            <w:vAlign w:val="center"/>
          </w:tcPr>
          <w:p w14:paraId="61105E4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充分</w:t>
            </w:r>
          </w:p>
        </w:tc>
        <w:tc>
          <w:tcPr>
            <w:tcW w:w="1050" w:type="dxa"/>
            <w:shd w:val="clear" w:color="auto" w:fill="FFFFFF"/>
            <w:vAlign w:val="center"/>
          </w:tcPr>
          <w:p w14:paraId="43133A6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充分</w:t>
            </w:r>
          </w:p>
        </w:tc>
        <w:tc>
          <w:tcPr>
            <w:tcW w:w="1050" w:type="dxa"/>
            <w:shd w:val="clear" w:color="auto" w:fill="FFFFFF"/>
            <w:vAlign w:val="center"/>
          </w:tcPr>
          <w:p w14:paraId="64D12EF6">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auto" w:fill="FFFFFF"/>
            <w:vAlign w:val="center"/>
          </w:tcPr>
          <w:p w14:paraId="060B5081">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14:paraId="24560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14E35C65">
            <w:pPr>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2F3AA69C">
            <w:pPr>
              <w:widowControl/>
              <w:spacing w:line="0" w:lineRule="atLeast"/>
              <w:jc w:val="center"/>
              <w:rPr>
                <w:rFonts w:ascii="Times New Roman" w:hAnsi="Times New Roman" w:cs="Times New Roman"/>
                <w:color w:val="000000"/>
                <w:kern w:val="0"/>
                <w:sz w:val="22"/>
                <w:szCs w:val="22"/>
                <w:highlight w:val="none"/>
              </w:rPr>
            </w:pPr>
          </w:p>
        </w:tc>
        <w:tc>
          <w:tcPr>
            <w:tcW w:w="1171" w:type="dxa"/>
            <w:vMerge w:val="continue"/>
            <w:shd w:val="clear" w:color="auto" w:fill="FFFFFF"/>
            <w:vAlign w:val="center"/>
          </w:tcPr>
          <w:p w14:paraId="709614F8">
            <w:pPr>
              <w:widowControl/>
              <w:spacing w:line="0" w:lineRule="atLeast"/>
              <w:jc w:val="center"/>
              <w:rPr>
                <w:rFonts w:ascii="Times New Roman" w:hAnsi="Times New Roman" w:cs="Times New Roman"/>
                <w:color w:val="000000"/>
                <w:kern w:val="0"/>
                <w:sz w:val="22"/>
                <w:szCs w:val="22"/>
                <w:highlight w:val="none"/>
              </w:rPr>
            </w:pPr>
          </w:p>
        </w:tc>
        <w:tc>
          <w:tcPr>
            <w:tcW w:w="1388" w:type="dxa"/>
            <w:shd w:val="clear" w:color="auto" w:fill="FFFFFF"/>
            <w:vAlign w:val="center"/>
          </w:tcPr>
          <w:p w14:paraId="4141DC8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立项程序</w:t>
            </w:r>
          </w:p>
          <w:p w14:paraId="271ADB50">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规范性</w:t>
            </w:r>
          </w:p>
        </w:tc>
        <w:tc>
          <w:tcPr>
            <w:tcW w:w="806" w:type="dxa"/>
            <w:shd w:val="clear" w:color="auto" w:fill="FFFFFF"/>
            <w:vAlign w:val="center"/>
          </w:tcPr>
          <w:p w14:paraId="3E1ADDB3">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3</w:t>
            </w:r>
          </w:p>
        </w:tc>
        <w:tc>
          <w:tcPr>
            <w:tcW w:w="975" w:type="dxa"/>
            <w:shd w:val="clear" w:color="auto" w:fill="FFFFFF"/>
            <w:vAlign w:val="center"/>
          </w:tcPr>
          <w:p w14:paraId="0F3D1CA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规范</w:t>
            </w:r>
          </w:p>
        </w:tc>
        <w:tc>
          <w:tcPr>
            <w:tcW w:w="1050" w:type="dxa"/>
            <w:shd w:val="clear" w:color="auto" w:fill="FFFFFF"/>
            <w:vAlign w:val="center"/>
          </w:tcPr>
          <w:p w14:paraId="1CCFCB8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规范</w:t>
            </w:r>
          </w:p>
        </w:tc>
        <w:tc>
          <w:tcPr>
            <w:tcW w:w="1050" w:type="dxa"/>
            <w:shd w:val="clear" w:color="auto" w:fill="FFFFFF"/>
            <w:vAlign w:val="center"/>
          </w:tcPr>
          <w:p w14:paraId="0631A96E">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auto" w:fill="FFFFFF"/>
            <w:vAlign w:val="center"/>
          </w:tcPr>
          <w:p w14:paraId="35202290">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14:paraId="1A283A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3AF3F5CB">
            <w:pPr>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6D8FA2A4">
            <w:pPr>
              <w:widowControl/>
              <w:spacing w:line="0" w:lineRule="atLeast"/>
              <w:jc w:val="center"/>
              <w:rPr>
                <w:rFonts w:ascii="Times New Roman" w:hAnsi="Times New Roman" w:cs="Times New Roman"/>
                <w:color w:val="000000"/>
                <w:kern w:val="0"/>
                <w:sz w:val="22"/>
                <w:szCs w:val="22"/>
                <w:highlight w:val="none"/>
              </w:rPr>
            </w:pPr>
          </w:p>
        </w:tc>
        <w:tc>
          <w:tcPr>
            <w:tcW w:w="1171" w:type="dxa"/>
            <w:vMerge w:val="restart"/>
            <w:shd w:val="clear" w:color="auto" w:fill="FFFFFF"/>
            <w:vAlign w:val="center"/>
          </w:tcPr>
          <w:p w14:paraId="43DA3BBC">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绩效目标　</w:t>
            </w:r>
          </w:p>
        </w:tc>
        <w:tc>
          <w:tcPr>
            <w:tcW w:w="1388" w:type="dxa"/>
            <w:shd w:val="clear" w:color="auto" w:fill="FFFFFF"/>
            <w:vAlign w:val="center"/>
          </w:tcPr>
          <w:p w14:paraId="677639A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绩效目标</w:t>
            </w:r>
          </w:p>
          <w:p w14:paraId="7C57BA3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合理性</w:t>
            </w:r>
          </w:p>
        </w:tc>
        <w:tc>
          <w:tcPr>
            <w:tcW w:w="806" w:type="dxa"/>
            <w:shd w:val="clear" w:color="000000" w:fill="FFFFFF"/>
            <w:vAlign w:val="center"/>
          </w:tcPr>
          <w:p w14:paraId="02387BAC">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3</w:t>
            </w:r>
          </w:p>
        </w:tc>
        <w:tc>
          <w:tcPr>
            <w:tcW w:w="975" w:type="dxa"/>
            <w:shd w:val="clear" w:color="000000" w:fill="FFFFFF"/>
            <w:vAlign w:val="center"/>
          </w:tcPr>
          <w:p w14:paraId="55FD512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w:t>
            </w:r>
          </w:p>
        </w:tc>
        <w:tc>
          <w:tcPr>
            <w:tcW w:w="1050" w:type="dxa"/>
            <w:shd w:val="clear" w:color="000000" w:fill="FFFFFF"/>
            <w:vAlign w:val="center"/>
          </w:tcPr>
          <w:p w14:paraId="70668C8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w:t>
            </w:r>
          </w:p>
        </w:tc>
        <w:tc>
          <w:tcPr>
            <w:tcW w:w="1050" w:type="dxa"/>
            <w:shd w:val="clear" w:color="000000" w:fill="FFFFFF"/>
            <w:vAlign w:val="center"/>
          </w:tcPr>
          <w:p w14:paraId="6A44E08B">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4B451A18">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14:paraId="43CB7F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40C6FA0B">
            <w:pPr>
              <w:widowControl/>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52245EFE">
            <w:pPr>
              <w:widowControl/>
              <w:spacing w:line="0" w:lineRule="atLeast"/>
              <w:jc w:val="center"/>
              <w:rPr>
                <w:rFonts w:ascii="Times New Roman" w:hAnsi="Times New Roman" w:cs="Times New Roman"/>
                <w:color w:val="000000"/>
                <w:kern w:val="0"/>
                <w:sz w:val="22"/>
                <w:szCs w:val="22"/>
                <w:highlight w:val="none"/>
              </w:rPr>
            </w:pPr>
          </w:p>
        </w:tc>
        <w:tc>
          <w:tcPr>
            <w:tcW w:w="1171" w:type="dxa"/>
            <w:vMerge w:val="continue"/>
            <w:shd w:val="clear" w:color="auto" w:fill="FFFFFF"/>
            <w:vAlign w:val="center"/>
          </w:tcPr>
          <w:p w14:paraId="34044758">
            <w:pPr>
              <w:widowControl/>
              <w:spacing w:line="0" w:lineRule="atLeast"/>
              <w:jc w:val="center"/>
              <w:rPr>
                <w:rFonts w:ascii="Times New Roman" w:hAnsi="Times New Roman" w:cs="Times New Roman"/>
                <w:color w:val="000000"/>
                <w:kern w:val="0"/>
                <w:sz w:val="22"/>
                <w:szCs w:val="22"/>
                <w:highlight w:val="none"/>
              </w:rPr>
            </w:pPr>
          </w:p>
        </w:tc>
        <w:tc>
          <w:tcPr>
            <w:tcW w:w="1388" w:type="dxa"/>
            <w:shd w:val="clear" w:color="auto" w:fill="FFFFFF"/>
            <w:vAlign w:val="center"/>
          </w:tcPr>
          <w:p w14:paraId="47001DC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绩效指标</w:t>
            </w:r>
          </w:p>
          <w:p w14:paraId="65C0D34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明确性</w:t>
            </w:r>
          </w:p>
        </w:tc>
        <w:tc>
          <w:tcPr>
            <w:tcW w:w="806" w:type="dxa"/>
            <w:shd w:val="clear" w:color="000000" w:fill="FFFFFF"/>
            <w:vAlign w:val="center"/>
          </w:tcPr>
          <w:p w14:paraId="6869939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3</w:t>
            </w:r>
          </w:p>
        </w:tc>
        <w:tc>
          <w:tcPr>
            <w:tcW w:w="975" w:type="dxa"/>
            <w:shd w:val="clear" w:color="000000" w:fill="FFFFFF"/>
            <w:vAlign w:val="center"/>
          </w:tcPr>
          <w:p w14:paraId="4607C1C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明确</w:t>
            </w:r>
          </w:p>
        </w:tc>
        <w:tc>
          <w:tcPr>
            <w:tcW w:w="1050" w:type="dxa"/>
            <w:shd w:val="clear" w:color="000000" w:fill="FFFFFF"/>
            <w:vAlign w:val="center"/>
          </w:tcPr>
          <w:p w14:paraId="0A0F45B7">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明确</w:t>
            </w:r>
          </w:p>
        </w:tc>
        <w:tc>
          <w:tcPr>
            <w:tcW w:w="1050" w:type="dxa"/>
            <w:shd w:val="clear" w:color="000000" w:fill="FFFFFF"/>
            <w:vAlign w:val="center"/>
          </w:tcPr>
          <w:p w14:paraId="56005CDA">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3EF8543E">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14:paraId="73B75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189680B8">
            <w:pPr>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330890BD">
            <w:pPr>
              <w:spacing w:line="0" w:lineRule="atLeast"/>
              <w:jc w:val="center"/>
              <w:rPr>
                <w:rFonts w:ascii="Times New Roman" w:hAnsi="Times New Roman" w:cs="Times New Roman"/>
                <w:color w:val="000000"/>
                <w:kern w:val="0"/>
                <w:sz w:val="22"/>
                <w:szCs w:val="22"/>
                <w:highlight w:val="none"/>
              </w:rPr>
            </w:pPr>
          </w:p>
        </w:tc>
        <w:tc>
          <w:tcPr>
            <w:tcW w:w="1171" w:type="dxa"/>
            <w:vMerge w:val="restart"/>
            <w:shd w:val="clear" w:color="auto" w:fill="FFFFFF"/>
            <w:vAlign w:val="center"/>
          </w:tcPr>
          <w:p w14:paraId="3D1BBC9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资金投入</w:t>
            </w:r>
          </w:p>
        </w:tc>
        <w:tc>
          <w:tcPr>
            <w:tcW w:w="1388" w:type="dxa"/>
            <w:shd w:val="clear" w:color="auto" w:fill="FFFFFF"/>
            <w:vAlign w:val="center"/>
          </w:tcPr>
          <w:p w14:paraId="12DD677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预算编制</w:t>
            </w:r>
          </w:p>
          <w:p w14:paraId="4A0B659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科学性</w:t>
            </w:r>
          </w:p>
        </w:tc>
        <w:tc>
          <w:tcPr>
            <w:tcW w:w="806" w:type="dxa"/>
            <w:shd w:val="clear" w:color="auto" w:fill="FFFFFF"/>
            <w:vAlign w:val="center"/>
          </w:tcPr>
          <w:p w14:paraId="5D5EFCE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4</w:t>
            </w:r>
          </w:p>
        </w:tc>
        <w:tc>
          <w:tcPr>
            <w:tcW w:w="975" w:type="dxa"/>
            <w:shd w:val="clear" w:color="auto" w:fill="FFFFFF"/>
            <w:vAlign w:val="center"/>
          </w:tcPr>
          <w:p w14:paraId="07B0F7A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科学</w:t>
            </w:r>
          </w:p>
        </w:tc>
        <w:tc>
          <w:tcPr>
            <w:tcW w:w="1050" w:type="dxa"/>
            <w:shd w:val="clear" w:color="auto" w:fill="FFFFFF"/>
            <w:vAlign w:val="center"/>
          </w:tcPr>
          <w:p w14:paraId="3FDD3423">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科学</w:t>
            </w:r>
          </w:p>
        </w:tc>
        <w:tc>
          <w:tcPr>
            <w:tcW w:w="1050" w:type="dxa"/>
            <w:shd w:val="clear" w:color="auto" w:fill="FFFFFF"/>
            <w:vAlign w:val="center"/>
          </w:tcPr>
          <w:p w14:paraId="5FFA520F">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auto" w:fill="FFFFFF"/>
            <w:vAlign w:val="center"/>
          </w:tcPr>
          <w:p w14:paraId="3A9E3CC7">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14:paraId="13DDB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587B71AE">
            <w:pPr>
              <w:widowControl/>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30510776">
            <w:pPr>
              <w:widowControl/>
              <w:spacing w:line="0" w:lineRule="atLeast"/>
              <w:jc w:val="center"/>
              <w:rPr>
                <w:rFonts w:ascii="Times New Roman" w:hAnsi="Times New Roman" w:cs="Times New Roman"/>
                <w:color w:val="000000"/>
                <w:kern w:val="0"/>
                <w:sz w:val="22"/>
                <w:szCs w:val="22"/>
                <w:highlight w:val="none"/>
              </w:rPr>
            </w:pPr>
          </w:p>
        </w:tc>
        <w:tc>
          <w:tcPr>
            <w:tcW w:w="1171" w:type="dxa"/>
            <w:vMerge w:val="continue"/>
            <w:shd w:val="clear" w:color="auto" w:fill="FFFFFF"/>
            <w:vAlign w:val="center"/>
          </w:tcPr>
          <w:p w14:paraId="740C9AFE">
            <w:pPr>
              <w:widowControl/>
              <w:spacing w:line="0" w:lineRule="atLeast"/>
              <w:jc w:val="center"/>
              <w:rPr>
                <w:rFonts w:ascii="Times New Roman" w:hAnsi="Times New Roman" w:cs="Times New Roman"/>
                <w:color w:val="000000"/>
                <w:kern w:val="0"/>
                <w:sz w:val="22"/>
                <w:szCs w:val="22"/>
                <w:highlight w:val="none"/>
              </w:rPr>
            </w:pPr>
          </w:p>
        </w:tc>
        <w:tc>
          <w:tcPr>
            <w:tcW w:w="1388" w:type="dxa"/>
            <w:shd w:val="clear" w:color="auto" w:fill="FFFFFF"/>
            <w:vAlign w:val="center"/>
          </w:tcPr>
          <w:p w14:paraId="63A8B591">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资金分配</w:t>
            </w:r>
          </w:p>
          <w:p w14:paraId="3E0A9C37">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合理性</w:t>
            </w:r>
          </w:p>
        </w:tc>
        <w:tc>
          <w:tcPr>
            <w:tcW w:w="806" w:type="dxa"/>
            <w:shd w:val="clear" w:color="auto" w:fill="FFFFFF"/>
            <w:vAlign w:val="center"/>
          </w:tcPr>
          <w:p w14:paraId="38148C70">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4</w:t>
            </w:r>
          </w:p>
        </w:tc>
        <w:tc>
          <w:tcPr>
            <w:tcW w:w="975" w:type="dxa"/>
            <w:shd w:val="clear" w:color="auto" w:fill="FFFFFF"/>
            <w:vAlign w:val="center"/>
          </w:tcPr>
          <w:p w14:paraId="7B9DE970">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w:t>
            </w:r>
          </w:p>
        </w:tc>
        <w:tc>
          <w:tcPr>
            <w:tcW w:w="1050" w:type="dxa"/>
            <w:shd w:val="clear" w:color="auto" w:fill="FFFFFF"/>
            <w:vAlign w:val="center"/>
          </w:tcPr>
          <w:p w14:paraId="3493DEE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w:t>
            </w:r>
          </w:p>
        </w:tc>
        <w:tc>
          <w:tcPr>
            <w:tcW w:w="1050" w:type="dxa"/>
            <w:shd w:val="clear" w:color="auto" w:fill="FFFFFF"/>
            <w:vAlign w:val="center"/>
          </w:tcPr>
          <w:p w14:paraId="296DA584">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auto" w:fill="FFFFFF"/>
            <w:vAlign w:val="center"/>
          </w:tcPr>
          <w:p w14:paraId="1738612A">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14:paraId="4C9FF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0E804106">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过程</w:t>
            </w:r>
          </w:p>
          <w:p w14:paraId="002252CB">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tc>
        <w:tc>
          <w:tcPr>
            <w:tcW w:w="759" w:type="dxa"/>
            <w:vMerge w:val="restart"/>
            <w:shd w:val="clear" w:color="auto" w:fill="FFFFFF"/>
            <w:vAlign w:val="center"/>
          </w:tcPr>
          <w:p w14:paraId="25563B4C">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kern w:val="0"/>
                <w:sz w:val="22"/>
                <w:szCs w:val="22"/>
                <w:highlight w:val="none"/>
              </w:rPr>
              <w:t>20分</w:t>
            </w:r>
          </w:p>
        </w:tc>
        <w:tc>
          <w:tcPr>
            <w:tcW w:w="1171" w:type="dxa"/>
            <w:vMerge w:val="restart"/>
            <w:shd w:val="clear" w:color="auto" w:fill="FFFFFF"/>
            <w:vAlign w:val="center"/>
          </w:tcPr>
          <w:p w14:paraId="0A103D2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资金管理</w:t>
            </w:r>
          </w:p>
        </w:tc>
        <w:tc>
          <w:tcPr>
            <w:tcW w:w="1388" w:type="dxa"/>
            <w:shd w:val="clear" w:color="auto" w:fill="FFFFFF"/>
            <w:vAlign w:val="center"/>
          </w:tcPr>
          <w:p w14:paraId="65C4B1D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资金到位率</w:t>
            </w:r>
          </w:p>
        </w:tc>
        <w:tc>
          <w:tcPr>
            <w:tcW w:w="806" w:type="dxa"/>
            <w:shd w:val="clear" w:color="000000" w:fill="FFFFFF"/>
            <w:vAlign w:val="center"/>
          </w:tcPr>
          <w:p w14:paraId="55077C7D">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4</w:t>
            </w:r>
          </w:p>
        </w:tc>
        <w:tc>
          <w:tcPr>
            <w:tcW w:w="975" w:type="dxa"/>
            <w:shd w:val="clear" w:color="000000" w:fill="FFFFFF"/>
            <w:vAlign w:val="center"/>
          </w:tcPr>
          <w:p w14:paraId="6F40B22D">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100%</w:t>
            </w:r>
          </w:p>
        </w:tc>
        <w:tc>
          <w:tcPr>
            <w:tcW w:w="1050" w:type="dxa"/>
            <w:shd w:val="clear" w:color="000000" w:fill="FFFFFF"/>
            <w:vAlign w:val="center"/>
          </w:tcPr>
          <w:p w14:paraId="425ACC0C">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ascii="Times New Roman" w:hAnsi="Times New Roman" w:cs="Times New Roman"/>
                <w:color w:val="000000"/>
                <w:kern w:val="0"/>
                <w:sz w:val="22"/>
                <w:szCs w:val="22"/>
                <w:highlight w:val="none"/>
              </w:rPr>
              <w:t>%</w:t>
            </w:r>
          </w:p>
        </w:tc>
        <w:tc>
          <w:tcPr>
            <w:tcW w:w="1050" w:type="dxa"/>
            <w:shd w:val="clear" w:color="000000" w:fill="FFFFFF"/>
            <w:vAlign w:val="center"/>
          </w:tcPr>
          <w:p w14:paraId="28112F2A">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7EBAB774">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14:paraId="31567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3F9A107C">
            <w:pPr>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2F1E70B3">
            <w:pPr>
              <w:spacing w:line="0" w:lineRule="atLeast"/>
              <w:jc w:val="center"/>
              <w:rPr>
                <w:rFonts w:ascii="Times New Roman" w:hAnsi="Times New Roman" w:cs="Times New Roman"/>
                <w:color w:val="000000"/>
                <w:kern w:val="0"/>
                <w:sz w:val="22"/>
                <w:szCs w:val="22"/>
                <w:highlight w:val="none"/>
              </w:rPr>
            </w:pPr>
          </w:p>
        </w:tc>
        <w:tc>
          <w:tcPr>
            <w:tcW w:w="1171" w:type="dxa"/>
            <w:vMerge w:val="continue"/>
            <w:shd w:val="clear" w:color="auto" w:fill="FFFFFF"/>
            <w:vAlign w:val="center"/>
          </w:tcPr>
          <w:p w14:paraId="4C80F20B">
            <w:pPr>
              <w:spacing w:line="0" w:lineRule="atLeast"/>
              <w:jc w:val="center"/>
              <w:rPr>
                <w:rFonts w:ascii="Times New Roman" w:hAnsi="Times New Roman" w:cs="Times New Roman"/>
                <w:color w:val="000000"/>
                <w:kern w:val="0"/>
                <w:sz w:val="22"/>
                <w:szCs w:val="22"/>
                <w:highlight w:val="none"/>
              </w:rPr>
            </w:pPr>
          </w:p>
        </w:tc>
        <w:tc>
          <w:tcPr>
            <w:tcW w:w="1388" w:type="dxa"/>
            <w:shd w:val="clear" w:color="auto" w:fill="FFFFFF"/>
            <w:vAlign w:val="center"/>
          </w:tcPr>
          <w:p w14:paraId="5787924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预算执行率</w:t>
            </w:r>
          </w:p>
        </w:tc>
        <w:tc>
          <w:tcPr>
            <w:tcW w:w="806" w:type="dxa"/>
            <w:shd w:val="clear" w:color="auto" w:fill="FFFFFF"/>
            <w:vAlign w:val="center"/>
          </w:tcPr>
          <w:p w14:paraId="7A30DCD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4</w:t>
            </w:r>
          </w:p>
        </w:tc>
        <w:tc>
          <w:tcPr>
            <w:tcW w:w="975" w:type="dxa"/>
            <w:shd w:val="clear" w:color="auto" w:fill="FFFFFF"/>
            <w:vAlign w:val="center"/>
          </w:tcPr>
          <w:p w14:paraId="68F48A59">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100%</w:t>
            </w:r>
          </w:p>
        </w:tc>
        <w:tc>
          <w:tcPr>
            <w:tcW w:w="1050" w:type="dxa"/>
            <w:shd w:val="clear" w:color="auto" w:fill="FFFFFF"/>
            <w:vAlign w:val="center"/>
          </w:tcPr>
          <w:p w14:paraId="09207D14">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ascii="Times New Roman" w:hAnsi="Times New Roman" w:cs="Times New Roman"/>
                <w:color w:val="000000"/>
                <w:kern w:val="0"/>
                <w:sz w:val="22"/>
                <w:szCs w:val="22"/>
                <w:highlight w:val="none"/>
              </w:rPr>
              <w:t>%</w:t>
            </w:r>
          </w:p>
        </w:tc>
        <w:tc>
          <w:tcPr>
            <w:tcW w:w="1050" w:type="dxa"/>
            <w:shd w:val="clear" w:color="auto" w:fill="FFFFFF"/>
            <w:vAlign w:val="center"/>
          </w:tcPr>
          <w:p w14:paraId="29389D35">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auto" w:fill="FFFFFF"/>
            <w:vAlign w:val="center"/>
          </w:tcPr>
          <w:p w14:paraId="5E6B6E7C">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14:paraId="0F79F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46211526">
            <w:pPr>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48A88D42">
            <w:pPr>
              <w:widowControl/>
              <w:spacing w:line="0" w:lineRule="atLeast"/>
              <w:jc w:val="center"/>
              <w:rPr>
                <w:rFonts w:ascii="Times New Roman" w:hAnsi="Times New Roman" w:cs="Times New Roman"/>
                <w:color w:val="000000"/>
                <w:kern w:val="0"/>
                <w:sz w:val="22"/>
                <w:szCs w:val="22"/>
                <w:highlight w:val="none"/>
              </w:rPr>
            </w:pPr>
          </w:p>
        </w:tc>
        <w:tc>
          <w:tcPr>
            <w:tcW w:w="1171" w:type="dxa"/>
            <w:shd w:val="clear" w:color="auto" w:fill="FFFFFF"/>
            <w:vAlign w:val="center"/>
          </w:tcPr>
          <w:p w14:paraId="09F0714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资金管理</w:t>
            </w:r>
          </w:p>
        </w:tc>
        <w:tc>
          <w:tcPr>
            <w:tcW w:w="1388" w:type="dxa"/>
            <w:shd w:val="clear" w:color="auto" w:fill="FFFFFF"/>
            <w:vAlign w:val="center"/>
          </w:tcPr>
          <w:p w14:paraId="4FD9F123">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资金使用</w:t>
            </w:r>
          </w:p>
          <w:p w14:paraId="0025CD20">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合规性</w:t>
            </w:r>
          </w:p>
        </w:tc>
        <w:tc>
          <w:tcPr>
            <w:tcW w:w="806" w:type="dxa"/>
            <w:shd w:val="clear" w:color="000000" w:fill="FFFFFF"/>
            <w:vAlign w:val="center"/>
          </w:tcPr>
          <w:p w14:paraId="4878A46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4</w:t>
            </w:r>
          </w:p>
        </w:tc>
        <w:tc>
          <w:tcPr>
            <w:tcW w:w="975" w:type="dxa"/>
            <w:shd w:val="clear" w:color="000000" w:fill="FFFFFF"/>
            <w:vAlign w:val="center"/>
          </w:tcPr>
          <w:p w14:paraId="272DA78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合格</w:t>
            </w:r>
          </w:p>
        </w:tc>
        <w:tc>
          <w:tcPr>
            <w:tcW w:w="1050" w:type="dxa"/>
            <w:shd w:val="clear" w:color="000000" w:fill="FFFFFF"/>
            <w:vAlign w:val="center"/>
          </w:tcPr>
          <w:p w14:paraId="4FFD98B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合格</w:t>
            </w:r>
          </w:p>
        </w:tc>
        <w:tc>
          <w:tcPr>
            <w:tcW w:w="1050" w:type="dxa"/>
            <w:shd w:val="clear" w:color="000000" w:fill="FFFFFF"/>
            <w:vAlign w:val="center"/>
          </w:tcPr>
          <w:p w14:paraId="75254672">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4DFFC412">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14:paraId="05569E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11D2DCC9">
            <w:pPr>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3A09A925">
            <w:pPr>
              <w:spacing w:line="0" w:lineRule="atLeast"/>
              <w:jc w:val="center"/>
              <w:rPr>
                <w:rFonts w:ascii="Times New Roman" w:hAnsi="Times New Roman" w:cs="Times New Roman"/>
                <w:color w:val="000000"/>
                <w:kern w:val="0"/>
                <w:sz w:val="22"/>
                <w:szCs w:val="22"/>
                <w:highlight w:val="none"/>
              </w:rPr>
            </w:pPr>
          </w:p>
        </w:tc>
        <w:tc>
          <w:tcPr>
            <w:tcW w:w="1171" w:type="dxa"/>
            <w:vMerge w:val="restart"/>
            <w:shd w:val="clear" w:color="auto" w:fill="FFFFFF"/>
            <w:vAlign w:val="center"/>
          </w:tcPr>
          <w:p w14:paraId="55EB06C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组织实施</w:t>
            </w:r>
          </w:p>
        </w:tc>
        <w:tc>
          <w:tcPr>
            <w:tcW w:w="1388" w:type="dxa"/>
            <w:shd w:val="clear" w:color="auto" w:fill="FFFFFF"/>
            <w:vAlign w:val="center"/>
          </w:tcPr>
          <w:p w14:paraId="0B74856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管理制度</w:t>
            </w:r>
          </w:p>
          <w:p w14:paraId="0726EAE7">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健全性</w:t>
            </w:r>
          </w:p>
        </w:tc>
        <w:tc>
          <w:tcPr>
            <w:tcW w:w="806" w:type="dxa"/>
            <w:shd w:val="clear" w:color="000000" w:fill="FFFFFF"/>
            <w:vAlign w:val="center"/>
          </w:tcPr>
          <w:p w14:paraId="488ED1D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4</w:t>
            </w:r>
          </w:p>
        </w:tc>
        <w:tc>
          <w:tcPr>
            <w:tcW w:w="975" w:type="dxa"/>
            <w:shd w:val="clear" w:color="000000" w:fill="FFFFFF"/>
            <w:vAlign w:val="center"/>
          </w:tcPr>
          <w:p w14:paraId="30FFEB5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健全</w:t>
            </w:r>
          </w:p>
        </w:tc>
        <w:tc>
          <w:tcPr>
            <w:tcW w:w="1050" w:type="dxa"/>
            <w:shd w:val="clear" w:color="000000" w:fill="FFFFFF"/>
            <w:vAlign w:val="center"/>
          </w:tcPr>
          <w:p w14:paraId="6D096E6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健全</w:t>
            </w:r>
          </w:p>
        </w:tc>
        <w:tc>
          <w:tcPr>
            <w:tcW w:w="1050" w:type="dxa"/>
            <w:shd w:val="clear" w:color="000000" w:fill="FFFFFF"/>
            <w:vAlign w:val="center"/>
          </w:tcPr>
          <w:p w14:paraId="008FC787">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4DDE5E54">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14:paraId="1BD16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62BE2360">
            <w:pPr>
              <w:widowControl/>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61EE33A9">
            <w:pPr>
              <w:widowControl/>
              <w:spacing w:line="0" w:lineRule="atLeast"/>
              <w:jc w:val="center"/>
              <w:rPr>
                <w:rFonts w:ascii="Times New Roman" w:hAnsi="Times New Roman" w:cs="Times New Roman"/>
                <w:color w:val="000000"/>
                <w:kern w:val="0"/>
                <w:sz w:val="22"/>
                <w:szCs w:val="22"/>
                <w:highlight w:val="none"/>
              </w:rPr>
            </w:pPr>
          </w:p>
        </w:tc>
        <w:tc>
          <w:tcPr>
            <w:tcW w:w="1171" w:type="dxa"/>
            <w:vMerge w:val="continue"/>
            <w:shd w:val="clear" w:color="auto" w:fill="FFFFFF"/>
            <w:vAlign w:val="center"/>
          </w:tcPr>
          <w:p w14:paraId="00DA5190">
            <w:pPr>
              <w:widowControl/>
              <w:spacing w:line="0" w:lineRule="atLeast"/>
              <w:jc w:val="center"/>
              <w:rPr>
                <w:rFonts w:ascii="Times New Roman" w:hAnsi="Times New Roman" w:cs="Times New Roman"/>
                <w:color w:val="000000"/>
                <w:kern w:val="0"/>
                <w:sz w:val="22"/>
                <w:szCs w:val="22"/>
                <w:highlight w:val="none"/>
              </w:rPr>
            </w:pPr>
          </w:p>
        </w:tc>
        <w:tc>
          <w:tcPr>
            <w:tcW w:w="1388" w:type="dxa"/>
            <w:shd w:val="clear" w:color="auto" w:fill="FFFFFF"/>
            <w:vAlign w:val="center"/>
          </w:tcPr>
          <w:p w14:paraId="56BAFE8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制度执行</w:t>
            </w:r>
          </w:p>
          <w:p w14:paraId="06D21EC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有效性</w:t>
            </w:r>
          </w:p>
        </w:tc>
        <w:tc>
          <w:tcPr>
            <w:tcW w:w="806" w:type="dxa"/>
            <w:shd w:val="clear" w:color="000000" w:fill="FFFFFF"/>
            <w:vAlign w:val="center"/>
          </w:tcPr>
          <w:p w14:paraId="398159B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4</w:t>
            </w:r>
          </w:p>
        </w:tc>
        <w:tc>
          <w:tcPr>
            <w:tcW w:w="975" w:type="dxa"/>
            <w:shd w:val="clear" w:color="000000" w:fill="FFFFFF"/>
            <w:vAlign w:val="center"/>
          </w:tcPr>
          <w:p w14:paraId="0FB40F4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有效</w:t>
            </w:r>
          </w:p>
        </w:tc>
        <w:tc>
          <w:tcPr>
            <w:tcW w:w="1050" w:type="dxa"/>
            <w:shd w:val="clear" w:color="000000" w:fill="FFFFFF"/>
            <w:vAlign w:val="center"/>
          </w:tcPr>
          <w:p w14:paraId="1C3EABD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有效</w:t>
            </w:r>
          </w:p>
        </w:tc>
        <w:tc>
          <w:tcPr>
            <w:tcW w:w="1050" w:type="dxa"/>
            <w:shd w:val="clear" w:color="000000" w:fill="FFFFFF"/>
            <w:vAlign w:val="center"/>
          </w:tcPr>
          <w:p w14:paraId="3BA785A3">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7FD02D86">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14:paraId="29DBB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25E3CF8D">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w:t>
            </w:r>
          </w:p>
        </w:tc>
        <w:tc>
          <w:tcPr>
            <w:tcW w:w="759" w:type="dxa"/>
            <w:vMerge w:val="restart"/>
            <w:shd w:val="clear" w:color="auto" w:fill="FFFFFF"/>
            <w:vAlign w:val="center"/>
          </w:tcPr>
          <w:p w14:paraId="3B98F32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kern w:val="0"/>
                <w:sz w:val="22"/>
                <w:szCs w:val="22"/>
                <w:highlight w:val="none"/>
              </w:rPr>
              <w:t>40分</w:t>
            </w:r>
          </w:p>
        </w:tc>
        <w:tc>
          <w:tcPr>
            <w:tcW w:w="1171" w:type="dxa"/>
            <w:shd w:val="clear" w:color="auto" w:fill="FFFFFF"/>
            <w:vAlign w:val="center"/>
          </w:tcPr>
          <w:p w14:paraId="68C66E6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产出数量</w:t>
            </w:r>
          </w:p>
        </w:tc>
        <w:tc>
          <w:tcPr>
            <w:tcW w:w="1388" w:type="dxa"/>
            <w:shd w:val="clear" w:color="auto" w:fill="FFFFFF"/>
            <w:vAlign w:val="center"/>
          </w:tcPr>
          <w:p w14:paraId="78D9B77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实际完成率</w:t>
            </w:r>
          </w:p>
        </w:tc>
        <w:tc>
          <w:tcPr>
            <w:tcW w:w="806" w:type="dxa"/>
            <w:shd w:val="clear" w:color="000000" w:fill="FFFFFF"/>
            <w:vAlign w:val="center"/>
          </w:tcPr>
          <w:p w14:paraId="7AE73BDC">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w:t>
            </w:r>
          </w:p>
        </w:tc>
        <w:tc>
          <w:tcPr>
            <w:tcW w:w="975" w:type="dxa"/>
            <w:shd w:val="clear" w:color="000000" w:fill="FFFFFF"/>
            <w:vAlign w:val="center"/>
          </w:tcPr>
          <w:p w14:paraId="542A7F27">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100%</w:t>
            </w:r>
          </w:p>
        </w:tc>
        <w:tc>
          <w:tcPr>
            <w:tcW w:w="1050" w:type="dxa"/>
            <w:shd w:val="clear" w:color="000000" w:fill="FFFFFF"/>
            <w:vAlign w:val="center"/>
          </w:tcPr>
          <w:p w14:paraId="7B500F2C">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ascii="Times New Roman" w:hAnsi="Times New Roman" w:cs="Times New Roman"/>
                <w:color w:val="000000"/>
                <w:kern w:val="0"/>
                <w:sz w:val="22"/>
                <w:szCs w:val="22"/>
                <w:highlight w:val="none"/>
              </w:rPr>
              <w:t>%</w:t>
            </w:r>
          </w:p>
        </w:tc>
        <w:tc>
          <w:tcPr>
            <w:tcW w:w="1050" w:type="dxa"/>
            <w:shd w:val="clear" w:color="000000" w:fill="FFFFFF"/>
            <w:vAlign w:val="center"/>
          </w:tcPr>
          <w:p w14:paraId="1F7D4855">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2C8766E9">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14:paraId="0B5F5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619D27B8">
            <w:pPr>
              <w:widowControl/>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73864B26">
            <w:pPr>
              <w:widowControl/>
              <w:spacing w:line="0" w:lineRule="atLeast"/>
              <w:jc w:val="center"/>
              <w:rPr>
                <w:rFonts w:ascii="Times New Roman" w:hAnsi="Times New Roman" w:cs="Times New Roman"/>
                <w:color w:val="000000"/>
                <w:kern w:val="0"/>
                <w:sz w:val="22"/>
                <w:szCs w:val="22"/>
                <w:highlight w:val="none"/>
              </w:rPr>
            </w:pPr>
          </w:p>
        </w:tc>
        <w:tc>
          <w:tcPr>
            <w:tcW w:w="1171" w:type="dxa"/>
            <w:shd w:val="clear" w:color="auto" w:fill="FFFFFF"/>
            <w:vAlign w:val="center"/>
          </w:tcPr>
          <w:p w14:paraId="4F71575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产出质量</w:t>
            </w:r>
          </w:p>
        </w:tc>
        <w:tc>
          <w:tcPr>
            <w:tcW w:w="1388" w:type="dxa"/>
            <w:shd w:val="clear" w:color="auto" w:fill="FFFFFF"/>
            <w:vAlign w:val="center"/>
          </w:tcPr>
          <w:p w14:paraId="35A4798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质量达标率</w:t>
            </w:r>
          </w:p>
        </w:tc>
        <w:tc>
          <w:tcPr>
            <w:tcW w:w="806" w:type="dxa"/>
            <w:shd w:val="clear" w:color="000000" w:fill="FFFFFF"/>
            <w:vAlign w:val="center"/>
          </w:tcPr>
          <w:p w14:paraId="771C9D2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w:t>
            </w:r>
          </w:p>
        </w:tc>
        <w:tc>
          <w:tcPr>
            <w:tcW w:w="975" w:type="dxa"/>
            <w:shd w:val="clear" w:color="000000" w:fill="FFFFFF"/>
            <w:vAlign w:val="center"/>
          </w:tcPr>
          <w:p w14:paraId="3C09AA9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100%</w:t>
            </w:r>
          </w:p>
        </w:tc>
        <w:tc>
          <w:tcPr>
            <w:tcW w:w="1050" w:type="dxa"/>
            <w:shd w:val="clear" w:color="000000" w:fill="FFFFFF"/>
            <w:vAlign w:val="center"/>
          </w:tcPr>
          <w:p w14:paraId="294433C4">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ascii="Times New Roman" w:hAnsi="Times New Roman" w:cs="Times New Roman"/>
                <w:color w:val="000000"/>
                <w:kern w:val="0"/>
                <w:sz w:val="22"/>
                <w:szCs w:val="22"/>
                <w:highlight w:val="none"/>
              </w:rPr>
              <w:t>%</w:t>
            </w:r>
          </w:p>
        </w:tc>
        <w:tc>
          <w:tcPr>
            <w:tcW w:w="1050" w:type="dxa"/>
            <w:shd w:val="clear" w:color="000000" w:fill="FFFFFF"/>
            <w:vAlign w:val="center"/>
          </w:tcPr>
          <w:p w14:paraId="3A420277">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3888DE0F">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14:paraId="7C93F4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3F662145">
            <w:pPr>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7EFFF67C">
            <w:pPr>
              <w:spacing w:line="0" w:lineRule="atLeast"/>
              <w:jc w:val="center"/>
              <w:rPr>
                <w:rFonts w:ascii="Times New Roman" w:hAnsi="Times New Roman" w:cs="Times New Roman"/>
                <w:color w:val="000000"/>
                <w:kern w:val="0"/>
                <w:sz w:val="22"/>
                <w:szCs w:val="22"/>
                <w:highlight w:val="none"/>
              </w:rPr>
            </w:pPr>
          </w:p>
        </w:tc>
        <w:tc>
          <w:tcPr>
            <w:tcW w:w="1171" w:type="dxa"/>
            <w:shd w:val="clear" w:color="auto" w:fill="FFFFFF"/>
            <w:vAlign w:val="center"/>
          </w:tcPr>
          <w:p w14:paraId="0D8424AE">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产出时效</w:t>
            </w:r>
          </w:p>
        </w:tc>
        <w:tc>
          <w:tcPr>
            <w:tcW w:w="1388" w:type="dxa"/>
            <w:shd w:val="clear" w:color="auto" w:fill="FFFFFF"/>
            <w:vAlign w:val="center"/>
          </w:tcPr>
          <w:p w14:paraId="46EE114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完成及时性</w:t>
            </w:r>
          </w:p>
        </w:tc>
        <w:tc>
          <w:tcPr>
            <w:tcW w:w="806" w:type="dxa"/>
            <w:shd w:val="clear" w:color="000000" w:fill="FFFFFF"/>
            <w:vAlign w:val="center"/>
          </w:tcPr>
          <w:p w14:paraId="7104E72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w:t>
            </w:r>
          </w:p>
        </w:tc>
        <w:tc>
          <w:tcPr>
            <w:tcW w:w="975" w:type="dxa"/>
            <w:shd w:val="clear" w:color="000000" w:fill="FFFFFF"/>
            <w:vAlign w:val="center"/>
          </w:tcPr>
          <w:p w14:paraId="6AF4F72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及时</w:t>
            </w:r>
          </w:p>
        </w:tc>
        <w:tc>
          <w:tcPr>
            <w:tcW w:w="1050" w:type="dxa"/>
            <w:shd w:val="clear" w:color="000000" w:fill="FFFFFF"/>
            <w:vAlign w:val="center"/>
          </w:tcPr>
          <w:p w14:paraId="078D232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及时</w:t>
            </w:r>
          </w:p>
        </w:tc>
        <w:tc>
          <w:tcPr>
            <w:tcW w:w="1050" w:type="dxa"/>
            <w:shd w:val="clear" w:color="000000" w:fill="FFFFFF"/>
            <w:vAlign w:val="center"/>
          </w:tcPr>
          <w:p w14:paraId="6FECCFA0">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39B615BD">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14:paraId="6DB841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29BFF2E7">
            <w:pPr>
              <w:widowControl/>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6DF2FFCC">
            <w:pPr>
              <w:widowControl/>
              <w:spacing w:line="0" w:lineRule="atLeast"/>
              <w:jc w:val="center"/>
              <w:rPr>
                <w:rFonts w:ascii="Times New Roman" w:hAnsi="Times New Roman" w:cs="Times New Roman"/>
                <w:color w:val="000000"/>
                <w:kern w:val="0"/>
                <w:sz w:val="22"/>
                <w:szCs w:val="22"/>
                <w:highlight w:val="none"/>
              </w:rPr>
            </w:pPr>
          </w:p>
        </w:tc>
        <w:tc>
          <w:tcPr>
            <w:tcW w:w="1171" w:type="dxa"/>
            <w:shd w:val="clear" w:color="auto" w:fill="FFFFFF"/>
            <w:vAlign w:val="center"/>
          </w:tcPr>
          <w:p w14:paraId="029FF3A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产出成本</w:t>
            </w:r>
          </w:p>
        </w:tc>
        <w:tc>
          <w:tcPr>
            <w:tcW w:w="1388" w:type="dxa"/>
            <w:shd w:val="clear" w:color="auto" w:fill="FFFFFF"/>
            <w:vAlign w:val="center"/>
          </w:tcPr>
          <w:p w14:paraId="66CE032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成本节约率</w:t>
            </w:r>
          </w:p>
        </w:tc>
        <w:tc>
          <w:tcPr>
            <w:tcW w:w="806" w:type="dxa"/>
            <w:shd w:val="clear" w:color="000000" w:fill="FFFFFF"/>
            <w:vAlign w:val="center"/>
          </w:tcPr>
          <w:p w14:paraId="0BF3A25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w:t>
            </w:r>
          </w:p>
        </w:tc>
        <w:tc>
          <w:tcPr>
            <w:tcW w:w="975" w:type="dxa"/>
            <w:shd w:val="clear" w:color="000000" w:fill="FFFFFF"/>
            <w:vAlign w:val="center"/>
          </w:tcPr>
          <w:p w14:paraId="1A58713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100%</w:t>
            </w:r>
          </w:p>
        </w:tc>
        <w:tc>
          <w:tcPr>
            <w:tcW w:w="1050" w:type="dxa"/>
            <w:shd w:val="clear" w:color="000000" w:fill="FFFFFF"/>
            <w:vAlign w:val="center"/>
          </w:tcPr>
          <w:p w14:paraId="34415503">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r>
              <w:rPr>
                <w:rFonts w:ascii="Times New Roman" w:hAnsi="Times New Roman" w:cs="Times New Roman"/>
                <w:color w:val="000000"/>
                <w:kern w:val="0"/>
                <w:sz w:val="22"/>
                <w:szCs w:val="22"/>
                <w:highlight w:val="none"/>
              </w:rPr>
              <w:t>%</w:t>
            </w:r>
          </w:p>
        </w:tc>
        <w:tc>
          <w:tcPr>
            <w:tcW w:w="1050" w:type="dxa"/>
            <w:shd w:val="clear" w:color="000000" w:fill="FFFFFF"/>
            <w:vAlign w:val="center"/>
          </w:tcPr>
          <w:p w14:paraId="1317149F">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60906F6F">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14:paraId="2202E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restart"/>
            <w:shd w:val="clear" w:color="auto" w:fill="FFFFFF"/>
            <w:vAlign w:val="center"/>
          </w:tcPr>
          <w:p w14:paraId="3FF86AE9">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效益　</w:t>
            </w:r>
          </w:p>
        </w:tc>
        <w:tc>
          <w:tcPr>
            <w:tcW w:w="759" w:type="dxa"/>
            <w:vMerge w:val="restart"/>
            <w:shd w:val="clear" w:color="auto" w:fill="FFFFFF"/>
            <w:vAlign w:val="center"/>
          </w:tcPr>
          <w:p w14:paraId="5251B73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20分</w:t>
            </w:r>
          </w:p>
        </w:tc>
        <w:tc>
          <w:tcPr>
            <w:tcW w:w="1171" w:type="dxa"/>
            <w:vMerge w:val="restart"/>
            <w:shd w:val="clear" w:color="auto" w:fill="FFFFFF"/>
            <w:vAlign w:val="center"/>
          </w:tcPr>
          <w:p w14:paraId="4D6A442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项目效益　</w:t>
            </w:r>
          </w:p>
        </w:tc>
        <w:tc>
          <w:tcPr>
            <w:tcW w:w="1388" w:type="dxa"/>
            <w:shd w:val="clear" w:color="auto" w:fill="FFFFFF"/>
            <w:vAlign w:val="center"/>
          </w:tcPr>
          <w:p w14:paraId="7738F707">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实施效益</w:t>
            </w:r>
          </w:p>
          <w:p w14:paraId="7470B033">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（社会效益、经济效益、可持续效益）</w:t>
            </w:r>
          </w:p>
        </w:tc>
        <w:tc>
          <w:tcPr>
            <w:tcW w:w="806" w:type="dxa"/>
            <w:shd w:val="clear" w:color="auto" w:fill="FFFFFF"/>
            <w:vAlign w:val="center"/>
          </w:tcPr>
          <w:p w14:paraId="380E4F81">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w:t>
            </w:r>
          </w:p>
        </w:tc>
        <w:tc>
          <w:tcPr>
            <w:tcW w:w="975" w:type="dxa"/>
            <w:shd w:val="clear" w:color="auto" w:fill="FFFFFF"/>
            <w:vAlign w:val="center"/>
          </w:tcPr>
          <w:p w14:paraId="48431F1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有效</w:t>
            </w:r>
          </w:p>
        </w:tc>
        <w:tc>
          <w:tcPr>
            <w:tcW w:w="1050" w:type="dxa"/>
            <w:shd w:val="clear" w:color="auto" w:fill="FFFFFF"/>
            <w:vAlign w:val="center"/>
          </w:tcPr>
          <w:p w14:paraId="2178C87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有效</w:t>
            </w:r>
          </w:p>
        </w:tc>
        <w:tc>
          <w:tcPr>
            <w:tcW w:w="1050" w:type="dxa"/>
            <w:shd w:val="clear" w:color="auto" w:fill="FFFFFF"/>
            <w:vAlign w:val="center"/>
          </w:tcPr>
          <w:p w14:paraId="2F54C397">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auto" w:fill="FFFFFF"/>
            <w:vAlign w:val="center"/>
          </w:tcPr>
          <w:p w14:paraId="762D6671">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14:paraId="359E2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1104" w:type="dxa"/>
            <w:vMerge w:val="continue"/>
            <w:shd w:val="clear" w:color="auto" w:fill="FFFFFF"/>
            <w:vAlign w:val="center"/>
          </w:tcPr>
          <w:p w14:paraId="67F4F7C1">
            <w:pPr>
              <w:widowControl/>
              <w:spacing w:line="0" w:lineRule="atLeast"/>
              <w:jc w:val="center"/>
              <w:rPr>
                <w:rFonts w:ascii="Times New Roman" w:hAnsi="Times New Roman" w:cs="Times New Roman"/>
                <w:color w:val="000000"/>
                <w:kern w:val="0"/>
                <w:sz w:val="22"/>
                <w:szCs w:val="22"/>
                <w:highlight w:val="none"/>
              </w:rPr>
            </w:pPr>
          </w:p>
        </w:tc>
        <w:tc>
          <w:tcPr>
            <w:tcW w:w="759" w:type="dxa"/>
            <w:vMerge w:val="continue"/>
            <w:shd w:val="clear" w:color="auto" w:fill="FFFFFF"/>
            <w:vAlign w:val="center"/>
          </w:tcPr>
          <w:p w14:paraId="0B074923">
            <w:pPr>
              <w:widowControl/>
              <w:spacing w:line="0" w:lineRule="atLeast"/>
              <w:jc w:val="center"/>
              <w:rPr>
                <w:rFonts w:ascii="Times New Roman" w:hAnsi="Times New Roman" w:cs="Times New Roman"/>
                <w:color w:val="000000"/>
                <w:kern w:val="0"/>
                <w:sz w:val="22"/>
                <w:szCs w:val="22"/>
                <w:highlight w:val="none"/>
              </w:rPr>
            </w:pPr>
          </w:p>
        </w:tc>
        <w:tc>
          <w:tcPr>
            <w:tcW w:w="1171" w:type="dxa"/>
            <w:vMerge w:val="continue"/>
            <w:shd w:val="clear" w:color="auto" w:fill="FFFFFF"/>
            <w:vAlign w:val="center"/>
          </w:tcPr>
          <w:p w14:paraId="42C7BD94">
            <w:pPr>
              <w:widowControl/>
              <w:spacing w:line="0" w:lineRule="atLeast"/>
              <w:jc w:val="center"/>
              <w:rPr>
                <w:rFonts w:ascii="Times New Roman" w:hAnsi="Times New Roman" w:cs="Times New Roman"/>
                <w:color w:val="000000"/>
                <w:kern w:val="0"/>
                <w:sz w:val="22"/>
                <w:szCs w:val="22"/>
                <w:highlight w:val="none"/>
              </w:rPr>
            </w:pPr>
          </w:p>
        </w:tc>
        <w:tc>
          <w:tcPr>
            <w:tcW w:w="1388" w:type="dxa"/>
            <w:shd w:val="clear" w:color="auto" w:fill="FFFFFF"/>
            <w:vAlign w:val="center"/>
          </w:tcPr>
          <w:p w14:paraId="24A6A6B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满意度</w:t>
            </w:r>
          </w:p>
        </w:tc>
        <w:tc>
          <w:tcPr>
            <w:tcW w:w="806" w:type="dxa"/>
            <w:shd w:val="clear" w:color="000000" w:fill="FFFFFF"/>
            <w:vAlign w:val="center"/>
          </w:tcPr>
          <w:p w14:paraId="2043144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10</w:t>
            </w:r>
          </w:p>
        </w:tc>
        <w:tc>
          <w:tcPr>
            <w:tcW w:w="975" w:type="dxa"/>
            <w:shd w:val="clear" w:color="000000" w:fill="FFFFFF"/>
            <w:vAlign w:val="center"/>
          </w:tcPr>
          <w:p w14:paraId="2E3A35E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w:t>
            </w:r>
            <w:r>
              <w:rPr>
                <w:rFonts w:hint="default" w:ascii="Times New Roman" w:hAnsi="Times New Roman" w:cs="Times New Roman"/>
                <w:color w:val="000000"/>
                <w:kern w:val="0"/>
                <w:sz w:val="22"/>
                <w:szCs w:val="22"/>
                <w:highlight w:val="none"/>
                <w:lang w:val="en-US" w:eastAsia="zh-CN"/>
              </w:rPr>
              <w:t>90</w:t>
            </w:r>
            <w:r>
              <w:rPr>
                <w:rFonts w:ascii="Times New Roman" w:hAnsi="Times New Roman" w:cs="Times New Roman"/>
                <w:color w:val="000000"/>
                <w:kern w:val="0"/>
                <w:sz w:val="22"/>
                <w:szCs w:val="22"/>
                <w:highlight w:val="none"/>
              </w:rPr>
              <w:t>%</w:t>
            </w:r>
          </w:p>
        </w:tc>
        <w:tc>
          <w:tcPr>
            <w:tcW w:w="1050" w:type="dxa"/>
            <w:shd w:val="clear" w:color="000000" w:fill="FFFFFF"/>
            <w:vAlign w:val="center"/>
          </w:tcPr>
          <w:p w14:paraId="7E186F25">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ascii="Times New Roman" w:hAnsi="Times New Roman" w:cs="Times New Roman"/>
                <w:color w:val="000000"/>
                <w:kern w:val="0"/>
                <w:sz w:val="22"/>
                <w:szCs w:val="22"/>
                <w:highlight w:val="none"/>
              </w:rPr>
              <w:t>%</w:t>
            </w:r>
          </w:p>
        </w:tc>
        <w:tc>
          <w:tcPr>
            <w:tcW w:w="1050" w:type="dxa"/>
            <w:shd w:val="clear" w:color="000000" w:fill="FFFFFF"/>
            <w:vAlign w:val="center"/>
          </w:tcPr>
          <w:p w14:paraId="63166AB3">
            <w:pPr>
              <w:widowControl/>
              <w:spacing w:line="0" w:lineRule="atLeast"/>
              <w:jc w:val="center"/>
              <w:rPr>
                <w:rFonts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highlight w:val="none"/>
                <w:lang w:val="en-US" w:eastAsia="zh-CN"/>
              </w:rPr>
              <w:t>100</w:t>
            </w:r>
            <w:r>
              <w:rPr>
                <w:rFonts w:ascii="Times New Roman" w:hAnsi="Times New Roman" w:eastAsia="仿宋_GB2312" w:cs="Times New Roman"/>
                <w:b w:val="0"/>
                <w:bCs w:val="0"/>
                <w:highlight w:val="none"/>
              </w:rPr>
              <w:t>%</w:t>
            </w:r>
          </w:p>
        </w:tc>
        <w:tc>
          <w:tcPr>
            <w:tcW w:w="806" w:type="dxa"/>
            <w:shd w:val="clear" w:color="000000" w:fill="FFFFFF"/>
            <w:vAlign w:val="center"/>
          </w:tcPr>
          <w:p w14:paraId="6E62D08F">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14:paraId="22BA3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4422" w:type="dxa"/>
            <w:gridSpan w:val="4"/>
            <w:shd w:val="clear" w:color="auto" w:fill="FFFFFF"/>
            <w:vAlign w:val="center"/>
          </w:tcPr>
          <w:p w14:paraId="617D318C">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合计</w:t>
            </w:r>
          </w:p>
        </w:tc>
        <w:tc>
          <w:tcPr>
            <w:tcW w:w="806" w:type="dxa"/>
            <w:shd w:val="clear" w:color="000000" w:fill="FFFFFF"/>
            <w:vAlign w:val="center"/>
          </w:tcPr>
          <w:p w14:paraId="0581BD86">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1001</w:t>
            </w:r>
          </w:p>
        </w:tc>
        <w:tc>
          <w:tcPr>
            <w:tcW w:w="975" w:type="dxa"/>
            <w:shd w:val="clear" w:color="000000" w:fill="FFFFFF"/>
            <w:vAlign w:val="center"/>
          </w:tcPr>
          <w:p w14:paraId="45279485">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w:t>
            </w:r>
          </w:p>
        </w:tc>
        <w:tc>
          <w:tcPr>
            <w:tcW w:w="1050" w:type="dxa"/>
            <w:shd w:val="clear" w:color="000000" w:fill="FFFFFF"/>
            <w:vAlign w:val="center"/>
          </w:tcPr>
          <w:p w14:paraId="5C37DAC2">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w:t>
            </w:r>
          </w:p>
        </w:tc>
        <w:tc>
          <w:tcPr>
            <w:tcW w:w="1050" w:type="dxa"/>
            <w:shd w:val="clear" w:color="000000" w:fill="FFFFFF"/>
            <w:vAlign w:val="center"/>
          </w:tcPr>
          <w:p w14:paraId="068E8D56">
            <w:pPr>
              <w:widowControl/>
              <w:spacing w:line="0" w:lineRule="atLeast"/>
              <w:jc w:val="center"/>
              <w:rPr>
                <w:rFonts w:hint="default" w:ascii="Times New Roman" w:hAnsi="Times New Roman" w:eastAsia="仿宋_GB2312" w:cs="Times New Roman"/>
                <w:b/>
                <w:bCs/>
                <w:highlight w:val="none"/>
                <w:lang w:val="en-US" w:eastAsia="zh-CN"/>
              </w:rPr>
            </w:pPr>
            <w:r>
              <w:rPr>
                <w:rFonts w:hint="default" w:ascii="Times New Roman" w:hAnsi="Times New Roman" w:eastAsia="仿宋_GB2312" w:cs="Times New Roman"/>
                <w:b/>
                <w:bCs/>
                <w:highlight w:val="none"/>
                <w:lang w:val="en-US" w:eastAsia="zh-CN"/>
              </w:rPr>
              <w:t>-</w:t>
            </w:r>
          </w:p>
        </w:tc>
        <w:tc>
          <w:tcPr>
            <w:tcW w:w="806" w:type="dxa"/>
            <w:shd w:val="clear" w:color="000000" w:fill="FFFFFF"/>
            <w:vAlign w:val="center"/>
          </w:tcPr>
          <w:p w14:paraId="2FC79E21">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100</w:t>
            </w:r>
          </w:p>
        </w:tc>
      </w:tr>
    </w:tbl>
    <w:p w14:paraId="0D2B38E7">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四、绩效评价指标分析</w:t>
      </w:r>
    </w:p>
    <w:p w14:paraId="394C9224">
      <w:pPr>
        <w:pStyle w:val="2"/>
        <w:spacing w:before="0" w:after="0" w:line="560" w:lineRule="exact"/>
        <w:ind w:firstLine="643" w:firstLineChars="200"/>
        <w:jc w:val="both"/>
        <w:rPr>
          <w:rFonts w:ascii="Times New Roman" w:hAnsi="Times New Roman" w:eastAsia="楷体_GB2312" w:cs="Times New Roman"/>
          <w:highlight w:val="none"/>
        </w:rPr>
      </w:pPr>
      <w:r>
        <w:rPr>
          <w:rFonts w:ascii="Times New Roman" w:hAnsi="Times New Roman" w:eastAsia="楷体_GB2312" w:cs="Times New Roman"/>
          <w:highlight w:val="none"/>
        </w:rPr>
        <w:t>（一）项目决策情况</w:t>
      </w:r>
    </w:p>
    <w:p w14:paraId="3460D504">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1、立项依据充分性</w:t>
      </w:r>
    </w:p>
    <w:p w14:paraId="7008B1EB">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自治区2023年第一批疫情防控补助资金（自治区本级医疗机构重症床位设备配置经费）项目</w:t>
      </w:r>
      <w:r>
        <w:rPr>
          <w:rFonts w:hint="eastAsia" w:eastAsia="仿宋_GB2312" w:cs="Times New Roman"/>
          <w:b w:val="0"/>
          <w:bCs w:val="0"/>
          <w:kern w:val="2"/>
          <w:sz w:val="32"/>
          <w:szCs w:val="32"/>
          <w:highlight w:val="none"/>
          <w:lang w:val="en-US" w:eastAsia="zh-CN" w:bidi="ar-SA"/>
        </w:rPr>
        <w:t>依据</w:t>
      </w:r>
      <w:r>
        <w:rPr>
          <w:rFonts w:hint="default" w:ascii="Times New Roman" w:hAnsi="Times New Roman" w:eastAsia="仿宋_GB2312" w:cs="Times New Roman"/>
          <w:b w:val="0"/>
          <w:bCs/>
          <w:kern w:val="2"/>
          <w:sz w:val="32"/>
          <w:szCs w:val="32"/>
          <w:highlight w:val="none"/>
          <w:lang w:val="en-US" w:eastAsia="zh-CN" w:bidi="ar-SA"/>
        </w:rPr>
        <w:t>《中共中央国务院关于全面实施预算绩效管理的意见》（</w:t>
      </w:r>
      <w:bookmarkStart w:id="9" w:name="_GoBack"/>
      <w:bookmarkEnd w:id="9"/>
      <w:r>
        <w:rPr>
          <w:rFonts w:hint="default" w:ascii="Times New Roman" w:hAnsi="Times New Roman" w:eastAsia="仿宋_GB2312" w:cs="Times New Roman"/>
          <w:b w:val="0"/>
          <w:bCs/>
          <w:kern w:val="2"/>
          <w:sz w:val="32"/>
          <w:szCs w:val="32"/>
          <w:highlight w:val="none"/>
          <w:lang w:val="en-US" w:eastAsia="zh-CN" w:bidi="ar-SA"/>
        </w:rPr>
        <w:t>财预〔2018〕167号）和《自治区全面实施预算绩效管理工作方案》（新财预〔2018〕158 号）、《公立医疗机构全面预算管理制度实施办法》（国卫财务发〔2020〕30号）、《公立医疗机构内部控制管理办法》（国卫财务发〔2020〕31号）、《公立医疗机构成本核算规范》（国卫财务发〔2020〕4号）。</w:t>
      </w:r>
      <w:r>
        <w:rPr>
          <w:rFonts w:hint="default" w:ascii="Times New Roman" w:hAnsi="Times New Roman" w:eastAsia="仿宋_GB2312" w:cs="Times New Roman"/>
          <w:b w:val="0"/>
          <w:bCs w:val="0"/>
          <w:kern w:val="2"/>
          <w:sz w:val="32"/>
          <w:szCs w:val="32"/>
          <w:highlight w:val="none"/>
          <w:lang w:val="en-US" w:eastAsia="zh-CN" w:bidi="ar-SA"/>
        </w:rPr>
        <w:t>立项符合国家法律法规、国民经济发展规划和相关政策；符合行业发展规划和政策要求；与部门职责范围相符，属于部门履职所需；属于公共财政支持范围，符合中央、地方事权支出责任划分原则；不存在与相关部门同类项目或部门内部相关项目重复情况。</w:t>
      </w:r>
    </w:p>
    <w:p w14:paraId="489C0CCB">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2、立项程序规范性</w:t>
      </w:r>
    </w:p>
    <w:p w14:paraId="450AB94B">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项目严格按照规定的程序申请设立；审批文件、材料符合相关要求；事前经过了必要的可行性研究、专家论证、风险评估、绩效评估、集体决策。</w:t>
      </w:r>
    </w:p>
    <w:p w14:paraId="4D41157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3、绩效目标合理性</w:t>
      </w:r>
    </w:p>
    <w:p w14:paraId="04BFF41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项目设立了项目绩效目标，与重症床位资源扩容建设项目具有相关性，项目的预期产出效益和效果也均能符合正常的业绩水平，并且与预算确定的项目投资额或资金量相匹配。</w:t>
      </w:r>
    </w:p>
    <w:p w14:paraId="13118234">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4、绩效指标明确性</w:t>
      </w:r>
    </w:p>
    <w:p w14:paraId="213B91EF">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bookmarkStart w:id="5" w:name="_Hlk68699917"/>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项目将项目绩效目标细化分解为具体的绩效指标，一级指标共4条，二级指标共6条，三级指标共7条，其中量化指标条数共7条，所有绩效指标均通过清晰、可衡量的指标值予以体现，并且做到了与项目目标任务数或计划数相对应。</w:t>
      </w:r>
      <w:bookmarkEnd w:id="5"/>
    </w:p>
    <w:p w14:paraId="23B0899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5、预算编制科学性</w:t>
      </w:r>
    </w:p>
    <w:p w14:paraId="67C384DD">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项目预算编制经过了科学论证；预算内容与项目内容相匹配；预算额度测算依据充分，按照标准编制；预算确定的项目投资额或资金量与工作任务相匹配。</w:t>
      </w:r>
    </w:p>
    <w:p w14:paraId="188C1F8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6、资金分配合理性</w:t>
      </w:r>
    </w:p>
    <w:p w14:paraId="4E4C7E52">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自治区2023年第一批疫情防控补助资金（自治区本级医疗机构重症床位设备配置经费）项目预算资金分配依据充分；资金分配额度合理，与项目单位或地方实际相适应。</w:t>
      </w:r>
    </w:p>
    <w:p w14:paraId="63E7B2B9">
      <w:pPr>
        <w:pStyle w:val="2"/>
        <w:numPr>
          <w:ilvl w:val="0"/>
          <w:numId w:val="4"/>
        </w:numPr>
        <w:spacing w:before="0" w:after="0" w:line="560" w:lineRule="exact"/>
        <w:ind w:firstLine="643" w:firstLineChars="200"/>
        <w:jc w:val="both"/>
        <w:rPr>
          <w:rFonts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6780A041">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1、资金到位率：</w:t>
      </w:r>
    </w:p>
    <w:p w14:paraId="19DB58C6">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预算资金2922万元，实际到位资金2922万元，资金到位率100%。</w:t>
      </w:r>
    </w:p>
    <w:p w14:paraId="363A1AB5">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2、预算执行率</w:t>
      </w:r>
    </w:p>
    <w:p w14:paraId="183E2DAC">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年初预算数2922万元，全年预算数2922万元，全年执行数2922万元，预算执行率为100%。</w:t>
      </w:r>
    </w:p>
    <w:p w14:paraId="0EA4B941">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3、资金使用合规性</w:t>
      </w:r>
    </w:p>
    <w:p w14:paraId="22F65D9B">
      <w:pPr>
        <w:spacing w:line="360" w:lineRule="auto"/>
        <w:ind w:firstLine="640" w:firstLineChars="200"/>
        <w:rPr>
          <w:rFonts w:hint="default" w:ascii="Times New Roman" w:hAnsi="Times New Roman" w:eastAsia="仿宋_GB2312" w:cs="Times New Roman"/>
          <w:b w:val="0"/>
          <w:bCs/>
          <w:kern w:val="2"/>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资金使用符合国家财经法规和财务管理制度以及有关专项资金管理办法的规定；资金的拨付有完整的审批程序和手续；符合项目预算批复或合同规定的用途；不存在截留、挤占、挪用、虚列支出等情况。</w:t>
      </w:r>
    </w:p>
    <w:p w14:paraId="2054B10A">
      <w:pPr>
        <w:spacing w:line="360" w:lineRule="auto"/>
        <w:ind w:firstLine="640" w:firstLineChars="200"/>
        <w:rPr>
          <w:rFonts w:hint="default" w:ascii="Times New Roman" w:hAnsi="Times New Roman" w:eastAsia="仿宋_GB2312" w:cs="Times New Roman"/>
          <w:b w:val="0"/>
          <w:bCs/>
          <w:kern w:val="2"/>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4、管理制度健全性</w:t>
      </w:r>
    </w:p>
    <w:p w14:paraId="13263131">
      <w:pPr>
        <w:spacing w:line="360" w:lineRule="auto"/>
        <w:ind w:firstLine="640" w:firstLineChars="200"/>
        <w:rPr>
          <w:rFonts w:hint="default" w:ascii="Times New Roman" w:hAnsi="Times New Roman" w:eastAsia="仿宋_GB2312" w:cs="Times New Roman"/>
          <w:b w:val="0"/>
          <w:bCs/>
          <w:kern w:val="2"/>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已制定相应的财务和业务管理制度；财务和业务管理制度合法、合规、完整。</w:t>
      </w:r>
      <w:r>
        <w:rPr>
          <w:rFonts w:hint="default" w:ascii="Times New Roman" w:hAnsi="Times New Roman" w:eastAsia="仿宋_GB2312" w:cs="Times New Roman"/>
          <w:sz w:val="32"/>
          <w:szCs w:val="32"/>
          <w:highlight w:val="none"/>
          <w:lang w:val="en-US" w:eastAsia="zh-CN"/>
        </w:rPr>
        <w:t>能够反映和考核财务和业务管理制度对项目顺利实施的保障情况。</w:t>
      </w:r>
    </w:p>
    <w:p w14:paraId="69879001">
      <w:pPr>
        <w:spacing w:line="360" w:lineRule="auto"/>
        <w:ind w:firstLine="640" w:firstLineChars="200"/>
        <w:rPr>
          <w:rFonts w:hint="default" w:ascii="Times New Roman" w:hAnsi="Times New Roman" w:eastAsia="仿宋_GB2312" w:cs="Times New Roman"/>
          <w:b w:val="0"/>
          <w:bCs/>
          <w:kern w:val="2"/>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5、制度执行有效性</w:t>
      </w:r>
    </w:p>
    <w:p w14:paraId="34F5455F">
      <w:pPr>
        <w:spacing w:line="360" w:lineRule="auto"/>
        <w:ind w:firstLine="640" w:firstLineChars="200"/>
        <w:rPr>
          <w:rFonts w:hint="default" w:ascii="Times New Roman" w:hAnsi="Times New Roman" w:eastAsia="仿宋_GB2312" w:cs="Times New Roman"/>
          <w:b w:val="0"/>
          <w:bCs w:val="0"/>
          <w:color w:val="FF0000"/>
          <w:kern w:val="2"/>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制度执行遵守相关法律法规和相关管理规定；项目调整及支出调整手续完备；项目合同书、验收报告、技术鉴定等资料齐全并及时归档；项目实施的人员条件、场地设备、信息支撑等是否落实到位。</w:t>
      </w:r>
    </w:p>
    <w:p w14:paraId="2DAD6DB6">
      <w:pPr>
        <w:pStyle w:val="10"/>
        <w:numPr>
          <w:ilvl w:val="0"/>
          <w:numId w:val="4"/>
        </w:numPr>
        <w:spacing w:line="560" w:lineRule="exact"/>
        <w:ind w:firstLine="640"/>
        <w:rPr>
          <w:rFonts w:ascii="Times New Roman" w:hAnsi="Times New Roman" w:eastAsia="楷体_GB2312" w:cs="Times New Roman"/>
          <w:b/>
          <w:bCs/>
          <w:sz w:val="32"/>
          <w:szCs w:val="32"/>
          <w:highlight w:val="none"/>
        </w:rPr>
      </w:pPr>
      <w:r>
        <w:rPr>
          <w:rFonts w:ascii="Times New Roman" w:hAnsi="Times New Roman" w:eastAsia="楷体_GB2312" w:cs="Times New Roman"/>
          <w:b/>
          <w:bCs/>
          <w:sz w:val="32"/>
          <w:szCs w:val="32"/>
          <w:highlight w:val="none"/>
        </w:rPr>
        <w:t>项目产出</w:t>
      </w:r>
    </w:p>
    <w:p w14:paraId="0B77C7D7">
      <w:pPr>
        <w:snapToGrid w:val="0"/>
        <w:spacing w:line="560" w:lineRule="exact"/>
        <w:ind w:firstLine="627" w:firstLineChars="200"/>
        <w:rPr>
          <w:rStyle w:val="14"/>
          <w:rFonts w:ascii="Times New Roman" w:hAnsi="Times New Roman" w:eastAsia="仿宋_GB2312" w:cs="Times New Roman"/>
          <w:bCs w:val="0"/>
          <w:spacing w:val="-4"/>
          <w:sz w:val="32"/>
          <w:szCs w:val="32"/>
          <w:highlight w:val="none"/>
        </w:rPr>
      </w:pPr>
      <w:r>
        <w:rPr>
          <w:rStyle w:val="14"/>
          <w:rFonts w:ascii="Times New Roman" w:hAnsi="Times New Roman" w:eastAsia="仿宋_GB2312" w:cs="Times New Roman"/>
          <w:bCs w:val="0"/>
          <w:spacing w:val="-4"/>
          <w:sz w:val="32"/>
          <w:szCs w:val="32"/>
          <w:highlight w:val="none"/>
        </w:rPr>
        <w:t>数量指标方面：</w:t>
      </w:r>
    </w:p>
    <w:p w14:paraId="39039085">
      <w:pPr>
        <w:spacing w:line="560" w:lineRule="exact"/>
        <w:ind w:firstLine="640" w:firstLineChars="200"/>
        <w:rPr>
          <w:rFonts w:hint="default" w:ascii="Times New Roman" w:hAnsi="Times New Roman" w:eastAsia="仿宋_GB2312" w:cs="Times New Roman"/>
          <w:b w:val="0"/>
          <w:bCs/>
          <w:kern w:val="2"/>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指标1：配置ICU床位数量及配套设备数量，指标值：</w:t>
      </w:r>
      <w:r>
        <w:rPr>
          <w:rStyle w:val="14"/>
          <w:rFonts w:hint="default" w:ascii="Times New Roman" w:hAnsi="Times New Roman" w:eastAsia="仿宋_GB2312" w:cs="Times New Roman"/>
          <w:b w:val="0"/>
          <w:bCs/>
          <w:color w:val="auto"/>
          <w:spacing w:val="-4"/>
          <w:sz w:val="32"/>
          <w:szCs w:val="32"/>
          <w:highlight w:val="none"/>
        </w:rPr>
        <w:t>≥</w:t>
      </w:r>
      <w:r>
        <w:rPr>
          <w:rFonts w:hint="default" w:ascii="Times New Roman" w:hAnsi="Times New Roman" w:eastAsia="仿宋_GB2312" w:cs="Times New Roman"/>
          <w:b w:val="0"/>
          <w:bCs/>
          <w:kern w:val="2"/>
          <w:sz w:val="32"/>
          <w:szCs w:val="32"/>
          <w:highlight w:val="none"/>
          <w:lang w:val="en-US" w:eastAsia="zh-CN" w:bidi="ar-SA"/>
        </w:rPr>
        <w:t>48床（套），实际完成值：=48床（套），指标完成率100%，</w:t>
      </w:r>
      <w:r>
        <w:rPr>
          <w:rFonts w:hint="default" w:ascii="Times New Roman" w:hAnsi="Times New Roman" w:eastAsia="仿宋_GB2312" w:cs="Times New Roman"/>
          <w:b w:val="0"/>
          <w:bCs/>
          <w:kern w:val="2"/>
          <w:sz w:val="32"/>
          <w:szCs w:val="32"/>
          <w:highlight w:val="none"/>
          <w:lang w:val="en-US" w:eastAsia="zh-Hans" w:bidi="ar-SA"/>
        </w:rPr>
        <w:t>偏差原因：</w:t>
      </w:r>
      <w:r>
        <w:rPr>
          <w:rFonts w:hint="default" w:ascii="Times New Roman" w:hAnsi="Times New Roman" w:eastAsia="仿宋_GB2312" w:cs="Times New Roman"/>
          <w:b w:val="0"/>
          <w:bCs/>
          <w:kern w:val="2"/>
          <w:sz w:val="32"/>
          <w:szCs w:val="32"/>
          <w:highlight w:val="none"/>
          <w:lang w:val="en-US" w:eastAsia="zh-CN" w:bidi="ar-SA"/>
        </w:rPr>
        <w:t>无偏差；</w:t>
      </w:r>
    </w:p>
    <w:p w14:paraId="6F2B5561">
      <w:pPr>
        <w:spacing w:line="560" w:lineRule="exact"/>
        <w:ind w:firstLine="643" w:firstLineChars="200"/>
        <w:rPr>
          <w:rStyle w:val="16"/>
          <w:rFonts w:ascii="Times New Roman" w:hAnsi="Times New Roman" w:cs="Times New Roman"/>
          <w:b/>
          <w:bCs/>
          <w:color w:val="auto"/>
          <w:highlight w:val="none"/>
        </w:rPr>
      </w:pPr>
      <w:r>
        <w:rPr>
          <w:rStyle w:val="16"/>
          <w:rFonts w:ascii="Times New Roman" w:hAnsi="Times New Roman" w:cs="Times New Roman"/>
          <w:b/>
          <w:bCs/>
          <w:color w:val="auto"/>
          <w:highlight w:val="none"/>
        </w:rPr>
        <w:t>质量指标方面：</w:t>
      </w:r>
    </w:p>
    <w:p w14:paraId="7840C3E2">
      <w:pPr>
        <w:pStyle w:val="2"/>
        <w:spacing w:before="0" w:after="0" w:line="560" w:lineRule="exact"/>
        <w:ind w:firstLine="640" w:firstLineChars="200"/>
        <w:jc w:val="both"/>
        <w:rPr>
          <w:rStyle w:val="14"/>
          <w:rFonts w:hint="default" w:ascii="Times New Roman" w:hAnsi="Times New Roman" w:eastAsia="仿宋" w:cs="Times New Roman"/>
          <w:b w:val="0"/>
          <w:bCs/>
          <w:spacing w:val="-4"/>
          <w:kern w:val="0"/>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指标1：设备质量合格率，指标值：</w:t>
      </w:r>
      <w:r>
        <w:rPr>
          <w:rStyle w:val="14"/>
          <w:rFonts w:hint="default" w:ascii="Times New Roman" w:hAnsi="Times New Roman" w:eastAsia="仿宋_GB2312" w:cs="Times New Roman"/>
          <w:b w:val="0"/>
          <w:bCs/>
          <w:color w:val="auto"/>
          <w:spacing w:val="-4"/>
          <w:sz w:val="32"/>
          <w:szCs w:val="32"/>
          <w:highlight w:val="none"/>
        </w:rPr>
        <w:t>＞95%</w:t>
      </w:r>
      <w:r>
        <w:rPr>
          <w:rFonts w:hint="default" w:ascii="Times New Roman" w:hAnsi="Times New Roman" w:eastAsia="仿宋_GB2312" w:cs="Times New Roman"/>
          <w:b w:val="0"/>
          <w:bCs/>
          <w:kern w:val="2"/>
          <w:sz w:val="32"/>
          <w:szCs w:val="32"/>
          <w:highlight w:val="none"/>
          <w:lang w:val="en-US" w:eastAsia="zh-CN" w:bidi="ar-SA"/>
        </w:rPr>
        <w:t>，实际完成值：=100%，指标完成率100%，</w:t>
      </w:r>
      <w:r>
        <w:rPr>
          <w:rFonts w:hint="default" w:ascii="Times New Roman" w:hAnsi="Times New Roman" w:eastAsia="仿宋_GB2312" w:cs="Times New Roman"/>
          <w:b w:val="0"/>
          <w:bCs/>
          <w:kern w:val="2"/>
          <w:sz w:val="32"/>
          <w:szCs w:val="32"/>
          <w:highlight w:val="none"/>
          <w:lang w:val="en-US" w:eastAsia="zh-Hans" w:bidi="ar-SA"/>
        </w:rPr>
        <w:t>偏差原因：</w:t>
      </w:r>
      <w:r>
        <w:rPr>
          <w:rStyle w:val="14"/>
          <w:rFonts w:hint="default" w:ascii="Times New Roman" w:hAnsi="Times New Roman" w:eastAsia="仿宋_GB2312" w:cs="Times New Roman"/>
          <w:b w:val="0"/>
          <w:bCs/>
          <w:color w:val="auto"/>
          <w:spacing w:val="-4"/>
          <w:sz w:val="32"/>
          <w:szCs w:val="32"/>
          <w:highlight w:val="none"/>
          <w:lang w:val="en-US" w:eastAsia="zh-CN"/>
        </w:rPr>
        <w:t>设置指标值不够精确，指标值偏低，</w:t>
      </w:r>
      <w:r>
        <w:rPr>
          <w:rStyle w:val="14"/>
          <w:rFonts w:hint="default" w:ascii="Times New Roman" w:hAnsi="Times New Roman" w:eastAsia="仿宋_GB2312" w:cs="Times New Roman"/>
          <w:b w:val="0"/>
          <w:bCs/>
          <w:color w:val="auto"/>
          <w:spacing w:val="-4"/>
          <w:sz w:val="32"/>
          <w:szCs w:val="32"/>
          <w:highlight w:val="none"/>
          <w:lang w:eastAsia="zh-Hans"/>
        </w:rPr>
        <w:t>以后年度</w:t>
      </w:r>
      <w:r>
        <w:rPr>
          <w:rStyle w:val="14"/>
          <w:rFonts w:hint="default" w:ascii="Times New Roman" w:hAnsi="Times New Roman" w:eastAsia="仿宋_GB2312" w:cs="Times New Roman"/>
          <w:b w:val="0"/>
          <w:bCs/>
          <w:color w:val="auto"/>
          <w:spacing w:val="-4"/>
          <w:sz w:val="32"/>
          <w:szCs w:val="32"/>
          <w:highlight w:val="none"/>
          <w:lang w:val="en-US" w:eastAsia="zh-CN"/>
        </w:rPr>
        <w:t>编制</w:t>
      </w:r>
      <w:r>
        <w:rPr>
          <w:rStyle w:val="14"/>
          <w:rFonts w:hint="default" w:ascii="Times New Roman" w:hAnsi="Times New Roman" w:eastAsia="仿宋_GB2312" w:cs="Times New Roman"/>
          <w:b w:val="0"/>
          <w:bCs/>
          <w:color w:val="auto"/>
          <w:spacing w:val="-4"/>
          <w:sz w:val="32"/>
          <w:szCs w:val="32"/>
          <w:highlight w:val="none"/>
          <w:lang w:eastAsia="zh-Hans"/>
        </w:rPr>
        <w:t>预算时加强预算精准度</w:t>
      </w:r>
      <w:r>
        <w:rPr>
          <w:rStyle w:val="14"/>
          <w:rFonts w:ascii="Times New Roman" w:hAnsi="Times New Roman" w:eastAsia="仿宋_GB2312" w:cs="Times New Roman"/>
          <w:b w:val="0"/>
          <w:bCs/>
          <w:color w:val="auto"/>
          <w:spacing w:val="-4"/>
          <w:sz w:val="32"/>
          <w:szCs w:val="32"/>
          <w:highlight w:val="none"/>
        </w:rPr>
        <w:t>；</w:t>
      </w:r>
    </w:p>
    <w:p w14:paraId="30FB5057">
      <w:pPr>
        <w:pStyle w:val="2"/>
        <w:spacing w:before="0" w:after="0" w:line="560" w:lineRule="exact"/>
        <w:ind w:firstLine="640" w:firstLineChars="200"/>
        <w:jc w:val="both"/>
        <w:rPr>
          <w:rStyle w:val="14"/>
          <w:rFonts w:hint="default" w:ascii="Times New Roman" w:hAnsi="Times New Roman" w:eastAsia="仿宋" w:cs="Times New Roman"/>
          <w:b w:val="0"/>
          <w:bCs/>
          <w:spacing w:val="-4"/>
          <w:kern w:val="0"/>
          <w:sz w:val="32"/>
          <w:szCs w:val="32"/>
          <w:highlight w:val="none"/>
          <w:lang w:val="en-US" w:eastAsia="zh-CN" w:bidi="ar-SA"/>
        </w:rPr>
      </w:pPr>
      <w:r>
        <w:rPr>
          <w:rFonts w:hint="default" w:ascii="Times New Roman" w:hAnsi="Times New Roman" w:eastAsia="仿宋_GB2312" w:cs="Times New Roman"/>
          <w:b w:val="0"/>
          <w:bCs/>
          <w:kern w:val="2"/>
          <w:sz w:val="32"/>
          <w:szCs w:val="32"/>
          <w:highlight w:val="none"/>
          <w:lang w:val="en-US" w:eastAsia="zh-CN" w:bidi="ar-SA"/>
        </w:rPr>
        <w:t>指标2：设备验收合格率，指标值：</w:t>
      </w:r>
      <w:r>
        <w:rPr>
          <w:rStyle w:val="14"/>
          <w:rFonts w:hint="default" w:ascii="Times New Roman" w:hAnsi="Times New Roman" w:eastAsia="仿宋_GB2312" w:cs="Times New Roman"/>
          <w:b w:val="0"/>
          <w:bCs/>
          <w:color w:val="auto"/>
          <w:spacing w:val="-4"/>
          <w:sz w:val="32"/>
          <w:szCs w:val="32"/>
          <w:highlight w:val="none"/>
        </w:rPr>
        <w:t>＞95%</w:t>
      </w:r>
      <w:r>
        <w:rPr>
          <w:rFonts w:hint="default" w:ascii="Times New Roman" w:hAnsi="Times New Roman" w:eastAsia="仿宋_GB2312" w:cs="Times New Roman"/>
          <w:b w:val="0"/>
          <w:bCs/>
          <w:kern w:val="2"/>
          <w:sz w:val="32"/>
          <w:szCs w:val="32"/>
          <w:highlight w:val="none"/>
          <w:lang w:val="en-US" w:eastAsia="zh-CN" w:bidi="ar-SA"/>
        </w:rPr>
        <w:t>，实际完成值：=100%，指标完成率100%，</w:t>
      </w:r>
      <w:r>
        <w:rPr>
          <w:rFonts w:hint="default" w:ascii="Times New Roman" w:hAnsi="Times New Roman" w:eastAsia="仿宋_GB2312" w:cs="Times New Roman"/>
          <w:b w:val="0"/>
          <w:bCs/>
          <w:kern w:val="2"/>
          <w:sz w:val="32"/>
          <w:szCs w:val="32"/>
          <w:highlight w:val="none"/>
          <w:lang w:val="en-US" w:eastAsia="zh-Hans" w:bidi="ar-SA"/>
        </w:rPr>
        <w:t>偏差原因：</w:t>
      </w:r>
      <w:r>
        <w:rPr>
          <w:rStyle w:val="14"/>
          <w:rFonts w:hint="default" w:ascii="Times New Roman" w:hAnsi="Times New Roman" w:eastAsia="仿宋_GB2312" w:cs="Times New Roman"/>
          <w:b w:val="0"/>
          <w:bCs/>
          <w:color w:val="auto"/>
          <w:spacing w:val="-4"/>
          <w:sz w:val="32"/>
          <w:szCs w:val="32"/>
          <w:highlight w:val="none"/>
          <w:lang w:val="en-US" w:eastAsia="zh-CN"/>
        </w:rPr>
        <w:t>设置指标值不够精确，指标值偏低，</w:t>
      </w:r>
      <w:r>
        <w:rPr>
          <w:rStyle w:val="14"/>
          <w:rFonts w:hint="default" w:ascii="Times New Roman" w:hAnsi="Times New Roman" w:eastAsia="仿宋_GB2312" w:cs="Times New Roman"/>
          <w:b w:val="0"/>
          <w:bCs/>
          <w:color w:val="auto"/>
          <w:spacing w:val="-4"/>
          <w:sz w:val="32"/>
          <w:szCs w:val="32"/>
          <w:highlight w:val="none"/>
          <w:lang w:eastAsia="zh-Hans"/>
        </w:rPr>
        <w:t>以后年度</w:t>
      </w:r>
      <w:r>
        <w:rPr>
          <w:rStyle w:val="14"/>
          <w:rFonts w:hint="default" w:ascii="Times New Roman" w:hAnsi="Times New Roman" w:eastAsia="仿宋_GB2312" w:cs="Times New Roman"/>
          <w:b w:val="0"/>
          <w:bCs/>
          <w:color w:val="auto"/>
          <w:spacing w:val="-4"/>
          <w:sz w:val="32"/>
          <w:szCs w:val="32"/>
          <w:highlight w:val="none"/>
          <w:lang w:val="en-US" w:eastAsia="zh-CN"/>
        </w:rPr>
        <w:t>编制</w:t>
      </w:r>
      <w:r>
        <w:rPr>
          <w:rStyle w:val="14"/>
          <w:rFonts w:hint="default" w:ascii="Times New Roman" w:hAnsi="Times New Roman" w:eastAsia="仿宋_GB2312" w:cs="Times New Roman"/>
          <w:b w:val="0"/>
          <w:bCs/>
          <w:color w:val="auto"/>
          <w:spacing w:val="-4"/>
          <w:sz w:val="32"/>
          <w:szCs w:val="32"/>
          <w:highlight w:val="none"/>
          <w:lang w:eastAsia="zh-Hans"/>
        </w:rPr>
        <w:t>预算时加强预算精准度</w:t>
      </w:r>
      <w:r>
        <w:rPr>
          <w:rStyle w:val="14"/>
          <w:rFonts w:ascii="Times New Roman" w:hAnsi="Times New Roman" w:eastAsia="仿宋_GB2312" w:cs="Times New Roman"/>
          <w:b w:val="0"/>
          <w:bCs/>
          <w:color w:val="auto"/>
          <w:spacing w:val="-4"/>
          <w:sz w:val="32"/>
          <w:szCs w:val="32"/>
          <w:highlight w:val="none"/>
        </w:rPr>
        <w:t>；</w:t>
      </w:r>
    </w:p>
    <w:p w14:paraId="478CB7DC">
      <w:pPr>
        <w:spacing w:line="560" w:lineRule="exact"/>
        <w:ind w:firstLine="643" w:firstLineChars="200"/>
        <w:rPr>
          <w:rStyle w:val="16"/>
          <w:rFonts w:ascii="Times New Roman" w:hAnsi="Times New Roman" w:cs="Times New Roman"/>
          <w:b/>
          <w:bCs/>
          <w:color w:val="auto"/>
          <w:highlight w:val="none"/>
        </w:rPr>
      </w:pPr>
      <w:r>
        <w:rPr>
          <w:rStyle w:val="16"/>
          <w:rFonts w:ascii="Times New Roman" w:hAnsi="Times New Roman" w:cs="Times New Roman"/>
          <w:b/>
          <w:bCs/>
          <w:color w:val="auto"/>
          <w:highlight w:val="none"/>
        </w:rPr>
        <w:t>时效指标方面：</w:t>
      </w:r>
    </w:p>
    <w:p w14:paraId="3E4C9CFF">
      <w:pPr>
        <w:pStyle w:val="2"/>
        <w:spacing w:before="0" w:after="0" w:line="560" w:lineRule="exact"/>
        <w:ind w:firstLine="624" w:firstLineChars="200"/>
        <w:jc w:val="both"/>
        <w:rPr>
          <w:rStyle w:val="14"/>
          <w:rFonts w:hint="default" w:ascii="Times New Roman" w:hAnsi="Times New Roman" w:eastAsia="仿宋_GB2312" w:cs="Times New Roman"/>
          <w:b w:val="0"/>
          <w:bCs/>
          <w:color w:val="auto"/>
          <w:spacing w:val="-4"/>
          <w:sz w:val="32"/>
          <w:szCs w:val="32"/>
          <w:highlight w:val="none"/>
          <w:lang w:val="en-US" w:eastAsia="zh-CN"/>
        </w:rPr>
      </w:pPr>
      <w:r>
        <w:rPr>
          <w:rStyle w:val="14"/>
          <w:rFonts w:hint="default" w:ascii="Times New Roman" w:hAnsi="Times New Roman" w:eastAsia="仿宋_GB2312" w:cs="Times New Roman"/>
          <w:b w:val="0"/>
          <w:bCs/>
          <w:color w:val="auto"/>
          <w:spacing w:val="-4"/>
          <w:sz w:val="32"/>
          <w:szCs w:val="32"/>
          <w:highlight w:val="none"/>
        </w:rPr>
        <w:t>指标1：床位改造完成时间，指标值：2022年12月31日前，实际完成值：2022年12月31日，指标完成率</w:t>
      </w:r>
      <w:r>
        <w:rPr>
          <w:rStyle w:val="14"/>
          <w:rFonts w:hint="default" w:ascii="Times New Roman" w:hAnsi="Times New Roman" w:eastAsia="仿宋_GB2312" w:cs="Times New Roman"/>
          <w:b w:val="0"/>
          <w:bCs/>
          <w:color w:val="auto"/>
          <w:spacing w:val="-4"/>
          <w:sz w:val="32"/>
          <w:szCs w:val="32"/>
          <w:highlight w:val="none"/>
          <w:lang w:val="en-US" w:eastAsia="zh-CN"/>
        </w:rPr>
        <w:t>100</w:t>
      </w:r>
      <w:r>
        <w:rPr>
          <w:rStyle w:val="14"/>
          <w:rFonts w:hint="default" w:ascii="Times New Roman" w:hAnsi="Times New Roman" w:eastAsia="仿宋_GB2312" w:cs="Times New Roman"/>
          <w:b w:val="0"/>
          <w:bCs/>
          <w:color w:val="auto"/>
          <w:spacing w:val="-4"/>
          <w:sz w:val="32"/>
          <w:szCs w:val="32"/>
          <w:highlight w:val="none"/>
        </w:rPr>
        <w:t>%，</w:t>
      </w:r>
      <w:r>
        <w:rPr>
          <w:rStyle w:val="14"/>
          <w:rFonts w:hint="default" w:ascii="Times New Roman" w:hAnsi="Times New Roman" w:eastAsia="仿宋_GB2312" w:cs="Times New Roman"/>
          <w:b w:val="0"/>
          <w:bCs/>
          <w:color w:val="auto"/>
          <w:spacing w:val="-4"/>
          <w:sz w:val="32"/>
          <w:szCs w:val="32"/>
          <w:highlight w:val="none"/>
          <w:lang w:eastAsia="zh-Hans"/>
        </w:rPr>
        <w:t>偏差原因：</w:t>
      </w:r>
      <w:r>
        <w:rPr>
          <w:rStyle w:val="14"/>
          <w:rFonts w:hint="default" w:ascii="Times New Roman" w:hAnsi="Times New Roman" w:eastAsia="仿宋_GB2312" w:cs="Times New Roman"/>
          <w:b w:val="0"/>
          <w:bCs/>
          <w:color w:val="auto"/>
          <w:spacing w:val="-4"/>
          <w:sz w:val="32"/>
          <w:szCs w:val="32"/>
          <w:highlight w:val="none"/>
          <w:lang w:val="en-US" w:eastAsia="zh-CN"/>
        </w:rPr>
        <w:t>无偏差。</w:t>
      </w:r>
    </w:p>
    <w:p w14:paraId="0F9F6128">
      <w:pPr>
        <w:pStyle w:val="2"/>
        <w:spacing w:before="0" w:after="0" w:line="560" w:lineRule="exact"/>
        <w:ind w:firstLine="643" w:firstLineChars="200"/>
        <w:jc w:val="both"/>
        <w:rPr>
          <w:rStyle w:val="16"/>
          <w:rFonts w:ascii="Times New Roman" w:hAnsi="Times New Roman" w:cs="Times New Roman"/>
          <w:color w:val="auto"/>
          <w:highlight w:val="none"/>
        </w:rPr>
      </w:pPr>
      <w:r>
        <w:rPr>
          <w:rStyle w:val="16"/>
          <w:rFonts w:ascii="Times New Roman" w:hAnsi="Times New Roman" w:cs="Times New Roman"/>
          <w:color w:val="auto"/>
          <w:highlight w:val="none"/>
        </w:rPr>
        <w:t>成本指标方面：</w:t>
      </w:r>
    </w:p>
    <w:p w14:paraId="49632606">
      <w:pPr>
        <w:snapToGrid w:val="0"/>
        <w:spacing w:line="560" w:lineRule="exact"/>
        <w:ind w:firstLine="624" w:firstLineChars="200"/>
        <w:rPr>
          <w:rFonts w:hint="default" w:ascii="Times New Roman" w:hAnsi="Times New Roman" w:eastAsia="仿宋_GB2312" w:cs="Times New Roman"/>
          <w:color w:val="auto"/>
          <w:highlight w:val="none"/>
          <w:lang w:eastAsia="zh-CN"/>
        </w:rPr>
      </w:pPr>
      <w:r>
        <w:rPr>
          <w:rStyle w:val="14"/>
          <w:rFonts w:ascii="Times New Roman" w:hAnsi="Times New Roman" w:eastAsia="仿宋_GB2312" w:cs="Times New Roman"/>
          <w:b w:val="0"/>
          <w:color w:val="auto"/>
          <w:spacing w:val="-4"/>
          <w:sz w:val="32"/>
          <w:szCs w:val="32"/>
          <w:highlight w:val="none"/>
        </w:rPr>
        <w:t>指标1：</w:t>
      </w:r>
      <w:r>
        <w:rPr>
          <w:rStyle w:val="14"/>
          <w:rFonts w:hint="default" w:ascii="Times New Roman" w:hAnsi="Times New Roman" w:eastAsia="仿宋_GB2312" w:cs="Times New Roman"/>
          <w:b w:val="0"/>
          <w:color w:val="auto"/>
          <w:spacing w:val="-4"/>
          <w:sz w:val="32"/>
          <w:szCs w:val="32"/>
          <w:highlight w:val="none"/>
        </w:rPr>
        <w:t>设备采购成本控制数</w:t>
      </w:r>
      <w:r>
        <w:rPr>
          <w:rStyle w:val="14"/>
          <w:rFonts w:ascii="Times New Roman" w:hAnsi="Times New Roman" w:eastAsia="仿宋_GB2312" w:cs="Times New Roman"/>
          <w:b w:val="0"/>
          <w:color w:val="auto"/>
          <w:spacing w:val="-4"/>
          <w:sz w:val="32"/>
          <w:szCs w:val="32"/>
          <w:highlight w:val="none"/>
        </w:rPr>
        <w:t>，指标值：</w:t>
      </w:r>
      <w:r>
        <w:rPr>
          <w:rStyle w:val="14"/>
          <w:rFonts w:hint="default" w:ascii="Times New Roman" w:hAnsi="Times New Roman" w:eastAsia="仿宋_GB2312" w:cs="Times New Roman"/>
          <w:b w:val="0"/>
          <w:color w:val="auto"/>
          <w:spacing w:val="-4"/>
          <w:sz w:val="32"/>
          <w:szCs w:val="32"/>
          <w:highlight w:val="none"/>
          <w:lang w:val="en-US" w:eastAsia="zh-CN"/>
        </w:rPr>
        <w:t>=</w:t>
      </w:r>
      <w:r>
        <w:rPr>
          <w:rStyle w:val="14"/>
          <w:rFonts w:hint="default" w:ascii="Times New Roman" w:hAnsi="Times New Roman" w:eastAsia="仿宋_GB2312" w:cs="Times New Roman"/>
          <w:b w:val="0"/>
          <w:color w:val="auto"/>
          <w:spacing w:val="-4"/>
          <w:sz w:val="32"/>
          <w:szCs w:val="32"/>
          <w:highlight w:val="none"/>
        </w:rPr>
        <w:t>61万元/床</w:t>
      </w:r>
      <w:r>
        <w:rPr>
          <w:rStyle w:val="14"/>
          <w:rFonts w:ascii="Times New Roman" w:hAnsi="Times New Roman" w:eastAsia="仿宋_GB2312" w:cs="Times New Roman"/>
          <w:b w:val="0"/>
          <w:color w:val="auto"/>
          <w:spacing w:val="-4"/>
          <w:sz w:val="32"/>
          <w:szCs w:val="32"/>
          <w:highlight w:val="none"/>
        </w:rPr>
        <w:t>，实际完成值：</w:t>
      </w:r>
      <w:r>
        <w:rPr>
          <w:rStyle w:val="14"/>
          <w:rFonts w:hint="default" w:ascii="Times New Roman" w:hAnsi="Times New Roman" w:eastAsia="仿宋_GB2312" w:cs="Times New Roman"/>
          <w:b w:val="0"/>
          <w:color w:val="auto"/>
          <w:spacing w:val="-4"/>
          <w:sz w:val="32"/>
          <w:szCs w:val="32"/>
          <w:highlight w:val="none"/>
          <w:lang w:val="en-US" w:eastAsia="zh-CN"/>
        </w:rPr>
        <w:t>60.8</w:t>
      </w:r>
      <w:r>
        <w:rPr>
          <w:rStyle w:val="14"/>
          <w:rFonts w:hint="default" w:ascii="Times New Roman" w:hAnsi="Times New Roman" w:eastAsia="仿宋_GB2312" w:cs="Times New Roman"/>
          <w:b w:val="0"/>
          <w:color w:val="auto"/>
          <w:spacing w:val="-4"/>
          <w:sz w:val="32"/>
          <w:szCs w:val="32"/>
          <w:highlight w:val="none"/>
        </w:rPr>
        <w:t>万元/床</w:t>
      </w:r>
      <w:r>
        <w:rPr>
          <w:rStyle w:val="14"/>
          <w:rFonts w:ascii="Times New Roman" w:hAnsi="Times New Roman" w:eastAsia="仿宋_GB2312" w:cs="Times New Roman"/>
          <w:b w:val="0"/>
          <w:color w:val="auto"/>
          <w:spacing w:val="-4"/>
          <w:sz w:val="32"/>
          <w:szCs w:val="32"/>
          <w:highlight w:val="none"/>
        </w:rPr>
        <w:t>，指标完成率</w:t>
      </w:r>
      <w:r>
        <w:rPr>
          <w:rStyle w:val="14"/>
          <w:rFonts w:hint="default" w:ascii="Times New Roman" w:hAnsi="Times New Roman" w:eastAsia="仿宋_GB2312" w:cs="Times New Roman"/>
          <w:b w:val="0"/>
          <w:color w:val="auto"/>
          <w:spacing w:val="-4"/>
          <w:sz w:val="32"/>
          <w:szCs w:val="32"/>
          <w:highlight w:val="none"/>
          <w:lang w:val="en-US" w:eastAsia="zh-CN"/>
        </w:rPr>
        <w:t>99.67</w:t>
      </w:r>
      <w:r>
        <w:rPr>
          <w:rStyle w:val="14"/>
          <w:rFonts w:ascii="Times New Roman" w:hAnsi="Times New Roman" w:eastAsia="仿宋_GB2312" w:cs="Times New Roman"/>
          <w:b w:val="0"/>
          <w:color w:val="auto"/>
          <w:spacing w:val="-4"/>
          <w:sz w:val="32"/>
          <w:szCs w:val="32"/>
          <w:highlight w:val="none"/>
        </w:rPr>
        <w:t>%</w:t>
      </w:r>
      <w:r>
        <w:rPr>
          <w:rStyle w:val="14"/>
          <w:rFonts w:hint="default" w:ascii="Times New Roman" w:hAnsi="Times New Roman" w:eastAsia="仿宋_GB2312" w:cs="Times New Roman"/>
          <w:b w:val="0"/>
          <w:color w:val="auto"/>
          <w:spacing w:val="-4"/>
          <w:sz w:val="32"/>
          <w:szCs w:val="32"/>
          <w:highlight w:val="none"/>
        </w:rPr>
        <w:t>，</w:t>
      </w:r>
      <w:r>
        <w:rPr>
          <w:rStyle w:val="14"/>
          <w:rFonts w:hint="default" w:ascii="Times New Roman" w:hAnsi="Times New Roman" w:eastAsia="仿宋_GB2312" w:cs="Times New Roman"/>
          <w:b w:val="0"/>
          <w:color w:val="auto"/>
          <w:spacing w:val="-4"/>
          <w:sz w:val="32"/>
          <w:szCs w:val="32"/>
          <w:highlight w:val="none"/>
          <w:lang w:eastAsia="zh-Hans"/>
        </w:rPr>
        <w:t>偏差原因：</w:t>
      </w:r>
      <w:r>
        <w:rPr>
          <w:rStyle w:val="14"/>
          <w:rFonts w:hint="default" w:ascii="Times New Roman" w:hAnsi="Times New Roman" w:eastAsia="仿宋_GB2312" w:cs="Times New Roman"/>
          <w:b w:val="0"/>
          <w:bCs/>
          <w:color w:val="auto"/>
          <w:spacing w:val="-4"/>
          <w:sz w:val="32"/>
          <w:szCs w:val="32"/>
          <w:highlight w:val="none"/>
          <w:lang w:val="en-US" w:eastAsia="zh-CN"/>
        </w:rPr>
        <w:t>年初设置指标值不够精确。改进措施：</w:t>
      </w:r>
      <w:r>
        <w:rPr>
          <w:rStyle w:val="14"/>
          <w:rFonts w:hint="default" w:ascii="Times New Roman" w:hAnsi="Times New Roman" w:eastAsia="仿宋_GB2312" w:cs="Times New Roman"/>
          <w:b w:val="0"/>
          <w:color w:val="auto"/>
          <w:spacing w:val="-4"/>
          <w:sz w:val="32"/>
          <w:szCs w:val="32"/>
          <w:highlight w:val="none"/>
          <w:lang w:eastAsia="zh-Hans"/>
        </w:rPr>
        <w:t>以后年度</w:t>
      </w:r>
      <w:r>
        <w:rPr>
          <w:rStyle w:val="14"/>
          <w:rFonts w:hint="default" w:ascii="Times New Roman" w:hAnsi="Times New Roman" w:eastAsia="仿宋_GB2312" w:cs="Times New Roman"/>
          <w:b w:val="0"/>
          <w:color w:val="auto"/>
          <w:spacing w:val="-4"/>
          <w:sz w:val="32"/>
          <w:szCs w:val="32"/>
          <w:highlight w:val="none"/>
          <w:lang w:val="en-US" w:eastAsia="zh-CN"/>
        </w:rPr>
        <w:t>编制</w:t>
      </w:r>
      <w:r>
        <w:rPr>
          <w:rStyle w:val="14"/>
          <w:rFonts w:hint="default" w:ascii="Times New Roman" w:hAnsi="Times New Roman" w:eastAsia="仿宋_GB2312" w:cs="Times New Roman"/>
          <w:b w:val="0"/>
          <w:color w:val="auto"/>
          <w:spacing w:val="-4"/>
          <w:sz w:val="32"/>
          <w:szCs w:val="32"/>
          <w:highlight w:val="none"/>
          <w:lang w:eastAsia="zh-Hans"/>
        </w:rPr>
        <w:t>预算时加强预算精准度</w:t>
      </w:r>
      <w:r>
        <w:rPr>
          <w:rStyle w:val="14"/>
          <w:rFonts w:hint="default" w:ascii="Times New Roman" w:hAnsi="Times New Roman" w:eastAsia="仿宋_GB2312" w:cs="Times New Roman"/>
          <w:b w:val="0"/>
          <w:color w:val="auto"/>
          <w:spacing w:val="-4"/>
          <w:sz w:val="32"/>
          <w:szCs w:val="32"/>
          <w:highlight w:val="none"/>
          <w:lang w:eastAsia="zh-CN"/>
        </w:rPr>
        <w:t>。</w:t>
      </w:r>
    </w:p>
    <w:p w14:paraId="732351DC">
      <w:pPr>
        <w:pStyle w:val="10"/>
        <w:numPr>
          <w:ilvl w:val="0"/>
          <w:numId w:val="4"/>
        </w:numPr>
        <w:spacing w:line="560" w:lineRule="exact"/>
        <w:ind w:firstLine="640"/>
        <w:rPr>
          <w:rFonts w:ascii="Times New Roman" w:hAnsi="Times New Roman" w:eastAsia="楷体_GB2312" w:cs="Times New Roman"/>
          <w:b/>
          <w:bCs/>
          <w:color w:val="auto"/>
          <w:sz w:val="32"/>
          <w:szCs w:val="32"/>
          <w:highlight w:val="none"/>
        </w:rPr>
      </w:pPr>
      <w:r>
        <w:rPr>
          <w:rFonts w:ascii="Times New Roman" w:hAnsi="Times New Roman" w:eastAsia="楷体_GB2312" w:cs="Times New Roman"/>
          <w:b/>
          <w:bCs/>
          <w:color w:val="auto"/>
          <w:sz w:val="32"/>
          <w:szCs w:val="32"/>
          <w:highlight w:val="none"/>
        </w:rPr>
        <w:t>效益情况</w:t>
      </w:r>
    </w:p>
    <w:p w14:paraId="21147530">
      <w:pPr>
        <w:spacing w:line="560" w:lineRule="exact"/>
        <w:ind w:firstLine="643" w:firstLineChars="200"/>
        <w:rPr>
          <w:rStyle w:val="16"/>
          <w:rFonts w:ascii="Times New Roman" w:hAnsi="Times New Roman" w:cs="Times New Roman"/>
          <w:b/>
          <w:bCs/>
          <w:color w:val="auto"/>
          <w:highlight w:val="none"/>
        </w:rPr>
      </w:pPr>
      <w:r>
        <w:rPr>
          <w:rStyle w:val="16"/>
          <w:rFonts w:ascii="Times New Roman" w:hAnsi="Times New Roman" w:cs="Times New Roman"/>
          <w:b/>
          <w:bCs/>
          <w:color w:val="auto"/>
          <w:highlight w:val="none"/>
        </w:rPr>
        <w:t>社会效益指标方面：</w:t>
      </w:r>
    </w:p>
    <w:p w14:paraId="1A28FFB0">
      <w:pPr>
        <w:spacing w:line="560" w:lineRule="exact"/>
        <w:ind w:firstLine="640" w:firstLineChars="200"/>
        <w:rPr>
          <w:rStyle w:val="16"/>
          <w:rFonts w:ascii="Times New Roman" w:hAnsi="Times New Roman" w:cs="Times New Roman"/>
          <w:color w:val="auto"/>
          <w:highlight w:val="none"/>
        </w:rPr>
      </w:pPr>
      <w:r>
        <w:rPr>
          <w:rStyle w:val="16"/>
          <w:rFonts w:ascii="Times New Roman" w:hAnsi="Times New Roman" w:cs="Times New Roman"/>
          <w:color w:val="auto"/>
          <w:highlight w:val="none"/>
        </w:rPr>
        <w:t>指标1：</w:t>
      </w:r>
      <w:r>
        <w:rPr>
          <w:rStyle w:val="16"/>
          <w:rFonts w:hint="default" w:ascii="Times New Roman" w:hAnsi="Times New Roman" w:cs="Times New Roman"/>
          <w:color w:val="auto"/>
          <w:highlight w:val="none"/>
        </w:rPr>
        <w:t>设备利用率</w:t>
      </w:r>
      <w:r>
        <w:rPr>
          <w:rStyle w:val="16"/>
          <w:rFonts w:ascii="Times New Roman" w:hAnsi="Times New Roman" w:cs="Times New Roman"/>
          <w:color w:val="auto"/>
          <w:highlight w:val="none"/>
        </w:rPr>
        <w:t>，指标值：</w:t>
      </w:r>
      <w:r>
        <w:rPr>
          <w:rStyle w:val="14"/>
          <w:rFonts w:hint="default" w:ascii="Times New Roman" w:hAnsi="Times New Roman" w:eastAsia="仿宋_GB2312" w:cs="Times New Roman"/>
          <w:b w:val="0"/>
          <w:color w:val="auto"/>
          <w:spacing w:val="-4"/>
          <w:sz w:val="32"/>
          <w:szCs w:val="32"/>
          <w:highlight w:val="none"/>
        </w:rPr>
        <w:t>＞</w:t>
      </w:r>
      <w:r>
        <w:rPr>
          <w:rStyle w:val="14"/>
          <w:rFonts w:hint="default" w:ascii="Times New Roman" w:hAnsi="Times New Roman" w:eastAsia="仿宋_GB2312" w:cs="Times New Roman"/>
          <w:b w:val="0"/>
          <w:color w:val="auto"/>
          <w:spacing w:val="-4"/>
          <w:sz w:val="32"/>
          <w:szCs w:val="32"/>
          <w:highlight w:val="none"/>
          <w:lang w:val="en-US" w:eastAsia="zh-CN"/>
        </w:rPr>
        <w:t>70</w:t>
      </w:r>
      <w:r>
        <w:rPr>
          <w:rStyle w:val="14"/>
          <w:rFonts w:hint="default" w:ascii="Times New Roman" w:hAnsi="Times New Roman" w:eastAsia="仿宋_GB2312" w:cs="Times New Roman"/>
          <w:b w:val="0"/>
          <w:color w:val="auto"/>
          <w:spacing w:val="-4"/>
          <w:sz w:val="32"/>
          <w:szCs w:val="32"/>
          <w:highlight w:val="none"/>
        </w:rPr>
        <w:t>%</w:t>
      </w:r>
      <w:r>
        <w:rPr>
          <w:rStyle w:val="16"/>
          <w:rFonts w:ascii="Times New Roman" w:hAnsi="Times New Roman" w:cs="Times New Roman"/>
          <w:color w:val="auto"/>
          <w:highlight w:val="none"/>
        </w:rPr>
        <w:t>，实际完成值：</w:t>
      </w:r>
      <w:r>
        <w:rPr>
          <w:rStyle w:val="16"/>
          <w:rFonts w:hint="eastAsia" w:eastAsia="仿宋_GB2312" w:cs="Times New Roman"/>
          <w:color w:val="auto"/>
          <w:highlight w:val="none"/>
          <w:lang w:val="en-US" w:eastAsia="zh-CN"/>
        </w:rPr>
        <w:t>=100%</w:t>
      </w:r>
      <w:r>
        <w:rPr>
          <w:rStyle w:val="16"/>
          <w:rFonts w:ascii="Times New Roman" w:hAnsi="Times New Roman" w:cs="Times New Roman"/>
          <w:color w:val="auto"/>
          <w:highlight w:val="none"/>
        </w:rPr>
        <w:t>，指标完成率</w:t>
      </w:r>
      <w:r>
        <w:rPr>
          <w:rStyle w:val="16"/>
          <w:rFonts w:hint="default" w:ascii="Times New Roman" w:hAnsi="Times New Roman" w:eastAsia="仿宋_GB2312" w:cs="Times New Roman"/>
          <w:color w:val="auto"/>
          <w:highlight w:val="none"/>
          <w:lang w:val="en-US" w:eastAsia="zh-CN"/>
        </w:rPr>
        <w:t>100</w:t>
      </w:r>
      <w:r>
        <w:rPr>
          <w:rStyle w:val="16"/>
          <w:rFonts w:ascii="Times New Roman" w:hAnsi="Times New Roman" w:cs="Times New Roman"/>
          <w:color w:val="auto"/>
          <w:highlight w:val="none"/>
        </w:rPr>
        <w:t>%</w:t>
      </w:r>
      <w:r>
        <w:rPr>
          <w:rStyle w:val="14"/>
          <w:rFonts w:hint="default" w:ascii="Times New Roman" w:hAnsi="Times New Roman" w:eastAsia="仿宋_GB2312" w:cs="Times New Roman"/>
          <w:b w:val="0"/>
          <w:color w:val="auto"/>
          <w:spacing w:val="-4"/>
          <w:sz w:val="32"/>
          <w:szCs w:val="32"/>
          <w:highlight w:val="none"/>
        </w:rPr>
        <w:t>，</w:t>
      </w:r>
      <w:r>
        <w:rPr>
          <w:rStyle w:val="14"/>
          <w:rFonts w:hint="default" w:ascii="Times New Roman" w:hAnsi="Times New Roman" w:eastAsia="仿宋_GB2312" w:cs="Times New Roman"/>
          <w:b w:val="0"/>
          <w:color w:val="auto"/>
          <w:spacing w:val="-4"/>
          <w:sz w:val="32"/>
          <w:szCs w:val="32"/>
          <w:highlight w:val="none"/>
          <w:lang w:eastAsia="zh-Hans"/>
        </w:rPr>
        <w:t>偏差原因：</w:t>
      </w:r>
      <w:r>
        <w:rPr>
          <w:rStyle w:val="14"/>
          <w:rFonts w:hint="default" w:ascii="Times New Roman" w:hAnsi="Times New Roman" w:eastAsia="仿宋_GB2312" w:cs="Times New Roman"/>
          <w:b w:val="0"/>
          <w:color w:val="auto"/>
          <w:spacing w:val="-4"/>
          <w:sz w:val="32"/>
          <w:szCs w:val="32"/>
          <w:highlight w:val="none"/>
          <w:lang w:val="en-US" w:eastAsia="zh-CN"/>
        </w:rPr>
        <w:t>设置指标值不够精确，指标值过低，以后年度编制预算时加强预算精准度</w:t>
      </w:r>
      <w:r>
        <w:rPr>
          <w:rStyle w:val="16"/>
          <w:rFonts w:ascii="Times New Roman" w:hAnsi="Times New Roman" w:cs="Times New Roman"/>
          <w:color w:val="auto"/>
          <w:highlight w:val="none"/>
        </w:rPr>
        <w:t>；</w:t>
      </w:r>
    </w:p>
    <w:p w14:paraId="7E27A1AB">
      <w:pPr>
        <w:spacing w:line="560" w:lineRule="exact"/>
        <w:ind w:firstLine="643" w:firstLineChars="200"/>
        <w:rPr>
          <w:rStyle w:val="16"/>
          <w:rFonts w:ascii="Times New Roman" w:hAnsi="Times New Roman" w:cs="Times New Roman"/>
          <w:b/>
          <w:bCs/>
          <w:color w:val="auto"/>
          <w:highlight w:val="none"/>
        </w:rPr>
      </w:pPr>
      <w:r>
        <w:rPr>
          <w:rStyle w:val="16"/>
          <w:rFonts w:ascii="Times New Roman" w:hAnsi="Times New Roman" w:cs="Times New Roman"/>
          <w:b/>
          <w:bCs/>
          <w:color w:val="auto"/>
          <w:highlight w:val="none"/>
        </w:rPr>
        <w:t>满意度指标方面：</w:t>
      </w:r>
    </w:p>
    <w:p w14:paraId="7D9CC8A7">
      <w:pPr>
        <w:snapToGrid w:val="0"/>
        <w:spacing w:line="560" w:lineRule="exact"/>
        <w:ind w:firstLine="624" w:firstLineChars="200"/>
        <w:rPr>
          <w:rFonts w:hint="default" w:ascii="Times New Roman" w:hAnsi="Times New Roman" w:eastAsia="仿宋_GB2312" w:cs="Times New Roman"/>
          <w:sz w:val="32"/>
          <w:szCs w:val="32"/>
          <w:highlight w:val="none"/>
        </w:rPr>
      </w:pPr>
      <w:r>
        <w:rPr>
          <w:rStyle w:val="14"/>
          <w:rFonts w:ascii="Times New Roman" w:hAnsi="Times New Roman" w:eastAsia="仿宋_GB2312" w:cs="Times New Roman"/>
          <w:b w:val="0"/>
          <w:color w:val="auto"/>
          <w:spacing w:val="-4"/>
          <w:sz w:val="32"/>
          <w:szCs w:val="32"/>
          <w:highlight w:val="none"/>
        </w:rPr>
        <w:t>指标1：</w:t>
      </w:r>
      <w:r>
        <w:rPr>
          <w:rStyle w:val="14"/>
          <w:rFonts w:hint="default" w:ascii="Times New Roman" w:hAnsi="Times New Roman" w:eastAsia="仿宋_GB2312" w:cs="Times New Roman"/>
          <w:b w:val="0"/>
          <w:color w:val="auto"/>
          <w:spacing w:val="-4"/>
          <w:sz w:val="32"/>
          <w:szCs w:val="32"/>
          <w:highlight w:val="none"/>
        </w:rPr>
        <w:t>使用人员满意度</w:t>
      </w:r>
      <w:r>
        <w:rPr>
          <w:rStyle w:val="14"/>
          <w:rFonts w:ascii="Times New Roman" w:hAnsi="Times New Roman" w:eastAsia="仿宋_GB2312" w:cs="Times New Roman"/>
          <w:b w:val="0"/>
          <w:color w:val="auto"/>
          <w:spacing w:val="-4"/>
          <w:sz w:val="32"/>
          <w:szCs w:val="32"/>
          <w:highlight w:val="none"/>
        </w:rPr>
        <w:t>，指标值：</w:t>
      </w:r>
      <w:r>
        <w:rPr>
          <w:rStyle w:val="14"/>
          <w:rFonts w:hint="default" w:ascii="Times New Roman" w:hAnsi="Times New Roman" w:eastAsia="仿宋_GB2312" w:cs="Times New Roman"/>
          <w:b w:val="0"/>
          <w:color w:val="auto"/>
          <w:spacing w:val="-4"/>
          <w:sz w:val="32"/>
          <w:szCs w:val="32"/>
          <w:highlight w:val="none"/>
        </w:rPr>
        <w:t>＞9</w:t>
      </w:r>
      <w:r>
        <w:rPr>
          <w:rStyle w:val="14"/>
          <w:rFonts w:hint="default" w:ascii="Times New Roman" w:hAnsi="Times New Roman" w:eastAsia="仿宋_GB2312" w:cs="Times New Roman"/>
          <w:b w:val="0"/>
          <w:color w:val="auto"/>
          <w:spacing w:val="-4"/>
          <w:sz w:val="32"/>
          <w:szCs w:val="32"/>
          <w:highlight w:val="none"/>
          <w:lang w:val="en-US" w:eastAsia="zh-CN"/>
        </w:rPr>
        <w:t>0</w:t>
      </w:r>
      <w:r>
        <w:rPr>
          <w:rStyle w:val="14"/>
          <w:rFonts w:hint="default" w:ascii="Times New Roman" w:hAnsi="Times New Roman" w:eastAsia="仿宋_GB2312" w:cs="Times New Roman"/>
          <w:b w:val="0"/>
          <w:color w:val="auto"/>
          <w:spacing w:val="-4"/>
          <w:sz w:val="32"/>
          <w:szCs w:val="32"/>
          <w:highlight w:val="none"/>
        </w:rPr>
        <w:t>%</w:t>
      </w:r>
      <w:r>
        <w:rPr>
          <w:rStyle w:val="14"/>
          <w:rFonts w:ascii="Times New Roman" w:hAnsi="Times New Roman" w:eastAsia="仿宋_GB2312" w:cs="Times New Roman"/>
          <w:b w:val="0"/>
          <w:color w:val="auto"/>
          <w:spacing w:val="-4"/>
          <w:sz w:val="32"/>
          <w:szCs w:val="32"/>
          <w:highlight w:val="none"/>
        </w:rPr>
        <w:t>，实际完成值：</w:t>
      </w:r>
      <w:r>
        <w:rPr>
          <w:rStyle w:val="14"/>
          <w:rFonts w:hint="default" w:ascii="Times New Roman" w:hAnsi="Times New Roman" w:eastAsia="仿宋_GB2312" w:cs="Times New Roman"/>
          <w:b w:val="0"/>
          <w:color w:val="auto"/>
          <w:spacing w:val="-4"/>
          <w:sz w:val="32"/>
          <w:szCs w:val="32"/>
          <w:highlight w:val="none"/>
          <w:lang w:val="en-US" w:eastAsia="zh-CN"/>
        </w:rPr>
        <w:t>=100%</w:t>
      </w:r>
      <w:r>
        <w:rPr>
          <w:rStyle w:val="14"/>
          <w:rFonts w:ascii="Times New Roman" w:hAnsi="Times New Roman" w:eastAsia="仿宋_GB2312" w:cs="Times New Roman"/>
          <w:b w:val="0"/>
          <w:color w:val="auto"/>
          <w:spacing w:val="-4"/>
          <w:sz w:val="32"/>
          <w:szCs w:val="32"/>
          <w:highlight w:val="none"/>
        </w:rPr>
        <w:t>，指标完成率</w:t>
      </w:r>
      <w:r>
        <w:rPr>
          <w:rStyle w:val="14"/>
          <w:rFonts w:hint="default" w:ascii="Times New Roman" w:hAnsi="Times New Roman" w:eastAsia="仿宋_GB2312" w:cs="Times New Roman"/>
          <w:b w:val="0"/>
          <w:color w:val="auto"/>
          <w:spacing w:val="-4"/>
          <w:sz w:val="32"/>
          <w:szCs w:val="32"/>
          <w:highlight w:val="none"/>
          <w:lang w:val="en-US" w:eastAsia="zh-CN"/>
        </w:rPr>
        <w:t>111.11</w:t>
      </w:r>
      <w:r>
        <w:rPr>
          <w:rStyle w:val="14"/>
          <w:rFonts w:ascii="Times New Roman" w:hAnsi="Times New Roman" w:eastAsia="仿宋_GB2312" w:cs="Times New Roman"/>
          <w:b w:val="0"/>
          <w:color w:val="auto"/>
          <w:spacing w:val="-4"/>
          <w:sz w:val="32"/>
          <w:szCs w:val="32"/>
          <w:highlight w:val="none"/>
        </w:rPr>
        <w:t>%</w:t>
      </w:r>
      <w:r>
        <w:rPr>
          <w:rStyle w:val="14"/>
          <w:rFonts w:hint="default" w:ascii="Times New Roman" w:hAnsi="Times New Roman" w:eastAsia="仿宋_GB2312" w:cs="Times New Roman"/>
          <w:b w:val="0"/>
          <w:color w:val="auto"/>
          <w:spacing w:val="-4"/>
          <w:sz w:val="32"/>
          <w:szCs w:val="32"/>
          <w:highlight w:val="none"/>
        </w:rPr>
        <w:t>，</w:t>
      </w:r>
      <w:r>
        <w:rPr>
          <w:rStyle w:val="14"/>
          <w:rFonts w:hint="default" w:ascii="Times New Roman" w:hAnsi="Times New Roman" w:eastAsia="仿宋_GB2312" w:cs="Times New Roman"/>
          <w:b w:val="0"/>
          <w:color w:val="auto"/>
          <w:spacing w:val="-4"/>
          <w:sz w:val="32"/>
          <w:szCs w:val="32"/>
          <w:highlight w:val="none"/>
          <w:lang w:eastAsia="zh-Hans"/>
        </w:rPr>
        <w:t>偏差原因：</w:t>
      </w:r>
      <w:r>
        <w:rPr>
          <w:rStyle w:val="14"/>
          <w:rFonts w:hint="default" w:ascii="Times New Roman" w:hAnsi="Times New Roman" w:eastAsia="仿宋_GB2312" w:cs="Times New Roman"/>
          <w:b w:val="0"/>
          <w:bCs/>
          <w:color w:val="auto"/>
          <w:spacing w:val="-4"/>
          <w:sz w:val="32"/>
          <w:szCs w:val="32"/>
          <w:highlight w:val="none"/>
          <w:lang w:val="en-US" w:eastAsia="zh-CN"/>
        </w:rPr>
        <w:t>年初设置指标值不够精确，指标值偏低，</w:t>
      </w:r>
      <w:r>
        <w:rPr>
          <w:rStyle w:val="14"/>
          <w:rFonts w:hint="default" w:ascii="Times New Roman" w:hAnsi="Times New Roman" w:eastAsia="仿宋_GB2312" w:cs="Times New Roman"/>
          <w:b w:val="0"/>
          <w:color w:val="auto"/>
          <w:spacing w:val="-4"/>
          <w:sz w:val="32"/>
          <w:szCs w:val="32"/>
          <w:highlight w:val="none"/>
          <w:lang w:eastAsia="zh-Hans"/>
        </w:rPr>
        <w:t>以后年度</w:t>
      </w:r>
      <w:r>
        <w:rPr>
          <w:rStyle w:val="14"/>
          <w:rFonts w:hint="default" w:ascii="Times New Roman" w:hAnsi="Times New Roman" w:eastAsia="仿宋_GB2312" w:cs="Times New Roman"/>
          <w:b w:val="0"/>
          <w:color w:val="auto"/>
          <w:spacing w:val="-4"/>
          <w:sz w:val="32"/>
          <w:szCs w:val="32"/>
          <w:highlight w:val="none"/>
          <w:lang w:val="en-US" w:eastAsia="zh-CN"/>
        </w:rPr>
        <w:t>编制</w:t>
      </w:r>
      <w:r>
        <w:rPr>
          <w:rStyle w:val="14"/>
          <w:rFonts w:hint="default" w:ascii="Times New Roman" w:hAnsi="Times New Roman" w:eastAsia="仿宋_GB2312" w:cs="Times New Roman"/>
          <w:b w:val="0"/>
          <w:color w:val="auto"/>
          <w:spacing w:val="-4"/>
          <w:sz w:val="32"/>
          <w:szCs w:val="32"/>
          <w:highlight w:val="none"/>
          <w:lang w:eastAsia="zh-Hans"/>
        </w:rPr>
        <w:t>预算时加强预算精准度</w:t>
      </w:r>
      <w:r>
        <w:rPr>
          <w:rStyle w:val="14"/>
          <w:rFonts w:hint="default" w:ascii="Times New Roman" w:hAnsi="Times New Roman" w:eastAsia="仿宋_GB2312" w:cs="Times New Roman"/>
          <w:b w:val="0"/>
          <w:color w:val="auto"/>
          <w:spacing w:val="-4"/>
          <w:sz w:val="32"/>
          <w:szCs w:val="32"/>
          <w:highlight w:val="none"/>
          <w:lang w:eastAsia="zh-CN"/>
        </w:rPr>
        <w:t>。</w:t>
      </w:r>
    </w:p>
    <w:p w14:paraId="38D1C79B">
      <w:pPr>
        <w:spacing w:line="560" w:lineRule="exact"/>
        <w:ind w:firstLine="640" w:firstLineChars="200"/>
        <w:rPr>
          <w:rFonts w:ascii="Times New Roman" w:hAnsi="Times New Roman" w:eastAsia="黑体" w:cs="Times New Roman"/>
          <w:sz w:val="32"/>
          <w:szCs w:val="32"/>
          <w:highlight w:val="none"/>
          <w:lang w:eastAsia="zh-Hans"/>
        </w:rPr>
      </w:pPr>
      <w:r>
        <w:rPr>
          <w:rFonts w:ascii="Times New Roman" w:hAnsi="Times New Roman" w:eastAsia="黑体" w:cs="Times New Roman"/>
          <w:sz w:val="32"/>
          <w:szCs w:val="32"/>
          <w:highlight w:val="none"/>
        </w:rPr>
        <w:t>五、</w:t>
      </w:r>
      <w:r>
        <w:rPr>
          <w:rFonts w:hint="default" w:ascii="Times New Roman" w:hAnsi="Times New Roman" w:eastAsia="黑体" w:cs="Times New Roman"/>
          <w:sz w:val="32"/>
          <w:szCs w:val="32"/>
          <w:highlight w:val="none"/>
          <w:lang w:eastAsia="zh-Hans"/>
        </w:rPr>
        <w:t>预算执行进度与绩效指标总体完成率偏差</w:t>
      </w:r>
    </w:p>
    <w:p w14:paraId="01CA26D7">
      <w:pPr>
        <w:pStyle w:val="17"/>
        <w:spacing w:line="560" w:lineRule="exact"/>
        <w:ind w:firstLine="640"/>
        <w:rPr>
          <w:rFonts w:hint="default" w:ascii="Times New Roman" w:hAnsi="Times New Roman" w:eastAsia="仿宋_GB2312" w:cs="Times New Roman"/>
          <w:highlight w:val="none"/>
        </w:rPr>
      </w:pPr>
      <w:r>
        <w:rPr>
          <w:rFonts w:hint="default" w:ascii="Times New Roman" w:hAnsi="Times New Roman" w:eastAsia="仿宋_GB2312" w:cs="Times New Roman"/>
          <w:sz w:val="32"/>
          <w:szCs w:val="32"/>
          <w:highlight w:val="none"/>
          <w:lang w:val="en-US" w:eastAsia="zh-CN"/>
        </w:rPr>
        <w:t>自治区2023年第一批疫情防控补助资金（自治区本级医疗机构重症床位设备配置经费）</w:t>
      </w:r>
      <w:r>
        <w:rPr>
          <w:rFonts w:hint="default" w:ascii="Times New Roman" w:hAnsi="Times New Roman" w:eastAsia="仿宋_GB2312" w:cs="Times New Roman"/>
          <w:sz w:val="32"/>
          <w:szCs w:val="32"/>
          <w:highlight w:val="none"/>
        </w:rPr>
        <w:t>项目预算</w:t>
      </w:r>
      <w:r>
        <w:rPr>
          <w:rFonts w:hint="default" w:ascii="Times New Roman" w:hAnsi="Times New Roman" w:eastAsia="仿宋_GB2312" w:cs="Times New Roman"/>
          <w:sz w:val="32"/>
          <w:szCs w:val="32"/>
          <w:highlight w:val="none"/>
          <w:lang w:val="en-US" w:eastAsia="zh-CN"/>
        </w:rPr>
        <w:t>2922</w:t>
      </w:r>
      <w:r>
        <w:rPr>
          <w:rFonts w:hint="default" w:ascii="Times New Roman" w:hAnsi="Times New Roman" w:eastAsia="仿宋_GB2312" w:cs="Times New Roman"/>
          <w:sz w:val="32"/>
          <w:szCs w:val="32"/>
          <w:highlight w:val="none"/>
        </w:rPr>
        <w:t>万元，到位</w:t>
      </w:r>
      <w:r>
        <w:rPr>
          <w:rFonts w:hint="default" w:ascii="Times New Roman" w:hAnsi="Times New Roman" w:eastAsia="仿宋_GB2312" w:cs="Times New Roman"/>
          <w:sz w:val="32"/>
          <w:szCs w:val="32"/>
          <w:highlight w:val="none"/>
          <w:lang w:val="en-US" w:eastAsia="zh-CN"/>
        </w:rPr>
        <w:t>2922</w:t>
      </w:r>
      <w:r>
        <w:rPr>
          <w:rFonts w:hint="default" w:ascii="Times New Roman" w:hAnsi="Times New Roman" w:eastAsia="仿宋_GB2312" w:cs="Times New Roman"/>
          <w:sz w:val="32"/>
          <w:szCs w:val="32"/>
          <w:highlight w:val="none"/>
        </w:rPr>
        <w:t>万元，实际支出</w:t>
      </w:r>
      <w:r>
        <w:rPr>
          <w:rFonts w:hint="default" w:ascii="Times New Roman" w:hAnsi="Times New Roman" w:eastAsia="仿宋_GB2312" w:cs="Times New Roman"/>
          <w:sz w:val="32"/>
          <w:szCs w:val="32"/>
          <w:highlight w:val="none"/>
          <w:lang w:val="en-US" w:eastAsia="zh-CN"/>
        </w:rPr>
        <w:t>2922</w:t>
      </w:r>
      <w:r>
        <w:rPr>
          <w:rFonts w:hint="default" w:ascii="Times New Roman" w:hAnsi="Times New Roman" w:eastAsia="仿宋_GB2312" w:cs="Times New Roman"/>
          <w:sz w:val="32"/>
          <w:szCs w:val="32"/>
          <w:highlight w:val="none"/>
        </w:rPr>
        <w:t>万元，预算执行率为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%，项目绩效指标总体完成率为</w:t>
      </w:r>
      <w:r>
        <w:rPr>
          <w:rFonts w:hint="default" w:ascii="Times New Roman" w:hAnsi="Times New Roman" w:eastAsia="仿宋_GB2312" w:cs="Times New Roman"/>
          <w:sz w:val="32"/>
          <w:szCs w:val="32"/>
          <w:highlight w:val="none"/>
          <w:lang w:val="en-US" w:eastAsia="zh-CN"/>
        </w:rPr>
        <w:t>101.54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Hans"/>
        </w:rPr>
        <w:t>总体</w:t>
      </w:r>
      <w:r>
        <w:rPr>
          <w:rFonts w:hint="default" w:ascii="Times New Roman" w:hAnsi="Times New Roman" w:eastAsia="仿宋_GB2312" w:cs="Times New Roman"/>
          <w:sz w:val="32"/>
          <w:szCs w:val="32"/>
          <w:highlight w:val="none"/>
        </w:rPr>
        <w:t>偏差率为</w:t>
      </w:r>
      <w:r>
        <w:rPr>
          <w:rFonts w:hint="default" w:ascii="Times New Roman" w:hAnsi="Times New Roman" w:eastAsia="仿宋_GB2312" w:cs="Times New Roman"/>
          <w:sz w:val="32"/>
          <w:szCs w:val="32"/>
          <w:highlight w:val="none"/>
          <w:lang w:val="en-US" w:eastAsia="zh-CN"/>
        </w:rPr>
        <w:t>1.54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Hans"/>
        </w:rPr>
        <w:t>偏差</w:t>
      </w:r>
      <w:r>
        <w:rPr>
          <w:rFonts w:hint="default" w:ascii="Times New Roman" w:hAnsi="Times New Roman" w:eastAsia="仿宋_GB2312" w:cs="Times New Roman"/>
          <w:sz w:val="32"/>
          <w:szCs w:val="32"/>
          <w:highlight w:val="none"/>
        </w:rPr>
        <w:t>原因</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年初设置指标值不够精确，指标值偏低，</w:t>
      </w:r>
      <w:r>
        <w:rPr>
          <w:rFonts w:hint="default" w:ascii="Times New Roman" w:hAnsi="Times New Roman" w:eastAsia="仿宋_GB2312" w:cs="Times New Roman"/>
          <w:sz w:val="32"/>
          <w:szCs w:val="32"/>
          <w:highlight w:val="none"/>
          <w:lang w:eastAsia="zh-Hans"/>
        </w:rPr>
        <w:t>改进</w:t>
      </w:r>
      <w:r>
        <w:rPr>
          <w:rFonts w:hint="default" w:ascii="Times New Roman" w:hAnsi="Times New Roman" w:eastAsia="仿宋_GB2312" w:cs="Times New Roman"/>
          <w:sz w:val="32"/>
          <w:szCs w:val="32"/>
          <w:highlight w:val="none"/>
        </w:rPr>
        <w:t>措施</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以后年度编制预算时加强预算精准度。</w:t>
      </w:r>
    </w:p>
    <w:p w14:paraId="49A06FEA">
      <w:pPr>
        <w:spacing w:line="560" w:lineRule="exact"/>
        <w:ind w:firstLine="640" w:firstLineChars="200"/>
        <w:rPr>
          <w:rStyle w:val="16"/>
          <w:rFonts w:ascii="Times New Roman" w:hAnsi="Times New Roman" w:cs="Times New Roman"/>
          <w:color w:val="auto"/>
          <w:highlight w:val="none"/>
        </w:rPr>
      </w:pPr>
      <w:r>
        <w:rPr>
          <w:rFonts w:hint="default" w:ascii="Times New Roman" w:hAnsi="Times New Roman" w:eastAsia="黑体" w:cs="Times New Roman"/>
          <w:sz w:val="32"/>
          <w:szCs w:val="32"/>
          <w:highlight w:val="none"/>
          <w:lang w:eastAsia="zh-Hans"/>
        </w:rPr>
        <w:t>六</w:t>
      </w:r>
      <w:r>
        <w:rPr>
          <w:rFonts w:ascii="Times New Roman" w:hAnsi="Times New Roman" w:eastAsia="黑体" w:cs="Times New Roman"/>
          <w:sz w:val="32"/>
          <w:szCs w:val="32"/>
          <w:highlight w:val="none"/>
        </w:rPr>
        <w:t>、主要经验及做法、存在的问题及原因分析</w:t>
      </w:r>
    </w:p>
    <w:p w14:paraId="77515E50">
      <w:pPr>
        <w:spacing w:line="560" w:lineRule="exact"/>
        <w:ind w:firstLine="627" w:firstLineChars="200"/>
        <w:rPr>
          <w:rFonts w:ascii="Times New Roman" w:hAnsi="Times New Roman" w:eastAsia="楷体" w:cs="Times New Roman"/>
          <w:b/>
          <w:spacing w:val="-4"/>
          <w:sz w:val="32"/>
          <w:szCs w:val="32"/>
          <w:highlight w:val="none"/>
        </w:rPr>
      </w:pPr>
      <w:r>
        <w:rPr>
          <w:rFonts w:ascii="Times New Roman" w:hAnsi="Times New Roman" w:eastAsia="楷体" w:cs="Times New Roman"/>
          <w:b/>
          <w:spacing w:val="-4"/>
          <w:sz w:val="32"/>
          <w:szCs w:val="32"/>
          <w:highlight w:val="none"/>
        </w:rPr>
        <w:t>（一）主要经验及做法</w:t>
      </w:r>
    </w:p>
    <w:p w14:paraId="030921BA">
      <w:pPr>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3662594">
      <w:pPr>
        <w:pStyle w:val="2"/>
        <w:spacing w:before="0" w:after="0" w:line="560" w:lineRule="exact"/>
        <w:ind w:firstLine="640" w:firstLineChars="200"/>
        <w:jc w:val="left"/>
        <w:rPr>
          <w:rFonts w:ascii="Times New Roman" w:hAnsi="Times New Roman" w:eastAsia="仿宋_GB2312" w:cs="Times New Roman"/>
          <w:b w:val="0"/>
          <w:bCs w:val="0"/>
          <w:kern w:val="2"/>
          <w:highlight w:val="none"/>
        </w:rPr>
      </w:pPr>
      <w:r>
        <w:rPr>
          <w:rFonts w:ascii="Times New Roman" w:hAnsi="Times New Roman" w:eastAsia="仿宋_GB2312" w:cs="Times New Roman"/>
          <w:b w:val="0"/>
          <w:bCs w:val="0"/>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6B13299">
      <w:pPr>
        <w:keepNext/>
        <w:keepLines/>
        <w:numPr>
          <w:ilvl w:val="0"/>
          <w:numId w:val="5"/>
        </w:numPr>
        <w:spacing w:line="560" w:lineRule="exact"/>
        <w:ind w:firstLine="643" w:firstLineChars="200"/>
        <w:rPr>
          <w:rFonts w:ascii="Times New Roman" w:hAnsi="Times New Roman" w:eastAsia="楷体_GB2312" w:cs="Times New Roman"/>
          <w:b/>
          <w:bCs/>
          <w:sz w:val="32"/>
          <w:szCs w:val="32"/>
          <w:highlight w:val="none"/>
        </w:rPr>
      </w:pPr>
      <w:r>
        <w:rPr>
          <w:rFonts w:ascii="Times New Roman" w:hAnsi="Times New Roman" w:eastAsia="楷体_GB2312" w:cs="Times New Roman"/>
          <w:b/>
          <w:bCs/>
          <w:sz w:val="32"/>
          <w:szCs w:val="32"/>
          <w:highlight w:val="none"/>
        </w:rPr>
        <w:t>存在的问题及原因分析</w:t>
      </w:r>
    </w:p>
    <w:p w14:paraId="101B2333">
      <w:pPr>
        <w:pStyle w:val="2"/>
        <w:spacing w:before="0" w:after="0" w:line="560" w:lineRule="exact"/>
        <w:ind w:firstLine="640" w:firstLineChars="200"/>
        <w:jc w:val="both"/>
        <w:rPr>
          <w:rFonts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lang w:eastAsia="zh-Hans"/>
        </w:rPr>
        <w:t>本项目</w:t>
      </w:r>
      <w:r>
        <w:rPr>
          <w:rFonts w:ascii="Times New Roman" w:hAnsi="Times New Roman" w:eastAsia="仿宋_GB2312" w:cs="Times New Roman"/>
          <w:b w:val="0"/>
          <w:bCs w:val="0"/>
          <w:kern w:val="2"/>
          <w:highlight w:val="none"/>
          <w:lang w:eastAsia="zh-Hans"/>
        </w:rPr>
        <w:t>202</w:t>
      </w:r>
      <w:r>
        <w:rPr>
          <w:rFonts w:hint="default" w:ascii="Times New Roman" w:hAnsi="Times New Roman" w:eastAsia="仿宋_GB2312" w:cs="Times New Roman"/>
          <w:b w:val="0"/>
          <w:bCs w:val="0"/>
          <w:kern w:val="2"/>
          <w:highlight w:val="none"/>
          <w:lang w:val="en-US" w:eastAsia="zh-CN"/>
        </w:rPr>
        <w:t>3</w:t>
      </w:r>
      <w:r>
        <w:rPr>
          <w:rFonts w:hint="default" w:ascii="Times New Roman" w:hAnsi="Times New Roman" w:eastAsia="仿宋_GB2312" w:cs="Times New Roman"/>
          <w:b w:val="0"/>
          <w:bCs w:val="0"/>
          <w:kern w:val="2"/>
          <w:highlight w:val="none"/>
          <w:lang w:eastAsia="zh-Hans"/>
        </w:rPr>
        <w:t>年度无</w:t>
      </w:r>
      <w:r>
        <w:rPr>
          <w:rFonts w:ascii="Times New Roman" w:hAnsi="Times New Roman" w:eastAsia="仿宋_GB2312" w:cs="Times New Roman"/>
          <w:b w:val="0"/>
          <w:bCs w:val="0"/>
          <w:kern w:val="2"/>
          <w:highlight w:val="none"/>
        </w:rPr>
        <w:t>存在的问题</w:t>
      </w:r>
      <w:r>
        <w:rPr>
          <w:rFonts w:hint="default" w:ascii="Times New Roman" w:hAnsi="Times New Roman" w:eastAsia="仿宋_GB2312" w:cs="Times New Roman"/>
          <w:b w:val="0"/>
          <w:bCs w:val="0"/>
          <w:kern w:val="2"/>
          <w:highlight w:val="none"/>
          <w:lang w:eastAsia="zh-Hans"/>
        </w:rPr>
        <w:t>。</w:t>
      </w:r>
    </w:p>
    <w:p w14:paraId="7627C7BF">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Hans"/>
        </w:rPr>
        <w:t>七、</w:t>
      </w:r>
      <w:r>
        <w:rPr>
          <w:rFonts w:ascii="Times New Roman" w:hAnsi="Times New Roman" w:eastAsia="黑体" w:cs="Times New Roman"/>
          <w:sz w:val="32"/>
          <w:szCs w:val="32"/>
          <w:highlight w:val="none"/>
        </w:rPr>
        <w:t>有关建议</w:t>
      </w:r>
    </w:p>
    <w:p w14:paraId="2C3A993F">
      <w:pPr>
        <w:spacing w:line="560" w:lineRule="exact"/>
        <w:ind w:firstLine="640" w:firstLineChars="200"/>
        <w:rPr>
          <w:rFonts w:ascii="Times New Roman" w:hAnsi="Times New Roman" w:cs="Times New Roman"/>
          <w:highlight w:val="none"/>
        </w:rPr>
      </w:pPr>
      <w:r>
        <w:rPr>
          <w:rFonts w:hint="default" w:ascii="Times New Roman" w:hAnsi="Times New Roman" w:eastAsia="仿宋_GB2312" w:cs="Times New Roman"/>
          <w:sz w:val="32"/>
          <w:szCs w:val="28"/>
          <w:highlight w:val="none"/>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14:paraId="40691E0F">
      <w:pPr>
        <w:spacing w:line="560" w:lineRule="exact"/>
        <w:ind w:firstLine="640" w:firstLineChars="200"/>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Hans"/>
        </w:rPr>
        <w:t>八、</w:t>
      </w:r>
      <w:r>
        <w:rPr>
          <w:rFonts w:ascii="Times New Roman" w:hAnsi="Times New Roman" w:eastAsia="黑体" w:cs="Times New Roman"/>
          <w:sz w:val="32"/>
          <w:szCs w:val="32"/>
          <w:highlight w:val="none"/>
        </w:rPr>
        <w:t>其他需要说</w:t>
      </w:r>
      <w:bookmarkStart w:id="6" w:name="page8"/>
      <w:bookmarkEnd w:id="6"/>
      <w:r>
        <w:rPr>
          <w:rFonts w:ascii="Times New Roman" w:hAnsi="Times New Roman" w:eastAsia="黑体" w:cs="Times New Roman"/>
          <w:sz w:val="32"/>
          <w:szCs w:val="32"/>
          <w:highlight w:val="none"/>
        </w:rPr>
        <w:t>明的问题</w:t>
      </w:r>
    </w:p>
    <w:p w14:paraId="3810694B">
      <w:pPr>
        <w:pStyle w:val="11"/>
        <w:spacing w:after="0" w:line="560" w:lineRule="exact"/>
        <w:ind w:left="0" w:leftChars="0" w:firstLine="64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Hans"/>
        </w:rPr>
        <w:t>本项目无其他需说明的问题。</w:t>
      </w:r>
    </w:p>
    <w:p w14:paraId="3C564C61">
      <w:pPr>
        <w:pStyle w:val="11"/>
        <w:spacing w:after="0" w:line="560" w:lineRule="exact"/>
        <w:ind w:left="0" w:leftChars="0" w:firstLine="640"/>
        <w:rPr>
          <w:rFonts w:ascii="Times New Roman" w:hAnsi="Times New Roman" w:eastAsia="仿宋_GB2312" w:cs="Times New Roman"/>
          <w:sz w:val="32"/>
          <w:szCs w:val="32"/>
          <w:highlight w:val="none"/>
        </w:rPr>
      </w:pPr>
    </w:p>
    <w:p w14:paraId="199E62C1">
      <w:pPr>
        <w:pStyle w:val="11"/>
        <w:spacing w:after="0" w:line="560" w:lineRule="exact"/>
        <w:ind w:left="0" w:leftChars="0" w:firstLine="0" w:firstLineChars="0"/>
        <w:rPr>
          <w:rFonts w:ascii="Times New Roman" w:hAnsi="Times New Roman" w:eastAsia="仿宋_GB2312" w:cs="Times New Roman"/>
          <w:sz w:val="32"/>
          <w:szCs w:val="32"/>
          <w:highlight w:val="none"/>
        </w:rPr>
      </w:pPr>
    </w:p>
    <w:p w14:paraId="02B65211">
      <w:pPr>
        <w:widowControl/>
        <w:jc w:val="center"/>
        <w:textAlignment w:val="center"/>
        <w:rPr>
          <w:rFonts w:ascii="Times New Roman" w:hAnsi="Times New Roman" w:eastAsia="方正小标宋简体" w:cs="Times New Roman"/>
          <w:b/>
          <w:kern w:val="0"/>
          <w:sz w:val="32"/>
          <w:szCs w:val="32"/>
          <w:highlight w:val="none"/>
          <w:lang w:bidi="ar"/>
        </w:rPr>
        <w:sectPr>
          <w:footerReference r:id="rId3" w:type="default"/>
          <w:pgSz w:w="11906" w:h="16838"/>
          <w:pgMar w:top="1440" w:right="1558" w:bottom="1440" w:left="1800" w:header="851" w:footer="992" w:gutter="0"/>
          <w:cols w:space="425" w:num="1"/>
          <w:docGrid w:type="lines" w:linePitch="312" w:charSpace="0"/>
        </w:sect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643"/>
        <w:gridCol w:w="846"/>
        <w:gridCol w:w="756"/>
        <w:gridCol w:w="756"/>
        <w:gridCol w:w="846"/>
        <w:gridCol w:w="666"/>
        <w:gridCol w:w="406"/>
        <w:gridCol w:w="406"/>
        <w:gridCol w:w="523"/>
        <w:gridCol w:w="448"/>
        <w:gridCol w:w="1277"/>
      </w:tblGrid>
      <w:tr w14:paraId="42486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51B6251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BD46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FB37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48837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6567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F9E7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自治区2023年第一批疫情防控补助资金（自治区本级医疗机构重症床位设备配置经费）</w:t>
            </w:r>
          </w:p>
        </w:tc>
      </w:tr>
      <w:tr w14:paraId="70149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7165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7A3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594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3E6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新疆维吾尔自治区人民医院</w:t>
            </w:r>
          </w:p>
        </w:tc>
      </w:tr>
      <w:tr w14:paraId="26F70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158C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59473">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3B24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53BD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0A25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060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4FCA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95B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483AF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706FA">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5259E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51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2922.00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67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2922</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30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2922.00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83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9F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8AC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14:paraId="569E9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A662B">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4CCF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B2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2922</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65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2922</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53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2922</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2D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83E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0A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EBEF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FF035">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5E9F2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83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D2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FC250B">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A7D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C4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97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1231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6F97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B3A7D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3D94D9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2469C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27529">
            <w:pPr>
              <w:jc w:val="center"/>
              <w:rPr>
                <w:rFonts w:hint="eastAsia" w:ascii="宋体" w:hAnsi="宋体" w:eastAsia="宋体" w:cs="宋体"/>
                <w:b/>
                <w:bCs/>
                <w:i w:val="0"/>
                <w:iCs w:val="0"/>
                <w:color w:val="000000"/>
                <w:sz w:val="18"/>
                <w:szCs w:val="18"/>
                <w:u w:val="none"/>
              </w:rPr>
            </w:pP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CF1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按照国务院联防联控机制《关于印发做好医疗资源准备工作方案的通知》（联防联控机制综发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2022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112号）要求和新冠病毒感染疫情乙类乙管工作要求，有效提升医疗机构重症救治资源储备，扩充ICU和可转化ICU床位数，补齐设备缺口，有效开展疫情期间重症病例救治工作。</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59F1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按照国务院联防联控机制《关于印发做好医疗资源准备工作方案的通知》（联防联控机制综发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2022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112号）要求和新冠病毒感染疫情乙类乙管工作要求，有效提升医疗机构重症救治资源储备，扩充ICU和可转化ICU床位数，补齐设备缺口，有效开展疫情期间重症病例救治工作。</w:t>
            </w:r>
          </w:p>
        </w:tc>
      </w:tr>
      <w:tr w14:paraId="2D6C9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574DA9">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381F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FE0B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0A42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2D62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252C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2F408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16E18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5CD2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15C1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4F21C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FF279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B39B9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ED70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0BE38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E0D8F">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FA3CB">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97FE6">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DA53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F8D71">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C71AC">
            <w:pPr>
              <w:jc w:val="center"/>
              <w:rPr>
                <w:rFonts w:hint="eastAsia" w:ascii="宋体" w:hAnsi="宋体" w:eastAsia="宋体" w:cs="宋体"/>
                <w:b/>
                <w:bCs/>
                <w:i w:val="0"/>
                <w:iCs w:val="0"/>
                <w:color w:val="000000"/>
                <w:sz w:val="18"/>
                <w:szCs w:val="18"/>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659A9">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56682">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B3627">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F3211">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BC5B2">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AB360">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0B81B">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A0475">
            <w:pPr>
              <w:jc w:val="center"/>
              <w:rPr>
                <w:rFonts w:hint="eastAsia" w:ascii="宋体" w:hAnsi="宋体" w:eastAsia="宋体" w:cs="宋体"/>
                <w:b/>
                <w:bCs/>
                <w:i w:val="0"/>
                <w:iCs w:val="0"/>
                <w:color w:val="000000"/>
                <w:sz w:val="18"/>
                <w:szCs w:val="18"/>
                <w:u w:val="none"/>
              </w:rPr>
            </w:pPr>
          </w:p>
        </w:tc>
      </w:tr>
      <w:tr w14:paraId="5BEEF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ECA9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E7C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26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6E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配置ICU床位数量及配套设备数量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AC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03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&gt;=48床（套）</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82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=48床（套）</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9D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5E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34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A0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A4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07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267AD">
            <w:pPr>
              <w:jc w:val="center"/>
              <w:rPr>
                <w:rFonts w:hint="eastAsia" w:ascii="宋体" w:hAnsi="宋体" w:eastAsia="宋体" w:cs="宋体"/>
                <w:i w:val="0"/>
                <w:iCs w:val="0"/>
                <w:color w:val="000000"/>
                <w:sz w:val="18"/>
                <w:szCs w:val="18"/>
                <w:u w:val="none"/>
              </w:rPr>
            </w:pPr>
          </w:p>
        </w:tc>
      </w:tr>
      <w:tr w14:paraId="1C285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FE55F">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ECAC7">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8C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AC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设备质量合格率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33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53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0F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51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E7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24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999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FC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4F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B22DC">
            <w:pPr>
              <w:jc w:val="center"/>
              <w:rPr>
                <w:rFonts w:hint="eastAsia" w:ascii="宋体" w:hAnsi="宋体" w:eastAsia="宋体" w:cs="宋体"/>
                <w:i w:val="0"/>
                <w:iCs w:val="0"/>
                <w:color w:val="000000"/>
                <w:sz w:val="18"/>
                <w:szCs w:val="18"/>
                <w:u w:val="none"/>
              </w:rPr>
            </w:pPr>
          </w:p>
        </w:tc>
      </w:tr>
      <w:tr w14:paraId="67C20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9C214">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CEC14">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D5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38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02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13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28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B03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97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E28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C3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B2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95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E1101">
            <w:pPr>
              <w:jc w:val="center"/>
              <w:rPr>
                <w:rFonts w:hint="eastAsia" w:ascii="宋体" w:hAnsi="宋体" w:eastAsia="宋体" w:cs="宋体"/>
                <w:i w:val="0"/>
                <w:iCs w:val="0"/>
                <w:color w:val="000000"/>
                <w:sz w:val="18"/>
                <w:szCs w:val="18"/>
                <w:u w:val="none"/>
              </w:rPr>
            </w:pPr>
          </w:p>
        </w:tc>
      </w:tr>
      <w:tr w14:paraId="400ED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A0992">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CBF53">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2A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54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床位改造完成时间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27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B23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2022年12月31日前</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F8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A37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A8B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14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BE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3F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66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D7CE6">
            <w:pPr>
              <w:jc w:val="center"/>
              <w:rPr>
                <w:rFonts w:hint="eastAsia" w:ascii="宋体" w:hAnsi="宋体" w:eastAsia="宋体" w:cs="宋体"/>
                <w:i w:val="0"/>
                <w:iCs w:val="0"/>
                <w:color w:val="000000"/>
                <w:sz w:val="18"/>
                <w:szCs w:val="18"/>
                <w:u w:val="none"/>
              </w:rPr>
            </w:pPr>
          </w:p>
        </w:tc>
      </w:tr>
      <w:tr w14:paraId="59E2D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458E0">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21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CA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7B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设备采购成本控制数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63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A1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&lt;=61万元/床</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75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=60.8万元/床</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9F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9F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BC0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AEF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02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00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B0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设置指标值不够精确，指标值过低，以后年度编制预算时加强预算精准度</w:t>
            </w:r>
          </w:p>
        </w:tc>
      </w:tr>
      <w:tr w14:paraId="01EF5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9ED3C">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2DA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76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A9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设备利用率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2C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0D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&gt;70%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55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39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6E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E0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C8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31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4E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DA562">
            <w:pPr>
              <w:jc w:val="center"/>
              <w:rPr>
                <w:rFonts w:hint="eastAsia" w:ascii="宋体" w:hAnsi="宋体" w:eastAsia="宋体" w:cs="宋体"/>
                <w:i w:val="0"/>
                <w:iCs w:val="0"/>
                <w:color w:val="000000"/>
                <w:sz w:val="18"/>
                <w:szCs w:val="18"/>
                <w:u w:val="none"/>
              </w:rPr>
            </w:pPr>
          </w:p>
        </w:tc>
      </w:tr>
      <w:tr w14:paraId="58196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B3DEE">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19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7B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98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使用人员满意度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13B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93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4A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9B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111.11%</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D1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57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4F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6B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43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CF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设置指标值不够精确，指标值过低，以后年度编制预算时加强预算精准度</w:t>
            </w:r>
          </w:p>
        </w:tc>
      </w:tr>
      <w:tr w14:paraId="6D976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091" w:type="pct"/>
            <w:gridSpan w:val="4"/>
            <w:tcBorders>
              <w:top w:val="single" w:color="000000" w:sz="4" w:space="0"/>
              <w:left w:val="single" w:color="000000" w:sz="4" w:space="0"/>
              <w:bottom w:val="single" w:color="000000" w:sz="4" w:space="0"/>
              <w:right w:val="nil"/>
            </w:tcBorders>
            <w:shd w:val="clear" w:color="auto" w:fill="auto"/>
            <w:vAlign w:val="center"/>
          </w:tcPr>
          <w:p w14:paraId="2B555EC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15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2093C117">
            <w:pPr>
              <w:rPr>
                <w:rFonts w:hint="eastAsia" w:ascii="宋体" w:hAnsi="宋体" w:eastAsia="宋体" w:cs="宋体"/>
                <w:b/>
                <w:bCs/>
                <w:i w:val="0"/>
                <w:iCs w:val="0"/>
                <w:color w:val="000000"/>
                <w:sz w:val="18"/>
                <w:szCs w:val="18"/>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03361">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D5E5A">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66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99.84分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65EA0">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3D35D">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8D9E8">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36CD5">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EDB97">
            <w:pPr>
              <w:rPr>
                <w:rFonts w:hint="eastAsia" w:ascii="宋体" w:hAnsi="宋体" w:eastAsia="宋体" w:cs="宋体"/>
                <w:i w:val="0"/>
                <w:iCs w:val="0"/>
                <w:color w:val="000000"/>
                <w:sz w:val="18"/>
                <w:szCs w:val="18"/>
                <w:u w:val="none"/>
              </w:rPr>
            </w:pPr>
          </w:p>
        </w:tc>
      </w:tr>
    </w:tbl>
    <w:p w14:paraId="6F943F6A">
      <w:pPr>
        <w:pStyle w:val="2"/>
        <w:jc w:val="both"/>
        <w:rPr>
          <w:rFonts w:ascii="Times New Roman" w:hAnsi="Times New Roman" w:eastAsia="黑体" w:cs="Times New Roman"/>
          <w:b w:val="0"/>
          <w:bCs w:val="0"/>
          <w:highlight w:val="none"/>
        </w:rPr>
      </w:pPr>
    </w:p>
    <w:p w14:paraId="4E648ED3">
      <w:pPr>
        <w:pStyle w:val="2"/>
        <w:rPr>
          <w:rFonts w:ascii="Times New Roman" w:hAnsi="Times New Roman" w:eastAsia="黑体" w:cs="Times New Roman"/>
          <w:b w:val="0"/>
          <w:bCs w:val="0"/>
          <w:highlight w:val="none"/>
        </w:rPr>
      </w:pPr>
    </w:p>
    <w:p w14:paraId="41307417">
      <w:pPr>
        <w:pStyle w:val="2"/>
        <w:jc w:val="both"/>
        <w:rPr>
          <w:rFonts w:ascii="Times New Roman" w:hAnsi="Times New Roman" w:cs="Times New Roman"/>
          <w:highlight w:val="none"/>
        </w:rPr>
        <w:sectPr>
          <w:pgSz w:w="11906" w:h="16838"/>
          <w:pgMar w:top="1440" w:right="1558" w:bottom="1440" w:left="1800" w:header="851" w:footer="992" w:gutter="0"/>
          <w:cols w:space="425" w:num="1"/>
          <w:docGrid w:type="lines" w:linePitch="312" w:charSpace="0"/>
        </w:sectPr>
      </w:pPr>
    </w:p>
    <w:p w14:paraId="008873B3">
      <w:pPr>
        <w:spacing w:line="600" w:lineRule="exact"/>
        <w:rPr>
          <w:rFonts w:ascii="Times New Roman" w:hAnsi="Times New Roman" w:cs="Times New Roman"/>
          <w:bCs/>
          <w:sz w:val="32"/>
          <w:szCs w:val="32"/>
          <w:highlight w:val="none"/>
        </w:rPr>
      </w:pPr>
      <w:r>
        <w:rPr>
          <w:rFonts w:ascii="Times New Roman" w:hAnsi="Times New Roman" w:cs="Times New Roman"/>
          <w:bCs/>
          <w:sz w:val="32"/>
          <w:szCs w:val="32"/>
          <w:highlight w:val="none"/>
        </w:rPr>
        <w:t>附件1</w:t>
      </w:r>
    </w:p>
    <w:p w14:paraId="0420EE9E">
      <w:pPr>
        <w:pStyle w:val="17"/>
        <w:ind w:firstLine="562"/>
        <w:jc w:val="center"/>
        <w:rPr>
          <w:rFonts w:hint="default" w:ascii="Times New Roman" w:hAnsi="Times New Roman" w:cs="Times New Roman"/>
          <w:b/>
          <w:bCs/>
          <w:sz w:val="28"/>
          <w:szCs w:val="40"/>
          <w:highlight w:val="none"/>
          <w:lang w:val="en-US" w:eastAsia="zh-CN"/>
        </w:rPr>
      </w:pPr>
      <w:bookmarkStart w:id="7" w:name="_Toc26499_WPSOffice_Level2"/>
      <w:bookmarkStart w:id="8" w:name="_Toc30064_WPSOffice_Level1"/>
      <w:r>
        <w:rPr>
          <w:rFonts w:hint="default" w:ascii="Times New Roman" w:hAnsi="Times New Roman" w:cs="Times New Roman"/>
          <w:b/>
          <w:bCs/>
          <w:sz w:val="28"/>
          <w:szCs w:val="40"/>
          <w:highlight w:val="none"/>
        </w:rPr>
        <w:t>自治区2023年第一批疫情防控补助资金（自治区本级医疗机构重症床位设备配置经费）</w:t>
      </w:r>
      <w:r>
        <w:rPr>
          <w:rFonts w:hint="default" w:ascii="Times New Roman" w:hAnsi="Times New Roman" w:cs="Times New Roman"/>
          <w:b/>
          <w:bCs/>
          <w:sz w:val="28"/>
          <w:szCs w:val="40"/>
          <w:highlight w:val="none"/>
          <w:lang w:val="en-US" w:eastAsia="zh-CN"/>
        </w:rPr>
        <w:t>项目</w:t>
      </w:r>
    </w:p>
    <w:p w14:paraId="2B7EC2FD">
      <w:pPr>
        <w:pStyle w:val="2"/>
        <w:rPr>
          <w:rFonts w:ascii="Times New Roman" w:hAnsi="Times New Roman" w:cs="Times New Roman"/>
          <w:highlight w:val="none"/>
        </w:rPr>
      </w:pPr>
      <w:r>
        <w:rPr>
          <w:rFonts w:hint="default" w:ascii="Times New Roman" w:hAnsi="Times New Roman" w:cs="Times New Roman"/>
          <w:b/>
          <w:bCs/>
          <w:sz w:val="28"/>
          <w:szCs w:val="40"/>
          <w:highlight w:val="none"/>
        </w:rPr>
        <w:t>绩效评价指标体系综合评分表</w:t>
      </w:r>
      <w:bookmarkEnd w:id="7"/>
      <w:bookmarkEnd w:id="8"/>
    </w:p>
    <w:tbl>
      <w:tblPr>
        <w:tblStyle w:val="12"/>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32"/>
        <w:gridCol w:w="856"/>
        <w:gridCol w:w="975"/>
        <w:gridCol w:w="2627"/>
        <w:gridCol w:w="5807"/>
        <w:gridCol w:w="1448"/>
        <w:gridCol w:w="1523"/>
      </w:tblGrid>
      <w:tr w14:paraId="6E349A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9" w:type="pct"/>
            <w:shd w:val="clear" w:color="auto" w:fill="FFFFFF"/>
            <w:vAlign w:val="center"/>
          </w:tcPr>
          <w:p w14:paraId="603A76B9">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一级指标</w:t>
            </w:r>
          </w:p>
        </w:tc>
        <w:tc>
          <w:tcPr>
            <w:tcW w:w="302" w:type="pct"/>
            <w:shd w:val="clear" w:color="auto" w:fill="FFFFFF"/>
            <w:vAlign w:val="center"/>
          </w:tcPr>
          <w:p w14:paraId="2EA3FA7A">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二级指标</w:t>
            </w:r>
          </w:p>
        </w:tc>
        <w:tc>
          <w:tcPr>
            <w:tcW w:w="344" w:type="pct"/>
            <w:shd w:val="clear" w:color="auto" w:fill="FFFFFF"/>
            <w:vAlign w:val="center"/>
          </w:tcPr>
          <w:p w14:paraId="719E8A38">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三级指标</w:t>
            </w:r>
          </w:p>
        </w:tc>
        <w:tc>
          <w:tcPr>
            <w:tcW w:w="927" w:type="pct"/>
            <w:shd w:val="clear" w:color="auto" w:fill="FFFFFF"/>
            <w:vAlign w:val="center"/>
          </w:tcPr>
          <w:p w14:paraId="7CBAB35E">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指标解释</w:t>
            </w:r>
          </w:p>
        </w:tc>
        <w:tc>
          <w:tcPr>
            <w:tcW w:w="2047" w:type="pct"/>
            <w:shd w:val="clear" w:color="auto" w:fill="FFFFFF"/>
            <w:vAlign w:val="center"/>
          </w:tcPr>
          <w:p w14:paraId="4CAC7F38">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指标说明</w:t>
            </w:r>
          </w:p>
        </w:tc>
        <w:tc>
          <w:tcPr>
            <w:tcW w:w="511" w:type="pct"/>
            <w:shd w:val="clear" w:color="auto" w:fill="FFFFFF"/>
            <w:vAlign w:val="center"/>
          </w:tcPr>
          <w:p w14:paraId="2ACBC63F">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权重</w:t>
            </w:r>
          </w:p>
        </w:tc>
        <w:tc>
          <w:tcPr>
            <w:tcW w:w="537" w:type="pct"/>
            <w:shd w:val="clear" w:color="auto" w:fill="FFFFFF"/>
            <w:vAlign w:val="center"/>
          </w:tcPr>
          <w:p w14:paraId="7E5C1E4C">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得分</w:t>
            </w:r>
          </w:p>
        </w:tc>
      </w:tr>
      <w:tr w14:paraId="2F6973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9" w:type="pct"/>
            <w:vMerge w:val="restart"/>
            <w:shd w:val="clear" w:color="auto" w:fill="FFFFFF"/>
            <w:vAlign w:val="center"/>
          </w:tcPr>
          <w:p w14:paraId="57C2CC2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决策　</w:t>
            </w:r>
          </w:p>
          <w:p w14:paraId="5FAEE159">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p w14:paraId="743855D3">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tc>
        <w:tc>
          <w:tcPr>
            <w:tcW w:w="302" w:type="pct"/>
            <w:vMerge w:val="restart"/>
            <w:shd w:val="clear" w:color="auto" w:fill="FFFFFF"/>
            <w:vAlign w:val="center"/>
          </w:tcPr>
          <w:p w14:paraId="7F78B54D">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项目立项　</w:t>
            </w:r>
          </w:p>
        </w:tc>
        <w:tc>
          <w:tcPr>
            <w:tcW w:w="344" w:type="pct"/>
            <w:shd w:val="clear" w:color="auto" w:fill="FFFFFF"/>
            <w:vAlign w:val="center"/>
          </w:tcPr>
          <w:p w14:paraId="3A950D40">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立项依据</w:t>
            </w:r>
          </w:p>
          <w:p w14:paraId="40F3182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充分性</w:t>
            </w:r>
          </w:p>
        </w:tc>
        <w:tc>
          <w:tcPr>
            <w:tcW w:w="927" w:type="pct"/>
            <w:shd w:val="clear" w:color="auto" w:fill="FFFFFF"/>
            <w:vAlign w:val="center"/>
          </w:tcPr>
          <w:p w14:paraId="628FD5AF">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项目立项是否符合法律法规、相关政策、发展规划以及部门职责，用以反映和考核项目立项依据情况。</w:t>
            </w:r>
          </w:p>
        </w:tc>
        <w:tc>
          <w:tcPr>
            <w:tcW w:w="2047" w:type="pct"/>
            <w:shd w:val="clear" w:color="auto" w:fill="FFFFFF"/>
            <w:vAlign w:val="center"/>
          </w:tcPr>
          <w:p w14:paraId="22ECF17C">
            <w:pPr>
              <w:widowControl/>
              <w:spacing w:line="0" w:lineRule="atLeast"/>
              <w:jc w:val="lef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①项目立项是否符合国家法律法规、国民经济发展规划和相关政策；</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②项目立项是否符合行业发展规划和政策要求；</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③项目立项是否与部门职责范围相符，属于部门履职所需；</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④项目是否属于公共财政支持范围，是否符合中央、地方事权支出责任划分原则；</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⑤项目是否与相关部门同类项目或部门内部相关项目重复。</w:t>
            </w:r>
          </w:p>
        </w:tc>
        <w:tc>
          <w:tcPr>
            <w:tcW w:w="511" w:type="pct"/>
            <w:shd w:val="clear" w:color="auto" w:fill="FFFFFF"/>
            <w:vAlign w:val="center"/>
          </w:tcPr>
          <w:p w14:paraId="24B9E59F">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3</w:t>
            </w:r>
          </w:p>
        </w:tc>
        <w:tc>
          <w:tcPr>
            <w:tcW w:w="537" w:type="pct"/>
            <w:shd w:val="clear" w:color="auto" w:fill="FFFFFF"/>
            <w:vAlign w:val="center"/>
          </w:tcPr>
          <w:p w14:paraId="2040FC99">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14:paraId="534B9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29" w:type="pct"/>
            <w:vMerge w:val="continue"/>
            <w:shd w:val="clear" w:color="auto" w:fill="FFFFFF"/>
            <w:vAlign w:val="center"/>
          </w:tcPr>
          <w:p w14:paraId="5A50BF17">
            <w:pPr>
              <w:spacing w:line="0" w:lineRule="atLeast"/>
              <w:jc w:val="center"/>
              <w:rPr>
                <w:rFonts w:ascii="Times New Roman" w:hAnsi="Times New Roman" w:cs="Times New Roman"/>
                <w:color w:val="000000"/>
                <w:kern w:val="0"/>
                <w:sz w:val="22"/>
                <w:szCs w:val="22"/>
                <w:highlight w:val="none"/>
              </w:rPr>
            </w:pPr>
          </w:p>
        </w:tc>
        <w:tc>
          <w:tcPr>
            <w:tcW w:w="302" w:type="pct"/>
            <w:vMerge w:val="continue"/>
            <w:shd w:val="clear" w:color="auto" w:fill="FFFFFF"/>
            <w:vAlign w:val="center"/>
          </w:tcPr>
          <w:p w14:paraId="0D319A55">
            <w:pPr>
              <w:widowControl/>
              <w:spacing w:line="0" w:lineRule="atLeast"/>
              <w:jc w:val="center"/>
              <w:rPr>
                <w:rFonts w:ascii="Times New Roman" w:hAnsi="Times New Roman" w:cs="Times New Roman"/>
                <w:color w:val="000000"/>
                <w:kern w:val="0"/>
                <w:sz w:val="22"/>
                <w:szCs w:val="22"/>
                <w:highlight w:val="none"/>
              </w:rPr>
            </w:pPr>
          </w:p>
        </w:tc>
        <w:tc>
          <w:tcPr>
            <w:tcW w:w="344" w:type="pct"/>
            <w:shd w:val="clear" w:color="auto" w:fill="FFFFFF"/>
            <w:vAlign w:val="center"/>
          </w:tcPr>
          <w:p w14:paraId="16990C5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立项程序</w:t>
            </w:r>
          </w:p>
          <w:p w14:paraId="14822AB6">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规范性</w:t>
            </w:r>
          </w:p>
        </w:tc>
        <w:tc>
          <w:tcPr>
            <w:tcW w:w="927" w:type="pct"/>
            <w:shd w:val="clear" w:color="auto" w:fill="FFFFFF"/>
            <w:vAlign w:val="center"/>
          </w:tcPr>
          <w:p w14:paraId="35FB3B04">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项目申请、设立过程是否符合相关要求，用以反映和考核项目立项的规范情况。</w:t>
            </w:r>
          </w:p>
        </w:tc>
        <w:tc>
          <w:tcPr>
            <w:tcW w:w="2047" w:type="pct"/>
            <w:shd w:val="clear" w:color="auto" w:fill="FFFFFF"/>
            <w:vAlign w:val="center"/>
          </w:tcPr>
          <w:p w14:paraId="619CDCFC">
            <w:pPr>
              <w:widowControl/>
              <w:spacing w:line="0" w:lineRule="atLeast"/>
              <w:jc w:val="lef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①项目是否按照规定的程序申请设立；</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②审批文件、材料是否符合相关要求；</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③事前是否已经过必要的可行性研究、专家论证、风险评估、绩效评估、集体决策。</w:t>
            </w:r>
          </w:p>
        </w:tc>
        <w:tc>
          <w:tcPr>
            <w:tcW w:w="511" w:type="pct"/>
            <w:shd w:val="clear" w:color="auto" w:fill="FFFFFF"/>
            <w:vAlign w:val="center"/>
          </w:tcPr>
          <w:p w14:paraId="0D51E264">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3</w:t>
            </w:r>
          </w:p>
        </w:tc>
        <w:tc>
          <w:tcPr>
            <w:tcW w:w="537" w:type="pct"/>
            <w:shd w:val="clear" w:color="auto" w:fill="FFFFFF"/>
            <w:vAlign w:val="center"/>
          </w:tcPr>
          <w:p w14:paraId="53269E63">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14:paraId="283BA2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29" w:type="pct"/>
            <w:vMerge w:val="continue"/>
            <w:shd w:val="clear" w:color="auto" w:fill="FFFFFF"/>
            <w:vAlign w:val="center"/>
          </w:tcPr>
          <w:p w14:paraId="1030C49C">
            <w:pPr>
              <w:spacing w:line="0" w:lineRule="atLeast"/>
              <w:jc w:val="center"/>
              <w:rPr>
                <w:rFonts w:ascii="Times New Roman" w:hAnsi="Times New Roman" w:cs="Times New Roman"/>
                <w:color w:val="000000"/>
                <w:kern w:val="0"/>
                <w:sz w:val="22"/>
                <w:szCs w:val="22"/>
                <w:highlight w:val="none"/>
              </w:rPr>
            </w:pPr>
          </w:p>
        </w:tc>
        <w:tc>
          <w:tcPr>
            <w:tcW w:w="302" w:type="pct"/>
            <w:shd w:val="clear" w:color="auto" w:fill="FFFFFF"/>
            <w:vAlign w:val="center"/>
          </w:tcPr>
          <w:p w14:paraId="7BA250E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绩效目标　</w:t>
            </w:r>
          </w:p>
        </w:tc>
        <w:tc>
          <w:tcPr>
            <w:tcW w:w="344" w:type="pct"/>
            <w:shd w:val="clear" w:color="auto" w:fill="FFFFFF"/>
            <w:vAlign w:val="center"/>
          </w:tcPr>
          <w:p w14:paraId="6654E549">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绩效目标</w:t>
            </w:r>
          </w:p>
          <w:p w14:paraId="40EAFD87">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合理性</w:t>
            </w:r>
          </w:p>
        </w:tc>
        <w:tc>
          <w:tcPr>
            <w:tcW w:w="927" w:type="pct"/>
            <w:shd w:val="clear" w:color="000000" w:fill="FFFFFF"/>
            <w:vAlign w:val="center"/>
          </w:tcPr>
          <w:p w14:paraId="0B6D5163">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项目所设定的绩效目标是否依据充分，是否符合客观实际，用以反映和考核项目绩效目标与项目实施的相符情况。</w:t>
            </w:r>
          </w:p>
        </w:tc>
        <w:tc>
          <w:tcPr>
            <w:tcW w:w="2047" w:type="pct"/>
            <w:shd w:val="clear" w:color="000000" w:fill="FFFFFF"/>
            <w:vAlign w:val="center"/>
          </w:tcPr>
          <w:p w14:paraId="7714DC31">
            <w:pPr>
              <w:widowControl/>
              <w:spacing w:line="0" w:lineRule="atLeast"/>
              <w:jc w:val="lef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（如未设定预算绩效目标，也可考核其他工作任务目标）</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①项目是否有绩效目标；</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②项目绩效目标与实际工作内容是否具有相关性；</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③项目预期产出效益和效果是否符合正常的业绩水平；</w:t>
            </w:r>
          </w:p>
          <w:p w14:paraId="26BBBFC0">
            <w:pPr>
              <w:widowControl/>
              <w:spacing w:line="0" w:lineRule="atLeast"/>
              <w:jc w:val="lef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④是否与预算确定的项目投资额或资金量相匹配。</w:t>
            </w:r>
          </w:p>
        </w:tc>
        <w:tc>
          <w:tcPr>
            <w:tcW w:w="511" w:type="pct"/>
            <w:shd w:val="clear" w:color="000000" w:fill="FFFFFF"/>
            <w:vAlign w:val="center"/>
          </w:tcPr>
          <w:p w14:paraId="06961BDD">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3</w:t>
            </w:r>
          </w:p>
        </w:tc>
        <w:tc>
          <w:tcPr>
            <w:tcW w:w="537" w:type="pct"/>
            <w:shd w:val="clear" w:color="000000" w:fill="FFFFFF"/>
            <w:vAlign w:val="center"/>
          </w:tcPr>
          <w:p w14:paraId="451242A4">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14:paraId="70E17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9" w:type="pct"/>
            <w:vMerge w:val="restart"/>
            <w:shd w:val="clear" w:color="auto" w:fill="FFFFFF"/>
            <w:vAlign w:val="center"/>
          </w:tcPr>
          <w:p w14:paraId="40C6AD7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决策　</w:t>
            </w:r>
          </w:p>
        </w:tc>
        <w:tc>
          <w:tcPr>
            <w:tcW w:w="302" w:type="pct"/>
            <w:shd w:val="clear" w:color="auto" w:fill="FFFFFF"/>
            <w:vAlign w:val="center"/>
          </w:tcPr>
          <w:p w14:paraId="7783EC1C">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绩效目标</w:t>
            </w:r>
          </w:p>
        </w:tc>
        <w:tc>
          <w:tcPr>
            <w:tcW w:w="344" w:type="pct"/>
            <w:shd w:val="clear" w:color="auto" w:fill="FFFFFF"/>
            <w:vAlign w:val="center"/>
          </w:tcPr>
          <w:p w14:paraId="1BB9DC3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绩效指标</w:t>
            </w:r>
          </w:p>
          <w:p w14:paraId="77DDB32F">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明确性</w:t>
            </w:r>
          </w:p>
        </w:tc>
        <w:tc>
          <w:tcPr>
            <w:tcW w:w="927" w:type="pct"/>
            <w:shd w:val="clear" w:color="000000" w:fill="FFFFFF"/>
            <w:vAlign w:val="center"/>
          </w:tcPr>
          <w:p w14:paraId="778A8DA7">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依据绩效目标设定的绩效指标是否清晰、细化、可衡量等，用以反映和考核项目绩效目标的明细化情况。</w:t>
            </w:r>
          </w:p>
        </w:tc>
        <w:tc>
          <w:tcPr>
            <w:tcW w:w="2047" w:type="pct"/>
            <w:shd w:val="clear" w:color="000000" w:fill="FFFFFF"/>
            <w:vAlign w:val="center"/>
          </w:tcPr>
          <w:p w14:paraId="4896620E">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①是否将项目绩效目标细化分解为具体的绩效指标；</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②是否通过清晰、可衡量的指标值予以体现；</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③是否与项目目标任务数或计划数相对应。</w:t>
            </w:r>
            <w:r>
              <w:rPr>
                <w:rFonts w:ascii="Times New Roman" w:hAnsi="Times New Roman" w:cs="Times New Roman"/>
                <w:color w:val="000000"/>
                <w:kern w:val="0"/>
                <w:sz w:val="22"/>
                <w:szCs w:val="22"/>
                <w:highlight w:val="none"/>
              </w:rPr>
              <w:br w:type="textWrapping"/>
            </w:r>
          </w:p>
        </w:tc>
        <w:tc>
          <w:tcPr>
            <w:tcW w:w="511" w:type="pct"/>
            <w:shd w:val="clear" w:color="000000" w:fill="FFFFFF"/>
            <w:vAlign w:val="center"/>
          </w:tcPr>
          <w:p w14:paraId="3C579646">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3</w:t>
            </w:r>
          </w:p>
        </w:tc>
        <w:tc>
          <w:tcPr>
            <w:tcW w:w="537" w:type="pct"/>
            <w:shd w:val="clear" w:color="000000" w:fill="FFFFFF"/>
            <w:vAlign w:val="center"/>
          </w:tcPr>
          <w:p w14:paraId="3C81429F">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14:paraId="2A63BD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9" w:type="pct"/>
            <w:vMerge w:val="continue"/>
            <w:shd w:val="clear" w:color="auto" w:fill="FFFFFF"/>
            <w:vAlign w:val="center"/>
          </w:tcPr>
          <w:p w14:paraId="7994CE32">
            <w:pPr>
              <w:spacing w:line="0" w:lineRule="atLeast"/>
              <w:jc w:val="center"/>
              <w:rPr>
                <w:rFonts w:ascii="Times New Roman" w:hAnsi="Times New Roman" w:cs="Times New Roman"/>
                <w:color w:val="000000"/>
                <w:kern w:val="0"/>
                <w:sz w:val="22"/>
                <w:szCs w:val="22"/>
                <w:highlight w:val="none"/>
              </w:rPr>
            </w:pPr>
          </w:p>
        </w:tc>
        <w:tc>
          <w:tcPr>
            <w:tcW w:w="302" w:type="pct"/>
            <w:vMerge w:val="restart"/>
            <w:shd w:val="clear" w:color="auto" w:fill="FFFFFF"/>
            <w:vAlign w:val="center"/>
          </w:tcPr>
          <w:p w14:paraId="1107BFD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资金投入</w:t>
            </w:r>
          </w:p>
          <w:p w14:paraId="19813AA6">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tc>
        <w:tc>
          <w:tcPr>
            <w:tcW w:w="344" w:type="pct"/>
            <w:shd w:val="clear" w:color="auto" w:fill="FFFFFF"/>
            <w:vAlign w:val="center"/>
          </w:tcPr>
          <w:p w14:paraId="6F25B1D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预算编制</w:t>
            </w:r>
          </w:p>
          <w:p w14:paraId="081BA03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科学性</w:t>
            </w:r>
          </w:p>
        </w:tc>
        <w:tc>
          <w:tcPr>
            <w:tcW w:w="927" w:type="pct"/>
            <w:shd w:val="clear" w:color="auto" w:fill="FFFFFF"/>
            <w:vAlign w:val="center"/>
          </w:tcPr>
          <w:p w14:paraId="1C18EAFA">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7" w:type="pct"/>
            <w:shd w:val="clear" w:color="auto" w:fill="FFFFFF"/>
            <w:vAlign w:val="center"/>
          </w:tcPr>
          <w:p w14:paraId="5B6C9C6C">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①预算编制是否经过科学论证；</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②预算内容与项目内容是否匹配；</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③预算额度测算依据是否充分，是否按照标准编制；</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④预算确定的项目投资额或资金量是否与工作任务相匹配。</w:t>
            </w:r>
          </w:p>
        </w:tc>
        <w:tc>
          <w:tcPr>
            <w:tcW w:w="511" w:type="pct"/>
            <w:shd w:val="clear" w:color="auto" w:fill="FFFFFF"/>
            <w:vAlign w:val="center"/>
          </w:tcPr>
          <w:p w14:paraId="10A6CA96">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4</w:t>
            </w:r>
          </w:p>
        </w:tc>
        <w:tc>
          <w:tcPr>
            <w:tcW w:w="537" w:type="pct"/>
            <w:shd w:val="clear" w:color="auto" w:fill="FFFFFF"/>
            <w:vAlign w:val="center"/>
          </w:tcPr>
          <w:p w14:paraId="5FAC3FB9">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14:paraId="1032D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9" w:type="pct"/>
            <w:vMerge w:val="continue"/>
            <w:shd w:val="clear" w:color="auto" w:fill="FFFFFF"/>
            <w:vAlign w:val="center"/>
          </w:tcPr>
          <w:p w14:paraId="6A00E5E6">
            <w:pPr>
              <w:widowControl/>
              <w:spacing w:line="0" w:lineRule="atLeast"/>
              <w:jc w:val="center"/>
              <w:rPr>
                <w:rFonts w:ascii="Times New Roman" w:hAnsi="Times New Roman" w:cs="Times New Roman"/>
                <w:color w:val="000000"/>
                <w:kern w:val="0"/>
                <w:sz w:val="22"/>
                <w:szCs w:val="22"/>
                <w:highlight w:val="none"/>
              </w:rPr>
            </w:pPr>
          </w:p>
        </w:tc>
        <w:tc>
          <w:tcPr>
            <w:tcW w:w="302" w:type="pct"/>
            <w:vMerge w:val="continue"/>
            <w:shd w:val="clear" w:color="auto" w:fill="FFFFFF"/>
            <w:vAlign w:val="center"/>
          </w:tcPr>
          <w:p w14:paraId="2DEBCA4B">
            <w:pPr>
              <w:widowControl/>
              <w:spacing w:line="0" w:lineRule="atLeast"/>
              <w:jc w:val="center"/>
              <w:rPr>
                <w:rFonts w:ascii="Times New Roman" w:hAnsi="Times New Roman" w:cs="Times New Roman"/>
                <w:color w:val="000000"/>
                <w:kern w:val="0"/>
                <w:sz w:val="22"/>
                <w:szCs w:val="22"/>
                <w:highlight w:val="none"/>
              </w:rPr>
            </w:pPr>
          </w:p>
        </w:tc>
        <w:tc>
          <w:tcPr>
            <w:tcW w:w="344" w:type="pct"/>
            <w:shd w:val="clear" w:color="auto" w:fill="FFFFFF"/>
            <w:vAlign w:val="center"/>
          </w:tcPr>
          <w:p w14:paraId="234D9E8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资金分配</w:t>
            </w:r>
          </w:p>
          <w:p w14:paraId="6B2BECBC">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合理性</w:t>
            </w:r>
          </w:p>
        </w:tc>
        <w:tc>
          <w:tcPr>
            <w:tcW w:w="927" w:type="pct"/>
            <w:shd w:val="clear" w:color="auto" w:fill="FFFFFF"/>
            <w:vAlign w:val="center"/>
          </w:tcPr>
          <w:p w14:paraId="440532CD">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项目预算资金分配是否有测算依据，与补助单位或地方实际是否相适应，用以反映和考核项目预算资金分配的科学性、合理性情况。</w:t>
            </w:r>
          </w:p>
        </w:tc>
        <w:tc>
          <w:tcPr>
            <w:tcW w:w="2047" w:type="pct"/>
            <w:shd w:val="clear" w:color="auto" w:fill="FFFFFF"/>
            <w:vAlign w:val="center"/>
          </w:tcPr>
          <w:p w14:paraId="2F58F85D">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①预算资金分配依据是否充分；</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②资金分配额度是否合理，与项目单位或地方实际是否相适应。</w:t>
            </w:r>
          </w:p>
        </w:tc>
        <w:tc>
          <w:tcPr>
            <w:tcW w:w="511" w:type="pct"/>
            <w:shd w:val="clear" w:color="auto" w:fill="FFFFFF"/>
            <w:vAlign w:val="center"/>
          </w:tcPr>
          <w:p w14:paraId="79F9559D">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4</w:t>
            </w:r>
          </w:p>
        </w:tc>
        <w:tc>
          <w:tcPr>
            <w:tcW w:w="537" w:type="pct"/>
            <w:shd w:val="clear" w:color="auto" w:fill="FFFFFF"/>
            <w:vAlign w:val="center"/>
          </w:tcPr>
          <w:p w14:paraId="5AEFA27B">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14:paraId="199C2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9" w:type="pct"/>
            <w:vMerge w:val="restart"/>
            <w:shd w:val="clear" w:color="auto" w:fill="FFFFFF"/>
            <w:vAlign w:val="center"/>
          </w:tcPr>
          <w:p w14:paraId="2ED95F5F">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过程</w:t>
            </w:r>
          </w:p>
        </w:tc>
        <w:tc>
          <w:tcPr>
            <w:tcW w:w="302" w:type="pct"/>
            <w:vMerge w:val="restart"/>
            <w:shd w:val="clear" w:color="auto" w:fill="FFFFFF"/>
            <w:vAlign w:val="center"/>
          </w:tcPr>
          <w:p w14:paraId="2F45F64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资金管理</w:t>
            </w:r>
          </w:p>
        </w:tc>
        <w:tc>
          <w:tcPr>
            <w:tcW w:w="344" w:type="pct"/>
            <w:shd w:val="clear" w:color="auto" w:fill="FFFFFF"/>
            <w:vAlign w:val="center"/>
          </w:tcPr>
          <w:p w14:paraId="75C0BE1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资金到位率</w:t>
            </w:r>
          </w:p>
        </w:tc>
        <w:tc>
          <w:tcPr>
            <w:tcW w:w="927" w:type="pct"/>
            <w:shd w:val="clear" w:color="000000" w:fill="FFFFFF"/>
            <w:vAlign w:val="center"/>
          </w:tcPr>
          <w:p w14:paraId="238E0DF8">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实际到位资金与预算资金的比率，用以反映和考核资金落实情况对项目实施的总体保障程度。</w:t>
            </w:r>
          </w:p>
        </w:tc>
        <w:tc>
          <w:tcPr>
            <w:tcW w:w="2047" w:type="pct"/>
            <w:shd w:val="clear" w:color="000000" w:fill="FFFFFF"/>
            <w:vAlign w:val="center"/>
          </w:tcPr>
          <w:p w14:paraId="5D7BC8AF">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资金到位率=（实际到位资金/预算资金）×100%。</w:t>
            </w:r>
          </w:p>
          <w:p w14:paraId="1DD1E3E0">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实际到位资金：一定时期（本年度或项目期）内落实到具体项目的资金。</w:t>
            </w:r>
          </w:p>
          <w:p w14:paraId="587A92CE">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预算资金：一定时期（本年度或项目期）内预算安排到具体项目的资金。</w:t>
            </w:r>
          </w:p>
        </w:tc>
        <w:tc>
          <w:tcPr>
            <w:tcW w:w="511" w:type="pct"/>
            <w:shd w:val="clear" w:color="000000" w:fill="FFFFFF"/>
            <w:vAlign w:val="center"/>
          </w:tcPr>
          <w:p w14:paraId="74EE537B">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4</w:t>
            </w:r>
          </w:p>
        </w:tc>
        <w:tc>
          <w:tcPr>
            <w:tcW w:w="537" w:type="pct"/>
            <w:shd w:val="clear" w:color="000000" w:fill="FFFFFF"/>
            <w:vAlign w:val="center"/>
          </w:tcPr>
          <w:p w14:paraId="7298E364">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14:paraId="673F14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9" w:type="pct"/>
            <w:vMerge w:val="continue"/>
            <w:shd w:val="clear" w:color="auto" w:fill="FFFFFF"/>
            <w:vAlign w:val="center"/>
          </w:tcPr>
          <w:p w14:paraId="397E81FB">
            <w:pPr>
              <w:spacing w:line="0" w:lineRule="atLeast"/>
              <w:jc w:val="center"/>
              <w:rPr>
                <w:rFonts w:ascii="Times New Roman" w:hAnsi="Times New Roman" w:cs="Times New Roman"/>
                <w:color w:val="000000"/>
                <w:kern w:val="0"/>
                <w:sz w:val="22"/>
                <w:szCs w:val="22"/>
                <w:highlight w:val="none"/>
              </w:rPr>
            </w:pPr>
          </w:p>
        </w:tc>
        <w:tc>
          <w:tcPr>
            <w:tcW w:w="302" w:type="pct"/>
            <w:vMerge w:val="continue"/>
            <w:shd w:val="clear" w:color="auto" w:fill="FFFFFF"/>
            <w:vAlign w:val="center"/>
          </w:tcPr>
          <w:p w14:paraId="24081052">
            <w:pPr>
              <w:spacing w:line="0" w:lineRule="atLeast"/>
              <w:jc w:val="center"/>
              <w:rPr>
                <w:rFonts w:ascii="Times New Roman" w:hAnsi="Times New Roman" w:cs="Times New Roman"/>
                <w:color w:val="000000"/>
                <w:kern w:val="0"/>
                <w:sz w:val="22"/>
                <w:szCs w:val="22"/>
                <w:highlight w:val="none"/>
              </w:rPr>
            </w:pPr>
          </w:p>
        </w:tc>
        <w:tc>
          <w:tcPr>
            <w:tcW w:w="344" w:type="pct"/>
            <w:shd w:val="clear" w:color="auto" w:fill="FFFFFF"/>
            <w:vAlign w:val="center"/>
          </w:tcPr>
          <w:p w14:paraId="1E26D6F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预算执行率</w:t>
            </w:r>
          </w:p>
        </w:tc>
        <w:tc>
          <w:tcPr>
            <w:tcW w:w="927" w:type="pct"/>
            <w:shd w:val="clear" w:color="auto" w:fill="FFFFFF"/>
            <w:vAlign w:val="center"/>
          </w:tcPr>
          <w:p w14:paraId="4E71677B">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项目预算资金是否按照计划执行，用以反映或考核项目预算执行情况。</w:t>
            </w:r>
          </w:p>
        </w:tc>
        <w:tc>
          <w:tcPr>
            <w:tcW w:w="2047" w:type="pct"/>
            <w:shd w:val="clear" w:color="auto" w:fill="FFFFFF"/>
            <w:vAlign w:val="center"/>
          </w:tcPr>
          <w:p w14:paraId="7EB75CB4">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预算执行率=（实际支出资金/实际到位资金）×100%。</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实际支出资金：一定时期（本年度或项目期）内项目实际拨付的资金。</w:t>
            </w:r>
          </w:p>
        </w:tc>
        <w:tc>
          <w:tcPr>
            <w:tcW w:w="511" w:type="pct"/>
            <w:shd w:val="clear" w:color="auto" w:fill="FFFFFF"/>
            <w:vAlign w:val="center"/>
          </w:tcPr>
          <w:p w14:paraId="5A485C3A">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4</w:t>
            </w:r>
          </w:p>
        </w:tc>
        <w:tc>
          <w:tcPr>
            <w:tcW w:w="537" w:type="pct"/>
            <w:shd w:val="clear" w:color="auto" w:fill="FFFFFF"/>
            <w:vAlign w:val="center"/>
          </w:tcPr>
          <w:p w14:paraId="36898968">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14:paraId="752798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9" w:type="pct"/>
            <w:vMerge w:val="restart"/>
            <w:shd w:val="clear" w:color="auto" w:fill="FFFFFF"/>
            <w:vAlign w:val="center"/>
          </w:tcPr>
          <w:p w14:paraId="64E187B1">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p w14:paraId="5FECEB6D">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过程　</w:t>
            </w:r>
          </w:p>
        </w:tc>
        <w:tc>
          <w:tcPr>
            <w:tcW w:w="302" w:type="pct"/>
            <w:shd w:val="clear" w:color="auto" w:fill="FFFFFF"/>
            <w:vAlign w:val="center"/>
          </w:tcPr>
          <w:p w14:paraId="633DE94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资金管理</w:t>
            </w:r>
          </w:p>
        </w:tc>
        <w:tc>
          <w:tcPr>
            <w:tcW w:w="344" w:type="pct"/>
            <w:shd w:val="clear" w:color="auto" w:fill="FFFFFF"/>
            <w:vAlign w:val="center"/>
          </w:tcPr>
          <w:p w14:paraId="2F2646B1">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资金使用</w:t>
            </w:r>
          </w:p>
          <w:p w14:paraId="6CBCB1A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合规性</w:t>
            </w:r>
          </w:p>
        </w:tc>
        <w:tc>
          <w:tcPr>
            <w:tcW w:w="927" w:type="pct"/>
            <w:shd w:val="clear" w:color="000000" w:fill="FFFFFF"/>
            <w:vAlign w:val="center"/>
          </w:tcPr>
          <w:p w14:paraId="301FA45B">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项目资金使用是否符合相关的财务管理制度规定，用以反映和考核项目资金的规范运行情况。</w:t>
            </w:r>
          </w:p>
        </w:tc>
        <w:tc>
          <w:tcPr>
            <w:tcW w:w="2047" w:type="pct"/>
            <w:shd w:val="clear" w:color="000000" w:fill="FFFFFF"/>
            <w:vAlign w:val="center"/>
          </w:tcPr>
          <w:p w14:paraId="66637027">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①是否符合国家财经法规和财务管理制度以及有关专项资金管理办法的规定；</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②资金的拨付是否有完整的审批程序和手续；</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③是否符合项目预算批复或合同规定的用途；</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④是否存在截留、挤占、挪用、虚列支出等情况。</w:t>
            </w:r>
          </w:p>
        </w:tc>
        <w:tc>
          <w:tcPr>
            <w:tcW w:w="511" w:type="pct"/>
            <w:shd w:val="clear" w:color="000000" w:fill="FFFFFF"/>
            <w:vAlign w:val="center"/>
          </w:tcPr>
          <w:p w14:paraId="20C30454">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4</w:t>
            </w:r>
          </w:p>
        </w:tc>
        <w:tc>
          <w:tcPr>
            <w:tcW w:w="537" w:type="pct"/>
            <w:shd w:val="clear" w:color="000000" w:fill="FFFFFF"/>
            <w:vAlign w:val="center"/>
          </w:tcPr>
          <w:p w14:paraId="6695C8AA">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14:paraId="1FE0F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9" w:type="pct"/>
            <w:vMerge w:val="continue"/>
            <w:shd w:val="clear" w:color="auto" w:fill="FFFFFF"/>
            <w:vAlign w:val="center"/>
          </w:tcPr>
          <w:p w14:paraId="582FCCB0">
            <w:pPr>
              <w:spacing w:line="0" w:lineRule="atLeast"/>
              <w:jc w:val="center"/>
              <w:rPr>
                <w:rFonts w:ascii="Times New Roman" w:hAnsi="Times New Roman" w:cs="Times New Roman"/>
                <w:color w:val="000000"/>
                <w:kern w:val="0"/>
                <w:sz w:val="22"/>
                <w:szCs w:val="22"/>
                <w:highlight w:val="none"/>
              </w:rPr>
            </w:pPr>
          </w:p>
        </w:tc>
        <w:tc>
          <w:tcPr>
            <w:tcW w:w="302" w:type="pct"/>
            <w:vMerge w:val="restart"/>
            <w:shd w:val="clear" w:color="auto" w:fill="FFFFFF"/>
            <w:vAlign w:val="center"/>
          </w:tcPr>
          <w:p w14:paraId="48F87051">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组织实施</w:t>
            </w:r>
          </w:p>
          <w:p w14:paraId="0EEE1528">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　</w:t>
            </w:r>
          </w:p>
        </w:tc>
        <w:tc>
          <w:tcPr>
            <w:tcW w:w="344" w:type="pct"/>
            <w:shd w:val="clear" w:color="auto" w:fill="FFFFFF"/>
            <w:vAlign w:val="center"/>
          </w:tcPr>
          <w:p w14:paraId="7AF40960">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管理制度</w:t>
            </w:r>
          </w:p>
          <w:p w14:paraId="64C23FA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健全性</w:t>
            </w:r>
          </w:p>
        </w:tc>
        <w:tc>
          <w:tcPr>
            <w:tcW w:w="927" w:type="pct"/>
            <w:shd w:val="clear" w:color="000000" w:fill="FFFFFF"/>
            <w:vAlign w:val="center"/>
          </w:tcPr>
          <w:p w14:paraId="29E7849E">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项目实施单位的财务和业务管理制度是否健全，用以反映和考核财务和业务管理制度对项目顺利实施的保障情况。</w:t>
            </w:r>
          </w:p>
        </w:tc>
        <w:tc>
          <w:tcPr>
            <w:tcW w:w="2047" w:type="pct"/>
            <w:shd w:val="clear" w:color="000000" w:fill="FFFFFF"/>
            <w:vAlign w:val="center"/>
          </w:tcPr>
          <w:p w14:paraId="015AA03B">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①是否已制定或具有相应的财务和业务管理制度；</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②财务和业务管理制度是否合法、合规、完整。</w:t>
            </w:r>
          </w:p>
        </w:tc>
        <w:tc>
          <w:tcPr>
            <w:tcW w:w="511" w:type="pct"/>
            <w:shd w:val="clear" w:color="000000" w:fill="FFFFFF"/>
            <w:vAlign w:val="center"/>
          </w:tcPr>
          <w:p w14:paraId="6ADAA63E">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4</w:t>
            </w:r>
          </w:p>
        </w:tc>
        <w:tc>
          <w:tcPr>
            <w:tcW w:w="537" w:type="pct"/>
            <w:shd w:val="clear" w:color="000000" w:fill="FFFFFF"/>
            <w:vAlign w:val="center"/>
          </w:tcPr>
          <w:p w14:paraId="34B54423">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14:paraId="34842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9" w:type="pct"/>
            <w:vMerge w:val="continue"/>
            <w:shd w:val="clear" w:color="auto" w:fill="FFFFFF"/>
            <w:vAlign w:val="center"/>
          </w:tcPr>
          <w:p w14:paraId="1A4190DB">
            <w:pPr>
              <w:widowControl/>
              <w:spacing w:line="0" w:lineRule="atLeast"/>
              <w:jc w:val="center"/>
              <w:rPr>
                <w:rFonts w:ascii="Times New Roman" w:hAnsi="Times New Roman" w:cs="Times New Roman"/>
                <w:color w:val="000000"/>
                <w:kern w:val="0"/>
                <w:sz w:val="22"/>
                <w:szCs w:val="22"/>
                <w:highlight w:val="none"/>
              </w:rPr>
            </w:pPr>
          </w:p>
        </w:tc>
        <w:tc>
          <w:tcPr>
            <w:tcW w:w="302" w:type="pct"/>
            <w:vMerge w:val="continue"/>
            <w:shd w:val="clear" w:color="auto" w:fill="FFFFFF"/>
            <w:vAlign w:val="center"/>
          </w:tcPr>
          <w:p w14:paraId="42B164EF">
            <w:pPr>
              <w:widowControl/>
              <w:spacing w:line="0" w:lineRule="atLeast"/>
              <w:jc w:val="center"/>
              <w:rPr>
                <w:rFonts w:ascii="Times New Roman" w:hAnsi="Times New Roman" w:cs="Times New Roman"/>
                <w:color w:val="000000"/>
                <w:kern w:val="0"/>
                <w:sz w:val="22"/>
                <w:szCs w:val="22"/>
                <w:highlight w:val="none"/>
              </w:rPr>
            </w:pPr>
          </w:p>
        </w:tc>
        <w:tc>
          <w:tcPr>
            <w:tcW w:w="344" w:type="pct"/>
            <w:shd w:val="clear" w:color="auto" w:fill="FFFFFF"/>
            <w:vAlign w:val="center"/>
          </w:tcPr>
          <w:p w14:paraId="704F9B19">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制度执行</w:t>
            </w:r>
          </w:p>
          <w:p w14:paraId="54B08734">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有效性</w:t>
            </w:r>
          </w:p>
        </w:tc>
        <w:tc>
          <w:tcPr>
            <w:tcW w:w="927" w:type="pct"/>
            <w:shd w:val="clear" w:color="000000" w:fill="FFFFFF"/>
            <w:vAlign w:val="center"/>
          </w:tcPr>
          <w:p w14:paraId="55EBEA1D">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项目实施是否符合相关管理规定，用以反映和考核相关管理制度的有效执行情况。</w:t>
            </w:r>
          </w:p>
        </w:tc>
        <w:tc>
          <w:tcPr>
            <w:tcW w:w="2047" w:type="pct"/>
            <w:shd w:val="clear" w:color="000000" w:fill="FFFFFF"/>
            <w:vAlign w:val="center"/>
          </w:tcPr>
          <w:p w14:paraId="6F943A87">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评价要点：</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①是否遵守相关法律法规和相关管理规定；</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②项目调整及支出调整手续是否完备；</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③项目合同书、验收报告、技术鉴定等资料是否齐全并及时归档；</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④项目实施的人员条件、场地设备、信息支撑等是否落实到位。</w:t>
            </w:r>
          </w:p>
        </w:tc>
        <w:tc>
          <w:tcPr>
            <w:tcW w:w="511" w:type="pct"/>
            <w:shd w:val="clear" w:color="000000" w:fill="FFFFFF"/>
            <w:vAlign w:val="center"/>
          </w:tcPr>
          <w:p w14:paraId="1F5320AC">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4</w:t>
            </w:r>
          </w:p>
        </w:tc>
        <w:tc>
          <w:tcPr>
            <w:tcW w:w="537" w:type="pct"/>
            <w:shd w:val="clear" w:color="000000" w:fill="FFFFFF"/>
            <w:vAlign w:val="center"/>
          </w:tcPr>
          <w:p w14:paraId="69A44904">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14:paraId="34054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9" w:type="pct"/>
            <w:shd w:val="clear" w:color="auto" w:fill="FFFFFF"/>
            <w:vAlign w:val="center"/>
          </w:tcPr>
          <w:p w14:paraId="01C8B05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w:t>
            </w:r>
          </w:p>
        </w:tc>
        <w:tc>
          <w:tcPr>
            <w:tcW w:w="302" w:type="pct"/>
            <w:shd w:val="clear" w:color="auto" w:fill="FFFFFF"/>
            <w:vAlign w:val="center"/>
          </w:tcPr>
          <w:p w14:paraId="6BDDD14B">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产出数量</w:t>
            </w:r>
          </w:p>
        </w:tc>
        <w:tc>
          <w:tcPr>
            <w:tcW w:w="344" w:type="pct"/>
            <w:shd w:val="clear" w:color="auto" w:fill="FFFFFF"/>
            <w:vAlign w:val="center"/>
          </w:tcPr>
          <w:p w14:paraId="7B25DEC3">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实际完成率</w:t>
            </w:r>
          </w:p>
        </w:tc>
        <w:tc>
          <w:tcPr>
            <w:tcW w:w="927" w:type="pct"/>
            <w:shd w:val="clear" w:color="000000" w:fill="FFFFFF"/>
            <w:vAlign w:val="center"/>
          </w:tcPr>
          <w:p w14:paraId="0E5C075D">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项目实施的实际产出数与计划产出数的比率，用以反映和考核项目产出数量目标的实现程度。</w:t>
            </w:r>
          </w:p>
        </w:tc>
        <w:tc>
          <w:tcPr>
            <w:tcW w:w="2047" w:type="pct"/>
            <w:shd w:val="clear" w:color="000000" w:fill="FFFFFF"/>
            <w:vAlign w:val="center"/>
          </w:tcPr>
          <w:p w14:paraId="11914AA1">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实际完成率=（实际产出数/计划产出数）×100%。</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实际产出数：一定时期（本年度或项目期）内项目实际产出的产品或提供的服务数量。</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计划产出</w:t>
            </w:r>
            <w:r>
              <w:rPr>
                <w:rFonts w:hint="eastAsia" w:cs="Times New Roman"/>
                <w:color w:val="000000"/>
                <w:kern w:val="0"/>
                <w:sz w:val="22"/>
                <w:szCs w:val="22"/>
                <w:highlight w:val="none"/>
                <w:lang w:eastAsia="zh-CN"/>
              </w:rPr>
              <w:t>数量</w:t>
            </w:r>
            <w:r>
              <w:rPr>
                <w:rFonts w:ascii="Times New Roman" w:hAnsi="Times New Roman" w:cs="Times New Roman"/>
                <w:color w:val="000000"/>
                <w:kern w:val="0"/>
                <w:sz w:val="22"/>
                <w:szCs w:val="22"/>
                <w:highlight w:val="none"/>
              </w:rPr>
              <w:t>：项目绩效目标确定的在一定时期（本年度或项目期）内计划产出的产品或提供的服务数量。</w:t>
            </w:r>
          </w:p>
        </w:tc>
        <w:tc>
          <w:tcPr>
            <w:tcW w:w="511" w:type="pct"/>
            <w:shd w:val="clear" w:color="000000" w:fill="FFFFFF"/>
            <w:vAlign w:val="center"/>
          </w:tcPr>
          <w:p w14:paraId="3037E618">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10</w:t>
            </w:r>
          </w:p>
        </w:tc>
        <w:tc>
          <w:tcPr>
            <w:tcW w:w="537" w:type="pct"/>
            <w:shd w:val="clear" w:color="000000" w:fill="FFFFFF"/>
            <w:vAlign w:val="center"/>
          </w:tcPr>
          <w:p w14:paraId="3B574DC8">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14:paraId="5520B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9" w:type="pct"/>
            <w:vMerge w:val="restart"/>
            <w:shd w:val="clear" w:color="auto" w:fill="FFFFFF"/>
            <w:vAlign w:val="center"/>
          </w:tcPr>
          <w:p w14:paraId="28EB47F0">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w:t>
            </w:r>
          </w:p>
        </w:tc>
        <w:tc>
          <w:tcPr>
            <w:tcW w:w="302" w:type="pct"/>
            <w:shd w:val="clear" w:color="auto" w:fill="FFFFFF"/>
            <w:vAlign w:val="center"/>
          </w:tcPr>
          <w:p w14:paraId="5894125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产出质量</w:t>
            </w:r>
          </w:p>
        </w:tc>
        <w:tc>
          <w:tcPr>
            <w:tcW w:w="344" w:type="pct"/>
            <w:shd w:val="clear" w:color="auto" w:fill="FFFFFF"/>
            <w:vAlign w:val="center"/>
          </w:tcPr>
          <w:p w14:paraId="2CEFF27C">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质量达标率</w:t>
            </w:r>
          </w:p>
        </w:tc>
        <w:tc>
          <w:tcPr>
            <w:tcW w:w="927" w:type="pct"/>
            <w:shd w:val="clear" w:color="000000" w:fill="FFFFFF"/>
            <w:vAlign w:val="center"/>
          </w:tcPr>
          <w:p w14:paraId="235E37FD">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项目完成的质量达标产出数与实际产出数的比率，用以反映和考核项目产出质量目标的实现程度。</w:t>
            </w:r>
          </w:p>
        </w:tc>
        <w:tc>
          <w:tcPr>
            <w:tcW w:w="2047" w:type="pct"/>
            <w:shd w:val="clear" w:color="000000" w:fill="FFFFFF"/>
            <w:vAlign w:val="center"/>
          </w:tcPr>
          <w:p w14:paraId="26356DE4">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质量达标率=（质量达标产出数/实际产出数）×100%。</w:t>
            </w:r>
          </w:p>
          <w:p w14:paraId="362CEDC7">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1" w:type="pct"/>
            <w:shd w:val="clear" w:color="000000" w:fill="FFFFFF"/>
            <w:vAlign w:val="center"/>
          </w:tcPr>
          <w:p w14:paraId="3E56C7E7">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10</w:t>
            </w:r>
          </w:p>
        </w:tc>
        <w:tc>
          <w:tcPr>
            <w:tcW w:w="537" w:type="pct"/>
            <w:shd w:val="clear" w:color="000000" w:fill="FFFFFF"/>
            <w:vAlign w:val="center"/>
          </w:tcPr>
          <w:p w14:paraId="1776B344">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14:paraId="50064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9" w:type="pct"/>
            <w:vMerge w:val="continue"/>
            <w:shd w:val="clear" w:color="auto" w:fill="FFFFFF"/>
            <w:vAlign w:val="center"/>
          </w:tcPr>
          <w:p w14:paraId="0EB7D43F">
            <w:pPr>
              <w:spacing w:line="0" w:lineRule="atLeast"/>
              <w:jc w:val="center"/>
              <w:rPr>
                <w:rFonts w:ascii="Times New Roman" w:hAnsi="Times New Roman" w:cs="Times New Roman"/>
                <w:color w:val="000000"/>
                <w:kern w:val="0"/>
                <w:sz w:val="22"/>
                <w:szCs w:val="22"/>
                <w:highlight w:val="none"/>
              </w:rPr>
            </w:pPr>
          </w:p>
        </w:tc>
        <w:tc>
          <w:tcPr>
            <w:tcW w:w="302" w:type="pct"/>
            <w:shd w:val="clear" w:color="auto" w:fill="FFFFFF"/>
            <w:vAlign w:val="center"/>
          </w:tcPr>
          <w:p w14:paraId="521859E1">
            <w:pPr>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产出时效</w:t>
            </w:r>
          </w:p>
        </w:tc>
        <w:tc>
          <w:tcPr>
            <w:tcW w:w="344" w:type="pct"/>
            <w:shd w:val="clear" w:color="auto" w:fill="FFFFFF"/>
            <w:vAlign w:val="center"/>
          </w:tcPr>
          <w:p w14:paraId="06015549">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完成及时性</w:t>
            </w:r>
          </w:p>
        </w:tc>
        <w:tc>
          <w:tcPr>
            <w:tcW w:w="927" w:type="pct"/>
            <w:shd w:val="clear" w:color="000000" w:fill="FFFFFF"/>
            <w:vAlign w:val="center"/>
          </w:tcPr>
          <w:p w14:paraId="5D49FC44">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项目实际完成时间与计划完成时间的比较，用以反映和考核项目产出时效目标的实现程度。</w:t>
            </w:r>
          </w:p>
        </w:tc>
        <w:tc>
          <w:tcPr>
            <w:tcW w:w="2047" w:type="pct"/>
            <w:shd w:val="clear" w:color="000000" w:fill="FFFFFF"/>
            <w:vAlign w:val="center"/>
          </w:tcPr>
          <w:p w14:paraId="303613C1">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实际完成时间：项目实施单位完成该项目实际所耗用的时间。</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计划完成时间：按照项目实施计划或相关规定完成该项目所需的时间。</w:t>
            </w:r>
          </w:p>
        </w:tc>
        <w:tc>
          <w:tcPr>
            <w:tcW w:w="511" w:type="pct"/>
            <w:shd w:val="clear" w:color="000000" w:fill="FFFFFF"/>
            <w:vAlign w:val="center"/>
          </w:tcPr>
          <w:p w14:paraId="66970BDF">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10</w:t>
            </w:r>
          </w:p>
        </w:tc>
        <w:tc>
          <w:tcPr>
            <w:tcW w:w="537" w:type="pct"/>
            <w:shd w:val="clear" w:color="000000" w:fill="FFFFFF"/>
            <w:vAlign w:val="center"/>
          </w:tcPr>
          <w:p w14:paraId="5087AFA0">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14:paraId="62A7B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9" w:type="pct"/>
            <w:vMerge w:val="continue"/>
            <w:shd w:val="clear" w:color="auto" w:fill="FFFFFF"/>
            <w:vAlign w:val="center"/>
          </w:tcPr>
          <w:p w14:paraId="3A7C8121">
            <w:pPr>
              <w:widowControl/>
              <w:spacing w:line="0" w:lineRule="atLeast"/>
              <w:jc w:val="center"/>
              <w:rPr>
                <w:rFonts w:ascii="Times New Roman" w:hAnsi="Times New Roman" w:cs="Times New Roman"/>
                <w:color w:val="000000"/>
                <w:kern w:val="0"/>
                <w:sz w:val="22"/>
                <w:szCs w:val="22"/>
                <w:highlight w:val="none"/>
              </w:rPr>
            </w:pPr>
          </w:p>
        </w:tc>
        <w:tc>
          <w:tcPr>
            <w:tcW w:w="302" w:type="pct"/>
            <w:shd w:val="clear" w:color="auto" w:fill="FFFFFF"/>
            <w:vAlign w:val="center"/>
          </w:tcPr>
          <w:p w14:paraId="3756E8E5">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产出成本</w:t>
            </w:r>
          </w:p>
        </w:tc>
        <w:tc>
          <w:tcPr>
            <w:tcW w:w="344" w:type="pct"/>
            <w:shd w:val="clear" w:color="auto" w:fill="FFFFFF"/>
            <w:vAlign w:val="center"/>
          </w:tcPr>
          <w:p w14:paraId="7328A1B2">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成本节约率</w:t>
            </w:r>
          </w:p>
        </w:tc>
        <w:tc>
          <w:tcPr>
            <w:tcW w:w="927" w:type="pct"/>
            <w:shd w:val="clear" w:color="000000" w:fill="FFFFFF"/>
            <w:vAlign w:val="center"/>
          </w:tcPr>
          <w:p w14:paraId="635BA9FF">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完成项目计划工作目标的实际节约成本与计划成本的比率，用以反映和考核项目的成本节约程度。</w:t>
            </w:r>
          </w:p>
        </w:tc>
        <w:tc>
          <w:tcPr>
            <w:tcW w:w="2047" w:type="pct"/>
            <w:shd w:val="clear" w:color="000000" w:fill="FFFFFF"/>
            <w:vAlign w:val="center"/>
          </w:tcPr>
          <w:p w14:paraId="1F5ECD0A">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成本节约率=[（计划成本-实际成本）/计划成本]×100%。</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实际成本：项目实施单位如期、保质、保量完成既定工作目标实际所耗费的支出。</w:t>
            </w:r>
            <w:r>
              <w:rPr>
                <w:rFonts w:ascii="Times New Roman" w:hAnsi="Times New Roman" w:cs="Times New Roman"/>
                <w:color w:val="000000"/>
                <w:kern w:val="0"/>
                <w:sz w:val="22"/>
                <w:szCs w:val="22"/>
                <w:highlight w:val="none"/>
              </w:rPr>
              <w:br w:type="textWrapping"/>
            </w:r>
            <w:r>
              <w:rPr>
                <w:rFonts w:ascii="Times New Roman" w:hAnsi="Times New Roman" w:cs="Times New Roman"/>
                <w:color w:val="000000"/>
                <w:kern w:val="0"/>
                <w:sz w:val="22"/>
                <w:szCs w:val="22"/>
                <w:highlight w:val="none"/>
              </w:rPr>
              <w:t>计划成本：项目实施单位为完成工作目标计划安排的支出，一般以项目预算为参考。</w:t>
            </w:r>
          </w:p>
        </w:tc>
        <w:tc>
          <w:tcPr>
            <w:tcW w:w="511" w:type="pct"/>
            <w:shd w:val="clear" w:color="000000" w:fill="FFFFFF"/>
            <w:vAlign w:val="center"/>
          </w:tcPr>
          <w:p w14:paraId="394A331D">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10</w:t>
            </w:r>
          </w:p>
        </w:tc>
        <w:tc>
          <w:tcPr>
            <w:tcW w:w="537" w:type="pct"/>
            <w:shd w:val="clear" w:color="000000" w:fill="FFFFFF"/>
            <w:vAlign w:val="center"/>
          </w:tcPr>
          <w:p w14:paraId="7596E126">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14:paraId="0D9C7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9" w:type="pct"/>
            <w:vMerge w:val="restart"/>
            <w:shd w:val="clear" w:color="auto" w:fill="FFFFFF"/>
            <w:vAlign w:val="center"/>
          </w:tcPr>
          <w:p w14:paraId="63A9B4EE">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效益　</w:t>
            </w:r>
          </w:p>
        </w:tc>
        <w:tc>
          <w:tcPr>
            <w:tcW w:w="302" w:type="pct"/>
            <w:vMerge w:val="restart"/>
            <w:shd w:val="clear" w:color="auto" w:fill="FFFFFF"/>
            <w:vAlign w:val="center"/>
          </w:tcPr>
          <w:p w14:paraId="4E84DE07">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项目效益　</w:t>
            </w:r>
          </w:p>
        </w:tc>
        <w:tc>
          <w:tcPr>
            <w:tcW w:w="344" w:type="pct"/>
            <w:shd w:val="clear" w:color="auto" w:fill="FFFFFF"/>
            <w:vAlign w:val="center"/>
          </w:tcPr>
          <w:p w14:paraId="04B61898">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实施效益</w:t>
            </w:r>
          </w:p>
        </w:tc>
        <w:tc>
          <w:tcPr>
            <w:tcW w:w="927" w:type="pct"/>
            <w:shd w:val="clear" w:color="auto" w:fill="FFFFFF"/>
            <w:vAlign w:val="center"/>
          </w:tcPr>
          <w:p w14:paraId="1EEE9A05">
            <w:pPr>
              <w:widowControl/>
              <w:spacing w:line="0" w:lineRule="atLeast"/>
              <w:jc w:val="lef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项目实施所产生的效益。</w:t>
            </w:r>
          </w:p>
        </w:tc>
        <w:tc>
          <w:tcPr>
            <w:tcW w:w="2047" w:type="pct"/>
            <w:shd w:val="clear" w:color="auto" w:fill="FFFFFF"/>
            <w:vAlign w:val="center"/>
          </w:tcPr>
          <w:p w14:paraId="1357B8CD">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项目实施所产生的社会效益、经济效益、生态效益、可持续影响等。可根据项目实际情况有选择地设置和细化。</w:t>
            </w:r>
          </w:p>
        </w:tc>
        <w:tc>
          <w:tcPr>
            <w:tcW w:w="511" w:type="pct"/>
            <w:shd w:val="clear" w:color="auto" w:fill="FFFFFF"/>
            <w:vAlign w:val="center"/>
          </w:tcPr>
          <w:p w14:paraId="55CFA430">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10</w:t>
            </w:r>
          </w:p>
        </w:tc>
        <w:tc>
          <w:tcPr>
            <w:tcW w:w="537" w:type="pct"/>
            <w:shd w:val="clear" w:color="auto" w:fill="FFFFFF"/>
            <w:vAlign w:val="center"/>
          </w:tcPr>
          <w:p w14:paraId="06097A62">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14:paraId="2ED577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9" w:type="pct"/>
            <w:vMerge w:val="continue"/>
            <w:shd w:val="clear" w:color="auto" w:fill="FFFFFF"/>
            <w:vAlign w:val="center"/>
          </w:tcPr>
          <w:p w14:paraId="123FF690">
            <w:pPr>
              <w:widowControl/>
              <w:spacing w:line="0" w:lineRule="atLeast"/>
              <w:jc w:val="center"/>
              <w:rPr>
                <w:rFonts w:ascii="Times New Roman" w:hAnsi="Times New Roman" w:cs="Times New Roman"/>
                <w:color w:val="000000"/>
                <w:kern w:val="0"/>
                <w:sz w:val="22"/>
                <w:szCs w:val="22"/>
                <w:highlight w:val="none"/>
              </w:rPr>
            </w:pPr>
          </w:p>
        </w:tc>
        <w:tc>
          <w:tcPr>
            <w:tcW w:w="302" w:type="pct"/>
            <w:vMerge w:val="continue"/>
            <w:shd w:val="clear" w:color="auto" w:fill="FFFFFF"/>
            <w:vAlign w:val="center"/>
          </w:tcPr>
          <w:p w14:paraId="5D077EF0">
            <w:pPr>
              <w:widowControl/>
              <w:spacing w:line="0" w:lineRule="atLeast"/>
              <w:jc w:val="center"/>
              <w:rPr>
                <w:rFonts w:ascii="Times New Roman" w:hAnsi="Times New Roman" w:cs="Times New Roman"/>
                <w:color w:val="000000"/>
                <w:kern w:val="0"/>
                <w:sz w:val="22"/>
                <w:szCs w:val="22"/>
                <w:highlight w:val="none"/>
              </w:rPr>
            </w:pPr>
          </w:p>
        </w:tc>
        <w:tc>
          <w:tcPr>
            <w:tcW w:w="344" w:type="pct"/>
            <w:shd w:val="clear" w:color="auto" w:fill="FFFFFF"/>
            <w:vAlign w:val="center"/>
          </w:tcPr>
          <w:p w14:paraId="0D5A114A">
            <w:pPr>
              <w:widowControl/>
              <w:spacing w:line="0" w:lineRule="atLeast"/>
              <w:jc w:val="center"/>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满意度</w:t>
            </w:r>
          </w:p>
        </w:tc>
        <w:tc>
          <w:tcPr>
            <w:tcW w:w="927" w:type="pct"/>
            <w:shd w:val="clear" w:color="000000" w:fill="FFFFFF"/>
            <w:vAlign w:val="center"/>
          </w:tcPr>
          <w:p w14:paraId="7B7A200E">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社会公众或服务对象对项目实施效果的满意程度。</w:t>
            </w:r>
          </w:p>
        </w:tc>
        <w:tc>
          <w:tcPr>
            <w:tcW w:w="2047" w:type="pct"/>
            <w:shd w:val="clear" w:color="000000" w:fill="FFFFFF"/>
            <w:vAlign w:val="center"/>
          </w:tcPr>
          <w:p w14:paraId="2C5C6503">
            <w:pPr>
              <w:widowControl/>
              <w:spacing w:line="0" w:lineRule="atLeast"/>
              <w:rPr>
                <w:rFonts w:ascii="Times New Roman" w:hAnsi="Times New Roman" w:cs="Times New Roman"/>
                <w:color w:val="000000"/>
                <w:kern w:val="0"/>
                <w:sz w:val="22"/>
                <w:szCs w:val="22"/>
                <w:highlight w:val="none"/>
              </w:rPr>
            </w:pPr>
            <w:r>
              <w:rPr>
                <w:rFonts w:ascii="Times New Roman" w:hAnsi="Times New Roman" w:cs="Times New Roman"/>
                <w:color w:val="000000"/>
                <w:kern w:val="0"/>
                <w:sz w:val="22"/>
                <w:szCs w:val="22"/>
                <w:highlight w:val="none"/>
              </w:rPr>
              <w:t>社会公众或服务对象是指因该项目实施而受到影响的部门（单位）、群体或个人。一般采取社会调查的方式。</w:t>
            </w:r>
          </w:p>
        </w:tc>
        <w:tc>
          <w:tcPr>
            <w:tcW w:w="511" w:type="pct"/>
            <w:shd w:val="clear" w:color="000000" w:fill="FFFFFF"/>
            <w:vAlign w:val="center"/>
          </w:tcPr>
          <w:p w14:paraId="575AEE6A">
            <w:pPr>
              <w:widowControl/>
              <w:spacing w:line="0" w:lineRule="atLeast"/>
              <w:jc w:val="center"/>
              <w:rPr>
                <w:rFonts w:ascii="Times New Roman" w:hAnsi="Times New Roman" w:cs="Times New Roman"/>
                <w:b/>
                <w:bCs/>
                <w:color w:val="000000"/>
                <w:kern w:val="0"/>
                <w:sz w:val="22"/>
                <w:szCs w:val="22"/>
                <w:highlight w:val="none"/>
              </w:rPr>
            </w:pPr>
            <w:r>
              <w:rPr>
                <w:rFonts w:ascii="Times New Roman" w:hAnsi="Times New Roman" w:cs="Times New Roman"/>
                <w:b/>
                <w:bCs/>
                <w:color w:val="000000"/>
                <w:kern w:val="0"/>
                <w:sz w:val="22"/>
                <w:szCs w:val="22"/>
                <w:highlight w:val="none"/>
              </w:rPr>
              <w:t>10</w:t>
            </w:r>
          </w:p>
        </w:tc>
        <w:tc>
          <w:tcPr>
            <w:tcW w:w="537" w:type="pct"/>
            <w:shd w:val="clear" w:color="000000" w:fill="FFFFFF"/>
            <w:vAlign w:val="center"/>
          </w:tcPr>
          <w:p w14:paraId="55FEBA86">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14:paraId="14D6D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4" w:hRule="atLeast"/>
          <w:jc w:val="center"/>
        </w:trPr>
        <w:tc>
          <w:tcPr>
            <w:tcW w:w="3951" w:type="pct"/>
            <w:gridSpan w:val="5"/>
            <w:shd w:val="clear" w:color="auto" w:fill="FFFFFF"/>
            <w:vAlign w:val="center"/>
          </w:tcPr>
          <w:p w14:paraId="20508D00">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合计</w:t>
            </w:r>
          </w:p>
        </w:tc>
        <w:tc>
          <w:tcPr>
            <w:tcW w:w="511" w:type="pct"/>
            <w:shd w:val="clear" w:color="000000" w:fill="FFFFFF"/>
            <w:vAlign w:val="center"/>
          </w:tcPr>
          <w:p w14:paraId="3292C6E6">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100</w:t>
            </w:r>
          </w:p>
        </w:tc>
        <w:tc>
          <w:tcPr>
            <w:tcW w:w="537" w:type="pct"/>
            <w:shd w:val="clear" w:color="000000" w:fill="FFFFFF"/>
            <w:vAlign w:val="center"/>
          </w:tcPr>
          <w:p w14:paraId="665110DA">
            <w:pPr>
              <w:widowControl/>
              <w:spacing w:line="0" w:lineRule="atLeast"/>
              <w:jc w:val="center"/>
              <w:rPr>
                <w:rFonts w:hint="default" w:ascii="Times New Roman" w:hAnsi="Times New Roman"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100</w:t>
            </w:r>
          </w:p>
        </w:tc>
      </w:tr>
    </w:tbl>
    <w:p w14:paraId="4B215F45">
      <w:pPr>
        <w:rPr>
          <w:rFonts w:ascii="Times New Roman" w:hAnsi="Times New Roman" w:cs="Times New Roman"/>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0C7570-431A-4E9A-9B62-89359533FE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4DA38DC-EAC8-41A5-B43E-520ABC9BCFEB}"/>
  </w:font>
  <w:font w:name="华文中宋">
    <w:panose1 w:val="02010600040101010101"/>
    <w:charset w:val="86"/>
    <w:family w:val="auto"/>
    <w:pitch w:val="default"/>
    <w:sig w:usb0="00000287" w:usb1="080F0000" w:usb2="00000000" w:usb3="00000000" w:csb0="0004009F" w:csb1="DFD70000"/>
    <w:embedRegular r:id="rId3" w:fontKey="{B54351AC-B98F-48B7-B9C1-8EB5C4E34966}"/>
  </w:font>
  <w:font w:name="方正小标宋_GBK">
    <w:panose1 w:val="02000000000000000000"/>
    <w:charset w:val="86"/>
    <w:family w:val="script"/>
    <w:pitch w:val="default"/>
    <w:sig w:usb0="A00002BF" w:usb1="38CF7CFA" w:usb2="00082016" w:usb3="00000000" w:csb0="00040001" w:csb1="00000000"/>
    <w:embedRegular r:id="rId4" w:fontKey="{784357E8-E008-4374-AC20-3298534E7335}"/>
  </w:font>
  <w:font w:name="楷体_GB2312">
    <w:panose1 w:val="02010609030101010101"/>
    <w:charset w:val="86"/>
    <w:family w:val="auto"/>
    <w:pitch w:val="default"/>
    <w:sig w:usb0="00000001" w:usb1="080E0000" w:usb2="00000000" w:usb3="00000000" w:csb0="00040000" w:csb1="00000000"/>
    <w:embedRegular r:id="rId5" w:fontKey="{1EB162A2-91E5-454C-BACB-A265E052B3D5}"/>
  </w:font>
  <w:font w:name="楷体">
    <w:panose1 w:val="02010609060101010101"/>
    <w:charset w:val="86"/>
    <w:family w:val="auto"/>
    <w:pitch w:val="default"/>
    <w:sig w:usb0="800002BF" w:usb1="38CF7CFA" w:usb2="00000016" w:usb3="00000000" w:csb0="00040001" w:csb1="00000000"/>
    <w:embedRegular r:id="rId6" w:fontKey="{A7BB74F4-6314-4104-800E-CE3173E5D413}"/>
  </w:font>
  <w:font w:name="仿宋">
    <w:panose1 w:val="02010609060101010101"/>
    <w:charset w:val="86"/>
    <w:family w:val="modern"/>
    <w:pitch w:val="default"/>
    <w:sig w:usb0="800002BF" w:usb1="38CF7CFA" w:usb2="00000016" w:usb3="00000000" w:csb0="00040001" w:csb1="00000000"/>
    <w:embedRegular r:id="rId7" w:fontKey="{1C254320-F09D-4AAD-BEF7-0A8E1D3978D5}"/>
  </w:font>
  <w:font w:name="方正小标宋简体">
    <w:panose1 w:val="02000000000000000000"/>
    <w:charset w:val="86"/>
    <w:family w:val="auto"/>
    <w:pitch w:val="default"/>
    <w:sig w:usb0="00000001" w:usb1="08000000" w:usb2="00000000" w:usb3="00000000" w:csb0="00040000" w:csb1="00000000"/>
    <w:embedRegular r:id="rId8" w:fontKey="{6CFCA8AF-FA98-4419-9D11-8C64E6D6CC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5130D5">
        <w:pPr>
          <w:pStyle w:val="7"/>
          <w:jc w:val="center"/>
        </w:pPr>
        <w:r>
          <w:fldChar w:fldCharType="begin"/>
        </w:r>
        <w:r>
          <w:instrText xml:space="preserve">PAGE   \* MERGEFORMAT</w:instrText>
        </w:r>
        <w:r>
          <w:fldChar w:fldCharType="separate"/>
        </w:r>
        <w:r>
          <w:rPr>
            <w:lang w:val="zh-CN"/>
          </w:rPr>
          <w:t>1</w:t>
        </w:r>
        <w:r>
          <w:fldChar w:fldCharType="end"/>
        </w:r>
      </w:p>
    </w:sdtContent>
  </w:sdt>
  <w:p w14:paraId="0D9672E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FF6C4049"/>
    <w:rsid w:val="00095176"/>
    <w:rsid w:val="004712B7"/>
    <w:rsid w:val="00714727"/>
    <w:rsid w:val="00FC7F82"/>
    <w:rsid w:val="00FD3DF8"/>
    <w:rsid w:val="060A0336"/>
    <w:rsid w:val="067E222A"/>
    <w:rsid w:val="07750484"/>
    <w:rsid w:val="07F92E63"/>
    <w:rsid w:val="0FB63F5C"/>
    <w:rsid w:val="11DA213A"/>
    <w:rsid w:val="12377C04"/>
    <w:rsid w:val="13B90F01"/>
    <w:rsid w:val="1546436C"/>
    <w:rsid w:val="191737C6"/>
    <w:rsid w:val="1C671E73"/>
    <w:rsid w:val="32B65B57"/>
    <w:rsid w:val="340F3174"/>
    <w:rsid w:val="35393A26"/>
    <w:rsid w:val="38F8669B"/>
    <w:rsid w:val="395F2B56"/>
    <w:rsid w:val="3BECE841"/>
    <w:rsid w:val="3FF7797D"/>
    <w:rsid w:val="4BBC17AA"/>
    <w:rsid w:val="4C96024D"/>
    <w:rsid w:val="510559A1"/>
    <w:rsid w:val="5782724F"/>
    <w:rsid w:val="580B70A5"/>
    <w:rsid w:val="58CB127E"/>
    <w:rsid w:val="59827D3D"/>
    <w:rsid w:val="5A0A5DD6"/>
    <w:rsid w:val="5B6F35CD"/>
    <w:rsid w:val="5BFF6039"/>
    <w:rsid w:val="5D76A616"/>
    <w:rsid w:val="5D7F20B9"/>
    <w:rsid w:val="5DAC7D0E"/>
    <w:rsid w:val="5FFE8511"/>
    <w:rsid w:val="5FFEACE2"/>
    <w:rsid w:val="643EE26D"/>
    <w:rsid w:val="6F832C34"/>
    <w:rsid w:val="6FAF6C78"/>
    <w:rsid w:val="7317C656"/>
    <w:rsid w:val="76045978"/>
    <w:rsid w:val="77FD8BE9"/>
    <w:rsid w:val="79A9BD3F"/>
    <w:rsid w:val="7A7E00F5"/>
    <w:rsid w:val="7AD87AFF"/>
    <w:rsid w:val="7BFFFDD0"/>
    <w:rsid w:val="7C054830"/>
    <w:rsid w:val="7C3C5E6C"/>
    <w:rsid w:val="7D7A5F86"/>
    <w:rsid w:val="7F37BB4E"/>
    <w:rsid w:val="7FEF918E"/>
    <w:rsid w:val="7FF4FB6F"/>
    <w:rsid w:val="7FF7FF27"/>
    <w:rsid w:val="7FFDF714"/>
    <w:rsid w:val="A7FE325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FFFEF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0"/>
    <w:qFormat/>
    <w:uiPriority w:val="99"/>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19"/>
    <w:qFormat/>
    <w:uiPriority w:val="0"/>
    <w:pP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Cs w:val="21"/>
    </w:rPr>
  </w:style>
  <w:style w:type="paragraph" w:styleId="10">
    <w:name w:val="Body Text First Indent"/>
    <w:basedOn w:val="5"/>
    <w:qFormat/>
    <w:uiPriority w:val="0"/>
    <w:pPr>
      <w:spacing w:after="0"/>
      <w:ind w:firstLine="200" w:firstLineChars="200"/>
    </w:pPr>
  </w:style>
  <w:style w:type="paragraph" w:styleId="11">
    <w:name w:val="Body Text First Indent 2"/>
    <w:basedOn w:val="6"/>
    <w:qFormat/>
    <w:uiPriority w:val="0"/>
    <w:pPr>
      <w:ind w:firstLine="420" w:firstLineChars="200"/>
    </w:pPr>
  </w:style>
  <w:style w:type="character" w:styleId="14">
    <w:name w:val="Strong"/>
    <w:basedOn w:val="13"/>
    <w:qFormat/>
    <w:uiPriority w:val="0"/>
    <w:rPr>
      <w:b/>
      <w:bCs/>
    </w:rPr>
  </w:style>
  <w:style w:type="character" w:styleId="15">
    <w:name w:val="annotation reference"/>
    <w:basedOn w:val="13"/>
    <w:qFormat/>
    <w:uiPriority w:val="99"/>
    <w:rPr>
      <w:sz w:val="21"/>
      <w:szCs w:val="21"/>
    </w:rPr>
  </w:style>
  <w:style w:type="character" w:customStyle="1" w:styleId="16">
    <w:name w:val="fontstyle01"/>
    <w:qFormat/>
    <w:uiPriority w:val="0"/>
    <w:rPr>
      <w:rFonts w:ascii="仿宋_GB2312" w:hAnsi="仿宋_GB2312" w:eastAsia="仿宋_GB2312" w:cs="仿宋_GB2312"/>
      <w:color w:val="000000"/>
      <w:sz w:val="32"/>
      <w:szCs w:val="32"/>
    </w:rPr>
  </w:style>
  <w:style w:type="paragraph" w:customStyle="1" w:styleId="17">
    <w:name w:val="闻政-正文段落文字"/>
    <w:basedOn w:val="1"/>
    <w:qFormat/>
    <w:uiPriority w:val="3"/>
    <w:pPr>
      <w:spacing w:line="500" w:lineRule="exact"/>
      <w:ind w:firstLine="200"/>
    </w:pPr>
    <w:rPr>
      <w:kern w:val="0"/>
      <w:szCs w:val="28"/>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眉 字符"/>
    <w:basedOn w:val="13"/>
    <w:link w:val="8"/>
    <w:qFormat/>
    <w:uiPriority w:val="0"/>
    <w:rPr>
      <w:rFonts w:ascii="Times New Roman" w:hAnsi="Times New Roman" w:eastAsia="宋体" w:cs="Times New Roman"/>
      <w:kern w:val="2"/>
      <w:sz w:val="18"/>
      <w:szCs w:val="18"/>
    </w:rPr>
  </w:style>
  <w:style w:type="character" w:customStyle="1" w:styleId="20">
    <w:name w:val="批注文字 字符"/>
    <w:basedOn w:val="13"/>
    <w:link w:val="4"/>
    <w:qFormat/>
    <w:uiPriority w:val="99"/>
    <w:rPr>
      <w:rFonts w:ascii="Times New Roman" w:hAnsi="Times New Roman" w:eastAsia="宋体" w:cs="Times New Roman"/>
      <w:kern w:val="2"/>
      <w:sz w:val="21"/>
      <w:szCs w:val="24"/>
    </w:rPr>
  </w:style>
  <w:style w:type="paragraph" w:styleId="21">
    <w:name w:val="List Paragraph"/>
    <w:basedOn w:val="1"/>
    <w:unhideWhenUsed/>
    <w:qFormat/>
    <w:uiPriority w:val="99"/>
    <w:pPr>
      <w:ind w:firstLine="420" w:firstLineChars="200"/>
    </w:pPr>
  </w:style>
  <w:style w:type="paragraph" w:customStyle="1" w:styleId="22">
    <w:name w:val="正文文本11"/>
    <w:basedOn w:val="1"/>
    <w:qFormat/>
    <w:uiPriority w:val="0"/>
    <w:pPr>
      <w:snapToGrid w:val="0"/>
      <w:spacing w:line="360" w:lineRule="auto"/>
      <w:ind w:firstLine="200" w:firstLineChars="200"/>
      <w:jc w:val="left"/>
    </w:pPr>
    <w:rPr>
      <w:rFonts w:ascii="宋体" w:hAnsi="宋体"/>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10314</Words>
  <Characters>10896</Characters>
  <Lines>63</Lines>
  <Paragraphs>17</Paragraphs>
  <TotalTime>5</TotalTime>
  <ScaleCrop>false</ScaleCrop>
  <LinksUpToDate>false</LinksUpToDate>
  <CharactersWithSpaces>10934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2023-03-08T21:13:00Z</dcterms:created>
  <dc:creator>审核人</dc:creator>
  <cp:lastModifiedBy>薛俊璇</cp:lastModifiedBy>
  <cp:lastPrinted>2024-03-06T21:29:00Z</cp:lastPrinted>
  <dcterms:modified xsi:type="dcterms:W3CDTF">2024-08-27T11:15:14Z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524B1E4C94C94365A9164954F08B2BFE_13</vt:lpwstr>
  </property>
</Properties>
</file>