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90B3F">
      <w:pPr>
        <w:spacing w:line="540" w:lineRule="exact"/>
        <w:jc w:val="center"/>
        <w:rPr>
          <w:rFonts w:ascii="Times New Roman" w:hAnsi="Times New Roman" w:eastAsia="华文中宋" w:cs="Times New Roman"/>
          <w:b/>
          <w:kern w:val="0"/>
          <w:sz w:val="52"/>
          <w:szCs w:val="52"/>
          <w:highlight w:val="none"/>
        </w:rPr>
      </w:pPr>
    </w:p>
    <w:p w14:paraId="5FA0DD47">
      <w:pPr>
        <w:spacing w:line="540" w:lineRule="exact"/>
        <w:rPr>
          <w:rFonts w:ascii="Times New Roman" w:hAnsi="Times New Roman" w:eastAsia="华文中宋" w:cs="Times New Roman"/>
          <w:b/>
          <w:kern w:val="0"/>
          <w:sz w:val="52"/>
          <w:szCs w:val="52"/>
          <w:highlight w:val="none"/>
        </w:rPr>
      </w:pPr>
    </w:p>
    <w:p w14:paraId="08B2E050">
      <w:pPr>
        <w:spacing w:line="540" w:lineRule="exact"/>
        <w:jc w:val="center"/>
        <w:rPr>
          <w:rFonts w:ascii="Times New Roman" w:hAnsi="Times New Roman" w:eastAsia="华文中宋" w:cs="Times New Roman"/>
          <w:b/>
          <w:kern w:val="0"/>
          <w:sz w:val="52"/>
          <w:szCs w:val="52"/>
          <w:highlight w:val="none"/>
        </w:rPr>
      </w:pPr>
    </w:p>
    <w:p w14:paraId="17F2079B">
      <w:pPr>
        <w:spacing w:line="540" w:lineRule="exact"/>
        <w:jc w:val="center"/>
        <w:rPr>
          <w:rFonts w:ascii="Times New Roman" w:hAnsi="Times New Roman" w:eastAsia="华文中宋" w:cs="Times New Roman"/>
          <w:b/>
          <w:kern w:val="0"/>
          <w:sz w:val="52"/>
          <w:szCs w:val="52"/>
          <w:highlight w:val="none"/>
        </w:rPr>
      </w:pPr>
    </w:p>
    <w:p w14:paraId="440DE275">
      <w:pPr>
        <w:spacing w:line="540" w:lineRule="exact"/>
        <w:jc w:val="center"/>
        <w:rPr>
          <w:rFonts w:hint="default" w:ascii="Times New Roman" w:hAnsi="Times New Roman" w:eastAsia="方正小标宋_GBK" w:cs="Times New Roman"/>
          <w:kern w:val="0"/>
          <w:sz w:val="48"/>
          <w:szCs w:val="48"/>
          <w:highlight w:val="none"/>
          <w:lang w:val="en-US" w:eastAsia="zh-CN"/>
        </w:rPr>
      </w:pPr>
      <w:r>
        <w:rPr>
          <w:rFonts w:hint="default" w:ascii="Times New Roman" w:hAnsi="Times New Roman" w:eastAsia="方正小标宋_GBK" w:cs="Times New Roman"/>
          <w:kern w:val="0"/>
          <w:sz w:val="48"/>
          <w:szCs w:val="48"/>
          <w:highlight w:val="none"/>
          <w:lang w:val="en-US" w:eastAsia="zh-CN"/>
        </w:rPr>
        <w:t>自治区人民医院政府采购资金项目</w:t>
      </w:r>
    </w:p>
    <w:p w14:paraId="18D7CA91">
      <w:pPr>
        <w:spacing w:line="540" w:lineRule="exact"/>
        <w:jc w:val="center"/>
        <w:rPr>
          <w:rFonts w:ascii="Times New Roman" w:hAnsi="Times New Roman" w:eastAsia="方正小标宋_GBK" w:cs="Times New Roman"/>
          <w:kern w:val="0"/>
          <w:sz w:val="48"/>
          <w:szCs w:val="48"/>
          <w:highlight w:val="none"/>
        </w:rPr>
      </w:pPr>
      <w:r>
        <w:rPr>
          <w:rFonts w:ascii="Times New Roman" w:hAnsi="Times New Roman" w:eastAsia="方正小标宋_GBK" w:cs="Times New Roman"/>
          <w:kern w:val="0"/>
          <w:sz w:val="48"/>
          <w:szCs w:val="48"/>
          <w:highlight w:val="none"/>
        </w:rPr>
        <w:t>支出绩效</w:t>
      </w:r>
      <w:r>
        <w:rPr>
          <w:rFonts w:hint="default" w:ascii="Times New Roman" w:hAnsi="Times New Roman" w:eastAsia="方正小标宋_GBK" w:cs="Times New Roman"/>
          <w:kern w:val="0"/>
          <w:sz w:val="48"/>
          <w:szCs w:val="48"/>
          <w:highlight w:val="none"/>
          <w:lang w:val="en-US" w:eastAsia="zh-CN"/>
        </w:rPr>
        <w:t>评价</w:t>
      </w:r>
      <w:r>
        <w:rPr>
          <w:rFonts w:ascii="Times New Roman" w:hAnsi="Times New Roman" w:eastAsia="方正小标宋_GBK" w:cs="Times New Roman"/>
          <w:kern w:val="0"/>
          <w:sz w:val="48"/>
          <w:szCs w:val="48"/>
          <w:highlight w:val="none"/>
        </w:rPr>
        <w:t>报告</w:t>
      </w:r>
    </w:p>
    <w:p w14:paraId="33432A2C">
      <w:pPr>
        <w:spacing w:line="540" w:lineRule="exact"/>
        <w:jc w:val="center"/>
        <w:rPr>
          <w:rFonts w:ascii="Times New Roman" w:hAnsi="Times New Roman" w:eastAsia="华文中宋" w:cs="Times New Roman"/>
          <w:b/>
          <w:kern w:val="0"/>
          <w:sz w:val="52"/>
          <w:szCs w:val="52"/>
          <w:highlight w:val="none"/>
        </w:rPr>
      </w:pPr>
    </w:p>
    <w:p w14:paraId="4EBD2674">
      <w:pPr>
        <w:spacing w:line="540" w:lineRule="exact"/>
        <w:jc w:val="center"/>
        <w:rPr>
          <w:rFonts w:ascii="Times New Roman" w:hAnsi="Times New Roman" w:eastAsia="仿宋_GB2312" w:cs="Times New Roman"/>
          <w:kern w:val="0"/>
          <w:sz w:val="36"/>
          <w:szCs w:val="36"/>
          <w:highlight w:val="none"/>
        </w:rPr>
      </w:pPr>
      <w:r>
        <w:rPr>
          <w:rFonts w:ascii="Times New Roman" w:hAnsi="Times New Roman" w:eastAsia="仿宋_GB2312" w:cs="Times New Roman"/>
          <w:kern w:val="0"/>
          <w:sz w:val="36"/>
          <w:szCs w:val="36"/>
          <w:highlight w:val="none"/>
        </w:rPr>
        <w:t>（ 2023年度）</w:t>
      </w:r>
    </w:p>
    <w:p w14:paraId="1D0A5811">
      <w:pPr>
        <w:spacing w:line="540" w:lineRule="exact"/>
        <w:jc w:val="center"/>
        <w:rPr>
          <w:rFonts w:ascii="Times New Roman" w:hAnsi="Times New Roman" w:eastAsia="仿宋_GB2312" w:cs="Times New Roman"/>
          <w:kern w:val="0"/>
          <w:sz w:val="30"/>
          <w:szCs w:val="30"/>
          <w:highlight w:val="none"/>
        </w:rPr>
      </w:pPr>
    </w:p>
    <w:p w14:paraId="50B87C52">
      <w:pPr>
        <w:spacing w:line="540" w:lineRule="exact"/>
        <w:jc w:val="center"/>
        <w:rPr>
          <w:rFonts w:ascii="Times New Roman" w:hAnsi="Times New Roman" w:eastAsia="仿宋_GB2312" w:cs="Times New Roman"/>
          <w:kern w:val="0"/>
          <w:sz w:val="30"/>
          <w:szCs w:val="30"/>
          <w:highlight w:val="none"/>
        </w:rPr>
      </w:pPr>
    </w:p>
    <w:p w14:paraId="6597D379">
      <w:pPr>
        <w:spacing w:line="540" w:lineRule="exact"/>
        <w:jc w:val="center"/>
        <w:rPr>
          <w:rFonts w:ascii="Times New Roman" w:hAnsi="Times New Roman" w:eastAsia="仿宋_GB2312" w:cs="Times New Roman"/>
          <w:kern w:val="0"/>
          <w:sz w:val="30"/>
          <w:szCs w:val="30"/>
          <w:highlight w:val="none"/>
        </w:rPr>
      </w:pPr>
    </w:p>
    <w:p w14:paraId="0BBB22A3">
      <w:pPr>
        <w:spacing w:line="540" w:lineRule="exact"/>
        <w:jc w:val="center"/>
        <w:rPr>
          <w:rFonts w:ascii="Times New Roman" w:hAnsi="Times New Roman" w:eastAsia="仿宋_GB2312" w:cs="Times New Roman"/>
          <w:kern w:val="0"/>
          <w:sz w:val="30"/>
          <w:szCs w:val="30"/>
          <w:highlight w:val="none"/>
        </w:rPr>
      </w:pPr>
    </w:p>
    <w:p w14:paraId="19293DDC">
      <w:pPr>
        <w:spacing w:line="540" w:lineRule="exact"/>
        <w:rPr>
          <w:rFonts w:ascii="Times New Roman" w:hAnsi="Times New Roman" w:eastAsia="仿宋_GB2312" w:cs="Times New Roman"/>
          <w:kern w:val="0"/>
          <w:sz w:val="30"/>
          <w:szCs w:val="30"/>
          <w:highlight w:val="none"/>
        </w:rPr>
      </w:pPr>
    </w:p>
    <w:p w14:paraId="1F20C5B9">
      <w:pPr>
        <w:spacing w:line="700" w:lineRule="exact"/>
        <w:ind w:firstLine="1440" w:firstLineChars="400"/>
        <w:jc w:val="left"/>
        <w:rPr>
          <w:rFonts w:ascii="Times New Roman" w:hAnsi="Times New Roman" w:eastAsia="仿宋_GB2312" w:cs="Times New Roman"/>
          <w:kern w:val="0"/>
          <w:sz w:val="36"/>
          <w:szCs w:val="36"/>
          <w:highlight w:val="none"/>
        </w:rPr>
      </w:pPr>
      <w:r>
        <w:rPr>
          <w:rFonts w:ascii="Times New Roman" w:hAnsi="Times New Roman" w:eastAsia="仿宋_GB2312" w:cs="Times New Roman"/>
          <w:kern w:val="0"/>
          <w:sz w:val="36"/>
          <w:szCs w:val="36"/>
          <w:highlight w:val="none"/>
        </w:rPr>
        <w:t>项目名称：</w:t>
      </w:r>
      <w:r>
        <w:rPr>
          <w:rFonts w:hint="default" w:ascii="Times New Roman" w:hAnsi="Times New Roman" w:eastAsia="仿宋_GB2312" w:cs="Times New Roman"/>
          <w:kern w:val="0"/>
          <w:sz w:val="36"/>
          <w:szCs w:val="36"/>
          <w:highlight w:val="none"/>
          <w:lang w:val="en-US" w:eastAsia="zh-CN"/>
        </w:rPr>
        <w:t>政府采购项目</w:t>
      </w:r>
    </w:p>
    <w:p w14:paraId="11369CE0">
      <w:pPr>
        <w:spacing w:line="700" w:lineRule="exact"/>
        <w:ind w:firstLine="1440" w:firstLineChars="400"/>
        <w:jc w:val="left"/>
        <w:rPr>
          <w:rFonts w:hint="default" w:ascii="Times New Roman" w:hAnsi="Times New Roman" w:eastAsia="仿宋_GB2312" w:cs="Times New Roman"/>
          <w:kern w:val="0"/>
          <w:sz w:val="36"/>
          <w:szCs w:val="36"/>
          <w:highlight w:val="none"/>
          <w:lang w:val="en-US" w:eastAsia="zh-CN"/>
        </w:rPr>
      </w:pPr>
      <w:r>
        <w:rPr>
          <w:rFonts w:ascii="Times New Roman" w:hAnsi="Times New Roman" w:eastAsia="仿宋_GB2312" w:cs="Times New Roman"/>
          <w:kern w:val="0"/>
          <w:sz w:val="36"/>
          <w:szCs w:val="36"/>
          <w:highlight w:val="none"/>
        </w:rPr>
        <w:t>实施单位（公章）：</w:t>
      </w:r>
      <w:r>
        <w:rPr>
          <w:rFonts w:hint="default" w:ascii="Times New Roman" w:hAnsi="Times New Roman" w:eastAsia="仿宋_GB2312" w:cs="Times New Roman"/>
          <w:kern w:val="0"/>
          <w:sz w:val="36"/>
          <w:szCs w:val="36"/>
          <w:highlight w:val="none"/>
          <w:lang w:val="en-US" w:eastAsia="zh-CN"/>
        </w:rPr>
        <w:t>自治区人民医院</w:t>
      </w:r>
    </w:p>
    <w:p w14:paraId="616C16CF">
      <w:pPr>
        <w:spacing w:line="700" w:lineRule="exact"/>
        <w:ind w:firstLine="1440" w:firstLineChars="400"/>
        <w:jc w:val="left"/>
        <w:rPr>
          <w:rFonts w:ascii="Times New Roman" w:hAnsi="Times New Roman" w:eastAsia="仿宋_GB2312" w:cs="Times New Roman"/>
          <w:kern w:val="0"/>
          <w:sz w:val="36"/>
          <w:szCs w:val="36"/>
          <w:highlight w:val="none"/>
        </w:rPr>
      </w:pPr>
      <w:r>
        <w:rPr>
          <w:rFonts w:ascii="Times New Roman" w:hAnsi="Times New Roman" w:eastAsia="仿宋_GB2312" w:cs="Times New Roman"/>
          <w:kern w:val="0"/>
          <w:sz w:val="36"/>
          <w:szCs w:val="36"/>
          <w:highlight w:val="none"/>
        </w:rPr>
        <w:t>主管部门（公章）：</w:t>
      </w:r>
      <w:r>
        <w:rPr>
          <w:rFonts w:hint="default" w:ascii="Times New Roman" w:hAnsi="Times New Roman" w:eastAsia="仿宋_GB2312" w:cs="Times New Roman"/>
          <w:kern w:val="0"/>
          <w:sz w:val="36"/>
          <w:szCs w:val="36"/>
          <w:highlight w:val="none"/>
        </w:rPr>
        <w:t>自治区卫生健康委员会</w:t>
      </w:r>
    </w:p>
    <w:p w14:paraId="6D78F239">
      <w:pPr>
        <w:spacing w:line="700" w:lineRule="exact"/>
        <w:ind w:firstLine="1440" w:firstLineChars="400"/>
        <w:jc w:val="left"/>
        <w:rPr>
          <w:rFonts w:ascii="Times New Roman" w:hAnsi="Times New Roman" w:eastAsia="仿宋_GB2312" w:cs="Times New Roman"/>
          <w:kern w:val="0"/>
          <w:sz w:val="36"/>
          <w:szCs w:val="36"/>
          <w:highlight w:val="none"/>
        </w:rPr>
      </w:pPr>
      <w:r>
        <w:rPr>
          <w:rFonts w:ascii="Times New Roman" w:hAnsi="Times New Roman" w:eastAsia="仿宋_GB2312" w:cs="Times New Roman"/>
          <w:kern w:val="0"/>
          <w:sz w:val="36"/>
          <w:szCs w:val="36"/>
          <w:highlight w:val="none"/>
        </w:rPr>
        <w:t>项目负责人（签章）：</w:t>
      </w:r>
      <w:r>
        <w:rPr>
          <w:rFonts w:hint="default" w:ascii="Times New Roman" w:hAnsi="Times New Roman" w:eastAsia="仿宋_GB2312" w:cs="Times New Roman"/>
          <w:kern w:val="0"/>
          <w:sz w:val="36"/>
          <w:szCs w:val="36"/>
          <w:highlight w:val="none"/>
          <w:lang w:val="en-US" w:eastAsia="zh-CN"/>
        </w:rPr>
        <w:t>付国宏</w:t>
      </w:r>
    </w:p>
    <w:p w14:paraId="3BC6DC55">
      <w:pPr>
        <w:spacing w:line="700" w:lineRule="exact"/>
        <w:ind w:firstLine="1440" w:firstLineChars="400"/>
        <w:jc w:val="left"/>
        <w:rPr>
          <w:rFonts w:ascii="Times New Roman" w:hAnsi="Times New Roman" w:eastAsia="仿宋_GB2312" w:cs="Times New Roman"/>
          <w:color w:val="FF0000"/>
          <w:kern w:val="0"/>
          <w:sz w:val="36"/>
          <w:szCs w:val="36"/>
          <w:highlight w:val="none"/>
        </w:rPr>
      </w:pPr>
      <w:r>
        <w:rPr>
          <w:rFonts w:ascii="Times New Roman" w:hAnsi="Times New Roman" w:eastAsia="仿宋_GB2312" w:cs="Times New Roman"/>
          <w:kern w:val="0"/>
          <w:sz w:val="36"/>
          <w:szCs w:val="36"/>
          <w:highlight w:val="none"/>
        </w:rPr>
        <w:t>填报时间：</w:t>
      </w:r>
      <w:r>
        <w:rPr>
          <w:rFonts w:hint="default" w:ascii="Times New Roman" w:hAnsi="Times New Roman" w:eastAsia="仿宋_GB2312" w:cs="Times New Roman"/>
          <w:kern w:val="0"/>
          <w:sz w:val="36"/>
          <w:szCs w:val="36"/>
          <w:highlight w:val="none"/>
          <w:lang w:val="en-US" w:eastAsia="zh-CN"/>
        </w:rPr>
        <w:t>20</w:t>
      </w:r>
      <w:r>
        <w:rPr>
          <w:rFonts w:hint="default" w:ascii="Times New Roman" w:hAnsi="Times New Roman" w:eastAsia="仿宋_GB2312" w:cs="Times New Roman"/>
          <w:color w:val="auto"/>
          <w:kern w:val="0"/>
          <w:sz w:val="36"/>
          <w:szCs w:val="36"/>
          <w:highlight w:val="none"/>
          <w:lang w:val="en-US" w:eastAsia="zh-CN"/>
        </w:rPr>
        <w:t>24</w:t>
      </w:r>
      <w:r>
        <w:rPr>
          <w:rFonts w:ascii="Times New Roman" w:hAnsi="Times New Roman" w:eastAsia="仿宋_GB2312" w:cs="Times New Roman"/>
          <w:color w:val="auto"/>
          <w:kern w:val="0"/>
          <w:sz w:val="36"/>
          <w:szCs w:val="36"/>
          <w:highlight w:val="none"/>
        </w:rPr>
        <w:t>年</w:t>
      </w:r>
      <w:r>
        <w:rPr>
          <w:rFonts w:hint="default" w:ascii="Times New Roman" w:hAnsi="Times New Roman" w:eastAsia="仿宋_GB2312" w:cs="Times New Roman"/>
          <w:color w:val="auto"/>
          <w:kern w:val="0"/>
          <w:sz w:val="36"/>
          <w:szCs w:val="36"/>
          <w:highlight w:val="none"/>
          <w:lang w:val="en-US" w:eastAsia="zh-CN"/>
        </w:rPr>
        <w:t>3</w:t>
      </w:r>
      <w:r>
        <w:rPr>
          <w:rFonts w:ascii="Times New Roman" w:hAnsi="Times New Roman" w:eastAsia="仿宋_GB2312" w:cs="Times New Roman"/>
          <w:color w:val="auto"/>
          <w:kern w:val="0"/>
          <w:sz w:val="36"/>
          <w:szCs w:val="36"/>
          <w:highlight w:val="none"/>
        </w:rPr>
        <w:t>月</w:t>
      </w:r>
      <w:r>
        <w:rPr>
          <w:rFonts w:hint="default" w:ascii="Times New Roman" w:hAnsi="Times New Roman" w:eastAsia="仿宋_GB2312" w:cs="Times New Roman"/>
          <w:color w:val="auto"/>
          <w:kern w:val="0"/>
          <w:sz w:val="36"/>
          <w:szCs w:val="36"/>
          <w:highlight w:val="none"/>
          <w:lang w:val="en-US" w:eastAsia="zh-CN"/>
        </w:rPr>
        <w:t>8</w:t>
      </w:r>
      <w:r>
        <w:rPr>
          <w:rFonts w:ascii="Times New Roman" w:hAnsi="Times New Roman" w:eastAsia="仿宋_GB2312" w:cs="Times New Roman"/>
          <w:color w:val="auto"/>
          <w:kern w:val="0"/>
          <w:sz w:val="36"/>
          <w:szCs w:val="36"/>
          <w:highlight w:val="none"/>
        </w:rPr>
        <w:t>日</w:t>
      </w:r>
    </w:p>
    <w:p w14:paraId="548D41C7">
      <w:pPr>
        <w:spacing w:line="540" w:lineRule="exact"/>
        <w:jc w:val="center"/>
        <w:rPr>
          <w:rFonts w:ascii="Times New Roman" w:hAnsi="Times New Roman" w:eastAsia="仿宋_GB2312" w:cs="Times New Roman"/>
          <w:color w:val="FF0000"/>
          <w:kern w:val="0"/>
          <w:sz w:val="30"/>
          <w:szCs w:val="30"/>
          <w:highlight w:val="none"/>
        </w:rPr>
      </w:pPr>
    </w:p>
    <w:p w14:paraId="77FE06E8">
      <w:pPr>
        <w:spacing w:line="540" w:lineRule="exact"/>
        <w:rPr>
          <w:rStyle w:val="14"/>
          <w:rFonts w:ascii="Times New Roman" w:hAnsi="Times New Roman" w:eastAsia="黑体" w:cs="Times New Roman"/>
          <w:b w:val="0"/>
          <w:spacing w:val="-4"/>
          <w:sz w:val="32"/>
          <w:szCs w:val="32"/>
          <w:highlight w:val="none"/>
        </w:rPr>
      </w:pPr>
    </w:p>
    <w:p w14:paraId="014F99A6">
      <w:pPr>
        <w:spacing w:line="540" w:lineRule="exact"/>
        <w:ind w:firstLine="640"/>
        <w:rPr>
          <w:rStyle w:val="14"/>
          <w:rFonts w:ascii="Times New Roman" w:hAnsi="Times New Roman" w:eastAsia="黑体" w:cs="Times New Roman"/>
          <w:b w:val="0"/>
          <w:spacing w:val="-4"/>
          <w:sz w:val="32"/>
          <w:szCs w:val="32"/>
          <w:highlight w:val="none"/>
        </w:rPr>
      </w:pPr>
    </w:p>
    <w:p w14:paraId="165052A9">
      <w:pPr>
        <w:spacing w:line="540" w:lineRule="exact"/>
        <w:rPr>
          <w:rStyle w:val="14"/>
          <w:rFonts w:ascii="Times New Roman" w:hAnsi="Times New Roman" w:eastAsia="黑体" w:cs="Times New Roman"/>
          <w:b w:val="0"/>
          <w:spacing w:val="-4"/>
          <w:sz w:val="32"/>
          <w:szCs w:val="32"/>
          <w:highlight w:val="none"/>
        </w:rPr>
      </w:pPr>
    </w:p>
    <w:p w14:paraId="0F91D6B0">
      <w:pPr>
        <w:spacing w:line="600" w:lineRule="exact"/>
        <w:jc w:val="center"/>
        <w:rPr>
          <w:rFonts w:ascii="Times New Roman" w:hAnsi="Times New Roman" w:eastAsia="黑体" w:cs="Times New Roman"/>
          <w:bCs/>
          <w:sz w:val="32"/>
          <w:szCs w:val="32"/>
          <w:highlight w:val="none"/>
        </w:rPr>
      </w:pPr>
    </w:p>
    <w:p w14:paraId="5EE1C03D">
      <w:pPr>
        <w:spacing w:line="600" w:lineRule="exact"/>
        <w:rPr>
          <w:rFonts w:ascii="Times New Roman" w:hAnsi="Times New Roman" w:eastAsia="黑体" w:cs="Times New Roman"/>
          <w:bCs/>
          <w:sz w:val="32"/>
          <w:szCs w:val="32"/>
          <w:highlight w:val="none"/>
        </w:rPr>
      </w:pPr>
    </w:p>
    <w:p w14:paraId="0FC36A9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一、基本情况</w:t>
      </w:r>
    </w:p>
    <w:p w14:paraId="7F82FE4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rPr>
        <w:t>（一）</w:t>
      </w:r>
      <w:r>
        <w:rPr>
          <w:rFonts w:hint="default" w:ascii="Times New Roman" w:hAnsi="Times New Roman" w:eastAsia="仿宋_GB2312" w:cs="Times New Roman"/>
          <w:b/>
          <w:bCs/>
          <w:color w:val="auto"/>
          <w:sz w:val="32"/>
          <w:szCs w:val="32"/>
          <w:highlight w:val="none"/>
          <w:lang w:val="en-US" w:eastAsia="zh-CN"/>
        </w:rPr>
        <w:t>项目概况</w:t>
      </w:r>
    </w:p>
    <w:p w14:paraId="0CF13A3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1、项目背景</w:t>
      </w:r>
    </w:p>
    <w:p w14:paraId="7786FB9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根据《中华人民共和国民法典</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中华人民共和国招标投标法</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中华人民共和国政府采购法</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中华人民共和国合同法</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自治区本级采购人政府采购管理办法（暂行）</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新疆维吾尔自治区政府集中采购目录和分散采购限额标准》及相关政策法规</w:t>
      </w:r>
      <w:r>
        <w:rPr>
          <w:rFonts w:hint="default" w:ascii="Times New Roman" w:hAnsi="Times New Roman" w:eastAsia="仿宋_GB2312" w:cs="Times New Roman"/>
          <w:color w:val="auto"/>
          <w:sz w:val="32"/>
          <w:szCs w:val="32"/>
          <w:highlight w:val="none"/>
          <w:lang w:eastAsia="zh-CN"/>
        </w:rPr>
        <w:t>。</w:t>
      </w:r>
    </w:p>
    <w:p w14:paraId="049F523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sz w:val="32"/>
          <w:szCs w:val="32"/>
          <w:highlight w:val="none"/>
          <w:lang w:eastAsia="zh-CN"/>
        </w:rPr>
        <w:t>我院作为集医疗、教学、科研、健康管理为一体的大型综合性“三级甲等医院”。</w:t>
      </w:r>
      <w:r>
        <w:rPr>
          <w:rFonts w:hint="default" w:ascii="Times New Roman" w:hAnsi="Times New Roman" w:eastAsia="仿宋_GB2312" w:cs="Times New Roman"/>
          <w:b w:val="0"/>
          <w:bCs w:val="0"/>
          <w:sz w:val="32"/>
          <w:szCs w:val="32"/>
          <w:highlight w:val="none"/>
          <w:lang w:eastAsia="zh-CN"/>
        </w:rPr>
        <w:t>随着医院医疗技术水平的发展，临床新技术、新项目的应用和推广越来越成熟，我院就诊患者数量、比例不断增加。为实现患者有效诊断和高质量救治，医疗检查及临床检验结果必须快速且精准，需要采购高</w:t>
      </w:r>
      <w:r>
        <w:rPr>
          <w:rFonts w:hint="eastAsia" w:ascii="Times New Roman" w:hAnsi="Times New Roman" w:eastAsia="仿宋_GB2312" w:cs="Times New Roman"/>
          <w:b w:val="0"/>
          <w:bCs w:val="0"/>
          <w:sz w:val="32"/>
          <w:szCs w:val="32"/>
          <w:highlight w:val="none"/>
          <w:lang w:eastAsia="zh-CN"/>
        </w:rPr>
        <w:t>精尖</w:t>
      </w:r>
      <w:r>
        <w:rPr>
          <w:rFonts w:hint="default" w:ascii="Times New Roman" w:hAnsi="Times New Roman" w:eastAsia="仿宋_GB2312" w:cs="Times New Roman"/>
          <w:b w:val="0"/>
          <w:bCs w:val="0"/>
          <w:sz w:val="32"/>
          <w:szCs w:val="32"/>
          <w:highlight w:val="none"/>
          <w:lang w:eastAsia="zh-CN"/>
        </w:rPr>
        <w:t>的医疗设备、辅助耗材、检验试剂来提升医院临床医疗救治水平和科研综合能力。</w:t>
      </w:r>
      <w:r>
        <w:rPr>
          <w:rFonts w:hint="default" w:ascii="Times New Roman" w:hAnsi="Times New Roman" w:eastAsia="仿宋_GB2312" w:cs="Times New Roman"/>
          <w:color w:val="000000"/>
          <w:spacing w:val="17"/>
          <w:sz w:val="32"/>
          <w:szCs w:val="32"/>
          <w:highlight w:val="none"/>
          <w:lang w:eastAsia="zh-CN"/>
        </w:rPr>
        <w:t>202</w:t>
      </w:r>
      <w:r>
        <w:rPr>
          <w:rFonts w:hint="default" w:ascii="Times New Roman" w:hAnsi="Times New Roman" w:eastAsia="仿宋_GB2312" w:cs="Times New Roman"/>
          <w:color w:val="000000"/>
          <w:spacing w:val="17"/>
          <w:sz w:val="32"/>
          <w:szCs w:val="32"/>
          <w:highlight w:val="none"/>
          <w:lang w:val="en-US" w:eastAsia="zh-CN"/>
        </w:rPr>
        <w:t>3</w:t>
      </w:r>
      <w:r>
        <w:rPr>
          <w:rFonts w:hint="default" w:ascii="Times New Roman" w:hAnsi="Times New Roman" w:eastAsia="仿宋_GB2312" w:cs="Times New Roman"/>
          <w:color w:val="000000"/>
          <w:spacing w:val="17"/>
          <w:sz w:val="32"/>
          <w:szCs w:val="32"/>
          <w:highlight w:val="none"/>
          <w:lang w:eastAsia="zh-CN"/>
        </w:rPr>
        <w:t>年医院计划政府采购项目预算</w:t>
      </w:r>
      <w:r>
        <w:rPr>
          <w:rFonts w:hint="default" w:ascii="Times New Roman" w:hAnsi="Times New Roman" w:eastAsia="仿宋_GB2312" w:cs="Times New Roman"/>
          <w:color w:val="000000"/>
          <w:spacing w:val="17"/>
          <w:sz w:val="32"/>
          <w:szCs w:val="32"/>
          <w:highlight w:val="none"/>
          <w:lang w:val="en-US" w:eastAsia="zh-CN"/>
        </w:rPr>
        <w:t>214495.10</w:t>
      </w:r>
      <w:r>
        <w:rPr>
          <w:rFonts w:hint="default" w:ascii="Times New Roman" w:hAnsi="Times New Roman" w:eastAsia="仿宋_GB2312" w:cs="Times New Roman"/>
          <w:color w:val="000000"/>
          <w:spacing w:val="17"/>
          <w:sz w:val="32"/>
          <w:szCs w:val="32"/>
          <w:highlight w:val="none"/>
          <w:lang w:eastAsia="zh-CN"/>
        </w:rPr>
        <w:t>万元，用于保障医院医疗工作的有序开展。</w:t>
      </w:r>
    </w:p>
    <w:p w14:paraId="59B71576">
      <w:pPr>
        <w:pStyle w:val="9"/>
        <w:keepNext w:val="0"/>
        <w:keepLines w:val="0"/>
        <w:pageBreakBefore w:val="0"/>
        <w:numPr>
          <w:ilvl w:val="0"/>
          <w:numId w:val="1"/>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项目主要内容：</w:t>
      </w:r>
    </w:p>
    <w:p w14:paraId="47881BDA">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lang w:val="en-US" w:eastAsia="zh-CN"/>
        </w:rPr>
        <w:t>项目主要内容：</w:t>
      </w:r>
      <w:r>
        <w:rPr>
          <w:rFonts w:hint="default" w:ascii="Times New Roman" w:hAnsi="Times New Roman" w:eastAsia="仿宋_GB2312" w:cs="Times New Roman"/>
          <w:color w:val="000000"/>
          <w:spacing w:val="17"/>
          <w:sz w:val="32"/>
          <w:szCs w:val="32"/>
          <w:highlight w:val="none"/>
          <w:lang w:eastAsia="zh-CN"/>
        </w:rPr>
        <w:t>202</w:t>
      </w:r>
      <w:r>
        <w:rPr>
          <w:rFonts w:hint="default" w:ascii="Times New Roman" w:hAnsi="Times New Roman" w:eastAsia="仿宋_GB2312" w:cs="Times New Roman"/>
          <w:color w:val="000000"/>
          <w:spacing w:val="17"/>
          <w:sz w:val="32"/>
          <w:szCs w:val="32"/>
          <w:highlight w:val="none"/>
          <w:lang w:val="en-US" w:eastAsia="zh-CN"/>
        </w:rPr>
        <w:t>3</w:t>
      </w:r>
      <w:r>
        <w:rPr>
          <w:rFonts w:hint="default" w:ascii="Times New Roman" w:hAnsi="Times New Roman" w:eastAsia="仿宋_GB2312" w:cs="Times New Roman"/>
          <w:color w:val="000000"/>
          <w:spacing w:val="17"/>
          <w:sz w:val="32"/>
          <w:szCs w:val="32"/>
          <w:highlight w:val="none"/>
          <w:lang w:eastAsia="zh-CN"/>
        </w:rPr>
        <w:t>年医院政府采购项目预算</w:t>
      </w:r>
      <w:r>
        <w:rPr>
          <w:rFonts w:hint="default" w:ascii="Times New Roman" w:hAnsi="Times New Roman" w:eastAsia="仿宋_GB2312" w:cs="Times New Roman"/>
          <w:color w:val="000000"/>
          <w:spacing w:val="17"/>
          <w:sz w:val="32"/>
          <w:szCs w:val="32"/>
          <w:highlight w:val="none"/>
          <w:lang w:val="en-US" w:eastAsia="zh-CN"/>
        </w:rPr>
        <w:t>214495.10</w:t>
      </w:r>
      <w:r>
        <w:rPr>
          <w:rFonts w:hint="default" w:ascii="Times New Roman" w:hAnsi="Times New Roman" w:eastAsia="仿宋_GB2312" w:cs="Times New Roman"/>
          <w:color w:val="000000"/>
          <w:spacing w:val="17"/>
          <w:sz w:val="32"/>
          <w:szCs w:val="32"/>
          <w:highlight w:val="none"/>
          <w:lang w:eastAsia="zh-CN"/>
        </w:rPr>
        <w:t>万元（含集中采购、协议采购和分散采购、</w:t>
      </w:r>
      <w:r>
        <w:rPr>
          <w:rFonts w:hint="default" w:ascii="Times New Roman" w:hAnsi="Times New Roman" w:eastAsia="仿宋_GB2312" w:cs="Times New Roman"/>
          <w:color w:val="000000"/>
          <w:spacing w:val="17"/>
          <w:sz w:val="32"/>
          <w:szCs w:val="32"/>
          <w:highlight w:val="none"/>
          <w:lang w:val="en-US" w:eastAsia="zh-CN"/>
        </w:rPr>
        <w:t>药品阳光采购</w:t>
      </w:r>
      <w:r>
        <w:rPr>
          <w:rFonts w:hint="default" w:ascii="Times New Roman" w:hAnsi="Times New Roman" w:eastAsia="仿宋_GB2312" w:cs="Times New Roman"/>
          <w:color w:val="000000"/>
          <w:spacing w:val="17"/>
          <w:sz w:val="32"/>
          <w:szCs w:val="32"/>
          <w:highlight w:val="none"/>
          <w:lang w:eastAsia="zh-CN"/>
        </w:rPr>
        <w:t>）属于自筹资金。</w:t>
      </w:r>
      <w:r>
        <w:rPr>
          <w:rFonts w:hint="default" w:ascii="Times New Roman" w:hAnsi="Times New Roman" w:eastAsia="仿宋_GB2312" w:cs="Times New Roman"/>
          <w:color w:val="000000"/>
          <w:spacing w:val="17"/>
          <w:sz w:val="32"/>
          <w:szCs w:val="32"/>
          <w:highlight w:val="none"/>
          <w:lang w:val="en-US" w:eastAsia="zh-CN"/>
        </w:rPr>
        <w:t>（需采购的项目内容详见下表）：</w:t>
      </w:r>
    </w:p>
    <w:p w14:paraId="197221E8">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lang w:val="en-US" w:eastAsia="zh-CN"/>
        </w:rPr>
      </w:pPr>
    </w:p>
    <w:p w14:paraId="725634C7">
      <w:pPr>
        <w:spacing w:line="600" w:lineRule="exact"/>
        <w:ind w:firstLine="0" w:firstLineChars="0"/>
        <w:jc w:val="center"/>
        <w:rPr>
          <w:rFonts w:hint="default" w:ascii="Times New Roman" w:hAnsi="Times New Roman" w:eastAsia="仿宋_GB2312" w:cs="Times New Roman"/>
          <w:color w:val="000000"/>
          <w:spacing w:val="17"/>
          <w:sz w:val="32"/>
          <w:szCs w:val="32"/>
          <w:highlight w:val="none"/>
          <w:lang w:eastAsia="zh-CN"/>
        </w:rPr>
      </w:pPr>
      <w:r>
        <w:rPr>
          <w:rFonts w:hint="default" w:ascii="Times New Roman" w:hAnsi="Times New Roman" w:eastAsia="仿宋_GB2312" w:cs="Times New Roman"/>
          <w:b/>
          <w:bCs/>
          <w:i w:val="0"/>
          <w:iCs w:val="0"/>
          <w:color w:val="000000"/>
          <w:kern w:val="0"/>
          <w:sz w:val="32"/>
          <w:szCs w:val="32"/>
          <w:highlight w:val="none"/>
          <w:u w:val="none"/>
          <w:lang w:val="en-US" w:eastAsia="zh-CN" w:bidi="ar"/>
        </w:rPr>
        <w:t>2023年自治区人民医院政府采购</w:t>
      </w:r>
      <w:r>
        <w:rPr>
          <w:rFonts w:hint="eastAsia" w:eastAsia="仿宋_GB2312" w:cs="Times New Roman"/>
          <w:b/>
          <w:bCs/>
          <w:i w:val="0"/>
          <w:iCs w:val="0"/>
          <w:color w:val="000000"/>
          <w:kern w:val="0"/>
          <w:sz w:val="32"/>
          <w:szCs w:val="32"/>
          <w:highlight w:val="none"/>
          <w:u w:val="none"/>
          <w:lang w:val="en-US" w:eastAsia="zh-CN" w:bidi="ar"/>
        </w:rPr>
        <w:t>项目清单</w:t>
      </w:r>
    </w:p>
    <w:tbl>
      <w:tblPr>
        <w:tblStyle w:val="12"/>
        <w:tblW w:w="8939"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48"/>
        <w:gridCol w:w="1787"/>
        <w:gridCol w:w="3215"/>
        <w:gridCol w:w="1625"/>
        <w:gridCol w:w="1364"/>
      </w:tblGrid>
      <w:tr w14:paraId="1E8CB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tblHeader/>
        </w:trPr>
        <w:tc>
          <w:tcPr>
            <w:tcW w:w="948" w:type="dxa"/>
            <w:tcBorders>
              <w:top w:val="single" w:color="auto" w:sz="4" w:space="0"/>
              <w:left w:val="single" w:color="auto" w:sz="4" w:space="0"/>
              <w:bottom w:val="single" w:color="auto" w:sz="4" w:space="0"/>
              <w:right w:val="single" w:color="auto" w:sz="4" w:space="0"/>
            </w:tcBorders>
            <w:shd w:val="clear" w:color="auto" w:fill="auto"/>
            <w:vAlign w:val="center"/>
          </w:tcPr>
          <w:p w14:paraId="34509FDF">
            <w:pPr>
              <w:keepNext w:val="0"/>
              <w:keepLines w:val="0"/>
              <w:widowControl/>
              <w:suppressLineNumbers w:val="0"/>
              <w:spacing w:line="300" w:lineRule="exact"/>
              <w:jc w:val="center"/>
              <w:textAlignment w:val="center"/>
              <w:rPr>
                <w:rFonts w:hint="default" w:ascii="Times New Roman" w:hAnsi="Times New Roman" w:eastAsia="仿宋_GB2312" w:cs="Times New Roman"/>
                <w:b/>
                <w:bCs/>
                <w:i w:val="0"/>
                <w:iCs w:val="0"/>
                <w:color w:val="000000"/>
                <w:sz w:val="28"/>
                <w:szCs w:val="28"/>
                <w:highlight w:val="none"/>
                <w:u w:val="none"/>
              </w:rPr>
            </w:pPr>
            <w:r>
              <w:rPr>
                <w:rFonts w:hint="default" w:ascii="Times New Roman" w:hAnsi="Times New Roman" w:eastAsia="仿宋_GB2312" w:cs="Times New Roman"/>
                <w:b/>
                <w:bCs/>
                <w:i w:val="0"/>
                <w:iCs w:val="0"/>
                <w:color w:val="000000"/>
                <w:kern w:val="0"/>
                <w:sz w:val="28"/>
                <w:szCs w:val="28"/>
                <w:highlight w:val="none"/>
                <w:u w:val="none"/>
                <w:lang w:val="en-US" w:eastAsia="zh-CN" w:bidi="ar"/>
              </w:rPr>
              <w:t>序号</w:t>
            </w:r>
          </w:p>
        </w:tc>
        <w:tc>
          <w:tcPr>
            <w:tcW w:w="1787" w:type="dxa"/>
            <w:tcBorders>
              <w:top w:val="single" w:color="auto" w:sz="4" w:space="0"/>
              <w:left w:val="single" w:color="auto" w:sz="4" w:space="0"/>
              <w:bottom w:val="single" w:color="auto" w:sz="4" w:space="0"/>
              <w:right w:val="single" w:color="auto" w:sz="4" w:space="0"/>
            </w:tcBorders>
            <w:shd w:val="clear" w:color="auto" w:fill="auto"/>
            <w:vAlign w:val="center"/>
          </w:tcPr>
          <w:p w14:paraId="188C3AE6">
            <w:pPr>
              <w:keepNext w:val="0"/>
              <w:keepLines w:val="0"/>
              <w:widowControl/>
              <w:suppressLineNumbers w:val="0"/>
              <w:spacing w:line="300" w:lineRule="exact"/>
              <w:jc w:val="center"/>
              <w:textAlignment w:val="center"/>
              <w:rPr>
                <w:rFonts w:hint="default" w:ascii="Times New Roman" w:hAnsi="Times New Roman" w:eastAsia="仿宋_GB2312" w:cs="Times New Roman"/>
                <w:b/>
                <w:bCs/>
                <w:i w:val="0"/>
                <w:iCs w:val="0"/>
                <w:color w:val="000000"/>
                <w:sz w:val="28"/>
                <w:szCs w:val="28"/>
                <w:highlight w:val="none"/>
                <w:u w:val="none"/>
              </w:rPr>
            </w:pPr>
            <w:r>
              <w:rPr>
                <w:rFonts w:hint="default" w:ascii="Times New Roman" w:hAnsi="Times New Roman" w:eastAsia="仿宋_GB2312" w:cs="Times New Roman"/>
                <w:b/>
                <w:bCs/>
                <w:i w:val="0"/>
                <w:iCs w:val="0"/>
                <w:color w:val="000000"/>
                <w:kern w:val="0"/>
                <w:sz w:val="28"/>
                <w:szCs w:val="28"/>
                <w:highlight w:val="none"/>
                <w:u w:val="none"/>
                <w:lang w:val="en-US" w:eastAsia="zh-CN" w:bidi="ar"/>
              </w:rPr>
              <w:t>部门</w:t>
            </w:r>
          </w:p>
        </w:tc>
        <w:tc>
          <w:tcPr>
            <w:tcW w:w="3215" w:type="dxa"/>
            <w:tcBorders>
              <w:top w:val="single" w:color="auto" w:sz="4" w:space="0"/>
              <w:left w:val="single" w:color="auto" w:sz="4" w:space="0"/>
              <w:bottom w:val="single" w:color="auto" w:sz="4" w:space="0"/>
              <w:right w:val="single" w:color="auto" w:sz="4" w:space="0"/>
            </w:tcBorders>
            <w:shd w:val="clear" w:color="auto" w:fill="auto"/>
            <w:vAlign w:val="center"/>
          </w:tcPr>
          <w:p w14:paraId="755156BE">
            <w:pPr>
              <w:keepNext w:val="0"/>
              <w:keepLines w:val="0"/>
              <w:widowControl/>
              <w:suppressLineNumbers w:val="0"/>
              <w:spacing w:line="300" w:lineRule="exact"/>
              <w:jc w:val="center"/>
              <w:textAlignment w:val="center"/>
              <w:rPr>
                <w:rFonts w:hint="default" w:ascii="Times New Roman" w:hAnsi="Times New Roman" w:eastAsia="仿宋_GB2312" w:cs="Times New Roman"/>
                <w:b/>
                <w:bCs/>
                <w:i w:val="0"/>
                <w:iCs w:val="0"/>
                <w:color w:val="000000"/>
                <w:sz w:val="28"/>
                <w:szCs w:val="28"/>
                <w:highlight w:val="none"/>
                <w:u w:val="none"/>
              </w:rPr>
            </w:pPr>
            <w:r>
              <w:rPr>
                <w:rFonts w:hint="default" w:ascii="Times New Roman" w:hAnsi="Times New Roman" w:eastAsia="仿宋_GB2312" w:cs="Times New Roman"/>
                <w:b/>
                <w:bCs/>
                <w:i w:val="0"/>
                <w:iCs w:val="0"/>
                <w:color w:val="000000"/>
                <w:kern w:val="0"/>
                <w:sz w:val="28"/>
                <w:szCs w:val="28"/>
                <w:highlight w:val="none"/>
                <w:u w:val="none"/>
                <w:lang w:val="en-US" w:eastAsia="zh-CN" w:bidi="ar"/>
              </w:rPr>
              <w:t>采购项目</w:t>
            </w:r>
          </w:p>
        </w:tc>
        <w:tc>
          <w:tcPr>
            <w:tcW w:w="1625" w:type="dxa"/>
            <w:tcBorders>
              <w:top w:val="single" w:color="000000" w:sz="4" w:space="0"/>
              <w:left w:val="single" w:color="auto" w:sz="4" w:space="0"/>
              <w:bottom w:val="single" w:color="000000" w:sz="4" w:space="0"/>
              <w:right w:val="single" w:color="000000" w:sz="4" w:space="0"/>
            </w:tcBorders>
            <w:shd w:val="clear" w:color="auto" w:fill="auto"/>
            <w:vAlign w:val="center"/>
          </w:tcPr>
          <w:p w14:paraId="5746B47F">
            <w:pPr>
              <w:keepNext w:val="0"/>
              <w:keepLines w:val="0"/>
              <w:widowControl/>
              <w:suppressLineNumbers w:val="0"/>
              <w:spacing w:line="300" w:lineRule="exact"/>
              <w:jc w:val="center"/>
              <w:textAlignment w:val="center"/>
              <w:rPr>
                <w:rFonts w:hint="default" w:ascii="Times New Roman" w:hAnsi="Times New Roman" w:eastAsia="仿宋_GB2312" w:cs="Times New Roman"/>
                <w:b/>
                <w:bCs/>
                <w:i w:val="0"/>
                <w:iCs w:val="0"/>
                <w:color w:val="000000"/>
                <w:sz w:val="28"/>
                <w:szCs w:val="28"/>
                <w:highlight w:val="none"/>
                <w:u w:val="none"/>
              </w:rPr>
            </w:pPr>
            <w:r>
              <w:rPr>
                <w:rFonts w:hint="default" w:ascii="Times New Roman" w:hAnsi="Times New Roman" w:eastAsia="仿宋_GB2312" w:cs="Times New Roman"/>
                <w:b/>
                <w:bCs/>
                <w:i w:val="0"/>
                <w:iCs w:val="0"/>
                <w:color w:val="000000"/>
                <w:kern w:val="0"/>
                <w:sz w:val="28"/>
                <w:szCs w:val="28"/>
                <w:highlight w:val="none"/>
                <w:u w:val="none"/>
                <w:lang w:val="en-US" w:eastAsia="zh-CN" w:bidi="ar"/>
              </w:rPr>
              <w:t>预算金额（万元）</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0FFF0">
            <w:pPr>
              <w:keepNext w:val="0"/>
              <w:keepLines w:val="0"/>
              <w:widowControl/>
              <w:suppressLineNumbers w:val="0"/>
              <w:spacing w:line="300" w:lineRule="exact"/>
              <w:jc w:val="center"/>
              <w:textAlignment w:val="center"/>
              <w:rPr>
                <w:rFonts w:hint="default" w:ascii="Times New Roman" w:hAnsi="Times New Roman" w:eastAsia="仿宋_GB2312" w:cs="Times New Roman"/>
                <w:b/>
                <w:bCs/>
                <w:i w:val="0"/>
                <w:iCs w:val="0"/>
                <w:color w:val="000000"/>
                <w:kern w:val="0"/>
                <w:sz w:val="28"/>
                <w:szCs w:val="28"/>
                <w:highlight w:val="none"/>
                <w:u w:val="none"/>
                <w:lang w:val="en-US" w:eastAsia="zh-CN" w:bidi="ar"/>
              </w:rPr>
            </w:pPr>
            <w:r>
              <w:rPr>
                <w:rFonts w:hint="default" w:ascii="Times New Roman" w:hAnsi="Times New Roman" w:eastAsia="仿宋_GB2312" w:cs="Times New Roman"/>
                <w:b/>
                <w:bCs/>
                <w:i w:val="0"/>
                <w:iCs w:val="0"/>
                <w:color w:val="000000"/>
                <w:kern w:val="0"/>
                <w:sz w:val="28"/>
                <w:szCs w:val="28"/>
                <w:highlight w:val="none"/>
                <w:u w:val="none"/>
                <w:lang w:val="en-US" w:eastAsia="zh-CN" w:bidi="ar"/>
              </w:rPr>
              <w:t>占比</w:t>
            </w:r>
          </w:p>
          <w:p w14:paraId="66D1EFD1">
            <w:pPr>
              <w:keepNext w:val="0"/>
              <w:keepLines w:val="0"/>
              <w:widowControl/>
              <w:suppressLineNumbers w:val="0"/>
              <w:spacing w:line="300" w:lineRule="exact"/>
              <w:jc w:val="center"/>
              <w:textAlignment w:val="center"/>
              <w:rPr>
                <w:rFonts w:hint="default" w:ascii="Times New Roman" w:hAnsi="Times New Roman" w:cs="Times New Roman" w:eastAsiaTheme="majorEastAsia"/>
                <w:highlight w:val="none"/>
                <w:lang w:val="en-US" w:eastAsia="zh-CN"/>
              </w:rPr>
            </w:pPr>
            <w:r>
              <w:rPr>
                <w:rFonts w:hint="default" w:ascii="Times New Roman" w:hAnsi="Times New Roman" w:eastAsia="仿宋_GB2312" w:cs="Times New Roman"/>
                <w:b/>
                <w:bCs/>
                <w:i w:val="0"/>
                <w:iCs w:val="0"/>
                <w:color w:val="000000"/>
                <w:kern w:val="0"/>
                <w:sz w:val="28"/>
                <w:szCs w:val="28"/>
                <w:highlight w:val="none"/>
                <w:u w:val="none"/>
                <w:lang w:val="en-US" w:eastAsia="zh-CN" w:bidi="ar"/>
              </w:rPr>
              <w:t>（100%）</w:t>
            </w:r>
          </w:p>
        </w:tc>
      </w:tr>
      <w:tr w14:paraId="4B42B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48" w:type="dxa"/>
            <w:tcBorders>
              <w:top w:val="single" w:color="auto" w:sz="4" w:space="0"/>
              <w:left w:val="single" w:color="auto" w:sz="4" w:space="0"/>
              <w:bottom w:val="single" w:color="auto" w:sz="4" w:space="0"/>
              <w:right w:val="single" w:color="auto" w:sz="4" w:space="0"/>
            </w:tcBorders>
            <w:shd w:val="clear" w:color="auto" w:fill="auto"/>
            <w:vAlign w:val="center"/>
          </w:tcPr>
          <w:p w14:paraId="1B9CED64">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w:t>
            </w:r>
          </w:p>
        </w:tc>
        <w:tc>
          <w:tcPr>
            <w:tcW w:w="178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1DFEC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医疗器械中心</w:t>
            </w:r>
          </w:p>
        </w:tc>
        <w:tc>
          <w:tcPr>
            <w:tcW w:w="3215" w:type="dxa"/>
            <w:tcBorders>
              <w:top w:val="single" w:color="auto" w:sz="4" w:space="0"/>
              <w:left w:val="single" w:color="auto" w:sz="4" w:space="0"/>
              <w:bottom w:val="single" w:color="auto" w:sz="4" w:space="0"/>
              <w:right w:val="single" w:color="auto" w:sz="4" w:space="0"/>
            </w:tcBorders>
            <w:shd w:val="clear" w:color="auto" w:fill="auto"/>
            <w:vAlign w:val="center"/>
          </w:tcPr>
          <w:p w14:paraId="16AF2E56">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医疗设备采购</w:t>
            </w:r>
          </w:p>
        </w:tc>
        <w:tc>
          <w:tcPr>
            <w:tcW w:w="1625" w:type="dxa"/>
            <w:tcBorders>
              <w:top w:val="single" w:color="000000" w:sz="4" w:space="0"/>
              <w:left w:val="single" w:color="auto" w:sz="4" w:space="0"/>
              <w:bottom w:val="single" w:color="000000" w:sz="4" w:space="0"/>
              <w:right w:val="single" w:color="000000" w:sz="4" w:space="0"/>
            </w:tcBorders>
            <w:shd w:val="clear" w:color="auto" w:fill="auto"/>
            <w:vAlign w:val="center"/>
          </w:tcPr>
          <w:p w14:paraId="7162B404">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20440.21</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1D2B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9.53</w:t>
            </w:r>
          </w:p>
        </w:tc>
      </w:tr>
      <w:tr w14:paraId="73E45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48" w:type="dxa"/>
            <w:tcBorders>
              <w:top w:val="single" w:color="auto" w:sz="4" w:space="0"/>
              <w:left w:val="single" w:color="000000" w:sz="4" w:space="0"/>
              <w:bottom w:val="single" w:color="000000" w:sz="4" w:space="0"/>
              <w:right w:val="single" w:color="000000" w:sz="4" w:space="0"/>
            </w:tcBorders>
            <w:shd w:val="clear" w:color="auto" w:fill="auto"/>
            <w:vAlign w:val="center"/>
          </w:tcPr>
          <w:p w14:paraId="2ECF2348">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w:t>
            </w:r>
          </w:p>
        </w:tc>
        <w:tc>
          <w:tcPr>
            <w:tcW w:w="1787" w:type="dxa"/>
            <w:vMerge w:val="continue"/>
            <w:tcBorders>
              <w:top w:val="single" w:color="auto" w:sz="4" w:space="0"/>
              <w:left w:val="single" w:color="000000" w:sz="4" w:space="0"/>
              <w:bottom w:val="nil"/>
              <w:right w:val="single" w:color="000000" w:sz="4" w:space="0"/>
            </w:tcBorders>
            <w:shd w:val="clear" w:color="auto" w:fill="auto"/>
            <w:vAlign w:val="center"/>
          </w:tcPr>
          <w:p w14:paraId="497C6DDA">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auto" w:sz="4" w:space="0"/>
              <w:left w:val="single" w:color="000000" w:sz="4" w:space="0"/>
              <w:bottom w:val="single" w:color="000000" w:sz="4" w:space="0"/>
              <w:right w:val="single" w:color="000000" w:sz="4" w:space="0"/>
            </w:tcBorders>
            <w:shd w:val="clear" w:color="auto" w:fill="auto"/>
            <w:vAlign w:val="center"/>
          </w:tcPr>
          <w:p w14:paraId="3388C73C">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耗材</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BB068">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60000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142B6">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27.97</w:t>
            </w:r>
          </w:p>
        </w:tc>
      </w:tr>
      <w:tr w14:paraId="7A656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7A055">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3</w:t>
            </w:r>
          </w:p>
        </w:tc>
        <w:tc>
          <w:tcPr>
            <w:tcW w:w="1787" w:type="dxa"/>
            <w:vMerge w:val="continue"/>
            <w:tcBorders>
              <w:top w:val="single" w:color="000000" w:sz="4" w:space="0"/>
              <w:left w:val="single" w:color="000000" w:sz="4" w:space="0"/>
              <w:bottom w:val="nil"/>
              <w:right w:val="single" w:color="000000" w:sz="4" w:space="0"/>
            </w:tcBorders>
            <w:shd w:val="clear" w:color="auto" w:fill="auto"/>
            <w:vAlign w:val="center"/>
          </w:tcPr>
          <w:p w14:paraId="61603934">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193D8">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应急</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DD3A3">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3000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4417C">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1.40</w:t>
            </w:r>
          </w:p>
        </w:tc>
      </w:tr>
      <w:tr w14:paraId="7E69B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FCBE6">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4</w:t>
            </w:r>
          </w:p>
        </w:tc>
        <w:tc>
          <w:tcPr>
            <w:tcW w:w="1787" w:type="dxa"/>
            <w:vMerge w:val="continue"/>
            <w:tcBorders>
              <w:top w:val="single" w:color="000000" w:sz="4" w:space="0"/>
              <w:left w:val="single" w:color="000000" w:sz="4" w:space="0"/>
              <w:bottom w:val="nil"/>
              <w:right w:val="single" w:color="000000" w:sz="4" w:space="0"/>
            </w:tcBorders>
            <w:shd w:val="clear" w:color="auto" w:fill="auto"/>
            <w:vAlign w:val="center"/>
          </w:tcPr>
          <w:p w14:paraId="25FB079C">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83CE3">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设备维修保养</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06A69">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2589.15</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D6BA">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1.21</w:t>
            </w:r>
          </w:p>
        </w:tc>
      </w:tr>
      <w:tr w14:paraId="29366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3F308">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5</w:t>
            </w:r>
          </w:p>
        </w:tc>
        <w:tc>
          <w:tcPr>
            <w:tcW w:w="1787" w:type="dxa"/>
            <w:vMerge w:val="continue"/>
            <w:tcBorders>
              <w:top w:val="single" w:color="000000" w:sz="4" w:space="0"/>
              <w:left w:val="single" w:color="000000" w:sz="4" w:space="0"/>
              <w:bottom w:val="nil"/>
              <w:right w:val="single" w:color="000000" w:sz="4" w:space="0"/>
            </w:tcBorders>
            <w:shd w:val="clear" w:color="auto" w:fill="auto"/>
            <w:vAlign w:val="center"/>
          </w:tcPr>
          <w:p w14:paraId="7B4D2F74">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E8C32">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白鸟湖医疗设备采购</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A8708">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3775</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3358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1.76</w:t>
            </w:r>
          </w:p>
        </w:tc>
      </w:tr>
      <w:tr w14:paraId="4FD7C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0482">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6</w:t>
            </w:r>
          </w:p>
        </w:tc>
        <w:tc>
          <w:tcPr>
            <w:tcW w:w="1787" w:type="dxa"/>
            <w:vMerge w:val="continue"/>
            <w:tcBorders>
              <w:top w:val="single" w:color="000000" w:sz="4" w:space="0"/>
              <w:left w:val="single" w:color="000000" w:sz="4" w:space="0"/>
              <w:bottom w:val="nil"/>
              <w:right w:val="single" w:color="000000" w:sz="4" w:space="0"/>
            </w:tcBorders>
            <w:shd w:val="clear" w:color="auto" w:fill="auto"/>
            <w:vAlign w:val="center"/>
          </w:tcPr>
          <w:p w14:paraId="79100527">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38CEE">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科研科医疗设备</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73EEC">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816.6</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63EC4">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0.38</w:t>
            </w:r>
          </w:p>
        </w:tc>
      </w:tr>
      <w:tr w14:paraId="577E9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7DDCE">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7</w:t>
            </w:r>
          </w:p>
        </w:tc>
        <w:tc>
          <w:tcPr>
            <w:tcW w:w="1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47EF6D">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药学部</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093C9">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药品</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A34CA">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77500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65C60">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36.13</w:t>
            </w:r>
          </w:p>
        </w:tc>
      </w:tr>
      <w:tr w14:paraId="57158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C053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8</w:t>
            </w:r>
          </w:p>
        </w:tc>
        <w:tc>
          <w:tcPr>
            <w:tcW w:w="1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B1A47">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ADF20">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试剂</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10972">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22500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95099">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10.49</w:t>
            </w:r>
          </w:p>
        </w:tc>
      </w:tr>
      <w:tr w14:paraId="65494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FA05F">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9</w:t>
            </w:r>
          </w:p>
        </w:tc>
        <w:tc>
          <w:tcPr>
            <w:tcW w:w="1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8C02F">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后勤服务中心</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90ADF">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后勤采购项目</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92A2F">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14957</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4815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6.97</w:t>
            </w:r>
          </w:p>
        </w:tc>
      </w:tr>
      <w:tr w14:paraId="4E38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3229F">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10</w:t>
            </w:r>
          </w:p>
        </w:tc>
        <w:tc>
          <w:tcPr>
            <w:tcW w:w="1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3E112">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后勤（白鸟湖）</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D027D">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百鸟湖采购项目</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391F3">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195</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A5586">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0.09</w:t>
            </w:r>
          </w:p>
        </w:tc>
      </w:tr>
      <w:tr w14:paraId="7D5B5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D9F1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11</w:t>
            </w:r>
          </w:p>
        </w:tc>
        <w:tc>
          <w:tcPr>
            <w:tcW w:w="1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7C127D">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信息中心</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9DC9E">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总院含科研</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4872C">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4661</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6F607">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2.17</w:t>
            </w:r>
          </w:p>
        </w:tc>
      </w:tr>
      <w:tr w14:paraId="10523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64047">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12</w:t>
            </w:r>
          </w:p>
        </w:tc>
        <w:tc>
          <w:tcPr>
            <w:tcW w:w="1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147BC">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F3E43">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白鸟湖</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DCFD6">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680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09E90">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0.32</w:t>
            </w:r>
          </w:p>
        </w:tc>
      </w:tr>
      <w:tr w14:paraId="5B36C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EDD06">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13</w:t>
            </w:r>
          </w:p>
        </w:tc>
        <w:tc>
          <w:tcPr>
            <w:tcW w:w="1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54662">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运营管理与事业发展部</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690CA">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其他服务</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47AC0">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390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D58C3">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0.18</w:t>
            </w:r>
          </w:p>
        </w:tc>
      </w:tr>
      <w:tr w14:paraId="756DB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8"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0327E">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kern w:val="0"/>
                <w:sz w:val="28"/>
                <w:szCs w:val="28"/>
                <w:highlight w:val="none"/>
                <w:u w:val="none"/>
                <w:lang w:val="en-US" w:eastAsia="zh-CN" w:bidi="ar"/>
              </w:rPr>
            </w:pPr>
            <w:r>
              <w:rPr>
                <w:rFonts w:hint="default" w:ascii="Times New Roman" w:hAnsi="Times New Roman" w:eastAsia="仿宋_GB2312" w:cs="Times New Roman"/>
                <w:i w:val="0"/>
                <w:iCs w:val="0"/>
                <w:color w:val="000000"/>
                <w:kern w:val="0"/>
                <w:sz w:val="28"/>
                <w:szCs w:val="28"/>
                <w:highlight w:val="none"/>
                <w:u w:val="none"/>
                <w:lang w:val="en-US" w:eastAsia="zh-CN" w:bidi="ar"/>
              </w:rPr>
              <w:t>14</w:t>
            </w:r>
          </w:p>
        </w:tc>
        <w:tc>
          <w:tcPr>
            <w:tcW w:w="1787" w:type="dxa"/>
            <w:tcBorders>
              <w:top w:val="single" w:color="000000" w:sz="4" w:space="0"/>
              <w:left w:val="single" w:color="000000" w:sz="4" w:space="0"/>
              <w:bottom w:val="nil"/>
              <w:right w:val="single" w:color="000000" w:sz="4" w:space="0"/>
            </w:tcBorders>
            <w:shd w:val="clear" w:color="auto" w:fill="auto"/>
            <w:vAlign w:val="center"/>
          </w:tcPr>
          <w:p w14:paraId="2C4EDD43">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kern w:val="0"/>
                <w:sz w:val="28"/>
                <w:szCs w:val="28"/>
                <w:highlight w:val="none"/>
                <w:u w:val="none"/>
                <w:lang w:val="en-US" w:eastAsia="zh-CN" w:bidi="ar"/>
              </w:rPr>
            </w:pPr>
            <w:r>
              <w:rPr>
                <w:rFonts w:hint="default" w:ascii="Times New Roman" w:hAnsi="Times New Roman" w:eastAsia="仿宋_GB2312" w:cs="Times New Roman"/>
                <w:i w:val="0"/>
                <w:iCs w:val="0"/>
                <w:color w:val="000000"/>
                <w:kern w:val="0"/>
                <w:sz w:val="28"/>
                <w:szCs w:val="28"/>
                <w:highlight w:val="none"/>
                <w:u w:val="none"/>
                <w:lang w:val="en-US" w:eastAsia="zh-CN" w:bidi="ar"/>
              </w:rPr>
              <w:t>护理部</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D5A10">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kern w:val="0"/>
                <w:sz w:val="28"/>
                <w:szCs w:val="28"/>
                <w:highlight w:val="none"/>
                <w:u w:val="none"/>
                <w:lang w:val="en-US" w:eastAsia="zh-CN" w:bidi="ar"/>
              </w:rPr>
            </w:pPr>
            <w:r>
              <w:rPr>
                <w:rFonts w:hint="default" w:ascii="Times New Roman" w:hAnsi="Times New Roman" w:eastAsia="仿宋_GB2312" w:cs="Times New Roman"/>
                <w:i w:val="0"/>
                <w:iCs w:val="0"/>
                <w:color w:val="000000"/>
                <w:kern w:val="0"/>
                <w:sz w:val="28"/>
                <w:szCs w:val="28"/>
                <w:highlight w:val="none"/>
                <w:u w:val="none"/>
                <w:lang w:val="en-US" w:eastAsia="zh-CN" w:bidi="ar"/>
              </w:rPr>
              <w:t>临床科室护理员外包服务商</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DAECA">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kern w:val="0"/>
                <w:sz w:val="28"/>
                <w:szCs w:val="28"/>
                <w:highlight w:val="none"/>
                <w:u w:val="none"/>
                <w:lang w:val="en-US" w:eastAsia="zh-CN" w:bidi="ar"/>
              </w:rPr>
            </w:pPr>
            <w:r>
              <w:rPr>
                <w:rFonts w:hint="default" w:ascii="Times New Roman" w:hAnsi="Times New Roman" w:eastAsia="仿宋_GB2312" w:cs="Times New Roman"/>
                <w:i w:val="0"/>
                <w:iCs w:val="0"/>
                <w:color w:val="000000"/>
                <w:kern w:val="0"/>
                <w:sz w:val="28"/>
                <w:szCs w:val="28"/>
                <w:highlight w:val="none"/>
                <w:u w:val="none"/>
                <w:lang w:val="en-US" w:eastAsia="zh-CN" w:bidi="ar"/>
              </w:rPr>
              <w:t>899.69</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B4A68">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kern w:val="0"/>
                <w:sz w:val="28"/>
                <w:szCs w:val="28"/>
                <w:highlight w:val="none"/>
                <w:u w:val="none"/>
                <w:lang w:val="en-US" w:eastAsia="zh-CN" w:bidi="ar"/>
              </w:rPr>
            </w:pPr>
            <w:r>
              <w:rPr>
                <w:rFonts w:hint="default" w:ascii="Times New Roman" w:hAnsi="Times New Roman" w:eastAsia="仿宋_GB2312" w:cs="Times New Roman"/>
                <w:i w:val="0"/>
                <w:iCs w:val="0"/>
                <w:color w:val="000000"/>
                <w:kern w:val="0"/>
                <w:sz w:val="28"/>
                <w:szCs w:val="28"/>
                <w:highlight w:val="none"/>
                <w:u w:val="none"/>
                <w:lang w:val="en-US" w:eastAsia="zh-CN" w:bidi="ar"/>
              </w:rPr>
              <w:t>0.42</w:t>
            </w:r>
          </w:p>
        </w:tc>
      </w:tr>
      <w:tr w14:paraId="08E8D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958DB">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15</w:t>
            </w:r>
          </w:p>
        </w:tc>
        <w:tc>
          <w:tcPr>
            <w:tcW w:w="1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E0CE57">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保卫部</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3D7CC">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劳务派遣</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68EAF">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750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051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0.35</w:t>
            </w:r>
          </w:p>
        </w:tc>
      </w:tr>
      <w:tr w14:paraId="20E6A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34AE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16</w:t>
            </w:r>
          </w:p>
        </w:tc>
        <w:tc>
          <w:tcPr>
            <w:tcW w:w="1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6D8BBD">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C2DD3">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安检设备购置</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E43A9">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12</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1D277">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0.01</w:t>
            </w:r>
          </w:p>
        </w:tc>
      </w:tr>
      <w:tr w14:paraId="5B4B8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8619">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17</w:t>
            </w:r>
          </w:p>
        </w:tc>
        <w:tc>
          <w:tcPr>
            <w:tcW w:w="1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F2D8F4">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F8ECF">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白鸟湖安检设备购置</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4B918">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26</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B6214">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0.01</w:t>
            </w:r>
          </w:p>
        </w:tc>
      </w:tr>
      <w:tr w14:paraId="02EF3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61C7E">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18</w:t>
            </w:r>
          </w:p>
        </w:tc>
        <w:tc>
          <w:tcPr>
            <w:tcW w:w="1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7C377">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党委办公室</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AC982">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其他服务</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907EF">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564</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3C6C6">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0.26</w:t>
            </w:r>
          </w:p>
        </w:tc>
      </w:tr>
      <w:tr w14:paraId="3AD06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08E1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19</w:t>
            </w:r>
          </w:p>
        </w:tc>
        <w:tc>
          <w:tcPr>
            <w:tcW w:w="1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F38BA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人力资源部</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FB0C7">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劳务派遣</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EC854">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13</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D26C7">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0.01</w:t>
            </w:r>
          </w:p>
        </w:tc>
      </w:tr>
      <w:tr w14:paraId="6F7E1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F45A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20</w:t>
            </w:r>
          </w:p>
        </w:tc>
        <w:tc>
          <w:tcPr>
            <w:tcW w:w="1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C3629">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7E338">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人事档案数字信息化采购</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4AA5C">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400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0B40F">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0.19</w:t>
            </w:r>
          </w:p>
        </w:tc>
      </w:tr>
      <w:tr w14:paraId="2FE9A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D6BA4">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21</w:t>
            </w:r>
          </w:p>
        </w:tc>
        <w:tc>
          <w:tcPr>
            <w:tcW w:w="1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F8BA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院办</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FE1A9">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会议室多媒体系统</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C9D75">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119.153</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933A0">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0.06</w:t>
            </w:r>
          </w:p>
        </w:tc>
      </w:tr>
      <w:tr w14:paraId="49BB9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2F851">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22</w:t>
            </w:r>
          </w:p>
        </w:tc>
        <w:tc>
          <w:tcPr>
            <w:tcW w:w="1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CB31B">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监察审计部</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64D68">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审计</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E86D0">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60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E7FFB">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0.03</w:t>
            </w:r>
          </w:p>
        </w:tc>
      </w:tr>
      <w:tr w14:paraId="38D38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ECFEE">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23</w:t>
            </w:r>
          </w:p>
        </w:tc>
        <w:tc>
          <w:tcPr>
            <w:tcW w:w="1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3C8D55">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财务部</w:t>
            </w: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7AFA3">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信息建设</w:t>
            </w:r>
          </w:p>
        </w:tc>
        <w:tc>
          <w:tcPr>
            <w:tcW w:w="16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8F344B">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96.00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F852C">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0.04</w:t>
            </w:r>
          </w:p>
        </w:tc>
      </w:tr>
      <w:tr w14:paraId="573B1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BFD63">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24</w:t>
            </w:r>
          </w:p>
        </w:tc>
        <w:tc>
          <w:tcPr>
            <w:tcW w:w="1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CDD44">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5010B">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审计服务费</w:t>
            </w:r>
          </w:p>
        </w:tc>
        <w:tc>
          <w:tcPr>
            <w:tcW w:w="16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2D6629">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35.00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8618E">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0.02</w:t>
            </w:r>
          </w:p>
        </w:tc>
      </w:tr>
      <w:tr w14:paraId="427CF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B5C9B">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25</w:t>
            </w:r>
          </w:p>
        </w:tc>
        <w:tc>
          <w:tcPr>
            <w:tcW w:w="1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92CE2">
            <w:pPr>
              <w:spacing w:line="300" w:lineRule="exact"/>
              <w:jc w:val="center"/>
              <w:rPr>
                <w:rFonts w:hint="default" w:ascii="Times New Roman" w:hAnsi="Times New Roman" w:eastAsia="仿宋_GB2312" w:cs="Times New Roman"/>
                <w:i w:val="0"/>
                <w:iCs w:val="0"/>
                <w:color w:val="000000"/>
                <w:sz w:val="28"/>
                <w:szCs w:val="28"/>
                <w:highlight w:val="none"/>
                <w:u w:val="none"/>
              </w:rPr>
            </w:pPr>
          </w:p>
        </w:tc>
        <w:tc>
          <w:tcPr>
            <w:tcW w:w="3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7838C">
            <w:pPr>
              <w:keepNext w:val="0"/>
              <w:keepLines w:val="0"/>
              <w:widowControl/>
              <w:suppressLineNumbers w:val="0"/>
              <w:spacing w:line="300" w:lineRule="exact"/>
              <w:jc w:val="left"/>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造价咨询服务</w:t>
            </w:r>
          </w:p>
        </w:tc>
        <w:tc>
          <w:tcPr>
            <w:tcW w:w="16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BEBA6B">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16.30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D42D5">
            <w:pPr>
              <w:keepNext w:val="0"/>
              <w:keepLines w:val="0"/>
              <w:widowControl/>
              <w:suppressLineNumbers w:val="0"/>
              <w:spacing w:line="300" w:lineRule="exact"/>
              <w:jc w:val="center"/>
              <w:textAlignment w:val="center"/>
              <w:rPr>
                <w:rFonts w:hint="default" w:ascii="Times New Roman" w:hAnsi="Times New Roman" w:eastAsia="仿宋_GB2312" w:cs="Times New Roman"/>
                <w:i w:val="0"/>
                <w:iCs w:val="0"/>
                <w:color w:val="000000"/>
                <w:sz w:val="28"/>
                <w:szCs w:val="28"/>
                <w:highlight w:val="none"/>
                <w:u w:val="none"/>
              </w:rPr>
            </w:pPr>
            <w:r>
              <w:rPr>
                <w:rFonts w:hint="default" w:ascii="Times New Roman" w:hAnsi="Times New Roman" w:eastAsia="仿宋_GB2312" w:cs="Times New Roman"/>
                <w:i w:val="0"/>
                <w:iCs w:val="0"/>
                <w:color w:val="000000"/>
                <w:kern w:val="0"/>
                <w:sz w:val="28"/>
                <w:szCs w:val="28"/>
                <w:highlight w:val="none"/>
                <w:u w:val="none"/>
                <w:lang w:val="en-US" w:eastAsia="zh-CN" w:bidi="ar"/>
              </w:rPr>
              <w:t>0.01</w:t>
            </w:r>
          </w:p>
        </w:tc>
      </w:tr>
      <w:tr w14:paraId="75790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9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60451B">
            <w:pPr>
              <w:spacing w:line="300" w:lineRule="exact"/>
              <w:jc w:val="center"/>
              <w:rPr>
                <w:rFonts w:hint="default" w:ascii="Times New Roman" w:hAnsi="Times New Roman" w:eastAsia="仿宋_GB2312" w:cs="Times New Roman"/>
                <w:b/>
                <w:bCs/>
                <w:i w:val="0"/>
                <w:iCs w:val="0"/>
                <w:color w:val="000000"/>
                <w:sz w:val="28"/>
                <w:szCs w:val="28"/>
                <w:highlight w:val="none"/>
                <w:u w:val="none"/>
              </w:rPr>
            </w:pPr>
            <w:r>
              <w:rPr>
                <w:rFonts w:hint="default" w:ascii="Times New Roman" w:hAnsi="Times New Roman" w:eastAsia="仿宋_GB2312" w:cs="Times New Roman"/>
                <w:b/>
                <w:bCs/>
                <w:i w:val="0"/>
                <w:iCs w:val="0"/>
                <w:color w:val="000000"/>
                <w:kern w:val="0"/>
                <w:sz w:val="28"/>
                <w:szCs w:val="28"/>
                <w:highlight w:val="none"/>
                <w:u w:val="none"/>
                <w:lang w:val="en-US" w:eastAsia="zh-CN" w:bidi="ar"/>
              </w:rPr>
              <w:t>合计</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E9412">
            <w:pPr>
              <w:keepNext w:val="0"/>
              <w:keepLines w:val="0"/>
              <w:widowControl/>
              <w:suppressLineNumbers w:val="0"/>
              <w:spacing w:line="300" w:lineRule="exact"/>
              <w:jc w:val="center"/>
              <w:textAlignment w:val="center"/>
              <w:rPr>
                <w:rFonts w:hint="default" w:ascii="Times New Roman" w:hAnsi="Times New Roman" w:eastAsia="仿宋_GB2312" w:cs="Times New Roman"/>
                <w:b/>
                <w:bCs/>
                <w:i w:val="0"/>
                <w:iCs w:val="0"/>
                <w:color w:val="000000"/>
                <w:sz w:val="28"/>
                <w:szCs w:val="28"/>
                <w:highlight w:val="none"/>
                <w:u w:val="none"/>
                <w:lang w:val="en-US"/>
              </w:rPr>
            </w:pPr>
            <w:r>
              <w:rPr>
                <w:rFonts w:hint="default" w:ascii="Times New Roman" w:hAnsi="Times New Roman" w:eastAsia="仿宋_GB2312" w:cs="Times New Roman"/>
                <w:b/>
                <w:bCs/>
                <w:i w:val="0"/>
                <w:iCs w:val="0"/>
                <w:color w:val="000000"/>
                <w:kern w:val="0"/>
                <w:sz w:val="28"/>
                <w:szCs w:val="28"/>
                <w:highlight w:val="none"/>
                <w:u w:val="none"/>
                <w:lang w:val="en-US" w:eastAsia="zh-CN" w:bidi="ar"/>
              </w:rPr>
              <w:t>214495.10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8C817">
            <w:pPr>
              <w:keepNext w:val="0"/>
              <w:keepLines w:val="0"/>
              <w:widowControl/>
              <w:suppressLineNumbers w:val="0"/>
              <w:spacing w:line="300" w:lineRule="exact"/>
              <w:jc w:val="center"/>
              <w:textAlignment w:val="center"/>
              <w:rPr>
                <w:rFonts w:hint="default" w:ascii="Times New Roman" w:hAnsi="Times New Roman" w:eastAsia="仿宋_GB2312" w:cs="Times New Roman"/>
                <w:b/>
                <w:bCs/>
                <w:i w:val="0"/>
                <w:iCs w:val="0"/>
                <w:color w:val="000000"/>
                <w:sz w:val="28"/>
                <w:szCs w:val="28"/>
                <w:highlight w:val="none"/>
                <w:u w:val="none"/>
              </w:rPr>
            </w:pPr>
            <w:r>
              <w:rPr>
                <w:rFonts w:hint="default" w:ascii="Times New Roman" w:hAnsi="Times New Roman" w:eastAsia="仿宋_GB2312" w:cs="Times New Roman"/>
                <w:b/>
                <w:bCs/>
                <w:i w:val="0"/>
                <w:iCs w:val="0"/>
                <w:color w:val="000000"/>
                <w:kern w:val="0"/>
                <w:sz w:val="28"/>
                <w:szCs w:val="28"/>
                <w:highlight w:val="none"/>
                <w:u w:val="none"/>
                <w:lang w:val="en-US" w:eastAsia="zh-CN" w:bidi="ar"/>
              </w:rPr>
              <w:t>100.00</w:t>
            </w:r>
          </w:p>
        </w:tc>
      </w:tr>
    </w:tbl>
    <w:p w14:paraId="73CDAAB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val="0"/>
          <w:bCs w:val="0"/>
          <w:sz w:val="32"/>
          <w:szCs w:val="32"/>
          <w:highlight w:val="none"/>
          <w:lang w:eastAsia="zh-CN"/>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3338D38C">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3、资金投入和使用情况</w:t>
      </w:r>
    </w:p>
    <w:p w14:paraId="1362772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eastAsia="zh-CN"/>
        </w:rPr>
        <w:t>（1）资金</w:t>
      </w:r>
      <w:r>
        <w:rPr>
          <w:rFonts w:hint="default" w:ascii="Times New Roman" w:hAnsi="Times New Roman" w:eastAsia="仿宋_GB2312" w:cs="Times New Roman"/>
          <w:b w:val="0"/>
          <w:bCs w:val="0"/>
          <w:sz w:val="32"/>
          <w:szCs w:val="32"/>
          <w:highlight w:val="none"/>
          <w:lang w:val="en-US" w:eastAsia="zh-CN"/>
        </w:rPr>
        <w:t>投入情况</w:t>
      </w:r>
    </w:p>
    <w:p w14:paraId="6A25D84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val="0"/>
          <w:bCs w:val="0"/>
          <w:sz w:val="32"/>
          <w:szCs w:val="32"/>
          <w:highlight w:val="none"/>
          <w:lang w:eastAsia="zh-CN"/>
        </w:rPr>
        <w:t>项目年度总预算</w:t>
      </w:r>
      <w:r>
        <w:rPr>
          <w:rFonts w:hint="default" w:ascii="Times New Roman" w:hAnsi="Times New Roman" w:eastAsia="仿宋_GB2312" w:cs="Times New Roman"/>
          <w:b w:val="0"/>
          <w:bCs w:val="0"/>
          <w:sz w:val="32"/>
          <w:szCs w:val="32"/>
          <w:highlight w:val="none"/>
          <w:lang w:val="en-US" w:eastAsia="zh-CN"/>
        </w:rPr>
        <w:t>214495.10</w:t>
      </w:r>
      <w:r>
        <w:rPr>
          <w:rFonts w:hint="default" w:ascii="Times New Roman" w:hAnsi="Times New Roman" w:eastAsia="仿宋_GB2312" w:cs="Times New Roman"/>
          <w:b w:val="0"/>
          <w:bCs w:val="0"/>
          <w:sz w:val="32"/>
          <w:szCs w:val="32"/>
          <w:highlight w:val="none"/>
          <w:lang w:eastAsia="zh-CN"/>
        </w:rPr>
        <w:t>万元，其中：财政拨款资金0万元，其他资金</w:t>
      </w:r>
      <w:r>
        <w:rPr>
          <w:rFonts w:hint="default" w:ascii="Times New Roman" w:hAnsi="Times New Roman" w:eastAsia="仿宋_GB2312" w:cs="Times New Roman"/>
          <w:b w:val="0"/>
          <w:bCs w:val="0"/>
          <w:sz w:val="32"/>
          <w:szCs w:val="32"/>
          <w:highlight w:val="none"/>
          <w:lang w:val="en-US" w:eastAsia="zh-CN"/>
        </w:rPr>
        <w:t>214495.10</w:t>
      </w:r>
      <w:r>
        <w:rPr>
          <w:rFonts w:hint="default" w:ascii="Times New Roman" w:hAnsi="Times New Roman" w:eastAsia="仿宋_GB2312" w:cs="Times New Roman"/>
          <w:b w:val="0"/>
          <w:bCs w:val="0"/>
          <w:sz w:val="32"/>
          <w:szCs w:val="32"/>
          <w:highlight w:val="none"/>
          <w:lang w:eastAsia="zh-CN"/>
        </w:rPr>
        <w:t>万元。项目资金到位</w:t>
      </w:r>
      <w:r>
        <w:rPr>
          <w:rFonts w:hint="default" w:ascii="Times New Roman" w:hAnsi="Times New Roman" w:eastAsia="仿宋_GB2312" w:cs="Times New Roman"/>
          <w:b w:val="0"/>
          <w:bCs w:val="0"/>
          <w:sz w:val="32"/>
          <w:szCs w:val="32"/>
          <w:highlight w:val="none"/>
          <w:lang w:val="en-US" w:eastAsia="zh-CN"/>
        </w:rPr>
        <w:t>214495.10</w:t>
      </w:r>
      <w:r>
        <w:rPr>
          <w:rFonts w:hint="default" w:ascii="Times New Roman" w:hAnsi="Times New Roman" w:eastAsia="仿宋_GB2312" w:cs="Times New Roman"/>
          <w:b w:val="0"/>
          <w:bCs w:val="0"/>
          <w:sz w:val="32"/>
          <w:szCs w:val="32"/>
          <w:highlight w:val="none"/>
          <w:lang w:eastAsia="zh-CN"/>
        </w:rPr>
        <w:t>万元，资金到位率100%。资金来源于医院</w:t>
      </w:r>
      <w:r>
        <w:rPr>
          <w:rFonts w:hint="default" w:ascii="Times New Roman" w:hAnsi="Times New Roman" w:eastAsia="仿宋_GB2312" w:cs="Times New Roman"/>
          <w:b w:val="0"/>
          <w:bCs w:val="0"/>
          <w:sz w:val="32"/>
          <w:szCs w:val="32"/>
          <w:highlight w:val="none"/>
          <w:lang w:val="en-US" w:eastAsia="zh-CN"/>
        </w:rPr>
        <w:t>自筹</w:t>
      </w:r>
      <w:r>
        <w:rPr>
          <w:rFonts w:hint="default" w:ascii="Times New Roman" w:hAnsi="Times New Roman" w:eastAsia="仿宋_GB2312" w:cs="Times New Roman"/>
          <w:b w:val="0"/>
          <w:bCs w:val="0"/>
          <w:sz w:val="32"/>
          <w:szCs w:val="32"/>
          <w:highlight w:val="none"/>
          <w:lang w:eastAsia="zh-CN"/>
        </w:rPr>
        <w:t>。</w:t>
      </w:r>
    </w:p>
    <w:p w14:paraId="3FC1154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val="0"/>
          <w:bCs w:val="0"/>
          <w:sz w:val="32"/>
          <w:szCs w:val="32"/>
          <w:highlight w:val="none"/>
          <w:lang w:eastAsia="zh-CN"/>
        </w:rPr>
        <w:t>（2）资金使用情况</w:t>
      </w:r>
      <w:bookmarkStart w:id="0" w:name="page10"/>
      <w:bookmarkEnd w:id="0"/>
    </w:p>
    <w:p w14:paraId="7595D94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highlight w:val="none"/>
          <w:lang w:eastAsia="zh-CN"/>
        </w:rPr>
      </w:pPr>
      <w:r>
        <w:rPr>
          <w:rFonts w:hint="eastAsia" w:eastAsia="仿宋_GB2312" w:cs="Times New Roman"/>
          <w:b w:val="0"/>
          <w:bCs w:val="0"/>
          <w:sz w:val="32"/>
          <w:szCs w:val="32"/>
          <w:highlight w:val="none"/>
          <w:lang w:val="en-US" w:eastAsia="zh-CN"/>
        </w:rPr>
        <w:t>截至2023年</w:t>
      </w:r>
      <w:r>
        <w:rPr>
          <w:rFonts w:hint="default" w:ascii="Times New Roman" w:hAnsi="Times New Roman" w:eastAsia="仿宋_GB2312" w:cs="Times New Roman"/>
          <w:b w:val="0"/>
          <w:bCs w:val="0"/>
          <w:sz w:val="32"/>
          <w:szCs w:val="32"/>
          <w:highlight w:val="none"/>
          <w:lang w:val="en-US" w:eastAsia="zh-CN"/>
        </w:rPr>
        <w:t>12月31日，</w:t>
      </w:r>
      <w:r>
        <w:rPr>
          <w:rFonts w:hint="default" w:ascii="Times New Roman" w:hAnsi="Times New Roman" w:eastAsia="仿宋_GB2312" w:cs="Times New Roman"/>
          <w:b w:val="0"/>
          <w:bCs w:val="0"/>
          <w:sz w:val="32"/>
          <w:szCs w:val="32"/>
          <w:highlight w:val="none"/>
          <w:lang w:eastAsia="zh-CN"/>
        </w:rPr>
        <w:t>该项目全年预算数214495.10万元，全年执行数179250.48万元，</w:t>
      </w:r>
      <w:r>
        <w:rPr>
          <w:rFonts w:hint="default" w:ascii="Times New Roman" w:hAnsi="Times New Roman" w:eastAsia="仿宋_GB2312" w:cs="Times New Roman"/>
          <w:b w:val="0"/>
          <w:bCs w:val="0"/>
          <w:sz w:val="32"/>
          <w:szCs w:val="32"/>
          <w:highlight w:val="none"/>
          <w:lang w:val="en-US" w:eastAsia="zh-CN"/>
        </w:rPr>
        <w:t>预算执行率</w:t>
      </w:r>
      <w:r>
        <w:rPr>
          <w:rFonts w:hint="default" w:ascii="Times New Roman" w:hAnsi="Times New Roman" w:eastAsia="仿宋_GB2312" w:cs="Times New Roman"/>
          <w:b w:val="0"/>
          <w:bCs w:val="0"/>
          <w:sz w:val="32"/>
          <w:szCs w:val="32"/>
          <w:highlight w:val="none"/>
          <w:lang w:eastAsia="zh-CN"/>
        </w:rPr>
        <w:t>为83.57%。</w:t>
      </w:r>
      <w:r>
        <w:rPr>
          <w:rFonts w:hint="default" w:ascii="Times New Roman" w:hAnsi="Times New Roman" w:eastAsia="仿宋_GB2312" w:cs="Times New Roman"/>
          <w:b w:val="0"/>
          <w:bCs w:val="0"/>
          <w:sz w:val="32"/>
          <w:szCs w:val="32"/>
          <w:highlight w:val="none"/>
          <w:lang w:val="en-US" w:eastAsia="zh-CN"/>
        </w:rPr>
        <w:t>主要</w:t>
      </w:r>
      <w:r>
        <w:rPr>
          <w:rFonts w:hint="default" w:ascii="Times New Roman" w:hAnsi="Times New Roman" w:eastAsia="仿宋_GB2312" w:cs="Times New Roman"/>
          <w:b w:val="0"/>
          <w:bCs w:val="0"/>
          <w:sz w:val="32"/>
          <w:szCs w:val="32"/>
          <w:highlight w:val="none"/>
          <w:lang w:eastAsia="zh-CN"/>
        </w:rPr>
        <w:t>用于支付项目实施进程中的各项费用。按照单位财务制度等相关规定，资金支出符合</w:t>
      </w:r>
      <w:r>
        <w:rPr>
          <w:rFonts w:hint="default" w:ascii="Times New Roman" w:hAnsi="Times New Roman" w:eastAsia="仿宋_GB2312" w:cs="Times New Roman"/>
          <w:b w:val="0"/>
          <w:bCs w:val="0"/>
          <w:sz w:val="32"/>
          <w:szCs w:val="32"/>
          <w:highlight w:val="none"/>
          <w:lang w:val="en-US" w:eastAsia="zh-CN"/>
        </w:rPr>
        <w:t>政府采购</w:t>
      </w:r>
      <w:r>
        <w:rPr>
          <w:rFonts w:hint="default" w:ascii="Times New Roman" w:hAnsi="Times New Roman" w:eastAsia="仿宋_GB2312" w:cs="Times New Roman"/>
          <w:b w:val="0"/>
          <w:bCs w:val="0"/>
          <w:sz w:val="32"/>
          <w:szCs w:val="32"/>
          <w:highlight w:val="none"/>
          <w:lang w:eastAsia="zh-Hans"/>
        </w:rPr>
        <w:t>项目</w:t>
      </w:r>
      <w:r>
        <w:rPr>
          <w:rFonts w:hint="default" w:ascii="Times New Roman" w:hAnsi="Times New Roman" w:eastAsia="仿宋_GB2312" w:cs="Times New Roman"/>
          <w:b w:val="0"/>
          <w:bCs w:val="0"/>
          <w:sz w:val="32"/>
          <w:szCs w:val="32"/>
          <w:highlight w:val="none"/>
          <w:lang w:eastAsia="zh-CN"/>
        </w:rPr>
        <w:t>资金费用范围，做到了专款专用。在项目资金拨付和使用过程中，为确保项目资金的安全性，提高项目资金使用效率，严格遵循</w:t>
      </w:r>
      <w:r>
        <w:rPr>
          <w:rFonts w:hint="default" w:ascii="Times New Roman" w:hAnsi="Times New Roman" w:eastAsia="仿宋_GB2312" w:cs="Times New Roman"/>
          <w:b w:val="0"/>
          <w:bCs w:val="0"/>
          <w:sz w:val="32"/>
          <w:szCs w:val="32"/>
          <w:highlight w:val="none"/>
          <w:lang w:val="en-US" w:eastAsia="zh-CN"/>
        </w:rPr>
        <w:t>自筹采购</w:t>
      </w:r>
      <w:r>
        <w:rPr>
          <w:rFonts w:hint="default" w:ascii="Times New Roman" w:hAnsi="Times New Roman" w:eastAsia="仿宋_GB2312" w:cs="Times New Roman"/>
          <w:b w:val="0"/>
          <w:bCs w:val="0"/>
          <w:sz w:val="32"/>
          <w:szCs w:val="32"/>
          <w:highlight w:val="none"/>
          <w:lang w:eastAsia="zh-Hans"/>
        </w:rPr>
        <w:t>项目</w:t>
      </w:r>
      <w:r>
        <w:rPr>
          <w:rFonts w:hint="default" w:ascii="Times New Roman" w:hAnsi="Times New Roman" w:eastAsia="仿宋_GB2312" w:cs="Times New Roman"/>
          <w:b w:val="0"/>
          <w:bCs w:val="0"/>
          <w:sz w:val="32"/>
          <w:szCs w:val="32"/>
          <w:highlight w:val="none"/>
          <w:lang w:eastAsia="zh-CN"/>
        </w:rPr>
        <w:t>资金的拨付程序，认真审核项目实施各阶段的相关材料和手续，根据项目实施进展情况拨付资金。</w:t>
      </w:r>
    </w:p>
    <w:p w14:paraId="772D5AE1">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（二）项目绩效目标</w:t>
      </w:r>
    </w:p>
    <w:p w14:paraId="181892C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1、总体目标</w:t>
      </w:r>
    </w:p>
    <w:p w14:paraId="37B9B180">
      <w:pPr>
        <w:spacing w:line="600" w:lineRule="exact"/>
        <w:ind w:firstLine="640"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b w:val="0"/>
          <w:bCs w:val="0"/>
          <w:kern w:val="2"/>
          <w:sz w:val="32"/>
          <w:szCs w:val="32"/>
          <w:highlight w:val="none"/>
        </w:rPr>
        <w:t>根据医院发展规划及年度工作计划，2023年开展全面预算管理，预算总体规划费用，对于具体支出进行分类计算，明确各类支出比例，100%实行全面预算管理，加强资金的使用监管，降低管理费用率，降低公用费用支出比例。所有招标采购项目在执行前、执行中、执行后都严格监督，对所有的项目严格把控，以便更好</w:t>
      </w:r>
      <w:r>
        <w:rPr>
          <w:rFonts w:hint="eastAsia" w:eastAsia="仿宋_GB2312" w:cs="Times New Roman"/>
          <w:b w:val="0"/>
          <w:bCs w:val="0"/>
          <w:kern w:val="2"/>
          <w:sz w:val="32"/>
          <w:szCs w:val="32"/>
          <w:highlight w:val="none"/>
          <w:lang w:eastAsia="zh-CN"/>
        </w:rPr>
        <w:t>地</w:t>
      </w:r>
      <w:r>
        <w:rPr>
          <w:rFonts w:hint="default" w:ascii="Times New Roman" w:hAnsi="Times New Roman" w:eastAsia="仿宋_GB2312" w:cs="Times New Roman"/>
          <w:b w:val="0"/>
          <w:bCs w:val="0"/>
          <w:kern w:val="2"/>
          <w:sz w:val="32"/>
          <w:szCs w:val="32"/>
          <w:highlight w:val="none"/>
        </w:rPr>
        <w:t>对每个项目进行有效</w:t>
      </w:r>
      <w:r>
        <w:rPr>
          <w:rFonts w:hint="eastAsia" w:eastAsia="仿宋_GB2312" w:cs="Times New Roman"/>
          <w:b w:val="0"/>
          <w:bCs w:val="0"/>
          <w:kern w:val="2"/>
          <w:sz w:val="32"/>
          <w:szCs w:val="32"/>
          <w:highlight w:val="none"/>
          <w:lang w:eastAsia="zh-CN"/>
        </w:rPr>
        <w:t>的</w:t>
      </w:r>
      <w:r>
        <w:rPr>
          <w:rFonts w:hint="default" w:ascii="Times New Roman" w:hAnsi="Times New Roman" w:eastAsia="仿宋_GB2312" w:cs="Times New Roman"/>
          <w:b w:val="0"/>
          <w:bCs w:val="0"/>
          <w:kern w:val="2"/>
          <w:sz w:val="32"/>
          <w:szCs w:val="32"/>
          <w:highlight w:val="none"/>
        </w:rPr>
        <w:t>监督。同时逐步夯实医院运营保障基础，不断提升医疗水平和科研教学能力，全面推动医院整体协调发展，不断满足人民群众多样化的医疗健康需求，将医院打造成为患者满意、职工满意、社会满意和政府满意的综合医院。</w:t>
      </w:r>
    </w:p>
    <w:p w14:paraId="516B509B">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2、阶段性目标</w:t>
      </w:r>
    </w:p>
    <w:p w14:paraId="44BA7C4D">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（1）前期准备：通过制定项目实施方案，经项目负责人审核通过后，有序开展后续工作。</w:t>
      </w:r>
    </w:p>
    <w:p w14:paraId="2B22A54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（2）组织实施：资金一到位，立即根据项目要求实施项目。项目责任人按照项目实施方案要求逐一进行项目部署安排，提高项目质量及效率性。</w:t>
      </w:r>
    </w:p>
    <w:p w14:paraId="3BC64F46">
      <w:pPr>
        <w:spacing w:line="560" w:lineRule="exact"/>
        <w:ind w:firstLine="640" w:firstLineChars="20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二、绩效评价工作开展情况</w:t>
      </w:r>
    </w:p>
    <w:p w14:paraId="56F3A1EC">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（一）绩效评价目的、对象和范围</w:t>
      </w:r>
    </w:p>
    <w:p w14:paraId="3762F43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1、绩效评价的目的</w:t>
      </w:r>
    </w:p>
    <w:p w14:paraId="2C98206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25F05D5">
      <w:pPr>
        <w:numPr>
          <w:ilvl w:val="0"/>
          <w:numId w:val="2"/>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项目在实施前向项目负责人提供财政支出绩效方面的资金管理信息，促进项目支出严格按照资金管理规定进行。</w:t>
      </w:r>
    </w:p>
    <w:p w14:paraId="00C8B2D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（2）项目绩效管</w:t>
      </w:r>
      <w:r>
        <w:rPr>
          <w:rFonts w:hint="eastAsia" w:eastAsia="仿宋_GB2312" w:cs="Times New Roman"/>
          <w:sz w:val="32"/>
          <w:szCs w:val="32"/>
          <w:highlight w:val="none"/>
          <w:lang w:eastAsia="zh-CN"/>
        </w:rPr>
        <w:t>理为</w:t>
      </w:r>
      <w:r>
        <w:rPr>
          <w:rFonts w:hint="default" w:ascii="Times New Roman" w:hAnsi="Times New Roman" w:eastAsia="仿宋_GB2312" w:cs="Times New Roman"/>
          <w:sz w:val="32"/>
          <w:szCs w:val="32"/>
          <w:highlight w:val="none"/>
        </w:rPr>
        <w:t>财政支出运行提供及时、有效的信息。</w:t>
      </w:r>
    </w:p>
    <w:p w14:paraId="73CDB7F9">
      <w:pPr>
        <w:pStyle w:val="17"/>
        <w:spacing w:line="560" w:lineRule="exact"/>
        <w:ind w:firstLine="640" w:firstLineChars="200"/>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sz w:val="32"/>
          <w:szCs w:val="32"/>
          <w:highlight w:val="none"/>
        </w:rPr>
        <w:t>综合来看，通过开展有效的财政支出绩效评价管理，</w:t>
      </w:r>
      <w:r>
        <w:rPr>
          <w:rFonts w:hint="default" w:ascii="Times New Roman" w:hAnsi="Times New Roman" w:eastAsia="仿宋_GB2312" w:cs="Times New Roman"/>
          <w:kern w:val="2"/>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4DA785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2、绩效评价的对象</w:t>
      </w:r>
    </w:p>
    <w:p w14:paraId="37E85EFB">
      <w:pPr>
        <w:spacing w:line="576"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医院</w:t>
      </w:r>
      <w:r>
        <w:rPr>
          <w:rFonts w:hint="default" w:ascii="Times New Roman" w:hAnsi="Times New Roman" w:eastAsia="仿宋_GB2312" w:cs="Times New Roman"/>
          <w:sz w:val="32"/>
          <w:szCs w:val="32"/>
          <w:highlight w:val="none"/>
          <w:lang w:val="en-US" w:eastAsia="zh-CN"/>
        </w:rPr>
        <w:t>政府采购</w:t>
      </w:r>
      <w:r>
        <w:rPr>
          <w:rFonts w:hint="default" w:ascii="Times New Roman" w:hAnsi="Times New Roman" w:eastAsia="仿宋_GB2312" w:cs="Times New Roman"/>
          <w:sz w:val="32"/>
          <w:szCs w:val="32"/>
          <w:highlight w:val="none"/>
        </w:rPr>
        <w:t>支出项目所包含的全部项目内容。</w:t>
      </w:r>
    </w:p>
    <w:p w14:paraId="66505F3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3、绩效评价的范围</w:t>
      </w:r>
    </w:p>
    <w:p w14:paraId="631D875E">
      <w:pPr>
        <w:spacing w:line="600" w:lineRule="exact"/>
        <w:ind w:firstLine="640" w:firstLineChars="200"/>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sz w:val="32"/>
          <w:szCs w:val="32"/>
          <w:highlight w:val="none"/>
        </w:rPr>
        <w:t>本次评价从项目决策（包括</w:t>
      </w:r>
      <w:r>
        <w:rPr>
          <w:rFonts w:hint="default" w:ascii="Times New Roman" w:hAnsi="Times New Roman" w:eastAsia="仿宋_GB2312" w:cs="Times New Roman"/>
          <w:sz w:val="32"/>
          <w:szCs w:val="32"/>
          <w:highlight w:val="none"/>
          <w:lang w:val="en-US" w:eastAsia="zh-CN"/>
        </w:rPr>
        <w:t>项目立项、</w:t>
      </w:r>
      <w:r>
        <w:rPr>
          <w:rFonts w:hint="default" w:ascii="Times New Roman" w:hAnsi="Times New Roman" w:eastAsia="仿宋_GB2312" w:cs="Times New Roman"/>
          <w:sz w:val="32"/>
          <w:szCs w:val="32"/>
          <w:highlight w:val="none"/>
        </w:rPr>
        <w:t>绩效目标、</w:t>
      </w:r>
      <w:r>
        <w:rPr>
          <w:rFonts w:hint="default" w:ascii="Times New Roman" w:hAnsi="Times New Roman" w:eastAsia="仿宋_GB2312" w:cs="Times New Roman"/>
          <w:sz w:val="32"/>
          <w:szCs w:val="32"/>
          <w:highlight w:val="none"/>
          <w:lang w:val="en-US" w:eastAsia="zh-CN"/>
        </w:rPr>
        <w:t>资金投入</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sz w:val="32"/>
          <w:szCs w:val="32"/>
          <w:highlight w:val="none"/>
          <w:lang w:val="en-US" w:eastAsia="zh-CN"/>
        </w:rPr>
        <w:t>过程</w:t>
      </w:r>
      <w:r>
        <w:rPr>
          <w:rFonts w:hint="default" w:ascii="Times New Roman" w:hAnsi="Times New Roman" w:eastAsia="仿宋_GB2312" w:cs="Times New Roman"/>
          <w:sz w:val="32"/>
          <w:szCs w:val="32"/>
          <w:highlight w:val="none"/>
        </w:rPr>
        <w:t>（包括资金</w:t>
      </w:r>
      <w:r>
        <w:rPr>
          <w:rFonts w:hint="default" w:ascii="Times New Roman" w:hAnsi="Times New Roman" w:eastAsia="仿宋_GB2312" w:cs="Times New Roman"/>
          <w:sz w:val="32"/>
          <w:szCs w:val="32"/>
          <w:highlight w:val="none"/>
          <w:lang w:val="en-US" w:eastAsia="zh-CN"/>
        </w:rPr>
        <w:t>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组织</w:t>
      </w:r>
      <w:r>
        <w:rPr>
          <w:rFonts w:hint="default" w:ascii="Times New Roman" w:hAnsi="Times New Roman" w:eastAsia="仿宋_GB2312" w:cs="Times New Roman"/>
          <w:sz w:val="32"/>
          <w:szCs w:val="32"/>
          <w:highlight w:val="none"/>
        </w:rPr>
        <w:t>实施）、项目产出（包括项目产出数量、产出质量、产出时效和产出成本）</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项目效益</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实施效益、满意度</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四个维度对</w:t>
      </w:r>
      <w:r>
        <w:rPr>
          <w:rFonts w:hint="default" w:ascii="Times New Roman" w:hAnsi="Times New Roman" w:eastAsia="仿宋_GB2312" w:cs="Times New Roman"/>
          <w:sz w:val="32"/>
          <w:szCs w:val="32"/>
          <w:highlight w:val="none"/>
          <w:lang w:val="en-US" w:eastAsia="zh-CN"/>
        </w:rPr>
        <w:t>政府采购</w:t>
      </w:r>
      <w:r>
        <w:rPr>
          <w:rFonts w:hint="default" w:ascii="Times New Roman" w:hAnsi="Times New Roman" w:eastAsia="仿宋_GB2312" w:cs="Times New Roman"/>
          <w:sz w:val="32"/>
          <w:szCs w:val="32"/>
          <w:highlight w:val="none"/>
        </w:rPr>
        <w:t>项目进行评价，评价核心为</w:t>
      </w:r>
      <w:r>
        <w:rPr>
          <w:rFonts w:hint="default" w:ascii="Times New Roman" w:hAnsi="Times New Roman"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rPr>
        <w:t>资金的支出完成情况和效果。</w:t>
      </w:r>
    </w:p>
    <w:p w14:paraId="4AB227BF">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（二）绩效评价原则、评价指标体系（详情见表1）、评价方法、评价标准。</w:t>
      </w:r>
    </w:p>
    <w:p w14:paraId="1E0B136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1、绩效评价原则</w:t>
      </w:r>
    </w:p>
    <w:p w14:paraId="63AB2585">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14:paraId="760EBAD6">
      <w:pPr>
        <w:pStyle w:val="9"/>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（1）科学公正。绩效评价应当运用科学合理的方法，按照规范的程序，对项目绩效进行客观、公正</w:t>
      </w:r>
      <w:r>
        <w:rPr>
          <w:rFonts w:hint="eastAsia" w:ascii="Times New Roman" w:hAnsi="Times New Roman" w:eastAsia="仿宋_GB2312" w:cs="Times New Roman"/>
          <w:b w:val="0"/>
          <w:bCs w:val="0"/>
          <w:sz w:val="32"/>
          <w:szCs w:val="32"/>
          <w:highlight w:val="none"/>
          <w:lang w:eastAsia="zh-CN"/>
        </w:rPr>
        <w:t>的</w:t>
      </w:r>
      <w:r>
        <w:rPr>
          <w:rFonts w:hint="default" w:ascii="Times New Roman" w:hAnsi="Times New Roman" w:eastAsia="仿宋_GB2312" w:cs="Times New Roman"/>
          <w:b w:val="0"/>
          <w:bCs w:val="0"/>
          <w:sz w:val="32"/>
          <w:szCs w:val="32"/>
          <w:highlight w:val="none"/>
        </w:rPr>
        <w:t>反映。</w:t>
      </w:r>
    </w:p>
    <w:p w14:paraId="2C4F9245">
      <w:pPr>
        <w:pStyle w:val="9"/>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（2）统筹兼顾。单位自评、部门评价和财政评价应职责明确，各有侧重，相互衔接。单位自评应由项目单位自主实施，即“谁支出、谁自评”。部门评价和财政评价应在单位自评的基础上开展。</w:t>
      </w:r>
    </w:p>
    <w:p w14:paraId="24571414">
      <w:pPr>
        <w:pStyle w:val="9"/>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（3）激励约束。绩效评价结果应与预算安排、政策调整、改进管理实质性挂钩，体现奖优罚劣和激励相容导向，有效要安排、低效要压减、无效要问责。</w:t>
      </w:r>
    </w:p>
    <w:p w14:paraId="0338044C">
      <w:pPr>
        <w:pStyle w:val="9"/>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（4）公开透明。绩效评价结果应依法依规公开，并自觉接受社会监督。</w:t>
      </w:r>
    </w:p>
    <w:p w14:paraId="2F194F3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2、评价指标体系</w:t>
      </w:r>
    </w:p>
    <w:p w14:paraId="17B22275">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2C8BD2A9">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（1）确定评价指标</w:t>
      </w:r>
    </w:p>
    <w:p w14:paraId="3DB722E7">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776AE2A4">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14:paraId="36E06AB2">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7BD51729">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14:paraId="31ACE9E6">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14:paraId="774C714F">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sz w:val="32"/>
          <w:szCs w:val="32"/>
          <w:highlight w:val="none"/>
        </w:rPr>
      </w:pPr>
      <w:r>
        <w:rPr>
          <w:rFonts w:hint="default" w:ascii="Times New Roman" w:hAnsi="Times New Roman" w:eastAsia="仿宋_GB2312" w:cs="Times New Roman"/>
          <w:b w:val="0"/>
          <w:bCs w:val="0"/>
          <w:color w:val="000000"/>
          <w:spacing w:val="17"/>
          <w:kern w:val="2"/>
          <w:sz w:val="32"/>
          <w:szCs w:val="32"/>
          <w:highlight w:val="none"/>
        </w:rPr>
        <w:t>绩效评价总分值100分，根据综合评分结果，评价计分90分</w:t>
      </w:r>
      <w:r>
        <w:rPr>
          <w:rFonts w:hint="eastAsia" w:ascii="Times New Roman" w:hAnsi="Times New Roman" w:eastAsia="仿宋_GB2312" w:cs="Times New Roman"/>
          <w:b w:val="0"/>
          <w:bCs w:val="0"/>
          <w:color w:val="000000"/>
          <w:spacing w:val="17"/>
          <w:kern w:val="2"/>
          <w:sz w:val="32"/>
          <w:szCs w:val="32"/>
          <w:highlight w:val="none"/>
          <w:lang w:eastAsia="zh-CN"/>
        </w:rPr>
        <w:t>—</w:t>
      </w:r>
      <w:r>
        <w:rPr>
          <w:rFonts w:hint="default" w:ascii="Times New Roman" w:hAnsi="Times New Roman" w:eastAsia="仿宋_GB2312" w:cs="Times New Roman"/>
          <w:b w:val="0"/>
          <w:bCs w:val="0"/>
          <w:color w:val="000000"/>
          <w:spacing w:val="17"/>
          <w:kern w:val="2"/>
          <w:sz w:val="32"/>
          <w:szCs w:val="32"/>
          <w:highlight w:val="none"/>
        </w:rPr>
        <w:t>100分（含90分）对应的评分结果级别为优，80</w:t>
      </w:r>
      <w:r>
        <w:rPr>
          <w:rFonts w:hint="eastAsia" w:ascii="Times New Roman" w:hAnsi="Times New Roman" w:eastAsia="仿宋_GB2312" w:cs="Times New Roman"/>
          <w:b w:val="0"/>
          <w:bCs w:val="0"/>
          <w:color w:val="000000"/>
          <w:spacing w:val="17"/>
          <w:kern w:val="2"/>
          <w:sz w:val="32"/>
          <w:szCs w:val="32"/>
          <w:highlight w:val="none"/>
          <w:lang w:eastAsia="zh-CN"/>
        </w:rPr>
        <w:t>—</w:t>
      </w:r>
      <w:r>
        <w:rPr>
          <w:rFonts w:hint="default" w:ascii="Times New Roman" w:hAnsi="Times New Roman" w:eastAsia="仿宋_GB2312" w:cs="Times New Roman"/>
          <w:b w:val="0"/>
          <w:bCs w:val="0"/>
          <w:color w:val="000000"/>
          <w:spacing w:val="17"/>
          <w:kern w:val="2"/>
          <w:sz w:val="32"/>
          <w:szCs w:val="32"/>
          <w:highlight w:val="none"/>
        </w:rPr>
        <w:t>90分（含80分）对应的评分结果级别为良，60</w:t>
      </w:r>
      <w:r>
        <w:rPr>
          <w:rFonts w:hint="eastAsia" w:ascii="Times New Roman" w:hAnsi="Times New Roman" w:eastAsia="仿宋_GB2312" w:cs="Times New Roman"/>
          <w:b w:val="0"/>
          <w:bCs w:val="0"/>
          <w:color w:val="000000"/>
          <w:spacing w:val="17"/>
          <w:kern w:val="2"/>
          <w:sz w:val="32"/>
          <w:szCs w:val="32"/>
          <w:highlight w:val="none"/>
          <w:lang w:eastAsia="zh-CN"/>
        </w:rPr>
        <w:t>—</w:t>
      </w:r>
      <w:r>
        <w:rPr>
          <w:rFonts w:hint="default" w:ascii="Times New Roman" w:hAnsi="Times New Roman" w:eastAsia="仿宋_GB2312" w:cs="Times New Roman"/>
          <w:b w:val="0"/>
          <w:bCs w:val="0"/>
          <w:color w:val="000000"/>
          <w:spacing w:val="17"/>
          <w:kern w:val="2"/>
          <w:sz w:val="32"/>
          <w:szCs w:val="32"/>
          <w:highlight w:val="none"/>
        </w:rPr>
        <w:t>80分（含60分）对应的评分结果级别为中，60分以下对应的评分结果级别为差。</w:t>
      </w:r>
    </w:p>
    <w:p w14:paraId="390DFF7A">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sz w:val="32"/>
          <w:szCs w:val="32"/>
          <w:highlight w:val="none"/>
          <w:lang w:eastAsia="zh-CN"/>
        </w:rPr>
      </w:pPr>
      <w:r>
        <w:rPr>
          <w:rFonts w:hint="default" w:ascii="Times New Roman" w:hAnsi="Times New Roman" w:eastAsia="仿宋_GB2312" w:cs="Times New Roman"/>
          <w:b w:val="0"/>
          <w:bCs w:val="0"/>
          <w:color w:val="000000"/>
          <w:spacing w:val="17"/>
          <w:sz w:val="32"/>
          <w:szCs w:val="32"/>
          <w:highlight w:val="none"/>
        </w:rPr>
        <w:t>具体评价指标体系详情见附件1</w:t>
      </w:r>
      <w:r>
        <w:rPr>
          <w:rFonts w:hint="default" w:ascii="Times New Roman" w:hAnsi="Times New Roman" w:eastAsia="仿宋_GB2312" w:cs="Times New Roman"/>
          <w:b w:val="0"/>
          <w:bCs w:val="0"/>
          <w:color w:val="000000"/>
          <w:spacing w:val="17"/>
          <w:sz w:val="32"/>
          <w:szCs w:val="32"/>
          <w:highlight w:val="none"/>
          <w:lang w:eastAsia="zh-CN"/>
        </w:rPr>
        <w:t>。</w:t>
      </w:r>
    </w:p>
    <w:p w14:paraId="2307A75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3、绩效评价方法</w:t>
      </w:r>
    </w:p>
    <w:p w14:paraId="7B2AB233">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75D185C3">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657017FF">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（1）比较法</w:t>
      </w:r>
    </w:p>
    <w:p w14:paraId="0E6CF460">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通过对绩效目标与实施效果、历史与当期情况，综合分析绩效目标实现程度。对</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color w:val="000000"/>
          <w:spacing w:val="17"/>
          <w:sz w:val="32"/>
          <w:szCs w:val="32"/>
          <w:highlight w:val="none"/>
        </w:rPr>
        <w:t>最终验收情况与年度绩效目标对比、预算资金执行情况等相关因素进行比较。</w:t>
      </w:r>
    </w:p>
    <w:p w14:paraId="03F0FB43">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（2）因素分析法</w:t>
      </w:r>
    </w:p>
    <w:p w14:paraId="2FB441E3">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通过综合分析影响绩效目标实现、实施效果的内外因素，评价绩效目标实现程度。通过对</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color w:val="000000"/>
          <w:spacing w:val="17"/>
          <w:sz w:val="32"/>
          <w:szCs w:val="32"/>
          <w:highlight w:val="none"/>
        </w:rPr>
        <w:t>的开展情况、项目产出数量、成本控制、资金拨付文件及自评报告等相关资料的收集和审核，综合分析各因素对绩效目标实现的影响。</w:t>
      </w:r>
    </w:p>
    <w:p w14:paraId="04F6CB4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b w:val="0"/>
          <w:bCs w:val="0"/>
          <w:sz w:val="32"/>
          <w:szCs w:val="32"/>
          <w:highlight w:val="none"/>
        </w:rPr>
        <w:t>4、评价标准</w:t>
      </w:r>
    </w:p>
    <w:p w14:paraId="74F1D961">
      <w:pPr>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绩效评价标准通常包括计划标准、行业标准、历史标准等，用于对绩效指标完成情况进行比较、分析、评价。</w:t>
      </w:r>
      <w:bookmarkStart w:id="1" w:name="_Toc31464"/>
      <w:bookmarkStart w:id="2" w:name="_Toc17882"/>
      <w:r>
        <w:rPr>
          <w:rFonts w:hint="default" w:ascii="Times New Roman" w:hAnsi="Times New Roman" w:eastAsia="仿宋_GB2312" w:cs="Times New Roman"/>
          <w:sz w:val="32"/>
          <w:szCs w:val="32"/>
          <w:highlight w:val="none"/>
        </w:rPr>
        <w:t>本次评价主要采用了计划标准</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行业标准和历史标准</w:t>
      </w:r>
      <w:r>
        <w:rPr>
          <w:rFonts w:hint="default" w:ascii="Times New Roman" w:hAnsi="Times New Roman" w:eastAsia="仿宋_GB2312" w:cs="Times New Roman"/>
          <w:sz w:val="32"/>
          <w:szCs w:val="32"/>
          <w:highlight w:val="none"/>
        </w:rPr>
        <w:t>。</w:t>
      </w:r>
    </w:p>
    <w:p w14:paraId="4509E0DC">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计划标准：</w:t>
      </w:r>
      <w:r>
        <w:rPr>
          <w:rFonts w:hint="default" w:ascii="Times New Roman" w:hAnsi="Times New Roman" w:eastAsia="仿宋_GB2312" w:cs="Times New Roman"/>
          <w:sz w:val="32"/>
          <w:szCs w:val="32"/>
          <w:highlight w:val="none"/>
        </w:rPr>
        <w:t>指以预先制定的目标、计划、预算、定额等作为评价标准。</w:t>
      </w:r>
      <w:bookmarkEnd w:id="1"/>
      <w:bookmarkEnd w:id="2"/>
    </w:p>
    <w:p w14:paraId="4890862F">
      <w:pPr>
        <w:spacing w:line="560" w:lineRule="exact"/>
        <w:ind w:firstLine="640"/>
        <w:rPr>
          <w:rFonts w:hint="default" w:ascii="Times New Roman" w:hAnsi="Times New Roman" w:eastAsia="仿宋_GB2312" w:cs="Times New Roman"/>
          <w:sz w:val="32"/>
          <w:szCs w:val="32"/>
          <w:highlight w:val="none"/>
        </w:rPr>
      </w:pPr>
      <w:bookmarkStart w:id="3" w:name="_Toc5633"/>
      <w:bookmarkStart w:id="4" w:name="_Toc2318"/>
      <w:r>
        <w:rPr>
          <w:rFonts w:hint="default" w:ascii="Times New Roman" w:hAnsi="Times New Roman" w:eastAsia="仿宋_GB2312" w:cs="Times New Roman"/>
          <w:b/>
          <w:bCs/>
          <w:sz w:val="32"/>
          <w:szCs w:val="32"/>
          <w:highlight w:val="none"/>
        </w:rPr>
        <w:t>行业标准：</w:t>
      </w:r>
      <w:r>
        <w:rPr>
          <w:rFonts w:hint="default" w:ascii="Times New Roman" w:hAnsi="Times New Roman" w:eastAsia="仿宋_GB2312" w:cs="Times New Roman"/>
          <w:sz w:val="32"/>
          <w:szCs w:val="32"/>
          <w:highlight w:val="none"/>
        </w:rPr>
        <w:t>指参照国家公布的行业指标数据制定的评价标准。</w:t>
      </w:r>
      <w:bookmarkEnd w:id="3"/>
      <w:bookmarkEnd w:id="4"/>
    </w:p>
    <w:p w14:paraId="58853295">
      <w:pPr>
        <w:spacing w:line="560" w:lineRule="exact"/>
        <w:ind w:firstLine="640"/>
        <w:rPr>
          <w:rFonts w:hint="default" w:ascii="Times New Roman" w:hAnsi="Times New Roman" w:eastAsia="仿宋_GB2312" w:cs="Times New Roman"/>
          <w:sz w:val="32"/>
          <w:szCs w:val="32"/>
          <w:highlight w:val="none"/>
        </w:rPr>
      </w:pPr>
      <w:bookmarkStart w:id="5" w:name="_Toc16028"/>
      <w:bookmarkStart w:id="6" w:name="_Toc430"/>
      <w:r>
        <w:rPr>
          <w:rFonts w:hint="default" w:ascii="Times New Roman" w:hAnsi="Times New Roman" w:eastAsia="仿宋_GB2312" w:cs="Times New Roman"/>
          <w:b/>
          <w:bCs/>
          <w:sz w:val="32"/>
          <w:szCs w:val="32"/>
          <w:highlight w:val="none"/>
        </w:rPr>
        <w:t>历史标准：</w:t>
      </w:r>
      <w:r>
        <w:rPr>
          <w:rFonts w:hint="default" w:ascii="Times New Roman" w:hAnsi="Times New Roman" w:eastAsia="仿宋_GB2312" w:cs="Times New Roman"/>
          <w:sz w:val="32"/>
          <w:szCs w:val="32"/>
          <w:highlight w:val="none"/>
        </w:rPr>
        <w:t>指参照历史数据制定的评价标准，为体现绩效改进的原则，在可实现的条件下应当确定相对较高的评价标准。</w:t>
      </w:r>
      <w:bookmarkEnd w:id="5"/>
      <w:bookmarkEnd w:id="6"/>
    </w:p>
    <w:p w14:paraId="67C1A663">
      <w:pPr>
        <w:pStyle w:val="9"/>
        <w:numPr>
          <w:ilvl w:val="0"/>
          <w:numId w:val="3"/>
        </w:numPr>
        <w:spacing w:before="0" w:after="0" w:line="560" w:lineRule="exact"/>
        <w:ind w:firstLine="711" w:firstLineChars="200"/>
        <w:jc w:val="both"/>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绩效评价工作过程</w:t>
      </w:r>
    </w:p>
    <w:p w14:paraId="54880EDD">
      <w:pPr>
        <w:numPr>
          <w:ilvl w:val="0"/>
          <w:numId w:val="4"/>
        </w:numPr>
        <w:spacing w:line="560" w:lineRule="exact"/>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6E835F04">
      <w:pPr>
        <w:numPr>
          <w:ilvl w:val="0"/>
          <w:numId w:val="4"/>
        </w:numPr>
        <w:spacing w:line="560" w:lineRule="exact"/>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14:paraId="696C289E">
      <w:pPr>
        <w:numPr>
          <w:ilvl w:val="0"/>
          <w:numId w:val="4"/>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Cs/>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447C88A4">
      <w:pPr>
        <w:numPr>
          <w:ilvl w:val="0"/>
          <w:numId w:val="5"/>
        </w:numPr>
        <w:spacing w:line="560" w:lineRule="exact"/>
        <w:ind w:firstLine="640" w:firstLineChars="20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综合评价情况及评价结论（附相关评分表）</w:t>
      </w:r>
    </w:p>
    <w:p w14:paraId="1A1EDBAD">
      <w:pPr>
        <w:pStyle w:val="9"/>
        <w:widowControl w:val="0"/>
        <w:spacing w:before="0" w:after="0" w:line="560" w:lineRule="exact"/>
        <w:ind w:firstLine="643" w:firstLineChars="200"/>
        <w:jc w:val="both"/>
        <w:outlineLvl w:val="9"/>
        <w:rPr>
          <w:rFonts w:hint="default" w:ascii="Times New Roman" w:hAnsi="Times New Roman" w:eastAsia="楷体" w:cs="Times New Roman"/>
          <w:b/>
          <w:bCs/>
          <w:kern w:val="2"/>
          <w:sz w:val="32"/>
          <w:szCs w:val="32"/>
          <w:highlight w:val="none"/>
          <w:lang w:val="en-US" w:eastAsia="zh-CN" w:bidi="ar-SA"/>
        </w:rPr>
      </w:pPr>
      <w:r>
        <w:rPr>
          <w:rFonts w:hint="default" w:ascii="Times New Roman" w:hAnsi="Times New Roman" w:eastAsia="楷体" w:cs="Times New Roman"/>
          <w:b/>
          <w:bCs/>
          <w:kern w:val="2"/>
          <w:sz w:val="32"/>
          <w:szCs w:val="32"/>
          <w:highlight w:val="none"/>
          <w:lang w:val="en-US" w:eastAsia="zh-CN" w:bidi="ar-SA"/>
        </w:rPr>
        <w:t>（一）评价情况</w:t>
      </w:r>
    </w:p>
    <w:p w14:paraId="3A00020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项目总体组织规范，在项目实施过</w:t>
      </w:r>
      <w:r>
        <w:rPr>
          <w:rFonts w:hint="eastAsia" w:ascii="Times New Roman" w:hAnsi="Times New Roman" w:eastAsia="仿宋_GB2312" w:cs="Times New Roman"/>
          <w:b w:val="0"/>
          <w:bCs w:val="0"/>
          <w:kern w:val="2"/>
          <w:sz w:val="32"/>
          <w:szCs w:val="32"/>
          <w:highlight w:val="none"/>
          <w:lang w:val="en-US" w:eastAsia="zh-CN" w:bidi="ar-SA"/>
        </w:rPr>
        <w:t>程中</w:t>
      </w:r>
      <w:r>
        <w:rPr>
          <w:rFonts w:hint="default" w:ascii="Times New Roman" w:hAnsi="Times New Roman" w:eastAsia="仿宋_GB2312" w:cs="Times New Roman"/>
          <w:b w:val="0"/>
          <w:bCs w:val="0"/>
          <w:kern w:val="2"/>
          <w:sz w:val="32"/>
          <w:szCs w:val="32"/>
          <w:highlight w:val="none"/>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
          <w:sz w:val="32"/>
          <w:szCs w:val="32"/>
          <w:highlight w:val="none"/>
          <w:lang w:val="en-US" w:eastAsia="zh-CN" w:bidi="ar-SA"/>
        </w:rPr>
        <w:t>地</w:t>
      </w:r>
      <w:r>
        <w:rPr>
          <w:rFonts w:hint="default" w:ascii="Times New Roman" w:hAnsi="Times New Roman" w:eastAsia="仿宋_GB2312" w:cs="Times New Roman"/>
          <w:b w:val="0"/>
          <w:bCs w:val="0"/>
          <w:kern w:val="2"/>
          <w:sz w:val="32"/>
          <w:szCs w:val="32"/>
          <w:highlight w:val="none"/>
          <w:lang w:val="en-US" w:eastAsia="zh-CN" w:bidi="ar-SA"/>
        </w:rPr>
        <w:t>发挥，保障项目如期按要求完成。规范了项目档案资料的整理。项目的实施达到项目预期效果。</w:t>
      </w:r>
    </w:p>
    <w:p w14:paraId="01E98F96">
      <w:pPr>
        <w:pStyle w:val="9"/>
        <w:widowControl w:val="0"/>
        <w:spacing w:before="0" w:after="0" w:line="560" w:lineRule="exact"/>
        <w:ind w:firstLine="643" w:firstLineChars="200"/>
        <w:jc w:val="both"/>
        <w:outlineLvl w:val="9"/>
        <w:rPr>
          <w:rFonts w:hint="default" w:ascii="Times New Roman" w:hAnsi="Times New Roman" w:eastAsia="楷体" w:cs="Times New Roman"/>
          <w:b/>
          <w:bCs/>
          <w:kern w:val="2"/>
          <w:sz w:val="32"/>
          <w:szCs w:val="32"/>
          <w:highlight w:val="none"/>
          <w:lang w:val="en-US" w:eastAsia="zh-CN" w:bidi="ar-SA"/>
        </w:rPr>
      </w:pPr>
      <w:r>
        <w:rPr>
          <w:rFonts w:hint="default" w:ascii="Times New Roman" w:hAnsi="Times New Roman" w:eastAsia="楷体" w:cs="Times New Roman"/>
          <w:b/>
          <w:bCs/>
          <w:kern w:val="2"/>
          <w:sz w:val="32"/>
          <w:szCs w:val="32"/>
          <w:highlight w:val="none"/>
          <w:lang w:val="en-US" w:eastAsia="zh-CN" w:bidi="ar-SA"/>
        </w:rPr>
        <w:t>（二）评价结论</w:t>
      </w:r>
    </w:p>
    <w:p w14:paraId="23CDC03E">
      <w:pPr>
        <w:pStyle w:val="9"/>
        <w:widowControl w:val="0"/>
        <w:spacing w:before="0" w:after="0" w:line="560" w:lineRule="exact"/>
        <w:ind w:firstLine="640" w:firstLineChars="200"/>
        <w:jc w:val="both"/>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val="0"/>
          <w:bCs w:val="0"/>
          <w:sz w:val="32"/>
          <w:szCs w:val="32"/>
          <w:highlight w:val="none"/>
        </w:rPr>
        <w:t>对</w:t>
      </w:r>
      <w:r>
        <w:rPr>
          <w:rFonts w:hint="default" w:ascii="Times New Roman" w:hAnsi="Times New Roman" w:eastAsia="仿宋_GB2312" w:cs="Times New Roman"/>
          <w:b w:val="0"/>
          <w:bCs w:val="0"/>
          <w:sz w:val="32"/>
          <w:szCs w:val="32"/>
          <w:highlight w:val="none"/>
          <w:lang w:val="en-US" w:eastAsia="zh-CN"/>
        </w:rPr>
        <w:t>自治区人民医院政府采购资金</w:t>
      </w:r>
      <w:r>
        <w:rPr>
          <w:rFonts w:hint="default" w:ascii="Times New Roman" w:hAnsi="Times New Roman" w:eastAsia="仿宋_GB2312" w:cs="Times New Roman"/>
          <w:b w:val="0"/>
          <w:bCs w:val="0"/>
          <w:sz w:val="32"/>
          <w:szCs w:val="32"/>
          <w:highlight w:val="none"/>
        </w:rPr>
        <w:t xml:space="preserve">项目进行客观评价，最终评分结果：总得分为 </w:t>
      </w:r>
      <w:r>
        <w:rPr>
          <w:rFonts w:hint="default" w:ascii="Times New Roman" w:hAnsi="Times New Roman" w:eastAsia="仿宋_GB2312" w:cs="Times New Roman"/>
          <w:b w:val="0"/>
          <w:bCs w:val="0"/>
          <w:sz w:val="32"/>
          <w:szCs w:val="32"/>
          <w:highlight w:val="none"/>
          <w:lang w:val="en-US" w:eastAsia="zh-CN"/>
        </w:rPr>
        <w:t>99.34</w:t>
      </w:r>
      <w:r>
        <w:rPr>
          <w:rFonts w:hint="default" w:ascii="Times New Roman" w:hAnsi="Times New Roman" w:eastAsia="仿宋_GB2312" w:cs="Times New Roman"/>
          <w:b w:val="0"/>
          <w:bCs w:val="0"/>
          <w:sz w:val="32"/>
          <w:szCs w:val="32"/>
          <w:highlight w:val="none"/>
        </w:rPr>
        <w:t>分，</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属于“优”</w:t>
      </w:r>
      <w:r>
        <w:rPr>
          <w:rFonts w:hint="default" w:ascii="Times New Roman" w:hAnsi="Times New Roman" w:eastAsia="仿宋_GB2312" w:cs="Times New Roman"/>
          <w:b w:val="0"/>
          <w:bCs w:val="0"/>
          <w:sz w:val="32"/>
          <w:szCs w:val="32"/>
          <w:highlight w:val="none"/>
        </w:rPr>
        <w:t xml:space="preserve">。其中，项目决策类指标权重为20分，得分为 </w:t>
      </w:r>
      <w:r>
        <w:rPr>
          <w:rFonts w:hint="default" w:ascii="Times New Roman" w:hAnsi="Times New Roman" w:eastAsia="仿宋_GB2312" w:cs="Times New Roman"/>
          <w:b w:val="0"/>
          <w:bCs w:val="0"/>
          <w:sz w:val="32"/>
          <w:szCs w:val="32"/>
          <w:highlight w:val="none"/>
          <w:lang w:val="en-US" w:eastAsia="zh-CN"/>
        </w:rPr>
        <w:t>20</w:t>
      </w:r>
      <w:r>
        <w:rPr>
          <w:rFonts w:hint="default" w:ascii="Times New Roman" w:hAnsi="Times New Roman" w:eastAsia="仿宋_GB2312" w:cs="Times New Roman"/>
          <w:b w:val="0"/>
          <w:bCs w:val="0"/>
          <w:sz w:val="32"/>
          <w:szCs w:val="32"/>
          <w:highlight w:val="none"/>
        </w:rPr>
        <w:t>分，得分率为</w:t>
      </w:r>
      <w:r>
        <w:rPr>
          <w:rFonts w:hint="default"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%。项目过程类指标权重为</w:t>
      </w:r>
      <w:r>
        <w:rPr>
          <w:rFonts w:hint="default" w:ascii="Times New Roman" w:hAnsi="Times New Roman" w:eastAsia="仿宋_GB2312" w:cs="Times New Roman"/>
          <w:b w:val="0"/>
          <w:bCs w:val="0"/>
          <w:sz w:val="32"/>
          <w:szCs w:val="32"/>
          <w:highlight w:val="none"/>
          <w:lang w:val="en-US" w:eastAsia="zh-CN"/>
        </w:rPr>
        <w:t>20</w:t>
      </w:r>
      <w:r>
        <w:rPr>
          <w:rFonts w:hint="default" w:ascii="Times New Roman" w:hAnsi="Times New Roman" w:eastAsia="仿宋_GB2312" w:cs="Times New Roman"/>
          <w:b w:val="0"/>
          <w:bCs w:val="0"/>
          <w:sz w:val="32"/>
          <w:szCs w:val="32"/>
          <w:highlight w:val="none"/>
        </w:rPr>
        <w:t>分，得分为</w:t>
      </w:r>
      <w:r>
        <w:rPr>
          <w:rFonts w:hint="default" w:ascii="Times New Roman" w:hAnsi="Times New Roman" w:eastAsia="仿宋_GB2312" w:cs="Times New Roman"/>
          <w:b w:val="0"/>
          <w:bCs w:val="0"/>
          <w:sz w:val="32"/>
          <w:szCs w:val="32"/>
          <w:highlight w:val="none"/>
          <w:lang w:val="en-US" w:eastAsia="zh-CN"/>
        </w:rPr>
        <w:t>19.34</w:t>
      </w:r>
      <w:r>
        <w:rPr>
          <w:rFonts w:hint="default" w:ascii="Times New Roman" w:hAnsi="Times New Roman" w:eastAsia="仿宋_GB2312" w:cs="Times New Roman"/>
          <w:b w:val="0"/>
          <w:bCs w:val="0"/>
          <w:sz w:val="32"/>
          <w:szCs w:val="32"/>
          <w:highlight w:val="none"/>
        </w:rPr>
        <w:t>分，得分率为</w:t>
      </w:r>
      <w:r>
        <w:rPr>
          <w:rFonts w:hint="default" w:ascii="Times New Roman" w:hAnsi="Times New Roman" w:eastAsia="仿宋_GB2312" w:cs="Times New Roman"/>
          <w:b w:val="0"/>
          <w:bCs w:val="0"/>
          <w:sz w:val="32"/>
          <w:szCs w:val="32"/>
          <w:highlight w:val="none"/>
          <w:lang w:val="en-US" w:eastAsia="zh-CN"/>
        </w:rPr>
        <w:t>96.7</w:t>
      </w:r>
      <w:r>
        <w:rPr>
          <w:rFonts w:hint="default" w:ascii="Times New Roman" w:hAnsi="Times New Roman" w:eastAsia="仿宋_GB2312" w:cs="Times New Roman"/>
          <w:b w:val="0"/>
          <w:bCs w:val="0"/>
          <w:sz w:val="32"/>
          <w:szCs w:val="32"/>
          <w:highlight w:val="none"/>
        </w:rPr>
        <w:t>%。项目产出类指标权重为40分，得分为</w:t>
      </w:r>
      <w:r>
        <w:rPr>
          <w:rFonts w:hint="default" w:ascii="Times New Roman" w:hAnsi="Times New Roman" w:eastAsia="仿宋_GB2312" w:cs="Times New Roman"/>
          <w:b w:val="0"/>
          <w:bCs w:val="0"/>
          <w:sz w:val="32"/>
          <w:szCs w:val="32"/>
          <w:highlight w:val="none"/>
          <w:lang w:val="en-US" w:eastAsia="zh-CN"/>
        </w:rPr>
        <w:t>40</w:t>
      </w:r>
      <w:r>
        <w:rPr>
          <w:rFonts w:hint="default" w:ascii="Times New Roman" w:hAnsi="Times New Roman" w:eastAsia="仿宋_GB2312" w:cs="Times New Roman"/>
          <w:b w:val="0"/>
          <w:bCs w:val="0"/>
          <w:sz w:val="32"/>
          <w:szCs w:val="32"/>
          <w:highlight w:val="none"/>
        </w:rPr>
        <w:t xml:space="preserve">分，得分率为 </w:t>
      </w:r>
      <w:r>
        <w:rPr>
          <w:rFonts w:hint="default"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%。项目效益类指标权重为20分，得分为</w:t>
      </w:r>
      <w:r>
        <w:rPr>
          <w:rFonts w:hint="default" w:ascii="Times New Roman" w:hAnsi="Times New Roman" w:eastAsia="仿宋_GB2312" w:cs="Times New Roman"/>
          <w:b w:val="0"/>
          <w:bCs w:val="0"/>
          <w:sz w:val="32"/>
          <w:szCs w:val="32"/>
          <w:highlight w:val="none"/>
          <w:lang w:val="en-US" w:eastAsia="zh-CN"/>
        </w:rPr>
        <w:t>20</w:t>
      </w:r>
      <w:r>
        <w:rPr>
          <w:rFonts w:hint="default" w:ascii="Times New Roman" w:hAnsi="Times New Roman" w:eastAsia="仿宋_GB2312" w:cs="Times New Roman"/>
          <w:b w:val="0"/>
          <w:bCs w:val="0"/>
          <w:sz w:val="32"/>
          <w:szCs w:val="32"/>
          <w:highlight w:val="none"/>
        </w:rPr>
        <w:t>分，得分率为</w:t>
      </w:r>
      <w:r>
        <w:rPr>
          <w:rFonts w:hint="default" w:ascii="Times New Roman" w:hAnsi="Times New Roman" w:eastAsia="仿宋_GB2312" w:cs="Times New Roman"/>
          <w:b w:val="0"/>
          <w:bCs w:val="0"/>
          <w:sz w:val="32"/>
          <w:szCs w:val="32"/>
          <w:highlight w:val="none"/>
          <w:lang w:val="en-US" w:eastAsia="zh-CN"/>
        </w:rPr>
        <w:t>100</w:t>
      </w:r>
      <w:r>
        <w:rPr>
          <w:rFonts w:hint="default" w:ascii="Times New Roman" w:hAnsi="Times New Roman" w:eastAsia="仿宋_GB2312" w:cs="Times New Roman"/>
          <w:b w:val="0"/>
          <w:bCs w:val="0"/>
          <w:sz w:val="32"/>
          <w:szCs w:val="32"/>
          <w:highlight w:val="none"/>
        </w:rPr>
        <w:t>%。</w:t>
      </w:r>
    </w:p>
    <w:p w14:paraId="18F8492D">
      <w:pPr>
        <w:pStyle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表1综合评分表</w:t>
      </w:r>
    </w:p>
    <w:tbl>
      <w:tblPr>
        <w:tblStyle w:val="12"/>
        <w:tblW w:w="4997"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705"/>
        <w:gridCol w:w="798"/>
        <w:gridCol w:w="1264"/>
        <w:gridCol w:w="1397"/>
        <w:gridCol w:w="857"/>
        <w:gridCol w:w="901"/>
        <w:gridCol w:w="957"/>
        <w:gridCol w:w="1053"/>
        <w:gridCol w:w="827"/>
      </w:tblGrid>
      <w:tr w14:paraId="36CA31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4" w:hRule="atLeast"/>
          <w:tblHeader/>
        </w:trPr>
        <w:tc>
          <w:tcPr>
            <w:tcW w:w="404" w:type="pct"/>
            <w:shd w:val="clear" w:color="auto" w:fill="BFBFBF"/>
            <w:vAlign w:val="center"/>
          </w:tcPr>
          <w:p w14:paraId="28B7B8A4">
            <w:pPr>
              <w:widowControl/>
              <w:spacing w:line="0" w:lineRule="atLeast"/>
              <w:rPr>
                <w:rFonts w:hint="default" w:ascii="Times New Roman" w:hAnsi="Times New Roman" w:cs="Times New Roman" w:eastAsiaTheme="minorEastAsia"/>
                <w:b/>
                <w:bCs/>
                <w:color w:val="000000"/>
                <w:kern w:val="0"/>
                <w:sz w:val="24"/>
                <w:szCs w:val="24"/>
                <w:highlight w:val="none"/>
              </w:rPr>
            </w:pPr>
            <w:r>
              <w:rPr>
                <w:rFonts w:hint="default" w:ascii="Times New Roman" w:hAnsi="Times New Roman" w:cs="Times New Roman" w:eastAsiaTheme="minorEastAsia"/>
                <w:b/>
                <w:bCs/>
                <w:color w:val="000000"/>
                <w:kern w:val="0"/>
                <w:sz w:val="24"/>
                <w:szCs w:val="24"/>
                <w:highlight w:val="none"/>
              </w:rPr>
              <w:t>一级指标</w:t>
            </w:r>
          </w:p>
        </w:tc>
        <w:tc>
          <w:tcPr>
            <w:tcW w:w="457" w:type="pct"/>
            <w:shd w:val="clear" w:color="auto" w:fill="BFBFBF"/>
            <w:vAlign w:val="center"/>
          </w:tcPr>
          <w:p w14:paraId="3497558E">
            <w:pPr>
              <w:widowControl/>
              <w:spacing w:line="0" w:lineRule="atLeast"/>
              <w:jc w:val="center"/>
              <w:rPr>
                <w:rFonts w:hint="default" w:ascii="Times New Roman" w:hAnsi="Times New Roman" w:cs="Times New Roman" w:eastAsiaTheme="minorEastAsia"/>
                <w:b/>
                <w:bCs/>
                <w:color w:val="000000"/>
                <w:kern w:val="0"/>
                <w:sz w:val="24"/>
                <w:szCs w:val="24"/>
                <w:highlight w:val="none"/>
              </w:rPr>
            </w:pPr>
            <w:r>
              <w:rPr>
                <w:rFonts w:hint="default" w:ascii="Times New Roman" w:hAnsi="Times New Roman" w:cs="Times New Roman" w:eastAsiaTheme="minorEastAsia"/>
                <w:b/>
                <w:bCs/>
                <w:color w:val="000000"/>
                <w:kern w:val="0"/>
                <w:sz w:val="24"/>
                <w:szCs w:val="24"/>
                <w:highlight w:val="none"/>
              </w:rPr>
              <w:t>分值</w:t>
            </w:r>
          </w:p>
        </w:tc>
        <w:tc>
          <w:tcPr>
            <w:tcW w:w="723" w:type="pct"/>
            <w:shd w:val="clear" w:color="auto" w:fill="BFBFBF"/>
            <w:vAlign w:val="center"/>
          </w:tcPr>
          <w:p w14:paraId="124703EC">
            <w:pPr>
              <w:widowControl/>
              <w:spacing w:line="0" w:lineRule="atLeast"/>
              <w:jc w:val="center"/>
              <w:rPr>
                <w:rFonts w:hint="default" w:ascii="Times New Roman" w:hAnsi="Times New Roman" w:cs="Times New Roman" w:eastAsiaTheme="minorEastAsia"/>
                <w:b/>
                <w:bCs/>
                <w:color w:val="000000"/>
                <w:kern w:val="0"/>
                <w:sz w:val="24"/>
                <w:szCs w:val="24"/>
                <w:highlight w:val="none"/>
              </w:rPr>
            </w:pPr>
            <w:r>
              <w:rPr>
                <w:rFonts w:hint="default" w:ascii="Times New Roman" w:hAnsi="Times New Roman" w:cs="Times New Roman" w:eastAsiaTheme="minorEastAsia"/>
                <w:b/>
                <w:bCs/>
                <w:color w:val="000000"/>
                <w:kern w:val="0"/>
                <w:sz w:val="24"/>
                <w:szCs w:val="24"/>
                <w:highlight w:val="none"/>
              </w:rPr>
              <w:t>二级指标</w:t>
            </w:r>
          </w:p>
        </w:tc>
        <w:tc>
          <w:tcPr>
            <w:tcW w:w="799" w:type="pct"/>
            <w:shd w:val="clear" w:color="auto" w:fill="BFBFBF"/>
            <w:vAlign w:val="center"/>
          </w:tcPr>
          <w:p w14:paraId="04DBAA09">
            <w:pPr>
              <w:widowControl/>
              <w:spacing w:line="0" w:lineRule="atLeast"/>
              <w:jc w:val="center"/>
              <w:rPr>
                <w:rFonts w:hint="default" w:ascii="Times New Roman" w:hAnsi="Times New Roman" w:cs="Times New Roman" w:eastAsiaTheme="minorEastAsia"/>
                <w:b/>
                <w:bCs/>
                <w:color w:val="000000"/>
                <w:kern w:val="0"/>
                <w:sz w:val="24"/>
                <w:szCs w:val="24"/>
                <w:highlight w:val="none"/>
              </w:rPr>
            </w:pPr>
            <w:r>
              <w:rPr>
                <w:rFonts w:hint="default" w:ascii="Times New Roman" w:hAnsi="Times New Roman" w:cs="Times New Roman" w:eastAsiaTheme="minorEastAsia"/>
                <w:b/>
                <w:bCs/>
                <w:color w:val="000000"/>
                <w:kern w:val="0"/>
                <w:sz w:val="24"/>
                <w:szCs w:val="24"/>
                <w:highlight w:val="none"/>
              </w:rPr>
              <w:t>三级指标</w:t>
            </w:r>
          </w:p>
        </w:tc>
        <w:tc>
          <w:tcPr>
            <w:tcW w:w="490" w:type="pct"/>
            <w:shd w:val="clear" w:color="auto" w:fill="BFBFBF"/>
            <w:vAlign w:val="center"/>
          </w:tcPr>
          <w:p w14:paraId="2E5C3026">
            <w:pPr>
              <w:widowControl/>
              <w:spacing w:line="0" w:lineRule="atLeast"/>
              <w:jc w:val="center"/>
              <w:rPr>
                <w:rFonts w:hint="default" w:ascii="Times New Roman" w:hAnsi="Times New Roman" w:cs="Times New Roman" w:eastAsiaTheme="minorEastAsia"/>
                <w:b/>
                <w:bCs/>
                <w:color w:val="000000"/>
                <w:kern w:val="0"/>
                <w:sz w:val="24"/>
                <w:szCs w:val="24"/>
                <w:highlight w:val="none"/>
              </w:rPr>
            </w:pPr>
            <w:r>
              <w:rPr>
                <w:rFonts w:hint="default" w:ascii="Times New Roman" w:hAnsi="Times New Roman" w:cs="Times New Roman" w:eastAsiaTheme="minorEastAsia"/>
                <w:b/>
                <w:bCs/>
                <w:color w:val="000000"/>
                <w:kern w:val="0"/>
                <w:sz w:val="24"/>
                <w:szCs w:val="24"/>
                <w:highlight w:val="none"/>
              </w:rPr>
              <w:t>权重</w:t>
            </w:r>
          </w:p>
        </w:tc>
        <w:tc>
          <w:tcPr>
            <w:tcW w:w="515" w:type="pct"/>
            <w:shd w:val="clear" w:color="auto" w:fill="BFBFBF"/>
            <w:vAlign w:val="center"/>
          </w:tcPr>
          <w:p w14:paraId="56C032A0">
            <w:pPr>
              <w:widowControl/>
              <w:tabs>
                <w:tab w:val="left" w:pos="1333"/>
                <w:tab w:val="center" w:pos="3623"/>
              </w:tabs>
              <w:spacing w:line="0" w:lineRule="atLeast"/>
              <w:jc w:val="center"/>
              <w:rPr>
                <w:rFonts w:hint="default" w:ascii="Times New Roman" w:hAnsi="Times New Roman" w:cs="Times New Roman" w:eastAsiaTheme="minorEastAsia"/>
                <w:b/>
                <w:bCs/>
                <w:color w:val="000000"/>
                <w:kern w:val="0"/>
                <w:sz w:val="24"/>
                <w:szCs w:val="24"/>
                <w:highlight w:val="none"/>
              </w:rPr>
            </w:pPr>
            <w:r>
              <w:rPr>
                <w:rFonts w:hint="default" w:ascii="Times New Roman" w:hAnsi="Times New Roman" w:cs="Times New Roman" w:eastAsiaTheme="minorEastAsia"/>
                <w:b/>
                <w:bCs/>
                <w:color w:val="000000"/>
                <w:kern w:val="0"/>
                <w:sz w:val="24"/>
                <w:szCs w:val="24"/>
                <w:highlight w:val="none"/>
              </w:rPr>
              <w:t>目标值</w:t>
            </w:r>
          </w:p>
        </w:tc>
        <w:tc>
          <w:tcPr>
            <w:tcW w:w="534" w:type="pct"/>
            <w:shd w:val="clear" w:color="auto" w:fill="BFBFBF"/>
            <w:vAlign w:val="center"/>
          </w:tcPr>
          <w:p w14:paraId="35E9CA50">
            <w:pPr>
              <w:widowControl/>
              <w:tabs>
                <w:tab w:val="left" w:pos="1333"/>
                <w:tab w:val="center" w:pos="3623"/>
              </w:tabs>
              <w:spacing w:line="0" w:lineRule="atLeast"/>
              <w:jc w:val="center"/>
              <w:rPr>
                <w:rFonts w:hint="default" w:ascii="Times New Roman" w:hAnsi="Times New Roman" w:cs="Times New Roman" w:eastAsiaTheme="minorEastAsia"/>
                <w:b/>
                <w:bCs/>
                <w:color w:val="000000"/>
                <w:kern w:val="0"/>
                <w:sz w:val="24"/>
                <w:szCs w:val="24"/>
                <w:highlight w:val="none"/>
              </w:rPr>
            </w:pPr>
            <w:r>
              <w:rPr>
                <w:rFonts w:hint="default" w:ascii="Times New Roman" w:hAnsi="Times New Roman" w:cs="Times New Roman" w:eastAsiaTheme="minorEastAsia"/>
                <w:b/>
                <w:bCs/>
                <w:color w:val="000000"/>
                <w:kern w:val="0"/>
                <w:sz w:val="24"/>
                <w:szCs w:val="24"/>
                <w:highlight w:val="none"/>
              </w:rPr>
              <w:t>业绩值</w:t>
            </w:r>
          </w:p>
        </w:tc>
        <w:tc>
          <w:tcPr>
            <w:tcW w:w="602" w:type="pct"/>
            <w:shd w:val="clear" w:color="auto" w:fill="BFBFBF"/>
            <w:vAlign w:val="center"/>
          </w:tcPr>
          <w:p w14:paraId="1166E82D">
            <w:pPr>
              <w:widowControl/>
              <w:tabs>
                <w:tab w:val="left" w:pos="1333"/>
                <w:tab w:val="center" w:pos="3623"/>
              </w:tabs>
              <w:spacing w:line="0" w:lineRule="atLeast"/>
              <w:jc w:val="center"/>
              <w:rPr>
                <w:rFonts w:hint="default" w:ascii="Times New Roman" w:hAnsi="Times New Roman" w:cs="Times New Roman" w:eastAsiaTheme="minorEastAsia"/>
                <w:b/>
                <w:bCs/>
                <w:color w:val="000000"/>
                <w:kern w:val="0"/>
                <w:sz w:val="24"/>
                <w:szCs w:val="24"/>
                <w:highlight w:val="none"/>
              </w:rPr>
            </w:pPr>
            <w:r>
              <w:rPr>
                <w:rFonts w:hint="default" w:ascii="Times New Roman" w:hAnsi="Times New Roman" w:cs="Times New Roman" w:eastAsiaTheme="minorEastAsia"/>
                <w:b/>
                <w:bCs/>
                <w:color w:val="000000"/>
                <w:kern w:val="0"/>
                <w:sz w:val="24"/>
                <w:szCs w:val="24"/>
                <w:highlight w:val="none"/>
              </w:rPr>
              <w:t>得分率</w:t>
            </w:r>
          </w:p>
        </w:tc>
        <w:tc>
          <w:tcPr>
            <w:tcW w:w="473" w:type="pct"/>
            <w:shd w:val="clear" w:color="auto" w:fill="BFBFBF"/>
            <w:vAlign w:val="center"/>
          </w:tcPr>
          <w:p w14:paraId="67835D82">
            <w:pPr>
              <w:widowControl/>
              <w:tabs>
                <w:tab w:val="left" w:pos="1333"/>
                <w:tab w:val="center" w:pos="3623"/>
              </w:tabs>
              <w:spacing w:line="0" w:lineRule="atLeast"/>
              <w:jc w:val="center"/>
              <w:rPr>
                <w:rFonts w:hint="default" w:ascii="Times New Roman" w:hAnsi="Times New Roman" w:cs="Times New Roman" w:eastAsiaTheme="minorEastAsia"/>
                <w:b/>
                <w:bCs/>
                <w:color w:val="000000"/>
                <w:kern w:val="0"/>
                <w:sz w:val="24"/>
                <w:szCs w:val="24"/>
                <w:highlight w:val="none"/>
              </w:rPr>
            </w:pPr>
            <w:r>
              <w:rPr>
                <w:rFonts w:hint="default" w:ascii="Times New Roman" w:hAnsi="Times New Roman" w:cs="Times New Roman" w:eastAsiaTheme="minorEastAsia"/>
                <w:b/>
                <w:bCs/>
                <w:color w:val="000000"/>
                <w:kern w:val="0"/>
                <w:sz w:val="24"/>
                <w:szCs w:val="24"/>
                <w:highlight w:val="none"/>
              </w:rPr>
              <w:t>得分</w:t>
            </w:r>
          </w:p>
        </w:tc>
      </w:tr>
      <w:tr w14:paraId="579AE1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restart"/>
            <w:shd w:val="clear" w:color="auto" w:fill="FFFFFF"/>
            <w:vAlign w:val="center"/>
          </w:tcPr>
          <w:p w14:paraId="0F1A1DE6">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决策　</w:t>
            </w:r>
          </w:p>
          <w:p w14:paraId="1EC3D954">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　</w:t>
            </w:r>
          </w:p>
          <w:p w14:paraId="16EE7831">
            <w:pPr>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　</w:t>
            </w:r>
          </w:p>
          <w:p w14:paraId="4E59AEB5">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　</w:t>
            </w:r>
          </w:p>
        </w:tc>
        <w:tc>
          <w:tcPr>
            <w:tcW w:w="457" w:type="pct"/>
            <w:vMerge w:val="restart"/>
            <w:shd w:val="clear" w:color="auto" w:fill="FFFFFF"/>
            <w:vAlign w:val="center"/>
          </w:tcPr>
          <w:p w14:paraId="7620A49F">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kern w:val="0"/>
                <w:sz w:val="24"/>
                <w:szCs w:val="24"/>
                <w:highlight w:val="none"/>
              </w:rPr>
              <w:t>20分</w:t>
            </w:r>
          </w:p>
        </w:tc>
        <w:tc>
          <w:tcPr>
            <w:tcW w:w="723" w:type="pct"/>
            <w:vMerge w:val="restart"/>
            <w:shd w:val="clear" w:color="auto" w:fill="FFFFFF"/>
            <w:vAlign w:val="center"/>
          </w:tcPr>
          <w:p w14:paraId="48E85AAE">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项目立项　</w:t>
            </w:r>
          </w:p>
        </w:tc>
        <w:tc>
          <w:tcPr>
            <w:tcW w:w="799" w:type="pct"/>
            <w:shd w:val="clear" w:color="auto" w:fill="FFFFFF"/>
            <w:vAlign w:val="center"/>
          </w:tcPr>
          <w:p w14:paraId="3ADB35F7">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立项依据</w:t>
            </w:r>
          </w:p>
          <w:p w14:paraId="0BCC5A50">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充分性</w:t>
            </w:r>
          </w:p>
        </w:tc>
        <w:tc>
          <w:tcPr>
            <w:tcW w:w="490" w:type="pct"/>
            <w:shd w:val="clear" w:color="auto" w:fill="FFFFFF"/>
            <w:vAlign w:val="center"/>
          </w:tcPr>
          <w:p w14:paraId="3B739706">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3</w:t>
            </w:r>
          </w:p>
        </w:tc>
        <w:tc>
          <w:tcPr>
            <w:tcW w:w="515" w:type="pct"/>
            <w:shd w:val="clear" w:color="auto" w:fill="FFFFFF"/>
            <w:vAlign w:val="center"/>
          </w:tcPr>
          <w:p w14:paraId="5F165C5C">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充分</w:t>
            </w:r>
          </w:p>
        </w:tc>
        <w:tc>
          <w:tcPr>
            <w:tcW w:w="534" w:type="pct"/>
            <w:shd w:val="clear" w:color="auto" w:fill="FFFFFF"/>
            <w:vAlign w:val="center"/>
          </w:tcPr>
          <w:p w14:paraId="0306F3DE">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充分</w:t>
            </w:r>
          </w:p>
        </w:tc>
        <w:tc>
          <w:tcPr>
            <w:tcW w:w="602" w:type="pct"/>
            <w:shd w:val="clear" w:color="auto" w:fill="FFFFFF"/>
            <w:vAlign w:val="center"/>
          </w:tcPr>
          <w:p w14:paraId="3A65C6BB">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sz w:val="24"/>
                <w:szCs w:val="24"/>
                <w:highlight w:val="none"/>
              </w:rPr>
              <w:t>100%</w:t>
            </w:r>
          </w:p>
        </w:tc>
        <w:tc>
          <w:tcPr>
            <w:tcW w:w="473" w:type="pct"/>
            <w:shd w:val="clear" w:color="auto" w:fill="FFFFFF"/>
            <w:vAlign w:val="center"/>
          </w:tcPr>
          <w:p w14:paraId="7F3C3BDC">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sz w:val="24"/>
                <w:szCs w:val="24"/>
                <w:highlight w:val="none"/>
              </w:rPr>
              <w:t>3</w:t>
            </w:r>
          </w:p>
        </w:tc>
      </w:tr>
      <w:tr w14:paraId="56D8C7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021AD7C4">
            <w:pPr>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65D0B92E">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vMerge w:val="continue"/>
            <w:shd w:val="clear" w:color="auto" w:fill="FFFFFF"/>
            <w:vAlign w:val="center"/>
          </w:tcPr>
          <w:p w14:paraId="631B5A36">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99" w:type="pct"/>
            <w:shd w:val="clear" w:color="auto" w:fill="FFFFFF"/>
            <w:vAlign w:val="center"/>
          </w:tcPr>
          <w:p w14:paraId="29ECE7A4">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立项程序</w:t>
            </w:r>
          </w:p>
          <w:p w14:paraId="44BED11F">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规范性</w:t>
            </w:r>
          </w:p>
        </w:tc>
        <w:tc>
          <w:tcPr>
            <w:tcW w:w="490" w:type="pct"/>
            <w:shd w:val="clear" w:color="auto" w:fill="FFFFFF"/>
            <w:vAlign w:val="center"/>
          </w:tcPr>
          <w:p w14:paraId="62D16524">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3</w:t>
            </w:r>
          </w:p>
        </w:tc>
        <w:tc>
          <w:tcPr>
            <w:tcW w:w="515" w:type="pct"/>
            <w:shd w:val="clear" w:color="auto" w:fill="FFFFFF"/>
            <w:vAlign w:val="center"/>
          </w:tcPr>
          <w:p w14:paraId="1AA9BDAF">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规范</w:t>
            </w:r>
          </w:p>
        </w:tc>
        <w:tc>
          <w:tcPr>
            <w:tcW w:w="534" w:type="pct"/>
            <w:shd w:val="clear" w:color="auto" w:fill="FFFFFF"/>
            <w:vAlign w:val="center"/>
          </w:tcPr>
          <w:p w14:paraId="4D85E2BD">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规范</w:t>
            </w:r>
          </w:p>
        </w:tc>
        <w:tc>
          <w:tcPr>
            <w:tcW w:w="602" w:type="pct"/>
            <w:shd w:val="clear" w:color="auto" w:fill="FFFFFF"/>
            <w:vAlign w:val="center"/>
          </w:tcPr>
          <w:p w14:paraId="1B6BDFC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auto" w:fill="FFFFFF"/>
            <w:vAlign w:val="center"/>
          </w:tcPr>
          <w:p w14:paraId="43A700B3">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lang w:val="en-US" w:eastAsia="zh-CN"/>
              </w:rPr>
              <w:t>3</w:t>
            </w:r>
          </w:p>
        </w:tc>
      </w:tr>
      <w:tr w14:paraId="1269D6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5C1C65F1">
            <w:pPr>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0BA0F519">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vMerge w:val="restart"/>
            <w:shd w:val="clear" w:color="auto" w:fill="FFFFFF"/>
            <w:vAlign w:val="center"/>
          </w:tcPr>
          <w:p w14:paraId="2BA54D10">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绩效目标　</w:t>
            </w:r>
          </w:p>
        </w:tc>
        <w:tc>
          <w:tcPr>
            <w:tcW w:w="799" w:type="pct"/>
            <w:shd w:val="clear" w:color="auto" w:fill="FFFFFF"/>
            <w:vAlign w:val="center"/>
          </w:tcPr>
          <w:p w14:paraId="2099BACD">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绩效目标</w:t>
            </w:r>
          </w:p>
          <w:p w14:paraId="5B3C4E34">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合理性</w:t>
            </w:r>
          </w:p>
        </w:tc>
        <w:tc>
          <w:tcPr>
            <w:tcW w:w="490" w:type="pct"/>
            <w:shd w:val="clear" w:color="000000" w:fill="FFFFFF"/>
            <w:vAlign w:val="center"/>
          </w:tcPr>
          <w:p w14:paraId="5E82E805">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3</w:t>
            </w:r>
          </w:p>
        </w:tc>
        <w:tc>
          <w:tcPr>
            <w:tcW w:w="515" w:type="pct"/>
            <w:shd w:val="clear" w:color="000000" w:fill="FFFFFF"/>
            <w:vAlign w:val="center"/>
          </w:tcPr>
          <w:p w14:paraId="5F1CE842">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合理</w:t>
            </w:r>
          </w:p>
        </w:tc>
        <w:tc>
          <w:tcPr>
            <w:tcW w:w="534" w:type="pct"/>
            <w:shd w:val="clear" w:color="000000" w:fill="FFFFFF"/>
            <w:vAlign w:val="center"/>
          </w:tcPr>
          <w:p w14:paraId="014EB885">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合理</w:t>
            </w:r>
          </w:p>
        </w:tc>
        <w:tc>
          <w:tcPr>
            <w:tcW w:w="602" w:type="pct"/>
            <w:shd w:val="clear" w:color="000000" w:fill="FFFFFF"/>
            <w:vAlign w:val="center"/>
          </w:tcPr>
          <w:p w14:paraId="21C51559">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000000" w:fill="FFFFFF"/>
            <w:vAlign w:val="center"/>
          </w:tcPr>
          <w:p w14:paraId="4E9C6D73">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3</w:t>
            </w:r>
          </w:p>
        </w:tc>
      </w:tr>
      <w:tr w14:paraId="79FED2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73C0F841">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6C801EB1">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vMerge w:val="continue"/>
            <w:shd w:val="clear" w:color="auto" w:fill="FFFFFF"/>
            <w:vAlign w:val="center"/>
          </w:tcPr>
          <w:p w14:paraId="5DA7C44F">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99" w:type="pct"/>
            <w:shd w:val="clear" w:color="auto" w:fill="FFFFFF"/>
            <w:vAlign w:val="center"/>
          </w:tcPr>
          <w:p w14:paraId="0DD4ABEC">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绩效指标</w:t>
            </w:r>
          </w:p>
          <w:p w14:paraId="6F77B20D">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明确性</w:t>
            </w:r>
          </w:p>
        </w:tc>
        <w:tc>
          <w:tcPr>
            <w:tcW w:w="490" w:type="pct"/>
            <w:shd w:val="clear" w:color="000000" w:fill="FFFFFF"/>
            <w:vAlign w:val="center"/>
          </w:tcPr>
          <w:p w14:paraId="1B693BCE">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3</w:t>
            </w:r>
          </w:p>
        </w:tc>
        <w:tc>
          <w:tcPr>
            <w:tcW w:w="515" w:type="pct"/>
            <w:shd w:val="clear" w:color="000000" w:fill="FFFFFF"/>
            <w:vAlign w:val="center"/>
          </w:tcPr>
          <w:p w14:paraId="4C75163B">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明确</w:t>
            </w:r>
          </w:p>
        </w:tc>
        <w:tc>
          <w:tcPr>
            <w:tcW w:w="534" w:type="pct"/>
            <w:shd w:val="clear" w:color="000000" w:fill="FFFFFF"/>
            <w:vAlign w:val="center"/>
          </w:tcPr>
          <w:p w14:paraId="4036EC69">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明确</w:t>
            </w:r>
          </w:p>
        </w:tc>
        <w:tc>
          <w:tcPr>
            <w:tcW w:w="602" w:type="pct"/>
            <w:shd w:val="clear" w:color="000000" w:fill="FFFFFF"/>
            <w:vAlign w:val="center"/>
          </w:tcPr>
          <w:p w14:paraId="45EE982E">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000000" w:fill="FFFFFF"/>
            <w:vAlign w:val="center"/>
          </w:tcPr>
          <w:p w14:paraId="46299CA6">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3</w:t>
            </w:r>
          </w:p>
        </w:tc>
      </w:tr>
      <w:tr w14:paraId="63620A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72DF9E3C">
            <w:pPr>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6A5CFC40">
            <w:pPr>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vMerge w:val="restart"/>
            <w:shd w:val="clear" w:color="auto" w:fill="FFFFFF"/>
            <w:vAlign w:val="center"/>
          </w:tcPr>
          <w:p w14:paraId="45B7DC4E">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资金投入</w:t>
            </w:r>
          </w:p>
        </w:tc>
        <w:tc>
          <w:tcPr>
            <w:tcW w:w="799" w:type="pct"/>
            <w:shd w:val="clear" w:color="auto" w:fill="FFFFFF"/>
            <w:vAlign w:val="center"/>
          </w:tcPr>
          <w:p w14:paraId="557B3B00">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预算编制</w:t>
            </w:r>
          </w:p>
          <w:p w14:paraId="290E357C">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科学性</w:t>
            </w:r>
          </w:p>
        </w:tc>
        <w:tc>
          <w:tcPr>
            <w:tcW w:w="490" w:type="pct"/>
            <w:shd w:val="clear" w:color="auto" w:fill="FFFFFF"/>
            <w:vAlign w:val="center"/>
          </w:tcPr>
          <w:p w14:paraId="01F3EB74">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4</w:t>
            </w:r>
          </w:p>
        </w:tc>
        <w:tc>
          <w:tcPr>
            <w:tcW w:w="515" w:type="pct"/>
            <w:shd w:val="clear" w:color="auto" w:fill="FFFFFF"/>
            <w:vAlign w:val="center"/>
          </w:tcPr>
          <w:p w14:paraId="39D7679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科学</w:t>
            </w:r>
          </w:p>
        </w:tc>
        <w:tc>
          <w:tcPr>
            <w:tcW w:w="534" w:type="pct"/>
            <w:shd w:val="clear" w:color="auto" w:fill="FFFFFF"/>
            <w:vAlign w:val="center"/>
          </w:tcPr>
          <w:p w14:paraId="516F88DD">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科学</w:t>
            </w:r>
          </w:p>
        </w:tc>
        <w:tc>
          <w:tcPr>
            <w:tcW w:w="602" w:type="pct"/>
            <w:shd w:val="clear" w:color="auto" w:fill="FFFFFF"/>
            <w:vAlign w:val="center"/>
          </w:tcPr>
          <w:p w14:paraId="2908030D">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auto" w:fill="FFFFFF"/>
            <w:vAlign w:val="center"/>
          </w:tcPr>
          <w:p w14:paraId="7EC8B8B4">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4</w:t>
            </w:r>
          </w:p>
        </w:tc>
      </w:tr>
      <w:tr w14:paraId="4F5734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2C0A45C0">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789EA8CE">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vMerge w:val="continue"/>
            <w:shd w:val="clear" w:color="auto" w:fill="FFFFFF"/>
            <w:vAlign w:val="center"/>
          </w:tcPr>
          <w:p w14:paraId="46D3DF42">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99" w:type="pct"/>
            <w:shd w:val="clear" w:color="auto" w:fill="FFFFFF"/>
            <w:vAlign w:val="center"/>
          </w:tcPr>
          <w:p w14:paraId="6E9A1492">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资金分配</w:t>
            </w:r>
          </w:p>
          <w:p w14:paraId="3020D23C">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合理性</w:t>
            </w:r>
          </w:p>
        </w:tc>
        <w:tc>
          <w:tcPr>
            <w:tcW w:w="490" w:type="pct"/>
            <w:shd w:val="clear" w:color="auto" w:fill="FFFFFF"/>
            <w:vAlign w:val="center"/>
          </w:tcPr>
          <w:p w14:paraId="70EC13E3">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4</w:t>
            </w:r>
          </w:p>
        </w:tc>
        <w:tc>
          <w:tcPr>
            <w:tcW w:w="515" w:type="pct"/>
            <w:shd w:val="clear" w:color="auto" w:fill="FFFFFF"/>
            <w:vAlign w:val="center"/>
          </w:tcPr>
          <w:p w14:paraId="16CF32B9">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合理</w:t>
            </w:r>
          </w:p>
        </w:tc>
        <w:tc>
          <w:tcPr>
            <w:tcW w:w="534" w:type="pct"/>
            <w:shd w:val="clear" w:color="auto" w:fill="FFFFFF"/>
            <w:vAlign w:val="center"/>
          </w:tcPr>
          <w:p w14:paraId="64428248">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合理</w:t>
            </w:r>
          </w:p>
        </w:tc>
        <w:tc>
          <w:tcPr>
            <w:tcW w:w="602" w:type="pct"/>
            <w:shd w:val="clear" w:color="auto" w:fill="FFFFFF"/>
            <w:vAlign w:val="center"/>
          </w:tcPr>
          <w:p w14:paraId="53406512">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auto" w:fill="FFFFFF"/>
            <w:vAlign w:val="center"/>
          </w:tcPr>
          <w:p w14:paraId="1D425572">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4</w:t>
            </w:r>
          </w:p>
        </w:tc>
      </w:tr>
      <w:tr w14:paraId="69B88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restart"/>
            <w:shd w:val="clear" w:color="auto" w:fill="FFFFFF"/>
            <w:vAlign w:val="center"/>
          </w:tcPr>
          <w:p w14:paraId="3EEFB6B6">
            <w:pPr>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过程</w:t>
            </w:r>
          </w:p>
          <w:p w14:paraId="1864BE2E">
            <w:pPr>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　</w:t>
            </w:r>
          </w:p>
        </w:tc>
        <w:tc>
          <w:tcPr>
            <w:tcW w:w="457" w:type="pct"/>
            <w:vMerge w:val="restart"/>
            <w:shd w:val="clear" w:color="auto" w:fill="FFFFFF"/>
            <w:vAlign w:val="center"/>
          </w:tcPr>
          <w:p w14:paraId="05AD6C5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kern w:val="0"/>
                <w:sz w:val="24"/>
                <w:szCs w:val="24"/>
                <w:highlight w:val="none"/>
              </w:rPr>
              <w:t>20分</w:t>
            </w:r>
          </w:p>
        </w:tc>
        <w:tc>
          <w:tcPr>
            <w:tcW w:w="723" w:type="pct"/>
            <w:vMerge w:val="restart"/>
            <w:shd w:val="clear" w:color="auto" w:fill="FFFFFF"/>
            <w:vAlign w:val="center"/>
          </w:tcPr>
          <w:p w14:paraId="28E99325">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资金管理</w:t>
            </w:r>
          </w:p>
        </w:tc>
        <w:tc>
          <w:tcPr>
            <w:tcW w:w="799" w:type="pct"/>
            <w:shd w:val="clear" w:color="auto" w:fill="FFFFFF"/>
            <w:vAlign w:val="center"/>
          </w:tcPr>
          <w:p w14:paraId="11042E6F">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资金到位率</w:t>
            </w:r>
          </w:p>
        </w:tc>
        <w:tc>
          <w:tcPr>
            <w:tcW w:w="490" w:type="pct"/>
            <w:shd w:val="clear" w:color="000000" w:fill="FFFFFF"/>
            <w:vAlign w:val="center"/>
          </w:tcPr>
          <w:p w14:paraId="2FB73AE3">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4</w:t>
            </w:r>
          </w:p>
        </w:tc>
        <w:tc>
          <w:tcPr>
            <w:tcW w:w="515" w:type="pct"/>
            <w:shd w:val="clear" w:color="000000" w:fill="FFFFFF"/>
            <w:vAlign w:val="center"/>
          </w:tcPr>
          <w:p w14:paraId="0CAB2CC4">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100%</w:t>
            </w:r>
          </w:p>
        </w:tc>
        <w:tc>
          <w:tcPr>
            <w:tcW w:w="534" w:type="pct"/>
            <w:shd w:val="clear" w:color="000000" w:fill="FFFFFF"/>
            <w:vAlign w:val="center"/>
          </w:tcPr>
          <w:p w14:paraId="165DBA1E">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lang w:val="en-US" w:eastAsia="zh-CN"/>
              </w:rPr>
              <w:t>100</w:t>
            </w:r>
            <w:r>
              <w:rPr>
                <w:rFonts w:hint="default" w:ascii="Times New Roman" w:hAnsi="Times New Roman" w:cs="Times New Roman" w:eastAsiaTheme="minorEastAsia"/>
                <w:color w:val="000000"/>
                <w:kern w:val="0"/>
                <w:sz w:val="24"/>
                <w:szCs w:val="24"/>
                <w:highlight w:val="none"/>
              </w:rPr>
              <w:t>%</w:t>
            </w:r>
          </w:p>
        </w:tc>
        <w:tc>
          <w:tcPr>
            <w:tcW w:w="602" w:type="pct"/>
            <w:shd w:val="clear" w:color="000000" w:fill="FFFFFF"/>
            <w:vAlign w:val="center"/>
          </w:tcPr>
          <w:p w14:paraId="1EEF95C7">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000000" w:fill="FFFFFF"/>
            <w:vAlign w:val="center"/>
          </w:tcPr>
          <w:p w14:paraId="598AA4BA">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4</w:t>
            </w:r>
          </w:p>
        </w:tc>
      </w:tr>
      <w:tr w14:paraId="6E5F49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0D482E70">
            <w:pPr>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0ECB144F">
            <w:pPr>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vMerge w:val="continue"/>
            <w:shd w:val="clear" w:color="auto" w:fill="FFFFFF"/>
            <w:vAlign w:val="center"/>
          </w:tcPr>
          <w:p w14:paraId="19E6698A">
            <w:pPr>
              <w:spacing w:line="0" w:lineRule="atLeast"/>
              <w:jc w:val="center"/>
              <w:rPr>
                <w:rFonts w:hint="default" w:ascii="Times New Roman" w:hAnsi="Times New Roman" w:cs="Times New Roman" w:eastAsiaTheme="minorEastAsia"/>
                <w:color w:val="000000"/>
                <w:kern w:val="0"/>
                <w:sz w:val="24"/>
                <w:szCs w:val="24"/>
                <w:highlight w:val="none"/>
              </w:rPr>
            </w:pPr>
          </w:p>
        </w:tc>
        <w:tc>
          <w:tcPr>
            <w:tcW w:w="799" w:type="pct"/>
            <w:shd w:val="clear" w:color="auto" w:fill="FFFFFF"/>
            <w:vAlign w:val="center"/>
          </w:tcPr>
          <w:p w14:paraId="28CBB87B">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预算执行率</w:t>
            </w:r>
          </w:p>
        </w:tc>
        <w:tc>
          <w:tcPr>
            <w:tcW w:w="490" w:type="pct"/>
            <w:shd w:val="clear" w:color="auto" w:fill="FFFFFF"/>
            <w:vAlign w:val="center"/>
          </w:tcPr>
          <w:p w14:paraId="3ADC32A6">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4</w:t>
            </w:r>
          </w:p>
        </w:tc>
        <w:tc>
          <w:tcPr>
            <w:tcW w:w="515" w:type="pct"/>
            <w:shd w:val="clear" w:color="auto" w:fill="FFFFFF"/>
            <w:vAlign w:val="center"/>
          </w:tcPr>
          <w:p w14:paraId="5D369A03">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100%</w:t>
            </w:r>
          </w:p>
        </w:tc>
        <w:tc>
          <w:tcPr>
            <w:tcW w:w="534" w:type="pct"/>
            <w:shd w:val="clear" w:color="auto" w:fill="FFFFFF"/>
            <w:vAlign w:val="center"/>
          </w:tcPr>
          <w:p w14:paraId="40535974">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lang w:val="en-US" w:eastAsia="zh-CN"/>
              </w:rPr>
              <w:t>83.57</w:t>
            </w:r>
            <w:r>
              <w:rPr>
                <w:rFonts w:hint="default" w:ascii="Times New Roman" w:hAnsi="Times New Roman" w:cs="Times New Roman" w:eastAsiaTheme="minorEastAsia"/>
                <w:color w:val="000000"/>
                <w:kern w:val="0"/>
                <w:sz w:val="24"/>
                <w:szCs w:val="24"/>
                <w:highlight w:val="none"/>
              </w:rPr>
              <w:t>%</w:t>
            </w:r>
          </w:p>
        </w:tc>
        <w:tc>
          <w:tcPr>
            <w:tcW w:w="602" w:type="pct"/>
            <w:shd w:val="clear" w:color="auto" w:fill="FFFFFF"/>
            <w:vAlign w:val="center"/>
          </w:tcPr>
          <w:p w14:paraId="6E6074AE">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83.57%</w:t>
            </w:r>
          </w:p>
        </w:tc>
        <w:tc>
          <w:tcPr>
            <w:tcW w:w="473" w:type="pct"/>
            <w:shd w:val="clear" w:color="auto" w:fill="FFFFFF"/>
            <w:vAlign w:val="center"/>
          </w:tcPr>
          <w:p w14:paraId="552D238D">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3.34</w:t>
            </w:r>
          </w:p>
        </w:tc>
      </w:tr>
      <w:tr w14:paraId="5F9F2A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3D26A2B7">
            <w:pPr>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34E474B0">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shd w:val="clear" w:color="auto" w:fill="FFFFFF"/>
            <w:vAlign w:val="center"/>
          </w:tcPr>
          <w:p w14:paraId="146517B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资金管理</w:t>
            </w:r>
          </w:p>
        </w:tc>
        <w:tc>
          <w:tcPr>
            <w:tcW w:w="799" w:type="pct"/>
            <w:shd w:val="clear" w:color="auto" w:fill="FFFFFF"/>
            <w:vAlign w:val="center"/>
          </w:tcPr>
          <w:p w14:paraId="565C505B">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资金使用</w:t>
            </w:r>
          </w:p>
          <w:p w14:paraId="130CA279">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合规性</w:t>
            </w:r>
          </w:p>
        </w:tc>
        <w:tc>
          <w:tcPr>
            <w:tcW w:w="490" w:type="pct"/>
            <w:shd w:val="clear" w:color="000000" w:fill="FFFFFF"/>
            <w:vAlign w:val="center"/>
          </w:tcPr>
          <w:p w14:paraId="4C637BC3">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4</w:t>
            </w:r>
          </w:p>
        </w:tc>
        <w:tc>
          <w:tcPr>
            <w:tcW w:w="515" w:type="pct"/>
            <w:shd w:val="clear" w:color="000000" w:fill="FFFFFF"/>
            <w:vAlign w:val="center"/>
          </w:tcPr>
          <w:p w14:paraId="5B1A592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合格</w:t>
            </w:r>
          </w:p>
        </w:tc>
        <w:tc>
          <w:tcPr>
            <w:tcW w:w="534" w:type="pct"/>
            <w:shd w:val="clear" w:color="000000" w:fill="FFFFFF"/>
            <w:vAlign w:val="center"/>
          </w:tcPr>
          <w:p w14:paraId="5F374253">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合格</w:t>
            </w:r>
          </w:p>
        </w:tc>
        <w:tc>
          <w:tcPr>
            <w:tcW w:w="602" w:type="pct"/>
            <w:shd w:val="clear" w:color="000000" w:fill="FFFFFF"/>
            <w:vAlign w:val="center"/>
          </w:tcPr>
          <w:p w14:paraId="640C6CCC">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000000" w:fill="FFFFFF"/>
            <w:vAlign w:val="center"/>
          </w:tcPr>
          <w:p w14:paraId="46DB7470">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4</w:t>
            </w:r>
          </w:p>
        </w:tc>
      </w:tr>
      <w:tr w14:paraId="694DE9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471CEA18">
            <w:pPr>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2F743829">
            <w:pPr>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vMerge w:val="restart"/>
            <w:shd w:val="clear" w:color="auto" w:fill="FFFFFF"/>
            <w:vAlign w:val="center"/>
          </w:tcPr>
          <w:p w14:paraId="1BEDDB2B">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组织实施</w:t>
            </w:r>
          </w:p>
        </w:tc>
        <w:tc>
          <w:tcPr>
            <w:tcW w:w="799" w:type="pct"/>
            <w:shd w:val="clear" w:color="auto" w:fill="FFFFFF"/>
            <w:vAlign w:val="center"/>
          </w:tcPr>
          <w:p w14:paraId="4506A784">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管理制度</w:t>
            </w:r>
          </w:p>
          <w:p w14:paraId="120F815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健全性</w:t>
            </w:r>
          </w:p>
        </w:tc>
        <w:tc>
          <w:tcPr>
            <w:tcW w:w="490" w:type="pct"/>
            <w:shd w:val="clear" w:color="000000" w:fill="FFFFFF"/>
            <w:vAlign w:val="center"/>
          </w:tcPr>
          <w:p w14:paraId="4939060A">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4</w:t>
            </w:r>
          </w:p>
        </w:tc>
        <w:tc>
          <w:tcPr>
            <w:tcW w:w="515" w:type="pct"/>
            <w:shd w:val="clear" w:color="000000" w:fill="FFFFFF"/>
            <w:vAlign w:val="center"/>
          </w:tcPr>
          <w:p w14:paraId="6B675195">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健全</w:t>
            </w:r>
          </w:p>
        </w:tc>
        <w:tc>
          <w:tcPr>
            <w:tcW w:w="534" w:type="pct"/>
            <w:shd w:val="clear" w:color="000000" w:fill="FFFFFF"/>
            <w:vAlign w:val="center"/>
          </w:tcPr>
          <w:p w14:paraId="6E9868ED">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健全</w:t>
            </w:r>
          </w:p>
        </w:tc>
        <w:tc>
          <w:tcPr>
            <w:tcW w:w="602" w:type="pct"/>
            <w:shd w:val="clear" w:color="000000" w:fill="FFFFFF"/>
            <w:vAlign w:val="center"/>
          </w:tcPr>
          <w:p w14:paraId="4F56B0EC">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000000" w:fill="FFFFFF"/>
            <w:vAlign w:val="center"/>
          </w:tcPr>
          <w:p w14:paraId="6610122B">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4</w:t>
            </w:r>
          </w:p>
        </w:tc>
      </w:tr>
      <w:tr w14:paraId="65B209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40F9D855">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1B0836FE">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vMerge w:val="continue"/>
            <w:shd w:val="clear" w:color="auto" w:fill="FFFFFF"/>
            <w:vAlign w:val="center"/>
          </w:tcPr>
          <w:p w14:paraId="53BAF657">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99" w:type="pct"/>
            <w:shd w:val="clear" w:color="auto" w:fill="FFFFFF"/>
            <w:vAlign w:val="center"/>
          </w:tcPr>
          <w:p w14:paraId="3986264F">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制度执行</w:t>
            </w:r>
          </w:p>
          <w:p w14:paraId="530B3232">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有效性</w:t>
            </w:r>
          </w:p>
        </w:tc>
        <w:tc>
          <w:tcPr>
            <w:tcW w:w="490" w:type="pct"/>
            <w:shd w:val="clear" w:color="000000" w:fill="FFFFFF"/>
            <w:vAlign w:val="center"/>
          </w:tcPr>
          <w:p w14:paraId="48CB5B6A">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4</w:t>
            </w:r>
          </w:p>
        </w:tc>
        <w:tc>
          <w:tcPr>
            <w:tcW w:w="515" w:type="pct"/>
            <w:shd w:val="clear" w:color="000000" w:fill="FFFFFF"/>
            <w:vAlign w:val="center"/>
          </w:tcPr>
          <w:p w14:paraId="4FF1FC1E">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有效</w:t>
            </w:r>
          </w:p>
        </w:tc>
        <w:tc>
          <w:tcPr>
            <w:tcW w:w="534" w:type="pct"/>
            <w:shd w:val="clear" w:color="000000" w:fill="FFFFFF"/>
            <w:vAlign w:val="center"/>
          </w:tcPr>
          <w:p w14:paraId="22558090">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有效</w:t>
            </w:r>
          </w:p>
        </w:tc>
        <w:tc>
          <w:tcPr>
            <w:tcW w:w="602" w:type="pct"/>
            <w:shd w:val="clear" w:color="000000" w:fill="FFFFFF"/>
            <w:vAlign w:val="center"/>
          </w:tcPr>
          <w:p w14:paraId="323217A6">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000000" w:fill="FFFFFF"/>
            <w:vAlign w:val="center"/>
          </w:tcPr>
          <w:p w14:paraId="7AF850A6">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4</w:t>
            </w:r>
          </w:p>
        </w:tc>
      </w:tr>
      <w:tr w14:paraId="2A1E18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restart"/>
            <w:shd w:val="clear" w:color="auto" w:fill="FFFFFF"/>
            <w:vAlign w:val="center"/>
          </w:tcPr>
          <w:p w14:paraId="088A7EF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产出</w:t>
            </w:r>
          </w:p>
        </w:tc>
        <w:tc>
          <w:tcPr>
            <w:tcW w:w="457" w:type="pct"/>
            <w:vMerge w:val="restart"/>
            <w:shd w:val="clear" w:color="auto" w:fill="FFFFFF"/>
            <w:vAlign w:val="center"/>
          </w:tcPr>
          <w:p w14:paraId="1634674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kern w:val="0"/>
                <w:sz w:val="24"/>
                <w:szCs w:val="24"/>
                <w:highlight w:val="none"/>
              </w:rPr>
              <w:t>40分</w:t>
            </w:r>
          </w:p>
        </w:tc>
        <w:tc>
          <w:tcPr>
            <w:tcW w:w="723" w:type="pct"/>
            <w:shd w:val="clear" w:color="auto" w:fill="FFFFFF"/>
            <w:vAlign w:val="center"/>
          </w:tcPr>
          <w:p w14:paraId="20D31CB5">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产出数量</w:t>
            </w:r>
          </w:p>
        </w:tc>
        <w:tc>
          <w:tcPr>
            <w:tcW w:w="799" w:type="pct"/>
            <w:shd w:val="clear" w:color="auto" w:fill="FFFFFF"/>
            <w:vAlign w:val="center"/>
          </w:tcPr>
          <w:p w14:paraId="19EE5DC3">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实际完成率</w:t>
            </w:r>
          </w:p>
        </w:tc>
        <w:tc>
          <w:tcPr>
            <w:tcW w:w="490" w:type="pct"/>
            <w:shd w:val="clear" w:color="000000" w:fill="FFFFFF"/>
            <w:vAlign w:val="center"/>
          </w:tcPr>
          <w:p w14:paraId="1A267F3C">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w:t>
            </w:r>
          </w:p>
        </w:tc>
        <w:tc>
          <w:tcPr>
            <w:tcW w:w="515" w:type="pct"/>
            <w:shd w:val="clear" w:color="000000" w:fill="FFFFFF"/>
            <w:vAlign w:val="center"/>
          </w:tcPr>
          <w:p w14:paraId="1304A0B8">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100%</w:t>
            </w:r>
          </w:p>
        </w:tc>
        <w:tc>
          <w:tcPr>
            <w:tcW w:w="534" w:type="pct"/>
            <w:shd w:val="clear" w:color="000000" w:fill="FFFFFF"/>
            <w:vAlign w:val="center"/>
          </w:tcPr>
          <w:p w14:paraId="7812212C">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lang w:val="en-US" w:eastAsia="zh-CN"/>
              </w:rPr>
              <w:t>100</w:t>
            </w:r>
            <w:r>
              <w:rPr>
                <w:rFonts w:hint="default" w:ascii="Times New Roman" w:hAnsi="Times New Roman" w:cs="Times New Roman" w:eastAsiaTheme="minorEastAsia"/>
                <w:color w:val="000000"/>
                <w:kern w:val="0"/>
                <w:sz w:val="24"/>
                <w:szCs w:val="24"/>
                <w:highlight w:val="none"/>
              </w:rPr>
              <w:t>%</w:t>
            </w:r>
          </w:p>
        </w:tc>
        <w:tc>
          <w:tcPr>
            <w:tcW w:w="602" w:type="pct"/>
            <w:shd w:val="clear" w:color="000000" w:fill="FFFFFF"/>
            <w:vAlign w:val="center"/>
          </w:tcPr>
          <w:p w14:paraId="735389E5">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000000" w:fill="FFFFFF"/>
            <w:vAlign w:val="center"/>
          </w:tcPr>
          <w:p w14:paraId="100C591A">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w:t>
            </w:r>
          </w:p>
        </w:tc>
      </w:tr>
      <w:tr w14:paraId="60D823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3C519387">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482AA21C">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shd w:val="clear" w:color="auto" w:fill="FFFFFF"/>
            <w:vAlign w:val="center"/>
          </w:tcPr>
          <w:p w14:paraId="7376C25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产出质量</w:t>
            </w:r>
          </w:p>
        </w:tc>
        <w:tc>
          <w:tcPr>
            <w:tcW w:w="799" w:type="pct"/>
            <w:shd w:val="clear" w:color="auto" w:fill="FFFFFF"/>
            <w:vAlign w:val="center"/>
          </w:tcPr>
          <w:p w14:paraId="755287D5">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质量达标率</w:t>
            </w:r>
          </w:p>
        </w:tc>
        <w:tc>
          <w:tcPr>
            <w:tcW w:w="490" w:type="pct"/>
            <w:shd w:val="clear" w:color="000000" w:fill="FFFFFF"/>
            <w:vAlign w:val="center"/>
          </w:tcPr>
          <w:p w14:paraId="30E084D4">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w:t>
            </w:r>
          </w:p>
        </w:tc>
        <w:tc>
          <w:tcPr>
            <w:tcW w:w="515" w:type="pct"/>
            <w:shd w:val="clear" w:color="000000" w:fill="FFFFFF"/>
            <w:vAlign w:val="center"/>
          </w:tcPr>
          <w:p w14:paraId="5A9FBB0A">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100%</w:t>
            </w:r>
          </w:p>
        </w:tc>
        <w:tc>
          <w:tcPr>
            <w:tcW w:w="534" w:type="pct"/>
            <w:shd w:val="clear" w:color="000000" w:fill="FFFFFF"/>
            <w:vAlign w:val="center"/>
          </w:tcPr>
          <w:p w14:paraId="494961E8">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lang w:val="en-US" w:eastAsia="zh-CN"/>
              </w:rPr>
              <w:t>100</w:t>
            </w:r>
            <w:r>
              <w:rPr>
                <w:rFonts w:hint="default" w:ascii="Times New Roman" w:hAnsi="Times New Roman" w:cs="Times New Roman" w:eastAsiaTheme="minorEastAsia"/>
                <w:color w:val="000000"/>
                <w:kern w:val="0"/>
                <w:sz w:val="24"/>
                <w:szCs w:val="24"/>
                <w:highlight w:val="none"/>
              </w:rPr>
              <w:t>%</w:t>
            </w:r>
          </w:p>
        </w:tc>
        <w:tc>
          <w:tcPr>
            <w:tcW w:w="602" w:type="pct"/>
            <w:shd w:val="clear" w:color="000000" w:fill="FFFFFF"/>
            <w:vAlign w:val="center"/>
          </w:tcPr>
          <w:p w14:paraId="00F341CC">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000000" w:fill="FFFFFF"/>
            <w:vAlign w:val="center"/>
          </w:tcPr>
          <w:p w14:paraId="39D094BB">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w:t>
            </w:r>
          </w:p>
        </w:tc>
      </w:tr>
      <w:tr w14:paraId="534A2E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7529A357">
            <w:pPr>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43D19ACF">
            <w:pPr>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shd w:val="clear" w:color="auto" w:fill="FFFFFF"/>
            <w:vAlign w:val="center"/>
          </w:tcPr>
          <w:p w14:paraId="6485F4AF">
            <w:pPr>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产出时效</w:t>
            </w:r>
          </w:p>
        </w:tc>
        <w:tc>
          <w:tcPr>
            <w:tcW w:w="799" w:type="pct"/>
            <w:shd w:val="clear" w:color="auto" w:fill="FFFFFF"/>
            <w:vAlign w:val="center"/>
          </w:tcPr>
          <w:p w14:paraId="0E620E5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完成及时性</w:t>
            </w:r>
          </w:p>
        </w:tc>
        <w:tc>
          <w:tcPr>
            <w:tcW w:w="490" w:type="pct"/>
            <w:shd w:val="clear" w:color="000000" w:fill="FFFFFF"/>
            <w:vAlign w:val="center"/>
          </w:tcPr>
          <w:p w14:paraId="7DDF4BB7">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w:t>
            </w:r>
          </w:p>
        </w:tc>
        <w:tc>
          <w:tcPr>
            <w:tcW w:w="515" w:type="pct"/>
            <w:shd w:val="clear" w:color="000000" w:fill="FFFFFF"/>
            <w:vAlign w:val="center"/>
          </w:tcPr>
          <w:p w14:paraId="49075E0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及时</w:t>
            </w:r>
          </w:p>
        </w:tc>
        <w:tc>
          <w:tcPr>
            <w:tcW w:w="534" w:type="pct"/>
            <w:shd w:val="clear" w:color="000000" w:fill="FFFFFF"/>
            <w:vAlign w:val="center"/>
          </w:tcPr>
          <w:p w14:paraId="25D32EF9">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及时</w:t>
            </w:r>
          </w:p>
        </w:tc>
        <w:tc>
          <w:tcPr>
            <w:tcW w:w="602" w:type="pct"/>
            <w:shd w:val="clear" w:color="000000" w:fill="FFFFFF"/>
            <w:vAlign w:val="center"/>
          </w:tcPr>
          <w:p w14:paraId="303D30ED">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000000" w:fill="FFFFFF"/>
            <w:vAlign w:val="center"/>
          </w:tcPr>
          <w:p w14:paraId="4D21E14F">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w:t>
            </w:r>
          </w:p>
        </w:tc>
      </w:tr>
      <w:tr w14:paraId="7BA79A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3187502D">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457" w:type="pct"/>
            <w:vMerge w:val="continue"/>
            <w:shd w:val="clear" w:color="auto" w:fill="FFFFFF"/>
            <w:vAlign w:val="center"/>
          </w:tcPr>
          <w:p w14:paraId="6E8A44D6">
            <w:pPr>
              <w:widowControl/>
              <w:spacing w:line="0" w:lineRule="atLeast"/>
              <w:jc w:val="center"/>
              <w:rPr>
                <w:rFonts w:hint="default" w:ascii="Times New Roman" w:hAnsi="Times New Roman" w:cs="Times New Roman" w:eastAsiaTheme="minorEastAsia"/>
                <w:color w:val="000000"/>
                <w:kern w:val="0"/>
                <w:sz w:val="24"/>
                <w:szCs w:val="24"/>
                <w:highlight w:val="none"/>
              </w:rPr>
            </w:pPr>
          </w:p>
        </w:tc>
        <w:tc>
          <w:tcPr>
            <w:tcW w:w="723" w:type="pct"/>
            <w:shd w:val="clear" w:color="auto" w:fill="FFFFFF"/>
            <w:vAlign w:val="center"/>
          </w:tcPr>
          <w:p w14:paraId="498A3800">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产出成本</w:t>
            </w:r>
          </w:p>
        </w:tc>
        <w:tc>
          <w:tcPr>
            <w:tcW w:w="799" w:type="pct"/>
            <w:shd w:val="clear" w:color="auto" w:fill="FFFFFF"/>
            <w:vAlign w:val="center"/>
          </w:tcPr>
          <w:p w14:paraId="46AE2F6F">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成本节约率</w:t>
            </w:r>
          </w:p>
        </w:tc>
        <w:tc>
          <w:tcPr>
            <w:tcW w:w="490" w:type="pct"/>
            <w:shd w:val="clear" w:color="000000" w:fill="FFFFFF"/>
            <w:vAlign w:val="center"/>
          </w:tcPr>
          <w:p w14:paraId="046657D3">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w:t>
            </w:r>
          </w:p>
        </w:tc>
        <w:tc>
          <w:tcPr>
            <w:tcW w:w="515" w:type="pct"/>
            <w:shd w:val="clear" w:color="000000" w:fill="FFFFFF"/>
            <w:vAlign w:val="center"/>
          </w:tcPr>
          <w:p w14:paraId="1C5321DD">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100%</w:t>
            </w:r>
          </w:p>
        </w:tc>
        <w:tc>
          <w:tcPr>
            <w:tcW w:w="534" w:type="pct"/>
            <w:shd w:val="clear" w:color="000000" w:fill="FFFFFF"/>
            <w:vAlign w:val="center"/>
          </w:tcPr>
          <w:p w14:paraId="6C07086B">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100%</w:t>
            </w:r>
          </w:p>
        </w:tc>
        <w:tc>
          <w:tcPr>
            <w:tcW w:w="602" w:type="pct"/>
            <w:shd w:val="clear" w:color="000000" w:fill="FFFFFF"/>
            <w:vAlign w:val="center"/>
          </w:tcPr>
          <w:p w14:paraId="00AEA254">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000000" w:fill="FFFFFF"/>
            <w:vAlign w:val="center"/>
          </w:tcPr>
          <w:p w14:paraId="7D20C6CB">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w:t>
            </w:r>
          </w:p>
        </w:tc>
      </w:tr>
      <w:tr w14:paraId="6414EF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restart"/>
            <w:shd w:val="clear" w:color="auto" w:fill="FFFFFF"/>
            <w:vAlign w:val="center"/>
          </w:tcPr>
          <w:p w14:paraId="224A6A46">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效益　</w:t>
            </w:r>
          </w:p>
        </w:tc>
        <w:tc>
          <w:tcPr>
            <w:tcW w:w="457" w:type="pct"/>
            <w:vMerge w:val="restart"/>
            <w:shd w:val="clear" w:color="auto" w:fill="FFFFFF"/>
            <w:vAlign w:val="center"/>
          </w:tcPr>
          <w:p w14:paraId="47664996">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20分</w:t>
            </w:r>
          </w:p>
        </w:tc>
        <w:tc>
          <w:tcPr>
            <w:tcW w:w="723" w:type="pct"/>
            <w:vMerge w:val="restart"/>
            <w:shd w:val="clear" w:color="auto" w:fill="FFFFFF"/>
            <w:vAlign w:val="center"/>
          </w:tcPr>
          <w:p w14:paraId="422FB812">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项目效益　</w:t>
            </w:r>
          </w:p>
        </w:tc>
        <w:tc>
          <w:tcPr>
            <w:tcW w:w="799" w:type="pct"/>
            <w:shd w:val="clear" w:color="auto" w:fill="FFFFFF"/>
            <w:vAlign w:val="center"/>
          </w:tcPr>
          <w:p w14:paraId="706A8F96">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实施效益</w:t>
            </w:r>
          </w:p>
          <w:p w14:paraId="5082DA11">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（社会效益、经济效益、可持续效益）</w:t>
            </w:r>
          </w:p>
        </w:tc>
        <w:tc>
          <w:tcPr>
            <w:tcW w:w="490" w:type="pct"/>
            <w:shd w:val="clear" w:color="auto" w:fill="FFFFFF"/>
            <w:vAlign w:val="center"/>
          </w:tcPr>
          <w:p w14:paraId="76F7590B">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w:t>
            </w:r>
          </w:p>
        </w:tc>
        <w:tc>
          <w:tcPr>
            <w:tcW w:w="515" w:type="pct"/>
            <w:shd w:val="clear" w:color="auto" w:fill="FFFFFF"/>
            <w:vAlign w:val="center"/>
          </w:tcPr>
          <w:p w14:paraId="3DB03D12">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有效</w:t>
            </w:r>
          </w:p>
        </w:tc>
        <w:tc>
          <w:tcPr>
            <w:tcW w:w="534" w:type="pct"/>
            <w:shd w:val="clear" w:color="auto" w:fill="FFFFFF"/>
            <w:vAlign w:val="center"/>
          </w:tcPr>
          <w:p w14:paraId="7965E73A">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有效</w:t>
            </w:r>
          </w:p>
        </w:tc>
        <w:tc>
          <w:tcPr>
            <w:tcW w:w="602" w:type="pct"/>
            <w:shd w:val="clear" w:color="auto" w:fill="FFFFFF"/>
            <w:vAlign w:val="center"/>
          </w:tcPr>
          <w:p w14:paraId="23E6944C">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auto" w:fill="FFFFFF"/>
            <w:vAlign w:val="center"/>
          </w:tcPr>
          <w:p w14:paraId="2114EE99">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w:t>
            </w:r>
          </w:p>
        </w:tc>
      </w:tr>
      <w:tr w14:paraId="1BFED6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404" w:type="pct"/>
            <w:vMerge w:val="continue"/>
            <w:shd w:val="clear" w:color="auto" w:fill="FFFFFF"/>
            <w:vAlign w:val="center"/>
          </w:tcPr>
          <w:p w14:paraId="07A5D7A8">
            <w:pPr>
              <w:widowControl/>
              <w:spacing w:line="0" w:lineRule="atLeast"/>
              <w:jc w:val="center"/>
              <w:rPr>
                <w:rFonts w:hint="default" w:ascii="Times New Roman" w:hAnsi="Times New Roman" w:cs="Times New Roman" w:eastAsiaTheme="minorEastAsia"/>
                <w:color w:val="000000"/>
                <w:kern w:val="0"/>
                <w:sz w:val="32"/>
                <w:szCs w:val="32"/>
                <w:highlight w:val="none"/>
              </w:rPr>
            </w:pPr>
          </w:p>
        </w:tc>
        <w:tc>
          <w:tcPr>
            <w:tcW w:w="457" w:type="pct"/>
            <w:vMerge w:val="continue"/>
            <w:shd w:val="clear" w:color="auto" w:fill="FFFFFF"/>
            <w:vAlign w:val="center"/>
          </w:tcPr>
          <w:p w14:paraId="0EE7C5F0">
            <w:pPr>
              <w:widowControl/>
              <w:spacing w:line="0" w:lineRule="atLeast"/>
              <w:jc w:val="center"/>
              <w:rPr>
                <w:rFonts w:hint="default" w:ascii="Times New Roman" w:hAnsi="Times New Roman" w:cs="Times New Roman" w:eastAsiaTheme="minorEastAsia"/>
                <w:color w:val="000000"/>
                <w:kern w:val="0"/>
                <w:sz w:val="32"/>
                <w:szCs w:val="32"/>
                <w:highlight w:val="none"/>
              </w:rPr>
            </w:pPr>
          </w:p>
        </w:tc>
        <w:tc>
          <w:tcPr>
            <w:tcW w:w="723" w:type="pct"/>
            <w:vMerge w:val="continue"/>
            <w:shd w:val="clear" w:color="auto" w:fill="FFFFFF"/>
            <w:vAlign w:val="center"/>
          </w:tcPr>
          <w:p w14:paraId="423308DC">
            <w:pPr>
              <w:widowControl/>
              <w:spacing w:line="0" w:lineRule="atLeast"/>
              <w:jc w:val="center"/>
              <w:rPr>
                <w:rFonts w:hint="default" w:ascii="Times New Roman" w:hAnsi="Times New Roman" w:cs="Times New Roman" w:eastAsiaTheme="minorEastAsia"/>
                <w:color w:val="000000"/>
                <w:kern w:val="0"/>
                <w:sz w:val="32"/>
                <w:szCs w:val="32"/>
                <w:highlight w:val="none"/>
              </w:rPr>
            </w:pPr>
          </w:p>
        </w:tc>
        <w:tc>
          <w:tcPr>
            <w:tcW w:w="799" w:type="pct"/>
            <w:shd w:val="clear" w:color="auto" w:fill="FFFFFF"/>
            <w:vAlign w:val="center"/>
          </w:tcPr>
          <w:p w14:paraId="258D7535">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满意度</w:t>
            </w:r>
          </w:p>
        </w:tc>
        <w:tc>
          <w:tcPr>
            <w:tcW w:w="490" w:type="pct"/>
            <w:shd w:val="clear" w:color="000000" w:fill="FFFFFF"/>
            <w:vAlign w:val="center"/>
          </w:tcPr>
          <w:p w14:paraId="51C8903C">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10</w:t>
            </w:r>
          </w:p>
        </w:tc>
        <w:tc>
          <w:tcPr>
            <w:tcW w:w="515" w:type="pct"/>
            <w:shd w:val="clear" w:color="000000" w:fill="FFFFFF"/>
            <w:vAlign w:val="center"/>
          </w:tcPr>
          <w:p w14:paraId="16112356">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rPr>
              <w:t>≥</w:t>
            </w:r>
            <w:r>
              <w:rPr>
                <w:rFonts w:hint="default" w:ascii="Times New Roman" w:hAnsi="Times New Roman" w:cs="Times New Roman" w:eastAsiaTheme="minorEastAsia"/>
                <w:color w:val="000000"/>
                <w:kern w:val="0"/>
                <w:sz w:val="24"/>
                <w:szCs w:val="24"/>
                <w:highlight w:val="none"/>
                <w:lang w:val="en-US" w:eastAsia="zh-CN"/>
              </w:rPr>
              <w:t>95</w:t>
            </w:r>
            <w:r>
              <w:rPr>
                <w:rFonts w:hint="default" w:ascii="Times New Roman" w:hAnsi="Times New Roman" w:cs="Times New Roman" w:eastAsiaTheme="minorEastAsia"/>
                <w:color w:val="000000"/>
                <w:kern w:val="0"/>
                <w:sz w:val="24"/>
                <w:szCs w:val="24"/>
                <w:highlight w:val="none"/>
              </w:rPr>
              <w:t>%</w:t>
            </w:r>
          </w:p>
        </w:tc>
        <w:tc>
          <w:tcPr>
            <w:tcW w:w="534" w:type="pct"/>
            <w:shd w:val="clear" w:color="000000" w:fill="FFFFFF"/>
            <w:vAlign w:val="center"/>
          </w:tcPr>
          <w:p w14:paraId="7AFE2335">
            <w:pPr>
              <w:widowControl/>
              <w:spacing w:line="0" w:lineRule="atLeast"/>
              <w:jc w:val="center"/>
              <w:rPr>
                <w:rFonts w:hint="default" w:ascii="Times New Roman" w:hAnsi="Times New Roman" w:cs="Times New Roman" w:eastAsiaTheme="minorEastAsia"/>
                <w:color w:val="000000"/>
                <w:kern w:val="0"/>
                <w:sz w:val="24"/>
                <w:szCs w:val="24"/>
                <w:highlight w:val="none"/>
              </w:rPr>
            </w:pPr>
            <w:r>
              <w:rPr>
                <w:rFonts w:hint="default" w:ascii="Times New Roman" w:hAnsi="Times New Roman" w:cs="Times New Roman" w:eastAsiaTheme="minorEastAsia"/>
                <w:color w:val="000000"/>
                <w:kern w:val="0"/>
                <w:sz w:val="24"/>
                <w:szCs w:val="24"/>
                <w:highlight w:val="none"/>
                <w:lang w:val="en-US" w:eastAsia="zh-CN"/>
              </w:rPr>
              <w:t>98</w:t>
            </w:r>
            <w:r>
              <w:rPr>
                <w:rFonts w:hint="default" w:ascii="Times New Roman" w:hAnsi="Times New Roman" w:cs="Times New Roman" w:eastAsiaTheme="minorEastAsia"/>
                <w:color w:val="000000"/>
                <w:kern w:val="0"/>
                <w:sz w:val="24"/>
                <w:szCs w:val="24"/>
                <w:highlight w:val="none"/>
              </w:rPr>
              <w:t>%</w:t>
            </w:r>
          </w:p>
        </w:tc>
        <w:tc>
          <w:tcPr>
            <w:tcW w:w="602" w:type="pct"/>
            <w:shd w:val="clear" w:color="000000" w:fill="FFFFFF"/>
            <w:vAlign w:val="center"/>
          </w:tcPr>
          <w:p w14:paraId="51D0E21E">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100%</w:t>
            </w:r>
          </w:p>
        </w:tc>
        <w:tc>
          <w:tcPr>
            <w:tcW w:w="473" w:type="pct"/>
            <w:shd w:val="clear" w:color="000000" w:fill="FFFFFF"/>
            <w:vAlign w:val="center"/>
          </w:tcPr>
          <w:p w14:paraId="7F8399AD">
            <w:pPr>
              <w:widowControl/>
              <w:spacing w:line="0" w:lineRule="atLeast"/>
              <w:jc w:val="center"/>
              <w:rPr>
                <w:rFonts w:hint="default" w:ascii="Times New Roman" w:hAnsi="Times New Roman" w:cs="Times New Roman" w:eastAsiaTheme="minorEastAsia"/>
                <w:color w:val="000000"/>
                <w:kern w:val="0"/>
                <w:sz w:val="24"/>
                <w:szCs w:val="24"/>
                <w:highlight w:val="none"/>
                <w:lang w:val="en-US" w:eastAsia="zh-CN" w:bidi="ar-SA"/>
              </w:rPr>
            </w:pPr>
            <w:r>
              <w:rPr>
                <w:rFonts w:hint="default" w:ascii="Times New Roman" w:hAnsi="Times New Roman" w:cs="Times New Roman" w:eastAsiaTheme="minorEastAsia"/>
                <w:color w:val="000000"/>
                <w:kern w:val="0"/>
                <w:sz w:val="24"/>
                <w:szCs w:val="24"/>
                <w:highlight w:val="none"/>
                <w:lang w:val="en-US" w:eastAsia="zh-CN"/>
              </w:rPr>
              <w:t>10</w:t>
            </w:r>
          </w:p>
        </w:tc>
      </w:tr>
      <w:tr w14:paraId="5FEA3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2383" w:type="pct"/>
            <w:gridSpan w:val="4"/>
            <w:shd w:val="clear" w:color="auto" w:fill="FFFFFF"/>
            <w:vAlign w:val="center"/>
          </w:tcPr>
          <w:p w14:paraId="723315F0">
            <w:pPr>
              <w:widowControl/>
              <w:spacing w:line="0" w:lineRule="atLeast"/>
              <w:jc w:val="center"/>
              <w:rPr>
                <w:rFonts w:hint="default" w:ascii="Times New Roman" w:hAnsi="Times New Roman" w:cs="Times New Roman" w:eastAsiaTheme="minorEastAsia"/>
                <w:b/>
                <w:bCs/>
                <w:color w:val="000000"/>
                <w:kern w:val="0"/>
                <w:sz w:val="24"/>
                <w:szCs w:val="24"/>
                <w:highlight w:val="none"/>
                <w:lang w:val="en-US" w:eastAsia="zh-CN"/>
              </w:rPr>
            </w:pPr>
            <w:r>
              <w:rPr>
                <w:rFonts w:hint="default" w:ascii="Times New Roman" w:hAnsi="Times New Roman" w:cs="Times New Roman" w:eastAsiaTheme="minorEastAsia"/>
                <w:b/>
                <w:bCs/>
                <w:color w:val="000000"/>
                <w:kern w:val="0"/>
                <w:sz w:val="24"/>
                <w:szCs w:val="24"/>
                <w:highlight w:val="none"/>
                <w:lang w:val="en-US" w:eastAsia="zh-CN"/>
              </w:rPr>
              <w:t>合计</w:t>
            </w:r>
          </w:p>
        </w:tc>
        <w:tc>
          <w:tcPr>
            <w:tcW w:w="490" w:type="pct"/>
            <w:shd w:val="clear" w:color="000000" w:fill="FFFFFF"/>
            <w:vAlign w:val="center"/>
          </w:tcPr>
          <w:p w14:paraId="53E4C8C6">
            <w:pPr>
              <w:widowControl/>
              <w:spacing w:line="0" w:lineRule="atLeast"/>
              <w:jc w:val="center"/>
              <w:rPr>
                <w:rFonts w:hint="default" w:ascii="Times New Roman" w:hAnsi="Times New Roman" w:cs="Times New Roman" w:eastAsiaTheme="minorEastAsia"/>
                <w:b/>
                <w:bCs/>
                <w:color w:val="000000"/>
                <w:kern w:val="0"/>
                <w:sz w:val="24"/>
                <w:szCs w:val="24"/>
                <w:highlight w:val="none"/>
                <w:lang w:val="en-US" w:eastAsia="zh-CN"/>
              </w:rPr>
            </w:pPr>
            <w:r>
              <w:rPr>
                <w:rFonts w:hint="default" w:ascii="Times New Roman" w:hAnsi="Times New Roman" w:cs="Times New Roman" w:eastAsiaTheme="minorEastAsia"/>
                <w:b/>
                <w:bCs/>
                <w:color w:val="000000"/>
                <w:kern w:val="0"/>
                <w:sz w:val="24"/>
                <w:szCs w:val="24"/>
                <w:highlight w:val="none"/>
                <w:lang w:val="en-US" w:eastAsia="zh-CN"/>
              </w:rPr>
              <w:t>100</w:t>
            </w:r>
          </w:p>
        </w:tc>
        <w:tc>
          <w:tcPr>
            <w:tcW w:w="515" w:type="pct"/>
            <w:shd w:val="clear" w:color="000000" w:fill="FFFFFF"/>
            <w:vAlign w:val="center"/>
          </w:tcPr>
          <w:p w14:paraId="78D74B77">
            <w:pPr>
              <w:widowControl/>
              <w:spacing w:line="0" w:lineRule="atLeast"/>
              <w:jc w:val="center"/>
              <w:rPr>
                <w:rFonts w:hint="default" w:ascii="Times New Roman" w:hAnsi="Times New Roman" w:cs="Times New Roman" w:eastAsiaTheme="minorEastAsia"/>
                <w:b/>
                <w:bCs/>
                <w:color w:val="000000"/>
                <w:kern w:val="0"/>
                <w:sz w:val="24"/>
                <w:szCs w:val="24"/>
                <w:highlight w:val="none"/>
                <w:lang w:val="en-US" w:eastAsia="zh-CN"/>
              </w:rPr>
            </w:pPr>
            <w:r>
              <w:rPr>
                <w:rFonts w:hint="default" w:ascii="Times New Roman" w:hAnsi="Times New Roman" w:cs="Times New Roman" w:eastAsiaTheme="minorEastAsia"/>
                <w:b/>
                <w:bCs/>
                <w:color w:val="000000"/>
                <w:kern w:val="0"/>
                <w:sz w:val="24"/>
                <w:szCs w:val="24"/>
                <w:highlight w:val="none"/>
                <w:lang w:val="en-US" w:eastAsia="zh-CN"/>
              </w:rPr>
              <w:t>-</w:t>
            </w:r>
          </w:p>
        </w:tc>
        <w:tc>
          <w:tcPr>
            <w:tcW w:w="534" w:type="pct"/>
            <w:shd w:val="clear" w:color="000000" w:fill="FFFFFF"/>
            <w:vAlign w:val="center"/>
          </w:tcPr>
          <w:p w14:paraId="5DD58278">
            <w:pPr>
              <w:widowControl/>
              <w:spacing w:line="0" w:lineRule="atLeast"/>
              <w:jc w:val="center"/>
              <w:rPr>
                <w:rFonts w:hint="default" w:ascii="Times New Roman" w:hAnsi="Times New Roman" w:cs="Times New Roman" w:eastAsiaTheme="minorEastAsia"/>
                <w:b/>
                <w:bCs/>
                <w:color w:val="000000"/>
                <w:kern w:val="0"/>
                <w:sz w:val="24"/>
                <w:szCs w:val="24"/>
                <w:highlight w:val="none"/>
                <w:lang w:val="en-US" w:eastAsia="zh-CN"/>
              </w:rPr>
            </w:pPr>
            <w:r>
              <w:rPr>
                <w:rFonts w:hint="default" w:ascii="Times New Roman" w:hAnsi="Times New Roman" w:cs="Times New Roman" w:eastAsiaTheme="minorEastAsia"/>
                <w:b/>
                <w:bCs/>
                <w:color w:val="000000"/>
                <w:kern w:val="0"/>
                <w:sz w:val="24"/>
                <w:szCs w:val="24"/>
                <w:highlight w:val="none"/>
                <w:lang w:val="en-US" w:eastAsia="zh-CN"/>
              </w:rPr>
              <w:t>-</w:t>
            </w:r>
          </w:p>
        </w:tc>
        <w:tc>
          <w:tcPr>
            <w:tcW w:w="602" w:type="pct"/>
            <w:shd w:val="clear" w:color="000000" w:fill="FFFFFF"/>
            <w:vAlign w:val="center"/>
          </w:tcPr>
          <w:p w14:paraId="1A6ADA6D">
            <w:pPr>
              <w:widowControl/>
              <w:spacing w:line="0" w:lineRule="atLeast"/>
              <w:jc w:val="center"/>
              <w:rPr>
                <w:rFonts w:hint="default" w:ascii="Times New Roman" w:hAnsi="Times New Roman" w:cs="Times New Roman" w:eastAsiaTheme="minorEastAsia"/>
                <w:b/>
                <w:bCs/>
                <w:color w:val="000000"/>
                <w:kern w:val="0"/>
                <w:sz w:val="24"/>
                <w:szCs w:val="24"/>
                <w:highlight w:val="none"/>
                <w:lang w:val="en-US" w:eastAsia="zh-CN"/>
              </w:rPr>
            </w:pPr>
            <w:r>
              <w:rPr>
                <w:rFonts w:hint="default" w:ascii="Times New Roman" w:hAnsi="Times New Roman" w:cs="Times New Roman" w:eastAsiaTheme="minorEastAsia"/>
                <w:b/>
                <w:bCs/>
                <w:color w:val="000000"/>
                <w:kern w:val="0"/>
                <w:sz w:val="24"/>
                <w:szCs w:val="24"/>
                <w:highlight w:val="none"/>
                <w:lang w:val="en-US" w:eastAsia="zh-CN"/>
              </w:rPr>
              <w:t>-</w:t>
            </w:r>
          </w:p>
        </w:tc>
        <w:tc>
          <w:tcPr>
            <w:tcW w:w="473" w:type="pct"/>
            <w:shd w:val="clear" w:color="000000" w:fill="FFFFFF"/>
            <w:vAlign w:val="center"/>
          </w:tcPr>
          <w:p w14:paraId="6476FA4B">
            <w:pPr>
              <w:widowControl/>
              <w:spacing w:line="0" w:lineRule="atLeast"/>
              <w:jc w:val="center"/>
              <w:rPr>
                <w:rFonts w:hint="default" w:ascii="Times New Roman" w:hAnsi="Times New Roman" w:cs="Times New Roman" w:eastAsiaTheme="minorEastAsia"/>
                <w:b/>
                <w:bCs/>
                <w:color w:val="000000"/>
                <w:kern w:val="0"/>
                <w:sz w:val="24"/>
                <w:szCs w:val="24"/>
                <w:highlight w:val="none"/>
                <w:lang w:val="en-US" w:eastAsia="zh-CN"/>
              </w:rPr>
            </w:pPr>
            <w:r>
              <w:rPr>
                <w:rFonts w:hint="default" w:ascii="Times New Roman" w:hAnsi="Times New Roman" w:cs="Times New Roman" w:eastAsiaTheme="minorEastAsia"/>
                <w:b/>
                <w:bCs/>
                <w:color w:val="000000"/>
                <w:kern w:val="0"/>
                <w:sz w:val="24"/>
                <w:szCs w:val="24"/>
                <w:highlight w:val="none"/>
                <w:lang w:val="en-US" w:eastAsia="zh-CN"/>
              </w:rPr>
              <w:fldChar w:fldCharType="begin"/>
            </w:r>
            <w:r>
              <w:rPr>
                <w:rFonts w:hint="default" w:ascii="Times New Roman" w:hAnsi="Times New Roman" w:cs="Times New Roman" w:eastAsiaTheme="minorEastAsia"/>
                <w:b/>
                <w:bCs/>
                <w:color w:val="000000"/>
                <w:kern w:val="0"/>
                <w:sz w:val="24"/>
                <w:szCs w:val="24"/>
                <w:highlight w:val="none"/>
                <w:lang w:val="en-US" w:eastAsia="zh-CN"/>
              </w:rPr>
              <w:instrText xml:space="preserve"> = sum(I2:I18) \* MERGEFORMAT </w:instrText>
            </w:r>
            <w:r>
              <w:rPr>
                <w:rFonts w:hint="default" w:ascii="Times New Roman" w:hAnsi="Times New Roman" w:cs="Times New Roman" w:eastAsiaTheme="minorEastAsia"/>
                <w:b/>
                <w:bCs/>
                <w:color w:val="000000"/>
                <w:kern w:val="0"/>
                <w:sz w:val="24"/>
                <w:szCs w:val="24"/>
                <w:highlight w:val="none"/>
                <w:lang w:val="en-US" w:eastAsia="zh-CN"/>
              </w:rPr>
              <w:fldChar w:fldCharType="separate"/>
            </w:r>
            <w:r>
              <w:rPr>
                <w:rFonts w:hint="default" w:ascii="Times New Roman" w:hAnsi="Times New Roman" w:cs="Times New Roman" w:eastAsiaTheme="minorEastAsia"/>
                <w:b/>
                <w:bCs/>
                <w:color w:val="000000"/>
                <w:kern w:val="0"/>
                <w:sz w:val="24"/>
                <w:szCs w:val="24"/>
                <w:highlight w:val="none"/>
                <w:lang w:val="en-US" w:eastAsia="zh-CN"/>
              </w:rPr>
              <w:t>99.34</w:t>
            </w:r>
            <w:r>
              <w:rPr>
                <w:rFonts w:hint="default" w:ascii="Times New Roman" w:hAnsi="Times New Roman" w:cs="Times New Roman" w:eastAsiaTheme="minorEastAsia"/>
                <w:b/>
                <w:bCs/>
                <w:color w:val="000000"/>
                <w:kern w:val="0"/>
                <w:sz w:val="24"/>
                <w:szCs w:val="24"/>
                <w:highlight w:val="none"/>
                <w:lang w:val="en-US" w:eastAsia="zh-CN"/>
              </w:rPr>
              <w:fldChar w:fldCharType="end"/>
            </w:r>
          </w:p>
        </w:tc>
      </w:tr>
    </w:tbl>
    <w:p w14:paraId="3459A6E7">
      <w:pPr>
        <w:spacing w:line="560" w:lineRule="exact"/>
        <w:ind w:firstLine="640" w:firstLineChars="20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val="en-US" w:eastAsia="zh-CN"/>
        </w:rPr>
        <w:t>四、</w:t>
      </w:r>
      <w:r>
        <w:rPr>
          <w:rFonts w:hint="eastAsia" w:ascii="黑体" w:hAnsi="黑体" w:eastAsia="黑体" w:cs="黑体"/>
          <w:b w:val="0"/>
          <w:bCs w:val="0"/>
          <w:sz w:val="32"/>
          <w:szCs w:val="32"/>
          <w:highlight w:val="none"/>
        </w:rPr>
        <w:t>绩效评价指标分析</w:t>
      </w:r>
    </w:p>
    <w:p w14:paraId="5E651C0F">
      <w:pPr>
        <w:pStyle w:val="9"/>
        <w:spacing w:before="0" w:after="0" w:line="560" w:lineRule="exact"/>
        <w:ind w:firstLine="643"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（一）项目决策情况</w:t>
      </w:r>
    </w:p>
    <w:p w14:paraId="6E18DA73">
      <w:pPr>
        <w:spacing w:line="360" w:lineRule="auto"/>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1、立项依据充分性</w:t>
      </w:r>
    </w:p>
    <w:p w14:paraId="420B98AA">
      <w:pPr>
        <w:spacing w:line="360" w:lineRule="auto"/>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根据《中华人民共和国民法典</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中华人民共和国招标投标法</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中华人民共和国政府采购法</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中华人民共和国合同法</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自治区本级采购人政府采购管理办法（暂行）</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新疆维吾尔自治区政府集中采购目录和分散采购限额标准》及相关政策法规</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符合</w:t>
      </w:r>
      <w:r>
        <w:rPr>
          <w:rFonts w:hint="default" w:ascii="Times New Roman" w:hAnsi="Times New Roman" w:eastAsia="仿宋_GB2312" w:cs="Times New Roman"/>
          <w:color w:val="auto"/>
          <w:sz w:val="32"/>
          <w:szCs w:val="32"/>
          <w:highlight w:val="none"/>
        </w:rPr>
        <w:t>项目立项符合国家法律法规、国民经济发展规划和相关政策；</w:t>
      </w:r>
      <w:r>
        <w:rPr>
          <w:rFonts w:hint="default" w:ascii="Times New Roman" w:hAnsi="Times New Roman" w:eastAsia="仿宋_GB2312" w:cs="Times New Roman"/>
          <w:color w:val="auto"/>
          <w:sz w:val="32"/>
          <w:szCs w:val="32"/>
          <w:highlight w:val="none"/>
          <w:lang w:val="en-US" w:eastAsia="zh-CN"/>
        </w:rPr>
        <w:t>符合</w:t>
      </w:r>
      <w:r>
        <w:rPr>
          <w:rFonts w:hint="default" w:ascii="Times New Roman" w:hAnsi="Times New Roman" w:eastAsia="仿宋_GB2312" w:cs="Times New Roman"/>
          <w:color w:val="auto"/>
          <w:sz w:val="32"/>
          <w:szCs w:val="32"/>
          <w:highlight w:val="none"/>
        </w:rPr>
        <w:t>项目立项符合行业发展规划和政策要求；</w:t>
      </w:r>
      <w:r>
        <w:rPr>
          <w:rFonts w:hint="default" w:ascii="Times New Roman" w:hAnsi="Times New Roman" w:eastAsia="仿宋_GB2312" w:cs="Times New Roman"/>
          <w:color w:val="auto"/>
          <w:sz w:val="32"/>
          <w:szCs w:val="32"/>
          <w:highlight w:val="none"/>
          <w:lang w:val="en-US" w:eastAsia="zh-CN"/>
        </w:rPr>
        <w:t>符合</w:t>
      </w:r>
      <w:r>
        <w:rPr>
          <w:rFonts w:hint="default" w:ascii="Times New Roman" w:hAnsi="Times New Roman" w:eastAsia="仿宋_GB2312" w:cs="Times New Roman"/>
          <w:color w:val="auto"/>
          <w:sz w:val="32"/>
          <w:szCs w:val="32"/>
          <w:highlight w:val="none"/>
        </w:rPr>
        <w:t>项目立项与部门职责范围，属于部门履职所需；项目属于公共财政支持范围，符合中央、地方事权支出责任划分原则；项目与相关部门同类项目或部门内部相关项目重复。</w:t>
      </w:r>
    </w:p>
    <w:p w14:paraId="0D0A6D3D">
      <w:pPr>
        <w:spacing w:line="360"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2、立项程序规范性</w:t>
      </w:r>
    </w:p>
    <w:p w14:paraId="512417D2">
      <w:pPr>
        <w:spacing w:line="360"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highlight w:val="none"/>
        </w:rPr>
        <w:t>项目申请、设立过程符合相关要求，</w:t>
      </w:r>
      <w:r>
        <w:rPr>
          <w:rFonts w:hint="default" w:ascii="Times New Roman" w:hAnsi="Times New Roman" w:eastAsia="仿宋_GB2312" w:cs="Times New Roman"/>
          <w:sz w:val="32"/>
          <w:szCs w:val="32"/>
          <w:highlight w:val="none"/>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073B71C">
      <w:pPr>
        <w:spacing w:line="360"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3、绩效目标合理性</w:t>
      </w:r>
    </w:p>
    <w:p w14:paraId="1D7B29AA">
      <w:pPr>
        <w:spacing w:line="360"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自治区人民医院政府采购项目设立了项目绩效目标，与实际工作内容具有相关性，项目的预期产出效益和效果也均能符合正常的业绩水平，并且与预算确定的项目投资额或资金量相匹配。</w:t>
      </w:r>
    </w:p>
    <w:p w14:paraId="6FA6B1A1">
      <w:pPr>
        <w:spacing w:line="360"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4、绩效指标明确性</w:t>
      </w:r>
    </w:p>
    <w:p w14:paraId="37396980">
      <w:pPr>
        <w:spacing w:line="360" w:lineRule="auto"/>
        <w:ind w:firstLine="640" w:firstLineChars="200"/>
        <w:rPr>
          <w:rFonts w:hint="default" w:ascii="Times New Roman" w:hAnsi="Times New Roman" w:eastAsia="仿宋_GB2312" w:cs="Times New Roman"/>
          <w:color w:val="auto"/>
          <w:sz w:val="32"/>
          <w:szCs w:val="32"/>
          <w:highlight w:val="none"/>
        </w:rPr>
      </w:pPr>
      <w:bookmarkStart w:id="7" w:name="_Hlk68699917"/>
      <w:r>
        <w:rPr>
          <w:rFonts w:hint="default" w:ascii="Times New Roman" w:hAnsi="Times New Roman" w:eastAsia="仿宋_GB2312" w:cs="Times New Roman"/>
          <w:color w:val="auto"/>
          <w:sz w:val="32"/>
          <w:szCs w:val="32"/>
          <w:highlight w:val="none"/>
          <w:lang w:val="en-US" w:eastAsia="zh-CN"/>
        </w:rPr>
        <w:t>自治区人民医院政府采购</w:t>
      </w:r>
      <w:r>
        <w:rPr>
          <w:rFonts w:hint="default" w:ascii="Times New Roman" w:hAnsi="Times New Roman" w:eastAsia="仿宋_GB2312" w:cs="Times New Roman"/>
          <w:color w:val="auto"/>
          <w:sz w:val="32"/>
          <w:szCs w:val="32"/>
          <w:highlight w:val="none"/>
        </w:rPr>
        <w:t>项目将项目绩效目标细化分解为具体的绩效指标，一级指标共</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条，二级指标共</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条，三级指标共</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条，其中量化指标条数共</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条，所有绩效指标均通过清晰、可衡量的指标值予以体现，并且做到了与项目目标任务数或计划数相对应。</w:t>
      </w:r>
      <w:bookmarkEnd w:id="7"/>
    </w:p>
    <w:p w14:paraId="225CA575">
      <w:pPr>
        <w:spacing w:line="360" w:lineRule="auto"/>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5、预算编制科学性</w:t>
      </w:r>
    </w:p>
    <w:p w14:paraId="1D3F869B">
      <w:pPr>
        <w:spacing w:line="360"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预算编制经过科学论证；预算内容与项目内容</w:t>
      </w:r>
      <w:r>
        <w:rPr>
          <w:rFonts w:hint="default" w:ascii="Times New Roman" w:hAnsi="Times New Roman" w:eastAsia="仿宋_GB2312" w:cs="Times New Roman"/>
          <w:color w:val="auto"/>
          <w:sz w:val="32"/>
          <w:szCs w:val="32"/>
          <w:highlight w:val="none"/>
          <w:lang w:val="en-US" w:eastAsia="zh-CN"/>
        </w:rPr>
        <w:t>相</w:t>
      </w:r>
      <w:r>
        <w:rPr>
          <w:rFonts w:hint="default" w:ascii="Times New Roman" w:hAnsi="Times New Roman" w:eastAsia="仿宋_GB2312" w:cs="Times New Roman"/>
          <w:color w:val="auto"/>
          <w:sz w:val="32"/>
          <w:szCs w:val="32"/>
          <w:highlight w:val="none"/>
        </w:rPr>
        <w:t>匹配；预算额度测算依据充分，</w:t>
      </w:r>
      <w:r>
        <w:rPr>
          <w:rFonts w:hint="default" w:ascii="Times New Roman" w:hAnsi="Times New Roman" w:eastAsia="仿宋_GB2312" w:cs="Times New Roman"/>
          <w:color w:val="auto"/>
          <w:sz w:val="32"/>
          <w:szCs w:val="32"/>
          <w:highlight w:val="none"/>
          <w:lang w:val="en-US" w:eastAsia="zh-CN"/>
        </w:rPr>
        <w:t>严格</w:t>
      </w:r>
      <w:r>
        <w:rPr>
          <w:rFonts w:hint="default" w:ascii="Times New Roman" w:hAnsi="Times New Roman" w:eastAsia="仿宋_GB2312" w:cs="Times New Roman"/>
          <w:color w:val="auto"/>
          <w:sz w:val="32"/>
          <w:szCs w:val="32"/>
          <w:highlight w:val="none"/>
        </w:rPr>
        <w:t>按照标准编制；预算确定的项目投资额或资金量与工作任务相匹配。</w:t>
      </w:r>
    </w:p>
    <w:p w14:paraId="0708067A">
      <w:pPr>
        <w:spacing w:line="360" w:lineRule="auto"/>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6、资金分配合理性</w:t>
      </w:r>
    </w:p>
    <w:p w14:paraId="3576EE7A">
      <w:pPr>
        <w:spacing w:line="360" w:lineRule="auto"/>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预算资金分配依据充分；资金分配额度合理，与项目单位或地方实际相适应。</w:t>
      </w:r>
    </w:p>
    <w:p w14:paraId="1706DA09">
      <w:pPr>
        <w:pStyle w:val="9"/>
        <w:numPr>
          <w:ilvl w:val="0"/>
          <w:numId w:val="6"/>
        </w:numPr>
        <w:spacing w:before="0" w:after="0" w:line="560" w:lineRule="exact"/>
        <w:ind w:firstLine="643"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项目过程情况</w:t>
      </w:r>
    </w:p>
    <w:p w14:paraId="16B64C62">
      <w:pPr>
        <w:ind w:firstLine="640" w:firstLineChars="20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color w:val="auto"/>
          <w:sz w:val="32"/>
          <w:szCs w:val="32"/>
          <w:highlight w:val="none"/>
        </w:rPr>
        <w:t>1、资金到位率</w:t>
      </w:r>
    </w:p>
    <w:p w14:paraId="71999C0F">
      <w:pPr>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预算资金</w:t>
      </w:r>
      <w:r>
        <w:rPr>
          <w:rFonts w:hint="default" w:ascii="Times New Roman" w:hAnsi="Times New Roman" w:eastAsia="仿宋_GB2312" w:cs="Times New Roman"/>
          <w:color w:val="auto"/>
          <w:sz w:val="32"/>
          <w:szCs w:val="32"/>
          <w:highlight w:val="none"/>
          <w:lang w:val="en-US" w:eastAsia="zh-CN"/>
        </w:rPr>
        <w:t>214495.10</w:t>
      </w:r>
      <w:r>
        <w:rPr>
          <w:rFonts w:hint="default" w:ascii="Times New Roman" w:hAnsi="Times New Roman" w:eastAsia="仿宋_GB2312" w:cs="Times New Roman"/>
          <w:color w:val="auto"/>
          <w:sz w:val="32"/>
          <w:szCs w:val="32"/>
          <w:highlight w:val="none"/>
        </w:rPr>
        <w:t>万元，实际到位资金</w:t>
      </w:r>
      <w:r>
        <w:rPr>
          <w:rFonts w:hint="default" w:ascii="Times New Roman" w:hAnsi="Times New Roman" w:eastAsia="仿宋_GB2312" w:cs="Times New Roman"/>
          <w:color w:val="auto"/>
          <w:sz w:val="32"/>
          <w:szCs w:val="32"/>
          <w:highlight w:val="none"/>
          <w:lang w:val="en-US" w:eastAsia="zh-CN"/>
        </w:rPr>
        <w:t>214495.10</w:t>
      </w:r>
      <w:r>
        <w:rPr>
          <w:rFonts w:hint="default" w:ascii="Times New Roman" w:hAnsi="Times New Roman" w:eastAsia="仿宋_GB2312" w:cs="Times New Roman"/>
          <w:color w:val="auto"/>
          <w:sz w:val="32"/>
          <w:szCs w:val="32"/>
          <w:highlight w:val="none"/>
        </w:rPr>
        <w:t>万元，资金到位率</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14:paraId="2C921288">
      <w:pPr>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2、预算执行率</w:t>
      </w:r>
    </w:p>
    <w:p w14:paraId="51CD1C50">
      <w:pPr>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年初预算数</w:t>
      </w:r>
      <w:r>
        <w:rPr>
          <w:rFonts w:hint="default" w:ascii="Times New Roman" w:hAnsi="Times New Roman" w:eastAsia="仿宋_GB2312" w:cs="Times New Roman"/>
          <w:b w:val="0"/>
          <w:bCs w:val="0"/>
          <w:i w:val="0"/>
          <w:iCs w:val="0"/>
          <w:color w:val="auto"/>
          <w:kern w:val="0"/>
          <w:sz w:val="32"/>
          <w:szCs w:val="32"/>
          <w:highlight w:val="none"/>
          <w:u w:val="none"/>
          <w:lang w:val="en-US" w:eastAsia="zh-CN" w:bidi="ar"/>
        </w:rPr>
        <w:t>214495.10</w:t>
      </w:r>
      <w:r>
        <w:rPr>
          <w:rFonts w:hint="default" w:ascii="Times New Roman" w:hAnsi="Times New Roman" w:eastAsia="仿宋_GB2312" w:cs="Times New Roman"/>
          <w:color w:val="auto"/>
          <w:sz w:val="32"/>
          <w:szCs w:val="32"/>
          <w:highlight w:val="none"/>
        </w:rPr>
        <w:t>万元，全年预算数</w:t>
      </w:r>
      <w:r>
        <w:rPr>
          <w:rFonts w:hint="default" w:ascii="Times New Roman" w:hAnsi="Times New Roman" w:eastAsia="仿宋_GB2312" w:cs="Times New Roman"/>
          <w:b w:val="0"/>
          <w:bCs w:val="0"/>
          <w:i w:val="0"/>
          <w:iCs w:val="0"/>
          <w:color w:val="auto"/>
          <w:kern w:val="0"/>
          <w:sz w:val="32"/>
          <w:szCs w:val="32"/>
          <w:highlight w:val="none"/>
          <w:u w:val="none"/>
          <w:lang w:val="en-US" w:eastAsia="zh-CN" w:bidi="ar"/>
        </w:rPr>
        <w:t>214495.10</w:t>
      </w:r>
      <w:r>
        <w:rPr>
          <w:rFonts w:hint="default" w:ascii="Times New Roman" w:hAnsi="Times New Roman" w:eastAsia="仿宋_GB2312" w:cs="Times New Roman"/>
          <w:color w:val="auto"/>
          <w:sz w:val="32"/>
          <w:szCs w:val="32"/>
          <w:highlight w:val="none"/>
        </w:rPr>
        <w:t>万元，全年执行数</w:t>
      </w:r>
      <w:r>
        <w:rPr>
          <w:rFonts w:hint="default" w:ascii="Times New Roman" w:hAnsi="Times New Roman" w:eastAsia="仿宋_GB2312" w:cs="Times New Roman"/>
          <w:b w:val="0"/>
          <w:bCs w:val="0"/>
          <w:color w:val="auto"/>
          <w:kern w:val="2"/>
          <w:sz w:val="32"/>
          <w:szCs w:val="32"/>
          <w:highlight w:val="none"/>
        </w:rPr>
        <w:t>179250.4</w:t>
      </w:r>
      <w:r>
        <w:rPr>
          <w:rFonts w:hint="default" w:ascii="Times New Roman" w:hAnsi="Times New Roman" w:eastAsia="仿宋_GB2312" w:cs="Times New Roman"/>
          <w:b w:val="0"/>
          <w:bCs w:val="0"/>
          <w:color w:val="auto"/>
          <w:kern w:val="2"/>
          <w:sz w:val="32"/>
          <w:szCs w:val="32"/>
          <w:highlight w:val="none"/>
          <w:lang w:val="en-US" w:eastAsia="zh-CN"/>
        </w:rPr>
        <w:t>8</w:t>
      </w:r>
      <w:r>
        <w:rPr>
          <w:rFonts w:hint="default" w:ascii="Times New Roman" w:hAnsi="Times New Roman" w:eastAsia="仿宋_GB2312" w:cs="Times New Roman"/>
          <w:color w:val="auto"/>
          <w:sz w:val="32"/>
          <w:szCs w:val="32"/>
          <w:highlight w:val="none"/>
        </w:rPr>
        <w:t>万元，预算执行率为</w:t>
      </w:r>
      <w:r>
        <w:rPr>
          <w:rFonts w:hint="default" w:ascii="Times New Roman" w:hAnsi="Times New Roman" w:eastAsia="仿宋_GB2312" w:cs="Times New Roman"/>
          <w:b w:val="0"/>
          <w:bCs w:val="0"/>
          <w:color w:val="auto"/>
          <w:kern w:val="2"/>
          <w:sz w:val="32"/>
          <w:szCs w:val="32"/>
          <w:highlight w:val="none"/>
          <w:lang w:val="en-US" w:eastAsia="zh-CN"/>
        </w:rPr>
        <w:t>83.57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14:paraId="6173289C">
      <w:pPr>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3、资金使用合规性</w:t>
      </w:r>
    </w:p>
    <w:p w14:paraId="64DC4924">
      <w:pPr>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3C4F5B6">
      <w:pPr>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4、管理制度健全性</w:t>
      </w:r>
    </w:p>
    <w:p w14:paraId="371669DE">
      <w:pPr>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46277D8">
      <w:pPr>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5、制度执行有效性</w:t>
      </w:r>
    </w:p>
    <w:p w14:paraId="5CA4EC78">
      <w:pPr>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我单位严格</w:t>
      </w:r>
      <w:r>
        <w:rPr>
          <w:rFonts w:hint="default" w:ascii="Times New Roman" w:hAnsi="Times New Roman" w:eastAsia="仿宋_GB2312" w:cs="Times New Roman"/>
          <w:color w:val="auto"/>
          <w:sz w:val="32"/>
          <w:szCs w:val="32"/>
          <w:highlight w:val="none"/>
        </w:rPr>
        <w:t>遵守相关法律法规和相关管理规定；项目调整及支出调整手续完备；项目合同书、验收报告、技术鉴定等资料齐全并及时归档；项目实施的人员条件、场地设备、信息支撑等落实到位。</w:t>
      </w:r>
    </w:p>
    <w:p w14:paraId="4B82D607">
      <w:pPr>
        <w:pStyle w:val="10"/>
        <w:numPr>
          <w:ilvl w:val="0"/>
          <w:numId w:val="6"/>
        </w:numPr>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项目产出</w:t>
      </w:r>
      <w:r>
        <w:rPr>
          <w:rFonts w:hint="default" w:ascii="Times New Roman" w:hAnsi="Times New Roman" w:eastAsia="仿宋_GB2312" w:cs="Times New Roman"/>
          <w:b/>
          <w:bCs/>
          <w:sz w:val="32"/>
          <w:szCs w:val="32"/>
          <w:highlight w:val="none"/>
          <w:lang w:val="en-US" w:eastAsia="zh-CN"/>
        </w:rPr>
        <w:t>情况</w:t>
      </w:r>
    </w:p>
    <w:p w14:paraId="5BA14F2C">
      <w:pPr>
        <w:snapToGrid w:val="0"/>
        <w:spacing w:line="560" w:lineRule="exact"/>
        <w:ind w:firstLine="627" w:firstLineChars="200"/>
        <w:rPr>
          <w:rStyle w:val="14"/>
          <w:rFonts w:hint="default" w:ascii="Times New Roman" w:hAnsi="Times New Roman" w:eastAsia="仿宋_GB2312" w:cs="Times New Roman"/>
          <w:bCs w:val="0"/>
          <w:spacing w:val="-4"/>
          <w:sz w:val="32"/>
          <w:szCs w:val="32"/>
          <w:highlight w:val="none"/>
        </w:rPr>
      </w:pPr>
      <w:r>
        <w:rPr>
          <w:rStyle w:val="14"/>
          <w:rFonts w:hint="default" w:ascii="Times New Roman" w:hAnsi="Times New Roman" w:eastAsia="仿宋_GB2312" w:cs="Times New Roman"/>
          <w:bCs w:val="0"/>
          <w:spacing w:val="-4"/>
          <w:sz w:val="32"/>
          <w:szCs w:val="32"/>
          <w:highlight w:val="none"/>
        </w:rPr>
        <w:t>数量指标方面：</w:t>
      </w:r>
    </w:p>
    <w:p w14:paraId="00B902D2">
      <w:pPr>
        <w:snapToGrid w:val="0"/>
        <w:spacing w:line="560" w:lineRule="exact"/>
        <w:ind w:firstLine="624" w:firstLineChars="200"/>
        <w:rPr>
          <w:rStyle w:val="14"/>
          <w:rFonts w:hint="default" w:ascii="Times New Roman" w:hAnsi="Times New Roman" w:eastAsia="仿宋_GB2312" w:cs="Times New Roman"/>
          <w:b w:val="0"/>
          <w:spacing w:val="-4"/>
          <w:sz w:val="32"/>
          <w:szCs w:val="32"/>
          <w:highlight w:val="none"/>
          <w:lang w:eastAsia="zh-CN"/>
        </w:rPr>
      </w:pPr>
      <w:r>
        <w:rPr>
          <w:rStyle w:val="14"/>
          <w:rFonts w:hint="default" w:ascii="Times New Roman" w:hAnsi="Times New Roman" w:eastAsia="仿宋_GB2312" w:cs="Times New Roman"/>
          <w:b w:val="0"/>
          <w:spacing w:val="-4"/>
          <w:sz w:val="32"/>
          <w:szCs w:val="32"/>
          <w:highlight w:val="none"/>
        </w:rPr>
        <w:t>指标1：购置设备数量，指标值：1400台件，实际完成值：</w:t>
      </w:r>
      <w:r>
        <w:rPr>
          <w:rStyle w:val="14"/>
          <w:rFonts w:hint="default" w:ascii="Times New Roman" w:hAnsi="Times New Roman" w:eastAsia="仿宋_GB2312" w:cs="Times New Roman"/>
          <w:b w:val="0"/>
          <w:spacing w:val="-4"/>
          <w:sz w:val="32"/>
          <w:szCs w:val="32"/>
          <w:highlight w:val="none"/>
          <w:lang w:val="en-US" w:eastAsia="zh-CN"/>
        </w:rPr>
        <w:t>2072</w:t>
      </w:r>
      <w:r>
        <w:rPr>
          <w:rStyle w:val="14"/>
          <w:rFonts w:hint="default" w:ascii="Times New Roman" w:hAnsi="Times New Roman" w:eastAsia="仿宋_GB2312" w:cs="Times New Roman"/>
          <w:b w:val="0"/>
          <w:spacing w:val="-4"/>
          <w:sz w:val="32"/>
          <w:szCs w:val="32"/>
          <w:highlight w:val="none"/>
        </w:rPr>
        <w:t>台件，指标完成率</w:t>
      </w:r>
      <w:r>
        <w:rPr>
          <w:rStyle w:val="14"/>
          <w:rFonts w:hint="default" w:ascii="Times New Roman" w:hAnsi="Times New Roman" w:eastAsia="仿宋_GB2312" w:cs="Times New Roman"/>
          <w:b w:val="0"/>
          <w:spacing w:val="-4"/>
          <w:sz w:val="32"/>
          <w:szCs w:val="32"/>
          <w:highlight w:val="none"/>
          <w:lang w:val="en-US" w:eastAsia="zh-CN"/>
        </w:rPr>
        <w:t>148</w:t>
      </w:r>
      <w:r>
        <w:rPr>
          <w:rStyle w:val="14"/>
          <w:rFonts w:hint="default" w:ascii="Times New Roman" w:hAnsi="Times New Roman" w:eastAsia="仿宋_GB2312" w:cs="Times New Roman"/>
          <w:b w:val="0"/>
          <w:spacing w:val="-4"/>
          <w:sz w:val="32"/>
          <w:szCs w:val="32"/>
          <w:highlight w:val="none"/>
        </w:rPr>
        <w:t>%，</w:t>
      </w:r>
      <w:r>
        <w:rPr>
          <w:rStyle w:val="14"/>
          <w:rFonts w:hint="default" w:ascii="Times New Roman" w:hAnsi="Times New Roman" w:eastAsia="仿宋_GB2312" w:cs="Times New Roman"/>
          <w:b w:val="0"/>
          <w:spacing w:val="-4"/>
          <w:sz w:val="32"/>
          <w:szCs w:val="32"/>
          <w:highlight w:val="none"/>
          <w:lang w:val="en-US" w:eastAsia="zh-CN"/>
        </w:rPr>
        <w:t>偏差原因为：</w:t>
      </w:r>
      <w:r>
        <w:rPr>
          <w:rStyle w:val="14"/>
          <w:rFonts w:hint="default" w:ascii="Times New Roman" w:hAnsi="Times New Roman" w:eastAsia="仿宋_GB2312" w:cs="Times New Roman"/>
          <w:b w:val="0"/>
          <w:spacing w:val="-4"/>
          <w:sz w:val="32"/>
          <w:szCs w:val="32"/>
          <w:highlight w:val="none"/>
          <w:lang w:eastAsia="zh-CN"/>
        </w:rPr>
        <w:t>应急预算没有制定采购明细，后期按照医院发展规划及进口设备批复后的采购。以后年度严格按照期初预算报送执行政府采购。</w:t>
      </w:r>
    </w:p>
    <w:p w14:paraId="4CE9BF28">
      <w:pPr>
        <w:spacing w:line="560" w:lineRule="exact"/>
        <w:ind w:firstLine="643" w:firstLineChars="200"/>
        <w:rPr>
          <w:rStyle w:val="16"/>
          <w:rFonts w:hint="default" w:ascii="Times New Roman" w:hAnsi="Times New Roman" w:eastAsia="仿宋_GB2312" w:cs="Times New Roman"/>
          <w:b/>
          <w:bCs/>
          <w:color w:val="auto"/>
          <w:sz w:val="32"/>
          <w:szCs w:val="32"/>
          <w:highlight w:val="none"/>
        </w:rPr>
      </w:pPr>
      <w:r>
        <w:rPr>
          <w:rStyle w:val="16"/>
          <w:rFonts w:hint="default" w:ascii="Times New Roman" w:hAnsi="Times New Roman" w:eastAsia="仿宋_GB2312" w:cs="Times New Roman"/>
          <w:b/>
          <w:bCs/>
          <w:color w:val="auto"/>
          <w:sz w:val="32"/>
          <w:szCs w:val="32"/>
          <w:highlight w:val="none"/>
        </w:rPr>
        <w:t>质量指标方面：</w:t>
      </w:r>
    </w:p>
    <w:p w14:paraId="52243287">
      <w:pPr>
        <w:pStyle w:val="2"/>
        <w:widowControl w:val="0"/>
        <w:spacing w:before="0" w:after="0" w:line="560" w:lineRule="exact"/>
        <w:ind w:firstLine="624" w:firstLineChars="200"/>
        <w:rPr>
          <w:rStyle w:val="14"/>
          <w:rFonts w:hint="default" w:ascii="Times New Roman" w:hAnsi="Times New Roman" w:eastAsia="仿宋_GB2312" w:cs="Times New Roman"/>
          <w:b w:val="0"/>
          <w:bCs/>
          <w:spacing w:val="-4"/>
          <w:sz w:val="32"/>
          <w:szCs w:val="32"/>
          <w:highlight w:val="none"/>
          <w:lang w:eastAsia="zh-CN"/>
        </w:rPr>
      </w:pPr>
      <w:r>
        <w:rPr>
          <w:rStyle w:val="14"/>
          <w:rFonts w:hint="default" w:ascii="Times New Roman" w:hAnsi="Times New Roman" w:eastAsia="仿宋_GB2312" w:cs="Times New Roman"/>
          <w:b w:val="0"/>
          <w:bCs/>
          <w:spacing w:val="-4"/>
          <w:sz w:val="32"/>
          <w:szCs w:val="32"/>
          <w:highlight w:val="none"/>
        </w:rPr>
        <w:t>指标1：设备验收合格率，指标值：100%，实际完成值：100%，指标完成率</w:t>
      </w:r>
      <w:r>
        <w:rPr>
          <w:rStyle w:val="14"/>
          <w:rFonts w:hint="default" w:ascii="Times New Roman" w:hAnsi="Times New Roman" w:eastAsia="仿宋_GB2312" w:cs="Times New Roman"/>
          <w:b w:val="0"/>
          <w:bCs/>
          <w:spacing w:val="-4"/>
          <w:sz w:val="32"/>
          <w:szCs w:val="32"/>
          <w:highlight w:val="none"/>
          <w:lang w:val="en-US" w:eastAsia="zh-CN"/>
        </w:rPr>
        <w:t>100</w:t>
      </w:r>
      <w:r>
        <w:rPr>
          <w:rStyle w:val="14"/>
          <w:rFonts w:hint="default" w:ascii="Times New Roman" w:hAnsi="Times New Roman" w:eastAsia="仿宋_GB2312" w:cs="Times New Roman"/>
          <w:b w:val="0"/>
          <w:bCs/>
          <w:spacing w:val="-4"/>
          <w:sz w:val="32"/>
          <w:szCs w:val="32"/>
          <w:highlight w:val="none"/>
        </w:rPr>
        <w:t>%，</w:t>
      </w:r>
      <w:r>
        <w:rPr>
          <w:rStyle w:val="14"/>
          <w:rFonts w:hint="default" w:ascii="Times New Roman" w:hAnsi="Times New Roman" w:eastAsia="仿宋_GB2312" w:cs="Times New Roman"/>
          <w:b w:val="0"/>
          <w:bCs/>
          <w:spacing w:val="-4"/>
          <w:sz w:val="32"/>
          <w:szCs w:val="32"/>
          <w:highlight w:val="none"/>
          <w:lang w:eastAsia="zh-CN"/>
        </w:rPr>
        <w:t>该指标无偏差。</w:t>
      </w:r>
    </w:p>
    <w:p w14:paraId="6D04E907">
      <w:pPr>
        <w:ind w:firstLine="643"/>
        <w:rPr>
          <w:rStyle w:val="16"/>
          <w:rFonts w:hint="default" w:ascii="Times New Roman" w:hAnsi="Times New Roman" w:eastAsia="仿宋_GB2312" w:cs="Times New Roman"/>
          <w:b/>
          <w:bCs/>
          <w:color w:val="auto"/>
          <w:sz w:val="32"/>
          <w:szCs w:val="32"/>
          <w:highlight w:val="none"/>
        </w:rPr>
      </w:pPr>
      <w:r>
        <w:rPr>
          <w:rStyle w:val="16"/>
          <w:rFonts w:hint="default" w:ascii="Times New Roman" w:hAnsi="Times New Roman" w:eastAsia="仿宋_GB2312" w:cs="Times New Roman"/>
          <w:b/>
          <w:bCs/>
          <w:color w:val="auto"/>
          <w:sz w:val="32"/>
          <w:szCs w:val="32"/>
          <w:highlight w:val="none"/>
          <w:lang w:eastAsia="zh-CN"/>
        </w:rPr>
        <w:t>时效</w:t>
      </w:r>
      <w:r>
        <w:rPr>
          <w:rStyle w:val="16"/>
          <w:rFonts w:hint="default" w:ascii="Times New Roman" w:hAnsi="Times New Roman" w:eastAsia="仿宋_GB2312" w:cs="Times New Roman"/>
          <w:b/>
          <w:bCs/>
          <w:color w:val="auto"/>
          <w:sz w:val="32"/>
          <w:szCs w:val="32"/>
          <w:highlight w:val="none"/>
        </w:rPr>
        <w:t>指标方面：</w:t>
      </w:r>
    </w:p>
    <w:p w14:paraId="2E71DE0E">
      <w:pPr>
        <w:pStyle w:val="9"/>
        <w:spacing w:before="0" w:after="0" w:line="560" w:lineRule="exact"/>
        <w:ind w:firstLine="624" w:firstLineChars="200"/>
        <w:jc w:val="both"/>
        <w:rPr>
          <w:rStyle w:val="14"/>
          <w:rFonts w:hint="default" w:ascii="Times New Roman" w:hAnsi="Times New Roman" w:eastAsia="仿宋_GB2312" w:cs="Times New Roman"/>
          <w:b w:val="0"/>
          <w:bCs/>
          <w:spacing w:val="-4"/>
          <w:sz w:val="32"/>
          <w:szCs w:val="32"/>
          <w:highlight w:val="none"/>
          <w:lang w:eastAsia="zh-CN"/>
        </w:rPr>
      </w:pPr>
      <w:r>
        <w:rPr>
          <w:rStyle w:val="14"/>
          <w:rFonts w:hint="default" w:ascii="Times New Roman" w:hAnsi="Times New Roman" w:eastAsia="仿宋_GB2312" w:cs="Times New Roman"/>
          <w:b w:val="0"/>
          <w:bCs/>
          <w:spacing w:val="-4"/>
          <w:sz w:val="32"/>
          <w:szCs w:val="32"/>
          <w:highlight w:val="none"/>
        </w:rPr>
        <w:t>指标1：设备购置完成时间，指标值：2023/12/31，实际完成值：2023/12/31，指标完成率</w:t>
      </w:r>
      <w:r>
        <w:rPr>
          <w:rStyle w:val="14"/>
          <w:rFonts w:hint="default" w:ascii="Times New Roman" w:hAnsi="Times New Roman" w:eastAsia="仿宋_GB2312" w:cs="Times New Roman"/>
          <w:b w:val="0"/>
          <w:bCs/>
          <w:spacing w:val="-4"/>
          <w:sz w:val="32"/>
          <w:szCs w:val="32"/>
          <w:highlight w:val="none"/>
          <w:lang w:val="en-US" w:eastAsia="zh-CN"/>
        </w:rPr>
        <w:t>100</w:t>
      </w:r>
      <w:r>
        <w:rPr>
          <w:rStyle w:val="14"/>
          <w:rFonts w:hint="default" w:ascii="Times New Roman" w:hAnsi="Times New Roman" w:eastAsia="仿宋_GB2312" w:cs="Times New Roman"/>
          <w:b w:val="0"/>
          <w:bCs/>
          <w:spacing w:val="-4"/>
          <w:sz w:val="32"/>
          <w:szCs w:val="32"/>
          <w:highlight w:val="none"/>
        </w:rPr>
        <w:t>%，</w:t>
      </w:r>
      <w:r>
        <w:rPr>
          <w:rStyle w:val="14"/>
          <w:rFonts w:hint="default" w:ascii="Times New Roman" w:hAnsi="Times New Roman" w:eastAsia="仿宋_GB2312" w:cs="Times New Roman"/>
          <w:b w:val="0"/>
          <w:bCs/>
          <w:spacing w:val="-4"/>
          <w:sz w:val="32"/>
          <w:szCs w:val="32"/>
          <w:highlight w:val="none"/>
          <w:lang w:eastAsia="zh-CN"/>
        </w:rPr>
        <w:t>该指标无偏差。</w:t>
      </w:r>
    </w:p>
    <w:p w14:paraId="20AB4CCB">
      <w:pPr>
        <w:pStyle w:val="9"/>
        <w:spacing w:before="0" w:after="0" w:line="560" w:lineRule="exact"/>
        <w:ind w:firstLine="643" w:firstLineChars="200"/>
        <w:jc w:val="both"/>
        <w:rPr>
          <w:rStyle w:val="16"/>
          <w:rFonts w:hint="default" w:ascii="Times New Roman" w:hAnsi="Times New Roman" w:eastAsia="仿宋_GB2312" w:cs="Times New Roman"/>
          <w:color w:val="auto"/>
          <w:sz w:val="32"/>
          <w:szCs w:val="32"/>
          <w:highlight w:val="none"/>
        </w:rPr>
      </w:pPr>
      <w:r>
        <w:rPr>
          <w:rStyle w:val="16"/>
          <w:rFonts w:hint="default" w:ascii="Times New Roman" w:hAnsi="Times New Roman" w:eastAsia="仿宋_GB2312" w:cs="Times New Roman"/>
          <w:color w:val="auto"/>
          <w:sz w:val="32"/>
          <w:szCs w:val="32"/>
          <w:highlight w:val="none"/>
        </w:rPr>
        <w:t>成本指标方面：</w:t>
      </w:r>
    </w:p>
    <w:p w14:paraId="3EB5BC17">
      <w:pPr>
        <w:pStyle w:val="2"/>
        <w:widowControl w:val="0"/>
        <w:spacing w:before="0" w:after="0" w:line="560" w:lineRule="exact"/>
        <w:ind w:firstLine="624" w:firstLineChars="200"/>
        <w:rPr>
          <w:rStyle w:val="14"/>
          <w:rFonts w:hint="default" w:ascii="Times New Roman" w:hAnsi="Times New Roman" w:eastAsia="仿宋_GB2312" w:cs="Times New Roman"/>
          <w:b w:val="0"/>
          <w:bCs/>
          <w:spacing w:val="-4"/>
          <w:sz w:val="32"/>
          <w:szCs w:val="32"/>
          <w:highlight w:val="none"/>
          <w:lang w:eastAsia="zh-CN"/>
        </w:rPr>
      </w:pPr>
      <w:r>
        <w:rPr>
          <w:rStyle w:val="14"/>
          <w:rFonts w:hint="default" w:ascii="Times New Roman" w:hAnsi="Times New Roman" w:eastAsia="仿宋_GB2312" w:cs="Times New Roman"/>
          <w:b w:val="0"/>
          <w:bCs/>
          <w:spacing w:val="-4"/>
          <w:sz w:val="32"/>
          <w:szCs w:val="32"/>
          <w:highlight w:val="none"/>
        </w:rPr>
        <w:t>指标1：政府采购预算成本控制率，指标值：</w:t>
      </w:r>
      <w:r>
        <w:rPr>
          <w:rStyle w:val="14"/>
          <w:rFonts w:hint="eastAsia" w:ascii="Times New Roman" w:hAnsi="Times New Roman" w:eastAsia="仿宋_GB2312" w:cs="Times New Roman"/>
          <w:b w:val="0"/>
          <w:bCs/>
          <w:spacing w:val="-4"/>
          <w:sz w:val="32"/>
          <w:szCs w:val="32"/>
          <w:highlight w:val="none"/>
          <w:lang w:eastAsia="zh-CN"/>
        </w:rPr>
        <w:t>〈</w:t>
      </w:r>
      <w:r>
        <w:rPr>
          <w:rStyle w:val="14"/>
          <w:rFonts w:hint="default" w:ascii="Times New Roman" w:hAnsi="Times New Roman" w:eastAsia="仿宋_GB2312" w:cs="Times New Roman"/>
          <w:b w:val="0"/>
          <w:bCs/>
          <w:spacing w:val="-4"/>
          <w:sz w:val="32"/>
          <w:szCs w:val="32"/>
          <w:highlight w:val="none"/>
        </w:rPr>
        <w:t>=100%，实际完成值：</w:t>
      </w:r>
      <w:r>
        <w:rPr>
          <w:rStyle w:val="14"/>
          <w:rFonts w:hint="eastAsia" w:ascii="Times New Roman" w:hAnsi="Times New Roman" w:eastAsia="仿宋_GB2312" w:cs="Times New Roman"/>
          <w:b w:val="0"/>
          <w:bCs/>
          <w:spacing w:val="-4"/>
          <w:sz w:val="32"/>
          <w:szCs w:val="32"/>
          <w:highlight w:val="none"/>
          <w:lang w:eastAsia="zh-CN"/>
        </w:rPr>
        <w:t>〈</w:t>
      </w:r>
      <w:r>
        <w:rPr>
          <w:rStyle w:val="14"/>
          <w:rFonts w:hint="default" w:ascii="Times New Roman" w:hAnsi="Times New Roman" w:eastAsia="仿宋_GB2312" w:cs="Times New Roman"/>
          <w:b w:val="0"/>
          <w:bCs/>
          <w:spacing w:val="-4"/>
          <w:sz w:val="32"/>
          <w:szCs w:val="32"/>
          <w:highlight w:val="none"/>
        </w:rPr>
        <w:t>=</w:t>
      </w:r>
      <w:r>
        <w:rPr>
          <w:rStyle w:val="14"/>
          <w:rFonts w:hint="eastAsia" w:ascii="Times New Roman" w:hAnsi="Times New Roman" w:eastAsia="仿宋_GB2312" w:cs="Times New Roman"/>
          <w:b w:val="0"/>
          <w:bCs/>
          <w:spacing w:val="-4"/>
          <w:sz w:val="32"/>
          <w:szCs w:val="32"/>
          <w:highlight w:val="none"/>
          <w:lang w:val="en-US" w:eastAsia="zh-CN"/>
        </w:rPr>
        <w:t>83.57</w:t>
      </w:r>
      <w:r>
        <w:rPr>
          <w:rStyle w:val="14"/>
          <w:rFonts w:hint="default" w:ascii="Times New Roman" w:hAnsi="Times New Roman" w:eastAsia="仿宋_GB2312" w:cs="Times New Roman"/>
          <w:b w:val="0"/>
          <w:bCs/>
          <w:spacing w:val="-4"/>
          <w:sz w:val="32"/>
          <w:szCs w:val="32"/>
          <w:highlight w:val="none"/>
        </w:rPr>
        <w:t>%，指标完成率</w:t>
      </w:r>
      <w:r>
        <w:rPr>
          <w:rStyle w:val="14"/>
          <w:rFonts w:hint="eastAsia" w:ascii="Times New Roman" w:hAnsi="Times New Roman" w:eastAsia="仿宋_GB2312" w:cs="Times New Roman"/>
          <w:b w:val="0"/>
          <w:bCs/>
          <w:spacing w:val="-4"/>
          <w:sz w:val="32"/>
          <w:szCs w:val="32"/>
          <w:highlight w:val="none"/>
          <w:lang w:val="en-US" w:eastAsia="zh-CN"/>
        </w:rPr>
        <w:t>83.57</w:t>
      </w:r>
      <w:r>
        <w:rPr>
          <w:rStyle w:val="14"/>
          <w:rFonts w:hint="default" w:ascii="Times New Roman" w:hAnsi="Times New Roman" w:eastAsia="仿宋_GB2312" w:cs="Times New Roman"/>
          <w:b w:val="0"/>
          <w:bCs/>
          <w:spacing w:val="-4"/>
          <w:sz w:val="32"/>
          <w:szCs w:val="32"/>
          <w:highlight w:val="none"/>
        </w:rPr>
        <w:t>%，</w:t>
      </w:r>
      <w:r>
        <w:rPr>
          <w:rStyle w:val="14"/>
          <w:rFonts w:hint="default" w:ascii="Times New Roman" w:hAnsi="Times New Roman" w:eastAsia="仿宋_GB2312" w:cs="Times New Roman"/>
          <w:b w:val="0"/>
          <w:bCs/>
          <w:spacing w:val="-4"/>
          <w:sz w:val="32"/>
          <w:szCs w:val="32"/>
          <w:highlight w:val="none"/>
          <w:lang w:eastAsia="zh-CN"/>
        </w:rPr>
        <w:t>该指标</w:t>
      </w:r>
      <w:r>
        <w:rPr>
          <w:rStyle w:val="14"/>
          <w:rFonts w:hint="eastAsia" w:ascii="Times New Roman" w:hAnsi="Times New Roman" w:eastAsia="仿宋_GB2312" w:cs="Times New Roman"/>
          <w:b w:val="0"/>
          <w:bCs/>
          <w:spacing w:val="-4"/>
          <w:sz w:val="32"/>
          <w:szCs w:val="32"/>
          <w:highlight w:val="none"/>
          <w:lang w:eastAsia="zh-CN"/>
        </w:rPr>
        <w:t>偏差原因是因医院实际工作需求，采购任务发生变更，故年初采购预算未足额完成采购</w:t>
      </w:r>
      <w:r>
        <w:rPr>
          <w:rStyle w:val="14"/>
          <w:rFonts w:hint="default" w:ascii="Times New Roman" w:hAnsi="Times New Roman" w:eastAsia="仿宋_GB2312" w:cs="Times New Roman"/>
          <w:b w:val="0"/>
          <w:bCs/>
          <w:spacing w:val="-4"/>
          <w:sz w:val="32"/>
          <w:szCs w:val="32"/>
          <w:highlight w:val="none"/>
          <w:lang w:eastAsia="zh-CN"/>
        </w:rPr>
        <w:t>。</w:t>
      </w:r>
    </w:p>
    <w:p w14:paraId="2192A77F">
      <w:pPr>
        <w:pStyle w:val="10"/>
        <w:numPr>
          <w:ilvl w:val="0"/>
          <w:numId w:val="6"/>
        </w:numPr>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val="en-US" w:eastAsia="zh-CN"/>
        </w:rPr>
        <w:t>项目</w:t>
      </w:r>
      <w:r>
        <w:rPr>
          <w:rFonts w:hint="default" w:ascii="Times New Roman" w:hAnsi="Times New Roman" w:eastAsia="仿宋_GB2312" w:cs="Times New Roman"/>
          <w:b/>
          <w:bCs/>
          <w:sz w:val="32"/>
          <w:szCs w:val="32"/>
          <w:highlight w:val="none"/>
        </w:rPr>
        <w:t>效益情况</w:t>
      </w:r>
    </w:p>
    <w:p w14:paraId="4A0842F9">
      <w:pPr>
        <w:spacing w:line="560" w:lineRule="exact"/>
        <w:ind w:firstLine="643" w:firstLineChars="200"/>
        <w:rPr>
          <w:rStyle w:val="16"/>
          <w:rFonts w:hint="default" w:ascii="Times New Roman" w:hAnsi="Times New Roman" w:eastAsia="仿宋_GB2312" w:cs="Times New Roman"/>
          <w:b/>
          <w:bCs/>
          <w:color w:val="auto"/>
          <w:sz w:val="32"/>
          <w:szCs w:val="32"/>
          <w:highlight w:val="none"/>
          <w:lang w:eastAsia="zh-Hans"/>
        </w:rPr>
      </w:pPr>
      <w:r>
        <w:rPr>
          <w:rStyle w:val="16"/>
          <w:rFonts w:hint="default" w:ascii="Times New Roman" w:hAnsi="Times New Roman" w:eastAsia="仿宋_GB2312" w:cs="Times New Roman"/>
          <w:b/>
          <w:bCs/>
          <w:color w:val="auto"/>
          <w:sz w:val="32"/>
          <w:szCs w:val="32"/>
          <w:highlight w:val="none"/>
          <w:lang w:eastAsia="zh-Hans"/>
        </w:rPr>
        <w:t>经济效益指标方面：</w:t>
      </w:r>
    </w:p>
    <w:p w14:paraId="3B1DF8C5">
      <w:pPr>
        <w:pStyle w:val="2"/>
        <w:widowControl w:val="0"/>
        <w:spacing w:before="0" w:after="0" w:line="560" w:lineRule="exact"/>
        <w:ind w:firstLine="624" w:firstLineChars="200"/>
        <w:rPr>
          <w:rStyle w:val="14"/>
          <w:rFonts w:hint="default" w:ascii="Times New Roman" w:hAnsi="Times New Roman" w:eastAsia="仿宋_GB2312" w:cs="Times New Roman"/>
          <w:b w:val="0"/>
          <w:bCs/>
          <w:spacing w:val="-4"/>
          <w:sz w:val="32"/>
          <w:szCs w:val="32"/>
          <w:highlight w:val="none"/>
          <w:lang w:eastAsia="zh-CN"/>
        </w:rPr>
      </w:pPr>
      <w:r>
        <w:rPr>
          <w:rStyle w:val="14"/>
          <w:rFonts w:hint="default" w:ascii="Times New Roman" w:hAnsi="Times New Roman" w:eastAsia="仿宋_GB2312" w:cs="Times New Roman"/>
          <w:b w:val="0"/>
          <w:bCs/>
          <w:spacing w:val="-4"/>
          <w:sz w:val="32"/>
          <w:szCs w:val="32"/>
          <w:highlight w:val="none"/>
        </w:rPr>
        <w:t>指标1：设备利用率，指标值：=100%，实际完成值：=100%，指标完成率</w:t>
      </w:r>
      <w:r>
        <w:rPr>
          <w:rStyle w:val="14"/>
          <w:rFonts w:hint="default" w:ascii="Times New Roman" w:hAnsi="Times New Roman" w:eastAsia="仿宋_GB2312" w:cs="Times New Roman"/>
          <w:b w:val="0"/>
          <w:bCs/>
          <w:spacing w:val="-4"/>
          <w:sz w:val="32"/>
          <w:szCs w:val="32"/>
          <w:highlight w:val="none"/>
          <w:lang w:val="en-US" w:eastAsia="zh-CN"/>
        </w:rPr>
        <w:t>100</w:t>
      </w:r>
      <w:r>
        <w:rPr>
          <w:rStyle w:val="14"/>
          <w:rFonts w:hint="default" w:ascii="Times New Roman" w:hAnsi="Times New Roman" w:eastAsia="仿宋_GB2312" w:cs="Times New Roman"/>
          <w:b w:val="0"/>
          <w:bCs/>
          <w:spacing w:val="-4"/>
          <w:sz w:val="32"/>
          <w:szCs w:val="32"/>
          <w:highlight w:val="none"/>
        </w:rPr>
        <w:t>%，</w:t>
      </w:r>
      <w:r>
        <w:rPr>
          <w:rStyle w:val="14"/>
          <w:rFonts w:hint="default" w:ascii="Times New Roman" w:hAnsi="Times New Roman" w:eastAsia="仿宋_GB2312" w:cs="Times New Roman"/>
          <w:b w:val="0"/>
          <w:bCs/>
          <w:spacing w:val="-4"/>
          <w:sz w:val="32"/>
          <w:szCs w:val="32"/>
          <w:highlight w:val="none"/>
          <w:lang w:eastAsia="zh-CN"/>
        </w:rPr>
        <w:t>该指标无偏差。</w:t>
      </w:r>
    </w:p>
    <w:p w14:paraId="2F7F4A68">
      <w:pPr>
        <w:spacing w:line="560" w:lineRule="exact"/>
        <w:ind w:firstLine="643" w:firstLineChars="200"/>
        <w:rPr>
          <w:rStyle w:val="16"/>
          <w:rFonts w:hint="default" w:ascii="Times New Roman" w:hAnsi="Times New Roman" w:eastAsia="仿宋_GB2312" w:cs="Times New Roman"/>
          <w:b/>
          <w:bCs/>
          <w:color w:val="auto"/>
          <w:sz w:val="32"/>
          <w:szCs w:val="32"/>
          <w:highlight w:val="none"/>
        </w:rPr>
      </w:pPr>
      <w:r>
        <w:rPr>
          <w:rStyle w:val="16"/>
          <w:rFonts w:hint="default" w:ascii="Times New Roman" w:hAnsi="Times New Roman" w:eastAsia="仿宋_GB2312" w:cs="Times New Roman"/>
          <w:b/>
          <w:bCs/>
          <w:color w:val="auto"/>
          <w:sz w:val="32"/>
          <w:szCs w:val="32"/>
          <w:highlight w:val="none"/>
        </w:rPr>
        <w:t>社会效益指标方面：</w:t>
      </w:r>
    </w:p>
    <w:p w14:paraId="2092249A">
      <w:pPr>
        <w:spacing w:line="560" w:lineRule="exact"/>
        <w:ind w:firstLine="640" w:firstLineChars="200"/>
        <w:rPr>
          <w:rStyle w:val="14"/>
          <w:rFonts w:hint="default" w:ascii="Times New Roman" w:hAnsi="Times New Roman" w:eastAsia="仿宋_GB2312" w:cs="Times New Roman"/>
          <w:b w:val="0"/>
          <w:bCs/>
          <w:spacing w:val="-4"/>
          <w:sz w:val="32"/>
          <w:szCs w:val="32"/>
          <w:highlight w:val="none"/>
          <w:lang w:eastAsia="zh-CN"/>
        </w:rPr>
      </w:pPr>
      <w:r>
        <w:rPr>
          <w:rStyle w:val="16"/>
          <w:rFonts w:hint="default" w:ascii="Times New Roman" w:hAnsi="Times New Roman" w:eastAsia="仿宋_GB2312" w:cs="Times New Roman"/>
          <w:color w:val="auto"/>
          <w:sz w:val="32"/>
          <w:szCs w:val="32"/>
          <w:highlight w:val="none"/>
        </w:rPr>
        <w:t>指标1：保障医院开展医疗服务，指标值：有效保障，实际完成值：有效保障，指标完成率</w:t>
      </w:r>
      <w:r>
        <w:rPr>
          <w:rStyle w:val="16"/>
          <w:rFonts w:hint="default" w:ascii="Times New Roman" w:hAnsi="Times New Roman" w:eastAsia="仿宋_GB2312" w:cs="Times New Roman"/>
          <w:color w:val="auto"/>
          <w:sz w:val="32"/>
          <w:szCs w:val="32"/>
          <w:highlight w:val="none"/>
          <w:lang w:val="en-US" w:eastAsia="zh-CN"/>
        </w:rPr>
        <w:t>100</w:t>
      </w:r>
      <w:r>
        <w:rPr>
          <w:rStyle w:val="16"/>
          <w:rFonts w:hint="default" w:ascii="Times New Roman" w:hAnsi="Times New Roman" w:eastAsia="仿宋_GB2312" w:cs="Times New Roman"/>
          <w:color w:val="auto"/>
          <w:sz w:val="32"/>
          <w:szCs w:val="32"/>
          <w:highlight w:val="none"/>
        </w:rPr>
        <w:t>%</w:t>
      </w:r>
      <w:r>
        <w:rPr>
          <w:rStyle w:val="14"/>
          <w:rFonts w:hint="default" w:ascii="Times New Roman" w:hAnsi="Times New Roman" w:eastAsia="仿宋_GB2312" w:cs="Times New Roman"/>
          <w:b w:val="0"/>
          <w:spacing w:val="-4"/>
          <w:sz w:val="32"/>
          <w:szCs w:val="32"/>
          <w:highlight w:val="none"/>
        </w:rPr>
        <w:t>，</w:t>
      </w:r>
      <w:r>
        <w:rPr>
          <w:rStyle w:val="14"/>
          <w:rFonts w:hint="default" w:ascii="Times New Roman" w:hAnsi="Times New Roman" w:eastAsia="仿宋_GB2312" w:cs="Times New Roman"/>
          <w:b w:val="0"/>
          <w:bCs/>
          <w:spacing w:val="-4"/>
          <w:sz w:val="32"/>
          <w:szCs w:val="32"/>
          <w:highlight w:val="none"/>
          <w:lang w:eastAsia="zh-CN"/>
        </w:rPr>
        <w:t>该指标无偏差。</w:t>
      </w:r>
    </w:p>
    <w:p w14:paraId="1C6CA002">
      <w:pPr>
        <w:spacing w:line="560" w:lineRule="exact"/>
        <w:ind w:firstLine="643" w:firstLineChars="200"/>
        <w:rPr>
          <w:rStyle w:val="16"/>
          <w:rFonts w:hint="default" w:ascii="Times New Roman" w:hAnsi="Times New Roman" w:eastAsia="仿宋_GB2312" w:cs="Times New Roman"/>
          <w:b/>
          <w:bCs/>
          <w:color w:val="auto"/>
          <w:sz w:val="32"/>
          <w:szCs w:val="32"/>
          <w:highlight w:val="none"/>
        </w:rPr>
      </w:pPr>
      <w:r>
        <w:rPr>
          <w:rStyle w:val="16"/>
          <w:rFonts w:hint="default" w:ascii="Times New Roman" w:hAnsi="Times New Roman" w:eastAsia="仿宋_GB2312" w:cs="Times New Roman"/>
          <w:b/>
          <w:bCs/>
          <w:color w:val="auto"/>
          <w:sz w:val="32"/>
          <w:szCs w:val="32"/>
          <w:highlight w:val="none"/>
        </w:rPr>
        <w:t>满意度指标方面：</w:t>
      </w:r>
    </w:p>
    <w:p w14:paraId="70920543">
      <w:pPr>
        <w:snapToGrid w:val="0"/>
        <w:spacing w:line="560" w:lineRule="exact"/>
        <w:ind w:firstLine="624" w:firstLineChars="200"/>
        <w:rPr>
          <w:rStyle w:val="14"/>
          <w:rFonts w:hint="default" w:ascii="Times New Roman" w:hAnsi="Times New Roman" w:eastAsia="仿宋_GB2312" w:cs="Times New Roman"/>
          <w:b w:val="0"/>
          <w:spacing w:val="-4"/>
          <w:sz w:val="32"/>
          <w:szCs w:val="32"/>
          <w:highlight w:val="none"/>
        </w:rPr>
      </w:pPr>
      <w:r>
        <w:rPr>
          <w:rStyle w:val="14"/>
          <w:rFonts w:hint="default" w:ascii="Times New Roman" w:hAnsi="Times New Roman" w:eastAsia="仿宋_GB2312" w:cs="Times New Roman"/>
          <w:b w:val="0"/>
          <w:spacing w:val="-4"/>
          <w:sz w:val="32"/>
          <w:szCs w:val="32"/>
          <w:highlight w:val="none"/>
        </w:rPr>
        <w:t>指标1：使用科室满意度，指标值：≥95%，实际完成值：98%，指标完成率</w:t>
      </w:r>
      <w:r>
        <w:rPr>
          <w:rStyle w:val="14"/>
          <w:rFonts w:hint="default" w:ascii="Times New Roman" w:hAnsi="Times New Roman" w:eastAsia="仿宋_GB2312" w:cs="Times New Roman"/>
          <w:b w:val="0"/>
          <w:spacing w:val="-4"/>
          <w:sz w:val="32"/>
          <w:szCs w:val="32"/>
          <w:highlight w:val="none"/>
          <w:lang w:val="en-US" w:eastAsia="zh-CN"/>
        </w:rPr>
        <w:t>100</w:t>
      </w:r>
      <w:r>
        <w:rPr>
          <w:rStyle w:val="14"/>
          <w:rFonts w:hint="default" w:ascii="Times New Roman" w:hAnsi="Times New Roman" w:eastAsia="仿宋_GB2312" w:cs="Times New Roman"/>
          <w:b w:val="0"/>
          <w:spacing w:val="-4"/>
          <w:sz w:val="32"/>
          <w:szCs w:val="32"/>
          <w:highlight w:val="none"/>
        </w:rPr>
        <w:t>%，</w:t>
      </w:r>
      <w:r>
        <w:rPr>
          <w:rStyle w:val="14"/>
          <w:rFonts w:hint="default" w:ascii="Times New Roman" w:hAnsi="Times New Roman" w:eastAsia="仿宋_GB2312" w:cs="Times New Roman"/>
          <w:b w:val="0"/>
          <w:bCs/>
          <w:spacing w:val="-4"/>
          <w:sz w:val="32"/>
          <w:szCs w:val="32"/>
          <w:highlight w:val="none"/>
          <w:lang w:eastAsia="zh-CN"/>
        </w:rPr>
        <w:t>该指标无偏差。</w:t>
      </w:r>
    </w:p>
    <w:p w14:paraId="72288C21">
      <w:pPr>
        <w:spacing w:line="560" w:lineRule="exact"/>
        <w:ind w:firstLine="643" w:firstLineChars="200"/>
        <w:rPr>
          <w:rFonts w:hint="default" w:ascii="Times New Roman" w:hAnsi="Times New Roman" w:eastAsia="仿宋_GB2312" w:cs="Times New Roman"/>
          <w:b/>
          <w:bCs/>
          <w:sz w:val="32"/>
          <w:szCs w:val="32"/>
          <w:highlight w:val="none"/>
          <w:lang w:eastAsia="zh-Hans"/>
        </w:rPr>
      </w:pPr>
      <w:r>
        <w:rPr>
          <w:rFonts w:hint="default" w:ascii="Times New Roman" w:hAnsi="Times New Roman" w:eastAsia="仿宋_GB2312" w:cs="Times New Roman"/>
          <w:b/>
          <w:bCs/>
          <w:sz w:val="32"/>
          <w:szCs w:val="32"/>
          <w:highlight w:val="none"/>
        </w:rPr>
        <w:t>五、</w:t>
      </w:r>
      <w:r>
        <w:rPr>
          <w:rFonts w:hint="default" w:ascii="Times New Roman" w:hAnsi="Times New Roman" w:eastAsia="仿宋_GB2312" w:cs="Times New Roman"/>
          <w:b/>
          <w:bCs/>
          <w:sz w:val="32"/>
          <w:szCs w:val="32"/>
          <w:highlight w:val="none"/>
          <w:lang w:eastAsia="zh-Hans"/>
        </w:rPr>
        <w:t>预算执行进度与绩效指标总体完成率偏差</w:t>
      </w:r>
    </w:p>
    <w:p w14:paraId="19F949BB">
      <w:pPr>
        <w:ind w:firstLine="640" w:firstLineChars="200"/>
        <w:jc w:val="both"/>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自治区人民医院政府采购项目预算214495.10万元，到位214495.10万元，实际支出179250.48万元，预算执行率为83.57%，项目绩效指标总体完成率为106.86%，总体偏差率为23.29%。偏差原因为：</w:t>
      </w:r>
      <w:r>
        <w:rPr>
          <w:rFonts w:hint="eastAsia" w:ascii="Times New Roman" w:hAnsi="Times New Roman" w:eastAsia="仿宋_GB2312" w:cs="Times New Roman"/>
          <w:kern w:val="2"/>
          <w:sz w:val="32"/>
          <w:szCs w:val="32"/>
          <w:highlight w:val="none"/>
          <w:lang w:val="en-US" w:eastAsia="zh-CN" w:bidi="ar-SA"/>
        </w:rPr>
        <w:t>2023年严格执行期初申报的年度采购预算，按照申报的设备明细、数量、价格开展招标采购工作，针对预算中申报的设备台件数为1400台（套），实际采购2072台（套）的问题：1.期初申报的年度设备采购预算21256.81万元外，申报了3000万元的应急设备采购预算，应急预算没有制定采购明细。后期按照医院发展规划，如医学美容中心的成立、日间手术室的建设等项目，利用应急预算购置了许多医疗设备，这些设备多为单价50万元以下设备，但执行预算未超过年度申报的总预算。2.期初申报的年度设备采购预算中，部分进口设备未审批通过，单件预算金额较大，经科室申请，调整为了多台（套）其他国产类医疗设备。</w:t>
      </w:r>
    </w:p>
    <w:p w14:paraId="02D5B0D5">
      <w:pPr>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改进措施为</w:t>
      </w:r>
      <w:r>
        <w:rPr>
          <w:rFonts w:hint="default" w:ascii="Times New Roman" w:hAnsi="Times New Roman" w:eastAsia="仿宋_GB2312" w:cs="Times New Roman"/>
          <w:kern w:val="2"/>
          <w:sz w:val="32"/>
          <w:szCs w:val="32"/>
          <w:highlight w:val="none"/>
          <w:lang w:val="en-US" w:eastAsia="zh-CN"/>
        </w:rPr>
        <w:t>：</w:t>
      </w:r>
      <w:r>
        <w:rPr>
          <w:rFonts w:hint="default" w:ascii="Times New Roman" w:hAnsi="Times New Roman" w:eastAsia="仿宋_GB2312" w:cs="Times New Roman"/>
          <w:kern w:val="2"/>
          <w:sz w:val="32"/>
          <w:szCs w:val="32"/>
          <w:highlight w:val="none"/>
          <w:lang w:val="en-US" w:eastAsia="zh-CN" w:bidi="ar-SA"/>
        </w:rPr>
        <w:t>以后年度严格按照期初</w:t>
      </w:r>
      <w:r>
        <w:rPr>
          <w:rFonts w:hint="eastAsia" w:eastAsia="仿宋_GB2312" w:cs="Times New Roman"/>
          <w:kern w:val="2"/>
          <w:sz w:val="32"/>
          <w:szCs w:val="32"/>
          <w:highlight w:val="none"/>
          <w:lang w:val="en-US" w:eastAsia="zh-CN" w:bidi="ar-SA"/>
        </w:rPr>
        <w:t>报送给财政的</w:t>
      </w:r>
      <w:r>
        <w:rPr>
          <w:rFonts w:hint="default" w:ascii="Times New Roman" w:hAnsi="Times New Roman" w:eastAsia="仿宋_GB2312" w:cs="Times New Roman"/>
          <w:kern w:val="2"/>
          <w:sz w:val="32"/>
          <w:szCs w:val="32"/>
          <w:highlight w:val="none"/>
          <w:lang w:val="en-US" w:eastAsia="zh-CN" w:bidi="ar-SA"/>
        </w:rPr>
        <w:t>预算</w:t>
      </w:r>
      <w:r>
        <w:rPr>
          <w:rFonts w:hint="eastAsia" w:eastAsia="仿宋_GB2312" w:cs="Times New Roman"/>
          <w:kern w:val="2"/>
          <w:sz w:val="32"/>
          <w:szCs w:val="32"/>
          <w:highlight w:val="none"/>
          <w:lang w:val="en-US" w:eastAsia="zh-CN" w:bidi="ar-SA"/>
        </w:rPr>
        <w:t>开展</w:t>
      </w:r>
      <w:r>
        <w:rPr>
          <w:rFonts w:hint="default" w:ascii="Times New Roman" w:hAnsi="Times New Roman" w:eastAsia="仿宋_GB2312" w:cs="Times New Roman"/>
          <w:kern w:val="2"/>
          <w:sz w:val="32"/>
          <w:szCs w:val="32"/>
          <w:highlight w:val="none"/>
          <w:lang w:val="en-US" w:eastAsia="zh-CN" w:bidi="ar-SA"/>
        </w:rPr>
        <w:t>政府采购</w:t>
      </w:r>
      <w:r>
        <w:rPr>
          <w:rFonts w:hint="eastAsia" w:eastAsia="仿宋_GB2312" w:cs="Times New Roman"/>
          <w:kern w:val="2"/>
          <w:sz w:val="32"/>
          <w:szCs w:val="32"/>
          <w:highlight w:val="none"/>
          <w:lang w:val="en-US" w:eastAsia="zh-CN" w:bidi="ar-SA"/>
        </w:rPr>
        <w:t>招标工作</w:t>
      </w:r>
      <w:r>
        <w:rPr>
          <w:rFonts w:hint="default"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rPr>
        <w:t>加强医院内部政府采购预算管理，对于</w:t>
      </w:r>
      <w:r>
        <w:rPr>
          <w:rFonts w:hint="default" w:ascii="Times New Roman" w:hAnsi="Times New Roman" w:eastAsia="仿宋_GB2312" w:cs="Times New Roman"/>
          <w:kern w:val="2"/>
          <w:sz w:val="32"/>
          <w:szCs w:val="32"/>
          <w:highlight w:val="none"/>
          <w:lang w:val="en-US" w:eastAsia="zh-CN" w:bidi="ar-SA"/>
        </w:rPr>
        <w:t>应急预算没有制定采购明细</w:t>
      </w:r>
      <w:r>
        <w:rPr>
          <w:rFonts w:hint="eastAsia" w:eastAsia="仿宋_GB2312" w:cs="Times New Roman"/>
          <w:kern w:val="2"/>
          <w:sz w:val="32"/>
          <w:szCs w:val="32"/>
          <w:highlight w:val="none"/>
          <w:lang w:val="en-US" w:eastAsia="zh-CN" w:bidi="ar-SA"/>
        </w:rPr>
        <w:t>的项目</w:t>
      </w:r>
      <w:r>
        <w:rPr>
          <w:rFonts w:hint="default" w:ascii="Times New Roman" w:hAnsi="Times New Roman" w:eastAsia="仿宋_GB2312" w:cs="Times New Roman"/>
          <w:kern w:val="2"/>
          <w:sz w:val="32"/>
          <w:szCs w:val="32"/>
          <w:highlight w:val="none"/>
          <w:lang w:val="en-US" w:eastAsia="zh-CN" w:bidi="ar-SA"/>
        </w:rPr>
        <w:t>，后期按照医院发展规划及</w:t>
      </w:r>
      <w:r>
        <w:rPr>
          <w:rFonts w:hint="eastAsia" w:eastAsia="仿宋_GB2312" w:cs="Times New Roman"/>
          <w:kern w:val="2"/>
          <w:sz w:val="32"/>
          <w:szCs w:val="32"/>
          <w:highlight w:val="none"/>
          <w:lang w:val="en-US" w:eastAsia="zh-CN" w:bidi="ar-SA"/>
        </w:rPr>
        <w:t>财政厅对</w:t>
      </w:r>
      <w:r>
        <w:rPr>
          <w:rFonts w:hint="default" w:ascii="Times New Roman" w:hAnsi="Times New Roman" w:eastAsia="仿宋_GB2312" w:cs="Times New Roman"/>
          <w:kern w:val="2"/>
          <w:sz w:val="32"/>
          <w:szCs w:val="32"/>
          <w:highlight w:val="none"/>
          <w:lang w:val="en-US" w:eastAsia="zh-CN" w:bidi="ar-SA"/>
        </w:rPr>
        <w:t>进口设备</w:t>
      </w:r>
      <w:r>
        <w:rPr>
          <w:rFonts w:hint="eastAsia" w:eastAsia="仿宋_GB2312" w:cs="Times New Roman"/>
          <w:kern w:val="2"/>
          <w:sz w:val="32"/>
          <w:szCs w:val="32"/>
          <w:highlight w:val="none"/>
          <w:lang w:val="en-US" w:eastAsia="zh-CN" w:bidi="ar-SA"/>
        </w:rPr>
        <w:t>的</w:t>
      </w:r>
      <w:r>
        <w:rPr>
          <w:rFonts w:hint="default" w:ascii="Times New Roman" w:hAnsi="Times New Roman" w:eastAsia="仿宋_GB2312" w:cs="Times New Roman"/>
          <w:kern w:val="2"/>
          <w:sz w:val="32"/>
          <w:szCs w:val="32"/>
          <w:highlight w:val="none"/>
          <w:lang w:val="en-US" w:eastAsia="zh-CN" w:bidi="ar-SA"/>
        </w:rPr>
        <w:t>批复</w:t>
      </w:r>
      <w:r>
        <w:rPr>
          <w:rFonts w:hint="eastAsia" w:eastAsia="仿宋_GB2312" w:cs="Times New Roman"/>
          <w:kern w:val="2"/>
          <w:sz w:val="32"/>
          <w:szCs w:val="32"/>
          <w:highlight w:val="none"/>
          <w:lang w:val="en-US" w:eastAsia="zh-CN" w:bidi="ar-SA"/>
        </w:rPr>
        <w:t>开展政</w:t>
      </w:r>
      <w:r>
        <w:rPr>
          <w:rFonts w:hint="default" w:ascii="Times New Roman" w:hAnsi="Times New Roman" w:eastAsia="仿宋_GB2312" w:cs="Times New Roman"/>
          <w:kern w:val="2"/>
          <w:sz w:val="32"/>
          <w:szCs w:val="32"/>
          <w:highlight w:val="none"/>
          <w:lang w:val="en-US" w:eastAsia="zh-CN" w:bidi="ar-SA"/>
        </w:rPr>
        <w:t>府采购</w:t>
      </w:r>
      <w:r>
        <w:rPr>
          <w:rFonts w:hint="eastAsia" w:eastAsia="仿宋_GB2312" w:cs="Times New Roman"/>
          <w:kern w:val="2"/>
          <w:sz w:val="32"/>
          <w:szCs w:val="32"/>
          <w:highlight w:val="none"/>
          <w:lang w:val="en-US" w:eastAsia="zh-CN" w:bidi="ar-SA"/>
        </w:rPr>
        <w:t>招标工作</w:t>
      </w:r>
      <w:r>
        <w:rPr>
          <w:rFonts w:hint="default" w:ascii="Times New Roman" w:hAnsi="Times New Roman" w:eastAsia="仿宋_GB2312" w:cs="Times New Roman"/>
          <w:kern w:val="2"/>
          <w:sz w:val="32"/>
          <w:szCs w:val="32"/>
          <w:highlight w:val="none"/>
          <w:lang w:val="en-US" w:eastAsia="zh-CN" w:bidi="ar-SA"/>
        </w:rPr>
        <w:t>。</w:t>
      </w:r>
    </w:p>
    <w:p w14:paraId="0451743B">
      <w:pPr>
        <w:spacing w:line="560" w:lineRule="exact"/>
        <w:ind w:firstLine="640" w:firstLineChars="200"/>
        <w:rPr>
          <w:rStyle w:val="16"/>
          <w:rFonts w:hint="eastAsia" w:ascii="黑体" w:hAnsi="黑体" w:eastAsia="黑体" w:cs="黑体"/>
          <w:b w:val="0"/>
          <w:bCs w:val="0"/>
          <w:color w:val="auto"/>
          <w:sz w:val="32"/>
          <w:szCs w:val="32"/>
          <w:highlight w:val="none"/>
        </w:rPr>
      </w:pPr>
      <w:r>
        <w:rPr>
          <w:rFonts w:hint="eastAsia" w:ascii="黑体" w:hAnsi="黑体" w:eastAsia="黑体" w:cs="黑体"/>
          <w:b w:val="0"/>
          <w:bCs w:val="0"/>
          <w:sz w:val="32"/>
          <w:szCs w:val="32"/>
          <w:highlight w:val="none"/>
          <w:lang w:eastAsia="zh-Hans"/>
        </w:rPr>
        <w:t>六</w:t>
      </w:r>
      <w:r>
        <w:rPr>
          <w:rFonts w:hint="eastAsia" w:ascii="黑体" w:hAnsi="黑体" w:eastAsia="黑体" w:cs="黑体"/>
          <w:b w:val="0"/>
          <w:bCs w:val="0"/>
          <w:sz w:val="32"/>
          <w:szCs w:val="32"/>
          <w:highlight w:val="none"/>
        </w:rPr>
        <w:t>、主要经验及做法、存在的问题及原因分析</w:t>
      </w:r>
    </w:p>
    <w:p w14:paraId="55C5A266">
      <w:pPr>
        <w:spacing w:line="560" w:lineRule="exact"/>
        <w:ind w:firstLine="627" w:firstLineChars="200"/>
        <w:rPr>
          <w:rFonts w:hint="default" w:ascii="Times New Roman" w:hAnsi="Times New Roman" w:eastAsia="仿宋_GB2312" w:cs="Times New Roman"/>
          <w:b/>
          <w:spacing w:val="-4"/>
          <w:sz w:val="32"/>
          <w:szCs w:val="32"/>
          <w:highlight w:val="none"/>
        </w:rPr>
      </w:pPr>
      <w:r>
        <w:rPr>
          <w:rFonts w:hint="default" w:ascii="Times New Roman" w:hAnsi="Times New Roman" w:eastAsia="仿宋_GB2312" w:cs="Times New Roman"/>
          <w:b/>
          <w:spacing w:val="-4"/>
          <w:sz w:val="32"/>
          <w:szCs w:val="32"/>
          <w:highlight w:val="none"/>
        </w:rPr>
        <w:t>（一）主要经验及做法</w:t>
      </w:r>
    </w:p>
    <w:p w14:paraId="48ED92B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6CBC5B6">
      <w:pPr>
        <w:pStyle w:val="9"/>
        <w:spacing w:before="0" w:after="0" w:line="560" w:lineRule="exact"/>
        <w:ind w:firstLine="640" w:firstLineChars="200"/>
        <w:jc w:val="left"/>
        <w:rPr>
          <w:rFonts w:hint="default" w:ascii="Times New Roman" w:hAnsi="Times New Roman" w:eastAsia="仿宋_GB2312" w:cs="Times New Roman"/>
          <w:b w:val="0"/>
          <w:bCs w:val="0"/>
          <w:kern w:val="2"/>
          <w:sz w:val="32"/>
          <w:szCs w:val="32"/>
          <w:highlight w:val="none"/>
        </w:rPr>
      </w:pPr>
      <w:r>
        <w:rPr>
          <w:rFonts w:hint="default" w:ascii="Times New Roman" w:hAnsi="Times New Roman" w:eastAsia="仿宋_GB2312" w:cs="Times New Roman"/>
          <w:b w:val="0"/>
          <w:bCs w:val="0"/>
          <w:kern w:val="2"/>
          <w:sz w:val="32"/>
          <w:szCs w:val="3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5148F8D">
      <w:pPr>
        <w:keepNext/>
        <w:keepLines/>
        <w:numPr>
          <w:ilvl w:val="0"/>
          <w:numId w:val="7"/>
        </w:num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存在的问题及原因分析</w:t>
      </w:r>
    </w:p>
    <w:p w14:paraId="191AEB0B">
      <w:pPr>
        <w:pStyle w:val="9"/>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rPr>
      </w:pPr>
      <w:r>
        <w:rPr>
          <w:rFonts w:hint="default" w:ascii="Times New Roman" w:hAnsi="Times New Roman" w:eastAsia="仿宋_GB2312" w:cs="Times New Roman"/>
          <w:b w:val="0"/>
          <w:bCs w:val="0"/>
          <w:kern w:val="2"/>
          <w:sz w:val="32"/>
          <w:szCs w:val="32"/>
          <w:highlight w:val="none"/>
          <w:lang w:eastAsia="zh-Hans"/>
        </w:rPr>
        <w:t>本项目202</w:t>
      </w:r>
      <w:r>
        <w:rPr>
          <w:rFonts w:hint="default" w:ascii="Times New Roman" w:hAnsi="Times New Roman" w:eastAsia="仿宋_GB2312" w:cs="Times New Roman"/>
          <w:b w:val="0"/>
          <w:bCs w:val="0"/>
          <w:kern w:val="2"/>
          <w:sz w:val="32"/>
          <w:szCs w:val="32"/>
          <w:highlight w:val="none"/>
          <w:lang w:val="en-US" w:eastAsia="zh-CN"/>
        </w:rPr>
        <w:t>3</w:t>
      </w:r>
      <w:r>
        <w:rPr>
          <w:rFonts w:hint="default" w:ascii="Times New Roman" w:hAnsi="Times New Roman" w:eastAsia="仿宋_GB2312" w:cs="Times New Roman"/>
          <w:b w:val="0"/>
          <w:bCs w:val="0"/>
          <w:kern w:val="2"/>
          <w:sz w:val="32"/>
          <w:szCs w:val="32"/>
          <w:highlight w:val="none"/>
          <w:lang w:eastAsia="zh-Hans"/>
        </w:rPr>
        <w:t>年度无</w:t>
      </w:r>
      <w:r>
        <w:rPr>
          <w:rFonts w:hint="default" w:ascii="Times New Roman" w:hAnsi="Times New Roman" w:eastAsia="仿宋_GB2312" w:cs="Times New Roman"/>
          <w:b w:val="0"/>
          <w:bCs w:val="0"/>
          <w:kern w:val="2"/>
          <w:sz w:val="32"/>
          <w:szCs w:val="32"/>
          <w:highlight w:val="none"/>
        </w:rPr>
        <w:t>存在的问题</w:t>
      </w:r>
      <w:r>
        <w:rPr>
          <w:rFonts w:hint="default" w:ascii="Times New Roman" w:hAnsi="Times New Roman" w:eastAsia="仿宋_GB2312" w:cs="Times New Roman"/>
          <w:b w:val="0"/>
          <w:bCs w:val="0"/>
          <w:kern w:val="2"/>
          <w:sz w:val="32"/>
          <w:szCs w:val="32"/>
          <w:highlight w:val="none"/>
          <w:lang w:eastAsia="zh-Hans"/>
        </w:rPr>
        <w:t>。</w:t>
      </w:r>
    </w:p>
    <w:p w14:paraId="30461198">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eastAsia="zh-Hans"/>
        </w:rPr>
        <w:t>七、</w:t>
      </w:r>
      <w:r>
        <w:rPr>
          <w:rFonts w:hint="default" w:ascii="Times New Roman" w:hAnsi="Times New Roman" w:eastAsia="仿宋_GB2312" w:cs="Times New Roman"/>
          <w:b/>
          <w:bCs/>
          <w:sz w:val="32"/>
          <w:szCs w:val="32"/>
          <w:highlight w:val="none"/>
        </w:rPr>
        <w:t>有关建议</w:t>
      </w:r>
    </w:p>
    <w:p w14:paraId="70EB413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14:paraId="234D67C7">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eastAsia="zh-Hans"/>
        </w:rPr>
        <w:t>八、</w:t>
      </w:r>
      <w:r>
        <w:rPr>
          <w:rFonts w:hint="default" w:ascii="Times New Roman" w:hAnsi="Times New Roman" w:eastAsia="仿宋_GB2312" w:cs="Times New Roman"/>
          <w:b/>
          <w:bCs/>
          <w:sz w:val="32"/>
          <w:szCs w:val="32"/>
          <w:highlight w:val="none"/>
        </w:rPr>
        <w:t>其他需要说</w:t>
      </w:r>
      <w:bookmarkStart w:id="8" w:name="page8"/>
      <w:bookmarkEnd w:id="8"/>
      <w:r>
        <w:rPr>
          <w:rFonts w:hint="default" w:ascii="Times New Roman" w:hAnsi="Times New Roman" w:eastAsia="仿宋_GB2312" w:cs="Times New Roman"/>
          <w:b/>
          <w:bCs/>
          <w:sz w:val="32"/>
          <w:szCs w:val="32"/>
          <w:highlight w:val="none"/>
        </w:rPr>
        <w:t>明的问题</w:t>
      </w:r>
    </w:p>
    <w:p w14:paraId="455461EB">
      <w:pPr>
        <w:pStyle w:val="11"/>
        <w:spacing w:after="0" w:line="560" w:lineRule="exact"/>
        <w:ind w:left="0" w:leftChars="0"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Hans"/>
        </w:rPr>
        <w:t>本项目无其他需说明的问题。</w:t>
      </w:r>
    </w:p>
    <w:p w14:paraId="098B5D56">
      <w:pPr>
        <w:pStyle w:val="11"/>
        <w:spacing w:after="0" w:line="560" w:lineRule="exact"/>
        <w:ind w:left="0" w:leftChars="0" w:firstLine="0" w:firstLineChars="0"/>
        <w:rPr>
          <w:rFonts w:hint="default" w:ascii="Times New Roman" w:hAnsi="Times New Roman" w:eastAsia="仿宋_GB2312" w:cs="Times New Roman"/>
          <w:sz w:val="32"/>
          <w:szCs w:val="32"/>
          <w:highlight w:val="none"/>
        </w:rPr>
      </w:pPr>
    </w:p>
    <w:p w14:paraId="300468AA">
      <w:pPr>
        <w:widowControl/>
        <w:jc w:val="center"/>
        <w:textAlignment w:val="center"/>
        <w:rPr>
          <w:rFonts w:hint="default" w:ascii="Times New Roman" w:hAnsi="Times New Roman" w:cs="Times New Roman" w:eastAsiaTheme="minorEastAsia"/>
          <w:b/>
          <w:kern w:val="0"/>
          <w:sz w:val="32"/>
          <w:szCs w:val="32"/>
          <w:highlight w:val="none"/>
          <w:lang w:bidi="ar"/>
        </w:rPr>
      </w:pPr>
    </w:p>
    <w:p w14:paraId="36ABDFCE">
      <w:pPr>
        <w:widowControl/>
        <w:jc w:val="center"/>
        <w:textAlignment w:val="center"/>
        <w:rPr>
          <w:rFonts w:hint="default" w:ascii="Times New Roman" w:hAnsi="Times New Roman" w:cs="Times New Roman" w:eastAsiaTheme="minorEastAsia"/>
          <w:b/>
          <w:kern w:val="0"/>
          <w:sz w:val="32"/>
          <w:szCs w:val="32"/>
          <w:highlight w:val="none"/>
          <w:lang w:bidi="ar"/>
        </w:rPr>
      </w:pPr>
    </w:p>
    <w:p w14:paraId="28338EA8">
      <w:pPr>
        <w:widowControl/>
        <w:jc w:val="center"/>
        <w:textAlignment w:val="center"/>
        <w:rPr>
          <w:rFonts w:hint="default" w:ascii="Times New Roman" w:hAnsi="Times New Roman" w:cs="Times New Roman" w:eastAsiaTheme="minorEastAsia"/>
          <w:b/>
          <w:kern w:val="0"/>
          <w:sz w:val="32"/>
          <w:szCs w:val="32"/>
          <w:highlight w:val="none"/>
          <w:lang w:bidi="ar"/>
        </w:rPr>
      </w:pPr>
    </w:p>
    <w:p w14:paraId="16410060">
      <w:pPr>
        <w:widowControl/>
        <w:jc w:val="center"/>
        <w:textAlignment w:val="center"/>
        <w:rPr>
          <w:rFonts w:hint="default" w:ascii="Times New Roman" w:hAnsi="Times New Roman" w:cs="Times New Roman" w:eastAsiaTheme="minorEastAsia"/>
          <w:b/>
          <w:kern w:val="0"/>
          <w:sz w:val="32"/>
          <w:szCs w:val="32"/>
          <w:highlight w:val="none"/>
          <w:lang w:bidi="ar"/>
        </w:rPr>
      </w:pPr>
    </w:p>
    <w:p w14:paraId="7512BA41">
      <w:pPr>
        <w:widowControl/>
        <w:jc w:val="center"/>
        <w:textAlignment w:val="center"/>
        <w:rPr>
          <w:rFonts w:hint="default" w:ascii="Times New Roman" w:hAnsi="Times New Roman" w:cs="Times New Roman" w:eastAsiaTheme="minorEastAsia"/>
          <w:b/>
          <w:kern w:val="0"/>
          <w:sz w:val="32"/>
          <w:szCs w:val="32"/>
          <w:highlight w:val="none"/>
          <w:lang w:bidi="ar"/>
        </w:rPr>
      </w:pPr>
    </w:p>
    <w:p w14:paraId="20705246">
      <w:pPr>
        <w:widowControl/>
        <w:jc w:val="center"/>
        <w:textAlignment w:val="center"/>
        <w:rPr>
          <w:rFonts w:hint="default" w:ascii="Times New Roman" w:hAnsi="Times New Roman" w:cs="Times New Roman" w:eastAsiaTheme="minorEastAsia"/>
          <w:b/>
          <w:kern w:val="0"/>
          <w:sz w:val="32"/>
          <w:szCs w:val="32"/>
          <w:highlight w:val="none"/>
          <w:lang w:bidi="ar"/>
        </w:rPr>
      </w:pPr>
    </w:p>
    <w:p w14:paraId="406C3AB3">
      <w:pPr>
        <w:widowControl/>
        <w:jc w:val="center"/>
        <w:textAlignment w:val="center"/>
        <w:rPr>
          <w:rFonts w:hint="default" w:ascii="Times New Roman" w:hAnsi="Times New Roman" w:cs="Times New Roman" w:eastAsiaTheme="minorEastAsia"/>
          <w:b/>
          <w:kern w:val="0"/>
          <w:sz w:val="32"/>
          <w:szCs w:val="32"/>
          <w:highlight w:val="none"/>
          <w:lang w:bidi="ar"/>
        </w:rPr>
      </w:pPr>
    </w:p>
    <w:p w14:paraId="5E7EC004">
      <w:pPr>
        <w:widowControl/>
        <w:jc w:val="center"/>
        <w:textAlignment w:val="center"/>
        <w:rPr>
          <w:rFonts w:hint="default" w:ascii="Times New Roman" w:hAnsi="Times New Roman" w:cs="Times New Roman" w:eastAsiaTheme="minorEastAsia"/>
          <w:b/>
          <w:kern w:val="0"/>
          <w:sz w:val="32"/>
          <w:szCs w:val="32"/>
          <w:highlight w:val="none"/>
          <w:lang w:bidi="ar"/>
        </w:rPr>
      </w:pPr>
    </w:p>
    <w:p w14:paraId="05856BA0">
      <w:pPr>
        <w:widowControl/>
        <w:jc w:val="center"/>
        <w:textAlignment w:val="center"/>
        <w:rPr>
          <w:rFonts w:hint="default" w:ascii="Times New Roman" w:hAnsi="Times New Roman" w:cs="Times New Roman" w:eastAsiaTheme="minorEastAsia"/>
          <w:b/>
          <w:kern w:val="0"/>
          <w:sz w:val="32"/>
          <w:szCs w:val="32"/>
          <w:highlight w:val="none"/>
          <w:lang w:bidi="ar"/>
        </w:rPr>
      </w:pPr>
    </w:p>
    <w:p w14:paraId="11743BF2">
      <w:pPr>
        <w:widowControl/>
        <w:jc w:val="center"/>
        <w:textAlignment w:val="center"/>
        <w:rPr>
          <w:rFonts w:hint="default" w:ascii="Times New Roman" w:hAnsi="Times New Roman" w:cs="Times New Roman" w:eastAsiaTheme="minorEastAsia"/>
          <w:b/>
          <w:kern w:val="0"/>
          <w:sz w:val="32"/>
          <w:szCs w:val="32"/>
          <w:highlight w:val="none"/>
          <w:lang w:bidi="ar"/>
        </w:rPr>
        <w:sectPr>
          <w:footerReference r:id="rId3" w:type="default"/>
          <w:pgSz w:w="11906" w:h="16838"/>
          <w:pgMar w:top="1440" w:right="1558" w:bottom="1440" w:left="1800" w:header="851" w:footer="992" w:gutter="0"/>
          <w:cols w:space="425" w:num="1"/>
          <w:docGrid w:type="lines" w:linePitch="312" w:charSpace="0"/>
        </w:sectPr>
      </w:pP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3"/>
        <w:gridCol w:w="583"/>
        <w:gridCol w:w="583"/>
        <w:gridCol w:w="1320"/>
        <w:gridCol w:w="1026"/>
        <w:gridCol w:w="934"/>
        <w:gridCol w:w="937"/>
        <w:gridCol w:w="934"/>
        <w:gridCol w:w="935"/>
        <w:gridCol w:w="935"/>
        <w:gridCol w:w="935"/>
        <w:gridCol w:w="1125"/>
        <w:gridCol w:w="1000"/>
        <w:gridCol w:w="2344"/>
      </w:tblGrid>
      <w:tr w14:paraId="60938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14:paraId="32556D5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48E05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09DDD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r>
              <w:rPr>
                <w:rFonts w:hint="eastAsia" w:ascii="宋体" w:hAnsi="宋体" w:cs="宋体"/>
                <w:i w:val="0"/>
                <w:iCs w:val="0"/>
                <w:color w:val="000000"/>
                <w:kern w:val="0"/>
                <w:sz w:val="22"/>
                <w:szCs w:val="22"/>
                <w:u w:val="none"/>
                <w:lang w:val="en-US" w:eastAsia="zh-CN" w:bidi="ar"/>
              </w:rPr>
              <w:t>）</w:t>
            </w:r>
          </w:p>
        </w:tc>
      </w:tr>
      <w:tr w14:paraId="455F4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164B6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58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26ED3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w:t>
            </w:r>
          </w:p>
        </w:tc>
      </w:tr>
      <w:tr w14:paraId="44B9B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F5706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67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6EA62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新疆维吾尔自治区卫生健康委员会</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0540D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24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16E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新疆维吾尔自治区人民医院</w:t>
            </w:r>
          </w:p>
        </w:tc>
      </w:tr>
      <w:tr w14:paraId="02AB2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24302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C91FE0">
            <w:pPr>
              <w:jc w:val="cente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4AF6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FC76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9582D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0CF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5CBA1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98FF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297C8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22E08">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78570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45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214495.10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271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214495.1</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BA53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179250.48</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13FD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C9E4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83.57%</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A81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8.36分</w:t>
            </w:r>
          </w:p>
        </w:tc>
      </w:tr>
      <w:tr w14:paraId="45A99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8A487">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54785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02E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22D8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E5C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AD92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CFC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00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272F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F62F9">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9ACB0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A5C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214495.1</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0B24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214495.1</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836B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179250.48</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5F9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3591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78C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C72B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62BE2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D17953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E6D7D1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3099D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BD8C8">
            <w:pPr>
              <w:jc w:val="center"/>
              <w:rPr>
                <w:rFonts w:hint="eastAsia" w:ascii="宋体" w:hAnsi="宋体" w:eastAsia="宋体" w:cs="宋体"/>
                <w:b/>
                <w:bCs/>
                <w:i w:val="0"/>
                <w:iCs w:val="0"/>
                <w:color w:val="000000"/>
                <w:sz w:val="18"/>
                <w:szCs w:val="18"/>
                <w:u w:val="none"/>
              </w:rPr>
            </w:pP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2F456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人民医院始建于1934年，是一所集医疗、教学、科研、预防、管理为一体的大型综合性“三级甲等医院”。目前，医院编制床位2700张，开放床位3370张，另设有1个直属院区、3个保健站、2个服务点。根据医院发展规划及年度工作计划，2023年开展全面预算管理，100%实行全面预算管理，加强资金的使用监管。所有招标采购项目在执行前、执行中、执行后都严格监督，对所有的项目严格把控，以便更好</w:t>
            </w:r>
            <w:r>
              <w:rPr>
                <w:rFonts w:hint="eastAsia" w:ascii="宋体" w:hAnsi="宋体" w:cs="宋体"/>
                <w:i w:val="0"/>
                <w:iCs w:val="0"/>
                <w:color w:val="000000"/>
                <w:kern w:val="0"/>
                <w:sz w:val="18"/>
                <w:szCs w:val="18"/>
                <w:u w:val="none"/>
                <w:lang w:val="en-US" w:eastAsia="zh-CN" w:bidi="ar"/>
              </w:rPr>
              <w:t>地</w:t>
            </w:r>
            <w:bookmarkStart w:id="11" w:name="_GoBack"/>
            <w:bookmarkEnd w:id="11"/>
            <w:r>
              <w:rPr>
                <w:rFonts w:hint="eastAsia" w:ascii="宋体" w:hAnsi="宋体" w:eastAsia="宋体" w:cs="宋体"/>
                <w:i w:val="0"/>
                <w:iCs w:val="0"/>
                <w:color w:val="000000"/>
                <w:kern w:val="0"/>
                <w:sz w:val="18"/>
                <w:szCs w:val="18"/>
                <w:u w:val="none"/>
                <w:lang w:val="en-US" w:eastAsia="zh-CN" w:bidi="ar"/>
              </w:rPr>
              <w:t>对每个项目进行有效</w:t>
            </w:r>
            <w:r>
              <w:rPr>
                <w:rFonts w:hint="eastAsia" w:ascii="宋体" w:hAnsi="宋体" w:cs="宋体"/>
                <w:i w:val="0"/>
                <w:iCs w:val="0"/>
                <w:color w:val="000000"/>
                <w:kern w:val="0"/>
                <w:sz w:val="18"/>
                <w:szCs w:val="18"/>
                <w:u w:val="none"/>
                <w:lang w:val="en-US" w:eastAsia="zh-CN" w:bidi="ar"/>
              </w:rPr>
              <w:t>地</w:t>
            </w:r>
            <w:r>
              <w:rPr>
                <w:rFonts w:hint="eastAsia" w:ascii="宋体" w:hAnsi="宋体" w:eastAsia="宋体" w:cs="宋体"/>
                <w:i w:val="0"/>
                <w:iCs w:val="0"/>
                <w:color w:val="000000"/>
                <w:kern w:val="0"/>
                <w:sz w:val="18"/>
                <w:szCs w:val="18"/>
                <w:u w:val="none"/>
                <w:lang w:val="en-US" w:eastAsia="zh-CN" w:bidi="ar"/>
              </w:rPr>
              <w:t>监督。同时逐步夯实医院运营保障基础，不断提升医疗水平和科研教学能力，全面推动医院整体协调发展，不断满足人民群众多样化的医疗健康需求，将医院打造成为患者满意、职工满意、社会满意和政府满意的综合医院。</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17DE2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全面实行预算管理，所有招标采购项目在执行前、执行中、执行后都严格监督，对所有的项目严格把控。对于年初设定的产出指标、成本指标、效益指标和满意度指标均已完成。数量指标由于应急预算没有制定采购明细，后期按照医院发展规划，如医学美容中心的成立、日间手术室的建设等项目，及部分进口设备未审批通过，单件预算金额较大，经科室申请，调整为了多台（套）其他国产类医疗设备，实际指标完成率为148%。</w:t>
            </w:r>
          </w:p>
        </w:tc>
      </w:tr>
      <w:tr w14:paraId="0BA7F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A24651">
            <w:pPr>
              <w:jc w:val="center"/>
              <w:rPr>
                <w:rFonts w:hint="eastAsia" w:ascii="宋体" w:hAnsi="宋体" w:eastAsia="宋体" w:cs="宋体"/>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C1B8A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AD33C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4859A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C6D17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F9841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B6F99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6B7AD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E85BD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B7596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FA594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90BE5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FFCD6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B1282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7B4C4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B8212">
            <w:pPr>
              <w:jc w:val="center"/>
              <w:rPr>
                <w:rFonts w:hint="eastAsia" w:ascii="宋体" w:hAnsi="宋体" w:eastAsia="宋体" w:cs="宋体"/>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0CC4BC">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10496">
            <w:pPr>
              <w:jc w:val="center"/>
              <w:rPr>
                <w:rFonts w:hint="eastAsia" w:ascii="宋体" w:hAnsi="宋体" w:eastAsia="宋体" w:cs="宋体"/>
                <w:b/>
                <w:bCs/>
                <w:i w:val="0"/>
                <w:iCs w:val="0"/>
                <w:color w:val="000000"/>
                <w:sz w:val="18"/>
                <w:szCs w:val="18"/>
                <w:u w:val="none"/>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51FF7">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9393F">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054985">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D1D94D">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58B81">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43FF2">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8507D">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E8C3B">
            <w:pPr>
              <w:jc w:val="center"/>
              <w:rPr>
                <w:rFonts w:hint="eastAsia" w:ascii="宋体" w:hAnsi="宋体" w:eastAsia="宋体" w:cs="宋体"/>
                <w:b/>
                <w:bCs/>
                <w:i w:val="0"/>
                <w:iCs w:val="0"/>
                <w:color w:val="000000"/>
                <w:sz w:val="18"/>
                <w:szCs w:val="18"/>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A51F1">
            <w:pPr>
              <w:jc w:val="center"/>
              <w:rPr>
                <w:rFonts w:hint="eastAsia" w:ascii="宋体" w:hAnsi="宋体" w:eastAsia="宋体" w:cs="宋体"/>
                <w:b/>
                <w:bCs/>
                <w:i w:val="0"/>
                <w:iCs w:val="0"/>
                <w:color w:val="000000"/>
                <w:sz w:val="18"/>
                <w:szCs w:val="18"/>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4E8152">
            <w:pPr>
              <w:jc w:val="center"/>
              <w:rPr>
                <w:rFonts w:hint="eastAsia" w:ascii="宋体" w:hAnsi="宋体" w:eastAsia="宋体" w:cs="宋体"/>
                <w:b/>
                <w:bCs/>
                <w:i w:val="0"/>
                <w:iCs w:val="0"/>
                <w:color w:val="000000"/>
                <w:sz w:val="18"/>
                <w:szCs w:val="18"/>
                <w:u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B92BD">
            <w:pPr>
              <w:jc w:val="center"/>
              <w:rPr>
                <w:rFonts w:hint="eastAsia" w:ascii="宋体" w:hAnsi="宋体" w:eastAsia="宋体" w:cs="宋体"/>
                <w:b/>
                <w:bCs/>
                <w:i w:val="0"/>
                <w:iCs w:val="0"/>
                <w:color w:val="000000"/>
                <w:sz w:val="18"/>
                <w:szCs w:val="18"/>
                <w:u w:val="none"/>
              </w:rPr>
            </w:pPr>
          </w:p>
        </w:tc>
      </w:tr>
      <w:tr w14:paraId="5ED07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91533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CF9D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DBE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4A7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设备购置数量（个）</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572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48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=1400台件</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A0B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=2072台件</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357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C5D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7F9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2FF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1249台件</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FA3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A6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58C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应急预算没有制定采购明细，后期按照医院发展规划及进口设备批复后的采购。以后年度严格按照期初预算报送执行政府采购。</w:t>
            </w:r>
          </w:p>
        </w:tc>
      </w:tr>
      <w:tr w14:paraId="37391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2E6E3">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BFE9D">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2E6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DDC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设备验收合格率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0FD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28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04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BDD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2F5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A95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7C8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6F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313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50926">
            <w:pPr>
              <w:jc w:val="center"/>
              <w:rPr>
                <w:rFonts w:hint="eastAsia" w:ascii="宋体" w:hAnsi="宋体" w:eastAsia="宋体" w:cs="宋体"/>
                <w:i w:val="0"/>
                <w:iCs w:val="0"/>
                <w:color w:val="000000"/>
                <w:sz w:val="18"/>
                <w:szCs w:val="18"/>
                <w:u w:val="none"/>
              </w:rPr>
            </w:pPr>
          </w:p>
        </w:tc>
      </w:tr>
      <w:tr w14:paraId="7C119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ADFD2">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195F1">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6AA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3BD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设备购置完成时间</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08B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E5E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2023年12月31日</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23F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=2023年12月31日</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13E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4B1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A43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77A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2022年12月31日</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00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3A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FE32E">
            <w:pPr>
              <w:jc w:val="center"/>
              <w:rPr>
                <w:rFonts w:hint="eastAsia" w:ascii="宋体" w:hAnsi="宋体" w:eastAsia="宋体" w:cs="宋体"/>
                <w:i w:val="0"/>
                <w:iCs w:val="0"/>
                <w:color w:val="000000"/>
                <w:sz w:val="18"/>
                <w:szCs w:val="18"/>
                <w:u w:val="none"/>
              </w:rPr>
            </w:pPr>
          </w:p>
        </w:tc>
      </w:tr>
      <w:tr w14:paraId="2ED30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B1E0F4">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679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714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EAD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政府采购预算成本控制率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F5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2E9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942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1E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6D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E6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C35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BE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D75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68666">
            <w:pPr>
              <w:jc w:val="center"/>
              <w:rPr>
                <w:rFonts w:hint="eastAsia" w:ascii="宋体" w:hAnsi="宋体" w:eastAsia="宋体" w:cs="宋体"/>
                <w:i w:val="0"/>
                <w:iCs w:val="0"/>
                <w:color w:val="000000"/>
                <w:sz w:val="18"/>
                <w:szCs w:val="18"/>
                <w:u w:val="none"/>
              </w:rPr>
            </w:pPr>
          </w:p>
        </w:tc>
      </w:tr>
      <w:tr w14:paraId="13FB6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48AD1D">
            <w:pPr>
              <w:jc w:val="center"/>
              <w:rPr>
                <w:rFonts w:hint="eastAsia" w:ascii="宋体" w:hAnsi="宋体" w:eastAsia="宋体" w:cs="宋体"/>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B520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E4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EC7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设备利用率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1D0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F8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3B3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5F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F40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D3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B82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0E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98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B41D2">
            <w:pPr>
              <w:jc w:val="center"/>
              <w:rPr>
                <w:rFonts w:hint="eastAsia" w:ascii="宋体" w:hAnsi="宋体" w:eastAsia="宋体" w:cs="宋体"/>
                <w:i w:val="0"/>
                <w:iCs w:val="0"/>
                <w:color w:val="000000"/>
                <w:sz w:val="18"/>
                <w:szCs w:val="18"/>
                <w:u w:val="none"/>
              </w:rPr>
            </w:pPr>
          </w:p>
        </w:tc>
      </w:tr>
      <w:tr w14:paraId="7C2CA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E3CB35">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8F0FD">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8AA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159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保障医院开展医疗服务</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D56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4F1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3F1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C1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6D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CF9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46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FD5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B6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C1B68">
            <w:pPr>
              <w:jc w:val="center"/>
              <w:rPr>
                <w:rFonts w:hint="eastAsia" w:ascii="宋体" w:hAnsi="宋体" w:eastAsia="宋体" w:cs="宋体"/>
                <w:i w:val="0"/>
                <w:iCs w:val="0"/>
                <w:color w:val="000000"/>
                <w:sz w:val="18"/>
                <w:szCs w:val="18"/>
                <w:u w:val="none"/>
              </w:rPr>
            </w:pPr>
          </w:p>
        </w:tc>
      </w:tr>
      <w:tr w14:paraId="6201A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B6888">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B41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FC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3D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使用科室满意度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4E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6B0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326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14C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57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356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0E4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76B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6F3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E223E">
            <w:pPr>
              <w:jc w:val="center"/>
              <w:rPr>
                <w:rFonts w:hint="eastAsia" w:ascii="宋体" w:hAnsi="宋体" w:eastAsia="宋体" w:cs="宋体"/>
                <w:i w:val="0"/>
                <w:iCs w:val="0"/>
                <w:color w:val="000000"/>
                <w:sz w:val="18"/>
                <w:szCs w:val="18"/>
                <w:u w:val="none"/>
              </w:rPr>
            </w:pPr>
          </w:p>
        </w:tc>
      </w:tr>
      <w:tr w14:paraId="18FD1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1092" w:type="pct"/>
            <w:gridSpan w:val="4"/>
            <w:tcBorders>
              <w:top w:val="single" w:color="000000" w:sz="4" w:space="0"/>
              <w:left w:val="single" w:color="000000" w:sz="4" w:space="0"/>
              <w:bottom w:val="single" w:color="000000" w:sz="4" w:space="0"/>
              <w:right w:val="nil"/>
            </w:tcBorders>
            <w:shd w:val="clear" w:color="auto" w:fill="auto"/>
            <w:vAlign w:val="center"/>
          </w:tcPr>
          <w:p w14:paraId="0687B6A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64E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nil"/>
              <w:bottom w:val="single" w:color="000000" w:sz="4" w:space="0"/>
              <w:right w:val="single" w:color="000000" w:sz="4" w:space="0"/>
            </w:tcBorders>
            <w:shd w:val="clear" w:color="auto" w:fill="auto"/>
            <w:vAlign w:val="center"/>
          </w:tcPr>
          <w:p w14:paraId="6577EC47">
            <w:pP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30325">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3EC39">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C1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88.76分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9B223">
            <w:pP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C1C40">
            <w:pP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61DCE">
            <w:pPr>
              <w:rPr>
                <w:rFonts w:hint="eastAsia" w:ascii="宋体" w:hAnsi="宋体" w:eastAsia="宋体" w:cs="宋体"/>
                <w:i w:val="0"/>
                <w:iCs w:val="0"/>
                <w:color w:val="000000"/>
                <w:sz w:val="18"/>
                <w:szCs w:val="18"/>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9D84C">
            <w:pPr>
              <w:rPr>
                <w:rFonts w:hint="eastAsia" w:ascii="宋体" w:hAnsi="宋体" w:eastAsia="宋体" w:cs="宋体"/>
                <w:i w:val="0"/>
                <w:iCs w:val="0"/>
                <w:color w:val="000000"/>
                <w:sz w:val="18"/>
                <w:szCs w:val="18"/>
                <w:u w:val="none"/>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2A80C">
            <w:pPr>
              <w:rPr>
                <w:rFonts w:hint="eastAsia" w:ascii="宋体" w:hAnsi="宋体" w:eastAsia="宋体" w:cs="宋体"/>
                <w:i w:val="0"/>
                <w:iCs w:val="0"/>
                <w:color w:val="000000"/>
                <w:sz w:val="18"/>
                <w:szCs w:val="18"/>
                <w:u w:val="none"/>
              </w:rPr>
            </w:pPr>
          </w:p>
        </w:tc>
      </w:tr>
    </w:tbl>
    <w:p w14:paraId="2AEB0A77">
      <w:pPr>
        <w:spacing w:line="600" w:lineRule="exact"/>
        <w:rPr>
          <w:rFonts w:hint="default" w:ascii="Times New Roman" w:hAnsi="Times New Roman" w:eastAsia="仿宋_GB2312" w:cs="Times New Roman"/>
          <w:bCs/>
          <w:sz w:val="32"/>
          <w:szCs w:val="32"/>
          <w:highlight w:val="none"/>
        </w:rPr>
      </w:pPr>
    </w:p>
    <w:p w14:paraId="0FE3853A">
      <w:pPr>
        <w:spacing w:line="600" w:lineRule="exact"/>
        <w:rPr>
          <w:rFonts w:hint="default" w:ascii="Times New Roman" w:hAnsi="Times New Roman" w:eastAsia="仿宋_GB2312" w:cs="Times New Roman"/>
          <w:bCs/>
          <w:sz w:val="32"/>
          <w:szCs w:val="32"/>
          <w:highlight w:val="none"/>
        </w:rPr>
      </w:pPr>
    </w:p>
    <w:p w14:paraId="58EC996B">
      <w:pPr>
        <w:spacing w:line="600" w:lineRule="exact"/>
        <w:rPr>
          <w:rFonts w:hint="default" w:ascii="Times New Roman" w:hAnsi="Times New Roman" w:eastAsia="仿宋_GB2312" w:cs="Times New Roman"/>
          <w:bCs/>
          <w:sz w:val="32"/>
          <w:szCs w:val="32"/>
          <w:highlight w:val="none"/>
        </w:rPr>
      </w:pPr>
    </w:p>
    <w:p w14:paraId="3DF82394">
      <w:pPr>
        <w:spacing w:line="600" w:lineRule="exact"/>
        <w:rPr>
          <w:rFonts w:hint="default" w:ascii="Times New Roman" w:hAnsi="Times New Roman" w:eastAsia="仿宋_GB2312" w:cs="Times New Roman"/>
          <w:bCs/>
          <w:sz w:val="32"/>
          <w:szCs w:val="32"/>
          <w:highlight w:val="none"/>
        </w:rPr>
      </w:pPr>
    </w:p>
    <w:p w14:paraId="3198B340">
      <w:pPr>
        <w:spacing w:line="600" w:lineRule="exact"/>
        <w:rPr>
          <w:rFonts w:hint="default" w:ascii="Times New Roman" w:hAnsi="Times New Roman" w:eastAsia="仿宋_GB2312" w:cs="Times New Roman"/>
          <w:bCs/>
          <w:sz w:val="32"/>
          <w:szCs w:val="32"/>
          <w:highlight w:val="none"/>
        </w:rPr>
      </w:pPr>
    </w:p>
    <w:p w14:paraId="53ACFB4E">
      <w:pPr>
        <w:spacing w:line="600" w:lineRule="exact"/>
        <w:rPr>
          <w:rFonts w:hint="default" w:ascii="Times New Roman" w:hAnsi="Times New Roman" w:eastAsia="仿宋_GB2312" w:cs="Times New Roman"/>
          <w:bCs/>
          <w:sz w:val="32"/>
          <w:szCs w:val="32"/>
          <w:highlight w:val="none"/>
        </w:rPr>
      </w:pPr>
    </w:p>
    <w:p w14:paraId="2079A06C">
      <w:pPr>
        <w:spacing w:line="600" w:lineRule="exact"/>
        <w:rPr>
          <w:rFonts w:hint="default" w:ascii="Times New Roman" w:hAnsi="Times New Roman" w:eastAsia="仿宋_GB2312" w:cs="Times New Roman"/>
          <w:bCs/>
          <w:sz w:val="32"/>
          <w:szCs w:val="32"/>
          <w:highlight w:val="none"/>
        </w:rPr>
      </w:pPr>
    </w:p>
    <w:p w14:paraId="35A3D23A">
      <w:pPr>
        <w:spacing w:line="600" w:lineRule="exact"/>
        <w:rPr>
          <w:rFonts w:hint="default" w:ascii="Times New Roman" w:hAnsi="Times New Roman" w:eastAsia="仿宋_GB2312" w:cs="Times New Roman"/>
          <w:bCs/>
          <w:sz w:val="32"/>
          <w:szCs w:val="32"/>
          <w:highlight w:val="none"/>
        </w:rPr>
      </w:pPr>
    </w:p>
    <w:p w14:paraId="4A5CF79D">
      <w:pPr>
        <w:spacing w:line="600" w:lineRule="exact"/>
        <w:rPr>
          <w:rFonts w:hint="default" w:ascii="Times New Roman" w:hAnsi="Times New Roman" w:eastAsia="仿宋_GB2312" w:cs="Times New Roman"/>
          <w:bCs/>
          <w:sz w:val="32"/>
          <w:szCs w:val="32"/>
          <w:highlight w:val="none"/>
        </w:rPr>
      </w:pPr>
    </w:p>
    <w:p w14:paraId="0B622CCE">
      <w:pPr>
        <w:spacing w:line="600" w:lineRule="exact"/>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附件1</w:t>
      </w:r>
      <w:bookmarkStart w:id="9" w:name="_Toc30064_WPSOffice_Level1"/>
      <w:bookmarkStart w:id="10" w:name="_Toc26499_WPSOffice_Level2"/>
    </w:p>
    <w:p w14:paraId="21F2BA59">
      <w:pPr>
        <w:spacing w:line="600" w:lineRule="exact"/>
        <w:jc w:val="center"/>
        <w:rPr>
          <w:rFonts w:hint="default" w:ascii="Times New Roman" w:hAnsi="Times New Roman" w:eastAsia="仿宋_GB2312" w:cs="Times New Roman"/>
          <w:bCs/>
          <w:sz w:val="32"/>
          <w:szCs w:val="32"/>
          <w:highlight w:val="none"/>
        </w:rPr>
      </w:pPr>
      <w:r>
        <w:rPr>
          <w:rFonts w:hint="default" w:ascii="Times New Roman" w:hAnsi="Times New Roman" w:cs="Times New Roman"/>
          <w:b/>
          <w:bCs/>
          <w:sz w:val="28"/>
          <w:szCs w:val="40"/>
          <w:highlight w:val="none"/>
        </w:rPr>
        <w:t>政府采购项目绩效评价指标体系综合评分表</w:t>
      </w:r>
      <w:bookmarkEnd w:id="9"/>
      <w:bookmarkEnd w:id="10"/>
    </w:p>
    <w:tbl>
      <w:tblPr>
        <w:tblStyle w:val="12"/>
        <w:tblW w:w="4997"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34"/>
        <w:gridCol w:w="856"/>
        <w:gridCol w:w="975"/>
        <w:gridCol w:w="2627"/>
        <w:gridCol w:w="5800"/>
        <w:gridCol w:w="1451"/>
        <w:gridCol w:w="1522"/>
      </w:tblGrid>
      <w:tr w14:paraId="469EAF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0" w:type="pct"/>
            <w:shd w:val="clear" w:color="auto" w:fill="FFFFFF"/>
            <w:vAlign w:val="center"/>
          </w:tcPr>
          <w:p w14:paraId="590723F2">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b/>
                <w:bCs/>
                <w:color w:val="000000"/>
                <w:kern w:val="0"/>
                <w:sz w:val="22"/>
                <w:szCs w:val="22"/>
                <w:highlight w:val="none"/>
              </w:rPr>
              <w:t>一级指标</w:t>
            </w:r>
          </w:p>
        </w:tc>
        <w:tc>
          <w:tcPr>
            <w:tcW w:w="302" w:type="pct"/>
            <w:shd w:val="clear" w:color="auto" w:fill="FFFFFF"/>
            <w:vAlign w:val="center"/>
          </w:tcPr>
          <w:p w14:paraId="738CFEFD">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b/>
                <w:bCs/>
                <w:color w:val="000000"/>
                <w:kern w:val="0"/>
                <w:sz w:val="22"/>
                <w:szCs w:val="22"/>
                <w:highlight w:val="none"/>
              </w:rPr>
              <w:t>二级指标</w:t>
            </w:r>
          </w:p>
        </w:tc>
        <w:tc>
          <w:tcPr>
            <w:tcW w:w="344" w:type="pct"/>
            <w:shd w:val="clear" w:color="auto" w:fill="FFFFFF"/>
            <w:vAlign w:val="center"/>
          </w:tcPr>
          <w:p w14:paraId="4E17150E">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b/>
                <w:bCs/>
                <w:color w:val="000000"/>
                <w:kern w:val="0"/>
                <w:sz w:val="22"/>
                <w:szCs w:val="22"/>
                <w:highlight w:val="none"/>
              </w:rPr>
              <w:t>三级指标</w:t>
            </w:r>
          </w:p>
        </w:tc>
        <w:tc>
          <w:tcPr>
            <w:tcW w:w="927" w:type="pct"/>
            <w:shd w:val="clear" w:color="auto" w:fill="FFFFFF"/>
            <w:vAlign w:val="center"/>
          </w:tcPr>
          <w:p w14:paraId="145DE51E">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b/>
                <w:bCs/>
                <w:color w:val="000000"/>
                <w:kern w:val="0"/>
                <w:sz w:val="22"/>
                <w:szCs w:val="22"/>
                <w:highlight w:val="none"/>
              </w:rPr>
              <w:t>指标解释</w:t>
            </w:r>
          </w:p>
        </w:tc>
        <w:tc>
          <w:tcPr>
            <w:tcW w:w="2046" w:type="pct"/>
            <w:shd w:val="clear" w:color="auto" w:fill="FFFFFF"/>
            <w:vAlign w:val="center"/>
          </w:tcPr>
          <w:p w14:paraId="6B7439F4">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b/>
                <w:bCs/>
                <w:color w:val="000000"/>
                <w:kern w:val="0"/>
                <w:sz w:val="22"/>
                <w:szCs w:val="22"/>
                <w:highlight w:val="none"/>
              </w:rPr>
              <w:t>指标说明</w:t>
            </w:r>
          </w:p>
        </w:tc>
        <w:tc>
          <w:tcPr>
            <w:tcW w:w="512" w:type="pct"/>
            <w:shd w:val="clear" w:color="auto" w:fill="FFFFFF"/>
            <w:vAlign w:val="center"/>
          </w:tcPr>
          <w:p w14:paraId="7DE2B0D7">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b/>
                <w:bCs/>
                <w:color w:val="000000"/>
                <w:kern w:val="0"/>
                <w:sz w:val="22"/>
                <w:szCs w:val="22"/>
                <w:highlight w:val="none"/>
              </w:rPr>
              <w:t>权重</w:t>
            </w:r>
          </w:p>
        </w:tc>
        <w:tc>
          <w:tcPr>
            <w:tcW w:w="537" w:type="pct"/>
            <w:shd w:val="clear" w:color="auto" w:fill="FFFFFF"/>
            <w:vAlign w:val="center"/>
          </w:tcPr>
          <w:p w14:paraId="16F2C842">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b/>
                <w:bCs/>
                <w:color w:val="000000"/>
                <w:kern w:val="0"/>
                <w:sz w:val="22"/>
                <w:szCs w:val="22"/>
                <w:highlight w:val="none"/>
              </w:rPr>
              <w:t>得分</w:t>
            </w:r>
          </w:p>
        </w:tc>
      </w:tr>
      <w:tr w14:paraId="272C6C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30" w:type="pct"/>
            <w:vMerge w:val="restart"/>
            <w:shd w:val="clear" w:color="auto" w:fill="FFFFFF"/>
            <w:vAlign w:val="center"/>
          </w:tcPr>
          <w:p w14:paraId="5B82A607">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决策　</w:t>
            </w:r>
          </w:p>
          <w:p w14:paraId="7836B41E">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　</w:t>
            </w:r>
          </w:p>
          <w:p w14:paraId="64A0EC78">
            <w:pPr>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　</w:t>
            </w:r>
          </w:p>
        </w:tc>
        <w:tc>
          <w:tcPr>
            <w:tcW w:w="302" w:type="pct"/>
            <w:vMerge w:val="restart"/>
            <w:shd w:val="clear" w:color="auto" w:fill="FFFFFF"/>
            <w:vAlign w:val="center"/>
          </w:tcPr>
          <w:p w14:paraId="30818147">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项目立项　</w:t>
            </w:r>
          </w:p>
        </w:tc>
        <w:tc>
          <w:tcPr>
            <w:tcW w:w="344" w:type="pct"/>
            <w:shd w:val="clear" w:color="auto" w:fill="FFFFFF"/>
            <w:vAlign w:val="center"/>
          </w:tcPr>
          <w:p w14:paraId="2922DB92">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立项依据</w:t>
            </w:r>
          </w:p>
          <w:p w14:paraId="35F18BCF">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充分性</w:t>
            </w:r>
          </w:p>
        </w:tc>
        <w:tc>
          <w:tcPr>
            <w:tcW w:w="927" w:type="pct"/>
            <w:shd w:val="clear" w:color="auto" w:fill="FFFFFF"/>
            <w:vAlign w:val="center"/>
          </w:tcPr>
          <w:p w14:paraId="45513455">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项目立项是否符合法律法规、相关政策、发展规划以及部门职责，用以反映和考核项目立项依据情况。</w:t>
            </w:r>
          </w:p>
        </w:tc>
        <w:tc>
          <w:tcPr>
            <w:tcW w:w="2046" w:type="pct"/>
            <w:shd w:val="clear" w:color="auto" w:fill="FFFFFF"/>
            <w:vAlign w:val="center"/>
          </w:tcPr>
          <w:p w14:paraId="3D03D036">
            <w:pPr>
              <w:widowControl/>
              <w:spacing w:line="0" w:lineRule="atLeast"/>
              <w:jc w:val="lef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评价要点：</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①项目立项是否符合国家法律法规、国民经济发展规划和相关政策；</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②项目立项是否符合行业发展规划和政策要求；</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③项目立项是否与部门职责范围相符，属于部门履职所需；</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④项目是否属于公共财政支持范围，是否符合中央、地方事权支出责任划分原则；</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⑤项目是否与相关部门同类项目或部门内部相关项目重复。</w:t>
            </w:r>
          </w:p>
        </w:tc>
        <w:tc>
          <w:tcPr>
            <w:tcW w:w="512" w:type="pct"/>
            <w:shd w:val="clear" w:color="auto" w:fill="FFFFFF"/>
            <w:vAlign w:val="center"/>
          </w:tcPr>
          <w:p w14:paraId="7A43F09A">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3</w:t>
            </w:r>
          </w:p>
        </w:tc>
        <w:tc>
          <w:tcPr>
            <w:tcW w:w="537" w:type="pct"/>
            <w:shd w:val="clear" w:color="auto" w:fill="FFFFFF"/>
            <w:vAlign w:val="center"/>
          </w:tcPr>
          <w:p w14:paraId="08D3CED8">
            <w:pPr>
              <w:widowControl/>
              <w:spacing w:line="0" w:lineRule="atLeast"/>
              <w:jc w:val="center"/>
              <w:rPr>
                <w:rFonts w:hint="default" w:ascii="Times New Roman" w:hAnsi="Times New Roman" w:cs="Times New Roman" w:eastAsiaTheme="minorEastAsia"/>
                <w:b/>
                <w:bCs/>
                <w:color w:val="000000"/>
                <w:kern w:val="0"/>
                <w:sz w:val="22"/>
                <w:szCs w:val="22"/>
                <w:highlight w:val="none"/>
                <w:lang w:eastAsia="zh-CN"/>
              </w:rPr>
            </w:pPr>
            <w:r>
              <w:rPr>
                <w:rFonts w:hint="default" w:ascii="Times New Roman" w:hAnsi="Times New Roman" w:cs="Times New Roman" w:eastAsiaTheme="minorEastAsia"/>
                <w:sz w:val="22"/>
                <w:szCs w:val="22"/>
                <w:highlight w:val="none"/>
              </w:rPr>
              <w:t>3</w:t>
            </w:r>
          </w:p>
        </w:tc>
      </w:tr>
      <w:tr w14:paraId="2D74E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0" w:type="pct"/>
            <w:vMerge w:val="continue"/>
            <w:shd w:val="clear" w:color="auto" w:fill="FFFFFF"/>
            <w:vAlign w:val="center"/>
          </w:tcPr>
          <w:p w14:paraId="471AE479">
            <w:pPr>
              <w:spacing w:line="0" w:lineRule="atLeast"/>
              <w:jc w:val="center"/>
              <w:rPr>
                <w:rFonts w:hint="default" w:ascii="Times New Roman" w:hAnsi="Times New Roman" w:cs="Times New Roman" w:eastAsiaTheme="minorEastAsia"/>
                <w:color w:val="000000"/>
                <w:kern w:val="0"/>
                <w:sz w:val="22"/>
                <w:szCs w:val="22"/>
                <w:highlight w:val="none"/>
              </w:rPr>
            </w:pPr>
          </w:p>
        </w:tc>
        <w:tc>
          <w:tcPr>
            <w:tcW w:w="302" w:type="pct"/>
            <w:vMerge w:val="continue"/>
            <w:shd w:val="clear" w:color="auto" w:fill="FFFFFF"/>
            <w:vAlign w:val="center"/>
          </w:tcPr>
          <w:p w14:paraId="6901DD75">
            <w:pPr>
              <w:widowControl/>
              <w:spacing w:line="0" w:lineRule="atLeast"/>
              <w:jc w:val="center"/>
              <w:rPr>
                <w:rFonts w:hint="default" w:ascii="Times New Roman" w:hAnsi="Times New Roman" w:cs="Times New Roman" w:eastAsiaTheme="minorEastAsia"/>
                <w:color w:val="000000"/>
                <w:kern w:val="0"/>
                <w:sz w:val="22"/>
                <w:szCs w:val="22"/>
                <w:highlight w:val="none"/>
              </w:rPr>
            </w:pPr>
          </w:p>
        </w:tc>
        <w:tc>
          <w:tcPr>
            <w:tcW w:w="344" w:type="pct"/>
            <w:shd w:val="clear" w:color="auto" w:fill="FFFFFF"/>
            <w:vAlign w:val="center"/>
          </w:tcPr>
          <w:p w14:paraId="3E013A52">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立项程序</w:t>
            </w:r>
          </w:p>
          <w:p w14:paraId="2CA1D3F8">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规范性</w:t>
            </w:r>
          </w:p>
        </w:tc>
        <w:tc>
          <w:tcPr>
            <w:tcW w:w="927" w:type="pct"/>
            <w:shd w:val="clear" w:color="auto" w:fill="FFFFFF"/>
            <w:vAlign w:val="center"/>
          </w:tcPr>
          <w:p w14:paraId="14E58E9F">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项目申请、设立过程是否符合相关要求，用以反映和考核项目立项的规范情况。</w:t>
            </w:r>
          </w:p>
        </w:tc>
        <w:tc>
          <w:tcPr>
            <w:tcW w:w="2046" w:type="pct"/>
            <w:shd w:val="clear" w:color="auto" w:fill="FFFFFF"/>
            <w:vAlign w:val="center"/>
          </w:tcPr>
          <w:p w14:paraId="2D5A8ACF">
            <w:pPr>
              <w:widowControl/>
              <w:spacing w:line="0" w:lineRule="atLeast"/>
              <w:jc w:val="lef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评价要点：</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①项目是否按照规定的程序申请设立；</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②审批文件、材料是否符合相关要求；</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③事前是否已经过必要的可行性研究、专家论证、风险评估、绩效评估、集体决策。</w:t>
            </w:r>
          </w:p>
        </w:tc>
        <w:tc>
          <w:tcPr>
            <w:tcW w:w="512" w:type="pct"/>
            <w:shd w:val="clear" w:color="auto" w:fill="FFFFFF"/>
            <w:vAlign w:val="center"/>
          </w:tcPr>
          <w:p w14:paraId="3192D709">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3</w:t>
            </w:r>
          </w:p>
        </w:tc>
        <w:tc>
          <w:tcPr>
            <w:tcW w:w="537" w:type="pct"/>
            <w:shd w:val="clear" w:color="auto" w:fill="FFFFFF"/>
            <w:vAlign w:val="center"/>
          </w:tcPr>
          <w:p w14:paraId="2AD941AF">
            <w:pPr>
              <w:widowControl/>
              <w:spacing w:line="0" w:lineRule="atLeast"/>
              <w:jc w:val="center"/>
              <w:rPr>
                <w:rFonts w:hint="default" w:ascii="Times New Roman" w:hAnsi="Times New Roman" w:cs="Times New Roman" w:eastAsiaTheme="minorEastAsia"/>
                <w:b/>
                <w:bCs/>
                <w:color w:val="000000"/>
                <w:kern w:val="0"/>
                <w:sz w:val="22"/>
                <w:szCs w:val="22"/>
                <w:highlight w:val="none"/>
                <w:lang w:eastAsia="zh-CN"/>
              </w:rPr>
            </w:pPr>
            <w:r>
              <w:rPr>
                <w:rFonts w:hint="default" w:ascii="Times New Roman" w:hAnsi="Times New Roman" w:cs="Times New Roman" w:eastAsiaTheme="minorEastAsia"/>
                <w:color w:val="000000"/>
                <w:kern w:val="0"/>
                <w:sz w:val="22"/>
                <w:szCs w:val="22"/>
                <w:highlight w:val="none"/>
                <w:lang w:val="en-US" w:eastAsia="zh-CN"/>
              </w:rPr>
              <w:t>3</w:t>
            </w:r>
          </w:p>
        </w:tc>
      </w:tr>
      <w:tr w14:paraId="5A6D52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0" w:type="pct"/>
            <w:vMerge w:val="continue"/>
            <w:shd w:val="clear" w:color="auto" w:fill="FFFFFF"/>
            <w:vAlign w:val="center"/>
          </w:tcPr>
          <w:p w14:paraId="3B426BB4">
            <w:pPr>
              <w:spacing w:line="0" w:lineRule="atLeast"/>
              <w:jc w:val="center"/>
              <w:rPr>
                <w:rFonts w:hint="default" w:ascii="Times New Roman" w:hAnsi="Times New Roman" w:cs="Times New Roman" w:eastAsiaTheme="minorEastAsia"/>
                <w:color w:val="000000"/>
                <w:kern w:val="0"/>
                <w:sz w:val="22"/>
                <w:szCs w:val="22"/>
                <w:highlight w:val="none"/>
              </w:rPr>
            </w:pPr>
          </w:p>
        </w:tc>
        <w:tc>
          <w:tcPr>
            <w:tcW w:w="302" w:type="pct"/>
            <w:shd w:val="clear" w:color="auto" w:fill="FFFFFF"/>
            <w:vAlign w:val="center"/>
          </w:tcPr>
          <w:p w14:paraId="4A322D76">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绩效目标　</w:t>
            </w:r>
          </w:p>
        </w:tc>
        <w:tc>
          <w:tcPr>
            <w:tcW w:w="344" w:type="pct"/>
            <w:shd w:val="clear" w:color="auto" w:fill="FFFFFF"/>
            <w:vAlign w:val="center"/>
          </w:tcPr>
          <w:p w14:paraId="5BB3A560">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绩效目标</w:t>
            </w:r>
          </w:p>
          <w:p w14:paraId="7D261A43">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合理性</w:t>
            </w:r>
          </w:p>
        </w:tc>
        <w:tc>
          <w:tcPr>
            <w:tcW w:w="927" w:type="pct"/>
            <w:shd w:val="clear" w:color="000000" w:fill="FFFFFF"/>
            <w:vAlign w:val="center"/>
          </w:tcPr>
          <w:p w14:paraId="6BDE7934">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项目所设定的绩效目标是否依据充分，是否符合客观实际，用以反映和考核项目绩效目标与项目实施的相符情况。</w:t>
            </w:r>
          </w:p>
        </w:tc>
        <w:tc>
          <w:tcPr>
            <w:tcW w:w="2046" w:type="pct"/>
            <w:shd w:val="clear" w:color="000000" w:fill="FFFFFF"/>
            <w:vAlign w:val="center"/>
          </w:tcPr>
          <w:p w14:paraId="23C89FD5">
            <w:pPr>
              <w:widowControl/>
              <w:spacing w:line="0" w:lineRule="atLeast"/>
              <w:jc w:val="lef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评价要点：</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（如未设定预算绩效目标，也可考核其他工作任务目标）</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①项目是否有绩效目标；</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②项目绩效目标与实际工作内容是否具有相关性；</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③项目预期产出效益和效果是否符合正常的业绩水平；</w:t>
            </w:r>
          </w:p>
          <w:p w14:paraId="54D01A19">
            <w:pPr>
              <w:widowControl/>
              <w:spacing w:line="0" w:lineRule="atLeast"/>
              <w:jc w:val="lef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④是否与预算确定的项目投资额或资金量相匹配。</w:t>
            </w:r>
          </w:p>
        </w:tc>
        <w:tc>
          <w:tcPr>
            <w:tcW w:w="512" w:type="pct"/>
            <w:shd w:val="clear" w:color="000000" w:fill="FFFFFF"/>
            <w:vAlign w:val="center"/>
          </w:tcPr>
          <w:p w14:paraId="7CBA5903">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3</w:t>
            </w:r>
          </w:p>
        </w:tc>
        <w:tc>
          <w:tcPr>
            <w:tcW w:w="537" w:type="pct"/>
            <w:shd w:val="clear" w:color="000000" w:fill="FFFFFF"/>
            <w:vAlign w:val="center"/>
          </w:tcPr>
          <w:p w14:paraId="18BB9BE5">
            <w:pPr>
              <w:widowControl/>
              <w:spacing w:line="0" w:lineRule="atLeast"/>
              <w:jc w:val="center"/>
              <w:rPr>
                <w:rFonts w:hint="default" w:ascii="Times New Roman" w:hAnsi="Times New Roman" w:cs="Times New Roman" w:eastAsiaTheme="minorEastAsia"/>
                <w:b/>
                <w:bCs/>
                <w:color w:val="000000"/>
                <w:kern w:val="0"/>
                <w:sz w:val="22"/>
                <w:szCs w:val="22"/>
                <w:highlight w:val="none"/>
                <w:lang w:eastAsia="zh-CN"/>
              </w:rPr>
            </w:pPr>
            <w:r>
              <w:rPr>
                <w:rFonts w:hint="default" w:ascii="Times New Roman" w:hAnsi="Times New Roman" w:cs="Times New Roman" w:eastAsiaTheme="minorEastAsia"/>
                <w:color w:val="000000"/>
                <w:kern w:val="0"/>
                <w:sz w:val="22"/>
                <w:szCs w:val="22"/>
                <w:highlight w:val="none"/>
                <w:lang w:val="en-US" w:eastAsia="zh-CN"/>
              </w:rPr>
              <w:t>3</w:t>
            </w:r>
          </w:p>
        </w:tc>
      </w:tr>
      <w:tr w14:paraId="730A8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0" w:type="pct"/>
            <w:vMerge w:val="restart"/>
            <w:shd w:val="clear" w:color="auto" w:fill="FFFFFF"/>
            <w:vAlign w:val="center"/>
          </w:tcPr>
          <w:p w14:paraId="044F2C90">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决策　</w:t>
            </w:r>
          </w:p>
        </w:tc>
        <w:tc>
          <w:tcPr>
            <w:tcW w:w="302" w:type="pct"/>
            <w:shd w:val="clear" w:color="auto" w:fill="FFFFFF"/>
            <w:vAlign w:val="center"/>
          </w:tcPr>
          <w:p w14:paraId="7145D534">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绩效目标</w:t>
            </w:r>
          </w:p>
        </w:tc>
        <w:tc>
          <w:tcPr>
            <w:tcW w:w="344" w:type="pct"/>
            <w:shd w:val="clear" w:color="auto" w:fill="FFFFFF"/>
            <w:vAlign w:val="center"/>
          </w:tcPr>
          <w:p w14:paraId="1C4AD77D">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绩效指标</w:t>
            </w:r>
          </w:p>
          <w:p w14:paraId="1069B4AB">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明确性</w:t>
            </w:r>
          </w:p>
        </w:tc>
        <w:tc>
          <w:tcPr>
            <w:tcW w:w="927" w:type="pct"/>
            <w:shd w:val="clear" w:color="000000" w:fill="FFFFFF"/>
            <w:vAlign w:val="center"/>
          </w:tcPr>
          <w:p w14:paraId="5632A3A8">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依据绩效目标设定的绩效指标是否清晰、细化、可衡量等，用以反映和考核项目绩效目标的明细化情况。</w:t>
            </w:r>
          </w:p>
        </w:tc>
        <w:tc>
          <w:tcPr>
            <w:tcW w:w="2046" w:type="pct"/>
            <w:shd w:val="clear" w:color="000000" w:fill="FFFFFF"/>
            <w:vAlign w:val="center"/>
          </w:tcPr>
          <w:p w14:paraId="417072CA">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评价要点：</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①是否将项目绩效目标细化分解为具体的绩效指标；</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②是否通过清晰、可衡量的指标值予以体现；</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③是否与项目目标任务数或计划数相对应。</w:t>
            </w:r>
            <w:r>
              <w:rPr>
                <w:rFonts w:hint="default" w:ascii="Times New Roman" w:hAnsi="Times New Roman" w:cs="Times New Roman" w:eastAsiaTheme="minorEastAsia"/>
                <w:color w:val="000000"/>
                <w:kern w:val="0"/>
                <w:sz w:val="22"/>
                <w:szCs w:val="22"/>
                <w:highlight w:val="none"/>
              </w:rPr>
              <w:br w:type="textWrapping"/>
            </w:r>
          </w:p>
        </w:tc>
        <w:tc>
          <w:tcPr>
            <w:tcW w:w="512" w:type="pct"/>
            <w:shd w:val="clear" w:color="000000" w:fill="FFFFFF"/>
            <w:vAlign w:val="center"/>
          </w:tcPr>
          <w:p w14:paraId="08266472">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3</w:t>
            </w:r>
          </w:p>
        </w:tc>
        <w:tc>
          <w:tcPr>
            <w:tcW w:w="537" w:type="pct"/>
            <w:shd w:val="clear" w:color="000000" w:fill="FFFFFF"/>
            <w:vAlign w:val="center"/>
          </w:tcPr>
          <w:p w14:paraId="3F870D21">
            <w:pPr>
              <w:widowControl/>
              <w:spacing w:line="0" w:lineRule="atLeast"/>
              <w:jc w:val="center"/>
              <w:rPr>
                <w:rFonts w:hint="default" w:ascii="Times New Roman" w:hAnsi="Times New Roman" w:cs="Times New Roman" w:eastAsiaTheme="minorEastAsia"/>
                <w:b/>
                <w:bCs/>
                <w:color w:val="000000"/>
                <w:kern w:val="0"/>
                <w:sz w:val="22"/>
                <w:szCs w:val="22"/>
                <w:highlight w:val="none"/>
                <w:lang w:eastAsia="zh-CN"/>
              </w:rPr>
            </w:pPr>
            <w:r>
              <w:rPr>
                <w:rFonts w:hint="default" w:ascii="Times New Roman" w:hAnsi="Times New Roman" w:cs="Times New Roman" w:eastAsiaTheme="minorEastAsia"/>
                <w:color w:val="000000"/>
                <w:kern w:val="0"/>
                <w:sz w:val="22"/>
                <w:szCs w:val="22"/>
                <w:highlight w:val="none"/>
                <w:lang w:val="en-US" w:eastAsia="zh-CN"/>
              </w:rPr>
              <w:t>3</w:t>
            </w:r>
          </w:p>
        </w:tc>
      </w:tr>
      <w:tr w14:paraId="3C5E5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0" w:type="pct"/>
            <w:vMerge w:val="continue"/>
            <w:shd w:val="clear" w:color="auto" w:fill="FFFFFF"/>
            <w:vAlign w:val="center"/>
          </w:tcPr>
          <w:p w14:paraId="606CA94B">
            <w:pPr>
              <w:spacing w:line="0" w:lineRule="atLeast"/>
              <w:jc w:val="center"/>
              <w:rPr>
                <w:rFonts w:hint="default" w:ascii="Times New Roman" w:hAnsi="Times New Roman" w:cs="Times New Roman" w:eastAsiaTheme="minorEastAsia"/>
                <w:color w:val="000000"/>
                <w:kern w:val="0"/>
                <w:sz w:val="22"/>
                <w:szCs w:val="22"/>
                <w:highlight w:val="none"/>
              </w:rPr>
            </w:pPr>
          </w:p>
        </w:tc>
        <w:tc>
          <w:tcPr>
            <w:tcW w:w="302" w:type="pct"/>
            <w:vMerge w:val="restart"/>
            <w:shd w:val="clear" w:color="auto" w:fill="FFFFFF"/>
            <w:vAlign w:val="center"/>
          </w:tcPr>
          <w:p w14:paraId="118A44D6">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资金投入</w:t>
            </w:r>
          </w:p>
          <w:p w14:paraId="09A12C59">
            <w:pPr>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　</w:t>
            </w:r>
          </w:p>
        </w:tc>
        <w:tc>
          <w:tcPr>
            <w:tcW w:w="344" w:type="pct"/>
            <w:shd w:val="clear" w:color="auto" w:fill="FFFFFF"/>
            <w:vAlign w:val="center"/>
          </w:tcPr>
          <w:p w14:paraId="418CA2FF">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预算编制</w:t>
            </w:r>
          </w:p>
          <w:p w14:paraId="307FEAD4">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科学性</w:t>
            </w:r>
          </w:p>
        </w:tc>
        <w:tc>
          <w:tcPr>
            <w:tcW w:w="927" w:type="pct"/>
            <w:shd w:val="clear" w:color="auto" w:fill="FFFFFF"/>
            <w:vAlign w:val="center"/>
          </w:tcPr>
          <w:p w14:paraId="033E5A04">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项目预算编制是否经过科学论证、有明确标准，资金额度与年度目标是否相适应，用以反映和考核项目预算编制的科学性、合理性情况。</w:t>
            </w:r>
          </w:p>
        </w:tc>
        <w:tc>
          <w:tcPr>
            <w:tcW w:w="2046" w:type="pct"/>
            <w:shd w:val="clear" w:color="auto" w:fill="FFFFFF"/>
            <w:vAlign w:val="center"/>
          </w:tcPr>
          <w:p w14:paraId="7BDD9641">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评价要点：</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①预算编制是否经过科学论证；</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②预算内容与项目内容是否匹配；</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③预算额度测算依据是否充分，是否按照标准编制；</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④预算确定的项目投资额或资金量是否与工作任务相匹配。</w:t>
            </w:r>
          </w:p>
        </w:tc>
        <w:tc>
          <w:tcPr>
            <w:tcW w:w="512" w:type="pct"/>
            <w:shd w:val="clear" w:color="auto" w:fill="FFFFFF"/>
            <w:vAlign w:val="center"/>
          </w:tcPr>
          <w:p w14:paraId="2730A3B9">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4</w:t>
            </w:r>
          </w:p>
        </w:tc>
        <w:tc>
          <w:tcPr>
            <w:tcW w:w="537" w:type="pct"/>
            <w:shd w:val="clear" w:color="auto" w:fill="FFFFFF"/>
            <w:vAlign w:val="center"/>
          </w:tcPr>
          <w:p w14:paraId="44EB86C9">
            <w:pPr>
              <w:widowControl/>
              <w:spacing w:line="0" w:lineRule="atLeast"/>
              <w:jc w:val="center"/>
              <w:rPr>
                <w:rFonts w:hint="default" w:ascii="Times New Roman" w:hAnsi="Times New Roman" w:cs="Times New Roman" w:eastAsiaTheme="minorEastAsia"/>
                <w:b/>
                <w:bCs/>
                <w:color w:val="000000"/>
                <w:kern w:val="0"/>
                <w:sz w:val="22"/>
                <w:szCs w:val="22"/>
                <w:highlight w:val="none"/>
                <w:lang w:eastAsia="zh-CN"/>
              </w:rPr>
            </w:pPr>
            <w:r>
              <w:rPr>
                <w:rFonts w:hint="default" w:ascii="Times New Roman" w:hAnsi="Times New Roman" w:cs="Times New Roman" w:eastAsiaTheme="minorEastAsia"/>
                <w:color w:val="000000"/>
                <w:kern w:val="0"/>
                <w:sz w:val="22"/>
                <w:szCs w:val="22"/>
                <w:highlight w:val="none"/>
                <w:lang w:val="en-US" w:eastAsia="zh-CN"/>
              </w:rPr>
              <w:t>4</w:t>
            </w:r>
          </w:p>
        </w:tc>
      </w:tr>
      <w:tr w14:paraId="53DB13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0" w:type="pct"/>
            <w:vMerge w:val="continue"/>
            <w:shd w:val="clear" w:color="auto" w:fill="FFFFFF"/>
            <w:vAlign w:val="center"/>
          </w:tcPr>
          <w:p w14:paraId="6C188ACC">
            <w:pPr>
              <w:widowControl/>
              <w:spacing w:line="0" w:lineRule="atLeast"/>
              <w:jc w:val="center"/>
              <w:rPr>
                <w:rFonts w:hint="default" w:ascii="Times New Roman" w:hAnsi="Times New Roman" w:cs="Times New Roman" w:eastAsiaTheme="minorEastAsia"/>
                <w:color w:val="000000"/>
                <w:kern w:val="0"/>
                <w:sz w:val="22"/>
                <w:szCs w:val="22"/>
                <w:highlight w:val="none"/>
              </w:rPr>
            </w:pPr>
          </w:p>
        </w:tc>
        <w:tc>
          <w:tcPr>
            <w:tcW w:w="302" w:type="pct"/>
            <w:vMerge w:val="continue"/>
            <w:shd w:val="clear" w:color="auto" w:fill="FFFFFF"/>
            <w:vAlign w:val="center"/>
          </w:tcPr>
          <w:p w14:paraId="20BB1918">
            <w:pPr>
              <w:widowControl/>
              <w:spacing w:line="0" w:lineRule="atLeast"/>
              <w:jc w:val="center"/>
              <w:rPr>
                <w:rFonts w:hint="default" w:ascii="Times New Roman" w:hAnsi="Times New Roman" w:cs="Times New Roman" w:eastAsiaTheme="minorEastAsia"/>
                <w:color w:val="000000"/>
                <w:kern w:val="0"/>
                <w:sz w:val="22"/>
                <w:szCs w:val="22"/>
                <w:highlight w:val="none"/>
              </w:rPr>
            </w:pPr>
          </w:p>
        </w:tc>
        <w:tc>
          <w:tcPr>
            <w:tcW w:w="344" w:type="pct"/>
            <w:shd w:val="clear" w:color="auto" w:fill="FFFFFF"/>
            <w:vAlign w:val="center"/>
          </w:tcPr>
          <w:p w14:paraId="6EB27F27">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资金分配</w:t>
            </w:r>
          </w:p>
          <w:p w14:paraId="7A1C3321">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合理性</w:t>
            </w:r>
          </w:p>
        </w:tc>
        <w:tc>
          <w:tcPr>
            <w:tcW w:w="927" w:type="pct"/>
            <w:shd w:val="clear" w:color="auto" w:fill="FFFFFF"/>
            <w:vAlign w:val="center"/>
          </w:tcPr>
          <w:p w14:paraId="5B29098C">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项目预算资金分配是否有测算依据，与补助单位或地方实际是否相适应，用以反映和考核项目预算资金分配的科学性、合理性情况。</w:t>
            </w:r>
          </w:p>
        </w:tc>
        <w:tc>
          <w:tcPr>
            <w:tcW w:w="2046" w:type="pct"/>
            <w:shd w:val="clear" w:color="auto" w:fill="FFFFFF"/>
            <w:vAlign w:val="center"/>
          </w:tcPr>
          <w:p w14:paraId="032E3BF3">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评价要点：</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①预算资金分配依据是否充分；</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②资金分配额度是否合理，与项目单位或地方实际是否相适应。</w:t>
            </w:r>
          </w:p>
        </w:tc>
        <w:tc>
          <w:tcPr>
            <w:tcW w:w="512" w:type="pct"/>
            <w:shd w:val="clear" w:color="auto" w:fill="FFFFFF"/>
            <w:vAlign w:val="center"/>
          </w:tcPr>
          <w:p w14:paraId="59F0D57C">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4</w:t>
            </w:r>
          </w:p>
        </w:tc>
        <w:tc>
          <w:tcPr>
            <w:tcW w:w="537" w:type="pct"/>
            <w:shd w:val="clear" w:color="auto" w:fill="FFFFFF"/>
            <w:vAlign w:val="center"/>
          </w:tcPr>
          <w:p w14:paraId="2E27DAD1">
            <w:pPr>
              <w:widowControl/>
              <w:spacing w:line="0" w:lineRule="atLeast"/>
              <w:jc w:val="center"/>
              <w:rPr>
                <w:rFonts w:hint="default" w:ascii="Times New Roman" w:hAnsi="Times New Roman" w:cs="Times New Roman" w:eastAsiaTheme="minorEastAsia"/>
                <w:b/>
                <w:bCs/>
                <w:color w:val="000000"/>
                <w:kern w:val="0"/>
                <w:sz w:val="22"/>
                <w:szCs w:val="22"/>
                <w:highlight w:val="none"/>
                <w:lang w:eastAsia="zh-CN"/>
              </w:rPr>
            </w:pPr>
            <w:r>
              <w:rPr>
                <w:rFonts w:hint="default" w:ascii="Times New Roman" w:hAnsi="Times New Roman" w:cs="Times New Roman" w:eastAsiaTheme="minorEastAsia"/>
                <w:color w:val="000000"/>
                <w:kern w:val="0"/>
                <w:sz w:val="22"/>
                <w:szCs w:val="22"/>
                <w:highlight w:val="none"/>
                <w:lang w:val="en-US" w:eastAsia="zh-CN"/>
              </w:rPr>
              <w:t>4</w:t>
            </w:r>
          </w:p>
        </w:tc>
      </w:tr>
      <w:tr w14:paraId="43201D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0" w:type="pct"/>
            <w:vMerge w:val="restart"/>
            <w:shd w:val="clear" w:color="auto" w:fill="FFFFFF"/>
            <w:vAlign w:val="center"/>
          </w:tcPr>
          <w:p w14:paraId="45C6B390">
            <w:pPr>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过程</w:t>
            </w:r>
          </w:p>
        </w:tc>
        <w:tc>
          <w:tcPr>
            <w:tcW w:w="302" w:type="pct"/>
            <w:vMerge w:val="restart"/>
            <w:shd w:val="clear" w:color="auto" w:fill="FFFFFF"/>
            <w:vAlign w:val="center"/>
          </w:tcPr>
          <w:p w14:paraId="5EE5D63E">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资金管理</w:t>
            </w:r>
          </w:p>
        </w:tc>
        <w:tc>
          <w:tcPr>
            <w:tcW w:w="344" w:type="pct"/>
            <w:shd w:val="clear" w:color="auto" w:fill="FFFFFF"/>
            <w:vAlign w:val="center"/>
          </w:tcPr>
          <w:p w14:paraId="541E04B0">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资金到位率</w:t>
            </w:r>
          </w:p>
        </w:tc>
        <w:tc>
          <w:tcPr>
            <w:tcW w:w="927" w:type="pct"/>
            <w:shd w:val="clear" w:color="000000" w:fill="FFFFFF"/>
            <w:vAlign w:val="center"/>
          </w:tcPr>
          <w:p w14:paraId="322EE31D">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实际到位资金与预算资金的比率，用以反映和考核资金落实情况对项目实施的总体保障程度。</w:t>
            </w:r>
          </w:p>
        </w:tc>
        <w:tc>
          <w:tcPr>
            <w:tcW w:w="2046" w:type="pct"/>
            <w:shd w:val="clear" w:color="000000" w:fill="FFFFFF"/>
            <w:vAlign w:val="center"/>
          </w:tcPr>
          <w:p w14:paraId="305A360E">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资金到位率=（实际到位资金/预算资金）×100%。</w:t>
            </w:r>
          </w:p>
          <w:p w14:paraId="659906DD">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实际到位资金：一定时期（本年度或项目期）内落实到具体项目的资金。</w:t>
            </w:r>
          </w:p>
          <w:p w14:paraId="44B479E2">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预算资金：一定时期（本年度或项目期）内预算安排到具体项目的资金。</w:t>
            </w:r>
          </w:p>
        </w:tc>
        <w:tc>
          <w:tcPr>
            <w:tcW w:w="512" w:type="pct"/>
            <w:shd w:val="clear" w:color="000000" w:fill="FFFFFF"/>
            <w:vAlign w:val="center"/>
          </w:tcPr>
          <w:p w14:paraId="2D5C28EB">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4</w:t>
            </w:r>
          </w:p>
        </w:tc>
        <w:tc>
          <w:tcPr>
            <w:tcW w:w="537" w:type="pct"/>
            <w:shd w:val="clear" w:color="000000" w:fill="FFFFFF"/>
            <w:vAlign w:val="center"/>
          </w:tcPr>
          <w:p w14:paraId="7AC3DE1B">
            <w:pPr>
              <w:widowControl/>
              <w:spacing w:line="0" w:lineRule="atLeast"/>
              <w:jc w:val="center"/>
              <w:rPr>
                <w:rFonts w:hint="default" w:ascii="Times New Roman" w:hAnsi="Times New Roman" w:cs="Times New Roman" w:eastAsiaTheme="minorEastAsia"/>
                <w:b/>
                <w:bCs/>
                <w:color w:val="000000"/>
                <w:kern w:val="0"/>
                <w:sz w:val="22"/>
                <w:szCs w:val="22"/>
                <w:highlight w:val="none"/>
                <w:lang w:eastAsia="zh-CN"/>
              </w:rPr>
            </w:pPr>
            <w:r>
              <w:rPr>
                <w:rFonts w:hint="default" w:ascii="Times New Roman" w:hAnsi="Times New Roman" w:cs="Times New Roman" w:eastAsiaTheme="minorEastAsia"/>
                <w:color w:val="000000"/>
                <w:kern w:val="0"/>
                <w:sz w:val="22"/>
                <w:szCs w:val="22"/>
                <w:highlight w:val="none"/>
                <w:lang w:val="en-US" w:eastAsia="zh-CN"/>
              </w:rPr>
              <w:t>4</w:t>
            </w:r>
          </w:p>
        </w:tc>
      </w:tr>
      <w:tr w14:paraId="2E177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0" w:type="pct"/>
            <w:vMerge w:val="continue"/>
            <w:shd w:val="clear" w:color="auto" w:fill="FFFFFF"/>
            <w:vAlign w:val="center"/>
          </w:tcPr>
          <w:p w14:paraId="0493F39E">
            <w:pPr>
              <w:spacing w:line="0" w:lineRule="atLeast"/>
              <w:jc w:val="center"/>
              <w:rPr>
                <w:rFonts w:hint="default" w:ascii="Times New Roman" w:hAnsi="Times New Roman" w:cs="Times New Roman" w:eastAsiaTheme="minorEastAsia"/>
                <w:color w:val="000000"/>
                <w:kern w:val="0"/>
                <w:sz w:val="22"/>
                <w:szCs w:val="22"/>
                <w:highlight w:val="none"/>
              </w:rPr>
            </w:pPr>
          </w:p>
        </w:tc>
        <w:tc>
          <w:tcPr>
            <w:tcW w:w="302" w:type="pct"/>
            <w:vMerge w:val="continue"/>
            <w:shd w:val="clear" w:color="auto" w:fill="FFFFFF"/>
            <w:vAlign w:val="center"/>
          </w:tcPr>
          <w:p w14:paraId="0227D47F">
            <w:pPr>
              <w:spacing w:line="0" w:lineRule="atLeast"/>
              <w:jc w:val="center"/>
              <w:rPr>
                <w:rFonts w:hint="default" w:ascii="Times New Roman" w:hAnsi="Times New Roman" w:cs="Times New Roman" w:eastAsiaTheme="minorEastAsia"/>
                <w:color w:val="000000"/>
                <w:kern w:val="0"/>
                <w:sz w:val="22"/>
                <w:szCs w:val="22"/>
                <w:highlight w:val="none"/>
              </w:rPr>
            </w:pPr>
          </w:p>
        </w:tc>
        <w:tc>
          <w:tcPr>
            <w:tcW w:w="344" w:type="pct"/>
            <w:shd w:val="clear" w:color="auto" w:fill="FFFFFF"/>
            <w:vAlign w:val="center"/>
          </w:tcPr>
          <w:p w14:paraId="2E17AAA5">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预算执行率</w:t>
            </w:r>
          </w:p>
        </w:tc>
        <w:tc>
          <w:tcPr>
            <w:tcW w:w="927" w:type="pct"/>
            <w:shd w:val="clear" w:color="auto" w:fill="FFFFFF"/>
            <w:vAlign w:val="center"/>
          </w:tcPr>
          <w:p w14:paraId="23484AAE">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项目预算资金是否按照计划执行，用以反映或考核项目预算执行情况。</w:t>
            </w:r>
          </w:p>
        </w:tc>
        <w:tc>
          <w:tcPr>
            <w:tcW w:w="2046" w:type="pct"/>
            <w:shd w:val="clear" w:color="auto" w:fill="FFFFFF"/>
            <w:vAlign w:val="center"/>
          </w:tcPr>
          <w:p w14:paraId="3C6CD668">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预算执行率=（实际支出资金/实际到位资金）×100%。</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实际支出资金：一定时期（本年度或项目期）内项目实际拨付的资金。</w:t>
            </w:r>
          </w:p>
        </w:tc>
        <w:tc>
          <w:tcPr>
            <w:tcW w:w="512" w:type="pct"/>
            <w:shd w:val="clear" w:color="auto" w:fill="FFFFFF"/>
            <w:vAlign w:val="center"/>
          </w:tcPr>
          <w:p w14:paraId="06E182C3">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4</w:t>
            </w:r>
          </w:p>
        </w:tc>
        <w:tc>
          <w:tcPr>
            <w:tcW w:w="537" w:type="pct"/>
            <w:shd w:val="clear" w:color="auto" w:fill="FFFFFF"/>
            <w:vAlign w:val="center"/>
          </w:tcPr>
          <w:p w14:paraId="014D5E63">
            <w:pPr>
              <w:widowControl/>
              <w:spacing w:line="0" w:lineRule="atLeast"/>
              <w:jc w:val="center"/>
              <w:rPr>
                <w:rFonts w:hint="default" w:ascii="Times New Roman" w:hAnsi="Times New Roman" w:cs="Times New Roman" w:eastAsiaTheme="minorEastAsia"/>
                <w:b/>
                <w:bCs/>
                <w:color w:val="000000"/>
                <w:kern w:val="0"/>
                <w:sz w:val="22"/>
                <w:szCs w:val="22"/>
                <w:highlight w:val="none"/>
                <w:lang w:eastAsia="zh-CN"/>
              </w:rPr>
            </w:pPr>
            <w:r>
              <w:rPr>
                <w:rFonts w:hint="default" w:ascii="Times New Roman" w:hAnsi="Times New Roman" w:cs="Times New Roman" w:eastAsiaTheme="minorEastAsia"/>
                <w:color w:val="000000"/>
                <w:kern w:val="0"/>
                <w:sz w:val="22"/>
                <w:szCs w:val="22"/>
                <w:highlight w:val="none"/>
                <w:lang w:val="en-US" w:eastAsia="zh-CN"/>
              </w:rPr>
              <w:t>3.34</w:t>
            </w:r>
          </w:p>
        </w:tc>
      </w:tr>
      <w:tr w14:paraId="0FE8A2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0" w:type="pct"/>
            <w:vMerge w:val="restart"/>
            <w:shd w:val="clear" w:color="auto" w:fill="FFFFFF"/>
            <w:vAlign w:val="center"/>
          </w:tcPr>
          <w:p w14:paraId="35B788C2">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　</w:t>
            </w:r>
          </w:p>
          <w:p w14:paraId="6445661D">
            <w:pPr>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过程　</w:t>
            </w:r>
          </w:p>
        </w:tc>
        <w:tc>
          <w:tcPr>
            <w:tcW w:w="302" w:type="pct"/>
            <w:shd w:val="clear" w:color="auto" w:fill="FFFFFF"/>
            <w:vAlign w:val="center"/>
          </w:tcPr>
          <w:p w14:paraId="42BE4060">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资金管理</w:t>
            </w:r>
          </w:p>
        </w:tc>
        <w:tc>
          <w:tcPr>
            <w:tcW w:w="344" w:type="pct"/>
            <w:shd w:val="clear" w:color="auto" w:fill="FFFFFF"/>
            <w:vAlign w:val="center"/>
          </w:tcPr>
          <w:p w14:paraId="29B062DD">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资金使用</w:t>
            </w:r>
          </w:p>
          <w:p w14:paraId="27A641D5">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合规性</w:t>
            </w:r>
          </w:p>
        </w:tc>
        <w:tc>
          <w:tcPr>
            <w:tcW w:w="927" w:type="pct"/>
            <w:shd w:val="clear" w:color="000000" w:fill="FFFFFF"/>
            <w:vAlign w:val="center"/>
          </w:tcPr>
          <w:p w14:paraId="2D8CB97B">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项目资金使用是否符合相关的财务管理制度规定，用以反映和考核项目资金的规范运行情况。</w:t>
            </w:r>
          </w:p>
        </w:tc>
        <w:tc>
          <w:tcPr>
            <w:tcW w:w="2046" w:type="pct"/>
            <w:shd w:val="clear" w:color="000000" w:fill="FFFFFF"/>
            <w:vAlign w:val="center"/>
          </w:tcPr>
          <w:p w14:paraId="7E1E1CD4">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评价要点：</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①是否符合国家财经法规和财务管理制度以及有关专项资金管理办法的规定；</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②资金的拨付是否有完整的审批程序和手续；</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③是否符合项目预算批复或合同规定的用途；</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④是否存在截留、挤占、挪用、虚列支出等情况。</w:t>
            </w:r>
          </w:p>
        </w:tc>
        <w:tc>
          <w:tcPr>
            <w:tcW w:w="512" w:type="pct"/>
            <w:shd w:val="clear" w:color="000000" w:fill="FFFFFF"/>
            <w:vAlign w:val="center"/>
          </w:tcPr>
          <w:p w14:paraId="70DCD8ED">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4</w:t>
            </w:r>
          </w:p>
        </w:tc>
        <w:tc>
          <w:tcPr>
            <w:tcW w:w="537" w:type="pct"/>
            <w:shd w:val="clear" w:color="000000" w:fill="FFFFFF"/>
            <w:vAlign w:val="center"/>
          </w:tcPr>
          <w:p w14:paraId="18BC224E">
            <w:pPr>
              <w:widowControl/>
              <w:spacing w:line="0" w:lineRule="atLeast"/>
              <w:jc w:val="center"/>
              <w:rPr>
                <w:rFonts w:hint="default" w:ascii="Times New Roman" w:hAnsi="Times New Roman" w:cs="Times New Roman" w:eastAsiaTheme="minorEastAsia"/>
                <w:b/>
                <w:bCs/>
                <w:color w:val="000000"/>
                <w:kern w:val="0"/>
                <w:sz w:val="22"/>
                <w:szCs w:val="22"/>
                <w:highlight w:val="none"/>
                <w:lang w:eastAsia="zh-CN"/>
              </w:rPr>
            </w:pPr>
            <w:r>
              <w:rPr>
                <w:rFonts w:hint="default" w:ascii="Times New Roman" w:hAnsi="Times New Roman" w:cs="Times New Roman" w:eastAsiaTheme="minorEastAsia"/>
                <w:color w:val="000000"/>
                <w:kern w:val="0"/>
                <w:sz w:val="22"/>
                <w:szCs w:val="22"/>
                <w:highlight w:val="none"/>
                <w:lang w:val="en-US" w:eastAsia="zh-CN"/>
              </w:rPr>
              <w:t>4</w:t>
            </w:r>
          </w:p>
        </w:tc>
      </w:tr>
      <w:tr w14:paraId="219AEE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0" w:type="pct"/>
            <w:vMerge w:val="continue"/>
            <w:shd w:val="clear" w:color="auto" w:fill="FFFFFF"/>
            <w:vAlign w:val="center"/>
          </w:tcPr>
          <w:p w14:paraId="24352DF4">
            <w:pPr>
              <w:spacing w:line="0" w:lineRule="atLeast"/>
              <w:jc w:val="center"/>
              <w:rPr>
                <w:rFonts w:hint="default" w:ascii="Times New Roman" w:hAnsi="Times New Roman" w:cs="Times New Roman" w:eastAsiaTheme="minorEastAsia"/>
                <w:color w:val="000000"/>
                <w:kern w:val="0"/>
                <w:sz w:val="22"/>
                <w:szCs w:val="22"/>
                <w:highlight w:val="none"/>
              </w:rPr>
            </w:pPr>
          </w:p>
        </w:tc>
        <w:tc>
          <w:tcPr>
            <w:tcW w:w="302" w:type="pct"/>
            <w:vMerge w:val="restart"/>
            <w:shd w:val="clear" w:color="auto" w:fill="FFFFFF"/>
            <w:vAlign w:val="center"/>
          </w:tcPr>
          <w:p w14:paraId="54E4CA6C">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组织实施</w:t>
            </w:r>
          </w:p>
          <w:p w14:paraId="5FCDB528">
            <w:pPr>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　</w:t>
            </w:r>
          </w:p>
        </w:tc>
        <w:tc>
          <w:tcPr>
            <w:tcW w:w="344" w:type="pct"/>
            <w:shd w:val="clear" w:color="auto" w:fill="FFFFFF"/>
            <w:vAlign w:val="center"/>
          </w:tcPr>
          <w:p w14:paraId="1CB8025A">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管理制度</w:t>
            </w:r>
          </w:p>
          <w:p w14:paraId="61636A3E">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健全性</w:t>
            </w:r>
          </w:p>
        </w:tc>
        <w:tc>
          <w:tcPr>
            <w:tcW w:w="927" w:type="pct"/>
            <w:shd w:val="clear" w:color="000000" w:fill="FFFFFF"/>
            <w:vAlign w:val="center"/>
          </w:tcPr>
          <w:p w14:paraId="38EFDEC9">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项目实施单位的财务和业务管理制度是否健全，用以反映和考核财务和业务管理制度对项目顺利实施的保障情况。</w:t>
            </w:r>
          </w:p>
        </w:tc>
        <w:tc>
          <w:tcPr>
            <w:tcW w:w="2046" w:type="pct"/>
            <w:shd w:val="clear" w:color="000000" w:fill="FFFFFF"/>
            <w:vAlign w:val="center"/>
          </w:tcPr>
          <w:p w14:paraId="0D440866">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评价要点：</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①是否已制定或具有相应的财务和业务管理制度；</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②财务和业务管理制度是否合法、合规、完整。</w:t>
            </w:r>
          </w:p>
        </w:tc>
        <w:tc>
          <w:tcPr>
            <w:tcW w:w="512" w:type="pct"/>
            <w:shd w:val="clear" w:color="000000" w:fill="FFFFFF"/>
            <w:vAlign w:val="center"/>
          </w:tcPr>
          <w:p w14:paraId="7AB1A438">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4</w:t>
            </w:r>
          </w:p>
        </w:tc>
        <w:tc>
          <w:tcPr>
            <w:tcW w:w="537" w:type="pct"/>
            <w:shd w:val="clear" w:color="000000" w:fill="FFFFFF"/>
            <w:vAlign w:val="center"/>
          </w:tcPr>
          <w:p w14:paraId="14EF7D4C">
            <w:pPr>
              <w:widowControl/>
              <w:spacing w:line="0" w:lineRule="atLeast"/>
              <w:jc w:val="center"/>
              <w:rPr>
                <w:rFonts w:hint="default" w:ascii="Times New Roman" w:hAnsi="Times New Roman" w:cs="Times New Roman" w:eastAsiaTheme="minorEastAsia"/>
                <w:b/>
                <w:bCs/>
                <w:color w:val="000000"/>
                <w:kern w:val="0"/>
                <w:sz w:val="22"/>
                <w:szCs w:val="22"/>
                <w:highlight w:val="none"/>
                <w:lang w:eastAsia="zh-CN"/>
              </w:rPr>
            </w:pPr>
            <w:r>
              <w:rPr>
                <w:rFonts w:hint="default" w:ascii="Times New Roman" w:hAnsi="Times New Roman" w:cs="Times New Roman" w:eastAsiaTheme="minorEastAsia"/>
                <w:color w:val="000000"/>
                <w:kern w:val="0"/>
                <w:sz w:val="22"/>
                <w:szCs w:val="22"/>
                <w:highlight w:val="none"/>
                <w:lang w:val="en-US" w:eastAsia="zh-CN"/>
              </w:rPr>
              <w:t>4</w:t>
            </w:r>
          </w:p>
        </w:tc>
      </w:tr>
      <w:tr w14:paraId="3070E1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0" w:type="pct"/>
            <w:vMerge w:val="continue"/>
            <w:shd w:val="clear" w:color="auto" w:fill="FFFFFF"/>
            <w:vAlign w:val="center"/>
          </w:tcPr>
          <w:p w14:paraId="56118C81">
            <w:pPr>
              <w:widowControl/>
              <w:spacing w:line="0" w:lineRule="atLeast"/>
              <w:jc w:val="center"/>
              <w:rPr>
                <w:rFonts w:hint="default" w:ascii="Times New Roman" w:hAnsi="Times New Roman" w:cs="Times New Roman" w:eastAsiaTheme="minorEastAsia"/>
                <w:color w:val="000000"/>
                <w:kern w:val="0"/>
                <w:sz w:val="22"/>
                <w:szCs w:val="22"/>
                <w:highlight w:val="none"/>
              </w:rPr>
            </w:pPr>
          </w:p>
        </w:tc>
        <w:tc>
          <w:tcPr>
            <w:tcW w:w="302" w:type="pct"/>
            <w:vMerge w:val="continue"/>
            <w:shd w:val="clear" w:color="auto" w:fill="FFFFFF"/>
            <w:vAlign w:val="center"/>
          </w:tcPr>
          <w:p w14:paraId="4663C0C6">
            <w:pPr>
              <w:widowControl/>
              <w:spacing w:line="0" w:lineRule="atLeast"/>
              <w:jc w:val="center"/>
              <w:rPr>
                <w:rFonts w:hint="default" w:ascii="Times New Roman" w:hAnsi="Times New Roman" w:cs="Times New Roman" w:eastAsiaTheme="minorEastAsia"/>
                <w:color w:val="000000"/>
                <w:kern w:val="0"/>
                <w:sz w:val="22"/>
                <w:szCs w:val="22"/>
                <w:highlight w:val="none"/>
              </w:rPr>
            </w:pPr>
          </w:p>
        </w:tc>
        <w:tc>
          <w:tcPr>
            <w:tcW w:w="344" w:type="pct"/>
            <w:shd w:val="clear" w:color="auto" w:fill="FFFFFF"/>
            <w:vAlign w:val="center"/>
          </w:tcPr>
          <w:p w14:paraId="7E756373">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制度执行</w:t>
            </w:r>
          </w:p>
          <w:p w14:paraId="45C37117">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有效性</w:t>
            </w:r>
          </w:p>
        </w:tc>
        <w:tc>
          <w:tcPr>
            <w:tcW w:w="927" w:type="pct"/>
            <w:shd w:val="clear" w:color="000000" w:fill="FFFFFF"/>
            <w:vAlign w:val="center"/>
          </w:tcPr>
          <w:p w14:paraId="02CCEF3F">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项目实施是否符合相关管理规定，用以反映和考核相关管理制度的有效执行情况。</w:t>
            </w:r>
          </w:p>
        </w:tc>
        <w:tc>
          <w:tcPr>
            <w:tcW w:w="2046" w:type="pct"/>
            <w:shd w:val="clear" w:color="000000" w:fill="FFFFFF"/>
            <w:vAlign w:val="center"/>
          </w:tcPr>
          <w:p w14:paraId="22F69579">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评价要点：</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①是否遵守相关法律法规和相关管理规定；</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②项目调整及支出调整手续是否完备；</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③项目合同书、验收报告、技术鉴定等资料是否齐全并及时归档；</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④项目实施的人员条件、场地设备、信息支撑等是否落实到位。</w:t>
            </w:r>
          </w:p>
        </w:tc>
        <w:tc>
          <w:tcPr>
            <w:tcW w:w="512" w:type="pct"/>
            <w:shd w:val="clear" w:color="000000" w:fill="FFFFFF"/>
            <w:vAlign w:val="center"/>
          </w:tcPr>
          <w:p w14:paraId="0649C450">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4</w:t>
            </w:r>
          </w:p>
        </w:tc>
        <w:tc>
          <w:tcPr>
            <w:tcW w:w="537" w:type="pct"/>
            <w:shd w:val="clear" w:color="000000" w:fill="FFFFFF"/>
            <w:vAlign w:val="center"/>
          </w:tcPr>
          <w:p w14:paraId="669D22DB">
            <w:pPr>
              <w:widowControl/>
              <w:spacing w:line="0" w:lineRule="atLeast"/>
              <w:jc w:val="center"/>
              <w:rPr>
                <w:rFonts w:hint="default" w:ascii="Times New Roman" w:hAnsi="Times New Roman" w:cs="Times New Roman" w:eastAsiaTheme="minorEastAsia"/>
                <w:b/>
                <w:bCs/>
                <w:color w:val="000000"/>
                <w:kern w:val="0"/>
                <w:sz w:val="22"/>
                <w:szCs w:val="22"/>
                <w:highlight w:val="none"/>
                <w:lang w:eastAsia="zh-CN"/>
              </w:rPr>
            </w:pPr>
            <w:r>
              <w:rPr>
                <w:rFonts w:hint="default" w:ascii="Times New Roman" w:hAnsi="Times New Roman" w:cs="Times New Roman" w:eastAsiaTheme="minorEastAsia"/>
                <w:color w:val="000000"/>
                <w:kern w:val="0"/>
                <w:sz w:val="22"/>
                <w:szCs w:val="22"/>
                <w:highlight w:val="none"/>
                <w:lang w:val="en-US" w:eastAsia="zh-CN"/>
              </w:rPr>
              <w:t>4</w:t>
            </w:r>
          </w:p>
        </w:tc>
      </w:tr>
      <w:tr w14:paraId="6B7FD1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0" w:type="pct"/>
            <w:shd w:val="clear" w:color="auto" w:fill="FFFFFF"/>
            <w:vAlign w:val="center"/>
          </w:tcPr>
          <w:p w14:paraId="250545B8">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产出</w:t>
            </w:r>
          </w:p>
        </w:tc>
        <w:tc>
          <w:tcPr>
            <w:tcW w:w="302" w:type="pct"/>
            <w:shd w:val="clear" w:color="auto" w:fill="FFFFFF"/>
            <w:vAlign w:val="center"/>
          </w:tcPr>
          <w:p w14:paraId="2655FE04">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产出数量</w:t>
            </w:r>
          </w:p>
        </w:tc>
        <w:tc>
          <w:tcPr>
            <w:tcW w:w="344" w:type="pct"/>
            <w:shd w:val="clear" w:color="auto" w:fill="FFFFFF"/>
            <w:vAlign w:val="center"/>
          </w:tcPr>
          <w:p w14:paraId="213F84F2">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实际完成率</w:t>
            </w:r>
          </w:p>
        </w:tc>
        <w:tc>
          <w:tcPr>
            <w:tcW w:w="927" w:type="pct"/>
            <w:shd w:val="clear" w:color="000000" w:fill="FFFFFF"/>
            <w:vAlign w:val="center"/>
          </w:tcPr>
          <w:p w14:paraId="44562B6B">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项目实施的实际产出数与计划产出数的比率，用以反映和考核项目产出数量目标的实现程度。</w:t>
            </w:r>
          </w:p>
        </w:tc>
        <w:tc>
          <w:tcPr>
            <w:tcW w:w="2046" w:type="pct"/>
            <w:shd w:val="clear" w:color="000000" w:fill="FFFFFF"/>
            <w:vAlign w:val="center"/>
          </w:tcPr>
          <w:p w14:paraId="49BB6FF9">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实际完成率=（实际产出数/计划产出数）×100%。</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实际产出数：一定时期（本年度或项目期）内项目实际产出的产品或提供的服务数量。</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14:paraId="4BF2A1B1">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10</w:t>
            </w:r>
          </w:p>
        </w:tc>
        <w:tc>
          <w:tcPr>
            <w:tcW w:w="537" w:type="pct"/>
            <w:shd w:val="clear" w:color="000000" w:fill="FFFFFF"/>
            <w:vAlign w:val="center"/>
          </w:tcPr>
          <w:p w14:paraId="006DBD22">
            <w:pPr>
              <w:widowControl/>
              <w:spacing w:line="0" w:lineRule="atLeast"/>
              <w:jc w:val="center"/>
              <w:rPr>
                <w:rFonts w:hint="default" w:ascii="Times New Roman" w:hAnsi="Times New Roman" w:cs="Times New Roman" w:eastAsiaTheme="minorEastAsia"/>
                <w:b/>
                <w:bCs/>
                <w:color w:val="000000"/>
                <w:kern w:val="0"/>
                <w:sz w:val="22"/>
                <w:szCs w:val="22"/>
                <w:highlight w:val="none"/>
                <w:lang w:val="en-US" w:eastAsia="zh-CN"/>
              </w:rPr>
            </w:pPr>
            <w:r>
              <w:rPr>
                <w:rFonts w:hint="default" w:ascii="Times New Roman" w:hAnsi="Times New Roman" w:cs="Times New Roman" w:eastAsiaTheme="minorEastAsia"/>
                <w:color w:val="000000"/>
                <w:kern w:val="0"/>
                <w:sz w:val="22"/>
                <w:szCs w:val="22"/>
                <w:highlight w:val="none"/>
                <w:lang w:val="en-US" w:eastAsia="zh-CN"/>
              </w:rPr>
              <w:t>10</w:t>
            </w:r>
          </w:p>
        </w:tc>
      </w:tr>
      <w:tr w14:paraId="67DFEF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0" w:type="pct"/>
            <w:vMerge w:val="restart"/>
            <w:shd w:val="clear" w:color="auto" w:fill="FFFFFF"/>
            <w:vAlign w:val="center"/>
          </w:tcPr>
          <w:p w14:paraId="7163B9B2">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产出</w:t>
            </w:r>
          </w:p>
        </w:tc>
        <w:tc>
          <w:tcPr>
            <w:tcW w:w="302" w:type="pct"/>
            <w:shd w:val="clear" w:color="auto" w:fill="FFFFFF"/>
            <w:vAlign w:val="center"/>
          </w:tcPr>
          <w:p w14:paraId="6EFB97B8">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产出质量</w:t>
            </w:r>
          </w:p>
        </w:tc>
        <w:tc>
          <w:tcPr>
            <w:tcW w:w="344" w:type="pct"/>
            <w:shd w:val="clear" w:color="auto" w:fill="FFFFFF"/>
            <w:vAlign w:val="center"/>
          </w:tcPr>
          <w:p w14:paraId="1CBE3CC7">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质量达标率</w:t>
            </w:r>
          </w:p>
        </w:tc>
        <w:tc>
          <w:tcPr>
            <w:tcW w:w="927" w:type="pct"/>
            <w:shd w:val="clear" w:color="000000" w:fill="FFFFFF"/>
            <w:vAlign w:val="center"/>
          </w:tcPr>
          <w:p w14:paraId="39971421">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项目完成的质量达标产出数与实际产出数的比率，用以反映和考核项目产出质量目标的实现程度。</w:t>
            </w:r>
          </w:p>
        </w:tc>
        <w:tc>
          <w:tcPr>
            <w:tcW w:w="2046" w:type="pct"/>
            <w:shd w:val="clear" w:color="000000" w:fill="FFFFFF"/>
            <w:vAlign w:val="center"/>
          </w:tcPr>
          <w:p w14:paraId="6054F25D">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质量达标率=（质量达标产出数/实际产出数）×100%。</w:t>
            </w:r>
          </w:p>
          <w:p w14:paraId="0727C175">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4B3C0F30">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10</w:t>
            </w:r>
          </w:p>
        </w:tc>
        <w:tc>
          <w:tcPr>
            <w:tcW w:w="537" w:type="pct"/>
            <w:shd w:val="clear" w:color="000000" w:fill="FFFFFF"/>
            <w:vAlign w:val="center"/>
          </w:tcPr>
          <w:p w14:paraId="33D50973">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lang w:val="en-US" w:eastAsia="zh-CN"/>
              </w:rPr>
              <w:t>10</w:t>
            </w:r>
          </w:p>
        </w:tc>
      </w:tr>
      <w:tr w14:paraId="1DCC40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0" w:type="pct"/>
            <w:vMerge w:val="continue"/>
            <w:shd w:val="clear" w:color="auto" w:fill="FFFFFF"/>
            <w:vAlign w:val="center"/>
          </w:tcPr>
          <w:p w14:paraId="4B39B6F0">
            <w:pPr>
              <w:spacing w:line="0" w:lineRule="atLeast"/>
              <w:jc w:val="center"/>
              <w:rPr>
                <w:rFonts w:hint="default" w:ascii="Times New Roman" w:hAnsi="Times New Roman" w:cs="Times New Roman" w:eastAsiaTheme="minorEastAsia"/>
                <w:color w:val="000000"/>
                <w:kern w:val="0"/>
                <w:sz w:val="22"/>
                <w:szCs w:val="22"/>
                <w:highlight w:val="none"/>
              </w:rPr>
            </w:pPr>
          </w:p>
        </w:tc>
        <w:tc>
          <w:tcPr>
            <w:tcW w:w="302" w:type="pct"/>
            <w:shd w:val="clear" w:color="auto" w:fill="FFFFFF"/>
            <w:vAlign w:val="center"/>
          </w:tcPr>
          <w:p w14:paraId="1EF95CA5">
            <w:pPr>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产出时效</w:t>
            </w:r>
          </w:p>
        </w:tc>
        <w:tc>
          <w:tcPr>
            <w:tcW w:w="344" w:type="pct"/>
            <w:shd w:val="clear" w:color="auto" w:fill="FFFFFF"/>
            <w:vAlign w:val="center"/>
          </w:tcPr>
          <w:p w14:paraId="20A471A9">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完成及时性</w:t>
            </w:r>
          </w:p>
        </w:tc>
        <w:tc>
          <w:tcPr>
            <w:tcW w:w="927" w:type="pct"/>
            <w:shd w:val="clear" w:color="000000" w:fill="FFFFFF"/>
            <w:vAlign w:val="center"/>
          </w:tcPr>
          <w:p w14:paraId="3BF453C0">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项目实际完成时间与计划完成时间的比较，用以反映和考核项目产出时效目标的实现程度。</w:t>
            </w:r>
          </w:p>
        </w:tc>
        <w:tc>
          <w:tcPr>
            <w:tcW w:w="2046" w:type="pct"/>
            <w:shd w:val="clear" w:color="000000" w:fill="FFFFFF"/>
            <w:vAlign w:val="center"/>
          </w:tcPr>
          <w:p w14:paraId="631FF0B8">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实际完成时间：项目实施单位完成该项目实际所耗用的时间。</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计划完成时间：按照项目实施计划或相关规定完成该项目所需的时间。</w:t>
            </w:r>
          </w:p>
        </w:tc>
        <w:tc>
          <w:tcPr>
            <w:tcW w:w="512" w:type="pct"/>
            <w:shd w:val="clear" w:color="000000" w:fill="FFFFFF"/>
            <w:vAlign w:val="center"/>
          </w:tcPr>
          <w:p w14:paraId="50081DBE">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10</w:t>
            </w:r>
          </w:p>
        </w:tc>
        <w:tc>
          <w:tcPr>
            <w:tcW w:w="537" w:type="pct"/>
            <w:shd w:val="clear" w:color="000000" w:fill="FFFFFF"/>
            <w:vAlign w:val="center"/>
          </w:tcPr>
          <w:p w14:paraId="3BFE5728">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lang w:val="en-US" w:eastAsia="zh-CN"/>
              </w:rPr>
              <w:t>10</w:t>
            </w:r>
          </w:p>
        </w:tc>
      </w:tr>
      <w:tr w14:paraId="3553B3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0" w:type="pct"/>
            <w:vMerge w:val="continue"/>
            <w:shd w:val="clear" w:color="auto" w:fill="FFFFFF"/>
            <w:vAlign w:val="center"/>
          </w:tcPr>
          <w:p w14:paraId="745C1D4F">
            <w:pPr>
              <w:widowControl/>
              <w:spacing w:line="0" w:lineRule="atLeast"/>
              <w:jc w:val="center"/>
              <w:rPr>
                <w:rFonts w:hint="default" w:ascii="Times New Roman" w:hAnsi="Times New Roman" w:cs="Times New Roman" w:eastAsiaTheme="minorEastAsia"/>
                <w:color w:val="000000"/>
                <w:kern w:val="0"/>
                <w:sz w:val="22"/>
                <w:szCs w:val="22"/>
                <w:highlight w:val="none"/>
              </w:rPr>
            </w:pPr>
          </w:p>
        </w:tc>
        <w:tc>
          <w:tcPr>
            <w:tcW w:w="302" w:type="pct"/>
            <w:shd w:val="clear" w:color="auto" w:fill="FFFFFF"/>
            <w:vAlign w:val="center"/>
          </w:tcPr>
          <w:p w14:paraId="7E0CC6A8">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产出成本</w:t>
            </w:r>
          </w:p>
        </w:tc>
        <w:tc>
          <w:tcPr>
            <w:tcW w:w="344" w:type="pct"/>
            <w:shd w:val="clear" w:color="auto" w:fill="FFFFFF"/>
            <w:vAlign w:val="center"/>
          </w:tcPr>
          <w:p w14:paraId="3F5CDDD3">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成本节约率</w:t>
            </w:r>
          </w:p>
        </w:tc>
        <w:tc>
          <w:tcPr>
            <w:tcW w:w="927" w:type="pct"/>
            <w:shd w:val="clear" w:color="000000" w:fill="FFFFFF"/>
            <w:vAlign w:val="center"/>
          </w:tcPr>
          <w:p w14:paraId="7B66C825">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完成项目计划工作目标的实际节约成本与计划成本的比率，用以反映和考核项目的成本节约程度。</w:t>
            </w:r>
          </w:p>
        </w:tc>
        <w:tc>
          <w:tcPr>
            <w:tcW w:w="2046" w:type="pct"/>
            <w:shd w:val="clear" w:color="000000" w:fill="FFFFFF"/>
            <w:vAlign w:val="center"/>
          </w:tcPr>
          <w:p w14:paraId="073EC092">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成本节约率=[（计划成本-实际成本）/计划成本]×100%。</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实际成本：项目实施单位如期、保质、保量完成既定工作目标实际所耗费的支出。</w:t>
            </w:r>
            <w:r>
              <w:rPr>
                <w:rFonts w:hint="default" w:ascii="Times New Roman" w:hAnsi="Times New Roman" w:cs="Times New Roman" w:eastAsiaTheme="minorEastAsia"/>
                <w:color w:val="000000"/>
                <w:kern w:val="0"/>
                <w:sz w:val="22"/>
                <w:szCs w:val="22"/>
                <w:highlight w:val="none"/>
              </w:rPr>
              <w:br w:type="textWrapping"/>
            </w:r>
            <w:r>
              <w:rPr>
                <w:rFonts w:hint="default" w:ascii="Times New Roman" w:hAnsi="Times New Roman" w:cs="Times New Roman" w:eastAsiaTheme="minorEastAsia"/>
                <w:color w:val="000000"/>
                <w:kern w:val="0"/>
                <w:sz w:val="22"/>
                <w:szCs w:val="22"/>
                <w:highlight w:val="none"/>
              </w:rPr>
              <w:t>计划成本：项目实施单位为完成工作目标计划安排的支出，一般以项目预算为参考。</w:t>
            </w:r>
          </w:p>
        </w:tc>
        <w:tc>
          <w:tcPr>
            <w:tcW w:w="512" w:type="pct"/>
            <w:shd w:val="clear" w:color="000000" w:fill="FFFFFF"/>
            <w:vAlign w:val="center"/>
          </w:tcPr>
          <w:p w14:paraId="0C3E0ADA">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10</w:t>
            </w:r>
          </w:p>
        </w:tc>
        <w:tc>
          <w:tcPr>
            <w:tcW w:w="537" w:type="pct"/>
            <w:shd w:val="clear" w:color="000000" w:fill="FFFFFF"/>
            <w:vAlign w:val="center"/>
          </w:tcPr>
          <w:p w14:paraId="7F15C7BA">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lang w:val="en-US" w:eastAsia="zh-CN"/>
              </w:rPr>
              <w:t>10</w:t>
            </w:r>
          </w:p>
        </w:tc>
      </w:tr>
      <w:tr w14:paraId="4810DA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0" w:type="pct"/>
            <w:vMerge w:val="restart"/>
            <w:shd w:val="clear" w:color="auto" w:fill="FFFFFF"/>
            <w:vAlign w:val="center"/>
          </w:tcPr>
          <w:p w14:paraId="4790C182">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效益　</w:t>
            </w:r>
          </w:p>
        </w:tc>
        <w:tc>
          <w:tcPr>
            <w:tcW w:w="302" w:type="pct"/>
            <w:vMerge w:val="restart"/>
            <w:shd w:val="clear" w:color="auto" w:fill="FFFFFF"/>
            <w:vAlign w:val="center"/>
          </w:tcPr>
          <w:p w14:paraId="70EA6567">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项目效益　</w:t>
            </w:r>
          </w:p>
        </w:tc>
        <w:tc>
          <w:tcPr>
            <w:tcW w:w="344" w:type="pct"/>
            <w:shd w:val="clear" w:color="auto" w:fill="FFFFFF"/>
            <w:vAlign w:val="center"/>
          </w:tcPr>
          <w:p w14:paraId="616FE3C5">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实施效益</w:t>
            </w:r>
          </w:p>
        </w:tc>
        <w:tc>
          <w:tcPr>
            <w:tcW w:w="927" w:type="pct"/>
            <w:shd w:val="clear" w:color="auto" w:fill="FFFFFF"/>
            <w:vAlign w:val="center"/>
          </w:tcPr>
          <w:p w14:paraId="309AE9CF">
            <w:pPr>
              <w:widowControl/>
              <w:spacing w:line="0" w:lineRule="atLeast"/>
              <w:jc w:val="lef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项目实施所产生的效益。</w:t>
            </w:r>
          </w:p>
        </w:tc>
        <w:tc>
          <w:tcPr>
            <w:tcW w:w="2046" w:type="pct"/>
            <w:shd w:val="clear" w:color="auto" w:fill="FFFFFF"/>
            <w:vAlign w:val="center"/>
          </w:tcPr>
          <w:p w14:paraId="60CC9046">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14:paraId="1D66BF35">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10</w:t>
            </w:r>
          </w:p>
        </w:tc>
        <w:tc>
          <w:tcPr>
            <w:tcW w:w="537" w:type="pct"/>
            <w:shd w:val="clear" w:color="auto" w:fill="FFFFFF"/>
            <w:vAlign w:val="center"/>
          </w:tcPr>
          <w:p w14:paraId="39FD989E">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lang w:val="en-US" w:eastAsia="zh-CN"/>
              </w:rPr>
              <w:t>10</w:t>
            </w:r>
          </w:p>
        </w:tc>
      </w:tr>
      <w:tr w14:paraId="6DB4E2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0" w:type="pct"/>
            <w:vMerge w:val="continue"/>
            <w:shd w:val="clear" w:color="auto" w:fill="FFFFFF"/>
            <w:vAlign w:val="center"/>
          </w:tcPr>
          <w:p w14:paraId="35A55F65">
            <w:pPr>
              <w:widowControl/>
              <w:spacing w:line="0" w:lineRule="atLeast"/>
              <w:jc w:val="center"/>
              <w:rPr>
                <w:rFonts w:hint="default" w:ascii="Times New Roman" w:hAnsi="Times New Roman" w:cs="Times New Roman" w:eastAsiaTheme="minorEastAsia"/>
                <w:color w:val="000000"/>
                <w:kern w:val="0"/>
                <w:sz w:val="22"/>
                <w:szCs w:val="22"/>
                <w:highlight w:val="none"/>
              </w:rPr>
            </w:pPr>
          </w:p>
        </w:tc>
        <w:tc>
          <w:tcPr>
            <w:tcW w:w="302" w:type="pct"/>
            <w:vMerge w:val="continue"/>
            <w:shd w:val="clear" w:color="auto" w:fill="FFFFFF"/>
            <w:vAlign w:val="center"/>
          </w:tcPr>
          <w:p w14:paraId="5394EBCF">
            <w:pPr>
              <w:widowControl/>
              <w:spacing w:line="0" w:lineRule="atLeast"/>
              <w:jc w:val="center"/>
              <w:rPr>
                <w:rFonts w:hint="default" w:ascii="Times New Roman" w:hAnsi="Times New Roman" w:cs="Times New Roman" w:eastAsiaTheme="minorEastAsia"/>
                <w:color w:val="000000"/>
                <w:kern w:val="0"/>
                <w:sz w:val="22"/>
                <w:szCs w:val="22"/>
                <w:highlight w:val="none"/>
              </w:rPr>
            </w:pPr>
          </w:p>
        </w:tc>
        <w:tc>
          <w:tcPr>
            <w:tcW w:w="344" w:type="pct"/>
            <w:shd w:val="clear" w:color="auto" w:fill="FFFFFF"/>
            <w:vAlign w:val="center"/>
          </w:tcPr>
          <w:p w14:paraId="09BE8AFF">
            <w:pPr>
              <w:widowControl/>
              <w:spacing w:line="0" w:lineRule="atLeast"/>
              <w:jc w:val="center"/>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满意度</w:t>
            </w:r>
          </w:p>
        </w:tc>
        <w:tc>
          <w:tcPr>
            <w:tcW w:w="927" w:type="pct"/>
            <w:shd w:val="clear" w:color="000000" w:fill="FFFFFF"/>
            <w:vAlign w:val="center"/>
          </w:tcPr>
          <w:p w14:paraId="60CEC834">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社会公众或服务对象对项目实施效果的满意程度。</w:t>
            </w:r>
          </w:p>
        </w:tc>
        <w:tc>
          <w:tcPr>
            <w:tcW w:w="2046" w:type="pct"/>
            <w:shd w:val="clear" w:color="000000" w:fill="FFFFFF"/>
            <w:vAlign w:val="center"/>
          </w:tcPr>
          <w:p w14:paraId="7EA532DF">
            <w:pPr>
              <w:widowControl/>
              <w:spacing w:line="0" w:lineRule="atLeast"/>
              <w:rPr>
                <w:rFonts w:hint="default" w:ascii="Times New Roman" w:hAnsi="Times New Roman" w:cs="Times New Roman" w:eastAsiaTheme="minorEastAsia"/>
                <w:color w:val="000000"/>
                <w:kern w:val="0"/>
                <w:sz w:val="22"/>
                <w:szCs w:val="22"/>
                <w:highlight w:val="none"/>
              </w:rPr>
            </w:pPr>
            <w:r>
              <w:rPr>
                <w:rFonts w:hint="default" w:ascii="Times New Roman" w:hAnsi="Times New Roman" w:cs="Times New Roman" w:eastAsiaTheme="minorEastAsia"/>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14:paraId="585B3661">
            <w:pPr>
              <w:widowControl/>
              <w:spacing w:line="0" w:lineRule="atLeast"/>
              <w:jc w:val="center"/>
              <w:rPr>
                <w:rFonts w:hint="default" w:ascii="Times New Roman" w:hAnsi="Times New Roman" w:cs="Times New Roman" w:eastAsiaTheme="minorEastAsia"/>
                <w:b w:val="0"/>
                <w:bCs w:val="0"/>
                <w:color w:val="000000"/>
                <w:kern w:val="0"/>
                <w:sz w:val="22"/>
                <w:szCs w:val="22"/>
                <w:highlight w:val="none"/>
              </w:rPr>
            </w:pPr>
            <w:r>
              <w:rPr>
                <w:rFonts w:hint="default" w:ascii="Times New Roman" w:hAnsi="Times New Roman" w:cs="Times New Roman" w:eastAsiaTheme="minorEastAsia"/>
                <w:b w:val="0"/>
                <w:bCs w:val="0"/>
                <w:color w:val="000000"/>
                <w:kern w:val="0"/>
                <w:sz w:val="22"/>
                <w:szCs w:val="22"/>
                <w:highlight w:val="none"/>
              </w:rPr>
              <w:t>10</w:t>
            </w:r>
          </w:p>
        </w:tc>
        <w:tc>
          <w:tcPr>
            <w:tcW w:w="537" w:type="pct"/>
            <w:shd w:val="clear" w:color="000000" w:fill="FFFFFF"/>
            <w:vAlign w:val="center"/>
          </w:tcPr>
          <w:p w14:paraId="71B590AA">
            <w:pPr>
              <w:widowControl/>
              <w:spacing w:line="0" w:lineRule="atLeast"/>
              <w:jc w:val="center"/>
              <w:rPr>
                <w:rFonts w:hint="default" w:ascii="Times New Roman" w:hAnsi="Times New Roman" w:cs="Times New Roman" w:eastAsiaTheme="minorEastAsia"/>
                <w:b/>
                <w:bCs/>
                <w:color w:val="000000"/>
                <w:kern w:val="0"/>
                <w:sz w:val="22"/>
                <w:szCs w:val="22"/>
                <w:highlight w:val="none"/>
              </w:rPr>
            </w:pPr>
            <w:r>
              <w:rPr>
                <w:rFonts w:hint="default" w:ascii="Times New Roman" w:hAnsi="Times New Roman" w:cs="Times New Roman" w:eastAsiaTheme="minorEastAsia"/>
                <w:b/>
                <w:bCs/>
                <w:color w:val="000000"/>
                <w:kern w:val="0"/>
                <w:sz w:val="22"/>
                <w:szCs w:val="22"/>
                <w:highlight w:val="none"/>
              </w:rPr>
              <w:t>10</w:t>
            </w:r>
          </w:p>
        </w:tc>
      </w:tr>
      <w:tr w14:paraId="643011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0" w:hRule="atLeast"/>
          <w:jc w:val="center"/>
        </w:trPr>
        <w:tc>
          <w:tcPr>
            <w:tcW w:w="3950" w:type="pct"/>
            <w:gridSpan w:val="5"/>
            <w:shd w:val="clear" w:color="auto" w:fill="FFFFFF"/>
            <w:vAlign w:val="center"/>
          </w:tcPr>
          <w:p w14:paraId="72A6FF3A">
            <w:pPr>
              <w:widowControl/>
              <w:spacing w:line="0" w:lineRule="atLeast"/>
              <w:jc w:val="center"/>
              <w:rPr>
                <w:rFonts w:hint="default" w:ascii="Times New Roman" w:hAnsi="Times New Roman" w:cs="Times New Roman" w:eastAsiaTheme="minorEastAsia"/>
                <w:b/>
                <w:bCs/>
                <w:color w:val="000000"/>
                <w:kern w:val="0"/>
                <w:sz w:val="22"/>
                <w:szCs w:val="22"/>
                <w:highlight w:val="none"/>
                <w:lang w:val="en-US" w:eastAsia="zh-CN"/>
              </w:rPr>
            </w:pPr>
            <w:r>
              <w:rPr>
                <w:rFonts w:hint="default" w:ascii="Times New Roman" w:hAnsi="Times New Roman" w:cs="Times New Roman" w:eastAsiaTheme="minorEastAsia"/>
                <w:b/>
                <w:bCs/>
                <w:color w:val="000000"/>
                <w:kern w:val="0"/>
                <w:sz w:val="22"/>
                <w:szCs w:val="22"/>
                <w:highlight w:val="none"/>
                <w:lang w:val="en-US" w:eastAsia="zh-CN"/>
              </w:rPr>
              <w:t>合计</w:t>
            </w:r>
          </w:p>
        </w:tc>
        <w:tc>
          <w:tcPr>
            <w:tcW w:w="512" w:type="pct"/>
            <w:shd w:val="clear" w:color="000000" w:fill="FFFFFF"/>
            <w:vAlign w:val="center"/>
          </w:tcPr>
          <w:p w14:paraId="2626240C">
            <w:pPr>
              <w:widowControl/>
              <w:spacing w:line="0" w:lineRule="atLeast"/>
              <w:jc w:val="center"/>
              <w:rPr>
                <w:rFonts w:hint="default" w:ascii="Times New Roman" w:hAnsi="Times New Roman" w:cs="Times New Roman" w:eastAsiaTheme="minorEastAsia"/>
                <w:b/>
                <w:bCs/>
                <w:color w:val="000000"/>
                <w:kern w:val="0"/>
                <w:sz w:val="22"/>
                <w:szCs w:val="22"/>
                <w:highlight w:val="none"/>
                <w:lang w:val="en-US" w:eastAsia="zh-CN"/>
              </w:rPr>
            </w:pPr>
            <w:r>
              <w:rPr>
                <w:rFonts w:hint="default" w:ascii="Times New Roman" w:hAnsi="Times New Roman" w:cs="Times New Roman" w:eastAsiaTheme="minorEastAsia"/>
                <w:b/>
                <w:bCs/>
                <w:color w:val="000000"/>
                <w:kern w:val="0"/>
                <w:sz w:val="22"/>
                <w:szCs w:val="22"/>
                <w:highlight w:val="none"/>
                <w:lang w:val="en-US" w:eastAsia="zh-CN"/>
              </w:rPr>
              <w:t>100</w:t>
            </w:r>
          </w:p>
        </w:tc>
        <w:tc>
          <w:tcPr>
            <w:tcW w:w="537" w:type="pct"/>
            <w:shd w:val="clear" w:color="000000" w:fill="FFFFFF"/>
            <w:vAlign w:val="center"/>
          </w:tcPr>
          <w:p w14:paraId="5587E945">
            <w:pPr>
              <w:widowControl/>
              <w:spacing w:line="0" w:lineRule="atLeast"/>
              <w:jc w:val="center"/>
              <w:rPr>
                <w:rFonts w:hint="default" w:ascii="Times New Roman" w:hAnsi="Times New Roman" w:cs="Times New Roman" w:eastAsiaTheme="minorEastAsia"/>
                <w:b/>
                <w:bCs/>
                <w:color w:val="000000"/>
                <w:kern w:val="0"/>
                <w:sz w:val="22"/>
                <w:szCs w:val="22"/>
                <w:highlight w:val="none"/>
                <w:lang w:val="en-US" w:eastAsia="zh-CN"/>
              </w:rPr>
            </w:pPr>
            <w:r>
              <w:rPr>
                <w:rFonts w:hint="default" w:ascii="Times New Roman" w:hAnsi="Times New Roman" w:cs="Times New Roman" w:eastAsiaTheme="minorEastAsia"/>
                <w:b/>
                <w:bCs/>
                <w:color w:val="000000"/>
                <w:kern w:val="0"/>
                <w:sz w:val="22"/>
                <w:szCs w:val="22"/>
                <w:highlight w:val="none"/>
                <w:lang w:val="en-US" w:eastAsia="zh-CN"/>
              </w:rPr>
              <w:t>99.34</w:t>
            </w:r>
          </w:p>
        </w:tc>
      </w:tr>
    </w:tbl>
    <w:p w14:paraId="68EE59D4">
      <w:pPr>
        <w:pStyle w:val="9"/>
        <w:rPr>
          <w:rFonts w:hint="default" w:ascii="Times New Roman" w:hAnsi="Times New Roman" w:cs="Times New Roman" w:eastAsiaTheme="minorEastAsia"/>
          <w:sz w:val="22"/>
          <w:szCs w:val="22"/>
          <w:highlight w:val="none"/>
        </w:rPr>
      </w:pPr>
    </w:p>
    <w:p w14:paraId="4396FDAA">
      <w:pPr>
        <w:rPr>
          <w:rFonts w:hint="default" w:ascii="Times New Roman" w:hAnsi="Times New Roman" w:cs="Times New Roman" w:eastAsiaTheme="minorEastAsia"/>
          <w:sz w:val="22"/>
          <w:szCs w:val="22"/>
          <w:highlight w:val="none"/>
        </w:rPr>
      </w:pPr>
    </w:p>
    <w:p w14:paraId="456E69D7">
      <w:pPr>
        <w:spacing w:line="540" w:lineRule="exact"/>
        <w:ind w:firstLine="640"/>
        <w:rPr>
          <w:rStyle w:val="14"/>
          <w:rFonts w:hint="default" w:ascii="Times New Roman" w:hAnsi="Times New Roman" w:cs="Times New Roman" w:eastAsiaTheme="minorEastAsia"/>
          <w:bCs w:val="0"/>
          <w:spacing w:val="-4"/>
          <w:sz w:val="22"/>
          <w:szCs w:val="22"/>
          <w:highlight w:val="none"/>
        </w:rPr>
      </w:pPr>
    </w:p>
    <w:p w14:paraId="5728CE44">
      <w:pPr>
        <w:rPr>
          <w:rFonts w:hint="default" w:ascii="Times New Roman" w:hAnsi="Times New Roman" w:cs="Times New Roman" w:eastAsiaTheme="minorEastAsia"/>
          <w:sz w:val="22"/>
          <w:szCs w:val="22"/>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D5C6B5-E28E-4628-AA3D-C010B642FA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C0327A45-2952-404A-A43F-389800E58C9C}"/>
  </w:font>
  <w:font w:name="华文中宋">
    <w:panose1 w:val="02010600040101010101"/>
    <w:charset w:val="86"/>
    <w:family w:val="auto"/>
    <w:pitch w:val="default"/>
    <w:sig w:usb0="00000287" w:usb1="080F0000" w:usb2="00000000" w:usb3="00000000" w:csb0="0004009F" w:csb1="DFD70000"/>
    <w:embedRegular r:id="rId3" w:fontKey="{CE982737-921D-47C1-9B2B-0206EB4C446A}"/>
  </w:font>
  <w:font w:name="方正小标宋_GBK">
    <w:panose1 w:val="02000000000000000000"/>
    <w:charset w:val="86"/>
    <w:family w:val="script"/>
    <w:pitch w:val="default"/>
    <w:sig w:usb0="A00002BF" w:usb1="38CF7CFA" w:usb2="00082016" w:usb3="00000000" w:csb0="00040001" w:csb1="00000000"/>
    <w:embedRegular r:id="rId4" w:fontKey="{AC07D00E-3086-4057-9EE4-0ACA05602A52}"/>
  </w:font>
  <w:font w:name="楷体">
    <w:panose1 w:val="02010609060101010101"/>
    <w:charset w:val="86"/>
    <w:family w:val="modern"/>
    <w:pitch w:val="default"/>
    <w:sig w:usb0="800002BF" w:usb1="38CF7CFA" w:usb2="00000016" w:usb3="00000000" w:csb0="00040001" w:csb1="00000000"/>
    <w:embedRegular r:id="rId5" w:fontKey="{16CFB4AA-E0FE-4BC3-B0AD-023980B8054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26F798A">
        <w:pPr>
          <w:pStyle w:val="7"/>
          <w:jc w:val="center"/>
        </w:pPr>
        <w:r>
          <w:fldChar w:fldCharType="begin"/>
        </w:r>
        <w:r>
          <w:instrText xml:space="preserve">PAGE   \* MERGEFORMAT</w:instrText>
        </w:r>
        <w:r>
          <w:fldChar w:fldCharType="separate"/>
        </w:r>
        <w:r>
          <w:rPr>
            <w:lang w:val="zh-CN"/>
          </w:rPr>
          <w:t>1</w:t>
        </w:r>
        <w:r>
          <w:fldChar w:fldCharType="end"/>
        </w:r>
      </w:p>
    </w:sdtContent>
  </w:sdt>
  <w:p w14:paraId="583D6F4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38F0C646"/>
    <w:multiLevelType w:val="singleLevel"/>
    <w:tmpl w:val="38F0C646"/>
    <w:lvl w:ilvl="0" w:tentative="0">
      <w:start w:val="1"/>
      <w:numFmt w:val="decimal"/>
      <w:suff w:val="nothing"/>
      <w:lvlText w:val="%1、"/>
      <w:lvlJc w:val="left"/>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FF6C4049"/>
    <w:rsid w:val="00095176"/>
    <w:rsid w:val="001315D9"/>
    <w:rsid w:val="001F7F7E"/>
    <w:rsid w:val="002E6413"/>
    <w:rsid w:val="004712B7"/>
    <w:rsid w:val="00714727"/>
    <w:rsid w:val="00951FEE"/>
    <w:rsid w:val="009B63B2"/>
    <w:rsid w:val="00C84172"/>
    <w:rsid w:val="00EF5BA2"/>
    <w:rsid w:val="00FC7F82"/>
    <w:rsid w:val="00FD3DF8"/>
    <w:rsid w:val="01086C64"/>
    <w:rsid w:val="011426F1"/>
    <w:rsid w:val="011B0745"/>
    <w:rsid w:val="012C2953"/>
    <w:rsid w:val="013637D1"/>
    <w:rsid w:val="01650689"/>
    <w:rsid w:val="016A5229"/>
    <w:rsid w:val="019422A6"/>
    <w:rsid w:val="01E23011"/>
    <w:rsid w:val="021038BA"/>
    <w:rsid w:val="02345366"/>
    <w:rsid w:val="024141DC"/>
    <w:rsid w:val="028339A0"/>
    <w:rsid w:val="02881E0B"/>
    <w:rsid w:val="02B20A25"/>
    <w:rsid w:val="02FE3E7B"/>
    <w:rsid w:val="030D5F76"/>
    <w:rsid w:val="033E4BBF"/>
    <w:rsid w:val="035717DD"/>
    <w:rsid w:val="036C34DA"/>
    <w:rsid w:val="037465B4"/>
    <w:rsid w:val="037B196F"/>
    <w:rsid w:val="03D418F0"/>
    <w:rsid w:val="03D42E2E"/>
    <w:rsid w:val="03E017D2"/>
    <w:rsid w:val="04101237"/>
    <w:rsid w:val="04131BA8"/>
    <w:rsid w:val="04137DFA"/>
    <w:rsid w:val="042518DB"/>
    <w:rsid w:val="0483416D"/>
    <w:rsid w:val="04854128"/>
    <w:rsid w:val="04BD6EDC"/>
    <w:rsid w:val="04DA26C6"/>
    <w:rsid w:val="04DF7CDC"/>
    <w:rsid w:val="04E7150E"/>
    <w:rsid w:val="04EE6171"/>
    <w:rsid w:val="05061EED"/>
    <w:rsid w:val="050F0FD3"/>
    <w:rsid w:val="051060E7"/>
    <w:rsid w:val="052E509C"/>
    <w:rsid w:val="0539563E"/>
    <w:rsid w:val="05452235"/>
    <w:rsid w:val="05681A7F"/>
    <w:rsid w:val="057228FE"/>
    <w:rsid w:val="05AA77DC"/>
    <w:rsid w:val="05D90BCF"/>
    <w:rsid w:val="05F41565"/>
    <w:rsid w:val="061E4834"/>
    <w:rsid w:val="064F2C3F"/>
    <w:rsid w:val="065169B7"/>
    <w:rsid w:val="06712BB6"/>
    <w:rsid w:val="068C5B90"/>
    <w:rsid w:val="069F7723"/>
    <w:rsid w:val="07072AD3"/>
    <w:rsid w:val="07306E22"/>
    <w:rsid w:val="07416A2C"/>
    <w:rsid w:val="07AA2A7A"/>
    <w:rsid w:val="07BE007D"/>
    <w:rsid w:val="0831084F"/>
    <w:rsid w:val="084B781B"/>
    <w:rsid w:val="08624EAC"/>
    <w:rsid w:val="0878022B"/>
    <w:rsid w:val="08843074"/>
    <w:rsid w:val="08966603"/>
    <w:rsid w:val="089A4646"/>
    <w:rsid w:val="08E04023"/>
    <w:rsid w:val="08E5368D"/>
    <w:rsid w:val="08FA50E4"/>
    <w:rsid w:val="097067D3"/>
    <w:rsid w:val="09750C0F"/>
    <w:rsid w:val="098B3F8E"/>
    <w:rsid w:val="09A60DC8"/>
    <w:rsid w:val="09E162A4"/>
    <w:rsid w:val="09EB0ED1"/>
    <w:rsid w:val="09F2225F"/>
    <w:rsid w:val="09FB55B8"/>
    <w:rsid w:val="09FE0C04"/>
    <w:rsid w:val="0A12645E"/>
    <w:rsid w:val="0A2D0E50"/>
    <w:rsid w:val="0A2D5046"/>
    <w:rsid w:val="0A4800D1"/>
    <w:rsid w:val="0A9D085B"/>
    <w:rsid w:val="0ABB6AF5"/>
    <w:rsid w:val="0AEE6ECB"/>
    <w:rsid w:val="0AF049F1"/>
    <w:rsid w:val="0AF52007"/>
    <w:rsid w:val="0B001DDC"/>
    <w:rsid w:val="0B016BFE"/>
    <w:rsid w:val="0B11726D"/>
    <w:rsid w:val="0B133596"/>
    <w:rsid w:val="0B24469B"/>
    <w:rsid w:val="0B2E72C7"/>
    <w:rsid w:val="0B6727D9"/>
    <w:rsid w:val="0BCA5242"/>
    <w:rsid w:val="0BE43E2A"/>
    <w:rsid w:val="0C430B50"/>
    <w:rsid w:val="0C6A07D3"/>
    <w:rsid w:val="0C6C62F9"/>
    <w:rsid w:val="0CCA10C0"/>
    <w:rsid w:val="0CCA1272"/>
    <w:rsid w:val="0CCA74C4"/>
    <w:rsid w:val="0CD8573D"/>
    <w:rsid w:val="0CE231CD"/>
    <w:rsid w:val="0CE32CEF"/>
    <w:rsid w:val="0D08708B"/>
    <w:rsid w:val="0D2C7836"/>
    <w:rsid w:val="0D3D37F2"/>
    <w:rsid w:val="0D735465"/>
    <w:rsid w:val="0D7A2C98"/>
    <w:rsid w:val="0D875E08"/>
    <w:rsid w:val="0D9F502D"/>
    <w:rsid w:val="0DDE4FD5"/>
    <w:rsid w:val="0DEE0F90"/>
    <w:rsid w:val="0DF20A80"/>
    <w:rsid w:val="0E06277D"/>
    <w:rsid w:val="0E76345F"/>
    <w:rsid w:val="0EA7186A"/>
    <w:rsid w:val="0EB2020F"/>
    <w:rsid w:val="0EB46C44"/>
    <w:rsid w:val="0EEB4735"/>
    <w:rsid w:val="0EF95E3E"/>
    <w:rsid w:val="0F000F7B"/>
    <w:rsid w:val="0F024CF3"/>
    <w:rsid w:val="0F193842"/>
    <w:rsid w:val="0F64775C"/>
    <w:rsid w:val="0FA638D0"/>
    <w:rsid w:val="0FA91612"/>
    <w:rsid w:val="0FAE5470"/>
    <w:rsid w:val="0FDF5034"/>
    <w:rsid w:val="0FF705D0"/>
    <w:rsid w:val="0FFC1742"/>
    <w:rsid w:val="100827DD"/>
    <w:rsid w:val="1045133B"/>
    <w:rsid w:val="107A5A8C"/>
    <w:rsid w:val="108C39E7"/>
    <w:rsid w:val="10B22749"/>
    <w:rsid w:val="10E01064"/>
    <w:rsid w:val="110424CC"/>
    <w:rsid w:val="11124F95"/>
    <w:rsid w:val="1124657B"/>
    <w:rsid w:val="11276C93"/>
    <w:rsid w:val="11302AA6"/>
    <w:rsid w:val="113F59F6"/>
    <w:rsid w:val="114710E3"/>
    <w:rsid w:val="116577BB"/>
    <w:rsid w:val="116E041E"/>
    <w:rsid w:val="116F4196"/>
    <w:rsid w:val="11B81FE1"/>
    <w:rsid w:val="11DB182B"/>
    <w:rsid w:val="12154D3D"/>
    <w:rsid w:val="122A4C8C"/>
    <w:rsid w:val="122E5DFF"/>
    <w:rsid w:val="12521AED"/>
    <w:rsid w:val="127C300E"/>
    <w:rsid w:val="12B26A30"/>
    <w:rsid w:val="12BC340B"/>
    <w:rsid w:val="12FB3F33"/>
    <w:rsid w:val="13160D6D"/>
    <w:rsid w:val="132F0080"/>
    <w:rsid w:val="1336140F"/>
    <w:rsid w:val="13767A5D"/>
    <w:rsid w:val="138C102F"/>
    <w:rsid w:val="13954387"/>
    <w:rsid w:val="13B90F01"/>
    <w:rsid w:val="13E35761"/>
    <w:rsid w:val="14186D67"/>
    <w:rsid w:val="141D437D"/>
    <w:rsid w:val="144162BD"/>
    <w:rsid w:val="14883EEC"/>
    <w:rsid w:val="14952165"/>
    <w:rsid w:val="14990155"/>
    <w:rsid w:val="14BA7E1E"/>
    <w:rsid w:val="14D94748"/>
    <w:rsid w:val="15063063"/>
    <w:rsid w:val="152C0D1B"/>
    <w:rsid w:val="15485429"/>
    <w:rsid w:val="15883A78"/>
    <w:rsid w:val="158C5316"/>
    <w:rsid w:val="15A9411A"/>
    <w:rsid w:val="15BC1931"/>
    <w:rsid w:val="15BE749A"/>
    <w:rsid w:val="15C54CCC"/>
    <w:rsid w:val="15C90318"/>
    <w:rsid w:val="15E46F00"/>
    <w:rsid w:val="15F5735F"/>
    <w:rsid w:val="161F43DC"/>
    <w:rsid w:val="163559AE"/>
    <w:rsid w:val="168B3820"/>
    <w:rsid w:val="168D7598"/>
    <w:rsid w:val="16C17241"/>
    <w:rsid w:val="16F8414B"/>
    <w:rsid w:val="1711641B"/>
    <w:rsid w:val="171E4694"/>
    <w:rsid w:val="175C6F6A"/>
    <w:rsid w:val="176F3141"/>
    <w:rsid w:val="1791130A"/>
    <w:rsid w:val="17A74689"/>
    <w:rsid w:val="17AF79E2"/>
    <w:rsid w:val="17B40B54"/>
    <w:rsid w:val="17BA73B4"/>
    <w:rsid w:val="181A12FF"/>
    <w:rsid w:val="18421980"/>
    <w:rsid w:val="18567E5D"/>
    <w:rsid w:val="185F6D12"/>
    <w:rsid w:val="186B1B5B"/>
    <w:rsid w:val="18842C1C"/>
    <w:rsid w:val="18890233"/>
    <w:rsid w:val="18B7619E"/>
    <w:rsid w:val="18B828C6"/>
    <w:rsid w:val="18CB084B"/>
    <w:rsid w:val="194566C6"/>
    <w:rsid w:val="19466124"/>
    <w:rsid w:val="194A1770"/>
    <w:rsid w:val="195645B9"/>
    <w:rsid w:val="19597C05"/>
    <w:rsid w:val="195A6A21"/>
    <w:rsid w:val="196E41B2"/>
    <w:rsid w:val="19805192"/>
    <w:rsid w:val="19950B64"/>
    <w:rsid w:val="1997072D"/>
    <w:rsid w:val="19BE5CBA"/>
    <w:rsid w:val="19C257AA"/>
    <w:rsid w:val="19DC3C64"/>
    <w:rsid w:val="1A3D12D5"/>
    <w:rsid w:val="1A593DF8"/>
    <w:rsid w:val="1A6B4094"/>
    <w:rsid w:val="1A976C37"/>
    <w:rsid w:val="1A9D7FC6"/>
    <w:rsid w:val="1AD75285"/>
    <w:rsid w:val="1AFA4D2B"/>
    <w:rsid w:val="1B3A5814"/>
    <w:rsid w:val="1B707488"/>
    <w:rsid w:val="1B942DDD"/>
    <w:rsid w:val="1BB76E65"/>
    <w:rsid w:val="1BC05D1A"/>
    <w:rsid w:val="1BFE4A94"/>
    <w:rsid w:val="1C077DEC"/>
    <w:rsid w:val="1C13053F"/>
    <w:rsid w:val="1C185B56"/>
    <w:rsid w:val="1C671E73"/>
    <w:rsid w:val="1C672639"/>
    <w:rsid w:val="1C7A6810"/>
    <w:rsid w:val="1C9A47BD"/>
    <w:rsid w:val="1CA36361"/>
    <w:rsid w:val="1CA92C52"/>
    <w:rsid w:val="1CBF2475"/>
    <w:rsid w:val="1CC26829"/>
    <w:rsid w:val="1CC932F4"/>
    <w:rsid w:val="1CE974F2"/>
    <w:rsid w:val="1D100F23"/>
    <w:rsid w:val="1D1722B1"/>
    <w:rsid w:val="1D1C6F9A"/>
    <w:rsid w:val="1D3369BF"/>
    <w:rsid w:val="1D392227"/>
    <w:rsid w:val="1D525097"/>
    <w:rsid w:val="1D6848BB"/>
    <w:rsid w:val="1D72517A"/>
    <w:rsid w:val="1D796AC8"/>
    <w:rsid w:val="1DBD7C30"/>
    <w:rsid w:val="1DF223D6"/>
    <w:rsid w:val="1E012619"/>
    <w:rsid w:val="1E3824DF"/>
    <w:rsid w:val="1E4F7829"/>
    <w:rsid w:val="1E803E86"/>
    <w:rsid w:val="1E9F6C02"/>
    <w:rsid w:val="1EBB4EBE"/>
    <w:rsid w:val="1ED63AA6"/>
    <w:rsid w:val="1EEB57A3"/>
    <w:rsid w:val="1F040613"/>
    <w:rsid w:val="1F2962CC"/>
    <w:rsid w:val="1F333EC1"/>
    <w:rsid w:val="1F460C2C"/>
    <w:rsid w:val="1FB042F7"/>
    <w:rsid w:val="1FB65DB1"/>
    <w:rsid w:val="1FC3402A"/>
    <w:rsid w:val="1FF468DA"/>
    <w:rsid w:val="20032AEB"/>
    <w:rsid w:val="203171E6"/>
    <w:rsid w:val="206F5F60"/>
    <w:rsid w:val="20B3409F"/>
    <w:rsid w:val="20BB2F53"/>
    <w:rsid w:val="210F504D"/>
    <w:rsid w:val="217117CA"/>
    <w:rsid w:val="217E28FF"/>
    <w:rsid w:val="21871088"/>
    <w:rsid w:val="21BE0F4D"/>
    <w:rsid w:val="21BE2CFB"/>
    <w:rsid w:val="21CD1190"/>
    <w:rsid w:val="21CF1BE3"/>
    <w:rsid w:val="21D70261"/>
    <w:rsid w:val="21DA38AD"/>
    <w:rsid w:val="21E62252"/>
    <w:rsid w:val="220152DE"/>
    <w:rsid w:val="22121299"/>
    <w:rsid w:val="22214BF8"/>
    <w:rsid w:val="2239654B"/>
    <w:rsid w:val="225C42C2"/>
    <w:rsid w:val="228026A7"/>
    <w:rsid w:val="2281782D"/>
    <w:rsid w:val="229972C4"/>
    <w:rsid w:val="229B303C"/>
    <w:rsid w:val="23005595"/>
    <w:rsid w:val="23A67EEB"/>
    <w:rsid w:val="23AE4FF1"/>
    <w:rsid w:val="23DC390D"/>
    <w:rsid w:val="23FA0B3C"/>
    <w:rsid w:val="24280900"/>
    <w:rsid w:val="24545B99"/>
    <w:rsid w:val="24605865"/>
    <w:rsid w:val="24681644"/>
    <w:rsid w:val="24771887"/>
    <w:rsid w:val="24967F5F"/>
    <w:rsid w:val="249B11DF"/>
    <w:rsid w:val="24AA3A0B"/>
    <w:rsid w:val="24AA57B9"/>
    <w:rsid w:val="24AF4B7D"/>
    <w:rsid w:val="24C20D54"/>
    <w:rsid w:val="24E8008F"/>
    <w:rsid w:val="251F5F7F"/>
    <w:rsid w:val="25425B06"/>
    <w:rsid w:val="255B2F57"/>
    <w:rsid w:val="256E4A38"/>
    <w:rsid w:val="25826736"/>
    <w:rsid w:val="25A62424"/>
    <w:rsid w:val="25E371D4"/>
    <w:rsid w:val="262B46D7"/>
    <w:rsid w:val="265754CC"/>
    <w:rsid w:val="26C77525"/>
    <w:rsid w:val="26EE7D68"/>
    <w:rsid w:val="27221F7E"/>
    <w:rsid w:val="277255B9"/>
    <w:rsid w:val="27B70259"/>
    <w:rsid w:val="28177609"/>
    <w:rsid w:val="281F026C"/>
    <w:rsid w:val="282615FA"/>
    <w:rsid w:val="288876B1"/>
    <w:rsid w:val="28C3509B"/>
    <w:rsid w:val="28D70B46"/>
    <w:rsid w:val="293B1C7D"/>
    <w:rsid w:val="2960467D"/>
    <w:rsid w:val="2985228C"/>
    <w:rsid w:val="298E38FB"/>
    <w:rsid w:val="29A9603F"/>
    <w:rsid w:val="29C410CB"/>
    <w:rsid w:val="29E11C7D"/>
    <w:rsid w:val="29E17ECF"/>
    <w:rsid w:val="29EB2AFB"/>
    <w:rsid w:val="2A04596B"/>
    <w:rsid w:val="2A0E0981"/>
    <w:rsid w:val="2A102562"/>
    <w:rsid w:val="2A1E21FB"/>
    <w:rsid w:val="2A2878AC"/>
    <w:rsid w:val="2A350916"/>
    <w:rsid w:val="2A375D41"/>
    <w:rsid w:val="2A51371E"/>
    <w:rsid w:val="2A5C7555"/>
    <w:rsid w:val="2A5D507B"/>
    <w:rsid w:val="2A614B6C"/>
    <w:rsid w:val="2A693A20"/>
    <w:rsid w:val="2A7F3244"/>
    <w:rsid w:val="2A8A2314"/>
    <w:rsid w:val="2A97233B"/>
    <w:rsid w:val="2A9A007E"/>
    <w:rsid w:val="2AC82E3D"/>
    <w:rsid w:val="2AF134EA"/>
    <w:rsid w:val="2B2067D5"/>
    <w:rsid w:val="2B3B74A1"/>
    <w:rsid w:val="2B406E77"/>
    <w:rsid w:val="2B4324C3"/>
    <w:rsid w:val="2B8E7BE2"/>
    <w:rsid w:val="2BB05DAB"/>
    <w:rsid w:val="2BB67139"/>
    <w:rsid w:val="2BB807BB"/>
    <w:rsid w:val="2BBE7D9C"/>
    <w:rsid w:val="2C5812AA"/>
    <w:rsid w:val="2C901738"/>
    <w:rsid w:val="2D0F4D53"/>
    <w:rsid w:val="2D3B5B48"/>
    <w:rsid w:val="2D5409B8"/>
    <w:rsid w:val="2D83129D"/>
    <w:rsid w:val="2D8876C7"/>
    <w:rsid w:val="2D964B2C"/>
    <w:rsid w:val="2DCD42C6"/>
    <w:rsid w:val="2DCE162A"/>
    <w:rsid w:val="2DCE2050"/>
    <w:rsid w:val="2DEF06E0"/>
    <w:rsid w:val="2E051061"/>
    <w:rsid w:val="2E0E6DB8"/>
    <w:rsid w:val="2E2959A0"/>
    <w:rsid w:val="2E424AD5"/>
    <w:rsid w:val="2E7E4B85"/>
    <w:rsid w:val="2E9B6172"/>
    <w:rsid w:val="2EAE40F8"/>
    <w:rsid w:val="2EE61AE3"/>
    <w:rsid w:val="2EE95130"/>
    <w:rsid w:val="2F4A2072"/>
    <w:rsid w:val="2F805A94"/>
    <w:rsid w:val="2F996B56"/>
    <w:rsid w:val="2FCB375B"/>
    <w:rsid w:val="30087837"/>
    <w:rsid w:val="30202DD3"/>
    <w:rsid w:val="302169BE"/>
    <w:rsid w:val="30316D8E"/>
    <w:rsid w:val="304A60A2"/>
    <w:rsid w:val="304C5976"/>
    <w:rsid w:val="305D5DD5"/>
    <w:rsid w:val="305E56A9"/>
    <w:rsid w:val="30874C00"/>
    <w:rsid w:val="3099669F"/>
    <w:rsid w:val="309A110F"/>
    <w:rsid w:val="30C95F53"/>
    <w:rsid w:val="31322DBE"/>
    <w:rsid w:val="31465843"/>
    <w:rsid w:val="31776A98"/>
    <w:rsid w:val="318F4A02"/>
    <w:rsid w:val="31AF08B2"/>
    <w:rsid w:val="31B00187"/>
    <w:rsid w:val="31B77767"/>
    <w:rsid w:val="31D2634F"/>
    <w:rsid w:val="31D9148B"/>
    <w:rsid w:val="31DD71CE"/>
    <w:rsid w:val="31F33F08"/>
    <w:rsid w:val="32144BB9"/>
    <w:rsid w:val="321B38AD"/>
    <w:rsid w:val="32432DA9"/>
    <w:rsid w:val="326C67A3"/>
    <w:rsid w:val="32827D75"/>
    <w:rsid w:val="32CC0FF0"/>
    <w:rsid w:val="32D61E6F"/>
    <w:rsid w:val="32DA195F"/>
    <w:rsid w:val="32F83B93"/>
    <w:rsid w:val="32FA5B5D"/>
    <w:rsid w:val="33294239"/>
    <w:rsid w:val="333F7A14"/>
    <w:rsid w:val="33837901"/>
    <w:rsid w:val="338813BB"/>
    <w:rsid w:val="338E0F50"/>
    <w:rsid w:val="339715FE"/>
    <w:rsid w:val="33A61841"/>
    <w:rsid w:val="33C5689E"/>
    <w:rsid w:val="33C817B8"/>
    <w:rsid w:val="34237336"/>
    <w:rsid w:val="345117AD"/>
    <w:rsid w:val="34615AF8"/>
    <w:rsid w:val="34D16D92"/>
    <w:rsid w:val="34EB7E53"/>
    <w:rsid w:val="350E3B42"/>
    <w:rsid w:val="351C0E95"/>
    <w:rsid w:val="35223149"/>
    <w:rsid w:val="35305866"/>
    <w:rsid w:val="35335357"/>
    <w:rsid w:val="35A136FA"/>
    <w:rsid w:val="35B26729"/>
    <w:rsid w:val="35B91D00"/>
    <w:rsid w:val="35BC359E"/>
    <w:rsid w:val="35CF507F"/>
    <w:rsid w:val="35DF0B77"/>
    <w:rsid w:val="361C5FF4"/>
    <w:rsid w:val="361C728A"/>
    <w:rsid w:val="362A6E8C"/>
    <w:rsid w:val="36321AB2"/>
    <w:rsid w:val="364A6DFC"/>
    <w:rsid w:val="365437D6"/>
    <w:rsid w:val="36B14785"/>
    <w:rsid w:val="36D16BD5"/>
    <w:rsid w:val="36D17540"/>
    <w:rsid w:val="36EA7C97"/>
    <w:rsid w:val="36EC155B"/>
    <w:rsid w:val="37362089"/>
    <w:rsid w:val="37411FAD"/>
    <w:rsid w:val="37737C8C"/>
    <w:rsid w:val="3776777C"/>
    <w:rsid w:val="37A83DDA"/>
    <w:rsid w:val="37AB1B1C"/>
    <w:rsid w:val="37AE5168"/>
    <w:rsid w:val="37B81B43"/>
    <w:rsid w:val="37C8622A"/>
    <w:rsid w:val="38404012"/>
    <w:rsid w:val="38653A79"/>
    <w:rsid w:val="38AC5B4C"/>
    <w:rsid w:val="38B22A36"/>
    <w:rsid w:val="38BC5A67"/>
    <w:rsid w:val="38EC7CF6"/>
    <w:rsid w:val="38F10EAC"/>
    <w:rsid w:val="390019F4"/>
    <w:rsid w:val="39012206"/>
    <w:rsid w:val="39162FC5"/>
    <w:rsid w:val="39203E44"/>
    <w:rsid w:val="39587A5F"/>
    <w:rsid w:val="395F2B56"/>
    <w:rsid w:val="398B39B3"/>
    <w:rsid w:val="39AE60C8"/>
    <w:rsid w:val="39BA4298"/>
    <w:rsid w:val="39BE0611"/>
    <w:rsid w:val="39C70C72"/>
    <w:rsid w:val="39EF3F42"/>
    <w:rsid w:val="3A304090"/>
    <w:rsid w:val="3A396F6B"/>
    <w:rsid w:val="3A3F240C"/>
    <w:rsid w:val="3AD94D90"/>
    <w:rsid w:val="3AE478B4"/>
    <w:rsid w:val="3AE710BD"/>
    <w:rsid w:val="3AEE244B"/>
    <w:rsid w:val="3B135A0E"/>
    <w:rsid w:val="3B241550"/>
    <w:rsid w:val="3B345984"/>
    <w:rsid w:val="3B3779FE"/>
    <w:rsid w:val="3B783AC3"/>
    <w:rsid w:val="3B7D611A"/>
    <w:rsid w:val="3BAE1BDB"/>
    <w:rsid w:val="3BD35511"/>
    <w:rsid w:val="3BE23632"/>
    <w:rsid w:val="3BEC625F"/>
    <w:rsid w:val="3BECE841"/>
    <w:rsid w:val="3BFD046C"/>
    <w:rsid w:val="3C084351"/>
    <w:rsid w:val="3C644BFF"/>
    <w:rsid w:val="3C940DD1"/>
    <w:rsid w:val="3C9708C1"/>
    <w:rsid w:val="3CA628B2"/>
    <w:rsid w:val="3CDD734F"/>
    <w:rsid w:val="3CEA09F1"/>
    <w:rsid w:val="3CFA123A"/>
    <w:rsid w:val="3D0575D8"/>
    <w:rsid w:val="3D163594"/>
    <w:rsid w:val="3D9F7A2D"/>
    <w:rsid w:val="3DA363BE"/>
    <w:rsid w:val="3DF24AD0"/>
    <w:rsid w:val="3E0F7452"/>
    <w:rsid w:val="3E133F77"/>
    <w:rsid w:val="3E1877DF"/>
    <w:rsid w:val="3E1A70B4"/>
    <w:rsid w:val="3E5606B9"/>
    <w:rsid w:val="3E630A5B"/>
    <w:rsid w:val="3E881337"/>
    <w:rsid w:val="3E9E1A93"/>
    <w:rsid w:val="3EA370A9"/>
    <w:rsid w:val="3EC84583"/>
    <w:rsid w:val="3ECD05CA"/>
    <w:rsid w:val="3EE33949"/>
    <w:rsid w:val="3F285E40"/>
    <w:rsid w:val="3F36616F"/>
    <w:rsid w:val="3F4D34B9"/>
    <w:rsid w:val="3F676329"/>
    <w:rsid w:val="3F6F78D3"/>
    <w:rsid w:val="3FB928FC"/>
    <w:rsid w:val="3FE07A5D"/>
    <w:rsid w:val="3FE931E1"/>
    <w:rsid w:val="3FF7797D"/>
    <w:rsid w:val="3FF7C1C0"/>
    <w:rsid w:val="3FFA719D"/>
    <w:rsid w:val="400224F5"/>
    <w:rsid w:val="405A5E8D"/>
    <w:rsid w:val="40612D9E"/>
    <w:rsid w:val="40827192"/>
    <w:rsid w:val="4093670E"/>
    <w:rsid w:val="40D043A1"/>
    <w:rsid w:val="40DE6ABE"/>
    <w:rsid w:val="40E51BFB"/>
    <w:rsid w:val="40FB566E"/>
    <w:rsid w:val="41166258"/>
    <w:rsid w:val="41270465"/>
    <w:rsid w:val="41432DC5"/>
    <w:rsid w:val="414508EB"/>
    <w:rsid w:val="415A5724"/>
    <w:rsid w:val="416165D7"/>
    <w:rsid w:val="417023CC"/>
    <w:rsid w:val="41B25AE9"/>
    <w:rsid w:val="41C55588"/>
    <w:rsid w:val="41F61BE6"/>
    <w:rsid w:val="41FE630B"/>
    <w:rsid w:val="425D7EB7"/>
    <w:rsid w:val="429338D8"/>
    <w:rsid w:val="42FE51F6"/>
    <w:rsid w:val="431E13F4"/>
    <w:rsid w:val="43672D9B"/>
    <w:rsid w:val="43AD09C3"/>
    <w:rsid w:val="43CA332A"/>
    <w:rsid w:val="43EF0FE2"/>
    <w:rsid w:val="43FD36FF"/>
    <w:rsid w:val="4427252A"/>
    <w:rsid w:val="443E5182"/>
    <w:rsid w:val="445E1C33"/>
    <w:rsid w:val="446B68BB"/>
    <w:rsid w:val="448736B1"/>
    <w:rsid w:val="448C6376"/>
    <w:rsid w:val="4496320C"/>
    <w:rsid w:val="44AE49FA"/>
    <w:rsid w:val="44D3620E"/>
    <w:rsid w:val="44DC3315"/>
    <w:rsid w:val="4508235C"/>
    <w:rsid w:val="458539AC"/>
    <w:rsid w:val="459857EA"/>
    <w:rsid w:val="459C4852"/>
    <w:rsid w:val="45B44292"/>
    <w:rsid w:val="45D1274E"/>
    <w:rsid w:val="45E71F71"/>
    <w:rsid w:val="46592743"/>
    <w:rsid w:val="467D0B27"/>
    <w:rsid w:val="46911EDD"/>
    <w:rsid w:val="46A41C10"/>
    <w:rsid w:val="46AE0CE1"/>
    <w:rsid w:val="46B5206F"/>
    <w:rsid w:val="46C027C2"/>
    <w:rsid w:val="470B7EE1"/>
    <w:rsid w:val="47146CF3"/>
    <w:rsid w:val="474451A1"/>
    <w:rsid w:val="475227AB"/>
    <w:rsid w:val="47BE6D02"/>
    <w:rsid w:val="47CA38F8"/>
    <w:rsid w:val="47D342F7"/>
    <w:rsid w:val="482D3E87"/>
    <w:rsid w:val="48391D37"/>
    <w:rsid w:val="48BA11FA"/>
    <w:rsid w:val="48C77E38"/>
    <w:rsid w:val="48DB17B7"/>
    <w:rsid w:val="4977360C"/>
    <w:rsid w:val="4A037596"/>
    <w:rsid w:val="4A2138EB"/>
    <w:rsid w:val="4A2F038B"/>
    <w:rsid w:val="4A3E4206"/>
    <w:rsid w:val="4A510301"/>
    <w:rsid w:val="4A5E5D08"/>
    <w:rsid w:val="4A7638C4"/>
    <w:rsid w:val="4A895CED"/>
    <w:rsid w:val="4A8C7696"/>
    <w:rsid w:val="4AF84C20"/>
    <w:rsid w:val="4B0C4228"/>
    <w:rsid w:val="4B1B333F"/>
    <w:rsid w:val="4B3612A5"/>
    <w:rsid w:val="4B3A0D95"/>
    <w:rsid w:val="4B3C3297"/>
    <w:rsid w:val="4B543B0B"/>
    <w:rsid w:val="4B8244EA"/>
    <w:rsid w:val="4B8B6D84"/>
    <w:rsid w:val="4B8D5369"/>
    <w:rsid w:val="4BB00F27"/>
    <w:rsid w:val="4BBF05BF"/>
    <w:rsid w:val="4BFA0524"/>
    <w:rsid w:val="4C59524B"/>
    <w:rsid w:val="4C5F34F9"/>
    <w:rsid w:val="4C6A38FC"/>
    <w:rsid w:val="4C7D362F"/>
    <w:rsid w:val="4C8C3872"/>
    <w:rsid w:val="4CB16E35"/>
    <w:rsid w:val="4CB42DC9"/>
    <w:rsid w:val="4CBD3A2C"/>
    <w:rsid w:val="4CDF4C3F"/>
    <w:rsid w:val="4D0F4D2D"/>
    <w:rsid w:val="4D4B4798"/>
    <w:rsid w:val="4D5A74CD"/>
    <w:rsid w:val="4D607786"/>
    <w:rsid w:val="4D6D5452"/>
    <w:rsid w:val="4DA978A7"/>
    <w:rsid w:val="4DD666DB"/>
    <w:rsid w:val="4E086F29"/>
    <w:rsid w:val="4E5B174E"/>
    <w:rsid w:val="4E65437B"/>
    <w:rsid w:val="4E834801"/>
    <w:rsid w:val="4E880069"/>
    <w:rsid w:val="4E9904C8"/>
    <w:rsid w:val="4EA96688"/>
    <w:rsid w:val="4EBB3F9B"/>
    <w:rsid w:val="4EE009A4"/>
    <w:rsid w:val="4EFB4CDF"/>
    <w:rsid w:val="4F1336A1"/>
    <w:rsid w:val="4F2C30EB"/>
    <w:rsid w:val="4F477F24"/>
    <w:rsid w:val="4F6603AB"/>
    <w:rsid w:val="4F7B197C"/>
    <w:rsid w:val="4FB07878"/>
    <w:rsid w:val="4FBA24A4"/>
    <w:rsid w:val="4FDC2D4A"/>
    <w:rsid w:val="503E2CAF"/>
    <w:rsid w:val="50680152"/>
    <w:rsid w:val="508A1E77"/>
    <w:rsid w:val="50982DC8"/>
    <w:rsid w:val="511B3417"/>
    <w:rsid w:val="5144296E"/>
    <w:rsid w:val="514F0810"/>
    <w:rsid w:val="516E1798"/>
    <w:rsid w:val="51764AF1"/>
    <w:rsid w:val="51B66C9C"/>
    <w:rsid w:val="51BE0A70"/>
    <w:rsid w:val="51CD2963"/>
    <w:rsid w:val="51F872B4"/>
    <w:rsid w:val="52097713"/>
    <w:rsid w:val="52412A09"/>
    <w:rsid w:val="52BF7DD2"/>
    <w:rsid w:val="52D41ACF"/>
    <w:rsid w:val="52E141EC"/>
    <w:rsid w:val="52E53CDC"/>
    <w:rsid w:val="52F51A03"/>
    <w:rsid w:val="535866CB"/>
    <w:rsid w:val="537E1A3B"/>
    <w:rsid w:val="539D0113"/>
    <w:rsid w:val="53DF24DA"/>
    <w:rsid w:val="53F1220D"/>
    <w:rsid w:val="54484523"/>
    <w:rsid w:val="544D3B83"/>
    <w:rsid w:val="544E765F"/>
    <w:rsid w:val="5472334E"/>
    <w:rsid w:val="54BC13E6"/>
    <w:rsid w:val="54DE6C35"/>
    <w:rsid w:val="550C37A2"/>
    <w:rsid w:val="5513726A"/>
    <w:rsid w:val="5523289A"/>
    <w:rsid w:val="552A1E7A"/>
    <w:rsid w:val="555962BC"/>
    <w:rsid w:val="563F54B2"/>
    <w:rsid w:val="564700A9"/>
    <w:rsid w:val="569F0646"/>
    <w:rsid w:val="56CC24ED"/>
    <w:rsid w:val="56EB5639"/>
    <w:rsid w:val="56ED3D52"/>
    <w:rsid w:val="56F1208A"/>
    <w:rsid w:val="573362C4"/>
    <w:rsid w:val="57364B06"/>
    <w:rsid w:val="573E7E5F"/>
    <w:rsid w:val="57437223"/>
    <w:rsid w:val="57460AC2"/>
    <w:rsid w:val="574B7E86"/>
    <w:rsid w:val="578A4E52"/>
    <w:rsid w:val="57AF48B9"/>
    <w:rsid w:val="57CB6E0C"/>
    <w:rsid w:val="57DF594E"/>
    <w:rsid w:val="57E52089"/>
    <w:rsid w:val="5818245E"/>
    <w:rsid w:val="58214194"/>
    <w:rsid w:val="588D7ABF"/>
    <w:rsid w:val="5898359F"/>
    <w:rsid w:val="58BE1257"/>
    <w:rsid w:val="58D853E3"/>
    <w:rsid w:val="5971064D"/>
    <w:rsid w:val="598002BB"/>
    <w:rsid w:val="59853B23"/>
    <w:rsid w:val="59BB5797"/>
    <w:rsid w:val="59DF76D7"/>
    <w:rsid w:val="59F36CDF"/>
    <w:rsid w:val="5A47702B"/>
    <w:rsid w:val="5A6000EC"/>
    <w:rsid w:val="5A7640CD"/>
    <w:rsid w:val="5A766C6C"/>
    <w:rsid w:val="5A9102A6"/>
    <w:rsid w:val="5ABC3575"/>
    <w:rsid w:val="5AD54AA6"/>
    <w:rsid w:val="5AE26D53"/>
    <w:rsid w:val="5AE605F2"/>
    <w:rsid w:val="5B0B0058"/>
    <w:rsid w:val="5B266C40"/>
    <w:rsid w:val="5B7756EE"/>
    <w:rsid w:val="5BAD7361"/>
    <w:rsid w:val="5BBB1A7E"/>
    <w:rsid w:val="5BCD5FD8"/>
    <w:rsid w:val="5BFF6039"/>
    <w:rsid w:val="5C003935"/>
    <w:rsid w:val="5C25514A"/>
    <w:rsid w:val="5C2869E8"/>
    <w:rsid w:val="5CF214D0"/>
    <w:rsid w:val="5D284EF1"/>
    <w:rsid w:val="5D30024A"/>
    <w:rsid w:val="5D431D2B"/>
    <w:rsid w:val="5D4531AE"/>
    <w:rsid w:val="5D4810F0"/>
    <w:rsid w:val="5D76A616"/>
    <w:rsid w:val="5D7F20B9"/>
    <w:rsid w:val="5D8B722E"/>
    <w:rsid w:val="5DAC7D0E"/>
    <w:rsid w:val="5DFD637E"/>
    <w:rsid w:val="5E2F7D75"/>
    <w:rsid w:val="5E394EDC"/>
    <w:rsid w:val="5E3B6E8C"/>
    <w:rsid w:val="5E5A37D0"/>
    <w:rsid w:val="5E6F6B50"/>
    <w:rsid w:val="5E7B3747"/>
    <w:rsid w:val="5E7F4FE5"/>
    <w:rsid w:val="5EA031AD"/>
    <w:rsid w:val="5EA42C9D"/>
    <w:rsid w:val="5EA44A4C"/>
    <w:rsid w:val="5EA902B4"/>
    <w:rsid w:val="5EE17A4E"/>
    <w:rsid w:val="5F105C3D"/>
    <w:rsid w:val="5F19442B"/>
    <w:rsid w:val="5F245B8C"/>
    <w:rsid w:val="5F430184"/>
    <w:rsid w:val="5F526256"/>
    <w:rsid w:val="5FA40A7B"/>
    <w:rsid w:val="5FDC5778"/>
    <w:rsid w:val="5FFE8511"/>
    <w:rsid w:val="5FFEACE2"/>
    <w:rsid w:val="600339F4"/>
    <w:rsid w:val="602F47E9"/>
    <w:rsid w:val="603B318E"/>
    <w:rsid w:val="603C213D"/>
    <w:rsid w:val="603E4A2C"/>
    <w:rsid w:val="604007A4"/>
    <w:rsid w:val="60477D84"/>
    <w:rsid w:val="605B55DE"/>
    <w:rsid w:val="60B66CB8"/>
    <w:rsid w:val="60CC64DC"/>
    <w:rsid w:val="60D5328E"/>
    <w:rsid w:val="60E07891"/>
    <w:rsid w:val="610B7004"/>
    <w:rsid w:val="611073CD"/>
    <w:rsid w:val="613D1187"/>
    <w:rsid w:val="61581B1D"/>
    <w:rsid w:val="615B070D"/>
    <w:rsid w:val="616D0E76"/>
    <w:rsid w:val="618172C6"/>
    <w:rsid w:val="618B1EF3"/>
    <w:rsid w:val="61E11B13"/>
    <w:rsid w:val="61EF2482"/>
    <w:rsid w:val="621D6CEE"/>
    <w:rsid w:val="622639C9"/>
    <w:rsid w:val="62265778"/>
    <w:rsid w:val="623600B0"/>
    <w:rsid w:val="623B7475"/>
    <w:rsid w:val="6292105F"/>
    <w:rsid w:val="62A377DA"/>
    <w:rsid w:val="62B15989"/>
    <w:rsid w:val="62C84A81"/>
    <w:rsid w:val="62D82F16"/>
    <w:rsid w:val="62DB0C58"/>
    <w:rsid w:val="62EC4C13"/>
    <w:rsid w:val="63071A4D"/>
    <w:rsid w:val="63155201"/>
    <w:rsid w:val="63365E8E"/>
    <w:rsid w:val="63584057"/>
    <w:rsid w:val="63C23D95"/>
    <w:rsid w:val="63CE4319"/>
    <w:rsid w:val="63D53B77"/>
    <w:rsid w:val="63EF49BB"/>
    <w:rsid w:val="643EE26D"/>
    <w:rsid w:val="644D348F"/>
    <w:rsid w:val="645E744B"/>
    <w:rsid w:val="64813139"/>
    <w:rsid w:val="64DF4A2F"/>
    <w:rsid w:val="650417D0"/>
    <w:rsid w:val="651A032B"/>
    <w:rsid w:val="653B35E3"/>
    <w:rsid w:val="655F0748"/>
    <w:rsid w:val="656C48C9"/>
    <w:rsid w:val="657A02B4"/>
    <w:rsid w:val="65861A1B"/>
    <w:rsid w:val="65870C23"/>
    <w:rsid w:val="659D21F5"/>
    <w:rsid w:val="659F41BF"/>
    <w:rsid w:val="65E676F8"/>
    <w:rsid w:val="65FC6F1B"/>
    <w:rsid w:val="661C136B"/>
    <w:rsid w:val="662D17CA"/>
    <w:rsid w:val="66552ACF"/>
    <w:rsid w:val="669B2BD8"/>
    <w:rsid w:val="66A355E9"/>
    <w:rsid w:val="66B912B0"/>
    <w:rsid w:val="66BB0B84"/>
    <w:rsid w:val="67281F92"/>
    <w:rsid w:val="67650AF0"/>
    <w:rsid w:val="677D5E3A"/>
    <w:rsid w:val="67A05FCC"/>
    <w:rsid w:val="67D57A24"/>
    <w:rsid w:val="67D85766"/>
    <w:rsid w:val="68182006"/>
    <w:rsid w:val="683055A2"/>
    <w:rsid w:val="686314D3"/>
    <w:rsid w:val="686B2F4B"/>
    <w:rsid w:val="68773AED"/>
    <w:rsid w:val="68F77E6E"/>
    <w:rsid w:val="68F82E7C"/>
    <w:rsid w:val="690031C6"/>
    <w:rsid w:val="69076303"/>
    <w:rsid w:val="69313380"/>
    <w:rsid w:val="6945533E"/>
    <w:rsid w:val="694C640B"/>
    <w:rsid w:val="69515D31"/>
    <w:rsid w:val="69A022B3"/>
    <w:rsid w:val="69B813AB"/>
    <w:rsid w:val="69BB70ED"/>
    <w:rsid w:val="69C94950"/>
    <w:rsid w:val="69E5416A"/>
    <w:rsid w:val="69EE301F"/>
    <w:rsid w:val="69F820EF"/>
    <w:rsid w:val="6A2627B9"/>
    <w:rsid w:val="6A3C1FDC"/>
    <w:rsid w:val="6A440E91"/>
    <w:rsid w:val="6A4E7F61"/>
    <w:rsid w:val="6A5031C7"/>
    <w:rsid w:val="6A521800"/>
    <w:rsid w:val="6A5E63F6"/>
    <w:rsid w:val="6A837C0B"/>
    <w:rsid w:val="6AA06A0F"/>
    <w:rsid w:val="6AA87672"/>
    <w:rsid w:val="6AAF6C52"/>
    <w:rsid w:val="6AC10733"/>
    <w:rsid w:val="6AD71D05"/>
    <w:rsid w:val="6AFE1987"/>
    <w:rsid w:val="6B113469"/>
    <w:rsid w:val="6B122D3D"/>
    <w:rsid w:val="6B465A95"/>
    <w:rsid w:val="6B8235F5"/>
    <w:rsid w:val="6B833C3B"/>
    <w:rsid w:val="6BCC61AB"/>
    <w:rsid w:val="6BDF1071"/>
    <w:rsid w:val="6BDF70C3"/>
    <w:rsid w:val="6BF1329A"/>
    <w:rsid w:val="6BFD1C3F"/>
    <w:rsid w:val="6C111246"/>
    <w:rsid w:val="6C24541E"/>
    <w:rsid w:val="6C2B67AC"/>
    <w:rsid w:val="6C532996"/>
    <w:rsid w:val="6CA83959"/>
    <w:rsid w:val="6CDB1F80"/>
    <w:rsid w:val="6CDF2C9A"/>
    <w:rsid w:val="6CEB1A97"/>
    <w:rsid w:val="6D035033"/>
    <w:rsid w:val="6D1C60F5"/>
    <w:rsid w:val="6DA00AD4"/>
    <w:rsid w:val="6DCA0C8F"/>
    <w:rsid w:val="6DD662A4"/>
    <w:rsid w:val="6DD96480"/>
    <w:rsid w:val="6DDD69F5"/>
    <w:rsid w:val="6DE54A49"/>
    <w:rsid w:val="6DEC5AC7"/>
    <w:rsid w:val="6DF40E20"/>
    <w:rsid w:val="6DFD5F26"/>
    <w:rsid w:val="6E0550DC"/>
    <w:rsid w:val="6E3A0F28"/>
    <w:rsid w:val="6E470F4F"/>
    <w:rsid w:val="6E4753F3"/>
    <w:rsid w:val="6E492F1A"/>
    <w:rsid w:val="6E8757F0"/>
    <w:rsid w:val="6E891568"/>
    <w:rsid w:val="6EAD16FA"/>
    <w:rsid w:val="6EFC61DE"/>
    <w:rsid w:val="6F084B83"/>
    <w:rsid w:val="6F0C162D"/>
    <w:rsid w:val="6F1E43A6"/>
    <w:rsid w:val="6F2319BD"/>
    <w:rsid w:val="6F265009"/>
    <w:rsid w:val="6F3040D9"/>
    <w:rsid w:val="6F3649DD"/>
    <w:rsid w:val="6F3C2A7E"/>
    <w:rsid w:val="6F5002D8"/>
    <w:rsid w:val="6F800BBD"/>
    <w:rsid w:val="6FAF6C78"/>
    <w:rsid w:val="6FCF56A0"/>
    <w:rsid w:val="6FD902CD"/>
    <w:rsid w:val="70891CF3"/>
    <w:rsid w:val="708F7D90"/>
    <w:rsid w:val="709B37D5"/>
    <w:rsid w:val="70B34FC2"/>
    <w:rsid w:val="70BE5E76"/>
    <w:rsid w:val="70CA3BF3"/>
    <w:rsid w:val="70DB119C"/>
    <w:rsid w:val="70F01D72"/>
    <w:rsid w:val="70F84783"/>
    <w:rsid w:val="71186BD3"/>
    <w:rsid w:val="71235CA4"/>
    <w:rsid w:val="712F289B"/>
    <w:rsid w:val="713C6D66"/>
    <w:rsid w:val="715220E5"/>
    <w:rsid w:val="716167CC"/>
    <w:rsid w:val="722A4E10"/>
    <w:rsid w:val="725331E5"/>
    <w:rsid w:val="726E11A1"/>
    <w:rsid w:val="728E539F"/>
    <w:rsid w:val="72BB170D"/>
    <w:rsid w:val="72C67176"/>
    <w:rsid w:val="72C76B03"/>
    <w:rsid w:val="72D60AF4"/>
    <w:rsid w:val="72EE408F"/>
    <w:rsid w:val="72F773E8"/>
    <w:rsid w:val="730169BE"/>
    <w:rsid w:val="730E028E"/>
    <w:rsid w:val="7315161C"/>
    <w:rsid w:val="7317C656"/>
    <w:rsid w:val="73353A6C"/>
    <w:rsid w:val="7338355D"/>
    <w:rsid w:val="73455D2A"/>
    <w:rsid w:val="738D1AFA"/>
    <w:rsid w:val="73DE4104"/>
    <w:rsid w:val="74100036"/>
    <w:rsid w:val="74161AF0"/>
    <w:rsid w:val="74177616"/>
    <w:rsid w:val="7434641A"/>
    <w:rsid w:val="743C0E2B"/>
    <w:rsid w:val="744A3547"/>
    <w:rsid w:val="74687E72"/>
    <w:rsid w:val="748527D2"/>
    <w:rsid w:val="74856C75"/>
    <w:rsid w:val="74A6220B"/>
    <w:rsid w:val="74B020B5"/>
    <w:rsid w:val="74D07EF1"/>
    <w:rsid w:val="752814FA"/>
    <w:rsid w:val="753A180E"/>
    <w:rsid w:val="75751D19"/>
    <w:rsid w:val="759578E3"/>
    <w:rsid w:val="75A849CA"/>
    <w:rsid w:val="75B93C1B"/>
    <w:rsid w:val="75BE243F"/>
    <w:rsid w:val="75EA6326"/>
    <w:rsid w:val="761B33ED"/>
    <w:rsid w:val="76375D4D"/>
    <w:rsid w:val="769B62DC"/>
    <w:rsid w:val="76EC08E6"/>
    <w:rsid w:val="77000835"/>
    <w:rsid w:val="77071BC4"/>
    <w:rsid w:val="771F2A69"/>
    <w:rsid w:val="772207AC"/>
    <w:rsid w:val="77364257"/>
    <w:rsid w:val="773D7394"/>
    <w:rsid w:val="775070C7"/>
    <w:rsid w:val="7772528F"/>
    <w:rsid w:val="777F5BFE"/>
    <w:rsid w:val="77862AE9"/>
    <w:rsid w:val="77894387"/>
    <w:rsid w:val="77AB07A1"/>
    <w:rsid w:val="77FD8BE9"/>
    <w:rsid w:val="781A3921"/>
    <w:rsid w:val="78340796"/>
    <w:rsid w:val="78725B8D"/>
    <w:rsid w:val="788A03B6"/>
    <w:rsid w:val="78BB4A14"/>
    <w:rsid w:val="78F3648C"/>
    <w:rsid w:val="78FB3062"/>
    <w:rsid w:val="79570BE0"/>
    <w:rsid w:val="7967694A"/>
    <w:rsid w:val="796E7CD8"/>
    <w:rsid w:val="798C03A0"/>
    <w:rsid w:val="7991107F"/>
    <w:rsid w:val="79A731EA"/>
    <w:rsid w:val="79A90D10"/>
    <w:rsid w:val="79A9BD3F"/>
    <w:rsid w:val="79EF706B"/>
    <w:rsid w:val="7A0F14BB"/>
    <w:rsid w:val="7A1268B5"/>
    <w:rsid w:val="7A24483B"/>
    <w:rsid w:val="7A28673D"/>
    <w:rsid w:val="7A37631C"/>
    <w:rsid w:val="7A3A739A"/>
    <w:rsid w:val="7A462A03"/>
    <w:rsid w:val="7A546ECE"/>
    <w:rsid w:val="7A6A66F1"/>
    <w:rsid w:val="7A6C7F40"/>
    <w:rsid w:val="7A7430CC"/>
    <w:rsid w:val="7A85177D"/>
    <w:rsid w:val="7AC878BC"/>
    <w:rsid w:val="7B05641A"/>
    <w:rsid w:val="7B2550F6"/>
    <w:rsid w:val="7B3E36DA"/>
    <w:rsid w:val="7B6273C9"/>
    <w:rsid w:val="7B690757"/>
    <w:rsid w:val="7B86755B"/>
    <w:rsid w:val="7BB67714"/>
    <w:rsid w:val="7BD229EC"/>
    <w:rsid w:val="7BFF043B"/>
    <w:rsid w:val="7BFFFDD0"/>
    <w:rsid w:val="7C2D5C29"/>
    <w:rsid w:val="7C3A2AF4"/>
    <w:rsid w:val="7C3A6597"/>
    <w:rsid w:val="7C482A62"/>
    <w:rsid w:val="7C541407"/>
    <w:rsid w:val="7C63164A"/>
    <w:rsid w:val="7C701FB9"/>
    <w:rsid w:val="7C8A5ED2"/>
    <w:rsid w:val="7CBE2D25"/>
    <w:rsid w:val="7CC77E2B"/>
    <w:rsid w:val="7CCA16C9"/>
    <w:rsid w:val="7CE91F25"/>
    <w:rsid w:val="7CEA3B1A"/>
    <w:rsid w:val="7CFE1373"/>
    <w:rsid w:val="7D6A07B6"/>
    <w:rsid w:val="7D6A6A08"/>
    <w:rsid w:val="7D7A5F86"/>
    <w:rsid w:val="7D917500"/>
    <w:rsid w:val="7D943A85"/>
    <w:rsid w:val="7D985324"/>
    <w:rsid w:val="7DE55565"/>
    <w:rsid w:val="7E4F6BCE"/>
    <w:rsid w:val="7E755665"/>
    <w:rsid w:val="7EAA3560"/>
    <w:rsid w:val="7EC30AC6"/>
    <w:rsid w:val="7EC860DC"/>
    <w:rsid w:val="7ED07CE9"/>
    <w:rsid w:val="7F0B7D77"/>
    <w:rsid w:val="7F2552DD"/>
    <w:rsid w:val="7F37BB4E"/>
    <w:rsid w:val="7F4339B5"/>
    <w:rsid w:val="7F5434CC"/>
    <w:rsid w:val="7F6851CA"/>
    <w:rsid w:val="7F82628B"/>
    <w:rsid w:val="7FBB79EF"/>
    <w:rsid w:val="7FBD5540"/>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EA7A019"/>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99"/>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Plain Text"/>
    <w:basedOn w:val="1"/>
    <w:qFormat/>
    <w:uiPriority w:val="99"/>
    <w:rPr>
      <w:rFonts w:ascii="宋体" w:hAnsi="Courier New" w:cs="Courier New"/>
      <w:szCs w:val="21"/>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19"/>
    <w:qFormat/>
    <w:uiPriority w:val="0"/>
    <w:pPr>
      <w:tabs>
        <w:tab w:val="center" w:pos="4153"/>
        <w:tab w:val="right" w:pos="8306"/>
      </w:tabs>
      <w:snapToGrid w:val="0"/>
      <w:jc w:val="center"/>
    </w:pPr>
    <w:rPr>
      <w:sz w:val="18"/>
      <w:szCs w:val="18"/>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4"/>
    <w:qFormat/>
    <w:uiPriority w:val="0"/>
    <w:pPr>
      <w:spacing w:after="0"/>
      <w:ind w:firstLine="200" w:firstLineChars="200"/>
    </w:pPr>
  </w:style>
  <w:style w:type="paragraph" w:styleId="11">
    <w:name w:val="Body Text First Indent 2"/>
    <w:basedOn w:val="5"/>
    <w:qFormat/>
    <w:uiPriority w:val="0"/>
    <w:pPr>
      <w:ind w:firstLine="420" w:firstLineChars="200"/>
    </w:pPr>
  </w:style>
  <w:style w:type="character" w:styleId="14">
    <w:name w:val="Strong"/>
    <w:basedOn w:val="13"/>
    <w:qFormat/>
    <w:uiPriority w:val="0"/>
    <w:rPr>
      <w:b/>
      <w:bCs/>
    </w:rPr>
  </w:style>
  <w:style w:type="character" w:styleId="15">
    <w:name w:val="annotation reference"/>
    <w:basedOn w:val="13"/>
    <w:qFormat/>
    <w:uiPriority w:val="99"/>
    <w:rPr>
      <w:sz w:val="21"/>
      <w:szCs w:val="21"/>
    </w:rPr>
  </w:style>
  <w:style w:type="character" w:customStyle="1" w:styleId="16">
    <w:name w:val="fontstyle01"/>
    <w:qFormat/>
    <w:uiPriority w:val="0"/>
    <w:rPr>
      <w:rFonts w:ascii="仿宋_GB2312" w:hAnsi="仿宋_GB2312" w:eastAsia="仿宋_GB2312" w:cs="仿宋_GB2312"/>
      <w:color w:val="000000"/>
      <w:sz w:val="32"/>
      <w:szCs w:val="32"/>
    </w:rPr>
  </w:style>
  <w:style w:type="paragraph" w:customStyle="1" w:styleId="17">
    <w:name w:val="闻政-正文段落文字"/>
    <w:basedOn w:val="1"/>
    <w:qFormat/>
    <w:uiPriority w:val="3"/>
    <w:pPr>
      <w:spacing w:line="500" w:lineRule="exact"/>
      <w:ind w:firstLine="200"/>
    </w:pPr>
    <w:rPr>
      <w:kern w:val="0"/>
      <w:szCs w:val="28"/>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页眉 字符"/>
    <w:basedOn w:val="13"/>
    <w:link w:val="8"/>
    <w:qFormat/>
    <w:uiPriority w:val="0"/>
    <w:rPr>
      <w:rFonts w:ascii="Times New Roman" w:hAnsi="Times New Roman" w:eastAsia="宋体" w:cs="Times New Roman"/>
      <w:kern w:val="2"/>
      <w:sz w:val="18"/>
      <w:szCs w:val="18"/>
    </w:rPr>
  </w:style>
  <w:style w:type="character" w:customStyle="1" w:styleId="20">
    <w:name w:val="批注文字 字符"/>
    <w:basedOn w:val="13"/>
    <w:link w:val="3"/>
    <w:qFormat/>
    <w:uiPriority w:val="99"/>
    <w:rPr>
      <w:rFonts w:ascii="Times New Roman" w:hAnsi="Times New Roman" w:eastAsia="宋体" w:cs="Times New Roman"/>
      <w:kern w:val="2"/>
      <w:sz w:val="21"/>
      <w:szCs w:val="24"/>
    </w:rPr>
  </w:style>
  <w:style w:type="paragraph" w:styleId="2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10387</Words>
  <Characters>11253</Characters>
  <Lines>63</Lines>
  <Paragraphs>17</Paragraphs>
  <TotalTime>29</TotalTime>
  <ScaleCrop>false</ScaleCrop>
  <LinksUpToDate>false</LinksUpToDate>
  <CharactersWithSpaces>11282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2023-03-08T21:13:00Z</dcterms:created>
  <dc:creator>审核人</dc:creator>
  <cp:lastModifiedBy>薛俊璇</cp:lastModifiedBy>
  <dcterms:modified xsi:type="dcterms:W3CDTF">2024-08-27T11:13:54Z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0CA58AF8364FF55815C8066417B177EA</vt:lpwstr>
  </property>
</Properties>
</file>