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50E4A">
      <w:pPr>
        <w:spacing w:line="540" w:lineRule="exact"/>
        <w:jc w:val="center"/>
        <w:rPr>
          <w:rFonts w:hint="default" w:ascii="Times New Roman" w:hAnsi="Times New Roman" w:eastAsia="华文中宋" w:cs="Times New Roman"/>
          <w:b/>
          <w:kern w:val="0"/>
          <w:sz w:val="52"/>
          <w:szCs w:val="52"/>
        </w:rPr>
      </w:pPr>
    </w:p>
    <w:p w14:paraId="3989818A">
      <w:pPr>
        <w:spacing w:line="540" w:lineRule="exact"/>
        <w:rPr>
          <w:rFonts w:hint="default" w:ascii="Times New Roman" w:hAnsi="Times New Roman" w:eastAsia="华文中宋" w:cs="Times New Roman"/>
          <w:b/>
          <w:kern w:val="0"/>
          <w:sz w:val="52"/>
          <w:szCs w:val="52"/>
        </w:rPr>
      </w:pPr>
    </w:p>
    <w:p w14:paraId="351DF02A">
      <w:pPr>
        <w:spacing w:line="540" w:lineRule="exact"/>
        <w:jc w:val="center"/>
        <w:rPr>
          <w:rFonts w:hint="default" w:ascii="Times New Roman" w:hAnsi="Times New Roman" w:eastAsia="华文中宋" w:cs="Times New Roman"/>
          <w:b/>
          <w:kern w:val="0"/>
          <w:sz w:val="52"/>
          <w:szCs w:val="52"/>
        </w:rPr>
      </w:pPr>
    </w:p>
    <w:p w14:paraId="452C9694">
      <w:pPr>
        <w:spacing w:line="540" w:lineRule="exact"/>
        <w:jc w:val="center"/>
        <w:rPr>
          <w:rFonts w:hint="default" w:ascii="Times New Roman" w:hAnsi="Times New Roman" w:eastAsia="华文中宋" w:cs="Times New Roman"/>
          <w:b/>
          <w:kern w:val="0"/>
          <w:sz w:val="52"/>
          <w:szCs w:val="52"/>
        </w:rPr>
      </w:pPr>
    </w:p>
    <w:p w14:paraId="11D953ED">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自治区2023年第一批疫情防控补助资金（自治区本级医疗机构重症床位设备配套经费）项目绩效评价</w:t>
      </w:r>
    </w:p>
    <w:p w14:paraId="37A61D93">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1F7EE248">
      <w:pPr>
        <w:spacing w:line="540" w:lineRule="exact"/>
        <w:jc w:val="center"/>
        <w:rPr>
          <w:rFonts w:hint="default" w:ascii="Times New Roman" w:hAnsi="Times New Roman" w:eastAsia="华文中宋" w:cs="Times New Roman"/>
          <w:b/>
          <w:kern w:val="0"/>
          <w:sz w:val="52"/>
          <w:szCs w:val="52"/>
        </w:rPr>
      </w:pPr>
    </w:p>
    <w:p w14:paraId="09914377">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2023年度）</w:t>
      </w:r>
    </w:p>
    <w:p w14:paraId="36C36415">
      <w:pPr>
        <w:spacing w:line="540" w:lineRule="exact"/>
        <w:jc w:val="center"/>
        <w:rPr>
          <w:rFonts w:hint="default" w:ascii="Times New Roman" w:hAnsi="Times New Roman" w:eastAsia="仿宋_GB2312" w:cs="Times New Roman"/>
          <w:kern w:val="0"/>
          <w:sz w:val="30"/>
          <w:szCs w:val="30"/>
        </w:rPr>
      </w:pPr>
    </w:p>
    <w:p w14:paraId="6DCABD13">
      <w:pPr>
        <w:spacing w:line="540" w:lineRule="exact"/>
        <w:jc w:val="center"/>
        <w:rPr>
          <w:rFonts w:hint="default" w:ascii="Times New Roman" w:hAnsi="Times New Roman" w:eastAsia="仿宋_GB2312" w:cs="Times New Roman"/>
          <w:kern w:val="0"/>
          <w:sz w:val="30"/>
          <w:szCs w:val="30"/>
        </w:rPr>
      </w:pPr>
    </w:p>
    <w:p w14:paraId="6DFC0234">
      <w:pPr>
        <w:spacing w:line="540" w:lineRule="exact"/>
        <w:rPr>
          <w:rFonts w:hint="default" w:ascii="Times New Roman" w:hAnsi="Times New Roman" w:eastAsia="仿宋_GB2312" w:cs="Times New Roman"/>
          <w:kern w:val="0"/>
          <w:sz w:val="30"/>
          <w:szCs w:val="30"/>
        </w:rPr>
      </w:pPr>
    </w:p>
    <w:p w14:paraId="16C3BC9F">
      <w:pPr>
        <w:spacing w:line="700" w:lineRule="exact"/>
        <w:ind w:left="2640" w:leftChars="400"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项目名称：自治区2023年第一批疫情防控补    助资金（自治区本级医疗机构重症床位设备配套经费）</w:t>
      </w:r>
    </w:p>
    <w:p w14:paraId="13A0203E">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实施单位（公章）：新疆医科大学附属肿瘤医院</w:t>
      </w:r>
    </w:p>
    <w:p w14:paraId="53D66BD1">
      <w:pPr>
        <w:spacing w:line="700" w:lineRule="exact"/>
        <w:ind w:left="3962" w:leftChars="344" w:hanging="3240" w:hangingChars="9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主管部门（公章）：新疆维吾尔自治区卫生健康委员会</w:t>
      </w:r>
    </w:p>
    <w:p w14:paraId="396F3ABF">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项目负责人（签章）：王秀梅</w:t>
      </w:r>
    </w:p>
    <w:p w14:paraId="571ED903">
      <w:pPr>
        <w:spacing w:line="700" w:lineRule="exact"/>
        <w:ind w:firstLine="720" w:firstLineChars="2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填报时间：2024年3月6日</w:t>
      </w:r>
    </w:p>
    <w:p w14:paraId="642A2DE1">
      <w:pPr>
        <w:spacing w:line="600" w:lineRule="exact"/>
        <w:rPr>
          <w:rFonts w:hint="default" w:ascii="Times New Roman" w:hAnsi="Times New Roman" w:eastAsia="黑体" w:cs="Times New Roman"/>
          <w:bCs/>
          <w:sz w:val="32"/>
          <w:szCs w:val="32"/>
        </w:rPr>
      </w:pPr>
    </w:p>
    <w:p w14:paraId="0F7B4A4C">
      <w:pPr>
        <w:spacing w:line="600" w:lineRule="exact"/>
        <w:rPr>
          <w:rFonts w:hint="default" w:ascii="Times New Roman" w:hAnsi="Times New Roman" w:eastAsia="黑体" w:cs="Times New Roman"/>
          <w:bCs/>
          <w:sz w:val="32"/>
          <w:szCs w:val="32"/>
        </w:rPr>
      </w:pPr>
    </w:p>
    <w:p w14:paraId="101CE2AE">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2C289EA0">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1180BB7">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1、项目背景</w:t>
      </w:r>
    </w:p>
    <w:p w14:paraId="44C22DF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根据自治区</w:t>
      </w:r>
      <w:r>
        <w:rPr>
          <w:rFonts w:hint="default" w:ascii="Times New Roman" w:hAnsi="Times New Roman" w:eastAsia="仿宋_GB2312" w:cs="Times New Roman"/>
          <w:sz w:val="32"/>
          <w:szCs w:val="32"/>
          <w:lang w:eastAsia="zh-CN"/>
        </w:rPr>
        <w:t>党委</w:t>
      </w:r>
      <w:r>
        <w:rPr>
          <w:rFonts w:hint="default" w:ascii="Times New Roman" w:hAnsi="Times New Roman" w:eastAsia="仿宋_GB2312" w:cs="Times New Roman"/>
          <w:sz w:val="32"/>
          <w:szCs w:val="32"/>
        </w:rPr>
        <w:t>、人民政府关于扩展自治区本级医疗机构重症床位的工作部署，为提高自治区性肺炎救治定点医院重症救治能力，向医疗机构拨付重症救治设备购置资金和重症床位设备配置经费，用于扩充新冠病毒感染重症医疗资源。</w:t>
      </w:r>
    </w:p>
    <w:p w14:paraId="1F2F9252">
      <w:pPr>
        <w:pStyle w:val="2"/>
        <w:numPr>
          <w:ilvl w:val="0"/>
          <w:numId w:val="1"/>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rPr>
        <w:t>项目主要内容：</w:t>
      </w:r>
    </w:p>
    <w:p w14:paraId="4D60557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项目主要内容：用于我院疫情防控相关及重症设备的更新和补充。</w:t>
      </w:r>
    </w:p>
    <w:p w14:paraId="307D81D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4501522C">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3、资金投入和使用情况</w:t>
      </w:r>
    </w:p>
    <w:p w14:paraId="280D3E7C">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（1）资金投入情况</w:t>
      </w:r>
    </w:p>
    <w:p w14:paraId="7EE9E950">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该项目年初预算数2,560.00万元，全年预算数2,560.00万元，实际总投入2,560.00万元，该项目资金已全部落实到位，资金来源为一般公共预算。</w:t>
      </w:r>
    </w:p>
    <w:p w14:paraId="5BB7953A">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（2）资金使用情况</w:t>
      </w:r>
    </w:p>
    <w:p w14:paraId="3FBCF090">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该项目年初预算数2,560.00万元，全年预算数2,560.00万元</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全年执行数2,560.00万元，预算执行率为100%，主要用于：我院疫情防控相关及重症设备的更新和补充。</w:t>
      </w:r>
    </w:p>
    <w:p w14:paraId="55775AE4">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7C1EB62A">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1、总体目标</w:t>
      </w:r>
    </w:p>
    <w:p w14:paraId="3985221D">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按照国务院联防联控机制《关于印发做好医疗资源准备工作方案的通知》（联防联控机制综发</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112号）要求和新冠病毒感染疫情乙类乙管工作要求，有效提升医疗机构重症救治资源储备，扩充ICU床位数，补齐设备缺口，有效开展疫情期间重症病例救治工作。</w:t>
      </w:r>
    </w:p>
    <w:p w14:paraId="1121319E">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2、阶段性目标</w:t>
      </w:r>
    </w:p>
    <w:p w14:paraId="3034E057">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（1）前期准备：通过制定项目实施方案，经项目负责人审核通过后，有序开展后续工作。</w:t>
      </w:r>
    </w:p>
    <w:p w14:paraId="681FEFF9">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（2）组织实施：资金一到位，立即根据项目要求实施项目。项目责任人按照项目实施方案要求逐一进行项目部署安排，提高项目质量及</w:t>
      </w:r>
      <w:r>
        <w:rPr>
          <w:rFonts w:hint="eastAsia" w:eastAsia="仿宋_GB2312" w:cs="Times New Roman"/>
          <w:sz w:val="32"/>
          <w:szCs w:val="32"/>
          <w:lang w:eastAsia="zh-CN"/>
        </w:rPr>
        <w:t>效率</w:t>
      </w:r>
      <w:r>
        <w:rPr>
          <w:rFonts w:hint="default" w:ascii="Times New Roman" w:hAnsi="Times New Roman" w:eastAsia="仿宋_GB2312" w:cs="Times New Roman"/>
          <w:sz w:val="32"/>
          <w:szCs w:val="32"/>
        </w:rPr>
        <w:t>。</w:t>
      </w:r>
    </w:p>
    <w:p w14:paraId="287DEB29">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639BA308">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59E1B59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1、绩效评价的目的</w:t>
      </w:r>
    </w:p>
    <w:p w14:paraId="23BAADE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7DE84918">
      <w:pPr>
        <w:numPr>
          <w:ilvl w:val="0"/>
          <w:numId w:val="2"/>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项目在实施前向项目负责人提供财政支出绩效方面的资金管理信息，促进项目支出严格按照资金管理规定进行。</w:t>
      </w:r>
    </w:p>
    <w:p w14:paraId="4EFB971B">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（2）项目绩效管</w:t>
      </w:r>
      <w:r>
        <w:rPr>
          <w:rFonts w:hint="default" w:ascii="Times New Roman" w:hAnsi="Times New Roman" w:eastAsia="仿宋_GB2312" w:cs="Times New Roman"/>
          <w:sz w:val="32"/>
          <w:szCs w:val="32"/>
          <w:lang w:eastAsia="zh-CN"/>
        </w:rPr>
        <w:t>理为</w:t>
      </w:r>
      <w:r>
        <w:rPr>
          <w:rFonts w:hint="default" w:ascii="Times New Roman" w:hAnsi="Times New Roman" w:eastAsia="仿宋_GB2312" w:cs="Times New Roman"/>
          <w:sz w:val="32"/>
          <w:szCs w:val="32"/>
        </w:rPr>
        <w:t>财政支出运行提供及时、有效的信息。</w:t>
      </w:r>
    </w:p>
    <w:p w14:paraId="07E316E0">
      <w:pPr>
        <w:pStyle w:val="18"/>
        <w:spacing w:line="560" w:lineRule="exact"/>
        <w:ind w:firstLine="640" w:firstLineChars="200"/>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4D0DF38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2、绩效评价的对象</w:t>
      </w:r>
    </w:p>
    <w:p w14:paraId="4F72E67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自治区2023年第一批疫情防控补助资金所包含的全部项目内容。</w:t>
      </w:r>
    </w:p>
    <w:p w14:paraId="00C7E04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3、绩效评价的范围</w:t>
      </w:r>
    </w:p>
    <w:p w14:paraId="0D70E90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评价从项目决策（包括项目立项、绩效目标、资金投入）、项目过程（包括资金管理、组织实施）、项目产出（包括项目产出数量、产出质量、产出时效和产出成本）、项目效益（实施效益、满意度）四个维度</w:t>
      </w:r>
      <w:r>
        <w:rPr>
          <w:rFonts w:hint="default" w:ascii="Times New Roman" w:hAnsi="Times New Roman" w:eastAsia="仿宋_GB2312" w:cs="Times New Roman"/>
          <w:sz w:val="32"/>
          <w:szCs w:val="32"/>
        </w:rPr>
        <w:t>对自治区2023年第一批疫情防控补助资金项目进行评价，评价核心为项目资金的支</w:t>
      </w:r>
      <w:r>
        <w:rPr>
          <w:rFonts w:hint="default" w:ascii="Times New Roman" w:hAnsi="Times New Roman" w:eastAsia="仿宋_GB2312" w:cs="Times New Roman"/>
          <w:sz w:val="32"/>
          <w:szCs w:val="32"/>
        </w:rPr>
        <w:t>出完成情况和效果。</w:t>
      </w:r>
    </w:p>
    <w:p w14:paraId="35FE328B">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（二）绩效评价原则、评价指标体系（详情见表1）、评价方法、评价标准。</w:t>
      </w:r>
    </w:p>
    <w:p w14:paraId="72284BB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1、绩效评价原则</w:t>
      </w:r>
    </w:p>
    <w:p w14:paraId="3D4C7AF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本次项目绩效评价遵循以下基本原则：</w:t>
      </w:r>
    </w:p>
    <w:p w14:paraId="48DA3D05">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（1）科学公正。绩效评价应当运用科学合理的方法，按照规范的程序，对项目绩效进行客观、公正</w:t>
      </w:r>
      <w:r>
        <w:rPr>
          <w:rFonts w:hint="eastAsia" w:ascii="Times New Roman" w:hAnsi="Times New Roman" w:eastAsia="仿宋_GB2312" w:cs="Times New Roman"/>
          <w:b w:val="0"/>
          <w:bCs w:val="0"/>
          <w:kern w:val="2"/>
          <w:lang w:eastAsia="zh-CN"/>
        </w:rPr>
        <w:t>地</w:t>
      </w:r>
      <w:r>
        <w:rPr>
          <w:rFonts w:hint="default" w:ascii="Times New Roman" w:hAnsi="Times New Roman" w:eastAsia="仿宋_GB2312" w:cs="Times New Roman"/>
          <w:b w:val="0"/>
          <w:bCs w:val="0"/>
          <w:kern w:val="2"/>
        </w:rPr>
        <w:t>反映。</w:t>
      </w:r>
    </w:p>
    <w:p w14:paraId="6B99451A">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（2）统筹兼顾。单位自评、部门评价和财政评价应职责明确，各有侧重，相互衔接。单位自评应由项目单位自主实施，即“谁支出、谁自评”。部门评价和财政评价应在单位自评的基础上开展。</w:t>
      </w:r>
    </w:p>
    <w:p w14:paraId="65883A51">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（3）激励约束。绩效评价结果应与预算安排、政策调整、改进管理实质性挂钩，体现奖优罚劣和激励相容导向，有效要安排、低效要压减、无效要问责。</w:t>
      </w:r>
    </w:p>
    <w:p w14:paraId="48E4DE12">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（4）公开透明。绩效评价结果应依法依规公开，并自觉接受社会监督。</w:t>
      </w:r>
    </w:p>
    <w:p w14:paraId="0B4C5A4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2、评价指标体系</w:t>
      </w:r>
    </w:p>
    <w:p w14:paraId="5EC602C2">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绩效评价框架是开展绩效评价的核心。绩效评价框架包括评价准则、关键评价问题、评价指标、数据来源、数据收集方法等。指标体系建立过程如下：</w:t>
      </w:r>
    </w:p>
    <w:p w14:paraId="1668196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（1）确定评价指标</w:t>
      </w:r>
    </w:p>
    <w:p w14:paraId="67631CB5">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A61E78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（2）确定权重</w:t>
      </w:r>
    </w:p>
    <w:p w14:paraId="19FE35FB">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确定各个指标相对于项目总体绩效的权重分值。在绩效评价指标体系中，项目决策权重为20分，项目过程权重为20分，项目产出权重为40分，项目效益权重为20分。</w:t>
      </w:r>
    </w:p>
    <w:p w14:paraId="61B71787">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（3）确定指标标准值</w:t>
      </w:r>
    </w:p>
    <w:p w14:paraId="0BC9557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指标标准值是绩效评价指标的尺度，既要反映同类项目的先进水平，又要符合项目的实际绩效水平。具体采用计划标准等确定此次绩效评价指标标准值。</w:t>
      </w:r>
    </w:p>
    <w:p w14:paraId="0BC0C4E9">
      <w:pPr>
        <w:pStyle w:val="2"/>
        <w:spacing w:before="0" w:after="0" w:line="560" w:lineRule="exact"/>
        <w:ind w:firstLine="640" w:firstLineChars="200"/>
        <w:jc w:val="both"/>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绩效评价总分值100分，根据综合评分结果，评价计分90分</w:t>
      </w:r>
      <w:r>
        <w:rPr>
          <w:rFonts w:hint="default"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100分（含90分）对应的评分结果级别为优，80</w:t>
      </w:r>
      <w:r>
        <w:rPr>
          <w:rFonts w:hint="default"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90分（含80分）对应的评分结果级别为良，60</w:t>
      </w:r>
      <w:r>
        <w:rPr>
          <w:rFonts w:hint="default"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80分（含60分）对应的评分结果级别为中，60分以下对应的评分结果级别为差。</w:t>
      </w:r>
    </w:p>
    <w:p w14:paraId="790A384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具体评价指标体系详情见附件1</w:t>
      </w:r>
    </w:p>
    <w:p w14:paraId="1EC69AB8">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3、绩效评价方法</w:t>
      </w:r>
    </w:p>
    <w:p w14:paraId="7D49EEA9">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绩效评价从项目决策、项目过程、项目产出、项目效益四个维度进行评价。评价对象为项目目标实施情况，评价核心为资金的支出完成情况和项目的产出效益。</w:t>
      </w:r>
    </w:p>
    <w:p w14:paraId="5A40813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本次评价指标中，既有定性指标又有定量指标，各类指标因考核内容不同和客观标准不同存在较大差异，因此核定具体指标时采用了不同方法，具体评价方法如下：</w:t>
      </w:r>
    </w:p>
    <w:p w14:paraId="60489E4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（1）比较法</w:t>
      </w:r>
    </w:p>
    <w:p w14:paraId="4FF1EB1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通过对绩效目标与实施效果、历史与当期情况，综合分析绩效目标实现程度。对项目最终验收情况与年度绩效目标对比、预算资金执行情况等相关因素进行比较。</w:t>
      </w:r>
    </w:p>
    <w:p w14:paraId="208B1333">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（2）因素分析法</w:t>
      </w:r>
    </w:p>
    <w:p w14:paraId="155E62D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61C05B8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4、评价标准</w:t>
      </w:r>
    </w:p>
    <w:p w14:paraId="07F835B2">
      <w:pPr>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绩效评价标准通常包括计划标准、行业标准、历史标准等，用于对绩效指标完成情况进行比较、分析、评价。本次评价主要采用了计划标准。</w:t>
      </w:r>
    </w:p>
    <w:p w14:paraId="4EB9D8C9">
      <w:pPr>
        <w:spacing w:line="560" w:lineRule="exact"/>
        <w:ind w:firstLine="640"/>
        <w:rPr>
          <w:rFonts w:hint="default" w:ascii="Times New Roman" w:hAnsi="Times New Roman" w:eastAsia="仿宋_GB2312" w:cs="Times New Roman"/>
          <w:sz w:val="32"/>
          <w:szCs w:val="32"/>
        </w:rPr>
      </w:pPr>
      <w:bookmarkStart w:id="0" w:name="_Toc31464"/>
      <w:bookmarkEnd w:id="0"/>
      <w:bookmarkStart w:id="1" w:name="_Toc17882"/>
      <w:bookmarkEnd w:id="1"/>
      <w:r>
        <w:rPr>
          <w:rFonts w:hint="default" w:ascii="Times New Roman" w:hAnsi="Times New Roman" w:eastAsia="仿宋_GB2312" w:cs="Times New Roman"/>
          <w:sz w:val="32"/>
          <w:szCs w:val="32"/>
        </w:rPr>
        <w:t>计划标准：指以预先制定的目标、计划、预算、定额等作为评价标准。</w:t>
      </w:r>
    </w:p>
    <w:p w14:paraId="5A62466F">
      <w:pPr>
        <w:spacing w:line="560" w:lineRule="exact"/>
        <w:ind w:firstLine="640"/>
        <w:rPr>
          <w:rFonts w:hint="default" w:ascii="Times New Roman" w:hAnsi="Times New Roman" w:eastAsia="仿宋_GB2312" w:cs="Times New Roman"/>
          <w:sz w:val="32"/>
          <w:szCs w:val="32"/>
        </w:rPr>
      </w:pPr>
      <w:bookmarkStart w:id="2" w:name="_Toc5633"/>
      <w:bookmarkEnd w:id="2"/>
      <w:bookmarkStart w:id="3" w:name="_Toc2318"/>
      <w:bookmarkEnd w:id="3"/>
      <w:r>
        <w:rPr>
          <w:rFonts w:hint="default" w:ascii="Times New Roman" w:hAnsi="Times New Roman" w:eastAsia="仿宋_GB2312" w:cs="Times New Roman"/>
          <w:sz w:val="32"/>
          <w:szCs w:val="32"/>
        </w:rPr>
        <w:t>行业标准：指参照国家公布的行业指标数据制定的评价标准。</w:t>
      </w:r>
    </w:p>
    <w:p w14:paraId="6A99FC24">
      <w:pPr>
        <w:spacing w:line="560" w:lineRule="exact"/>
        <w:ind w:firstLine="640"/>
        <w:rPr>
          <w:rFonts w:hint="default" w:ascii="Times New Roman" w:hAnsi="Times New Roman" w:eastAsia="仿宋_GB2312" w:cs="Times New Roman"/>
          <w:sz w:val="32"/>
          <w:szCs w:val="32"/>
        </w:rPr>
      </w:pPr>
      <w:bookmarkStart w:id="4" w:name="_Toc16028"/>
      <w:bookmarkEnd w:id="4"/>
      <w:bookmarkStart w:id="5" w:name="_Toc430"/>
      <w:bookmarkEnd w:id="5"/>
      <w:r>
        <w:rPr>
          <w:rFonts w:hint="default" w:ascii="Times New Roman" w:hAnsi="Times New Roman" w:eastAsia="仿宋_GB2312" w:cs="Times New Roman"/>
          <w:sz w:val="32"/>
          <w:szCs w:val="32"/>
        </w:rPr>
        <w:t>历史标准：指参照历史数据制定的评价标准，为体现绩效改进的原则，在可实现的条件下应当确定相对较高的评价标准。</w:t>
      </w:r>
    </w:p>
    <w:p w14:paraId="31C3DED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lang w:eastAsia="zh-CN"/>
        </w:rPr>
        <w:t>（</w:t>
      </w:r>
      <w:r>
        <w:rPr>
          <w:rFonts w:hint="default" w:ascii="Times New Roman" w:hAnsi="Times New Roman" w:eastAsia="楷体_GB2312" w:cs="Times New Roman"/>
          <w:b/>
          <w:bCs/>
          <w:sz w:val="32"/>
          <w:szCs w:val="32"/>
          <w:lang w:val="en-US" w:eastAsia="zh-CN"/>
        </w:rPr>
        <w:t>三）</w:t>
      </w:r>
      <w:r>
        <w:rPr>
          <w:rFonts w:hint="default" w:ascii="Times New Roman" w:hAnsi="Times New Roman" w:eastAsia="楷体_GB2312" w:cs="Times New Roman"/>
          <w:b/>
          <w:bCs/>
          <w:sz w:val="32"/>
          <w:szCs w:val="32"/>
        </w:rPr>
        <w:t>绩效评价工作过程</w:t>
      </w:r>
    </w:p>
    <w:p w14:paraId="29E02943">
      <w:pPr>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6BCBA196">
      <w:pPr>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5A83D7B1">
      <w:pPr>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52F4B1D7">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5010DF2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对自治区2023年第一批疫情防控补</w:t>
      </w:r>
      <w:r>
        <w:rPr>
          <w:rFonts w:hint="default" w:ascii="Times New Roman" w:hAnsi="Times New Roman" w:eastAsia="仿宋_GB2312" w:cs="Times New Roman"/>
          <w:b w:val="0"/>
          <w:bCs w:val="0"/>
          <w:kern w:val="2"/>
          <w:lang w:eastAsia="zh-CN"/>
        </w:rPr>
        <w:t>（</w:t>
      </w:r>
      <w:r>
        <w:rPr>
          <w:rFonts w:hint="default" w:ascii="Times New Roman" w:hAnsi="Times New Roman" w:eastAsia="仿宋_GB2312" w:cs="Times New Roman"/>
          <w:b w:val="0"/>
          <w:bCs w:val="0"/>
          <w:kern w:val="2"/>
        </w:rPr>
        <w:t>自治区本级医疗机构重症床位设备配套经费）项目进行客观评价，自评得分100分，属于“优”。其中，项目决策类指标权重为20分，得分为20分，得分率为100%。项目过程类指标权重为20分，得分为20分，得分率为100%。项目产出类指标权重为40分，得分为40分，得分率为100%。项目效益类指标权重为20分，得分为20分，得分率为100%。</w:t>
      </w:r>
    </w:p>
    <w:p w14:paraId="6B0FE168">
      <w:pPr>
        <w:pStyle w:val="2"/>
        <w:rPr>
          <w:rFonts w:hint="default" w:ascii="Times New Roman" w:hAnsi="Times New Roman" w:cs="Times New Roman"/>
        </w:rPr>
      </w:pPr>
      <w:r>
        <w:rPr>
          <w:rFonts w:hint="default" w:ascii="Times New Roman" w:hAnsi="Times New Roman" w:eastAsia="仿宋_GB2312" w:cs="Times New Roman"/>
          <w:sz w:val="30"/>
          <w:szCs w:val="30"/>
        </w:rPr>
        <w:t>表1综合评分表</w:t>
      </w:r>
    </w:p>
    <w:tbl>
      <w:tblPr>
        <w:tblStyle w:val="12"/>
        <w:tblpPr w:leftFromText="180" w:rightFromText="180" w:vertAnchor="text" w:horzAnchor="page" w:tblpX="1002"/>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4D15EA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4" w:hRule="atLeast"/>
          <w:tblHeader/>
        </w:trPr>
        <w:tc>
          <w:tcPr>
            <w:tcW w:w="1104" w:type="dxa"/>
            <w:shd w:val="clear" w:color="auto" w:fill="BFBFBF"/>
            <w:vAlign w:val="center"/>
          </w:tcPr>
          <w:p w14:paraId="281E5745">
            <w:pPr>
              <w:widowControl/>
              <w:spacing w:line="0" w:lineRule="atLeast"/>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990" w:type="dxa"/>
            <w:shd w:val="clear" w:color="auto" w:fill="BFBFBF"/>
            <w:vAlign w:val="center"/>
          </w:tcPr>
          <w:p w14:paraId="73B267C1">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分值</w:t>
            </w:r>
          </w:p>
        </w:tc>
        <w:tc>
          <w:tcPr>
            <w:tcW w:w="1283" w:type="dxa"/>
            <w:shd w:val="clear" w:color="auto" w:fill="BFBFBF"/>
            <w:vAlign w:val="center"/>
          </w:tcPr>
          <w:p w14:paraId="775254B2">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707" w:type="dxa"/>
            <w:shd w:val="clear" w:color="auto" w:fill="BFBFBF"/>
            <w:vAlign w:val="center"/>
          </w:tcPr>
          <w:p w14:paraId="409D0BDC">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727" w:type="dxa"/>
            <w:shd w:val="clear" w:color="auto" w:fill="BFBFBF"/>
            <w:vAlign w:val="center"/>
          </w:tcPr>
          <w:p w14:paraId="5411E0F5">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权重</w:t>
            </w:r>
          </w:p>
        </w:tc>
        <w:tc>
          <w:tcPr>
            <w:tcW w:w="1044" w:type="dxa"/>
            <w:shd w:val="clear" w:color="auto" w:fill="BFBFBF"/>
            <w:vAlign w:val="center"/>
          </w:tcPr>
          <w:p w14:paraId="18CC10E0">
            <w:pPr>
              <w:widowControl/>
              <w:tabs>
                <w:tab w:val="left" w:pos="1333"/>
                <w:tab w:val="center" w:pos="3623"/>
              </w:tabs>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目标值</w:t>
            </w:r>
          </w:p>
        </w:tc>
        <w:tc>
          <w:tcPr>
            <w:tcW w:w="924" w:type="dxa"/>
            <w:shd w:val="clear" w:color="auto" w:fill="BFBFBF"/>
            <w:vAlign w:val="center"/>
          </w:tcPr>
          <w:p w14:paraId="2A80CCB8">
            <w:pPr>
              <w:widowControl/>
              <w:tabs>
                <w:tab w:val="left" w:pos="1333"/>
                <w:tab w:val="center" w:pos="3623"/>
              </w:tabs>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业绩值</w:t>
            </w:r>
          </w:p>
        </w:tc>
        <w:tc>
          <w:tcPr>
            <w:tcW w:w="1215" w:type="dxa"/>
            <w:shd w:val="clear" w:color="auto" w:fill="BFBFBF"/>
            <w:vAlign w:val="center"/>
          </w:tcPr>
          <w:p w14:paraId="4DE461E8">
            <w:pPr>
              <w:widowControl/>
              <w:tabs>
                <w:tab w:val="left" w:pos="1333"/>
                <w:tab w:val="center" w:pos="3623"/>
              </w:tabs>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得分率</w:t>
            </w:r>
          </w:p>
        </w:tc>
        <w:tc>
          <w:tcPr>
            <w:tcW w:w="960" w:type="dxa"/>
            <w:shd w:val="clear" w:color="auto" w:fill="BFBFBF"/>
            <w:vAlign w:val="center"/>
          </w:tcPr>
          <w:p w14:paraId="666454E8">
            <w:pPr>
              <w:widowControl/>
              <w:tabs>
                <w:tab w:val="left" w:pos="1333"/>
                <w:tab w:val="center" w:pos="3623"/>
              </w:tabs>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14:paraId="370471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2BE6DA8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14:paraId="1FEBD02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14:paraId="6CEAF3C8">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14:paraId="7ED5C04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990" w:type="dxa"/>
            <w:vMerge w:val="restart"/>
            <w:shd w:val="clear" w:color="auto" w:fill="FFFFFF"/>
            <w:vAlign w:val="center"/>
          </w:tcPr>
          <w:p w14:paraId="60E364F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kern w:val="0"/>
                <w:sz w:val="22"/>
                <w:szCs w:val="22"/>
              </w:rPr>
              <w:t>20分</w:t>
            </w:r>
          </w:p>
        </w:tc>
        <w:tc>
          <w:tcPr>
            <w:tcW w:w="1283" w:type="dxa"/>
            <w:vMerge w:val="restart"/>
            <w:shd w:val="clear" w:color="auto" w:fill="FFFFFF"/>
            <w:vAlign w:val="center"/>
          </w:tcPr>
          <w:p w14:paraId="0CF4E58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707" w:type="dxa"/>
            <w:shd w:val="clear" w:color="auto" w:fill="FFFFFF"/>
            <w:vAlign w:val="center"/>
          </w:tcPr>
          <w:p w14:paraId="5A8B5B7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14:paraId="36C1364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727" w:type="dxa"/>
            <w:shd w:val="clear" w:color="auto" w:fill="FFFFFF"/>
            <w:vAlign w:val="center"/>
          </w:tcPr>
          <w:p w14:paraId="04FACAF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1044" w:type="dxa"/>
            <w:shd w:val="clear" w:color="auto" w:fill="FFFFFF"/>
            <w:vAlign w:val="center"/>
          </w:tcPr>
          <w:p w14:paraId="2BFA80B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w:t>
            </w:r>
          </w:p>
        </w:tc>
        <w:tc>
          <w:tcPr>
            <w:tcW w:w="924" w:type="dxa"/>
            <w:shd w:val="clear" w:color="auto" w:fill="FFFFFF"/>
            <w:vAlign w:val="center"/>
          </w:tcPr>
          <w:p w14:paraId="5908A1F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w:t>
            </w:r>
          </w:p>
        </w:tc>
        <w:tc>
          <w:tcPr>
            <w:tcW w:w="1215" w:type="dxa"/>
            <w:shd w:val="clear" w:color="auto" w:fill="FFFFFF"/>
            <w:vAlign w:val="center"/>
          </w:tcPr>
          <w:p w14:paraId="6771AEB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60" w:type="dxa"/>
            <w:shd w:val="clear" w:color="auto" w:fill="FFFFFF"/>
            <w:vAlign w:val="center"/>
          </w:tcPr>
          <w:p w14:paraId="308FFA7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r>
      <w:tr w14:paraId="16BA4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4D912DA">
            <w:pPr>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0087BC98">
            <w:pPr>
              <w:widowControl/>
              <w:spacing w:line="0" w:lineRule="atLeast"/>
              <w:jc w:val="center"/>
              <w:rPr>
                <w:rFonts w:hint="default" w:ascii="Times New Roman" w:hAnsi="Times New Roman" w:cs="Times New Roman"/>
                <w:color w:val="000000"/>
                <w:kern w:val="0"/>
                <w:sz w:val="22"/>
                <w:szCs w:val="22"/>
              </w:rPr>
            </w:pPr>
          </w:p>
        </w:tc>
        <w:tc>
          <w:tcPr>
            <w:tcW w:w="1283" w:type="dxa"/>
            <w:vMerge w:val="continue"/>
            <w:shd w:val="clear" w:color="auto" w:fill="FFFFFF"/>
            <w:vAlign w:val="center"/>
          </w:tcPr>
          <w:p w14:paraId="6B5B2EA3">
            <w:pPr>
              <w:widowControl/>
              <w:spacing w:line="0" w:lineRule="atLeast"/>
              <w:jc w:val="center"/>
              <w:rPr>
                <w:rFonts w:hint="default" w:ascii="Times New Roman" w:hAnsi="Times New Roman" w:cs="Times New Roman"/>
                <w:color w:val="000000"/>
                <w:kern w:val="0"/>
                <w:sz w:val="22"/>
                <w:szCs w:val="22"/>
              </w:rPr>
            </w:pPr>
          </w:p>
        </w:tc>
        <w:tc>
          <w:tcPr>
            <w:tcW w:w="1707" w:type="dxa"/>
            <w:shd w:val="clear" w:color="auto" w:fill="FFFFFF"/>
            <w:vAlign w:val="center"/>
          </w:tcPr>
          <w:p w14:paraId="3629022F">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14:paraId="066B1B9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727" w:type="dxa"/>
            <w:shd w:val="clear" w:color="auto" w:fill="FFFFFF"/>
            <w:vAlign w:val="center"/>
          </w:tcPr>
          <w:p w14:paraId="4ABEAEB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1044" w:type="dxa"/>
            <w:shd w:val="clear" w:color="auto" w:fill="FFFFFF"/>
            <w:vAlign w:val="center"/>
          </w:tcPr>
          <w:p w14:paraId="2114C6D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w:t>
            </w:r>
          </w:p>
        </w:tc>
        <w:tc>
          <w:tcPr>
            <w:tcW w:w="924" w:type="dxa"/>
            <w:shd w:val="clear" w:color="auto" w:fill="FFFFFF"/>
            <w:vAlign w:val="center"/>
          </w:tcPr>
          <w:p w14:paraId="001FC2C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w:t>
            </w:r>
          </w:p>
        </w:tc>
        <w:tc>
          <w:tcPr>
            <w:tcW w:w="1215" w:type="dxa"/>
            <w:shd w:val="clear" w:color="auto" w:fill="FFFFFF"/>
            <w:vAlign w:val="center"/>
          </w:tcPr>
          <w:p w14:paraId="296A649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60" w:type="dxa"/>
            <w:shd w:val="clear" w:color="auto" w:fill="FFFFFF"/>
            <w:vAlign w:val="center"/>
          </w:tcPr>
          <w:p w14:paraId="36C3B11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r>
      <w:tr w14:paraId="5559C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979CFE4">
            <w:pPr>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2314D24F">
            <w:pPr>
              <w:widowControl/>
              <w:spacing w:line="0" w:lineRule="atLeast"/>
              <w:jc w:val="center"/>
              <w:rPr>
                <w:rFonts w:hint="default" w:ascii="Times New Roman" w:hAnsi="Times New Roman" w:cs="Times New Roman"/>
                <w:color w:val="000000"/>
                <w:kern w:val="0"/>
                <w:sz w:val="22"/>
                <w:szCs w:val="22"/>
              </w:rPr>
            </w:pPr>
          </w:p>
        </w:tc>
        <w:tc>
          <w:tcPr>
            <w:tcW w:w="1283" w:type="dxa"/>
            <w:vMerge w:val="restart"/>
            <w:shd w:val="clear" w:color="auto" w:fill="FFFFFF"/>
            <w:vAlign w:val="center"/>
          </w:tcPr>
          <w:p w14:paraId="2EE6E73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707" w:type="dxa"/>
            <w:shd w:val="clear" w:color="auto" w:fill="FFFFFF"/>
            <w:vAlign w:val="center"/>
          </w:tcPr>
          <w:p w14:paraId="0CE489B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14:paraId="60E759E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727" w:type="dxa"/>
            <w:shd w:val="clear" w:color="000000" w:fill="FFFFFF"/>
            <w:vAlign w:val="center"/>
          </w:tcPr>
          <w:p w14:paraId="7EE0010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1044" w:type="dxa"/>
            <w:shd w:val="clear" w:color="000000" w:fill="FFFFFF"/>
            <w:vAlign w:val="center"/>
          </w:tcPr>
          <w:p w14:paraId="1C10801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w:t>
            </w:r>
          </w:p>
        </w:tc>
        <w:tc>
          <w:tcPr>
            <w:tcW w:w="924" w:type="dxa"/>
            <w:shd w:val="clear" w:color="000000" w:fill="FFFFFF"/>
            <w:vAlign w:val="center"/>
          </w:tcPr>
          <w:p w14:paraId="3E88767F">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w:t>
            </w:r>
          </w:p>
        </w:tc>
        <w:tc>
          <w:tcPr>
            <w:tcW w:w="1215" w:type="dxa"/>
            <w:shd w:val="clear" w:color="000000" w:fill="FFFFFF"/>
            <w:vAlign w:val="center"/>
          </w:tcPr>
          <w:p w14:paraId="65F99EE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100%</w:t>
            </w:r>
          </w:p>
        </w:tc>
        <w:tc>
          <w:tcPr>
            <w:tcW w:w="960" w:type="dxa"/>
            <w:shd w:val="clear" w:color="000000" w:fill="FFFFFF"/>
            <w:vAlign w:val="center"/>
          </w:tcPr>
          <w:p w14:paraId="577136F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3</w:t>
            </w:r>
          </w:p>
        </w:tc>
      </w:tr>
      <w:tr w14:paraId="020B6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79131AF">
            <w:pPr>
              <w:widowControl/>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76D05AD5">
            <w:pPr>
              <w:widowControl/>
              <w:spacing w:line="0" w:lineRule="atLeast"/>
              <w:jc w:val="center"/>
              <w:rPr>
                <w:rFonts w:hint="default" w:ascii="Times New Roman" w:hAnsi="Times New Roman" w:cs="Times New Roman"/>
                <w:color w:val="000000"/>
                <w:kern w:val="0"/>
                <w:sz w:val="22"/>
                <w:szCs w:val="22"/>
              </w:rPr>
            </w:pPr>
          </w:p>
        </w:tc>
        <w:tc>
          <w:tcPr>
            <w:tcW w:w="1283" w:type="dxa"/>
            <w:vMerge w:val="continue"/>
            <w:shd w:val="clear" w:color="auto" w:fill="FFFFFF"/>
            <w:vAlign w:val="center"/>
          </w:tcPr>
          <w:p w14:paraId="23D8D566">
            <w:pPr>
              <w:widowControl/>
              <w:spacing w:line="0" w:lineRule="atLeast"/>
              <w:jc w:val="center"/>
              <w:rPr>
                <w:rFonts w:hint="default" w:ascii="Times New Roman" w:hAnsi="Times New Roman" w:cs="Times New Roman"/>
                <w:color w:val="000000"/>
                <w:kern w:val="0"/>
                <w:sz w:val="22"/>
                <w:szCs w:val="22"/>
              </w:rPr>
            </w:pPr>
          </w:p>
        </w:tc>
        <w:tc>
          <w:tcPr>
            <w:tcW w:w="1707" w:type="dxa"/>
            <w:shd w:val="clear" w:color="auto" w:fill="FFFFFF"/>
            <w:vAlign w:val="center"/>
          </w:tcPr>
          <w:p w14:paraId="286EBFE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14:paraId="4606065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727" w:type="dxa"/>
            <w:shd w:val="clear" w:color="000000" w:fill="FFFFFF"/>
            <w:vAlign w:val="center"/>
          </w:tcPr>
          <w:p w14:paraId="39A3B07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1044" w:type="dxa"/>
            <w:shd w:val="clear" w:color="000000" w:fill="FFFFFF"/>
            <w:vAlign w:val="center"/>
          </w:tcPr>
          <w:p w14:paraId="720073EF">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w:t>
            </w:r>
          </w:p>
        </w:tc>
        <w:tc>
          <w:tcPr>
            <w:tcW w:w="924" w:type="dxa"/>
            <w:shd w:val="clear" w:color="000000" w:fill="FFFFFF"/>
            <w:vAlign w:val="center"/>
          </w:tcPr>
          <w:p w14:paraId="34BE0E1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w:t>
            </w:r>
          </w:p>
        </w:tc>
        <w:tc>
          <w:tcPr>
            <w:tcW w:w="1215" w:type="dxa"/>
            <w:shd w:val="clear" w:color="000000" w:fill="FFFFFF"/>
            <w:vAlign w:val="center"/>
          </w:tcPr>
          <w:p w14:paraId="427BBE6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100%</w:t>
            </w:r>
          </w:p>
        </w:tc>
        <w:tc>
          <w:tcPr>
            <w:tcW w:w="960" w:type="dxa"/>
            <w:shd w:val="clear" w:color="000000" w:fill="FFFFFF"/>
            <w:vAlign w:val="center"/>
          </w:tcPr>
          <w:p w14:paraId="65D6336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3</w:t>
            </w:r>
          </w:p>
        </w:tc>
      </w:tr>
      <w:tr w14:paraId="618DA0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D66F27C">
            <w:pPr>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2582D30B">
            <w:pPr>
              <w:spacing w:line="0" w:lineRule="atLeast"/>
              <w:jc w:val="center"/>
              <w:rPr>
                <w:rFonts w:hint="default" w:ascii="Times New Roman" w:hAnsi="Times New Roman" w:cs="Times New Roman"/>
                <w:color w:val="000000"/>
                <w:kern w:val="0"/>
                <w:sz w:val="22"/>
                <w:szCs w:val="22"/>
              </w:rPr>
            </w:pPr>
          </w:p>
        </w:tc>
        <w:tc>
          <w:tcPr>
            <w:tcW w:w="1283" w:type="dxa"/>
            <w:vMerge w:val="restart"/>
            <w:shd w:val="clear" w:color="auto" w:fill="FFFFFF"/>
            <w:vAlign w:val="center"/>
          </w:tcPr>
          <w:p w14:paraId="7254C5B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tc>
        <w:tc>
          <w:tcPr>
            <w:tcW w:w="1707" w:type="dxa"/>
            <w:shd w:val="clear" w:color="auto" w:fill="FFFFFF"/>
            <w:vAlign w:val="center"/>
          </w:tcPr>
          <w:p w14:paraId="1454EB0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14:paraId="07368166">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727" w:type="dxa"/>
            <w:shd w:val="clear" w:color="auto" w:fill="FFFFFF"/>
            <w:vAlign w:val="center"/>
          </w:tcPr>
          <w:p w14:paraId="08A9DA5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1044" w:type="dxa"/>
            <w:shd w:val="clear" w:color="auto" w:fill="FFFFFF"/>
            <w:vAlign w:val="center"/>
          </w:tcPr>
          <w:p w14:paraId="200BAD7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w:t>
            </w:r>
          </w:p>
        </w:tc>
        <w:tc>
          <w:tcPr>
            <w:tcW w:w="924" w:type="dxa"/>
            <w:shd w:val="clear" w:color="auto" w:fill="FFFFFF"/>
            <w:vAlign w:val="center"/>
          </w:tcPr>
          <w:p w14:paraId="675755C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w:t>
            </w:r>
          </w:p>
        </w:tc>
        <w:tc>
          <w:tcPr>
            <w:tcW w:w="1215" w:type="dxa"/>
            <w:shd w:val="clear" w:color="auto" w:fill="FFFFFF"/>
            <w:vAlign w:val="center"/>
          </w:tcPr>
          <w:p w14:paraId="09CBF93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100%</w:t>
            </w:r>
          </w:p>
        </w:tc>
        <w:tc>
          <w:tcPr>
            <w:tcW w:w="960" w:type="dxa"/>
            <w:shd w:val="clear" w:color="auto" w:fill="FFFFFF"/>
            <w:vAlign w:val="center"/>
          </w:tcPr>
          <w:p w14:paraId="3472A48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4</w:t>
            </w:r>
          </w:p>
        </w:tc>
      </w:tr>
      <w:tr w14:paraId="02511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7E27E0C">
            <w:pPr>
              <w:widowControl/>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069261D0">
            <w:pPr>
              <w:widowControl/>
              <w:spacing w:line="0" w:lineRule="atLeast"/>
              <w:jc w:val="center"/>
              <w:rPr>
                <w:rFonts w:hint="default" w:ascii="Times New Roman" w:hAnsi="Times New Roman" w:cs="Times New Roman"/>
                <w:color w:val="000000"/>
                <w:kern w:val="0"/>
                <w:sz w:val="22"/>
                <w:szCs w:val="22"/>
              </w:rPr>
            </w:pPr>
          </w:p>
        </w:tc>
        <w:tc>
          <w:tcPr>
            <w:tcW w:w="1283" w:type="dxa"/>
            <w:vMerge w:val="continue"/>
            <w:shd w:val="clear" w:color="auto" w:fill="FFFFFF"/>
            <w:vAlign w:val="center"/>
          </w:tcPr>
          <w:p w14:paraId="22C61AEE">
            <w:pPr>
              <w:widowControl/>
              <w:spacing w:line="0" w:lineRule="atLeast"/>
              <w:jc w:val="center"/>
              <w:rPr>
                <w:rFonts w:hint="default" w:ascii="Times New Roman" w:hAnsi="Times New Roman" w:cs="Times New Roman"/>
                <w:color w:val="000000"/>
                <w:kern w:val="0"/>
                <w:sz w:val="22"/>
                <w:szCs w:val="22"/>
              </w:rPr>
            </w:pPr>
          </w:p>
        </w:tc>
        <w:tc>
          <w:tcPr>
            <w:tcW w:w="1707" w:type="dxa"/>
            <w:shd w:val="clear" w:color="auto" w:fill="FFFFFF"/>
            <w:vAlign w:val="center"/>
          </w:tcPr>
          <w:p w14:paraId="7D3EC90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14:paraId="7DCAF51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727" w:type="dxa"/>
            <w:shd w:val="clear" w:color="auto" w:fill="FFFFFF"/>
            <w:vAlign w:val="center"/>
          </w:tcPr>
          <w:p w14:paraId="7B6274C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1044" w:type="dxa"/>
            <w:shd w:val="clear" w:color="auto" w:fill="FFFFFF"/>
            <w:vAlign w:val="center"/>
          </w:tcPr>
          <w:p w14:paraId="40ED776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w:t>
            </w:r>
          </w:p>
        </w:tc>
        <w:tc>
          <w:tcPr>
            <w:tcW w:w="924" w:type="dxa"/>
            <w:shd w:val="clear" w:color="auto" w:fill="FFFFFF"/>
            <w:vAlign w:val="center"/>
          </w:tcPr>
          <w:p w14:paraId="75635CC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w:t>
            </w:r>
          </w:p>
        </w:tc>
        <w:tc>
          <w:tcPr>
            <w:tcW w:w="1215" w:type="dxa"/>
            <w:shd w:val="clear" w:color="auto" w:fill="FFFFFF"/>
            <w:vAlign w:val="center"/>
          </w:tcPr>
          <w:p w14:paraId="595207E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100%</w:t>
            </w:r>
          </w:p>
        </w:tc>
        <w:tc>
          <w:tcPr>
            <w:tcW w:w="960" w:type="dxa"/>
            <w:shd w:val="clear" w:color="auto" w:fill="FFFFFF"/>
            <w:vAlign w:val="center"/>
          </w:tcPr>
          <w:p w14:paraId="4988AD5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4</w:t>
            </w:r>
          </w:p>
        </w:tc>
      </w:tr>
      <w:tr w14:paraId="426CB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2714080">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p w14:paraId="7C10F6E6">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990" w:type="dxa"/>
            <w:vMerge w:val="restart"/>
            <w:shd w:val="clear" w:color="auto" w:fill="FFFFFF"/>
            <w:vAlign w:val="center"/>
          </w:tcPr>
          <w:p w14:paraId="530976F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kern w:val="0"/>
                <w:sz w:val="22"/>
                <w:szCs w:val="22"/>
              </w:rPr>
              <w:t>20分</w:t>
            </w:r>
          </w:p>
        </w:tc>
        <w:tc>
          <w:tcPr>
            <w:tcW w:w="1283" w:type="dxa"/>
            <w:vMerge w:val="restart"/>
            <w:shd w:val="clear" w:color="auto" w:fill="FFFFFF"/>
            <w:vAlign w:val="center"/>
          </w:tcPr>
          <w:p w14:paraId="45F9E88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707" w:type="dxa"/>
            <w:shd w:val="clear" w:color="auto" w:fill="FFFFFF"/>
            <w:vAlign w:val="center"/>
          </w:tcPr>
          <w:p w14:paraId="76157EB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727" w:type="dxa"/>
            <w:shd w:val="clear" w:color="000000" w:fill="FFFFFF"/>
            <w:vAlign w:val="center"/>
          </w:tcPr>
          <w:p w14:paraId="03B3115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1044" w:type="dxa"/>
            <w:shd w:val="clear" w:color="000000" w:fill="FFFFFF"/>
            <w:vAlign w:val="center"/>
          </w:tcPr>
          <w:p w14:paraId="7060C84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24" w:type="dxa"/>
            <w:shd w:val="clear" w:color="000000" w:fill="FFFFFF"/>
            <w:vAlign w:val="center"/>
          </w:tcPr>
          <w:p w14:paraId="3DB8AE9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1215" w:type="dxa"/>
            <w:shd w:val="clear" w:color="000000" w:fill="FFFFFF"/>
            <w:vAlign w:val="center"/>
          </w:tcPr>
          <w:p w14:paraId="1AE66DA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100%</w:t>
            </w:r>
          </w:p>
        </w:tc>
        <w:tc>
          <w:tcPr>
            <w:tcW w:w="960" w:type="dxa"/>
            <w:shd w:val="clear" w:color="000000" w:fill="FFFFFF"/>
            <w:vAlign w:val="center"/>
          </w:tcPr>
          <w:p w14:paraId="2994BDD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4</w:t>
            </w:r>
          </w:p>
        </w:tc>
      </w:tr>
      <w:tr w14:paraId="0FC667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1CE897F">
            <w:pPr>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171144C3">
            <w:pPr>
              <w:spacing w:line="0" w:lineRule="atLeast"/>
              <w:jc w:val="center"/>
              <w:rPr>
                <w:rFonts w:hint="default" w:ascii="Times New Roman" w:hAnsi="Times New Roman" w:cs="Times New Roman"/>
                <w:color w:val="000000"/>
                <w:kern w:val="0"/>
                <w:sz w:val="22"/>
                <w:szCs w:val="22"/>
              </w:rPr>
            </w:pPr>
          </w:p>
        </w:tc>
        <w:tc>
          <w:tcPr>
            <w:tcW w:w="1283" w:type="dxa"/>
            <w:vMerge w:val="continue"/>
            <w:shd w:val="clear" w:color="auto" w:fill="FFFFFF"/>
            <w:vAlign w:val="center"/>
          </w:tcPr>
          <w:p w14:paraId="7D217A76">
            <w:pPr>
              <w:spacing w:line="0" w:lineRule="atLeast"/>
              <w:jc w:val="center"/>
              <w:rPr>
                <w:rFonts w:hint="default" w:ascii="Times New Roman" w:hAnsi="Times New Roman" w:cs="Times New Roman"/>
                <w:color w:val="000000"/>
                <w:kern w:val="0"/>
                <w:sz w:val="22"/>
                <w:szCs w:val="22"/>
              </w:rPr>
            </w:pPr>
          </w:p>
        </w:tc>
        <w:tc>
          <w:tcPr>
            <w:tcW w:w="1707" w:type="dxa"/>
            <w:shd w:val="clear" w:color="auto" w:fill="FFFFFF"/>
            <w:vAlign w:val="center"/>
          </w:tcPr>
          <w:p w14:paraId="12F17EC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727" w:type="dxa"/>
            <w:shd w:val="clear" w:color="auto" w:fill="FFFFFF"/>
            <w:vAlign w:val="center"/>
          </w:tcPr>
          <w:p w14:paraId="162F8BB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1044" w:type="dxa"/>
            <w:shd w:val="clear" w:color="auto" w:fill="FFFFFF"/>
            <w:vAlign w:val="center"/>
          </w:tcPr>
          <w:p w14:paraId="5658562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24" w:type="dxa"/>
            <w:shd w:val="clear" w:color="auto" w:fill="FFFFFF"/>
            <w:vAlign w:val="center"/>
          </w:tcPr>
          <w:p w14:paraId="724DB39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1215" w:type="dxa"/>
            <w:shd w:val="clear" w:color="auto" w:fill="FFFFFF"/>
            <w:vAlign w:val="center"/>
          </w:tcPr>
          <w:p w14:paraId="2A94250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100%</w:t>
            </w:r>
          </w:p>
        </w:tc>
        <w:tc>
          <w:tcPr>
            <w:tcW w:w="960" w:type="dxa"/>
            <w:shd w:val="clear" w:color="auto" w:fill="FFFFFF"/>
            <w:vAlign w:val="center"/>
          </w:tcPr>
          <w:p w14:paraId="4B59EDDF">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4</w:t>
            </w:r>
          </w:p>
        </w:tc>
      </w:tr>
      <w:tr w14:paraId="73AD9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08BB1B7">
            <w:pPr>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1AAD6CDF">
            <w:pPr>
              <w:widowControl/>
              <w:spacing w:line="0" w:lineRule="atLeast"/>
              <w:jc w:val="center"/>
              <w:rPr>
                <w:rFonts w:hint="default" w:ascii="Times New Roman" w:hAnsi="Times New Roman" w:cs="Times New Roman"/>
                <w:color w:val="000000"/>
                <w:kern w:val="0"/>
                <w:sz w:val="22"/>
                <w:szCs w:val="22"/>
              </w:rPr>
            </w:pPr>
          </w:p>
        </w:tc>
        <w:tc>
          <w:tcPr>
            <w:tcW w:w="1283" w:type="dxa"/>
            <w:shd w:val="clear" w:color="auto" w:fill="FFFFFF"/>
            <w:vAlign w:val="center"/>
          </w:tcPr>
          <w:p w14:paraId="15A284C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707" w:type="dxa"/>
            <w:shd w:val="clear" w:color="auto" w:fill="FFFFFF"/>
            <w:vAlign w:val="center"/>
          </w:tcPr>
          <w:p w14:paraId="2684709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14:paraId="3D5564E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727" w:type="dxa"/>
            <w:shd w:val="clear" w:color="000000" w:fill="FFFFFF"/>
            <w:vAlign w:val="center"/>
          </w:tcPr>
          <w:p w14:paraId="08A9BE1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1044" w:type="dxa"/>
            <w:shd w:val="clear" w:color="000000" w:fill="FFFFFF"/>
            <w:vAlign w:val="center"/>
          </w:tcPr>
          <w:p w14:paraId="0986643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合格</w:t>
            </w:r>
          </w:p>
        </w:tc>
        <w:tc>
          <w:tcPr>
            <w:tcW w:w="924" w:type="dxa"/>
            <w:shd w:val="clear" w:color="000000" w:fill="FFFFFF"/>
            <w:vAlign w:val="center"/>
          </w:tcPr>
          <w:p w14:paraId="3EC2AAE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合格</w:t>
            </w:r>
          </w:p>
        </w:tc>
        <w:tc>
          <w:tcPr>
            <w:tcW w:w="1215" w:type="dxa"/>
            <w:shd w:val="clear" w:color="000000" w:fill="FFFFFF"/>
            <w:vAlign w:val="center"/>
          </w:tcPr>
          <w:p w14:paraId="70B35AC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100%</w:t>
            </w:r>
          </w:p>
        </w:tc>
        <w:tc>
          <w:tcPr>
            <w:tcW w:w="960" w:type="dxa"/>
            <w:shd w:val="clear" w:color="000000" w:fill="FFFFFF"/>
            <w:vAlign w:val="center"/>
          </w:tcPr>
          <w:p w14:paraId="546D163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4</w:t>
            </w:r>
          </w:p>
        </w:tc>
      </w:tr>
      <w:tr w14:paraId="2481A4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74861AA">
            <w:pPr>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01693412">
            <w:pPr>
              <w:spacing w:line="0" w:lineRule="atLeast"/>
              <w:jc w:val="center"/>
              <w:rPr>
                <w:rFonts w:hint="default" w:ascii="Times New Roman" w:hAnsi="Times New Roman" w:cs="Times New Roman"/>
                <w:color w:val="000000"/>
                <w:kern w:val="0"/>
                <w:sz w:val="22"/>
                <w:szCs w:val="22"/>
              </w:rPr>
            </w:pPr>
          </w:p>
        </w:tc>
        <w:tc>
          <w:tcPr>
            <w:tcW w:w="1283" w:type="dxa"/>
            <w:vMerge w:val="restart"/>
            <w:shd w:val="clear" w:color="auto" w:fill="FFFFFF"/>
            <w:vAlign w:val="center"/>
          </w:tcPr>
          <w:p w14:paraId="415A2C5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tc>
        <w:tc>
          <w:tcPr>
            <w:tcW w:w="1707" w:type="dxa"/>
            <w:shd w:val="clear" w:color="auto" w:fill="FFFFFF"/>
            <w:vAlign w:val="center"/>
          </w:tcPr>
          <w:p w14:paraId="005DF02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14:paraId="58E1AF8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727" w:type="dxa"/>
            <w:shd w:val="clear" w:color="000000" w:fill="FFFFFF"/>
            <w:vAlign w:val="center"/>
          </w:tcPr>
          <w:p w14:paraId="1E26DBA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1044" w:type="dxa"/>
            <w:shd w:val="clear" w:color="000000" w:fill="FFFFFF"/>
            <w:vAlign w:val="center"/>
          </w:tcPr>
          <w:p w14:paraId="4A39154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w:t>
            </w:r>
          </w:p>
        </w:tc>
        <w:tc>
          <w:tcPr>
            <w:tcW w:w="924" w:type="dxa"/>
            <w:shd w:val="clear" w:color="000000" w:fill="FFFFFF"/>
            <w:vAlign w:val="center"/>
          </w:tcPr>
          <w:p w14:paraId="5839DDD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w:t>
            </w:r>
          </w:p>
        </w:tc>
        <w:tc>
          <w:tcPr>
            <w:tcW w:w="1215" w:type="dxa"/>
            <w:shd w:val="clear" w:color="000000" w:fill="FFFFFF"/>
            <w:vAlign w:val="center"/>
          </w:tcPr>
          <w:p w14:paraId="2728200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60" w:type="dxa"/>
            <w:shd w:val="clear" w:color="000000" w:fill="FFFFFF"/>
            <w:vAlign w:val="center"/>
          </w:tcPr>
          <w:p w14:paraId="610708E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r>
      <w:tr w14:paraId="132D96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6ABEAE7">
            <w:pPr>
              <w:widowControl/>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3B002E56">
            <w:pPr>
              <w:widowControl/>
              <w:spacing w:line="0" w:lineRule="atLeast"/>
              <w:jc w:val="center"/>
              <w:rPr>
                <w:rFonts w:hint="default" w:ascii="Times New Roman" w:hAnsi="Times New Roman" w:cs="Times New Roman"/>
                <w:color w:val="000000"/>
                <w:kern w:val="0"/>
                <w:sz w:val="22"/>
                <w:szCs w:val="22"/>
              </w:rPr>
            </w:pPr>
          </w:p>
        </w:tc>
        <w:tc>
          <w:tcPr>
            <w:tcW w:w="1283" w:type="dxa"/>
            <w:vMerge w:val="continue"/>
            <w:shd w:val="clear" w:color="auto" w:fill="FFFFFF"/>
            <w:vAlign w:val="center"/>
          </w:tcPr>
          <w:p w14:paraId="29004793">
            <w:pPr>
              <w:widowControl/>
              <w:spacing w:line="0" w:lineRule="atLeast"/>
              <w:jc w:val="center"/>
              <w:rPr>
                <w:rFonts w:hint="default" w:ascii="Times New Roman" w:hAnsi="Times New Roman" w:cs="Times New Roman"/>
                <w:color w:val="000000"/>
                <w:kern w:val="0"/>
                <w:sz w:val="22"/>
                <w:szCs w:val="22"/>
              </w:rPr>
            </w:pPr>
          </w:p>
        </w:tc>
        <w:tc>
          <w:tcPr>
            <w:tcW w:w="1707" w:type="dxa"/>
            <w:shd w:val="clear" w:color="auto" w:fill="FFFFFF"/>
            <w:vAlign w:val="center"/>
          </w:tcPr>
          <w:p w14:paraId="71E2BF7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14:paraId="0CCB8F6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727" w:type="dxa"/>
            <w:shd w:val="clear" w:color="000000" w:fill="FFFFFF"/>
            <w:vAlign w:val="center"/>
          </w:tcPr>
          <w:p w14:paraId="28D5AD4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1044" w:type="dxa"/>
            <w:shd w:val="clear" w:color="000000" w:fill="FFFFFF"/>
            <w:vAlign w:val="center"/>
          </w:tcPr>
          <w:p w14:paraId="1419C29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w:t>
            </w:r>
          </w:p>
        </w:tc>
        <w:tc>
          <w:tcPr>
            <w:tcW w:w="924" w:type="dxa"/>
            <w:shd w:val="clear" w:color="000000" w:fill="FFFFFF"/>
            <w:vAlign w:val="center"/>
          </w:tcPr>
          <w:p w14:paraId="1C145FB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w:t>
            </w:r>
          </w:p>
        </w:tc>
        <w:tc>
          <w:tcPr>
            <w:tcW w:w="1215" w:type="dxa"/>
            <w:shd w:val="clear" w:color="000000" w:fill="FFFFFF"/>
            <w:vAlign w:val="center"/>
          </w:tcPr>
          <w:p w14:paraId="5C961EE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60" w:type="dxa"/>
            <w:shd w:val="clear" w:color="000000" w:fill="FFFFFF"/>
            <w:vAlign w:val="center"/>
          </w:tcPr>
          <w:p w14:paraId="0C5D6F3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r>
      <w:tr w14:paraId="63A23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448BA06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990" w:type="dxa"/>
            <w:vMerge w:val="restart"/>
            <w:shd w:val="clear" w:color="auto" w:fill="FFFFFF"/>
            <w:vAlign w:val="center"/>
          </w:tcPr>
          <w:p w14:paraId="444518B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kern w:val="0"/>
                <w:sz w:val="22"/>
                <w:szCs w:val="22"/>
              </w:rPr>
              <w:t>40分</w:t>
            </w:r>
          </w:p>
        </w:tc>
        <w:tc>
          <w:tcPr>
            <w:tcW w:w="1283" w:type="dxa"/>
            <w:shd w:val="clear" w:color="auto" w:fill="FFFFFF"/>
            <w:vAlign w:val="center"/>
          </w:tcPr>
          <w:p w14:paraId="5240AFC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707" w:type="dxa"/>
            <w:shd w:val="clear" w:color="auto" w:fill="FFFFFF"/>
            <w:vAlign w:val="center"/>
          </w:tcPr>
          <w:p w14:paraId="6C400C26">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727" w:type="dxa"/>
            <w:shd w:val="clear" w:color="000000" w:fill="FFFFFF"/>
            <w:vAlign w:val="center"/>
          </w:tcPr>
          <w:p w14:paraId="3E164E3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c>
          <w:tcPr>
            <w:tcW w:w="1044" w:type="dxa"/>
            <w:shd w:val="clear" w:color="000000" w:fill="FFFFFF"/>
            <w:vAlign w:val="center"/>
          </w:tcPr>
          <w:p w14:paraId="3F7901D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24" w:type="dxa"/>
            <w:shd w:val="clear" w:color="000000" w:fill="FFFFFF"/>
            <w:vAlign w:val="center"/>
          </w:tcPr>
          <w:p w14:paraId="6EB680D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1215" w:type="dxa"/>
            <w:shd w:val="clear" w:color="000000" w:fill="FFFFFF"/>
            <w:vAlign w:val="center"/>
          </w:tcPr>
          <w:p w14:paraId="6CE6A6F6">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60" w:type="dxa"/>
            <w:shd w:val="clear" w:color="000000" w:fill="FFFFFF"/>
            <w:vAlign w:val="center"/>
          </w:tcPr>
          <w:p w14:paraId="5EAB387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r>
      <w:tr w14:paraId="13F42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337C3A1">
            <w:pPr>
              <w:widowControl/>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6B907293">
            <w:pPr>
              <w:widowControl/>
              <w:spacing w:line="0" w:lineRule="atLeast"/>
              <w:jc w:val="center"/>
              <w:rPr>
                <w:rFonts w:hint="default" w:ascii="Times New Roman" w:hAnsi="Times New Roman" w:cs="Times New Roman"/>
                <w:color w:val="000000"/>
                <w:kern w:val="0"/>
                <w:sz w:val="22"/>
                <w:szCs w:val="22"/>
              </w:rPr>
            </w:pPr>
          </w:p>
        </w:tc>
        <w:tc>
          <w:tcPr>
            <w:tcW w:w="1283" w:type="dxa"/>
            <w:shd w:val="clear" w:color="auto" w:fill="FFFFFF"/>
            <w:vAlign w:val="center"/>
          </w:tcPr>
          <w:p w14:paraId="0BDE8E5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707" w:type="dxa"/>
            <w:shd w:val="clear" w:color="auto" w:fill="FFFFFF"/>
            <w:vAlign w:val="center"/>
          </w:tcPr>
          <w:p w14:paraId="468534A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727" w:type="dxa"/>
            <w:shd w:val="clear" w:color="000000" w:fill="FFFFFF"/>
            <w:vAlign w:val="center"/>
          </w:tcPr>
          <w:p w14:paraId="25CF979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c>
          <w:tcPr>
            <w:tcW w:w="1044" w:type="dxa"/>
            <w:shd w:val="clear" w:color="000000" w:fill="FFFFFF"/>
            <w:vAlign w:val="center"/>
          </w:tcPr>
          <w:p w14:paraId="4F5C83F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24" w:type="dxa"/>
            <w:shd w:val="clear" w:color="000000" w:fill="FFFFFF"/>
            <w:vAlign w:val="center"/>
          </w:tcPr>
          <w:p w14:paraId="34C0800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1215" w:type="dxa"/>
            <w:shd w:val="clear" w:color="000000" w:fill="FFFFFF"/>
            <w:vAlign w:val="center"/>
          </w:tcPr>
          <w:p w14:paraId="61E82D0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60" w:type="dxa"/>
            <w:shd w:val="clear" w:color="000000" w:fill="FFFFFF"/>
            <w:vAlign w:val="center"/>
          </w:tcPr>
          <w:p w14:paraId="43AA07D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r>
      <w:tr w14:paraId="17AAB1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4685C8D">
            <w:pPr>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4DE5613E">
            <w:pPr>
              <w:spacing w:line="0" w:lineRule="atLeast"/>
              <w:jc w:val="center"/>
              <w:rPr>
                <w:rFonts w:hint="default" w:ascii="Times New Roman" w:hAnsi="Times New Roman" w:cs="Times New Roman"/>
                <w:color w:val="000000"/>
                <w:kern w:val="0"/>
                <w:sz w:val="22"/>
                <w:szCs w:val="22"/>
              </w:rPr>
            </w:pPr>
          </w:p>
        </w:tc>
        <w:tc>
          <w:tcPr>
            <w:tcW w:w="1283" w:type="dxa"/>
            <w:shd w:val="clear" w:color="auto" w:fill="FFFFFF"/>
            <w:vAlign w:val="center"/>
          </w:tcPr>
          <w:p w14:paraId="5F0DFE36">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707" w:type="dxa"/>
            <w:shd w:val="clear" w:color="auto" w:fill="FFFFFF"/>
            <w:vAlign w:val="center"/>
          </w:tcPr>
          <w:p w14:paraId="05B4840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727" w:type="dxa"/>
            <w:shd w:val="clear" w:color="000000" w:fill="FFFFFF"/>
            <w:vAlign w:val="center"/>
          </w:tcPr>
          <w:p w14:paraId="6E2C83FF">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c>
          <w:tcPr>
            <w:tcW w:w="1044" w:type="dxa"/>
            <w:shd w:val="clear" w:color="000000" w:fill="FFFFFF"/>
            <w:vAlign w:val="center"/>
          </w:tcPr>
          <w:p w14:paraId="37916BF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及时</w:t>
            </w:r>
          </w:p>
        </w:tc>
        <w:tc>
          <w:tcPr>
            <w:tcW w:w="924" w:type="dxa"/>
            <w:shd w:val="clear" w:color="000000" w:fill="FFFFFF"/>
            <w:vAlign w:val="center"/>
          </w:tcPr>
          <w:p w14:paraId="4E9E553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及时</w:t>
            </w:r>
          </w:p>
        </w:tc>
        <w:tc>
          <w:tcPr>
            <w:tcW w:w="1215" w:type="dxa"/>
            <w:shd w:val="clear" w:color="000000" w:fill="FFFFFF"/>
            <w:vAlign w:val="center"/>
          </w:tcPr>
          <w:p w14:paraId="50C6457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60" w:type="dxa"/>
            <w:shd w:val="clear" w:color="000000" w:fill="FFFFFF"/>
            <w:vAlign w:val="center"/>
          </w:tcPr>
          <w:p w14:paraId="6E99A3B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r>
      <w:tr w14:paraId="40407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134802D">
            <w:pPr>
              <w:widowControl/>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5D7E1F10">
            <w:pPr>
              <w:widowControl/>
              <w:spacing w:line="0" w:lineRule="atLeast"/>
              <w:jc w:val="center"/>
              <w:rPr>
                <w:rFonts w:hint="default" w:ascii="Times New Roman" w:hAnsi="Times New Roman" w:cs="Times New Roman"/>
                <w:color w:val="000000"/>
                <w:kern w:val="0"/>
                <w:sz w:val="22"/>
                <w:szCs w:val="22"/>
              </w:rPr>
            </w:pPr>
          </w:p>
        </w:tc>
        <w:tc>
          <w:tcPr>
            <w:tcW w:w="1283" w:type="dxa"/>
            <w:shd w:val="clear" w:color="auto" w:fill="FFFFFF"/>
            <w:vAlign w:val="center"/>
          </w:tcPr>
          <w:p w14:paraId="2869BC56">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707" w:type="dxa"/>
            <w:shd w:val="clear" w:color="auto" w:fill="FFFFFF"/>
            <w:vAlign w:val="center"/>
          </w:tcPr>
          <w:p w14:paraId="636CDA1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727" w:type="dxa"/>
            <w:shd w:val="clear" w:color="000000" w:fill="FFFFFF"/>
            <w:vAlign w:val="center"/>
          </w:tcPr>
          <w:p w14:paraId="0A547FF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c>
          <w:tcPr>
            <w:tcW w:w="1044" w:type="dxa"/>
            <w:shd w:val="clear" w:color="000000" w:fill="FFFFFF"/>
            <w:vAlign w:val="center"/>
          </w:tcPr>
          <w:p w14:paraId="7F9AEF7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24" w:type="dxa"/>
            <w:shd w:val="clear" w:color="000000" w:fill="FFFFFF"/>
            <w:vAlign w:val="center"/>
          </w:tcPr>
          <w:p w14:paraId="66C95D2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1215" w:type="dxa"/>
            <w:shd w:val="clear" w:color="000000" w:fill="FFFFFF"/>
            <w:vAlign w:val="center"/>
          </w:tcPr>
          <w:p w14:paraId="6D5EBA9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960" w:type="dxa"/>
            <w:shd w:val="clear" w:color="000000" w:fill="FFFFFF"/>
            <w:vAlign w:val="center"/>
          </w:tcPr>
          <w:p w14:paraId="6EC3826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r>
      <w:tr w14:paraId="222EB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064E530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990" w:type="dxa"/>
            <w:vMerge w:val="restart"/>
            <w:shd w:val="clear" w:color="auto" w:fill="FFFFFF"/>
            <w:vAlign w:val="center"/>
          </w:tcPr>
          <w:p w14:paraId="51EB3D1C">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20分</w:t>
            </w:r>
          </w:p>
        </w:tc>
        <w:tc>
          <w:tcPr>
            <w:tcW w:w="1283" w:type="dxa"/>
            <w:vMerge w:val="restart"/>
            <w:shd w:val="clear" w:color="auto" w:fill="FFFFFF"/>
            <w:vAlign w:val="center"/>
          </w:tcPr>
          <w:p w14:paraId="43BCC90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707" w:type="dxa"/>
            <w:shd w:val="clear" w:color="auto" w:fill="FFFFFF"/>
            <w:vAlign w:val="center"/>
          </w:tcPr>
          <w:p w14:paraId="4AF10B9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p w14:paraId="7FEDC10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（社会效益、经济效益、可持续效益）</w:t>
            </w:r>
          </w:p>
        </w:tc>
        <w:tc>
          <w:tcPr>
            <w:tcW w:w="727" w:type="dxa"/>
            <w:shd w:val="clear" w:color="auto" w:fill="FFFFFF"/>
            <w:vAlign w:val="center"/>
          </w:tcPr>
          <w:p w14:paraId="0813372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c>
          <w:tcPr>
            <w:tcW w:w="1044" w:type="dxa"/>
            <w:shd w:val="clear" w:color="auto" w:fill="FFFFFF"/>
            <w:vAlign w:val="center"/>
          </w:tcPr>
          <w:p w14:paraId="6055A80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w:t>
            </w:r>
          </w:p>
        </w:tc>
        <w:tc>
          <w:tcPr>
            <w:tcW w:w="924" w:type="dxa"/>
            <w:shd w:val="clear" w:color="auto" w:fill="FFFFFF"/>
            <w:vAlign w:val="center"/>
          </w:tcPr>
          <w:p w14:paraId="32A7236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w:t>
            </w:r>
          </w:p>
        </w:tc>
        <w:tc>
          <w:tcPr>
            <w:tcW w:w="1215" w:type="dxa"/>
            <w:shd w:val="clear" w:color="auto" w:fill="FFFFFF"/>
            <w:vAlign w:val="center"/>
          </w:tcPr>
          <w:p w14:paraId="4365C0AF">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100%</w:t>
            </w:r>
          </w:p>
        </w:tc>
        <w:tc>
          <w:tcPr>
            <w:tcW w:w="960" w:type="dxa"/>
            <w:shd w:val="clear" w:color="auto" w:fill="FFFFFF"/>
            <w:vAlign w:val="center"/>
          </w:tcPr>
          <w:p w14:paraId="3A48CE8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w:t>
            </w:r>
          </w:p>
        </w:tc>
      </w:tr>
      <w:tr w14:paraId="111AD5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FA9A834">
            <w:pPr>
              <w:widowControl/>
              <w:spacing w:line="0" w:lineRule="atLeast"/>
              <w:jc w:val="center"/>
              <w:rPr>
                <w:rFonts w:hint="default" w:ascii="Times New Roman" w:hAnsi="Times New Roman" w:cs="Times New Roman"/>
                <w:color w:val="000000"/>
                <w:kern w:val="0"/>
                <w:sz w:val="22"/>
                <w:szCs w:val="22"/>
              </w:rPr>
            </w:pPr>
          </w:p>
        </w:tc>
        <w:tc>
          <w:tcPr>
            <w:tcW w:w="990" w:type="dxa"/>
            <w:vMerge w:val="continue"/>
            <w:shd w:val="clear" w:color="auto" w:fill="FFFFFF"/>
            <w:vAlign w:val="center"/>
          </w:tcPr>
          <w:p w14:paraId="3B4A2C5F">
            <w:pPr>
              <w:widowControl/>
              <w:spacing w:line="0" w:lineRule="atLeast"/>
              <w:jc w:val="center"/>
              <w:rPr>
                <w:rFonts w:hint="default" w:ascii="Times New Roman" w:hAnsi="Times New Roman" w:cs="Times New Roman"/>
                <w:color w:val="000000"/>
                <w:kern w:val="0"/>
                <w:sz w:val="22"/>
                <w:szCs w:val="22"/>
              </w:rPr>
            </w:pPr>
          </w:p>
        </w:tc>
        <w:tc>
          <w:tcPr>
            <w:tcW w:w="1283" w:type="dxa"/>
            <w:vMerge w:val="continue"/>
            <w:shd w:val="clear" w:color="auto" w:fill="FFFFFF"/>
            <w:vAlign w:val="center"/>
          </w:tcPr>
          <w:p w14:paraId="116A8758">
            <w:pPr>
              <w:widowControl/>
              <w:spacing w:line="0" w:lineRule="atLeast"/>
              <w:jc w:val="center"/>
              <w:rPr>
                <w:rFonts w:hint="default" w:ascii="Times New Roman" w:hAnsi="Times New Roman" w:cs="Times New Roman"/>
                <w:color w:val="000000"/>
                <w:kern w:val="0"/>
                <w:sz w:val="22"/>
                <w:szCs w:val="22"/>
              </w:rPr>
            </w:pPr>
          </w:p>
        </w:tc>
        <w:tc>
          <w:tcPr>
            <w:tcW w:w="1707" w:type="dxa"/>
            <w:shd w:val="clear" w:color="auto" w:fill="FFFFFF"/>
            <w:vAlign w:val="center"/>
          </w:tcPr>
          <w:p w14:paraId="4DB215BE">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727" w:type="dxa"/>
            <w:shd w:val="clear" w:color="000000" w:fill="FFFFFF"/>
            <w:vAlign w:val="center"/>
          </w:tcPr>
          <w:p w14:paraId="5BF3BF56">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w:t>
            </w:r>
          </w:p>
        </w:tc>
        <w:tc>
          <w:tcPr>
            <w:tcW w:w="1044" w:type="dxa"/>
            <w:shd w:val="clear" w:color="000000" w:fill="FFFFFF"/>
            <w:vAlign w:val="center"/>
          </w:tcPr>
          <w:p w14:paraId="7BBA5E0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≥90%</w:t>
            </w:r>
          </w:p>
        </w:tc>
        <w:tc>
          <w:tcPr>
            <w:tcW w:w="924" w:type="dxa"/>
            <w:shd w:val="clear" w:color="000000" w:fill="FFFFFF"/>
            <w:vAlign w:val="center"/>
          </w:tcPr>
          <w:p w14:paraId="51848A8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95%</w:t>
            </w:r>
          </w:p>
        </w:tc>
        <w:tc>
          <w:tcPr>
            <w:tcW w:w="1215" w:type="dxa"/>
            <w:shd w:val="clear" w:color="000000" w:fill="FFFFFF"/>
            <w:vAlign w:val="center"/>
          </w:tcPr>
          <w:p w14:paraId="58E1E5A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100%</w:t>
            </w:r>
          </w:p>
        </w:tc>
        <w:tc>
          <w:tcPr>
            <w:tcW w:w="960" w:type="dxa"/>
            <w:shd w:val="clear" w:color="000000" w:fill="FFFFFF"/>
            <w:vAlign w:val="center"/>
          </w:tcPr>
          <w:p w14:paraId="2B565BE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sz w:val="22"/>
              </w:rPr>
              <w:t>10</w:t>
            </w:r>
          </w:p>
        </w:tc>
      </w:tr>
    </w:tbl>
    <w:p w14:paraId="7E5F134B">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622CF8B9">
      <w:pPr>
        <w:pStyle w:val="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5EB9E47C">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项目决策类指标包括项目立项、绩效目标和资金投入三方面的内容，由6个三级指标构成，权重分值为20分，实际得分20分，得分率为100%。</w:t>
      </w:r>
    </w:p>
    <w:p w14:paraId="5ED96FB5">
      <w:pPr>
        <w:pStyle w:val="18"/>
        <w:spacing w:line="560" w:lineRule="exact"/>
        <w:ind w:firstLine="64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1.项目立项</w:t>
      </w:r>
    </w:p>
    <w:p w14:paraId="5DFECAD9">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（1）立项依据充分性</w:t>
      </w:r>
    </w:p>
    <w:p w14:paraId="5124C2C1">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05FF41F">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（2）立项程序规范性</w:t>
      </w:r>
    </w:p>
    <w:p w14:paraId="61FA339B">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p>
    <w:p w14:paraId="248BDEEC">
      <w:pPr>
        <w:pStyle w:val="18"/>
        <w:spacing w:line="560" w:lineRule="exact"/>
        <w:ind w:firstLine="64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2.绩效目标</w:t>
      </w:r>
    </w:p>
    <w:p w14:paraId="70D85275">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（1）绩效目标合理性</w:t>
      </w:r>
    </w:p>
    <w:p w14:paraId="0B89CB24">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细化情况。绩效目标表经过审核，绩效目标与实际工作内容具有相关性，预算与确定的项目投资额相匹配，对项目任务进行了详细分解。项目预期产出效益及效果符合正常的业绩水平。</w:t>
      </w:r>
    </w:p>
    <w:p w14:paraId="2A1ACE3A">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（2）绩效指标明确性</w:t>
      </w:r>
    </w:p>
    <w:p w14:paraId="48EECBDD">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项目设置了明确的预期产出效益和效果，将绩效目标细化分解为具体的绩效指标，绩效目标与项目目标任务数相对应，绩效目标设定的绩效指标清晰、细化、可衡量。</w:t>
      </w:r>
    </w:p>
    <w:p w14:paraId="6FCB9CC8">
      <w:pPr>
        <w:pStyle w:val="18"/>
        <w:spacing w:line="560" w:lineRule="exact"/>
        <w:ind w:firstLine="64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3.资金投入</w:t>
      </w:r>
    </w:p>
    <w:p w14:paraId="364A6EA9">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（1）预算编制科学性</w:t>
      </w:r>
    </w:p>
    <w:p w14:paraId="367F8826">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预算编制经过科学论证，提供充分的测算依据佐证资料，预算内容与项目内容相匹配。项目投资额与工作任务相匹配。</w:t>
      </w:r>
    </w:p>
    <w:p w14:paraId="5ECC79D0">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（2）资金分配合理性</w:t>
      </w:r>
    </w:p>
    <w:p w14:paraId="072FFB50">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资金分配额度与项目单位实际工作内容相适应，资金分配额度合理，资金分配依据充分。</w:t>
      </w:r>
    </w:p>
    <w:p w14:paraId="0183C279">
      <w:pPr>
        <w:pStyle w:val="2"/>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_GB2312" w:cs="Times New Roman"/>
          <w:b/>
          <w:bCs/>
          <w:kern w:val="2"/>
          <w:sz w:val="32"/>
          <w:szCs w:val="32"/>
          <w:lang w:val="en-US" w:eastAsia="zh-CN" w:bidi="ar-SA"/>
        </w:rPr>
        <w:t>项目过程情</w:t>
      </w:r>
      <w:r>
        <w:rPr>
          <w:rFonts w:hint="default" w:ascii="Times New Roman" w:hAnsi="Times New Roman" w:eastAsia="楷体" w:cs="Times New Roman"/>
        </w:rPr>
        <w:t>况</w:t>
      </w:r>
    </w:p>
    <w:p w14:paraId="703DA883">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项目过程类指标包括资金管理和组织实施两方面的内容，由5个三级指标构成，权重分值为20分，实际得分20分，得分率为100%。</w:t>
      </w:r>
    </w:p>
    <w:p w14:paraId="422B7764">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14:paraId="7C1965F7">
      <w:pPr>
        <w:pStyle w:val="18"/>
        <w:spacing w:line="560" w:lineRule="exact"/>
        <w:ind w:firstLine="64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1.资金管理</w:t>
      </w:r>
    </w:p>
    <w:p w14:paraId="47DE8760">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（1）资金到位率</w:t>
      </w:r>
    </w:p>
    <w:p w14:paraId="4F4151E7">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本项目总投资</w:t>
      </w:r>
      <w:r>
        <w:rPr>
          <w:rFonts w:hint="default" w:ascii="Times New Roman" w:hAnsi="Times New Roman" w:eastAsia="仿宋_GB2312" w:cs="Times New Roman"/>
          <w:sz w:val="32"/>
          <w:szCs w:val="32"/>
        </w:rPr>
        <w:t>2,560.00万元，财政资金及时足额到位，到位率100%，预算资金按计划进度执行。</w:t>
      </w:r>
    </w:p>
    <w:p w14:paraId="19C5A0A9">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（2）预算执行率</w:t>
      </w:r>
    </w:p>
    <w:p w14:paraId="4F023DDD">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预算编制较为详细，项目资金支出总体能够按照预算执行，预算资金支出2,560.00万元，预算执行率为100</w:t>
      </w:r>
      <w:r>
        <w:rPr>
          <w:rFonts w:hint="default" w:ascii="Times New Roman" w:hAnsi="Times New Roman" w:eastAsia="仿宋_GB2312" w:cs="Times New Roman"/>
          <w:sz w:val="32"/>
          <w:szCs w:val="32"/>
        </w:rPr>
        <w:t>%。</w:t>
      </w:r>
    </w:p>
    <w:p w14:paraId="0BDB000D">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（3）资金使用合规性</w:t>
      </w:r>
    </w:p>
    <w:p w14:paraId="0A242923">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3B0499E5">
      <w:pPr>
        <w:pStyle w:val="18"/>
        <w:spacing w:line="560" w:lineRule="exact"/>
        <w:ind w:firstLine="64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2.组织实施</w:t>
      </w:r>
    </w:p>
    <w:p w14:paraId="46F28A37">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（1）管理制度健全性</w:t>
      </w:r>
    </w:p>
    <w:p w14:paraId="73A6FA51">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1E9E5F82">
      <w:pPr>
        <w:spacing w:line="600" w:lineRule="exact"/>
        <w:ind w:firstLine="640" w:firstLineChars="200"/>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（2）制度执行有效性</w:t>
      </w:r>
    </w:p>
    <w:p w14:paraId="23B7230F">
      <w:pPr>
        <w:spacing w:line="600" w:lineRule="exact"/>
        <w:ind w:firstLine="640" w:firstLineChars="200"/>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32"/>
          <w:szCs w:val="32"/>
        </w:rPr>
        <w:t>对资金使用的合法合规性进行监督，年末对资金使用效果进行评价。项目管理、实施人员落实到位，有效按照计划执行。项目执行情况等资料齐全，项目相关手续完备，及时进行归档。</w:t>
      </w:r>
    </w:p>
    <w:p w14:paraId="7EBC2D28">
      <w:pPr>
        <w:pStyle w:val="10"/>
        <w:numPr>
          <w:ilvl w:val="0"/>
          <w:numId w:val="4"/>
        </w:numPr>
        <w:spacing w:line="560" w:lineRule="exact"/>
        <w:ind w:firstLine="643"/>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项目产出</w:t>
      </w:r>
    </w:p>
    <w:p w14:paraId="3880D3C6">
      <w:pPr>
        <w:pStyle w:val="10"/>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项目产出类指标包括产出数量、产出质量、产出时效、产出成本四方面的内容，由5个三级指标构成，权重分为40分，实际得分40分，得分率为100%。具体产出指标完成情况如下：</w:t>
      </w:r>
    </w:p>
    <w:p w14:paraId="4B365F37">
      <w:pPr>
        <w:snapToGrid w:val="0"/>
        <w:spacing w:line="560" w:lineRule="exact"/>
        <w:ind w:firstLine="627" w:firstLineChars="200"/>
        <w:rPr>
          <w:rStyle w:val="14"/>
          <w:rFonts w:hint="default" w:ascii="Times New Roman" w:hAnsi="Times New Roman" w:eastAsia="仿宋_GB2312" w:cs="Times New Roman"/>
          <w:bCs w:val="0"/>
          <w:spacing w:val="-4"/>
          <w:sz w:val="32"/>
          <w:szCs w:val="32"/>
        </w:rPr>
      </w:pPr>
      <w:r>
        <w:rPr>
          <w:rStyle w:val="14"/>
          <w:rFonts w:hint="default" w:ascii="Times New Roman" w:hAnsi="Times New Roman" w:eastAsia="仿宋_GB2312" w:cs="Times New Roman"/>
          <w:bCs w:val="0"/>
          <w:spacing w:val="-4"/>
          <w:sz w:val="32"/>
          <w:szCs w:val="32"/>
        </w:rPr>
        <w:t>数量指标方面：</w:t>
      </w:r>
    </w:p>
    <w:p w14:paraId="1C8C2663">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指标1：配置ICU床位数量及配套设备数量，指标值</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=41床（套），实际完成值：60床（套），指标完成率146.34%；偏差率46.34%，偏差原因我院为肿瘤专科医院，疫情期间危重病人较多，因此增设亚重症病区，对应改造了相应的床位。</w:t>
      </w:r>
    </w:p>
    <w:p w14:paraId="42F92A8D">
      <w:pPr>
        <w:spacing w:line="560" w:lineRule="exact"/>
        <w:ind w:firstLine="643" w:firstLineChars="200"/>
        <w:rPr>
          <w:rStyle w:val="17"/>
          <w:rFonts w:hint="default" w:ascii="Times New Roman" w:hAnsi="Times New Roman" w:cs="Times New Roman"/>
          <w:b/>
          <w:bCs/>
          <w:color w:val="auto"/>
        </w:rPr>
      </w:pPr>
      <w:r>
        <w:rPr>
          <w:rStyle w:val="17"/>
          <w:rFonts w:hint="default" w:ascii="Times New Roman" w:hAnsi="Times New Roman" w:cs="Times New Roman"/>
          <w:b/>
          <w:bCs/>
          <w:color w:val="auto"/>
        </w:rPr>
        <w:t>质量指标方面：</w:t>
      </w:r>
    </w:p>
    <w:p w14:paraId="477DFE03">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指标1：设备质量合格率，指标值：＞95% ，实际完成值：100%，指标完成率105.26%，偏差率5.26%，偏差原因：设备质量合格率不断提高；</w:t>
      </w:r>
    </w:p>
    <w:p w14:paraId="1D1A8ADC">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指标2：设备验收合格率，指标值：＞95% ，实际完成值：100%，指标完成率105.26%，偏差率5.26%，偏差原因：设备验收合格率不断提高；</w:t>
      </w:r>
    </w:p>
    <w:p w14:paraId="4D92619E">
      <w:pPr>
        <w:snapToGrid w:val="0"/>
        <w:spacing w:line="560" w:lineRule="exact"/>
        <w:ind w:firstLine="640" w:firstLineChars="200"/>
        <w:rPr>
          <w:rFonts w:hint="default" w:ascii="Times New Roman" w:hAnsi="Times New Roman" w:eastAsia="仿宋_GB2312" w:cs="Times New Roman"/>
          <w:sz w:val="32"/>
          <w:szCs w:val="32"/>
        </w:rPr>
      </w:pPr>
    </w:p>
    <w:p w14:paraId="5B1622D5">
      <w:pPr>
        <w:pStyle w:val="2"/>
        <w:spacing w:before="0" w:after="0" w:line="560" w:lineRule="exact"/>
        <w:ind w:firstLine="643" w:firstLineChars="200"/>
        <w:jc w:val="both"/>
        <w:rPr>
          <w:rStyle w:val="17"/>
          <w:rFonts w:hint="default" w:ascii="Times New Roman" w:hAnsi="Times New Roman" w:cs="Times New Roman"/>
          <w:color w:val="auto"/>
        </w:rPr>
      </w:pPr>
      <w:r>
        <w:rPr>
          <w:rStyle w:val="17"/>
          <w:rFonts w:hint="default" w:ascii="Times New Roman" w:hAnsi="Times New Roman" w:cs="Times New Roman"/>
          <w:color w:val="auto"/>
        </w:rPr>
        <w:t>成本指标方面：</w:t>
      </w:r>
    </w:p>
    <w:p w14:paraId="4A7FADCD">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指标1：设备采购成本控制术，指标值：≤61万元/床，实际完成值：42.67万元/床，指标完成率100%，偏差率0%；</w:t>
      </w:r>
    </w:p>
    <w:p w14:paraId="541BC3D8">
      <w:pPr>
        <w:spacing w:line="560" w:lineRule="exact"/>
        <w:ind w:firstLine="643" w:firstLineChars="200"/>
        <w:rPr>
          <w:rStyle w:val="17"/>
          <w:rFonts w:hint="default" w:ascii="Times New Roman" w:hAnsi="Times New Roman" w:cs="Times New Roman"/>
          <w:b/>
          <w:bCs/>
          <w:color w:val="auto"/>
        </w:rPr>
      </w:pPr>
      <w:r>
        <w:rPr>
          <w:rStyle w:val="17"/>
          <w:rFonts w:hint="default" w:ascii="Times New Roman" w:hAnsi="Times New Roman" w:cs="Times New Roman"/>
          <w:b/>
          <w:bCs/>
          <w:color w:val="auto"/>
        </w:rPr>
        <w:t>时效指标方面：</w:t>
      </w:r>
    </w:p>
    <w:p w14:paraId="1B9A70A1">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指标1：床位改造完成时间，指标值：2022年12月31日前，实际完成值：2023年3月26日，指标完成率100%，偏差率0%；</w:t>
      </w:r>
    </w:p>
    <w:p w14:paraId="0EEA3573">
      <w:pPr>
        <w:pStyle w:val="10"/>
        <w:numPr>
          <w:ilvl w:val="0"/>
          <w:numId w:val="4"/>
        </w:numPr>
        <w:spacing w:line="560" w:lineRule="exact"/>
        <w:ind w:firstLine="643"/>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效益情况</w:t>
      </w:r>
    </w:p>
    <w:p w14:paraId="338E9A4F">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项目效益类指标包括项目实施效益和满意度两方面的内容，由2个三级指标构成，权重分为20分，实际得分20分，得分率为100%。具体效益指标及满意度指标完成情况如下：</w:t>
      </w:r>
    </w:p>
    <w:p w14:paraId="023D9685">
      <w:pPr>
        <w:snapToGrid w:val="0"/>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经济效益指标方面：</w:t>
      </w:r>
    </w:p>
    <w:p w14:paraId="75A2D847">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指标1：设备利用率，指标值：＞70%，实际完成值：88%，指标完成率100%，偏差率0%；</w:t>
      </w:r>
    </w:p>
    <w:p w14:paraId="1D2F1212">
      <w:pPr>
        <w:snapToGrid w:val="0"/>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满意度指标方面：</w:t>
      </w:r>
    </w:p>
    <w:p w14:paraId="25EBC465">
      <w:pPr>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指标1：使用人员满意度，指标值：＞90% ，实际完成值：95%，指标完成率100%，偏差率0%；</w:t>
      </w:r>
    </w:p>
    <w:p w14:paraId="2423D5E8">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五、预算执行进度与绩效指标总体完成率偏差</w:t>
      </w:r>
    </w:p>
    <w:p w14:paraId="3782FCD4">
      <w:pPr>
        <w:pStyle w:val="18"/>
        <w:spacing w:line="560" w:lineRule="exact"/>
        <w:ind w:firstLine="640"/>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rPr>
        <w:t>自治区2023年第一批疫情防控补助资金（自治区本级医疗机构重症床位设备配套经费）项目预算2,560.00万元，到位2,560.00万元，实际支出2,560.00万元，预算执行率为100.00%，项目绩效指标总体完成率为108.12%，总体偏差率为8.12%</w:t>
      </w:r>
      <w:r>
        <w:rPr>
          <w:rFonts w:hint="default" w:ascii="Times New Roman" w:hAnsi="Times New Roman" w:eastAsia="仿宋_GB2312" w:cs="Times New Roman"/>
          <w:kern w:val="2"/>
          <w:sz w:val="32"/>
          <w:szCs w:val="32"/>
          <w:lang w:eastAsia="zh-CN"/>
        </w:rPr>
        <w:t>，</w:t>
      </w:r>
      <w:r>
        <w:rPr>
          <w:rFonts w:hint="default" w:ascii="Times New Roman" w:hAnsi="Times New Roman" w:eastAsia="仿宋_GB2312" w:cs="Times New Roman"/>
          <w:kern w:val="2"/>
          <w:sz w:val="32"/>
          <w:szCs w:val="32"/>
        </w:rPr>
        <w:t>偏差原因：我院为肿瘤专科医院，疫情期间危重病人较多，因此增设亚重症病区，对应改造了相应的床位。</w:t>
      </w:r>
      <w:r>
        <w:rPr>
          <w:rFonts w:hint="default" w:ascii="Times New Roman" w:hAnsi="Times New Roman" w:eastAsia="仿宋_GB2312" w:cs="Times New Roman"/>
          <w:sz w:val="32"/>
          <w:szCs w:val="32"/>
        </w:rPr>
        <w:t>改进措施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下年设定目标值时会考虑多方面因素。</w:t>
      </w:r>
    </w:p>
    <w:p w14:paraId="5B3CBD53">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六、主要经验及做法、存在的问题及原因分析</w:t>
      </w:r>
    </w:p>
    <w:p w14:paraId="3789B2DD">
      <w:pPr>
        <w:spacing w:line="560" w:lineRule="exact"/>
        <w:ind w:firstLine="627" w:firstLineChars="200"/>
        <w:rPr>
          <w:rFonts w:hint="default" w:ascii="Times New Roman" w:hAnsi="Times New Roman" w:eastAsia="仿宋_GB2312" w:cs="Times New Roman"/>
          <w:b/>
          <w:spacing w:val="-4"/>
          <w:sz w:val="32"/>
          <w:szCs w:val="32"/>
        </w:rPr>
      </w:pPr>
      <w:r>
        <w:rPr>
          <w:rFonts w:hint="default" w:ascii="Times New Roman" w:hAnsi="Times New Roman" w:eastAsia="仿宋_GB2312" w:cs="Times New Roman"/>
          <w:b/>
          <w:spacing w:val="-4"/>
          <w:sz w:val="32"/>
          <w:szCs w:val="32"/>
        </w:rPr>
        <w:t>（一）主要经验及做法</w:t>
      </w:r>
    </w:p>
    <w:p w14:paraId="2D3843CB">
      <w:pPr>
        <w:pStyle w:val="18"/>
        <w:spacing w:line="560" w:lineRule="exact"/>
        <w:ind w:firstLine="640"/>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4B3C88C">
      <w:pPr>
        <w:pStyle w:val="18"/>
        <w:spacing w:line="560" w:lineRule="exact"/>
        <w:ind w:firstLine="640"/>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rPr>
        <w:t>严格坚持先做事、后验收、再拨付的原则，基本杜绝了资金被挤占和挪用现象的发生，跟踪检查到位。</w:t>
      </w:r>
    </w:p>
    <w:p w14:paraId="53396EF1">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12088EB1">
      <w:pPr>
        <w:pStyle w:val="2"/>
        <w:spacing w:before="0" w:after="0" w:line="560" w:lineRule="exact"/>
        <w:ind w:firstLine="640" w:firstLineChars="200"/>
        <w:jc w:val="both"/>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本项目20</w:t>
      </w:r>
      <w:bookmarkStart w:id="7" w:name="_GoBack"/>
      <w:bookmarkEnd w:id="7"/>
      <w:r>
        <w:rPr>
          <w:rFonts w:hint="default" w:ascii="Times New Roman" w:hAnsi="Times New Roman" w:eastAsia="仿宋_GB2312" w:cs="Times New Roman"/>
          <w:b w:val="0"/>
          <w:bCs w:val="0"/>
          <w:kern w:val="2"/>
        </w:rPr>
        <w:t>23年度无存在的问题。</w:t>
      </w:r>
    </w:p>
    <w:p w14:paraId="00F9E8C7">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七、有关建议</w:t>
      </w:r>
    </w:p>
    <w:p w14:paraId="29C180CF">
      <w:pPr>
        <w:pStyle w:val="2"/>
        <w:spacing w:before="0" w:after="0" w:line="560" w:lineRule="exact"/>
        <w:ind w:firstLine="640" w:firstLineChars="200"/>
        <w:jc w:val="both"/>
        <w:rPr>
          <w:rFonts w:hint="default" w:ascii="Times New Roman" w:hAnsi="Times New Roman" w:eastAsia="仿宋_GB2312" w:cs="Times New Roman"/>
          <w:b w:val="0"/>
          <w:bCs w:val="0"/>
          <w:kern w:val="2"/>
        </w:rPr>
      </w:pPr>
      <w:bookmarkStart w:id="6" w:name="page8"/>
      <w:bookmarkEnd w:id="6"/>
      <w:r>
        <w:rPr>
          <w:rFonts w:hint="default" w:ascii="Times New Roman" w:hAnsi="Times New Roman" w:eastAsia="仿宋_GB2312" w:cs="Times New Roman"/>
          <w:b w:val="0"/>
          <w:bCs w:val="0"/>
          <w:kern w:val="2"/>
        </w:rPr>
        <w:t>进一步加强对绩效管理工作的组织领导及培训，提高对预算绩效管理工作重要性的认识，总结经验查找问题，加大全局对全面实施预算绩效管理和绩效管理工作的学习力度，让“花钱必问效，无效必问责”的理念深入工作每个环节。</w:t>
      </w:r>
    </w:p>
    <w:p w14:paraId="6F86FD70">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八、其他需要说明的问题</w:t>
      </w:r>
    </w:p>
    <w:p w14:paraId="4CC88AC8">
      <w:pPr>
        <w:pStyle w:val="2"/>
        <w:spacing w:before="0" w:after="0" w:line="560" w:lineRule="exact"/>
        <w:ind w:firstLine="640" w:firstLineChars="200"/>
        <w:jc w:val="both"/>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本项目无其他需说明的问题。</w:t>
      </w:r>
    </w:p>
    <w:p w14:paraId="6D265D09">
      <w:pPr>
        <w:widowControl/>
        <w:jc w:val="center"/>
        <w:rPr>
          <w:rFonts w:hint="default" w:ascii="Times New Roman" w:hAnsi="Times New Roman" w:cs="Times New Roman"/>
          <w:b/>
          <w:bCs/>
          <w:color w:val="000000"/>
          <w:kern w:val="0"/>
          <w:sz w:val="32"/>
          <w:szCs w:val="32"/>
        </w:rPr>
        <w:sectPr>
          <w:footerReference r:id="rId3" w:type="default"/>
          <w:pgSz w:w="11906" w:h="16838"/>
          <w:pgMar w:top="1440" w:right="1558" w:bottom="1440" w:left="1800" w:header="851" w:footer="992" w:gutter="0"/>
          <w:cols w:space="425" w:num="1"/>
          <w:docGrid w:type="lines" w:linePitch="312" w:charSpace="0"/>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4"/>
        <w:gridCol w:w="1006"/>
        <w:gridCol w:w="2347"/>
      </w:tblGrid>
      <w:tr w14:paraId="07E2F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42755AE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B7E9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C7456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09014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CB1D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AC7BE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自治区2023年第一批疫情防控补助资金（自治区本级医疗机构重症床位设备配置经费）</w:t>
            </w:r>
          </w:p>
        </w:tc>
      </w:tr>
      <w:tr w14:paraId="145D4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13D3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A630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7DC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1CB2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新疆医科大学附属肿瘤医院</w:t>
            </w:r>
          </w:p>
        </w:tc>
      </w:tr>
      <w:tr w14:paraId="50EEE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92F3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4C66A">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88A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DFF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3C1C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A3C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D610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31C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C1E2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3EB27">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384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DC7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3D39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4B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F61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FF10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8D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0293F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3A0D1">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D22E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986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5A2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7A88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2C7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6D6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74F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3A75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342982">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5D16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D01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E4E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741B58">
            <w:pPr>
              <w:jc w:val="center"/>
              <w:rPr>
                <w:rFonts w:hint="eastAsia" w:ascii="宋体" w:hAnsi="宋体" w:eastAsia="宋体" w:cs="宋体"/>
                <w:i w:val="0"/>
                <w:iCs w:val="0"/>
                <w:color w:val="000000"/>
                <w:sz w:val="18"/>
                <w:szCs w:val="18"/>
                <w:u w:val="none"/>
              </w:rPr>
            </w:pP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151A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AFB3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AAF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D86F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1976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9344B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FC113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76C9C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FD6BC">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5B87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按照国务院联防联控机制《关于印发做好医疗资源准备工作方案的通知》（联防联控机制综发</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112号）要求和新冠病毒感染疫情乙类乙管工作要求，有效提升医疗机构重症救治资源储备，扩充ICU床位数，补齐设备缺口，有效开展疫情期间重症病例救治工作。</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F49A5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有效提升了医疗机构重症救治资源储备，扩充ICU床位数，补齐设备缺口，有效开展疫情期间重症病例救治工作。</w:t>
            </w:r>
          </w:p>
        </w:tc>
      </w:tr>
      <w:tr w14:paraId="06196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BB0B9">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6E91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725E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197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2C96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67E4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69C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1F7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049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69C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A1914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4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C4DC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A5DD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453C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AB89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520DC">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F3465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7C6EB">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02C8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F8CE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7D34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A8086">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2A15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1BDE5">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38FA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FC7FF">
            <w:pPr>
              <w:jc w:val="center"/>
              <w:rPr>
                <w:rFonts w:hint="eastAsia" w:ascii="宋体" w:hAnsi="宋体" w:eastAsia="宋体" w:cs="宋体"/>
                <w:b/>
                <w:bCs/>
                <w:i w:val="0"/>
                <w:iCs w:val="0"/>
                <w:color w:val="000000"/>
                <w:sz w:val="18"/>
                <w:szCs w:val="18"/>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5E0DF">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B3E62">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3E269">
            <w:pPr>
              <w:jc w:val="center"/>
              <w:rPr>
                <w:rFonts w:hint="eastAsia" w:ascii="宋体" w:hAnsi="宋体" w:eastAsia="宋体" w:cs="宋体"/>
                <w:b/>
                <w:bCs/>
                <w:i w:val="0"/>
                <w:iCs w:val="0"/>
                <w:color w:val="000000"/>
                <w:sz w:val="18"/>
                <w:szCs w:val="18"/>
                <w:u w:val="none"/>
              </w:rPr>
            </w:pPr>
          </w:p>
        </w:tc>
      </w:tr>
      <w:tr w14:paraId="5A663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FB24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699B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D30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E7F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配置ICU床位数量</w:t>
            </w:r>
            <w:r>
              <w:rPr>
                <w:rFonts w:hint="eastAsia" w:ascii="宋体" w:hAnsi="宋体" w:cs="宋体"/>
                <w:i w:val="0"/>
                <w:iCs w:val="0"/>
                <w:color w:val="000000"/>
                <w:kern w:val="0"/>
                <w:sz w:val="18"/>
                <w:szCs w:val="18"/>
                <w:u w:val="none"/>
                <w:lang w:val="en-US" w:eastAsia="zh-CN" w:bidi="ar"/>
              </w:rPr>
              <w:t>及</w:t>
            </w:r>
            <w:r>
              <w:rPr>
                <w:rFonts w:hint="eastAsia" w:ascii="宋体" w:hAnsi="宋体" w:eastAsia="宋体" w:cs="宋体"/>
                <w:i w:val="0"/>
                <w:iCs w:val="0"/>
                <w:color w:val="000000"/>
                <w:kern w:val="0"/>
                <w:sz w:val="18"/>
                <w:szCs w:val="18"/>
                <w:u w:val="none"/>
                <w:lang w:val="en-US" w:eastAsia="zh-CN" w:bidi="ar"/>
              </w:rPr>
              <w:t>配套设备数量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EE9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9CA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&gt;=41床（套）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2D4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=60床（套）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088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146.34%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898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1B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27EFE">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DD8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D5E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2E5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我院为肿瘤专科医院，疫情期间危重病人较多，因此增设亚重症病区，对应改造了相应的床位。</w:t>
            </w:r>
          </w:p>
        </w:tc>
      </w:tr>
      <w:tr w14:paraId="2B06D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33F8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D91C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6F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2C8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2FA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8D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3FC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798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354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AE1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F2E6A">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43D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C6B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CED3F">
            <w:pPr>
              <w:jc w:val="center"/>
              <w:rPr>
                <w:rFonts w:hint="eastAsia" w:ascii="宋体" w:hAnsi="宋体" w:eastAsia="宋体" w:cs="宋体"/>
                <w:i w:val="0"/>
                <w:iCs w:val="0"/>
                <w:color w:val="000000"/>
                <w:sz w:val="18"/>
                <w:szCs w:val="18"/>
                <w:u w:val="none"/>
              </w:rPr>
            </w:pPr>
          </w:p>
        </w:tc>
      </w:tr>
      <w:tr w14:paraId="674CE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BA324">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33515">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A98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44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786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9DE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48E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C1C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3B3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04A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5EEF3">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3E6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4BB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F04A4">
            <w:pPr>
              <w:jc w:val="center"/>
              <w:rPr>
                <w:rFonts w:hint="eastAsia" w:ascii="宋体" w:hAnsi="宋体" w:eastAsia="宋体" w:cs="宋体"/>
                <w:i w:val="0"/>
                <w:iCs w:val="0"/>
                <w:color w:val="000000"/>
                <w:sz w:val="18"/>
                <w:szCs w:val="18"/>
                <w:u w:val="none"/>
              </w:rPr>
            </w:pPr>
          </w:p>
        </w:tc>
      </w:tr>
      <w:tr w14:paraId="78AEE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CAB12">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4D1C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D4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CD5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床位改造完成时间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39A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3A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2022年12月31日前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487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2023年3月26日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EA6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A1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271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28D2F">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46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DEE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B7E4E">
            <w:pPr>
              <w:jc w:val="center"/>
              <w:rPr>
                <w:rFonts w:hint="eastAsia" w:ascii="宋体" w:hAnsi="宋体" w:eastAsia="宋体" w:cs="宋体"/>
                <w:i w:val="0"/>
                <w:iCs w:val="0"/>
                <w:color w:val="000000"/>
                <w:sz w:val="18"/>
                <w:szCs w:val="18"/>
                <w:u w:val="none"/>
              </w:rPr>
            </w:pPr>
          </w:p>
        </w:tc>
      </w:tr>
      <w:tr w14:paraId="22207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66760">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6A7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2E1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E3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设备采购成本控制数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D44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0EB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&lt;=61万元/床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05B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=42.67万元/床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CAE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A7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6BA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6CC21">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269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53A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A3123">
            <w:pPr>
              <w:jc w:val="center"/>
              <w:rPr>
                <w:rFonts w:hint="eastAsia" w:ascii="宋体" w:hAnsi="宋体" w:eastAsia="宋体" w:cs="宋体"/>
                <w:i w:val="0"/>
                <w:iCs w:val="0"/>
                <w:color w:val="000000"/>
                <w:sz w:val="18"/>
                <w:szCs w:val="18"/>
                <w:u w:val="none"/>
              </w:rPr>
            </w:pPr>
          </w:p>
        </w:tc>
      </w:tr>
      <w:tr w14:paraId="75A82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47B4F">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2EB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C99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0AF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设备利用率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C49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0F3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F1A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2C3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4FD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8B0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3C1F2">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53D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10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D7091">
            <w:pPr>
              <w:jc w:val="center"/>
              <w:rPr>
                <w:rFonts w:hint="eastAsia" w:ascii="宋体" w:hAnsi="宋体" w:eastAsia="宋体" w:cs="宋体"/>
                <w:i w:val="0"/>
                <w:iCs w:val="0"/>
                <w:color w:val="000000"/>
                <w:sz w:val="18"/>
                <w:szCs w:val="18"/>
                <w:u w:val="none"/>
              </w:rPr>
            </w:pPr>
          </w:p>
        </w:tc>
      </w:tr>
      <w:tr w14:paraId="362BC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9AE53">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1CC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E1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4E7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使用人员满意度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ED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07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C4A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29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F72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F89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5216F">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B41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D2E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43895">
            <w:pPr>
              <w:jc w:val="center"/>
              <w:rPr>
                <w:rFonts w:hint="eastAsia" w:ascii="宋体" w:hAnsi="宋体" w:eastAsia="宋体" w:cs="宋体"/>
                <w:i w:val="0"/>
                <w:iCs w:val="0"/>
                <w:color w:val="000000"/>
                <w:sz w:val="18"/>
                <w:szCs w:val="18"/>
                <w:u w:val="none"/>
              </w:rPr>
            </w:pPr>
          </w:p>
        </w:tc>
      </w:tr>
      <w:tr w14:paraId="75B22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782CBC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50E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11CCB294">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A31F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818C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099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87.89分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C9877">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A5ADF">
            <w:pP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6A959">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74DA9">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58535">
            <w:pPr>
              <w:rPr>
                <w:rFonts w:hint="eastAsia" w:ascii="宋体" w:hAnsi="宋体" w:eastAsia="宋体" w:cs="宋体"/>
                <w:i w:val="0"/>
                <w:iCs w:val="0"/>
                <w:color w:val="000000"/>
                <w:sz w:val="18"/>
                <w:szCs w:val="18"/>
                <w:u w:val="none"/>
              </w:rPr>
            </w:pPr>
          </w:p>
        </w:tc>
      </w:tr>
    </w:tbl>
    <w:p w14:paraId="79905EC7">
      <w:pPr>
        <w:pStyle w:val="2"/>
        <w:spacing w:before="0" w:after="0" w:line="560" w:lineRule="exact"/>
        <w:jc w:val="both"/>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br w:type="page"/>
      </w:r>
    </w:p>
    <w:p w14:paraId="248BC2F3">
      <w:pPr>
        <w:pStyle w:val="2"/>
        <w:jc w:val="both"/>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tbl>
      <w:tblPr>
        <w:tblStyle w:val="12"/>
        <w:tblpPr w:leftFromText="180" w:rightFromText="180" w:vertAnchor="text" w:horzAnchor="page" w:tblpX="2226" w:tblpY="588"/>
        <w:tblOverlap w:val="never"/>
        <w:tblW w:w="4474"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7"/>
        <w:gridCol w:w="766"/>
        <w:gridCol w:w="873"/>
        <w:gridCol w:w="2353"/>
        <w:gridCol w:w="5191"/>
        <w:gridCol w:w="1300"/>
        <w:gridCol w:w="1363"/>
      </w:tblGrid>
      <w:tr w14:paraId="3CA07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trPr>
        <w:tc>
          <w:tcPr>
            <w:tcW w:w="330" w:type="pct"/>
            <w:shd w:val="clear" w:color="auto" w:fill="FFFFFF"/>
            <w:vAlign w:val="center"/>
          </w:tcPr>
          <w:p w14:paraId="75A9740D">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302" w:type="pct"/>
            <w:shd w:val="clear" w:color="auto" w:fill="FFFFFF"/>
            <w:vAlign w:val="center"/>
          </w:tcPr>
          <w:p w14:paraId="17FFCF01">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344" w:type="pct"/>
            <w:shd w:val="clear" w:color="auto" w:fill="FFFFFF"/>
            <w:vAlign w:val="center"/>
          </w:tcPr>
          <w:p w14:paraId="28DD790E">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927" w:type="pct"/>
            <w:shd w:val="clear" w:color="auto" w:fill="FFFFFF"/>
            <w:vAlign w:val="center"/>
          </w:tcPr>
          <w:p w14:paraId="58EDF6E2">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2045" w:type="pct"/>
            <w:shd w:val="clear" w:color="auto" w:fill="FFFFFF"/>
            <w:vAlign w:val="center"/>
          </w:tcPr>
          <w:p w14:paraId="1BA8F81A">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12" w:type="pct"/>
            <w:shd w:val="clear" w:color="auto" w:fill="FFFFFF"/>
            <w:vAlign w:val="center"/>
          </w:tcPr>
          <w:p w14:paraId="35D2EA08">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权重</w:t>
            </w:r>
          </w:p>
        </w:tc>
        <w:tc>
          <w:tcPr>
            <w:tcW w:w="537" w:type="pct"/>
            <w:shd w:val="clear" w:color="auto" w:fill="FFFFFF"/>
            <w:vAlign w:val="center"/>
          </w:tcPr>
          <w:p w14:paraId="52E2F0FC">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14:paraId="1422FC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trPr>
        <w:tc>
          <w:tcPr>
            <w:tcW w:w="330" w:type="pct"/>
            <w:vMerge w:val="restart"/>
            <w:shd w:val="clear" w:color="auto" w:fill="FFFFFF"/>
            <w:vAlign w:val="center"/>
          </w:tcPr>
          <w:p w14:paraId="5280A9A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14:paraId="759FCD3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14:paraId="656A631A">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302" w:type="pct"/>
            <w:vMerge w:val="restart"/>
            <w:shd w:val="clear" w:color="auto" w:fill="FFFFFF"/>
            <w:vAlign w:val="center"/>
          </w:tcPr>
          <w:p w14:paraId="51A1EFD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344" w:type="pct"/>
            <w:shd w:val="clear" w:color="auto" w:fill="FFFFFF"/>
            <w:vAlign w:val="center"/>
          </w:tcPr>
          <w:p w14:paraId="47C3D7F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14:paraId="29F393F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927" w:type="pct"/>
            <w:shd w:val="clear" w:color="auto" w:fill="FFFFFF"/>
            <w:vAlign w:val="center"/>
          </w:tcPr>
          <w:p w14:paraId="4BE5C04F">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2045" w:type="pct"/>
            <w:shd w:val="clear" w:color="auto" w:fill="FFFFFF"/>
            <w:vAlign w:val="center"/>
          </w:tcPr>
          <w:p w14:paraId="44452782">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12" w:type="pct"/>
            <w:shd w:val="clear" w:color="auto" w:fill="FFFFFF"/>
            <w:vAlign w:val="center"/>
          </w:tcPr>
          <w:p w14:paraId="6C3F64E6">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537" w:type="pct"/>
            <w:shd w:val="clear" w:color="auto" w:fill="FFFFFF"/>
            <w:vAlign w:val="center"/>
          </w:tcPr>
          <w:p w14:paraId="57D22978">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r>
      <w:tr w14:paraId="3B11C2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trPr>
        <w:tc>
          <w:tcPr>
            <w:tcW w:w="330" w:type="pct"/>
            <w:vMerge w:val="continue"/>
            <w:shd w:val="clear" w:color="auto" w:fill="FFFFFF"/>
            <w:vAlign w:val="center"/>
          </w:tcPr>
          <w:p w14:paraId="711C8DAF">
            <w:pPr>
              <w:spacing w:line="0" w:lineRule="atLeast"/>
              <w:jc w:val="center"/>
              <w:rPr>
                <w:rFonts w:hint="default" w:ascii="Times New Roman" w:hAnsi="Times New Roman" w:cs="Times New Roman"/>
                <w:color w:val="000000"/>
                <w:kern w:val="0"/>
                <w:sz w:val="22"/>
                <w:szCs w:val="22"/>
              </w:rPr>
            </w:pPr>
          </w:p>
        </w:tc>
        <w:tc>
          <w:tcPr>
            <w:tcW w:w="302" w:type="pct"/>
            <w:vMerge w:val="continue"/>
            <w:shd w:val="clear" w:color="auto" w:fill="FFFFFF"/>
            <w:vAlign w:val="center"/>
          </w:tcPr>
          <w:p w14:paraId="1A1E8CE2">
            <w:pPr>
              <w:widowControl/>
              <w:spacing w:line="0" w:lineRule="atLeast"/>
              <w:jc w:val="center"/>
              <w:rPr>
                <w:rFonts w:hint="default" w:ascii="Times New Roman" w:hAnsi="Times New Roman" w:cs="Times New Roman"/>
                <w:color w:val="000000"/>
                <w:kern w:val="0"/>
                <w:sz w:val="22"/>
                <w:szCs w:val="22"/>
              </w:rPr>
            </w:pPr>
          </w:p>
        </w:tc>
        <w:tc>
          <w:tcPr>
            <w:tcW w:w="344" w:type="pct"/>
            <w:shd w:val="clear" w:color="auto" w:fill="FFFFFF"/>
            <w:vAlign w:val="center"/>
          </w:tcPr>
          <w:p w14:paraId="6C0E30E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14:paraId="4E9B7F5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927" w:type="pct"/>
            <w:shd w:val="clear" w:color="auto" w:fill="FFFFFF"/>
            <w:vAlign w:val="center"/>
          </w:tcPr>
          <w:p w14:paraId="2898AC65">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2045" w:type="pct"/>
            <w:shd w:val="clear" w:color="auto" w:fill="FFFFFF"/>
            <w:vAlign w:val="center"/>
          </w:tcPr>
          <w:p w14:paraId="10CF19DF">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12" w:type="pct"/>
            <w:shd w:val="clear" w:color="auto" w:fill="FFFFFF"/>
            <w:vAlign w:val="center"/>
          </w:tcPr>
          <w:p w14:paraId="4742ABF4">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537" w:type="pct"/>
            <w:shd w:val="clear" w:color="auto" w:fill="FFFFFF"/>
            <w:vAlign w:val="center"/>
          </w:tcPr>
          <w:p w14:paraId="5FE221A8">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r>
      <w:tr w14:paraId="7F5EE4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trPr>
        <w:tc>
          <w:tcPr>
            <w:tcW w:w="330" w:type="pct"/>
            <w:vMerge w:val="continue"/>
            <w:shd w:val="clear" w:color="auto" w:fill="FFFFFF"/>
            <w:vAlign w:val="center"/>
          </w:tcPr>
          <w:p w14:paraId="15172767">
            <w:pPr>
              <w:spacing w:line="0" w:lineRule="atLeast"/>
              <w:jc w:val="center"/>
              <w:rPr>
                <w:rFonts w:hint="default" w:ascii="Times New Roman" w:hAnsi="Times New Roman" w:cs="Times New Roman"/>
                <w:color w:val="000000"/>
                <w:kern w:val="0"/>
                <w:sz w:val="22"/>
                <w:szCs w:val="22"/>
              </w:rPr>
            </w:pPr>
          </w:p>
        </w:tc>
        <w:tc>
          <w:tcPr>
            <w:tcW w:w="302" w:type="pct"/>
            <w:shd w:val="clear" w:color="auto" w:fill="FFFFFF"/>
            <w:vAlign w:val="center"/>
          </w:tcPr>
          <w:p w14:paraId="7166D45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344" w:type="pct"/>
            <w:shd w:val="clear" w:color="auto" w:fill="FFFFFF"/>
            <w:vAlign w:val="center"/>
          </w:tcPr>
          <w:p w14:paraId="26C2EA5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14:paraId="1301AE2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927" w:type="pct"/>
            <w:shd w:val="clear" w:color="000000" w:fill="FFFFFF"/>
            <w:vAlign w:val="center"/>
          </w:tcPr>
          <w:p w14:paraId="0681B0DF">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2045" w:type="pct"/>
            <w:shd w:val="clear" w:color="000000" w:fill="FFFFFF"/>
            <w:vAlign w:val="center"/>
          </w:tcPr>
          <w:p w14:paraId="6636DA93">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③项目预期产出效益和效果是否符合正常的业绩水平；</w:t>
            </w:r>
          </w:p>
          <w:p w14:paraId="2335E56A">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12" w:type="pct"/>
            <w:shd w:val="clear" w:color="000000" w:fill="FFFFFF"/>
            <w:vAlign w:val="center"/>
          </w:tcPr>
          <w:p w14:paraId="27FCBD34">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537" w:type="pct"/>
            <w:shd w:val="clear" w:color="000000" w:fill="FFFFFF"/>
            <w:vAlign w:val="center"/>
          </w:tcPr>
          <w:p w14:paraId="388CC001">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color w:val="000000"/>
                <w:sz w:val="22"/>
              </w:rPr>
              <w:t>3</w:t>
            </w:r>
          </w:p>
        </w:tc>
      </w:tr>
      <w:tr w14:paraId="26961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trPr>
        <w:tc>
          <w:tcPr>
            <w:tcW w:w="330" w:type="pct"/>
            <w:vMerge w:val="restart"/>
            <w:shd w:val="clear" w:color="auto" w:fill="FFFFFF"/>
            <w:vAlign w:val="center"/>
          </w:tcPr>
          <w:p w14:paraId="6F962F4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302" w:type="pct"/>
            <w:shd w:val="clear" w:color="auto" w:fill="FFFFFF"/>
            <w:vAlign w:val="center"/>
          </w:tcPr>
          <w:p w14:paraId="178EDFDB">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344" w:type="pct"/>
            <w:shd w:val="clear" w:color="auto" w:fill="FFFFFF"/>
            <w:vAlign w:val="center"/>
          </w:tcPr>
          <w:p w14:paraId="251183B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14:paraId="74B661F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927" w:type="pct"/>
            <w:shd w:val="clear" w:color="000000" w:fill="FFFFFF"/>
            <w:vAlign w:val="center"/>
          </w:tcPr>
          <w:p w14:paraId="1B36D493">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2045" w:type="pct"/>
            <w:shd w:val="clear" w:color="000000" w:fill="FFFFFF"/>
            <w:vAlign w:val="center"/>
          </w:tcPr>
          <w:p w14:paraId="622DD04F">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rPr>
              <w:br w:type="textWrapping"/>
            </w:r>
          </w:p>
        </w:tc>
        <w:tc>
          <w:tcPr>
            <w:tcW w:w="512" w:type="pct"/>
            <w:shd w:val="clear" w:color="000000" w:fill="FFFFFF"/>
            <w:vAlign w:val="center"/>
          </w:tcPr>
          <w:p w14:paraId="45A12450">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3</w:t>
            </w:r>
          </w:p>
        </w:tc>
        <w:tc>
          <w:tcPr>
            <w:tcW w:w="537" w:type="pct"/>
            <w:shd w:val="clear" w:color="000000" w:fill="FFFFFF"/>
            <w:vAlign w:val="center"/>
          </w:tcPr>
          <w:p w14:paraId="75AD62C8">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color w:val="000000"/>
                <w:sz w:val="22"/>
              </w:rPr>
              <w:t>3</w:t>
            </w:r>
          </w:p>
        </w:tc>
      </w:tr>
      <w:tr w14:paraId="2B495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trPr>
        <w:tc>
          <w:tcPr>
            <w:tcW w:w="330" w:type="pct"/>
            <w:vMerge w:val="continue"/>
            <w:shd w:val="clear" w:color="auto" w:fill="FFFFFF"/>
            <w:vAlign w:val="center"/>
          </w:tcPr>
          <w:p w14:paraId="5F052E34">
            <w:pPr>
              <w:spacing w:line="0" w:lineRule="atLeast"/>
              <w:jc w:val="center"/>
              <w:rPr>
                <w:rFonts w:hint="default" w:ascii="Times New Roman" w:hAnsi="Times New Roman" w:cs="Times New Roman"/>
                <w:color w:val="000000"/>
                <w:kern w:val="0"/>
                <w:sz w:val="22"/>
                <w:szCs w:val="22"/>
              </w:rPr>
            </w:pPr>
          </w:p>
        </w:tc>
        <w:tc>
          <w:tcPr>
            <w:tcW w:w="302" w:type="pct"/>
            <w:vMerge w:val="restart"/>
            <w:shd w:val="clear" w:color="auto" w:fill="FFFFFF"/>
            <w:vAlign w:val="center"/>
          </w:tcPr>
          <w:p w14:paraId="2934D17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14:paraId="23E76B6E">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344" w:type="pct"/>
            <w:shd w:val="clear" w:color="auto" w:fill="FFFFFF"/>
            <w:vAlign w:val="center"/>
          </w:tcPr>
          <w:p w14:paraId="3A688B1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14:paraId="5B3673F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927" w:type="pct"/>
            <w:shd w:val="clear" w:color="auto" w:fill="FFFFFF"/>
            <w:vAlign w:val="center"/>
          </w:tcPr>
          <w:p w14:paraId="3ADB58CB">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2045" w:type="pct"/>
            <w:shd w:val="clear" w:color="auto" w:fill="FFFFFF"/>
            <w:vAlign w:val="center"/>
          </w:tcPr>
          <w:p w14:paraId="4EDD2DAB">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12" w:type="pct"/>
            <w:shd w:val="clear" w:color="auto" w:fill="FFFFFF"/>
            <w:vAlign w:val="center"/>
          </w:tcPr>
          <w:p w14:paraId="181F4446">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auto" w:fill="FFFFFF"/>
            <w:vAlign w:val="center"/>
          </w:tcPr>
          <w:p w14:paraId="076BF557">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color w:val="000000"/>
                <w:sz w:val="22"/>
              </w:rPr>
              <w:t>4</w:t>
            </w:r>
          </w:p>
        </w:tc>
      </w:tr>
      <w:tr w14:paraId="4600C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trPr>
        <w:tc>
          <w:tcPr>
            <w:tcW w:w="330" w:type="pct"/>
            <w:vMerge w:val="continue"/>
            <w:shd w:val="clear" w:color="auto" w:fill="FFFFFF"/>
            <w:vAlign w:val="center"/>
          </w:tcPr>
          <w:p w14:paraId="5E858574">
            <w:pPr>
              <w:widowControl/>
              <w:spacing w:line="0" w:lineRule="atLeast"/>
              <w:jc w:val="center"/>
              <w:rPr>
                <w:rFonts w:hint="default" w:ascii="Times New Roman" w:hAnsi="Times New Roman" w:cs="Times New Roman"/>
                <w:color w:val="000000"/>
                <w:kern w:val="0"/>
                <w:sz w:val="22"/>
                <w:szCs w:val="22"/>
              </w:rPr>
            </w:pPr>
          </w:p>
        </w:tc>
        <w:tc>
          <w:tcPr>
            <w:tcW w:w="302" w:type="pct"/>
            <w:vMerge w:val="continue"/>
            <w:shd w:val="clear" w:color="auto" w:fill="FFFFFF"/>
            <w:vAlign w:val="center"/>
          </w:tcPr>
          <w:p w14:paraId="3ED3D800">
            <w:pPr>
              <w:widowControl/>
              <w:spacing w:line="0" w:lineRule="atLeast"/>
              <w:jc w:val="center"/>
              <w:rPr>
                <w:rFonts w:hint="default" w:ascii="Times New Roman" w:hAnsi="Times New Roman" w:cs="Times New Roman"/>
                <w:color w:val="000000"/>
                <w:kern w:val="0"/>
                <w:sz w:val="22"/>
                <w:szCs w:val="22"/>
              </w:rPr>
            </w:pPr>
          </w:p>
        </w:tc>
        <w:tc>
          <w:tcPr>
            <w:tcW w:w="344" w:type="pct"/>
            <w:shd w:val="clear" w:color="auto" w:fill="FFFFFF"/>
            <w:vAlign w:val="center"/>
          </w:tcPr>
          <w:p w14:paraId="1A67681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14:paraId="13420A00">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927" w:type="pct"/>
            <w:shd w:val="clear" w:color="auto" w:fill="FFFFFF"/>
            <w:vAlign w:val="center"/>
          </w:tcPr>
          <w:p w14:paraId="75388B90">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2045" w:type="pct"/>
            <w:shd w:val="clear" w:color="auto" w:fill="FFFFFF"/>
            <w:vAlign w:val="center"/>
          </w:tcPr>
          <w:p w14:paraId="1CC2D758">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12" w:type="pct"/>
            <w:shd w:val="clear" w:color="auto" w:fill="FFFFFF"/>
            <w:vAlign w:val="center"/>
          </w:tcPr>
          <w:p w14:paraId="5EE9D691">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auto" w:fill="FFFFFF"/>
            <w:vAlign w:val="center"/>
          </w:tcPr>
          <w:p w14:paraId="6F57AD53">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color w:val="000000"/>
                <w:sz w:val="22"/>
              </w:rPr>
              <w:t>4</w:t>
            </w:r>
          </w:p>
        </w:tc>
      </w:tr>
      <w:tr w14:paraId="16F1B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trPr>
        <w:tc>
          <w:tcPr>
            <w:tcW w:w="330" w:type="pct"/>
            <w:vMerge w:val="restart"/>
            <w:shd w:val="clear" w:color="auto" w:fill="FFFFFF"/>
            <w:vAlign w:val="center"/>
          </w:tcPr>
          <w:p w14:paraId="2C93A9C7">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302" w:type="pct"/>
            <w:vMerge w:val="restart"/>
            <w:shd w:val="clear" w:color="auto" w:fill="FFFFFF"/>
            <w:vAlign w:val="center"/>
          </w:tcPr>
          <w:p w14:paraId="6EBE9F6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344" w:type="pct"/>
            <w:shd w:val="clear" w:color="auto" w:fill="FFFFFF"/>
            <w:vAlign w:val="center"/>
          </w:tcPr>
          <w:p w14:paraId="39BCCE8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927" w:type="pct"/>
            <w:shd w:val="clear" w:color="000000" w:fill="FFFFFF"/>
            <w:vAlign w:val="center"/>
          </w:tcPr>
          <w:p w14:paraId="17424786">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2045" w:type="pct"/>
            <w:shd w:val="clear" w:color="000000" w:fill="FFFFFF"/>
            <w:vAlign w:val="center"/>
          </w:tcPr>
          <w:p w14:paraId="108F4497">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14:paraId="73B2AB66">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14:paraId="160125E0">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12" w:type="pct"/>
            <w:shd w:val="clear" w:color="000000" w:fill="FFFFFF"/>
            <w:vAlign w:val="center"/>
          </w:tcPr>
          <w:p w14:paraId="2B29F267">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000000" w:fill="FFFFFF"/>
            <w:vAlign w:val="center"/>
          </w:tcPr>
          <w:p w14:paraId="4F44063F">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color w:val="000000"/>
                <w:sz w:val="22"/>
              </w:rPr>
              <w:t>4</w:t>
            </w:r>
          </w:p>
        </w:tc>
      </w:tr>
      <w:tr w14:paraId="18FAE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trPr>
        <w:tc>
          <w:tcPr>
            <w:tcW w:w="330" w:type="pct"/>
            <w:vMerge w:val="continue"/>
            <w:shd w:val="clear" w:color="auto" w:fill="FFFFFF"/>
            <w:vAlign w:val="center"/>
          </w:tcPr>
          <w:p w14:paraId="465CDE97">
            <w:pPr>
              <w:spacing w:line="0" w:lineRule="atLeast"/>
              <w:jc w:val="center"/>
              <w:rPr>
                <w:rFonts w:hint="default" w:ascii="Times New Roman" w:hAnsi="Times New Roman" w:cs="Times New Roman"/>
                <w:color w:val="000000"/>
                <w:kern w:val="0"/>
                <w:sz w:val="22"/>
                <w:szCs w:val="22"/>
              </w:rPr>
            </w:pPr>
          </w:p>
        </w:tc>
        <w:tc>
          <w:tcPr>
            <w:tcW w:w="302" w:type="pct"/>
            <w:vMerge w:val="continue"/>
            <w:shd w:val="clear" w:color="auto" w:fill="FFFFFF"/>
            <w:vAlign w:val="center"/>
          </w:tcPr>
          <w:p w14:paraId="4D55089B">
            <w:pPr>
              <w:spacing w:line="0" w:lineRule="atLeast"/>
              <w:jc w:val="center"/>
              <w:rPr>
                <w:rFonts w:hint="default" w:ascii="Times New Roman" w:hAnsi="Times New Roman" w:cs="Times New Roman"/>
                <w:color w:val="000000"/>
                <w:kern w:val="0"/>
                <w:sz w:val="22"/>
                <w:szCs w:val="22"/>
              </w:rPr>
            </w:pPr>
          </w:p>
        </w:tc>
        <w:tc>
          <w:tcPr>
            <w:tcW w:w="344" w:type="pct"/>
            <w:shd w:val="clear" w:color="auto" w:fill="FFFFFF"/>
            <w:vAlign w:val="center"/>
          </w:tcPr>
          <w:p w14:paraId="3FDAB86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927" w:type="pct"/>
            <w:shd w:val="clear" w:color="auto" w:fill="FFFFFF"/>
            <w:vAlign w:val="center"/>
          </w:tcPr>
          <w:p w14:paraId="5D08E9F4">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2045" w:type="pct"/>
            <w:shd w:val="clear" w:color="auto" w:fill="FFFFFF"/>
            <w:vAlign w:val="center"/>
          </w:tcPr>
          <w:p w14:paraId="05C91392">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12" w:type="pct"/>
            <w:shd w:val="clear" w:color="auto" w:fill="FFFFFF"/>
            <w:vAlign w:val="center"/>
          </w:tcPr>
          <w:p w14:paraId="3D82F1D1">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auto" w:fill="FFFFFF"/>
            <w:vAlign w:val="center"/>
          </w:tcPr>
          <w:p w14:paraId="75766C2A">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color w:val="000000"/>
                <w:sz w:val="22"/>
              </w:rPr>
              <w:t>4</w:t>
            </w:r>
          </w:p>
        </w:tc>
      </w:tr>
      <w:tr w14:paraId="1C1BC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trPr>
        <w:tc>
          <w:tcPr>
            <w:tcW w:w="330" w:type="pct"/>
            <w:vMerge w:val="restart"/>
            <w:shd w:val="clear" w:color="auto" w:fill="FFFFFF"/>
            <w:vAlign w:val="center"/>
          </w:tcPr>
          <w:p w14:paraId="1C2253E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14:paraId="41ECCEF4">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302" w:type="pct"/>
            <w:shd w:val="clear" w:color="auto" w:fill="FFFFFF"/>
            <w:vAlign w:val="center"/>
          </w:tcPr>
          <w:p w14:paraId="79A853D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344" w:type="pct"/>
            <w:shd w:val="clear" w:color="auto" w:fill="FFFFFF"/>
            <w:vAlign w:val="center"/>
          </w:tcPr>
          <w:p w14:paraId="3CA5ADF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14:paraId="092EF848">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927" w:type="pct"/>
            <w:shd w:val="clear" w:color="000000" w:fill="FFFFFF"/>
            <w:vAlign w:val="center"/>
          </w:tcPr>
          <w:p w14:paraId="30086D2B">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2045" w:type="pct"/>
            <w:shd w:val="clear" w:color="000000" w:fill="FFFFFF"/>
            <w:vAlign w:val="center"/>
          </w:tcPr>
          <w:p w14:paraId="1F06255D">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④是否存在截留、挤占、挪用、虚列支出等情况。</w:t>
            </w:r>
          </w:p>
        </w:tc>
        <w:tc>
          <w:tcPr>
            <w:tcW w:w="512" w:type="pct"/>
            <w:shd w:val="clear" w:color="000000" w:fill="FFFFFF"/>
            <w:vAlign w:val="center"/>
          </w:tcPr>
          <w:p w14:paraId="7FF4DD7B">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000000" w:fill="FFFFFF"/>
            <w:vAlign w:val="center"/>
          </w:tcPr>
          <w:p w14:paraId="69CEB3A7">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color w:val="000000"/>
                <w:sz w:val="22"/>
              </w:rPr>
              <w:t>4</w:t>
            </w:r>
          </w:p>
        </w:tc>
      </w:tr>
      <w:tr w14:paraId="34E80C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trPr>
        <w:tc>
          <w:tcPr>
            <w:tcW w:w="330" w:type="pct"/>
            <w:vMerge w:val="continue"/>
            <w:shd w:val="clear" w:color="auto" w:fill="FFFFFF"/>
            <w:vAlign w:val="center"/>
          </w:tcPr>
          <w:p w14:paraId="6EA6EED5">
            <w:pPr>
              <w:spacing w:line="0" w:lineRule="atLeast"/>
              <w:jc w:val="center"/>
              <w:rPr>
                <w:rFonts w:hint="default" w:ascii="Times New Roman" w:hAnsi="Times New Roman" w:cs="Times New Roman"/>
                <w:color w:val="000000"/>
                <w:kern w:val="0"/>
                <w:sz w:val="22"/>
                <w:szCs w:val="22"/>
              </w:rPr>
            </w:pPr>
          </w:p>
        </w:tc>
        <w:tc>
          <w:tcPr>
            <w:tcW w:w="302" w:type="pct"/>
            <w:vMerge w:val="restart"/>
            <w:shd w:val="clear" w:color="auto" w:fill="FFFFFF"/>
            <w:vAlign w:val="center"/>
          </w:tcPr>
          <w:p w14:paraId="48152AE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14:paraId="478EC36D">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344" w:type="pct"/>
            <w:shd w:val="clear" w:color="auto" w:fill="FFFFFF"/>
            <w:vAlign w:val="center"/>
          </w:tcPr>
          <w:p w14:paraId="3E772E39">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14:paraId="7F8783D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927" w:type="pct"/>
            <w:shd w:val="clear" w:color="000000" w:fill="FFFFFF"/>
            <w:vAlign w:val="center"/>
          </w:tcPr>
          <w:p w14:paraId="7E2A8DE5">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2045" w:type="pct"/>
            <w:shd w:val="clear" w:color="000000" w:fill="FFFFFF"/>
            <w:vAlign w:val="center"/>
          </w:tcPr>
          <w:p w14:paraId="45281710">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②财务和业务管理制度是否合法、合规、完整。</w:t>
            </w:r>
          </w:p>
        </w:tc>
        <w:tc>
          <w:tcPr>
            <w:tcW w:w="512" w:type="pct"/>
            <w:shd w:val="clear" w:color="000000" w:fill="FFFFFF"/>
            <w:vAlign w:val="center"/>
          </w:tcPr>
          <w:p w14:paraId="7C00DE65">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000000" w:fill="FFFFFF"/>
            <w:vAlign w:val="center"/>
          </w:tcPr>
          <w:p w14:paraId="1CCA2750">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r>
      <w:tr w14:paraId="7304F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trPr>
        <w:tc>
          <w:tcPr>
            <w:tcW w:w="330" w:type="pct"/>
            <w:vMerge w:val="continue"/>
            <w:shd w:val="clear" w:color="auto" w:fill="FFFFFF"/>
            <w:vAlign w:val="center"/>
          </w:tcPr>
          <w:p w14:paraId="476FDC19">
            <w:pPr>
              <w:widowControl/>
              <w:spacing w:line="0" w:lineRule="atLeast"/>
              <w:jc w:val="center"/>
              <w:rPr>
                <w:rFonts w:hint="default" w:ascii="Times New Roman" w:hAnsi="Times New Roman" w:cs="Times New Roman"/>
                <w:color w:val="000000"/>
                <w:kern w:val="0"/>
                <w:sz w:val="22"/>
                <w:szCs w:val="22"/>
              </w:rPr>
            </w:pPr>
          </w:p>
        </w:tc>
        <w:tc>
          <w:tcPr>
            <w:tcW w:w="302" w:type="pct"/>
            <w:vMerge w:val="continue"/>
            <w:shd w:val="clear" w:color="auto" w:fill="FFFFFF"/>
            <w:vAlign w:val="center"/>
          </w:tcPr>
          <w:p w14:paraId="4063DDCA">
            <w:pPr>
              <w:widowControl/>
              <w:spacing w:line="0" w:lineRule="atLeast"/>
              <w:jc w:val="center"/>
              <w:rPr>
                <w:rFonts w:hint="default" w:ascii="Times New Roman" w:hAnsi="Times New Roman" w:cs="Times New Roman"/>
                <w:color w:val="000000"/>
                <w:kern w:val="0"/>
                <w:sz w:val="22"/>
                <w:szCs w:val="22"/>
              </w:rPr>
            </w:pPr>
          </w:p>
        </w:tc>
        <w:tc>
          <w:tcPr>
            <w:tcW w:w="344" w:type="pct"/>
            <w:shd w:val="clear" w:color="auto" w:fill="FFFFFF"/>
            <w:vAlign w:val="center"/>
          </w:tcPr>
          <w:p w14:paraId="150C2CC6">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14:paraId="6B50F48F">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927" w:type="pct"/>
            <w:shd w:val="clear" w:color="000000" w:fill="FFFFFF"/>
            <w:vAlign w:val="center"/>
          </w:tcPr>
          <w:p w14:paraId="3851B4AC">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2045" w:type="pct"/>
            <w:shd w:val="clear" w:color="000000" w:fill="FFFFFF"/>
            <w:vAlign w:val="center"/>
          </w:tcPr>
          <w:p w14:paraId="72A81736">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12" w:type="pct"/>
            <w:shd w:val="clear" w:color="000000" w:fill="FFFFFF"/>
            <w:vAlign w:val="center"/>
          </w:tcPr>
          <w:p w14:paraId="57C90B45">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c>
          <w:tcPr>
            <w:tcW w:w="537" w:type="pct"/>
            <w:shd w:val="clear" w:color="000000" w:fill="FFFFFF"/>
            <w:vAlign w:val="center"/>
          </w:tcPr>
          <w:p w14:paraId="707C856C">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4</w:t>
            </w:r>
          </w:p>
        </w:tc>
      </w:tr>
      <w:tr w14:paraId="522CC5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trPr>
        <w:tc>
          <w:tcPr>
            <w:tcW w:w="330" w:type="pct"/>
            <w:shd w:val="clear" w:color="auto" w:fill="FFFFFF"/>
            <w:vAlign w:val="center"/>
          </w:tcPr>
          <w:p w14:paraId="4BC517E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302" w:type="pct"/>
            <w:shd w:val="clear" w:color="auto" w:fill="FFFFFF"/>
            <w:vAlign w:val="center"/>
          </w:tcPr>
          <w:p w14:paraId="7839C75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344" w:type="pct"/>
            <w:shd w:val="clear" w:color="auto" w:fill="FFFFFF"/>
            <w:vAlign w:val="center"/>
          </w:tcPr>
          <w:p w14:paraId="7BC07B2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927" w:type="pct"/>
            <w:shd w:val="clear" w:color="000000" w:fill="FFFFFF"/>
            <w:vAlign w:val="center"/>
          </w:tcPr>
          <w:p w14:paraId="7F9EDE4C">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2045" w:type="pct"/>
            <w:shd w:val="clear" w:color="000000" w:fill="FFFFFF"/>
            <w:vAlign w:val="center"/>
          </w:tcPr>
          <w:p w14:paraId="6D02E5F9">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5CDEF711">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000000" w:fill="FFFFFF"/>
            <w:vAlign w:val="center"/>
          </w:tcPr>
          <w:p w14:paraId="05A27F70">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r>
      <w:tr w14:paraId="387857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trPr>
        <w:tc>
          <w:tcPr>
            <w:tcW w:w="330" w:type="pct"/>
            <w:vMerge w:val="restart"/>
            <w:shd w:val="clear" w:color="auto" w:fill="FFFFFF"/>
            <w:vAlign w:val="center"/>
          </w:tcPr>
          <w:p w14:paraId="7136B1E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302" w:type="pct"/>
            <w:shd w:val="clear" w:color="auto" w:fill="FFFFFF"/>
            <w:vAlign w:val="center"/>
          </w:tcPr>
          <w:p w14:paraId="6B094574">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344" w:type="pct"/>
            <w:shd w:val="clear" w:color="auto" w:fill="FFFFFF"/>
            <w:vAlign w:val="center"/>
          </w:tcPr>
          <w:p w14:paraId="0FB8EC61">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927" w:type="pct"/>
            <w:shd w:val="clear" w:color="000000" w:fill="FFFFFF"/>
            <w:vAlign w:val="center"/>
          </w:tcPr>
          <w:p w14:paraId="4A1A75A4">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2045" w:type="pct"/>
            <w:shd w:val="clear" w:color="000000" w:fill="FFFFFF"/>
            <w:vAlign w:val="center"/>
          </w:tcPr>
          <w:p w14:paraId="7A753A7B">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14:paraId="7732DFB3">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34C12A44">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000000" w:fill="FFFFFF"/>
            <w:vAlign w:val="center"/>
          </w:tcPr>
          <w:p w14:paraId="0B269CE6">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r>
      <w:tr w14:paraId="2232C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trPr>
        <w:tc>
          <w:tcPr>
            <w:tcW w:w="330" w:type="pct"/>
            <w:vMerge w:val="continue"/>
            <w:shd w:val="clear" w:color="auto" w:fill="FFFFFF"/>
            <w:vAlign w:val="center"/>
          </w:tcPr>
          <w:p w14:paraId="2849DC75">
            <w:pPr>
              <w:spacing w:line="0" w:lineRule="atLeast"/>
              <w:jc w:val="center"/>
              <w:rPr>
                <w:rFonts w:hint="default" w:ascii="Times New Roman" w:hAnsi="Times New Roman" w:cs="Times New Roman"/>
                <w:color w:val="000000"/>
                <w:kern w:val="0"/>
                <w:sz w:val="22"/>
                <w:szCs w:val="22"/>
              </w:rPr>
            </w:pPr>
          </w:p>
        </w:tc>
        <w:tc>
          <w:tcPr>
            <w:tcW w:w="302" w:type="pct"/>
            <w:shd w:val="clear" w:color="auto" w:fill="FFFFFF"/>
            <w:vAlign w:val="center"/>
          </w:tcPr>
          <w:p w14:paraId="4197652A">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344" w:type="pct"/>
            <w:shd w:val="clear" w:color="auto" w:fill="FFFFFF"/>
            <w:vAlign w:val="center"/>
          </w:tcPr>
          <w:p w14:paraId="7010109A">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927" w:type="pct"/>
            <w:shd w:val="clear" w:color="000000" w:fill="FFFFFF"/>
            <w:vAlign w:val="center"/>
          </w:tcPr>
          <w:p w14:paraId="4D414485">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2045" w:type="pct"/>
            <w:shd w:val="clear" w:color="000000" w:fill="FFFFFF"/>
            <w:vAlign w:val="center"/>
          </w:tcPr>
          <w:p w14:paraId="00F1FFCA">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12" w:type="pct"/>
            <w:shd w:val="clear" w:color="000000" w:fill="FFFFFF"/>
            <w:vAlign w:val="center"/>
          </w:tcPr>
          <w:p w14:paraId="59997723">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000000" w:fill="FFFFFF"/>
            <w:vAlign w:val="center"/>
          </w:tcPr>
          <w:p w14:paraId="563DA9EE">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r>
      <w:tr w14:paraId="24A70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trPr>
        <w:tc>
          <w:tcPr>
            <w:tcW w:w="330" w:type="pct"/>
            <w:vMerge w:val="continue"/>
            <w:shd w:val="clear" w:color="auto" w:fill="FFFFFF"/>
            <w:vAlign w:val="center"/>
          </w:tcPr>
          <w:p w14:paraId="22C318C0">
            <w:pPr>
              <w:widowControl/>
              <w:spacing w:line="0" w:lineRule="atLeast"/>
              <w:jc w:val="center"/>
              <w:rPr>
                <w:rFonts w:hint="default" w:ascii="Times New Roman" w:hAnsi="Times New Roman" w:cs="Times New Roman"/>
                <w:color w:val="000000"/>
                <w:kern w:val="0"/>
                <w:sz w:val="22"/>
                <w:szCs w:val="22"/>
              </w:rPr>
            </w:pPr>
          </w:p>
        </w:tc>
        <w:tc>
          <w:tcPr>
            <w:tcW w:w="302" w:type="pct"/>
            <w:shd w:val="clear" w:color="auto" w:fill="FFFFFF"/>
            <w:vAlign w:val="center"/>
          </w:tcPr>
          <w:p w14:paraId="311D269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344" w:type="pct"/>
            <w:shd w:val="clear" w:color="auto" w:fill="FFFFFF"/>
            <w:vAlign w:val="center"/>
          </w:tcPr>
          <w:p w14:paraId="68D39B33">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927" w:type="pct"/>
            <w:shd w:val="clear" w:color="000000" w:fill="FFFFFF"/>
            <w:vAlign w:val="center"/>
          </w:tcPr>
          <w:p w14:paraId="7453986F">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2045" w:type="pct"/>
            <w:shd w:val="clear" w:color="000000" w:fill="FFFFFF"/>
            <w:vAlign w:val="center"/>
          </w:tcPr>
          <w:p w14:paraId="28B18F34">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52E3F36D">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000000" w:fill="FFFFFF"/>
            <w:vAlign w:val="center"/>
          </w:tcPr>
          <w:p w14:paraId="1007BC2A">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r>
      <w:tr w14:paraId="3299F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trPr>
        <w:tc>
          <w:tcPr>
            <w:tcW w:w="330" w:type="pct"/>
            <w:vMerge w:val="restart"/>
            <w:shd w:val="clear" w:color="auto" w:fill="FFFFFF"/>
            <w:vAlign w:val="center"/>
          </w:tcPr>
          <w:p w14:paraId="0F72D6B5">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302" w:type="pct"/>
            <w:vMerge w:val="restart"/>
            <w:shd w:val="clear" w:color="auto" w:fill="FFFFFF"/>
            <w:vAlign w:val="center"/>
          </w:tcPr>
          <w:p w14:paraId="70460A1D">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344" w:type="pct"/>
            <w:shd w:val="clear" w:color="auto" w:fill="FFFFFF"/>
            <w:vAlign w:val="center"/>
          </w:tcPr>
          <w:p w14:paraId="2D86F717">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927" w:type="pct"/>
            <w:shd w:val="clear" w:color="auto" w:fill="FFFFFF"/>
            <w:vAlign w:val="center"/>
          </w:tcPr>
          <w:p w14:paraId="17F64F48">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2045" w:type="pct"/>
            <w:shd w:val="clear" w:color="auto" w:fill="FFFFFF"/>
            <w:vAlign w:val="center"/>
          </w:tcPr>
          <w:p w14:paraId="2F74634A">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3E4AC9E6">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auto" w:fill="FFFFFF"/>
            <w:vAlign w:val="center"/>
          </w:tcPr>
          <w:p w14:paraId="02905FFD">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color w:val="000000"/>
                <w:sz w:val="22"/>
              </w:rPr>
              <w:t>10</w:t>
            </w:r>
          </w:p>
        </w:tc>
      </w:tr>
      <w:tr w14:paraId="502445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trPr>
        <w:tc>
          <w:tcPr>
            <w:tcW w:w="330" w:type="pct"/>
            <w:vMerge w:val="continue"/>
            <w:shd w:val="clear" w:color="auto" w:fill="FFFFFF"/>
            <w:vAlign w:val="center"/>
          </w:tcPr>
          <w:p w14:paraId="4E706665">
            <w:pPr>
              <w:widowControl/>
              <w:spacing w:line="0" w:lineRule="atLeast"/>
              <w:jc w:val="center"/>
              <w:rPr>
                <w:rFonts w:hint="default" w:ascii="Times New Roman" w:hAnsi="Times New Roman" w:cs="Times New Roman"/>
                <w:color w:val="000000"/>
                <w:kern w:val="0"/>
                <w:sz w:val="22"/>
                <w:szCs w:val="22"/>
              </w:rPr>
            </w:pPr>
          </w:p>
        </w:tc>
        <w:tc>
          <w:tcPr>
            <w:tcW w:w="302" w:type="pct"/>
            <w:vMerge w:val="continue"/>
            <w:shd w:val="clear" w:color="auto" w:fill="FFFFFF"/>
            <w:vAlign w:val="center"/>
          </w:tcPr>
          <w:p w14:paraId="7ECC9C23">
            <w:pPr>
              <w:widowControl/>
              <w:spacing w:line="0" w:lineRule="atLeast"/>
              <w:jc w:val="center"/>
              <w:rPr>
                <w:rFonts w:hint="default" w:ascii="Times New Roman" w:hAnsi="Times New Roman" w:cs="Times New Roman"/>
                <w:color w:val="000000"/>
                <w:kern w:val="0"/>
                <w:sz w:val="22"/>
                <w:szCs w:val="22"/>
              </w:rPr>
            </w:pPr>
          </w:p>
        </w:tc>
        <w:tc>
          <w:tcPr>
            <w:tcW w:w="344" w:type="pct"/>
            <w:shd w:val="clear" w:color="auto" w:fill="FFFFFF"/>
            <w:vAlign w:val="center"/>
          </w:tcPr>
          <w:p w14:paraId="01992B82">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927" w:type="pct"/>
            <w:shd w:val="clear" w:color="000000" w:fill="FFFFFF"/>
            <w:vAlign w:val="center"/>
          </w:tcPr>
          <w:p w14:paraId="020B4AF2">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2045" w:type="pct"/>
            <w:shd w:val="clear" w:color="000000" w:fill="FFFFFF"/>
            <w:vAlign w:val="center"/>
          </w:tcPr>
          <w:p w14:paraId="5ED23483">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1EFBC46B">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c>
          <w:tcPr>
            <w:tcW w:w="537" w:type="pct"/>
            <w:shd w:val="clear" w:color="000000" w:fill="FFFFFF"/>
            <w:vAlign w:val="center"/>
          </w:tcPr>
          <w:p w14:paraId="3D36D4A5">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10</w:t>
            </w:r>
          </w:p>
        </w:tc>
      </w:tr>
    </w:tbl>
    <w:p w14:paraId="1B8BC2ED">
      <w:pPr>
        <w:spacing w:line="600" w:lineRule="exact"/>
        <w:rPr>
          <w:rFonts w:hint="default" w:ascii="Times New Roman" w:hAnsi="Times New Roman" w:cs="Times New Roman"/>
          <w:bCs/>
          <w:sz w:val="32"/>
          <w:szCs w:val="32"/>
        </w:rPr>
      </w:pPr>
    </w:p>
    <w:p w14:paraId="6B12E40A">
      <w:pPr>
        <w:pStyle w:val="2"/>
        <w:rPr>
          <w:rFonts w:hint="default" w:ascii="Times New Roman" w:hAnsi="Times New Roman" w:cs="Times New Roman"/>
        </w:rPr>
      </w:pPr>
    </w:p>
    <w:p w14:paraId="60A39E57">
      <w:pPr>
        <w:rPr>
          <w:rFonts w:hint="default" w:ascii="Times New Roman" w:hAnsi="Times New Roman" w:cs="Times New Roman"/>
        </w:rPr>
      </w:pPr>
    </w:p>
    <w:p w14:paraId="162BA0D4">
      <w:pPr>
        <w:spacing w:line="540" w:lineRule="exact"/>
        <w:ind w:firstLine="640"/>
        <w:rPr>
          <w:rStyle w:val="14"/>
          <w:rFonts w:hint="default" w:ascii="Times New Roman" w:hAnsi="Times New Roman" w:eastAsia="黑体" w:cs="Times New Roman"/>
          <w:bCs w:val="0"/>
          <w:spacing w:val="-4"/>
          <w:sz w:val="32"/>
          <w:szCs w:val="32"/>
        </w:rPr>
      </w:pPr>
    </w:p>
    <w:p w14:paraId="1047C9D9">
      <w:pPr>
        <w:spacing w:line="540" w:lineRule="exact"/>
        <w:ind w:firstLine="640"/>
        <w:rPr>
          <w:rStyle w:val="14"/>
          <w:rFonts w:hint="default" w:ascii="Times New Roman" w:hAnsi="Times New Roman" w:eastAsia="黑体" w:cs="Times New Roman"/>
          <w:bCs w:val="0"/>
          <w:spacing w:val="-4"/>
          <w:sz w:val="32"/>
          <w:szCs w:val="32"/>
        </w:rPr>
      </w:pPr>
    </w:p>
    <w:p w14:paraId="2F301CC8">
      <w:pPr>
        <w:spacing w:line="540" w:lineRule="exact"/>
        <w:ind w:firstLine="640"/>
        <w:rPr>
          <w:rStyle w:val="14"/>
          <w:rFonts w:hint="default" w:ascii="Times New Roman" w:hAnsi="Times New Roman" w:eastAsia="黑体" w:cs="Times New Roman"/>
          <w:bCs w:val="0"/>
          <w:spacing w:val="-4"/>
          <w:sz w:val="32"/>
          <w:szCs w:val="32"/>
        </w:rPr>
      </w:pPr>
    </w:p>
    <w:p w14:paraId="50DBE2D8">
      <w:pPr>
        <w:spacing w:line="540" w:lineRule="exact"/>
        <w:ind w:firstLine="640"/>
        <w:rPr>
          <w:rStyle w:val="14"/>
          <w:rFonts w:hint="default" w:ascii="Times New Roman" w:hAnsi="Times New Roman" w:eastAsia="黑体" w:cs="Times New Roman"/>
          <w:bCs w:val="0"/>
          <w:spacing w:val="-4"/>
          <w:sz w:val="32"/>
          <w:szCs w:val="32"/>
        </w:rPr>
      </w:pPr>
    </w:p>
    <w:p w14:paraId="77D3E369">
      <w:pPr>
        <w:spacing w:line="540" w:lineRule="exact"/>
        <w:ind w:firstLine="640"/>
        <w:rPr>
          <w:rStyle w:val="14"/>
          <w:rFonts w:hint="default" w:ascii="Times New Roman" w:hAnsi="Times New Roman" w:eastAsia="黑体" w:cs="Times New Roman"/>
          <w:bCs w:val="0"/>
          <w:spacing w:val="-4"/>
          <w:sz w:val="32"/>
          <w:szCs w:val="32"/>
        </w:rPr>
      </w:pPr>
    </w:p>
    <w:p w14:paraId="5A40CDED">
      <w:pPr>
        <w:spacing w:line="540" w:lineRule="exact"/>
        <w:ind w:firstLine="640"/>
        <w:rPr>
          <w:rStyle w:val="14"/>
          <w:rFonts w:hint="default" w:ascii="Times New Roman" w:hAnsi="Times New Roman" w:eastAsia="黑体" w:cs="Times New Roman"/>
          <w:bCs w:val="0"/>
          <w:spacing w:val="-4"/>
          <w:sz w:val="32"/>
          <w:szCs w:val="32"/>
        </w:rPr>
      </w:pPr>
    </w:p>
    <w:p w14:paraId="7389F170">
      <w:pPr>
        <w:spacing w:line="540" w:lineRule="exact"/>
        <w:rPr>
          <w:rStyle w:val="14"/>
          <w:rFonts w:hint="default" w:ascii="Times New Roman" w:hAnsi="Times New Roman" w:eastAsia="仿宋" w:cs="Times New Roman"/>
          <w:b w:val="0"/>
          <w:spacing w:val="-4"/>
          <w:sz w:val="32"/>
          <w:szCs w:val="32"/>
        </w:rPr>
      </w:pPr>
    </w:p>
    <w:p w14:paraId="65EDF886">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7A8C4C2">
        <w:pPr>
          <w:pStyle w:val="8"/>
          <w:jc w:val="center"/>
        </w:pPr>
        <w:r>
          <w:fldChar w:fldCharType="begin"/>
        </w:r>
        <w:r>
          <w:instrText xml:space="preserve">PAGE   \* MERGEFORMAT</w:instrText>
        </w:r>
        <w:r>
          <w:fldChar w:fldCharType="separate"/>
        </w:r>
        <w:r>
          <w:rPr>
            <w:lang w:val="zh-CN"/>
          </w:rPr>
          <w:t>2</w:t>
        </w:r>
        <w:r>
          <w:rPr>
            <w:lang w:val="zh-CN"/>
          </w:rPr>
          <w:fldChar w:fldCharType="end"/>
        </w:r>
      </w:p>
    </w:sdtContent>
  </w:sdt>
  <w:p w14:paraId="5707E0B6">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c1YWRlYmYyMDA2MjU1OTYyYzAzNjE2OGM4ZjcxZTgifQ=="/>
  </w:docVars>
  <w:rsids>
    <w:rsidRoot w:val="FF6C4049"/>
    <w:rsid w:val="0000233E"/>
    <w:rsid w:val="000029E5"/>
    <w:rsid w:val="00010A59"/>
    <w:rsid w:val="000132A9"/>
    <w:rsid w:val="00014C79"/>
    <w:rsid w:val="00021384"/>
    <w:rsid w:val="00021F35"/>
    <w:rsid w:val="0004004A"/>
    <w:rsid w:val="00042A97"/>
    <w:rsid w:val="00076EC8"/>
    <w:rsid w:val="0009288C"/>
    <w:rsid w:val="00095176"/>
    <w:rsid w:val="00095F7D"/>
    <w:rsid w:val="000C2D58"/>
    <w:rsid w:val="000C367C"/>
    <w:rsid w:val="000C77F3"/>
    <w:rsid w:val="000D13C6"/>
    <w:rsid w:val="000D3379"/>
    <w:rsid w:val="00104785"/>
    <w:rsid w:val="001114DF"/>
    <w:rsid w:val="00125BF3"/>
    <w:rsid w:val="0014180F"/>
    <w:rsid w:val="00154559"/>
    <w:rsid w:val="001608DC"/>
    <w:rsid w:val="0016347B"/>
    <w:rsid w:val="001736CB"/>
    <w:rsid w:val="00177E32"/>
    <w:rsid w:val="00184119"/>
    <w:rsid w:val="00185A90"/>
    <w:rsid w:val="00190FE9"/>
    <w:rsid w:val="00192B23"/>
    <w:rsid w:val="00194504"/>
    <w:rsid w:val="00196296"/>
    <w:rsid w:val="001A4F9E"/>
    <w:rsid w:val="001D222C"/>
    <w:rsid w:val="001D5E0F"/>
    <w:rsid w:val="001F6D8B"/>
    <w:rsid w:val="001F7F5E"/>
    <w:rsid w:val="002026E5"/>
    <w:rsid w:val="00211E86"/>
    <w:rsid w:val="00222276"/>
    <w:rsid w:val="002260BA"/>
    <w:rsid w:val="0023202C"/>
    <w:rsid w:val="002458EF"/>
    <w:rsid w:val="00281F58"/>
    <w:rsid w:val="002A0745"/>
    <w:rsid w:val="002B05FB"/>
    <w:rsid w:val="002B37A9"/>
    <w:rsid w:val="002D444D"/>
    <w:rsid w:val="002D7CA5"/>
    <w:rsid w:val="002E3CC5"/>
    <w:rsid w:val="00312F85"/>
    <w:rsid w:val="0034025F"/>
    <w:rsid w:val="00375FBE"/>
    <w:rsid w:val="0038450A"/>
    <w:rsid w:val="003845A5"/>
    <w:rsid w:val="003979B1"/>
    <w:rsid w:val="003A2528"/>
    <w:rsid w:val="003B3E3C"/>
    <w:rsid w:val="003C3700"/>
    <w:rsid w:val="003C379D"/>
    <w:rsid w:val="003F2FBE"/>
    <w:rsid w:val="00400ADC"/>
    <w:rsid w:val="0040491A"/>
    <w:rsid w:val="00432D26"/>
    <w:rsid w:val="0043756E"/>
    <w:rsid w:val="0045521A"/>
    <w:rsid w:val="00470E75"/>
    <w:rsid w:val="004712B7"/>
    <w:rsid w:val="004C2D7D"/>
    <w:rsid w:val="004E7B83"/>
    <w:rsid w:val="004F168C"/>
    <w:rsid w:val="00534B27"/>
    <w:rsid w:val="005359FA"/>
    <w:rsid w:val="00555B4C"/>
    <w:rsid w:val="00560545"/>
    <w:rsid w:val="005850BF"/>
    <w:rsid w:val="005909A8"/>
    <w:rsid w:val="00594F1A"/>
    <w:rsid w:val="005B7BB7"/>
    <w:rsid w:val="00613D51"/>
    <w:rsid w:val="006470E6"/>
    <w:rsid w:val="00652095"/>
    <w:rsid w:val="00656190"/>
    <w:rsid w:val="00656420"/>
    <w:rsid w:val="00662524"/>
    <w:rsid w:val="006716FA"/>
    <w:rsid w:val="006A5800"/>
    <w:rsid w:val="006D1EF4"/>
    <w:rsid w:val="006D70B8"/>
    <w:rsid w:val="006E72DA"/>
    <w:rsid w:val="006F704B"/>
    <w:rsid w:val="00705310"/>
    <w:rsid w:val="00714727"/>
    <w:rsid w:val="00733BAF"/>
    <w:rsid w:val="00747F43"/>
    <w:rsid w:val="00756AF4"/>
    <w:rsid w:val="00774F90"/>
    <w:rsid w:val="0078097B"/>
    <w:rsid w:val="00793E6B"/>
    <w:rsid w:val="007946D0"/>
    <w:rsid w:val="007B074F"/>
    <w:rsid w:val="007C5851"/>
    <w:rsid w:val="007D2540"/>
    <w:rsid w:val="007F0C25"/>
    <w:rsid w:val="007F0EAD"/>
    <w:rsid w:val="00815CAF"/>
    <w:rsid w:val="00824182"/>
    <w:rsid w:val="008365A9"/>
    <w:rsid w:val="0086671D"/>
    <w:rsid w:val="00874998"/>
    <w:rsid w:val="008809CB"/>
    <w:rsid w:val="0088465F"/>
    <w:rsid w:val="00892F03"/>
    <w:rsid w:val="008A505D"/>
    <w:rsid w:val="008C7D97"/>
    <w:rsid w:val="00902BBE"/>
    <w:rsid w:val="0091375D"/>
    <w:rsid w:val="009218B1"/>
    <w:rsid w:val="009271E9"/>
    <w:rsid w:val="0093403C"/>
    <w:rsid w:val="00935654"/>
    <w:rsid w:val="00964989"/>
    <w:rsid w:val="009855DF"/>
    <w:rsid w:val="009A4441"/>
    <w:rsid w:val="009C1791"/>
    <w:rsid w:val="009C5847"/>
    <w:rsid w:val="009D6173"/>
    <w:rsid w:val="009E4845"/>
    <w:rsid w:val="00A1492F"/>
    <w:rsid w:val="00A14961"/>
    <w:rsid w:val="00A226FC"/>
    <w:rsid w:val="00A24BF4"/>
    <w:rsid w:val="00A33924"/>
    <w:rsid w:val="00A374DB"/>
    <w:rsid w:val="00A37FBA"/>
    <w:rsid w:val="00A4798B"/>
    <w:rsid w:val="00A919C9"/>
    <w:rsid w:val="00A97D6E"/>
    <w:rsid w:val="00A97F06"/>
    <w:rsid w:val="00AA0376"/>
    <w:rsid w:val="00AB66EC"/>
    <w:rsid w:val="00AF7FC0"/>
    <w:rsid w:val="00B0371D"/>
    <w:rsid w:val="00B25727"/>
    <w:rsid w:val="00B356DE"/>
    <w:rsid w:val="00B5498F"/>
    <w:rsid w:val="00B96F36"/>
    <w:rsid w:val="00BA0250"/>
    <w:rsid w:val="00BC0F28"/>
    <w:rsid w:val="00C3444E"/>
    <w:rsid w:val="00C87A83"/>
    <w:rsid w:val="00C95717"/>
    <w:rsid w:val="00C97624"/>
    <w:rsid w:val="00CA0865"/>
    <w:rsid w:val="00CB647A"/>
    <w:rsid w:val="00CD15B8"/>
    <w:rsid w:val="00D42EEA"/>
    <w:rsid w:val="00D47D5A"/>
    <w:rsid w:val="00D623BE"/>
    <w:rsid w:val="00D75DDE"/>
    <w:rsid w:val="00D95243"/>
    <w:rsid w:val="00DA195D"/>
    <w:rsid w:val="00DB3613"/>
    <w:rsid w:val="00DF1CEF"/>
    <w:rsid w:val="00DF49BA"/>
    <w:rsid w:val="00DF5F66"/>
    <w:rsid w:val="00E12D4D"/>
    <w:rsid w:val="00E15317"/>
    <w:rsid w:val="00E207E3"/>
    <w:rsid w:val="00E25B47"/>
    <w:rsid w:val="00E44EA7"/>
    <w:rsid w:val="00E46488"/>
    <w:rsid w:val="00E5342B"/>
    <w:rsid w:val="00E918AD"/>
    <w:rsid w:val="00E9686A"/>
    <w:rsid w:val="00EB2390"/>
    <w:rsid w:val="00EF69C1"/>
    <w:rsid w:val="00F16196"/>
    <w:rsid w:val="00F22A99"/>
    <w:rsid w:val="00F570E6"/>
    <w:rsid w:val="00F5796A"/>
    <w:rsid w:val="00F96C6D"/>
    <w:rsid w:val="00FB3781"/>
    <w:rsid w:val="00FC7F82"/>
    <w:rsid w:val="00FD3DF8"/>
    <w:rsid w:val="00FF48B8"/>
    <w:rsid w:val="0FC603A8"/>
    <w:rsid w:val="110B0EC7"/>
    <w:rsid w:val="13B90F01"/>
    <w:rsid w:val="1C671E73"/>
    <w:rsid w:val="23AF14AC"/>
    <w:rsid w:val="2AF552B4"/>
    <w:rsid w:val="2B797C93"/>
    <w:rsid w:val="2E76670C"/>
    <w:rsid w:val="37E85248"/>
    <w:rsid w:val="395F2B56"/>
    <w:rsid w:val="3BECE841"/>
    <w:rsid w:val="3CFA1080"/>
    <w:rsid w:val="3FF7797D"/>
    <w:rsid w:val="42D31F27"/>
    <w:rsid w:val="4C2A3D41"/>
    <w:rsid w:val="4E105DDD"/>
    <w:rsid w:val="4F932120"/>
    <w:rsid w:val="5BFF6039"/>
    <w:rsid w:val="5D76A616"/>
    <w:rsid w:val="5D7F20B9"/>
    <w:rsid w:val="5DAC7D0E"/>
    <w:rsid w:val="5F30008D"/>
    <w:rsid w:val="5FFE8511"/>
    <w:rsid w:val="5FFEACE2"/>
    <w:rsid w:val="611A51B3"/>
    <w:rsid w:val="61A94127"/>
    <w:rsid w:val="643EE26D"/>
    <w:rsid w:val="64FF432C"/>
    <w:rsid w:val="6A876FCF"/>
    <w:rsid w:val="6FAF6C78"/>
    <w:rsid w:val="7317C656"/>
    <w:rsid w:val="76144EEA"/>
    <w:rsid w:val="776FE16E"/>
    <w:rsid w:val="77FD8BE9"/>
    <w:rsid w:val="79A9BD3F"/>
    <w:rsid w:val="7AD262FE"/>
    <w:rsid w:val="7BFFFDD0"/>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99"/>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6"/>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tabs>
        <w:tab w:val="center" w:pos="4153"/>
        <w:tab w:val="right" w:pos="8306"/>
      </w:tabs>
      <w:snapToGrid w:val="0"/>
      <w:jc w:val="center"/>
    </w:pPr>
    <w:rPr>
      <w:sz w:val="18"/>
      <w:szCs w:val="18"/>
    </w:rPr>
  </w:style>
  <w:style w:type="paragraph" w:styleId="10">
    <w:name w:val="Body Text First Indent"/>
    <w:basedOn w:val="5"/>
    <w:qFormat/>
    <w:uiPriority w:val="0"/>
    <w:pPr>
      <w:spacing w:after="0"/>
      <w:ind w:firstLine="200" w:firstLineChars="200"/>
    </w:pPr>
  </w:style>
  <w:style w:type="paragraph" w:styleId="11">
    <w:name w:val="Body Text First Indent 2"/>
    <w:basedOn w:val="6"/>
    <w:qFormat/>
    <w:uiPriority w:val="0"/>
    <w:pPr>
      <w:ind w:firstLine="420" w:firstLineChars="200"/>
    </w:pPr>
  </w:style>
  <w:style w:type="character" w:styleId="14">
    <w:name w:val="Strong"/>
    <w:basedOn w:val="13"/>
    <w:qFormat/>
    <w:uiPriority w:val="0"/>
    <w:rPr>
      <w:b/>
      <w:bCs/>
    </w:rPr>
  </w:style>
  <w:style w:type="character" w:styleId="15">
    <w:name w:val="FollowedHyperlink"/>
    <w:basedOn w:val="13"/>
    <w:qFormat/>
    <w:uiPriority w:val="0"/>
    <w:rPr>
      <w:color w:val="2786E4"/>
      <w:u w:val="none"/>
    </w:rPr>
  </w:style>
  <w:style w:type="character" w:styleId="16">
    <w:name w:val="annotation reference"/>
    <w:basedOn w:val="13"/>
    <w:qFormat/>
    <w:uiPriority w:val="99"/>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paragraph" w:customStyle="1" w:styleId="19">
    <w:name w:val="修订1"/>
    <w:unhideWhenUsed/>
    <w:qFormat/>
    <w:uiPriority w:val="99"/>
    <w:rPr>
      <w:rFonts w:ascii="Times New Roman" w:hAnsi="Times New Roman" w:eastAsia="宋体" w:cs="Times New Roman"/>
      <w:kern w:val="2"/>
      <w:sz w:val="21"/>
      <w:szCs w:val="24"/>
      <w:lang w:val="en-US" w:eastAsia="zh-CN" w:bidi="ar-SA"/>
    </w:rPr>
  </w:style>
  <w:style w:type="character" w:customStyle="1" w:styleId="20">
    <w:name w:val="页眉 Char"/>
    <w:basedOn w:val="13"/>
    <w:link w:val="9"/>
    <w:qFormat/>
    <w:uiPriority w:val="0"/>
    <w:rPr>
      <w:rFonts w:ascii="Times New Roman" w:hAnsi="Times New Roman" w:eastAsia="宋体" w:cs="Times New Roman"/>
      <w:kern w:val="2"/>
      <w:sz w:val="18"/>
      <w:szCs w:val="18"/>
    </w:rPr>
  </w:style>
  <w:style w:type="character" w:customStyle="1" w:styleId="21">
    <w:name w:val="批注文字 Char"/>
    <w:basedOn w:val="13"/>
    <w:link w:val="4"/>
    <w:qFormat/>
    <w:uiPriority w:val="99"/>
    <w:rPr>
      <w:rFonts w:ascii="Times New Roman" w:hAnsi="Times New Roman" w:eastAsia="宋体" w:cs="Times New Roman"/>
      <w:kern w:val="2"/>
      <w:sz w:val="21"/>
      <w:szCs w:val="24"/>
    </w:rPr>
  </w:style>
  <w:style w:type="paragraph" w:styleId="22">
    <w:name w:val="List Paragraph"/>
    <w:basedOn w:val="1"/>
    <w:unhideWhenUsed/>
    <w:qFormat/>
    <w:uiPriority w:val="99"/>
    <w:pPr>
      <w:ind w:firstLine="420" w:firstLineChars="200"/>
    </w:pPr>
  </w:style>
  <w:style w:type="character" w:customStyle="1" w:styleId="23">
    <w:name w:val="rec-time"/>
    <w:basedOn w:val="13"/>
    <w:qFormat/>
    <w:uiPriority w:val="0"/>
  </w:style>
  <w:style w:type="character" w:customStyle="1" w:styleId="24">
    <w:name w:val="rec-status-desc"/>
    <w:basedOn w:val="13"/>
    <w:qFormat/>
    <w:uiPriority w:val="0"/>
  </w:style>
  <w:style w:type="character" w:customStyle="1" w:styleId="25">
    <w:name w:val="rec-volume"/>
    <w:basedOn w:val="13"/>
    <w:qFormat/>
    <w:uiPriority w:val="0"/>
  </w:style>
  <w:style w:type="character" w:customStyle="1" w:styleId="26">
    <w:name w:val="批注框文本 Char"/>
    <w:basedOn w:val="13"/>
    <w:link w:val="7"/>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20</Pages>
  <Words>9008</Words>
  <Characters>9587</Characters>
  <Lines>74</Lines>
  <Paragraphs>20</Paragraphs>
  <TotalTime>51</TotalTime>
  <ScaleCrop>false</ScaleCrop>
  <LinksUpToDate>false</LinksUpToDate>
  <CharactersWithSpaces>9620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佩</cp:lastModifiedBy>
  <dcterms:modified xsi:type="dcterms:W3CDTF">2024-08-28T03:44:01Z</dcterms:modified>
  <cp:revision>234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0CA58AF8364FF55815C8066417B177EA</vt:lpwstr>
  </property>
</Properties>
</file>