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57F14E">
      <w:pPr>
        <w:spacing w:line="540" w:lineRule="exact"/>
        <w:jc w:val="center"/>
        <w:rPr>
          <w:rFonts w:hint="default" w:ascii="Times New Roman" w:hAnsi="Times New Roman" w:eastAsia="华文中宋" w:cs="Times New Roman"/>
          <w:b/>
          <w:kern w:val="0"/>
          <w:sz w:val="52"/>
          <w:szCs w:val="52"/>
        </w:rPr>
      </w:pPr>
    </w:p>
    <w:p w14:paraId="1168BA5F">
      <w:pPr>
        <w:spacing w:line="540" w:lineRule="exact"/>
        <w:rPr>
          <w:rFonts w:hint="default" w:ascii="Times New Roman" w:hAnsi="Times New Roman" w:eastAsia="华文中宋" w:cs="Times New Roman"/>
          <w:b/>
          <w:kern w:val="0"/>
          <w:sz w:val="52"/>
          <w:szCs w:val="52"/>
        </w:rPr>
      </w:pPr>
    </w:p>
    <w:p w14:paraId="1C066D1F">
      <w:pPr>
        <w:spacing w:line="540" w:lineRule="exact"/>
        <w:jc w:val="center"/>
        <w:rPr>
          <w:rFonts w:hint="default" w:ascii="Times New Roman" w:hAnsi="Times New Roman" w:eastAsia="华文中宋" w:cs="Times New Roman"/>
          <w:b/>
          <w:kern w:val="0"/>
          <w:sz w:val="52"/>
          <w:szCs w:val="52"/>
        </w:rPr>
      </w:pPr>
    </w:p>
    <w:p w14:paraId="42285D25">
      <w:pPr>
        <w:spacing w:line="540" w:lineRule="exact"/>
        <w:jc w:val="center"/>
        <w:rPr>
          <w:rFonts w:hint="default" w:ascii="Times New Roman" w:hAnsi="Times New Roman" w:eastAsia="华文中宋" w:cs="Times New Roman"/>
          <w:b/>
          <w:kern w:val="0"/>
          <w:sz w:val="52"/>
          <w:szCs w:val="52"/>
        </w:rPr>
      </w:pPr>
    </w:p>
    <w:p w14:paraId="25048B4E">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医院政府采购项目支出绩效评价</w:t>
      </w:r>
    </w:p>
    <w:p w14:paraId="3D043D89">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p w14:paraId="2637595D">
      <w:pPr>
        <w:spacing w:line="540" w:lineRule="exact"/>
        <w:jc w:val="center"/>
        <w:rPr>
          <w:rFonts w:hint="default" w:ascii="Times New Roman" w:hAnsi="Times New Roman" w:eastAsia="华文中宋" w:cs="Times New Roman"/>
          <w:b/>
          <w:kern w:val="0"/>
          <w:sz w:val="52"/>
          <w:szCs w:val="52"/>
        </w:rPr>
      </w:pPr>
    </w:p>
    <w:p w14:paraId="4745F750">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 2023年度）</w:t>
      </w:r>
    </w:p>
    <w:p w14:paraId="223567AA">
      <w:pPr>
        <w:spacing w:line="540" w:lineRule="exact"/>
        <w:jc w:val="center"/>
        <w:rPr>
          <w:rFonts w:hint="default" w:ascii="Times New Roman" w:hAnsi="Times New Roman" w:eastAsia="仿宋_GB2312" w:cs="Times New Roman"/>
          <w:kern w:val="0"/>
          <w:sz w:val="30"/>
          <w:szCs w:val="30"/>
        </w:rPr>
      </w:pPr>
    </w:p>
    <w:p w14:paraId="76D46ACD">
      <w:pPr>
        <w:spacing w:line="540" w:lineRule="exact"/>
        <w:jc w:val="center"/>
        <w:rPr>
          <w:rFonts w:hint="default" w:ascii="Times New Roman" w:hAnsi="Times New Roman" w:eastAsia="仿宋_GB2312" w:cs="Times New Roman"/>
          <w:kern w:val="0"/>
          <w:sz w:val="30"/>
          <w:szCs w:val="30"/>
        </w:rPr>
      </w:pPr>
    </w:p>
    <w:p w14:paraId="6BD6FD89">
      <w:pPr>
        <w:spacing w:line="540" w:lineRule="exact"/>
        <w:jc w:val="center"/>
        <w:rPr>
          <w:rFonts w:hint="default" w:ascii="Times New Roman" w:hAnsi="Times New Roman" w:eastAsia="仿宋_GB2312" w:cs="Times New Roman"/>
          <w:kern w:val="0"/>
          <w:sz w:val="30"/>
          <w:szCs w:val="30"/>
        </w:rPr>
      </w:pPr>
    </w:p>
    <w:p w14:paraId="1CC966BE">
      <w:pPr>
        <w:spacing w:line="540" w:lineRule="exact"/>
        <w:jc w:val="center"/>
        <w:rPr>
          <w:rFonts w:hint="default" w:ascii="Times New Roman" w:hAnsi="Times New Roman" w:eastAsia="仿宋_GB2312" w:cs="Times New Roman"/>
          <w:kern w:val="0"/>
          <w:sz w:val="30"/>
          <w:szCs w:val="30"/>
        </w:rPr>
      </w:pPr>
    </w:p>
    <w:p w14:paraId="66DE9E62">
      <w:pPr>
        <w:spacing w:line="540" w:lineRule="exact"/>
        <w:rPr>
          <w:rFonts w:hint="default" w:ascii="Times New Roman" w:hAnsi="Times New Roman" w:eastAsia="仿宋_GB2312" w:cs="Times New Roman"/>
          <w:kern w:val="0"/>
          <w:sz w:val="30"/>
          <w:szCs w:val="30"/>
        </w:rPr>
      </w:pPr>
    </w:p>
    <w:p w14:paraId="0B981BD3">
      <w:pPr>
        <w:spacing w:line="700" w:lineRule="exact"/>
        <w:ind w:firstLine="720" w:firstLineChars="2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项目名称：医院政府采购</w:t>
      </w:r>
    </w:p>
    <w:p w14:paraId="5938A01D">
      <w:pPr>
        <w:spacing w:line="700" w:lineRule="exact"/>
        <w:ind w:firstLine="720" w:firstLineChars="2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实施单位（公章）：新疆医科大学附属肿瘤医院</w:t>
      </w:r>
    </w:p>
    <w:p w14:paraId="172FB440">
      <w:pPr>
        <w:spacing w:line="700" w:lineRule="exact"/>
        <w:ind w:firstLine="720" w:firstLineChars="2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主管部门（公章）：自治区卫生健康委员会</w:t>
      </w:r>
    </w:p>
    <w:p w14:paraId="4D7F46BE">
      <w:pPr>
        <w:spacing w:line="700" w:lineRule="exact"/>
        <w:ind w:firstLine="720" w:firstLineChars="2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项目负责人（签章）：王成伟</w:t>
      </w:r>
    </w:p>
    <w:p w14:paraId="3DFD5834">
      <w:pPr>
        <w:spacing w:line="700" w:lineRule="exact"/>
        <w:ind w:firstLine="720" w:firstLineChars="2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填报时间：2024年3月6日</w:t>
      </w:r>
    </w:p>
    <w:p w14:paraId="62B3049F">
      <w:pPr>
        <w:spacing w:line="540" w:lineRule="exact"/>
        <w:jc w:val="center"/>
        <w:rPr>
          <w:rFonts w:hint="default" w:ascii="Times New Roman" w:hAnsi="Times New Roman" w:eastAsia="仿宋_GB2312" w:cs="Times New Roman"/>
          <w:kern w:val="0"/>
          <w:sz w:val="30"/>
          <w:szCs w:val="30"/>
        </w:rPr>
      </w:pPr>
    </w:p>
    <w:p w14:paraId="71C60391">
      <w:pPr>
        <w:spacing w:line="540" w:lineRule="exact"/>
        <w:rPr>
          <w:rStyle w:val="14"/>
          <w:rFonts w:hint="default" w:ascii="Times New Roman" w:hAnsi="Times New Roman" w:eastAsia="黑体" w:cs="Times New Roman"/>
          <w:b w:val="0"/>
          <w:spacing w:val="-4"/>
          <w:sz w:val="32"/>
          <w:szCs w:val="32"/>
        </w:rPr>
      </w:pPr>
    </w:p>
    <w:p w14:paraId="65518B2C">
      <w:pPr>
        <w:spacing w:line="540" w:lineRule="exact"/>
        <w:ind w:firstLine="640"/>
        <w:rPr>
          <w:rStyle w:val="14"/>
          <w:rFonts w:hint="default" w:ascii="Times New Roman" w:hAnsi="Times New Roman" w:eastAsia="黑体" w:cs="Times New Roman"/>
          <w:b w:val="0"/>
          <w:spacing w:val="-4"/>
          <w:sz w:val="32"/>
          <w:szCs w:val="32"/>
        </w:rPr>
      </w:pPr>
    </w:p>
    <w:p w14:paraId="7C12A783">
      <w:pPr>
        <w:spacing w:line="540" w:lineRule="exact"/>
        <w:rPr>
          <w:rStyle w:val="14"/>
          <w:rFonts w:hint="default" w:ascii="Times New Roman" w:hAnsi="Times New Roman" w:eastAsia="黑体" w:cs="Times New Roman"/>
          <w:b w:val="0"/>
          <w:spacing w:val="-4"/>
          <w:sz w:val="32"/>
          <w:szCs w:val="32"/>
        </w:rPr>
      </w:pPr>
    </w:p>
    <w:p w14:paraId="4F90D650">
      <w:pPr>
        <w:spacing w:line="600" w:lineRule="exact"/>
        <w:jc w:val="center"/>
        <w:rPr>
          <w:rFonts w:hint="default" w:ascii="Times New Roman" w:hAnsi="Times New Roman" w:eastAsia="黑体" w:cs="Times New Roman"/>
          <w:bCs/>
          <w:sz w:val="32"/>
          <w:szCs w:val="32"/>
        </w:rPr>
      </w:pPr>
    </w:p>
    <w:p w14:paraId="2FB26DB5">
      <w:pPr>
        <w:spacing w:line="600" w:lineRule="exact"/>
        <w:rPr>
          <w:rFonts w:hint="default" w:ascii="Times New Roman" w:hAnsi="Times New Roman" w:eastAsia="黑体" w:cs="Times New Roman"/>
          <w:bCs/>
          <w:sz w:val="32"/>
          <w:szCs w:val="32"/>
        </w:rPr>
      </w:pPr>
    </w:p>
    <w:p w14:paraId="01A18E46">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1CCF79CB">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2CF03789">
      <w:pPr>
        <w:spacing w:line="560" w:lineRule="exact"/>
        <w:ind w:firstLine="643" w:firstLineChars="200"/>
        <w:rPr>
          <w:rFonts w:hint="default" w:ascii="Times New Roman" w:hAnsi="Times New Roman" w:eastAsia="仿宋_GB2312" w:cs="Times New Roman"/>
          <w:b/>
          <w:bCs/>
          <w:sz w:val="28"/>
          <w:szCs w:val="28"/>
        </w:rPr>
      </w:pPr>
      <w:r>
        <w:rPr>
          <w:rFonts w:hint="default" w:ascii="Times New Roman" w:hAnsi="Times New Roman" w:eastAsia="仿宋_GB2312" w:cs="Times New Roman"/>
          <w:b/>
          <w:bCs/>
          <w:sz w:val="32"/>
          <w:szCs w:val="32"/>
        </w:rPr>
        <w:t>1、项目背景</w:t>
      </w:r>
    </w:p>
    <w:p w14:paraId="4E0EC105">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新疆医科大学附属肿瘤医院是新疆唯一一所集医教研防于一体的三级甲等肿瘤专科医院。医院成立了招标采购管理委员会，全面领导医院招标采购管理工作，不断提高政府采购工作效率，发挥采购人的主体责任，审议了年度政府采购预算，做好政府采购工作。</w:t>
      </w:r>
    </w:p>
    <w:p w14:paraId="4E96CE46">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政府采购不仅有助于提高资金使用效率，还能促进公平竞争、防止腐败，并在宏观经济调控中发挥着重要作用。对于医院而言，政府采购是确保医疗设备、药品及服务等质量与安全的关键环节，直接关系到医疗服务的效率与效果。</w:t>
      </w:r>
    </w:p>
    <w:p w14:paraId="2068552E">
      <w:pPr>
        <w:pStyle w:val="2"/>
        <w:numPr>
          <w:ilvl w:val="0"/>
          <w:numId w:val="1"/>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rPr>
        <w:t>项目主要内容：</w:t>
      </w:r>
    </w:p>
    <w:p w14:paraId="548A400B">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项目主要内容：通过政府采购进行医疗设备、信息网络设备等设备的购置及更新，通过医院基础设施的改造和修缮，更大程度</w:t>
      </w:r>
      <w:r>
        <w:rPr>
          <w:rFonts w:hint="default" w:ascii="Times New Roman" w:hAnsi="Times New Roman" w:eastAsia="仿宋_GB2312" w:cs="Times New Roman"/>
          <w:sz w:val="32"/>
          <w:szCs w:val="32"/>
          <w:lang w:eastAsia="zh-CN"/>
        </w:rPr>
        <w:t>地</w:t>
      </w:r>
      <w:r>
        <w:rPr>
          <w:rFonts w:hint="default" w:ascii="Times New Roman" w:hAnsi="Times New Roman" w:eastAsia="仿宋_GB2312" w:cs="Times New Roman"/>
          <w:sz w:val="32"/>
          <w:szCs w:val="32"/>
        </w:rPr>
        <w:t>满足患者的医疗服务需求，使我院诊疗速度更快，服务效率更高，提升患者就诊体验，患者就医更加方便、舒适。</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14:paraId="3FD9BB0E">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3、资金投入和使用情况</w:t>
      </w:r>
    </w:p>
    <w:p w14:paraId="0CB4F46E">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（1）资金投入情况</w:t>
      </w:r>
    </w:p>
    <w:p w14:paraId="1E05B9EB">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该项目年初预算数11</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rPr>
        <w:t>,</w:t>
      </w:r>
      <w:r>
        <w:rPr>
          <w:rFonts w:hint="eastAsia" w:eastAsia="仿宋_GB2312" w:cs="Times New Roman"/>
          <w:sz w:val="32"/>
          <w:szCs w:val="32"/>
          <w:lang w:val="en-US" w:eastAsia="zh-CN"/>
        </w:rPr>
        <w:t>292</w:t>
      </w:r>
      <w:r>
        <w:rPr>
          <w:rFonts w:hint="default" w:ascii="Times New Roman" w:hAnsi="Times New Roman" w:eastAsia="仿宋_GB2312" w:cs="Times New Roman"/>
          <w:sz w:val="32"/>
          <w:szCs w:val="32"/>
        </w:rPr>
        <w:t>.</w:t>
      </w:r>
      <w:r>
        <w:rPr>
          <w:rFonts w:hint="eastAsia" w:eastAsia="仿宋_GB2312" w:cs="Times New Roman"/>
          <w:sz w:val="32"/>
          <w:szCs w:val="32"/>
          <w:lang w:val="en-US" w:eastAsia="zh-CN"/>
        </w:rPr>
        <w:t>00</w:t>
      </w:r>
      <w:r>
        <w:rPr>
          <w:rFonts w:hint="default" w:ascii="Times New Roman" w:hAnsi="Times New Roman" w:eastAsia="仿宋_GB2312" w:cs="Times New Roman"/>
          <w:sz w:val="32"/>
          <w:szCs w:val="32"/>
        </w:rPr>
        <w:t>万元，全年预算数117,368.25万元，实际总投入117,368.25万元，该项目资金已全部落实到位，资金来源为其他资金。</w:t>
      </w:r>
    </w:p>
    <w:p w14:paraId="123DCD9F">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（2）资金使用情况</w:t>
      </w:r>
    </w:p>
    <w:p w14:paraId="1EAA87AF">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该项目年初预算数11</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rPr>
        <w:t>,</w:t>
      </w:r>
      <w:r>
        <w:rPr>
          <w:rFonts w:hint="eastAsia" w:eastAsia="仿宋_GB2312" w:cs="Times New Roman"/>
          <w:sz w:val="32"/>
          <w:szCs w:val="32"/>
          <w:lang w:val="en-US" w:eastAsia="zh-CN"/>
        </w:rPr>
        <w:t>292</w:t>
      </w:r>
      <w:r>
        <w:rPr>
          <w:rFonts w:hint="default" w:ascii="Times New Roman" w:hAnsi="Times New Roman" w:eastAsia="仿宋_GB2312" w:cs="Times New Roman"/>
          <w:sz w:val="32"/>
          <w:szCs w:val="32"/>
        </w:rPr>
        <w:t>.</w:t>
      </w:r>
      <w:r>
        <w:rPr>
          <w:rFonts w:hint="eastAsia" w:eastAsia="仿宋_GB2312" w:cs="Times New Roman"/>
          <w:sz w:val="32"/>
          <w:szCs w:val="32"/>
          <w:lang w:val="en-US" w:eastAsia="zh-CN"/>
        </w:rPr>
        <w:t>00</w:t>
      </w:r>
      <w:r>
        <w:rPr>
          <w:rFonts w:hint="default" w:ascii="Times New Roman" w:hAnsi="Times New Roman" w:eastAsia="仿宋_GB2312" w:cs="Times New Roman"/>
          <w:sz w:val="32"/>
          <w:szCs w:val="32"/>
        </w:rPr>
        <w:t>万元，全年预算数117,368.25万元，全年执行数117,368.25万元，预算执行率为100.</w:t>
      </w:r>
      <w:r>
        <w:rPr>
          <w:rFonts w:hint="eastAsia" w:eastAsia="仿宋_GB2312" w:cs="Times New Roman"/>
          <w:sz w:val="32"/>
          <w:szCs w:val="32"/>
          <w:lang w:val="en-US" w:eastAsia="zh-CN"/>
        </w:rPr>
        <w:t>00</w:t>
      </w:r>
      <w:r>
        <w:rPr>
          <w:rFonts w:hint="default" w:ascii="Times New Roman" w:hAnsi="Times New Roman" w:eastAsia="仿宋_GB2312" w:cs="Times New Roman"/>
          <w:sz w:val="32"/>
          <w:szCs w:val="32"/>
        </w:rPr>
        <w:t>%，主要用于：支付项目实施进程中的各项费用。</w:t>
      </w:r>
    </w:p>
    <w:p w14:paraId="5F4AE9AA">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（二）项目绩效目标</w:t>
      </w:r>
    </w:p>
    <w:p w14:paraId="0EA14207">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1、总体目标</w:t>
      </w:r>
    </w:p>
    <w:p w14:paraId="440E4A18">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积极完成医院年度总目标，完成政府采购项目支出117,368.25万元。</w:t>
      </w:r>
    </w:p>
    <w:p w14:paraId="00BA0C4E">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2、阶段性目标</w:t>
      </w:r>
    </w:p>
    <w:p w14:paraId="0D024087">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（1）前期准备：通过制定项目实施方案，经项目负责人审核通过后，有序开展后续工作。</w:t>
      </w:r>
    </w:p>
    <w:p w14:paraId="09B1808A">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（2）组织实施：资金一到位，立即根据项目要求实施项目。项目责任人按照项目实施方案要求逐一进行项目部署安排，提高项目质量及</w:t>
      </w:r>
      <w:r>
        <w:rPr>
          <w:rFonts w:hint="eastAsia" w:eastAsia="仿宋_GB2312" w:cs="Times New Roman"/>
          <w:sz w:val="32"/>
          <w:szCs w:val="32"/>
          <w:lang w:eastAsia="zh-CN"/>
        </w:rPr>
        <w:t>效率</w:t>
      </w:r>
      <w:r>
        <w:rPr>
          <w:rFonts w:hint="default" w:ascii="Times New Roman" w:hAnsi="Times New Roman" w:eastAsia="仿宋_GB2312" w:cs="Times New Roman"/>
          <w:sz w:val="32"/>
          <w:szCs w:val="32"/>
        </w:rPr>
        <w:t>。</w:t>
      </w:r>
    </w:p>
    <w:p w14:paraId="4E0AC83E">
      <w:pPr>
        <w:ind w:firstLine="640" w:firstLineChars="200"/>
        <w:rPr>
          <w:rFonts w:hint="eastAsia" w:ascii="黑体" w:hAnsi="黑体" w:eastAsia="黑体" w:cs="黑体"/>
          <w:sz w:val="32"/>
          <w:szCs w:val="32"/>
        </w:rPr>
      </w:pPr>
      <w:r>
        <w:rPr>
          <w:rFonts w:hint="eastAsia" w:ascii="黑体" w:hAnsi="黑体" w:eastAsia="黑体" w:cs="黑体"/>
          <w:sz w:val="32"/>
          <w:szCs w:val="32"/>
        </w:rPr>
        <w:t>二、绩效评价工作开展情况</w:t>
      </w:r>
    </w:p>
    <w:p w14:paraId="1D1DC6AE">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（一）绩效评价目的、对象和范围</w:t>
      </w:r>
    </w:p>
    <w:p w14:paraId="0F1CEFE4">
      <w:pPr>
        <w:pStyle w:val="17"/>
        <w:spacing w:line="560" w:lineRule="exact"/>
        <w:ind w:firstLine="640" w:firstLineChars="20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通过开展有效的财政支出绩效评价管理，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14:paraId="40A3F7DC">
      <w:pPr>
        <w:pStyle w:val="2"/>
        <w:widowControl w:val="0"/>
        <w:spacing w:before="0" w:after="0" w:line="560" w:lineRule="exact"/>
        <w:ind w:firstLine="643" w:firstLineChars="200"/>
        <w:jc w:val="both"/>
        <w:outlineLvl w:val="9"/>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2、绩效评价的对象</w:t>
      </w:r>
    </w:p>
    <w:p w14:paraId="7FBCAE3B">
      <w:pPr>
        <w:spacing w:line="560" w:lineRule="exact"/>
        <w:ind w:firstLine="640" w:firstLineChars="20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医院政府采购项目所包含的全部项目内容。</w:t>
      </w:r>
    </w:p>
    <w:p w14:paraId="3EFC078B">
      <w:pPr>
        <w:pStyle w:val="2"/>
        <w:widowControl w:val="0"/>
        <w:spacing w:before="0" w:after="0" w:line="560" w:lineRule="exact"/>
        <w:ind w:firstLine="643" w:firstLineChars="200"/>
        <w:jc w:val="both"/>
        <w:outlineLvl w:val="9"/>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3、绩效评价的范围</w:t>
      </w:r>
    </w:p>
    <w:p w14:paraId="6254B6A1">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医院政府采购项目的决策、过程、产出、效益等。</w:t>
      </w:r>
    </w:p>
    <w:p w14:paraId="54F378EE">
      <w:pPr>
        <w:spacing w:line="56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（二）绩效评价原则、评价指标体系（详情见表1）、评价方法、评价标准。</w:t>
      </w:r>
    </w:p>
    <w:p w14:paraId="71289ABD">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1、绩效评价原则</w:t>
      </w:r>
    </w:p>
    <w:p w14:paraId="46C71AE0">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本次项目绩效评价遵循以下基本原则：</w:t>
      </w:r>
    </w:p>
    <w:p w14:paraId="1765BD1A">
      <w:pPr>
        <w:pStyle w:val="2"/>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（1）科学公正。绩效评价应当运用科学合理的方法，按照规范的程序，对项目绩效进行客观、公正</w:t>
      </w:r>
      <w:r>
        <w:rPr>
          <w:rFonts w:hint="eastAsia" w:ascii="Times New Roman" w:hAnsi="Times New Roman" w:eastAsia="仿宋_GB2312" w:cs="Times New Roman"/>
          <w:b w:val="0"/>
          <w:bCs w:val="0"/>
          <w:kern w:val="2"/>
          <w:sz w:val="32"/>
          <w:szCs w:val="32"/>
          <w:lang w:val="en-US" w:eastAsia="zh-CN" w:bidi="ar-SA"/>
        </w:rPr>
        <w:t>的</w:t>
      </w:r>
      <w:r>
        <w:rPr>
          <w:rFonts w:hint="default" w:ascii="Times New Roman" w:hAnsi="Times New Roman" w:eastAsia="仿宋_GB2312" w:cs="Times New Roman"/>
          <w:b w:val="0"/>
          <w:bCs w:val="0"/>
          <w:kern w:val="2"/>
          <w:sz w:val="32"/>
          <w:szCs w:val="32"/>
          <w:lang w:val="en-US" w:eastAsia="zh-CN" w:bidi="ar-SA"/>
        </w:rPr>
        <w:t>反映。</w:t>
      </w:r>
    </w:p>
    <w:p w14:paraId="507B90FD">
      <w:pPr>
        <w:pStyle w:val="2"/>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（2）统筹兼顾。单位自评、部门评价和财政评价应职责明确，各有侧重，相互衔接。单位自评应由项目单位自主实施，即“谁支出、谁自评”。部门评价和财政评价应在单位自评的基础上开展。</w:t>
      </w:r>
    </w:p>
    <w:p w14:paraId="0D41298F">
      <w:pPr>
        <w:pStyle w:val="2"/>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（3）激励约束。绩效评价结果应与预算安排、政策调整、改进管理实质性挂钩，体现奖优罚劣和激励相容导向，有效要安排、低效要压减、无效要问责。</w:t>
      </w:r>
    </w:p>
    <w:p w14:paraId="0D741CF9">
      <w:pPr>
        <w:pStyle w:val="2"/>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（4）公开透明。绩效评价结果应依法依规公开，并自觉接受社会监督。</w:t>
      </w:r>
    </w:p>
    <w:p w14:paraId="1866FD09">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2、评价指标体系</w:t>
      </w:r>
    </w:p>
    <w:p w14:paraId="4D5C5C45">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绩效评价框架是开展绩效评价的核心。绩效评价框架包括评价准则、关键评价问题、评价指标、数据来源、数据收集方法等。指标体系建立过程如下：</w:t>
      </w:r>
    </w:p>
    <w:p w14:paraId="7ADEE9C8">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（1）确定评价指标</w:t>
      </w:r>
    </w:p>
    <w:p w14:paraId="692CA700">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采用层次分析法，建立评价指标体系。绩效评价将指标分为项目决策指标、项目过程指标、项目产出指标、项目效益指标四个维度，最终形成一个由多个相互联系的指标组成的多层次指标体系。</w:t>
      </w:r>
    </w:p>
    <w:p w14:paraId="36BE89B5">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（2）确定权重</w:t>
      </w:r>
    </w:p>
    <w:p w14:paraId="13EAB606">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确定各个指标相对于项目总体绩效的权重分值。在绩效评价指标体系中，项目决策权重为20分，项目过程权重为20分，项目产出权重为40分，项目效益权重为20分。</w:t>
      </w:r>
    </w:p>
    <w:p w14:paraId="4556F016">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（3）确定指标标准值</w:t>
      </w:r>
    </w:p>
    <w:p w14:paraId="2F242526">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指标标准值是绩效评价指标的尺度，既要反映同类项目的先进水平，又要符合项目的实际绩效水平。具体采用计划标准等确定此次绩效评价指标标准值。</w:t>
      </w:r>
    </w:p>
    <w:p w14:paraId="40262D35">
      <w:pPr>
        <w:pStyle w:val="2"/>
        <w:spacing w:before="0" w:after="0" w:line="560" w:lineRule="exact"/>
        <w:ind w:firstLine="640" w:firstLineChars="200"/>
        <w:jc w:val="both"/>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4B63E1FC">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具体评价指标体系详情见附件1</w:t>
      </w:r>
    </w:p>
    <w:p w14:paraId="12CC3D48">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3、绩效评价方法</w:t>
      </w:r>
    </w:p>
    <w:p w14:paraId="7660BCD9">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绩效评价从项目决策、项目过程、项目产出、项目效益四个维度进行评价。评价对象为项目目标实施情况，评价核心为资金的支出完成情况和项目的产出效益。</w:t>
      </w:r>
    </w:p>
    <w:p w14:paraId="12D65A52">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本次评价指标中，既有定性指标又有定量指标，各类指标因考核内容不同和客观标准不同存在较大差异，因此核定具体指标时采用了不同方法，具体评价方法如下：</w:t>
      </w:r>
    </w:p>
    <w:p w14:paraId="35F4D7EF">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（1）比较法</w:t>
      </w:r>
    </w:p>
    <w:p w14:paraId="6515D267">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通过对绩效目标与实施效果、历史与当期情况，综合分析绩效目标实现程度。对项目最终验收情况与年度绩效目标对比、预算资金执行情况等相关因素进行比较。</w:t>
      </w:r>
    </w:p>
    <w:p w14:paraId="029A987E">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（2）因素分析法</w:t>
      </w:r>
    </w:p>
    <w:p w14:paraId="483913B8">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14:paraId="0F50706B">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4、评价标准</w:t>
      </w:r>
    </w:p>
    <w:p w14:paraId="7ED23E49">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绩效评价标准通常包括计划标准、行业标准、历史标准等，用于对绩效指标完成情况进行比较、分析、评价。本次评价主要采用了计划标准。</w:t>
      </w:r>
    </w:p>
    <w:p w14:paraId="3F71B88F">
      <w:pPr>
        <w:spacing w:line="560" w:lineRule="exact"/>
        <w:ind w:firstLine="640"/>
        <w:rPr>
          <w:rFonts w:hint="default" w:ascii="Times New Roman" w:hAnsi="Times New Roman" w:eastAsia="仿宋_GB2312" w:cs="Times New Roman"/>
          <w:sz w:val="32"/>
          <w:szCs w:val="32"/>
        </w:rPr>
      </w:pPr>
      <w:bookmarkStart w:id="0" w:name="_Toc17882"/>
      <w:bookmarkStart w:id="1" w:name="_Toc31464"/>
      <w:r>
        <w:rPr>
          <w:rFonts w:hint="default" w:ascii="Times New Roman" w:hAnsi="Times New Roman" w:eastAsia="仿宋_GB2312" w:cs="Times New Roman"/>
          <w:b/>
          <w:bCs/>
          <w:sz w:val="32"/>
          <w:szCs w:val="32"/>
        </w:rPr>
        <w:t>计划标准：</w:t>
      </w:r>
      <w:r>
        <w:rPr>
          <w:rFonts w:hint="default" w:ascii="Times New Roman" w:hAnsi="Times New Roman" w:eastAsia="仿宋_GB2312" w:cs="Times New Roman"/>
          <w:sz w:val="32"/>
          <w:szCs w:val="32"/>
        </w:rPr>
        <w:t>指以预先制定的目标、计划、预算、定额等作为评价标准。</w:t>
      </w:r>
      <w:bookmarkEnd w:id="0"/>
      <w:bookmarkEnd w:id="1"/>
    </w:p>
    <w:p w14:paraId="0F49395D">
      <w:pPr>
        <w:pStyle w:val="2"/>
        <w:numPr>
          <w:ilvl w:val="0"/>
          <w:numId w:val="2"/>
        </w:numPr>
        <w:spacing w:before="0" w:after="0" w:line="560" w:lineRule="exact"/>
        <w:ind w:firstLine="711" w:firstLineChars="200"/>
        <w:jc w:val="both"/>
        <w:rPr>
          <w:rFonts w:hint="default" w:ascii="Times New Roman" w:hAnsi="Times New Roman" w:eastAsia="仿宋_GB2312" w:cs="Times New Roman"/>
          <w:color w:val="000000"/>
          <w:spacing w:val="17"/>
        </w:rPr>
      </w:pPr>
      <w:r>
        <w:rPr>
          <w:rFonts w:hint="default" w:ascii="Times New Roman" w:hAnsi="Times New Roman" w:eastAsia="仿宋_GB2312" w:cs="Times New Roman"/>
          <w:color w:val="000000"/>
          <w:spacing w:val="17"/>
        </w:rPr>
        <w:t>绩效评价工作过程</w:t>
      </w:r>
    </w:p>
    <w:p w14:paraId="78E51488">
      <w:pPr>
        <w:numPr>
          <w:ilvl w:val="0"/>
          <w:numId w:val="3"/>
        </w:numPr>
        <w:spacing w:line="56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14:paraId="76983AAC">
      <w:pPr>
        <w:numPr>
          <w:ilvl w:val="0"/>
          <w:numId w:val="3"/>
        </w:numPr>
        <w:spacing w:line="56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14:paraId="1B944DD9">
      <w:pPr>
        <w:numPr>
          <w:ilvl w:val="0"/>
          <w:numId w:val="3"/>
        </w:num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14:paraId="582F25B3">
      <w:pPr>
        <w:numPr>
          <w:ilvl w:val="0"/>
          <w:numId w:val="4"/>
        </w:num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综合评价情况及评价结论（附相关评分表）</w:t>
      </w:r>
    </w:p>
    <w:p w14:paraId="5B768BDC">
      <w:pPr>
        <w:pStyle w:val="2"/>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（一）评价情况</w:t>
      </w:r>
    </w:p>
    <w:p w14:paraId="296D268A">
      <w:pPr>
        <w:numPr>
          <w:ilvl w:val="0"/>
          <w:numId w:val="3"/>
        </w:numPr>
        <w:spacing w:line="56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项目总体组织规范，在项目实施过</w:t>
      </w:r>
      <w:r>
        <w:rPr>
          <w:rFonts w:hint="default" w:ascii="Times New Roman" w:hAnsi="Times New Roman" w:eastAsia="仿宋_GB2312" w:cs="Times New Roman"/>
          <w:bCs/>
          <w:sz w:val="32"/>
          <w:szCs w:val="32"/>
          <w:lang w:eastAsia="zh-CN"/>
        </w:rPr>
        <w:t>程中</w:t>
      </w:r>
      <w:r>
        <w:rPr>
          <w:rFonts w:hint="default" w:ascii="Times New Roman" w:hAnsi="Times New Roman" w:eastAsia="仿宋_GB2312" w:cs="Times New Roman"/>
          <w:bCs/>
          <w:sz w:val="32"/>
          <w:szCs w:val="32"/>
        </w:rPr>
        <w:t>做到认真履职，监督到位。按照相关制度的要求，项目负责人对项目绩效监控执行情况进行跟踪监督，有效完成了本项目的工作目标，确保资金使用安全和最大效益</w:t>
      </w:r>
      <w:r>
        <w:rPr>
          <w:rFonts w:hint="default" w:ascii="Times New Roman" w:hAnsi="Times New Roman" w:eastAsia="仿宋_GB2312" w:cs="Times New Roman"/>
          <w:bCs/>
          <w:sz w:val="32"/>
          <w:szCs w:val="32"/>
          <w:lang w:eastAsia="zh-CN"/>
        </w:rPr>
        <w:t>地</w:t>
      </w:r>
      <w:r>
        <w:rPr>
          <w:rFonts w:hint="default" w:ascii="Times New Roman" w:hAnsi="Times New Roman" w:eastAsia="仿宋_GB2312" w:cs="Times New Roman"/>
          <w:bCs/>
          <w:sz w:val="32"/>
          <w:szCs w:val="32"/>
        </w:rPr>
        <w:t>发挥，保障项目如期按要求完成。规范了项目档案资料的整理。项目的实施达到项目预期效果。</w:t>
      </w:r>
    </w:p>
    <w:p w14:paraId="03D43E02">
      <w:pPr>
        <w:pStyle w:val="2"/>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（二）评价结论</w:t>
      </w:r>
    </w:p>
    <w:p w14:paraId="285F24A2">
      <w:pPr>
        <w:pStyle w:val="2"/>
        <w:widowControl w:val="0"/>
        <w:spacing w:before="0" w:after="0" w:line="560" w:lineRule="exact"/>
        <w:ind w:firstLine="640" w:firstLineChars="200"/>
        <w:jc w:val="both"/>
        <w:outlineLvl w:val="9"/>
        <w:rPr>
          <w:rFonts w:hint="default" w:ascii="Times New Roman" w:hAnsi="Times New Roman" w:eastAsia="仿宋_GB2312" w:cs="Times New Roman"/>
          <w:sz w:val="28"/>
          <w:szCs w:val="28"/>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医院政府采购项目进行客观评价，最终评分结果：总得分为98分，属于“优”。其中，项目决策类指标权重为20分，得分为20分，得分率为100%。项目过程类指标权重为20分，得分为20分，得分率为100%。项目产出类指标权重为40分，得分为38分，得分率为95%。项目效益类指标权重为20分，得分为20分，得分率为100%。具体打分情况详见：附件1综合评分表。</w:t>
      </w:r>
    </w:p>
    <w:p w14:paraId="07EEDB92">
      <w:pPr>
        <w:pStyle w:val="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表1综合评分表</w:t>
      </w:r>
    </w:p>
    <w:tbl>
      <w:tblPr>
        <w:tblStyle w:val="12"/>
        <w:tblpPr w:leftFromText="180" w:rightFromText="180" w:vertAnchor="text" w:horzAnchor="page" w:tblpX="1002" w:tblpY="-11017"/>
        <w:tblOverlap w:val="never"/>
        <w:tblW w:w="947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50"/>
        <w:gridCol w:w="942"/>
        <w:gridCol w:w="1221"/>
        <w:gridCol w:w="1624"/>
        <w:gridCol w:w="692"/>
        <w:gridCol w:w="993"/>
        <w:gridCol w:w="879"/>
        <w:gridCol w:w="1156"/>
        <w:gridCol w:w="913"/>
      </w:tblGrid>
      <w:tr w14:paraId="41CE46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3" w:hRule="atLeast"/>
          <w:tblHeader/>
        </w:trPr>
        <w:tc>
          <w:tcPr>
            <w:tcW w:w="1050" w:type="dxa"/>
            <w:shd w:val="clear" w:color="auto" w:fill="BFBFBF"/>
            <w:vAlign w:val="center"/>
          </w:tcPr>
          <w:p w14:paraId="32497E8C">
            <w:pPr>
              <w:widowControl/>
              <w:spacing w:line="0" w:lineRule="atLeast"/>
              <w:rPr>
                <w:rFonts w:hint="default" w:ascii="Times New Roman" w:hAnsi="Times New Roman" w:eastAsia="仿宋_GB2312" w:cs="Times New Roman"/>
                <w:b/>
                <w:bCs/>
                <w:color w:val="000000"/>
                <w:kern w:val="0"/>
                <w:sz w:val="22"/>
                <w:szCs w:val="22"/>
              </w:rPr>
            </w:pPr>
            <w:r>
              <w:rPr>
                <w:rFonts w:hint="default" w:ascii="Times New Roman" w:hAnsi="Times New Roman" w:eastAsia="仿宋_GB2312" w:cs="Times New Roman"/>
                <w:b/>
                <w:bCs/>
                <w:color w:val="000000"/>
                <w:kern w:val="0"/>
                <w:sz w:val="22"/>
                <w:szCs w:val="22"/>
              </w:rPr>
              <w:t>一级指标</w:t>
            </w:r>
          </w:p>
        </w:tc>
        <w:tc>
          <w:tcPr>
            <w:tcW w:w="942" w:type="dxa"/>
            <w:shd w:val="clear" w:color="auto" w:fill="BFBFBF"/>
            <w:vAlign w:val="center"/>
          </w:tcPr>
          <w:p w14:paraId="7322EBF6">
            <w:pPr>
              <w:widowControl/>
              <w:spacing w:line="0" w:lineRule="atLeast"/>
              <w:jc w:val="center"/>
              <w:rPr>
                <w:rFonts w:hint="default" w:ascii="Times New Roman" w:hAnsi="Times New Roman" w:eastAsia="仿宋_GB2312" w:cs="Times New Roman"/>
                <w:b/>
                <w:bCs/>
                <w:color w:val="000000"/>
                <w:kern w:val="0"/>
                <w:sz w:val="22"/>
                <w:szCs w:val="22"/>
              </w:rPr>
            </w:pPr>
            <w:r>
              <w:rPr>
                <w:rFonts w:hint="default" w:ascii="Times New Roman" w:hAnsi="Times New Roman" w:eastAsia="仿宋_GB2312" w:cs="Times New Roman"/>
                <w:b/>
                <w:bCs/>
                <w:color w:val="000000"/>
                <w:kern w:val="0"/>
                <w:sz w:val="22"/>
                <w:szCs w:val="22"/>
              </w:rPr>
              <w:t>分值</w:t>
            </w:r>
          </w:p>
        </w:tc>
        <w:tc>
          <w:tcPr>
            <w:tcW w:w="1221" w:type="dxa"/>
            <w:shd w:val="clear" w:color="auto" w:fill="BFBFBF"/>
            <w:vAlign w:val="center"/>
          </w:tcPr>
          <w:p w14:paraId="6A8C5886">
            <w:pPr>
              <w:widowControl/>
              <w:spacing w:line="0" w:lineRule="atLeast"/>
              <w:jc w:val="center"/>
              <w:rPr>
                <w:rFonts w:hint="default" w:ascii="Times New Roman" w:hAnsi="Times New Roman" w:eastAsia="仿宋_GB2312" w:cs="Times New Roman"/>
                <w:b/>
                <w:bCs/>
                <w:color w:val="000000"/>
                <w:kern w:val="0"/>
                <w:sz w:val="22"/>
                <w:szCs w:val="22"/>
              </w:rPr>
            </w:pPr>
            <w:r>
              <w:rPr>
                <w:rFonts w:hint="default" w:ascii="Times New Roman" w:hAnsi="Times New Roman" w:eastAsia="仿宋_GB2312" w:cs="Times New Roman"/>
                <w:b/>
                <w:bCs/>
                <w:color w:val="000000"/>
                <w:kern w:val="0"/>
                <w:sz w:val="22"/>
                <w:szCs w:val="22"/>
              </w:rPr>
              <w:t>二级指标</w:t>
            </w:r>
          </w:p>
        </w:tc>
        <w:tc>
          <w:tcPr>
            <w:tcW w:w="1624" w:type="dxa"/>
            <w:shd w:val="clear" w:color="auto" w:fill="BFBFBF"/>
            <w:vAlign w:val="center"/>
          </w:tcPr>
          <w:p w14:paraId="7333EF8A">
            <w:pPr>
              <w:widowControl/>
              <w:spacing w:line="0" w:lineRule="atLeast"/>
              <w:jc w:val="center"/>
              <w:rPr>
                <w:rFonts w:hint="default" w:ascii="Times New Roman" w:hAnsi="Times New Roman" w:eastAsia="仿宋_GB2312" w:cs="Times New Roman"/>
                <w:b/>
                <w:bCs/>
                <w:color w:val="000000"/>
                <w:kern w:val="0"/>
                <w:sz w:val="22"/>
                <w:szCs w:val="22"/>
              </w:rPr>
            </w:pPr>
            <w:r>
              <w:rPr>
                <w:rFonts w:hint="default" w:ascii="Times New Roman" w:hAnsi="Times New Roman" w:eastAsia="仿宋_GB2312" w:cs="Times New Roman"/>
                <w:b/>
                <w:bCs/>
                <w:color w:val="000000"/>
                <w:kern w:val="0"/>
                <w:sz w:val="22"/>
                <w:szCs w:val="22"/>
              </w:rPr>
              <w:t>三级指标</w:t>
            </w:r>
          </w:p>
        </w:tc>
        <w:tc>
          <w:tcPr>
            <w:tcW w:w="692" w:type="dxa"/>
            <w:shd w:val="clear" w:color="auto" w:fill="BFBFBF"/>
            <w:vAlign w:val="center"/>
          </w:tcPr>
          <w:p w14:paraId="4FED7DD0">
            <w:pPr>
              <w:widowControl/>
              <w:spacing w:line="0" w:lineRule="atLeast"/>
              <w:jc w:val="center"/>
              <w:rPr>
                <w:rFonts w:hint="default" w:ascii="Times New Roman" w:hAnsi="Times New Roman" w:eastAsia="仿宋_GB2312" w:cs="Times New Roman"/>
                <w:b/>
                <w:bCs/>
                <w:color w:val="000000"/>
                <w:kern w:val="0"/>
                <w:sz w:val="22"/>
                <w:szCs w:val="22"/>
              </w:rPr>
            </w:pPr>
            <w:r>
              <w:rPr>
                <w:rFonts w:hint="default" w:ascii="Times New Roman" w:hAnsi="Times New Roman" w:eastAsia="仿宋_GB2312" w:cs="Times New Roman"/>
                <w:b/>
                <w:bCs/>
                <w:color w:val="000000"/>
                <w:kern w:val="0"/>
                <w:sz w:val="22"/>
                <w:szCs w:val="22"/>
              </w:rPr>
              <w:t>权重</w:t>
            </w:r>
          </w:p>
        </w:tc>
        <w:tc>
          <w:tcPr>
            <w:tcW w:w="993" w:type="dxa"/>
            <w:shd w:val="clear" w:color="auto" w:fill="BFBFBF"/>
            <w:vAlign w:val="center"/>
          </w:tcPr>
          <w:p w14:paraId="0B9CE4C9">
            <w:pPr>
              <w:widowControl/>
              <w:tabs>
                <w:tab w:val="left" w:pos="1333"/>
                <w:tab w:val="center" w:pos="3623"/>
              </w:tabs>
              <w:spacing w:line="0" w:lineRule="atLeast"/>
              <w:jc w:val="center"/>
              <w:rPr>
                <w:rFonts w:hint="default" w:ascii="Times New Roman" w:hAnsi="Times New Roman" w:eastAsia="仿宋_GB2312" w:cs="Times New Roman"/>
                <w:b/>
                <w:bCs/>
                <w:color w:val="000000"/>
                <w:kern w:val="0"/>
                <w:sz w:val="22"/>
                <w:szCs w:val="22"/>
              </w:rPr>
            </w:pPr>
            <w:r>
              <w:rPr>
                <w:rFonts w:hint="default" w:ascii="Times New Roman" w:hAnsi="Times New Roman" w:eastAsia="仿宋_GB2312" w:cs="Times New Roman"/>
                <w:b/>
                <w:bCs/>
                <w:color w:val="000000"/>
                <w:kern w:val="0"/>
                <w:sz w:val="22"/>
                <w:szCs w:val="22"/>
              </w:rPr>
              <w:t>目标值</w:t>
            </w:r>
          </w:p>
        </w:tc>
        <w:tc>
          <w:tcPr>
            <w:tcW w:w="879" w:type="dxa"/>
            <w:shd w:val="clear" w:color="auto" w:fill="BFBFBF"/>
            <w:vAlign w:val="center"/>
          </w:tcPr>
          <w:p w14:paraId="162A3A73">
            <w:pPr>
              <w:widowControl/>
              <w:tabs>
                <w:tab w:val="left" w:pos="1333"/>
                <w:tab w:val="center" w:pos="3623"/>
              </w:tabs>
              <w:spacing w:line="0" w:lineRule="atLeast"/>
              <w:jc w:val="center"/>
              <w:rPr>
                <w:rFonts w:hint="default" w:ascii="Times New Roman" w:hAnsi="Times New Roman" w:eastAsia="仿宋_GB2312" w:cs="Times New Roman"/>
                <w:b/>
                <w:bCs/>
                <w:color w:val="000000"/>
                <w:kern w:val="0"/>
                <w:sz w:val="22"/>
                <w:szCs w:val="22"/>
              </w:rPr>
            </w:pPr>
            <w:r>
              <w:rPr>
                <w:rFonts w:hint="default" w:ascii="Times New Roman" w:hAnsi="Times New Roman" w:eastAsia="仿宋_GB2312" w:cs="Times New Roman"/>
                <w:b/>
                <w:bCs/>
                <w:color w:val="000000"/>
                <w:kern w:val="0"/>
                <w:sz w:val="22"/>
                <w:szCs w:val="22"/>
              </w:rPr>
              <w:t>业绩值</w:t>
            </w:r>
          </w:p>
        </w:tc>
        <w:tc>
          <w:tcPr>
            <w:tcW w:w="1156" w:type="dxa"/>
            <w:shd w:val="clear" w:color="auto" w:fill="BFBFBF"/>
            <w:vAlign w:val="center"/>
          </w:tcPr>
          <w:p w14:paraId="1F58B209">
            <w:pPr>
              <w:widowControl/>
              <w:tabs>
                <w:tab w:val="left" w:pos="1333"/>
                <w:tab w:val="center" w:pos="3623"/>
              </w:tabs>
              <w:spacing w:line="0" w:lineRule="atLeast"/>
              <w:jc w:val="center"/>
              <w:rPr>
                <w:rFonts w:hint="default" w:ascii="Times New Roman" w:hAnsi="Times New Roman" w:eastAsia="仿宋_GB2312" w:cs="Times New Roman"/>
                <w:b/>
                <w:bCs/>
                <w:color w:val="000000"/>
                <w:kern w:val="0"/>
                <w:sz w:val="22"/>
                <w:szCs w:val="22"/>
              </w:rPr>
            </w:pPr>
            <w:r>
              <w:rPr>
                <w:rFonts w:hint="default" w:ascii="Times New Roman" w:hAnsi="Times New Roman" w:eastAsia="仿宋_GB2312" w:cs="Times New Roman"/>
                <w:b/>
                <w:bCs/>
                <w:color w:val="000000"/>
                <w:kern w:val="0"/>
                <w:sz w:val="22"/>
                <w:szCs w:val="22"/>
              </w:rPr>
              <w:t>得分率</w:t>
            </w:r>
          </w:p>
        </w:tc>
        <w:tc>
          <w:tcPr>
            <w:tcW w:w="913" w:type="dxa"/>
            <w:shd w:val="clear" w:color="auto" w:fill="BFBFBF"/>
            <w:vAlign w:val="center"/>
          </w:tcPr>
          <w:p w14:paraId="7D5E17FA">
            <w:pPr>
              <w:widowControl/>
              <w:tabs>
                <w:tab w:val="left" w:pos="1333"/>
                <w:tab w:val="center" w:pos="3623"/>
              </w:tabs>
              <w:spacing w:line="0" w:lineRule="atLeast"/>
              <w:jc w:val="center"/>
              <w:rPr>
                <w:rFonts w:hint="default" w:ascii="Times New Roman" w:hAnsi="Times New Roman" w:eastAsia="仿宋_GB2312" w:cs="Times New Roman"/>
                <w:b/>
                <w:bCs/>
                <w:color w:val="000000"/>
                <w:kern w:val="0"/>
                <w:sz w:val="22"/>
                <w:szCs w:val="22"/>
              </w:rPr>
            </w:pPr>
            <w:r>
              <w:rPr>
                <w:rFonts w:hint="default" w:ascii="Times New Roman" w:hAnsi="Times New Roman" w:eastAsia="仿宋_GB2312" w:cs="Times New Roman"/>
                <w:b/>
                <w:bCs/>
                <w:color w:val="000000"/>
                <w:kern w:val="0"/>
                <w:sz w:val="22"/>
                <w:szCs w:val="22"/>
              </w:rPr>
              <w:t>得分</w:t>
            </w:r>
          </w:p>
        </w:tc>
      </w:tr>
      <w:tr w14:paraId="17EAE8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trPr>
        <w:tc>
          <w:tcPr>
            <w:tcW w:w="1050" w:type="dxa"/>
            <w:vMerge w:val="restart"/>
            <w:shd w:val="clear" w:color="auto" w:fill="FFFFFF"/>
            <w:vAlign w:val="center"/>
          </w:tcPr>
          <w:p w14:paraId="4787F9EC">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决策　</w:t>
            </w:r>
          </w:p>
          <w:p w14:paraId="7F02C303">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p w14:paraId="1C2EC395">
            <w:pPr>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p w14:paraId="76A4595D">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942" w:type="dxa"/>
            <w:vMerge w:val="restart"/>
            <w:shd w:val="clear" w:color="auto" w:fill="FFFFFF"/>
            <w:vAlign w:val="center"/>
          </w:tcPr>
          <w:p w14:paraId="42BDE962">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kern w:val="0"/>
                <w:sz w:val="22"/>
                <w:szCs w:val="22"/>
              </w:rPr>
              <w:t>20分</w:t>
            </w:r>
          </w:p>
        </w:tc>
        <w:tc>
          <w:tcPr>
            <w:tcW w:w="1221" w:type="dxa"/>
            <w:vMerge w:val="restart"/>
            <w:shd w:val="clear" w:color="auto" w:fill="FFFFFF"/>
            <w:vAlign w:val="center"/>
          </w:tcPr>
          <w:p w14:paraId="21549302">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项目立项　</w:t>
            </w:r>
          </w:p>
        </w:tc>
        <w:tc>
          <w:tcPr>
            <w:tcW w:w="1624" w:type="dxa"/>
            <w:shd w:val="clear" w:color="auto" w:fill="FFFFFF"/>
            <w:vAlign w:val="center"/>
          </w:tcPr>
          <w:p w14:paraId="765F04F2">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立项依据</w:t>
            </w:r>
          </w:p>
          <w:p w14:paraId="67731D5E">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充分性</w:t>
            </w:r>
          </w:p>
        </w:tc>
        <w:tc>
          <w:tcPr>
            <w:tcW w:w="692" w:type="dxa"/>
            <w:shd w:val="clear" w:color="auto" w:fill="FFFFFF"/>
            <w:vAlign w:val="center"/>
          </w:tcPr>
          <w:p w14:paraId="6A6E94BC">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3</w:t>
            </w:r>
          </w:p>
        </w:tc>
        <w:tc>
          <w:tcPr>
            <w:tcW w:w="993" w:type="dxa"/>
            <w:shd w:val="clear" w:color="auto" w:fill="FFFFFF"/>
            <w:vAlign w:val="center"/>
          </w:tcPr>
          <w:p w14:paraId="5B6EA446">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充分</w:t>
            </w:r>
          </w:p>
        </w:tc>
        <w:tc>
          <w:tcPr>
            <w:tcW w:w="879" w:type="dxa"/>
            <w:shd w:val="clear" w:color="auto" w:fill="FFFFFF"/>
            <w:vAlign w:val="center"/>
          </w:tcPr>
          <w:p w14:paraId="7592181B">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充分</w:t>
            </w:r>
          </w:p>
        </w:tc>
        <w:tc>
          <w:tcPr>
            <w:tcW w:w="1156" w:type="dxa"/>
            <w:shd w:val="clear" w:color="auto" w:fill="FFFFFF"/>
            <w:vAlign w:val="center"/>
          </w:tcPr>
          <w:p w14:paraId="78CC1315">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100%</w:t>
            </w:r>
          </w:p>
        </w:tc>
        <w:tc>
          <w:tcPr>
            <w:tcW w:w="913" w:type="dxa"/>
            <w:shd w:val="clear" w:color="auto" w:fill="FFFFFF"/>
            <w:vAlign w:val="center"/>
          </w:tcPr>
          <w:p w14:paraId="4544744A">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3</w:t>
            </w:r>
          </w:p>
        </w:tc>
      </w:tr>
      <w:tr w14:paraId="0FD295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trPr>
        <w:tc>
          <w:tcPr>
            <w:tcW w:w="1050" w:type="dxa"/>
            <w:vMerge w:val="continue"/>
            <w:shd w:val="clear" w:color="auto" w:fill="FFFFFF"/>
            <w:vAlign w:val="center"/>
          </w:tcPr>
          <w:p w14:paraId="76969DA3">
            <w:pPr>
              <w:spacing w:line="0" w:lineRule="atLeast"/>
              <w:jc w:val="center"/>
              <w:rPr>
                <w:rFonts w:hint="default" w:ascii="Times New Roman" w:hAnsi="Times New Roman" w:eastAsia="仿宋_GB2312" w:cs="Times New Roman"/>
                <w:color w:val="000000"/>
                <w:kern w:val="0"/>
                <w:sz w:val="22"/>
                <w:szCs w:val="22"/>
              </w:rPr>
            </w:pPr>
          </w:p>
        </w:tc>
        <w:tc>
          <w:tcPr>
            <w:tcW w:w="942" w:type="dxa"/>
            <w:vMerge w:val="continue"/>
            <w:shd w:val="clear" w:color="auto" w:fill="FFFFFF"/>
            <w:vAlign w:val="center"/>
          </w:tcPr>
          <w:p w14:paraId="7AFAE5A3">
            <w:pPr>
              <w:widowControl/>
              <w:spacing w:line="0" w:lineRule="atLeast"/>
              <w:jc w:val="center"/>
              <w:rPr>
                <w:rFonts w:hint="default" w:ascii="Times New Roman" w:hAnsi="Times New Roman" w:eastAsia="仿宋_GB2312" w:cs="Times New Roman"/>
                <w:color w:val="000000"/>
                <w:kern w:val="0"/>
                <w:sz w:val="22"/>
                <w:szCs w:val="22"/>
              </w:rPr>
            </w:pPr>
          </w:p>
        </w:tc>
        <w:tc>
          <w:tcPr>
            <w:tcW w:w="1221" w:type="dxa"/>
            <w:vMerge w:val="continue"/>
            <w:shd w:val="clear" w:color="auto" w:fill="FFFFFF"/>
            <w:vAlign w:val="center"/>
          </w:tcPr>
          <w:p w14:paraId="4DA82DC1">
            <w:pPr>
              <w:widowControl/>
              <w:spacing w:line="0" w:lineRule="atLeast"/>
              <w:jc w:val="center"/>
              <w:rPr>
                <w:rFonts w:hint="default" w:ascii="Times New Roman" w:hAnsi="Times New Roman" w:eastAsia="仿宋_GB2312" w:cs="Times New Roman"/>
                <w:color w:val="000000"/>
                <w:kern w:val="0"/>
                <w:sz w:val="22"/>
                <w:szCs w:val="22"/>
              </w:rPr>
            </w:pPr>
          </w:p>
        </w:tc>
        <w:tc>
          <w:tcPr>
            <w:tcW w:w="1624" w:type="dxa"/>
            <w:shd w:val="clear" w:color="auto" w:fill="FFFFFF"/>
            <w:vAlign w:val="center"/>
          </w:tcPr>
          <w:p w14:paraId="25C5523C">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立项程序</w:t>
            </w:r>
          </w:p>
          <w:p w14:paraId="7EA803FC">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规范性</w:t>
            </w:r>
          </w:p>
        </w:tc>
        <w:tc>
          <w:tcPr>
            <w:tcW w:w="692" w:type="dxa"/>
            <w:shd w:val="clear" w:color="auto" w:fill="FFFFFF"/>
            <w:vAlign w:val="center"/>
          </w:tcPr>
          <w:p w14:paraId="66AA931E">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3</w:t>
            </w:r>
          </w:p>
        </w:tc>
        <w:tc>
          <w:tcPr>
            <w:tcW w:w="993" w:type="dxa"/>
            <w:shd w:val="clear" w:color="auto" w:fill="FFFFFF"/>
            <w:vAlign w:val="center"/>
          </w:tcPr>
          <w:p w14:paraId="12E90C51">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规范</w:t>
            </w:r>
          </w:p>
        </w:tc>
        <w:tc>
          <w:tcPr>
            <w:tcW w:w="879" w:type="dxa"/>
            <w:shd w:val="clear" w:color="auto" w:fill="FFFFFF"/>
            <w:vAlign w:val="center"/>
          </w:tcPr>
          <w:p w14:paraId="573002DD">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规范</w:t>
            </w:r>
          </w:p>
        </w:tc>
        <w:tc>
          <w:tcPr>
            <w:tcW w:w="1156" w:type="dxa"/>
            <w:shd w:val="clear" w:color="auto" w:fill="FFFFFF"/>
            <w:vAlign w:val="center"/>
          </w:tcPr>
          <w:p w14:paraId="123202AF">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100%</w:t>
            </w:r>
          </w:p>
        </w:tc>
        <w:tc>
          <w:tcPr>
            <w:tcW w:w="913" w:type="dxa"/>
            <w:shd w:val="clear" w:color="auto" w:fill="FFFFFF"/>
            <w:vAlign w:val="center"/>
          </w:tcPr>
          <w:p w14:paraId="041AC2A6">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3</w:t>
            </w:r>
          </w:p>
        </w:tc>
      </w:tr>
      <w:tr w14:paraId="16DCBA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trPr>
        <w:tc>
          <w:tcPr>
            <w:tcW w:w="1050" w:type="dxa"/>
            <w:vMerge w:val="continue"/>
            <w:shd w:val="clear" w:color="auto" w:fill="FFFFFF"/>
            <w:vAlign w:val="center"/>
          </w:tcPr>
          <w:p w14:paraId="14F84040">
            <w:pPr>
              <w:spacing w:line="0" w:lineRule="atLeast"/>
              <w:jc w:val="center"/>
              <w:rPr>
                <w:rFonts w:hint="default" w:ascii="Times New Roman" w:hAnsi="Times New Roman" w:eastAsia="仿宋_GB2312" w:cs="Times New Roman"/>
                <w:color w:val="000000"/>
                <w:kern w:val="0"/>
                <w:sz w:val="22"/>
                <w:szCs w:val="22"/>
              </w:rPr>
            </w:pPr>
          </w:p>
        </w:tc>
        <w:tc>
          <w:tcPr>
            <w:tcW w:w="942" w:type="dxa"/>
            <w:vMerge w:val="continue"/>
            <w:shd w:val="clear" w:color="auto" w:fill="FFFFFF"/>
            <w:vAlign w:val="center"/>
          </w:tcPr>
          <w:p w14:paraId="0687593C">
            <w:pPr>
              <w:widowControl/>
              <w:spacing w:line="0" w:lineRule="atLeast"/>
              <w:jc w:val="center"/>
              <w:rPr>
                <w:rFonts w:hint="default" w:ascii="Times New Roman" w:hAnsi="Times New Roman" w:eastAsia="仿宋_GB2312" w:cs="Times New Roman"/>
                <w:color w:val="000000"/>
                <w:kern w:val="0"/>
                <w:sz w:val="22"/>
                <w:szCs w:val="22"/>
              </w:rPr>
            </w:pPr>
          </w:p>
        </w:tc>
        <w:tc>
          <w:tcPr>
            <w:tcW w:w="1221" w:type="dxa"/>
            <w:vMerge w:val="restart"/>
            <w:shd w:val="clear" w:color="auto" w:fill="FFFFFF"/>
            <w:vAlign w:val="center"/>
          </w:tcPr>
          <w:p w14:paraId="4E06C7E6">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绩效目标　</w:t>
            </w:r>
          </w:p>
        </w:tc>
        <w:tc>
          <w:tcPr>
            <w:tcW w:w="1624" w:type="dxa"/>
            <w:shd w:val="clear" w:color="auto" w:fill="FFFFFF"/>
            <w:vAlign w:val="center"/>
          </w:tcPr>
          <w:p w14:paraId="2A74BE14">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绩效目标</w:t>
            </w:r>
          </w:p>
          <w:p w14:paraId="43505ED8">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合理性</w:t>
            </w:r>
          </w:p>
        </w:tc>
        <w:tc>
          <w:tcPr>
            <w:tcW w:w="692" w:type="dxa"/>
            <w:shd w:val="clear" w:color="000000" w:fill="FFFFFF"/>
            <w:vAlign w:val="center"/>
          </w:tcPr>
          <w:p w14:paraId="1A06BCE6">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3</w:t>
            </w:r>
          </w:p>
        </w:tc>
        <w:tc>
          <w:tcPr>
            <w:tcW w:w="993" w:type="dxa"/>
            <w:shd w:val="clear" w:color="000000" w:fill="FFFFFF"/>
            <w:vAlign w:val="center"/>
          </w:tcPr>
          <w:p w14:paraId="03C752BC">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合理</w:t>
            </w:r>
          </w:p>
        </w:tc>
        <w:tc>
          <w:tcPr>
            <w:tcW w:w="879" w:type="dxa"/>
            <w:shd w:val="clear" w:color="000000" w:fill="FFFFFF"/>
            <w:vAlign w:val="center"/>
          </w:tcPr>
          <w:p w14:paraId="2A76C602">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合理</w:t>
            </w:r>
          </w:p>
        </w:tc>
        <w:tc>
          <w:tcPr>
            <w:tcW w:w="1156" w:type="dxa"/>
            <w:shd w:val="clear" w:color="000000" w:fill="FFFFFF"/>
            <w:vAlign w:val="center"/>
          </w:tcPr>
          <w:p w14:paraId="0CB9B911">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100%</w:t>
            </w:r>
          </w:p>
        </w:tc>
        <w:tc>
          <w:tcPr>
            <w:tcW w:w="913" w:type="dxa"/>
            <w:shd w:val="clear" w:color="000000" w:fill="FFFFFF"/>
            <w:vAlign w:val="center"/>
          </w:tcPr>
          <w:p w14:paraId="54E6F0E6">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3</w:t>
            </w:r>
          </w:p>
        </w:tc>
      </w:tr>
      <w:tr w14:paraId="035BD0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trPr>
        <w:tc>
          <w:tcPr>
            <w:tcW w:w="1050" w:type="dxa"/>
            <w:vMerge w:val="continue"/>
            <w:shd w:val="clear" w:color="auto" w:fill="FFFFFF"/>
            <w:vAlign w:val="center"/>
          </w:tcPr>
          <w:p w14:paraId="524A33C1">
            <w:pPr>
              <w:widowControl/>
              <w:spacing w:line="0" w:lineRule="atLeast"/>
              <w:jc w:val="center"/>
              <w:rPr>
                <w:rFonts w:hint="default" w:ascii="Times New Roman" w:hAnsi="Times New Roman" w:eastAsia="仿宋_GB2312" w:cs="Times New Roman"/>
                <w:color w:val="000000"/>
                <w:kern w:val="0"/>
                <w:sz w:val="22"/>
                <w:szCs w:val="22"/>
              </w:rPr>
            </w:pPr>
          </w:p>
        </w:tc>
        <w:tc>
          <w:tcPr>
            <w:tcW w:w="942" w:type="dxa"/>
            <w:vMerge w:val="continue"/>
            <w:shd w:val="clear" w:color="auto" w:fill="FFFFFF"/>
            <w:vAlign w:val="center"/>
          </w:tcPr>
          <w:p w14:paraId="3256DABF">
            <w:pPr>
              <w:widowControl/>
              <w:spacing w:line="0" w:lineRule="atLeast"/>
              <w:jc w:val="center"/>
              <w:rPr>
                <w:rFonts w:hint="default" w:ascii="Times New Roman" w:hAnsi="Times New Roman" w:eastAsia="仿宋_GB2312" w:cs="Times New Roman"/>
                <w:color w:val="000000"/>
                <w:kern w:val="0"/>
                <w:sz w:val="22"/>
                <w:szCs w:val="22"/>
              </w:rPr>
            </w:pPr>
          </w:p>
        </w:tc>
        <w:tc>
          <w:tcPr>
            <w:tcW w:w="1221" w:type="dxa"/>
            <w:vMerge w:val="continue"/>
            <w:shd w:val="clear" w:color="auto" w:fill="FFFFFF"/>
            <w:vAlign w:val="center"/>
          </w:tcPr>
          <w:p w14:paraId="13EC6792">
            <w:pPr>
              <w:widowControl/>
              <w:spacing w:line="0" w:lineRule="atLeast"/>
              <w:jc w:val="center"/>
              <w:rPr>
                <w:rFonts w:hint="default" w:ascii="Times New Roman" w:hAnsi="Times New Roman" w:eastAsia="仿宋_GB2312" w:cs="Times New Roman"/>
                <w:color w:val="000000"/>
                <w:kern w:val="0"/>
                <w:sz w:val="22"/>
                <w:szCs w:val="22"/>
              </w:rPr>
            </w:pPr>
          </w:p>
        </w:tc>
        <w:tc>
          <w:tcPr>
            <w:tcW w:w="1624" w:type="dxa"/>
            <w:shd w:val="clear" w:color="auto" w:fill="FFFFFF"/>
            <w:vAlign w:val="center"/>
          </w:tcPr>
          <w:p w14:paraId="4F375851">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绩效指标</w:t>
            </w:r>
          </w:p>
          <w:p w14:paraId="1BED7F9F">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明确性</w:t>
            </w:r>
          </w:p>
        </w:tc>
        <w:tc>
          <w:tcPr>
            <w:tcW w:w="692" w:type="dxa"/>
            <w:shd w:val="clear" w:color="000000" w:fill="FFFFFF"/>
            <w:vAlign w:val="center"/>
          </w:tcPr>
          <w:p w14:paraId="4B949997">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3</w:t>
            </w:r>
          </w:p>
        </w:tc>
        <w:tc>
          <w:tcPr>
            <w:tcW w:w="993" w:type="dxa"/>
            <w:shd w:val="clear" w:color="000000" w:fill="FFFFFF"/>
            <w:vAlign w:val="center"/>
          </w:tcPr>
          <w:p w14:paraId="0F573F65">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明确</w:t>
            </w:r>
          </w:p>
        </w:tc>
        <w:tc>
          <w:tcPr>
            <w:tcW w:w="879" w:type="dxa"/>
            <w:shd w:val="clear" w:color="000000" w:fill="FFFFFF"/>
            <w:vAlign w:val="center"/>
          </w:tcPr>
          <w:p w14:paraId="5AD62BDE">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明确</w:t>
            </w:r>
          </w:p>
        </w:tc>
        <w:tc>
          <w:tcPr>
            <w:tcW w:w="1156" w:type="dxa"/>
            <w:shd w:val="clear" w:color="000000" w:fill="FFFFFF"/>
            <w:vAlign w:val="center"/>
          </w:tcPr>
          <w:p w14:paraId="52FF0D61">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100%</w:t>
            </w:r>
          </w:p>
        </w:tc>
        <w:tc>
          <w:tcPr>
            <w:tcW w:w="913" w:type="dxa"/>
            <w:shd w:val="clear" w:color="000000" w:fill="FFFFFF"/>
            <w:vAlign w:val="center"/>
          </w:tcPr>
          <w:p w14:paraId="77DE1068">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3</w:t>
            </w:r>
          </w:p>
        </w:tc>
      </w:tr>
      <w:tr w14:paraId="74DE4A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trPr>
        <w:tc>
          <w:tcPr>
            <w:tcW w:w="1050" w:type="dxa"/>
            <w:vMerge w:val="continue"/>
            <w:shd w:val="clear" w:color="auto" w:fill="FFFFFF"/>
            <w:vAlign w:val="center"/>
          </w:tcPr>
          <w:p w14:paraId="37A9B328">
            <w:pPr>
              <w:spacing w:line="0" w:lineRule="atLeast"/>
              <w:jc w:val="center"/>
              <w:rPr>
                <w:rFonts w:hint="default" w:ascii="Times New Roman" w:hAnsi="Times New Roman" w:eastAsia="仿宋_GB2312" w:cs="Times New Roman"/>
                <w:color w:val="000000"/>
                <w:kern w:val="0"/>
                <w:sz w:val="22"/>
                <w:szCs w:val="22"/>
              </w:rPr>
            </w:pPr>
          </w:p>
        </w:tc>
        <w:tc>
          <w:tcPr>
            <w:tcW w:w="942" w:type="dxa"/>
            <w:vMerge w:val="continue"/>
            <w:shd w:val="clear" w:color="auto" w:fill="FFFFFF"/>
            <w:vAlign w:val="center"/>
          </w:tcPr>
          <w:p w14:paraId="011383BB">
            <w:pPr>
              <w:spacing w:line="0" w:lineRule="atLeast"/>
              <w:jc w:val="center"/>
              <w:rPr>
                <w:rFonts w:hint="default" w:ascii="Times New Roman" w:hAnsi="Times New Roman" w:eastAsia="仿宋_GB2312" w:cs="Times New Roman"/>
                <w:color w:val="000000"/>
                <w:kern w:val="0"/>
                <w:sz w:val="22"/>
                <w:szCs w:val="22"/>
              </w:rPr>
            </w:pPr>
          </w:p>
        </w:tc>
        <w:tc>
          <w:tcPr>
            <w:tcW w:w="1221" w:type="dxa"/>
            <w:vMerge w:val="restart"/>
            <w:shd w:val="clear" w:color="auto" w:fill="FFFFFF"/>
            <w:vAlign w:val="center"/>
          </w:tcPr>
          <w:p w14:paraId="07C93EAC">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资金投入</w:t>
            </w:r>
          </w:p>
        </w:tc>
        <w:tc>
          <w:tcPr>
            <w:tcW w:w="1624" w:type="dxa"/>
            <w:shd w:val="clear" w:color="auto" w:fill="FFFFFF"/>
            <w:vAlign w:val="center"/>
          </w:tcPr>
          <w:p w14:paraId="73A99581">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预算编制</w:t>
            </w:r>
          </w:p>
          <w:p w14:paraId="29E4DFAE">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科学性</w:t>
            </w:r>
          </w:p>
        </w:tc>
        <w:tc>
          <w:tcPr>
            <w:tcW w:w="692" w:type="dxa"/>
            <w:shd w:val="clear" w:color="auto" w:fill="FFFFFF"/>
            <w:vAlign w:val="center"/>
          </w:tcPr>
          <w:p w14:paraId="29864E40">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4</w:t>
            </w:r>
          </w:p>
        </w:tc>
        <w:tc>
          <w:tcPr>
            <w:tcW w:w="993" w:type="dxa"/>
            <w:shd w:val="clear" w:color="auto" w:fill="FFFFFF"/>
            <w:vAlign w:val="center"/>
          </w:tcPr>
          <w:p w14:paraId="143B9BF6">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科学</w:t>
            </w:r>
          </w:p>
        </w:tc>
        <w:tc>
          <w:tcPr>
            <w:tcW w:w="879" w:type="dxa"/>
            <w:shd w:val="clear" w:color="auto" w:fill="FFFFFF"/>
            <w:vAlign w:val="center"/>
          </w:tcPr>
          <w:p w14:paraId="0389BA24">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科学</w:t>
            </w:r>
          </w:p>
        </w:tc>
        <w:tc>
          <w:tcPr>
            <w:tcW w:w="1156" w:type="dxa"/>
            <w:shd w:val="clear" w:color="auto" w:fill="FFFFFF"/>
            <w:vAlign w:val="center"/>
          </w:tcPr>
          <w:p w14:paraId="129BD00C">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100%</w:t>
            </w:r>
          </w:p>
        </w:tc>
        <w:tc>
          <w:tcPr>
            <w:tcW w:w="913" w:type="dxa"/>
            <w:shd w:val="clear" w:color="auto" w:fill="FFFFFF"/>
            <w:vAlign w:val="center"/>
          </w:tcPr>
          <w:p w14:paraId="783FDFEC">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4</w:t>
            </w:r>
          </w:p>
        </w:tc>
      </w:tr>
      <w:tr w14:paraId="4CF93B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trPr>
        <w:tc>
          <w:tcPr>
            <w:tcW w:w="1050" w:type="dxa"/>
            <w:vMerge w:val="continue"/>
            <w:shd w:val="clear" w:color="auto" w:fill="FFFFFF"/>
            <w:vAlign w:val="center"/>
          </w:tcPr>
          <w:p w14:paraId="414D5C79">
            <w:pPr>
              <w:widowControl/>
              <w:spacing w:line="0" w:lineRule="atLeast"/>
              <w:jc w:val="center"/>
              <w:rPr>
                <w:rFonts w:hint="default" w:ascii="Times New Roman" w:hAnsi="Times New Roman" w:eastAsia="仿宋_GB2312" w:cs="Times New Roman"/>
                <w:color w:val="000000"/>
                <w:kern w:val="0"/>
                <w:sz w:val="22"/>
                <w:szCs w:val="22"/>
              </w:rPr>
            </w:pPr>
          </w:p>
        </w:tc>
        <w:tc>
          <w:tcPr>
            <w:tcW w:w="942" w:type="dxa"/>
            <w:vMerge w:val="continue"/>
            <w:shd w:val="clear" w:color="auto" w:fill="FFFFFF"/>
            <w:vAlign w:val="center"/>
          </w:tcPr>
          <w:p w14:paraId="1D051E40">
            <w:pPr>
              <w:widowControl/>
              <w:spacing w:line="0" w:lineRule="atLeast"/>
              <w:jc w:val="center"/>
              <w:rPr>
                <w:rFonts w:hint="default" w:ascii="Times New Roman" w:hAnsi="Times New Roman" w:eastAsia="仿宋_GB2312" w:cs="Times New Roman"/>
                <w:color w:val="000000"/>
                <w:kern w:val="0"/>
                <w:sz w:val="22"/>
                <w:szCs w:val="22"/>
              </w:rPr>
            </w:pPr>
          </w:p>
        </w:tc>
        <w:tc>
          <w:tcPr>
            <w:tcW w:w="1221" w:type="dxa"/>
            <w:vMerge w:val="continue"/>
            <w:shd w:val="clear" w:color="auto" w:fill="FFFFFF"/>
            <w:vAlign w:val="center"/>
          </w:tcPr>
          <w:p w14:paraId="76908FF9">
            <w:pPr>
              <w:widowControl/>
              <w:spacing w:line="0" w:lineRule="atLeast"/>
              <w:jc w:val="center"/>
              <w:rPr>
                <w:rFonts w:hint="default" w:ascii="Times New Roman" w:hAnsi="Times New Roman" w:eastAsia="仿宋_GB2312" w:cs="Times New Roman"/>
                <w:color w:val="000000"/>
                <w:kern w:val="0"/>
                <w:sz w:val="22"/>
                <w:szCs w:val="22"/>
              </w:rPr>
            </w:pPr>
          </w:p>
        </w:tc>
        <w:tc>
          <w:tcPr>
            <w:tcW w:w="1624" w:type="dxa"/>
            <w:shd w:val="clear" w:color="auto" w:fill="FFFFFF"/>
            <w:vAlign w:val="center"/>
          </w:tcPr>
          <w:p w14:paraId="41CA4B33">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资金分配</w:t>
            </w:r>
          </w:p>
          <w:p w14:paraId="28F00F72">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合理性</w:t>
            </w:r>
          </w:p>
        </w:tc>
        <w:tc>
          <w:tcPr>
            <w:tcW w:w="692" w:type="dxa"/>
            <w:shd w:val="clear" w:color="auto" w:fill="FFFFFF"/>
            <w:vAlign w:val="center"/>
          </w:tcPr>
          <w:p w14:paraId="0476B15D">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4</w:t>
            </w:r>
          </w:p>
        </w:tc>
        <w:tc>
          <w:tcPr>
            <w:tcW w:w="993" w:type="dxa"/>
            <w:shd w:val="clear" w:color="auto" w:fill="FFFFFF"/>
            <w:vAlign w:val="center"/>
          </w:tcPr>
          <w:p w14:paraId="41951E8C">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合理</w:t>
            </w:r>
          </w:p>
        </w:tc>
        <w:tc>
          <w:tcPr>
            <w:tcW w:w="879" w:type="dxa"/>
            <w:shd w:val="clear" w:color="auto" w:fill="FFFFFF"/>
            <w:vAlign w:val="center"/>
          </w:tcPr>
          <w:p w14:paraId="0F3E4867">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合理</w:t>
            </w:r>
          </w:p>
        </w:tc>
        <w:tc>
          <w:tcPr>
            <w:tcW w:w="1156" w:type="dxa"/>
            <w:shd w:val="clear" w:color="auto" w:fill="FFFFFF"/>
            <w:vAlign w:val="center"/>
          </w:tcPr>
          <w:p w14:paraId="1F2251E8">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100%</w:t>
            </w:r>
          </w:p>
        </w:tc>
        <w:tc>
          <w:tcPr>
            <w:tcW w:w="913" w:type="dxa"/>
            <w:shd w:val="clear" w:color="auto" w:fill="FFFFFF"/>
            <w:vAlign w:val="center"/>
          </w:tcPr>
          <w:p w14:paraId="1EB0FE17">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4</w:t>
            </w:r>
          </w:p>
        </w:tc>
      </w:tr>
      <w:tr w14:paraId="2C7CAD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trPr>
        <w:tc>
          <w:tcPr>
            <w:tcW w:w="1050" w:type="dxa"/>
            <w:vMerge w:val="restart"/>
            <w:shd w:val="clear" w:color="auto" w:fill="FFFFFF"/>
            <w:vAlign w:val="center"/>
          </w:tcPr>
          <w:p w14:paraId="13A63A1D">
            <w:pPr>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过程</w:t>
            </w:r>
          </w:p>
          <w:p w14:paraId="4371E72D">
            <w:pPr>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942" w:type="dxa"/>
            <w:vMerge w:val="restart"/>
            <w:shd w:val="clear" w:color="auto" w:fill="FFFFFF"/>
            <w:vAlign w:val="center"/>
          </w:tcPr>
          <w:p w14:paraId="39551D0A">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kern w:val="0"/>
                <w:sz w:val="22"/>
                <w:szCs w:val="22"/>
              </w:rPr>
              <w:t>20分</w:t>
            </w:r>
          </w:p>
        </w:tc>
        <w:tc>
          <w:tcPr>
            <w:tcW w:w="1221" w:type="dxa"/>
            <w:vMerge w:val="restart"/>
            <w:shd w:val="clear" w:color="auto" w:fill="FFFFFF"/>
            <w:vAlign w:val="center"/>
          </w:tcPr>
          <w:p w14:paraId="4A2D9B88">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资金管理</w:t>
            </w:r>
          </w:p>
        </w:tc>
        <w:tc>
          <w:tcPr>
            <w:tcW w:w="1624" w:type="dxa"/>
            <w:shd w:val="clear" w:color="auto" w:fill="FFFFFF"/>
            <w:vAlign w:val="center"/>
          </w:tcPr>
          <w:p w14:paraId="12FCD934">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资金到位率</w:t>
            </w:r>
          </w:p>
        </w:tc>
        <w:tc>
          <w:tcPr>
            <w:tcW w:w="692" w:type="dxa"/>
            <w:shd w:val="clear" w:color="000000" w:fill="FFFFFF"/>
            <w:vAlign w:val="center"/>
          </w:tcPr>
          <w:p w14:paraId="6C26850C">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4</w:t>
            </w:r>
          </w:p>
        </w:tc>
        <w:tc>
          <w:tcPr>
            <w:tcW w:w="993" w:type="dxa"/>
            <w:shd w:val="clear" w:color="000000" w:fill="FFFFFF"/>
            <w:vAlign w:val="center"/>
          </w:tcPr>
          <w:p w14:paraId="1FFE0093">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100%</w:t>
            </w:r>
          </w:p>
        </w:tc>
        <w:tc>
          <w:tcPr>
            <w:tcW w:w="879" w:type="dxa"/>
            <w:shd w:val="clear" w:color="000000" w:fill="FFFFFF"/>
            <w:vAlign w:val="center"/>
          </w:tcPr>
          <w:p w14:paraId="507AD835">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100%</w:t>
            </w:r>
          </w:p>
        </w:tc>
        <w:tc>
          <w:tcPr>
            <w:tcW w:w="1156" w:type="dxa"/>
            <w:shd w:val="clear" w:color="000000" w:fill="FFFFFF"/>
            <w:vAlign w:val="center"/>
          </w:tcPr>
          <w:p w14:paraId="775708A7">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100%</w:t>
            </w:r>
          </w:p>
        </w:tc>
        <w:tc>
          <w:tcPr>
            <w:tcW w:w="913" w:type="dxa"/>
            <w:shd w:val="clear" w:color="000000" w:fill="FFFFFF"/>
            <w:vAlign w:val="center"/>
          </w:tcPr>
          <w:p w14:paraId="6AF8C0E5">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4</w:t>
            </w:r>
          </w:p>
        </w:tc>
      </w:tr>
      <w:tr w14:paraId="33B45B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trPr>
        <w:tc>
          <w:tcPr>
            <w:tcW w:w="1050" w:type="dxa"/>
            <w:vMerge w:val="continue"/>
            <w:shd w:val="clear" w:color="auto" w:fill="FFFFFF"/>
            <w:vAlign w:val="center"/>
          </w:tcPr>
          <w:p w14:paraId="6738F7F1">
            <w:pPr>
              <w:spacing w:line="0" w:lineRule="atLeast"/>
              <w:jc w:val="center"/>
              <w:rPr>
                <w:rFonts w:hint="default" w:ascii="Times New Roman" w:hAnsi="Times New Roman" w:eastAsia="仿宋_GB2312" w:cs="Times New Roman"/>
                <w:color w:val="000000"/>
                <w:kern w:val="0"/>
                <w:sz w:val="22"/>
                <w:szCs w:val="22"/>
              </w:rPr>
            </w:pPr>
          </w:p>
        </w:tc>
        <w:tc>
          <w:tcPr>
            <w:tcW w:w="942" w:type="dxa"/>
            <w:vMerge w:val="continue"/>
            <w:shd w:val="clear" w:color="auto" w:fill="FFFFFF"/>
            <w:vAlign w:val="center"/>
          </w:tcPr>
          <w:p w14:paraId="5AB68116">
            <w:pPr>
              <w:spacing w:line="0" w:lineRule="atLeast"/>
              <w:jc w:val="center"/>
              <w:rPr>
                <w:rFonts w:hint="default" w:ascii="Times New Roman" w:hAnsi="Times New Roman" w:eastAsia="仿宋_GB2312" w:cs="Times New Roman"/>
                <w:color w:val="000000"/>
                <w:kern w:val="0"/>
                <w:sz w:val="22"/>
                <w:szCs w:val="22"/>
              </w:rPr>
            </w:pPr>
          </w:p>
        </w:tc>
        <w:tc>
          <w:tcPr>
            <w:tcW w:w="1221" w:type="dxa"/>
            <w:vMerge w:val="continue"/>
            <w:shd w:val="clear" w:color="auto" w:fill="FFFFFF"/>
            <w:vAlign w:val="center"/>
          </w:tcPr>
          <w:p w14:paraId="2DA33D89">
            <w:pPr>
              <w:spacing w:line="0" w:lineRule="atLeast"/>
              <w:jc w:val="center"/>
              <w:rPr>
                <w:rFonts w:hint="default" w:ascii="Times New Roman" w:hAnsi="Times New Roman" w:eastAsia="仿宋_GB2312" w:cs="Times New Roman"/>
                <w:color w:val="000000"/>
                <w:kern w:val="0"/>
                <w:sz w:val="22"/>
                <w:szCs w:val="22"/>
              </w:rPr>
            </w:pPr>
          </w:p>
        </w:tc>
        <w:tc>
          <w:tcPr>
            <w:tcW w:w="1624" w:type="dxa"/>
            <w:shd w:val="clear" w:color="auto" w:fill="FFFFFF"/>
            <w:vAlign w:val="center"/>
          </w:tcPr>
          <w:p w14:paraId="4A67E372">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预算执行率</w:t>
            </w:r>
          </w:p>
        </w:tc>
        <w:tc>
          <w:tcPr>
            <w:tcW w:w="692" w:type="dxa"/>
            <w:shd w:val="clear" w:color="auto" w:fill="FFFFFF"/>
            <w:vAlign w:val="center"/>
          </w:tcPr>
          <w:p w14:paraId="2F3847D5">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4</w:t>
            </w:r>
          </w:p>
        </w:tc>
        <w:tc>
          <w:tcPr>
            <w:tcW w:w="993" w:type="dxa"/>
            <w:shd w:val="clear" w:color="auto" w:fill="FFFFFF"/>
            <w:vAlign w:val="center"/>
          </w:tcPr>
          <w:p w14:paraId="3799ABEC">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100%</w:t>
            </w:r>
          </w:p>
        </w:tc>
        <w:tc>
          <w:tcPr>
            <w:tcW w:w="879" w:type="dxa"/>
            <w:shd w:val="clear" w:color="auto" w:fill="FFFFFF"/>
            <w:vAlign w:val="center"/>
          </w:tcPr>
          <w:p w14:paraId="2AF82286">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100%</w:t>
            </w:r>
          </w:p>
        </w:tc>
        <w:tc>
          <w:tcPr>
            <w:tcW w:w="1156" w:type="dxa"/>
            <w:shd w:val="clear" w:color="auto" w:fill="FFFFFF"/>
            <w:vAlign w:val="center"/>
          </w:tcPr>
          <w:p w14:paraId="1AEFD599">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100%</w:t>
            </w:r>
          </w:p>
        </w:tc>
        <w:tc>
          <w:tcPr>
            <w:tcW w:w="913" w:type="dxa"/>
            <w:shd w:val="clear" w:color="auto" w:fill="FFFFFF"/>
            <w:vAlign w:val="center"/>
          </w:tcPr>
          <w:p w14:paraId="37624BC5">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4</w:t>
            </w:r>
          </w:p>
        </w:tc>
      </w:tr>
      <w:tr w14:paraId="4C8145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trPr>
        <w:tc>
          <w:tcPr>
            <w:tcW w:w="1050" w:type="dxa"/>
            <w:vMerge w:val="continue"/>
            <w:shd w:val="clear" w:color="auto" w:fill="FFFFFF"/>
            <w:vAlign w:val="center"/>
          </w:tcPr>
          <w:p w14:paraId="65E8E163">
            <w:pPr>
              <w:spacing w:line="0" w:lineRule="atLeast"/>
              <w:jc w:val="center"/>
              <w:rPr>
                <w:rFonts w:hint="default" w:ascii="Times New Roman" w:hAnsi="Times New Roman" w:eastAsia="仿宋_GB2312" w:cs="Times New Roman"/>
                <w:color w:val="000000"/>
                <w:kern w:val="0"/>
                <w:sz w:val="22"/>
                <w:szCs w:val="22"/>
              </w:rPr>
            </w:pPr>
          </w:p>
        </w:tc>
        <w:tc>
          <w:tcPr>
            <w:tcW w:w="942" w:type="dxa"/>
            <w:vMerge w:val="continue"/>
            <w:shd w:val="clear" w:color="auto" w:fill="FFFFFF"/>
            <w:vAlign w:val="center"/>
          </w:tcPr>
          <w:p w14:paraId="6B8A4B61">
            <w:pPr>
              <w:widowControl/>
              <w:spacing w:line="0" w:lineRule="atLeast"/>
              <w:jc w:val="center"/>
              <w:rPr>
                <w:rFonts w:hint="default" w:ascii="Times New Roman" w:hAnsi="Times New Roman" w:eastAsia="仿宋_GB2312" w:cs="Times New Roman"/>
                <w:color w:val="000000"/>
                <w:kern w:val="0"/>
                <w:sz w:val="22"/>
                <w:szCs w:val="22"/>
              </w:rPr>
            </w:pPr>
          </w:p>
        </w:tc>
        <w:tc>
          <w:tcPr>
            <w:tcW w:w="1221" w:type="dxa"/>
            <w:shd w:val="clear" w:color="auto" w:fill="FFFFFF"/>
            <w:vAlign w:val="center"/>
          </w:tcPr>
          <w:p w14:paraId="269E04AB">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资金管理</w:t>
            </w:r>
          </w:p>
        </w:tc>
        <w:tc>
          <w:tcPr>
            <w:tcW w:w="1624" w:type="dxa"/>
            <w:shd w:val="clear" w:color="auto" w:fill="FFFFFF"/>
            <w:vAlign w:val="center"/>
          </w:tcPr>
          <w:p w14:paraId="08AA0D3F">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资金使用</w:t>
            </w:r>
          </w:p>
          <w:p w14:paraId="0BA97A20">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合规性</w:t>
            </w:r>
          </w:p>
        </w:tc>
        <w:tc>
          <w:tcPr>
            <w:tcW w:w="692" w:type="dxa"/>
            <w:shd w:val="clear" w:color="000000" w:fill="FFFFFF"/>
            <w:vAlign w:val="center"/>
          </w:tcPr>
          <w:p w14:paraId="428528A8">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4</w:t>
            </w:r>
          </w:p>
        </w:tc>
        <w:tc>
          <w:tcPr>
            <w:tcW w:w="993" w:type="dxa"/>
            <w:shd w:val="clear" w:color="000000" w:fill="FFFFFF"/>
            <w:vAlign w:val="center"/>
          </w:tcPr>
          <w:p w14:paraId="1A9F7962">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合格</w:t>
            </w:r>
          </w:p>
        </w:tc>
        <w:tc>
          <w:tcPr>
            <w:tcW w:w="879" w:type="dxa"/>
            <w:shd w:val="clear" w:color="000000" w:fill="FFFFFF"/>
            <w:vAlign w:val="center"/>
          </w:tcPr>
          <w:p w14:paraId="7717B0BD">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合格</w:t>
            </w:r>
          </w:p>
        </w:tc>
        <w:tc>
          <w:tcPr>
            <w:tcW w:w="1156" w:type="dxa"/>
            <w:shd w:val="clear" w:color="000000" w:fill="FFFFFF"/>
            <w:vAlign w:val="center"/>
          </w:tcPr>
          <w:p w14:paraId="491E92BD">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100%</w:t>
            </w:r>
          </w:p>
        </w:tc>
        <w:tc>
          <w:tcPr>
            <w:tcW w:w="913" w:type="dxa"/>
            <w:shd w:val="clear" w:color="000000" w:fill="FFFFFF"/>
            <w:vAlign w:val="center"/>
          </w:tcPr>
          <w:p w14:paraId="33CE715E">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4</w:t>
            </w:r>
          </w:p>
        </w:tc>
      </w:tr>
      <w:tr w14:paraId="6EDB2B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trPr>
        <w:tc>
          <w:tcPr>
            <w:tcW w:w="1050" w:type="dxa"/>
            <w:vMerge w:val="continue"/>
            <w:shd w:val="clear" w:color="auto" w:fill="FFFFFF"/>
            <w:vAlign w:val="center"/>
          </w:tcPr>
          <w:p w14:paraId="2A6C02DB">
            <w:pPr>
              <w:spacing w:line="0" w:lineRule="atLeast"/>
              <w:jc w:val="center"/>
              <w:rPr>
                <w:rFonts w:hint="default" w:ascii="Times New Roman" w:hAnsi="Times New Roman" w:eastAsia="仿宋_GB2312" w:cs="Times New Roman"/>
                <w:color w:val="000000"/>
                <w:kern w:val="0"/>
                <w:sz w:val="22"/>
                <w:szCs w:val="22"/>
              </w:rPr>
            </w:pPr>
          </w:p>
        </w:tc>
        <w:tc>
          <w:tcPr>
            <w:tcW w:w="942" w:type="dxa"/>
            <w:vMerge w:val="continue"/>
            <w:shd w:val="clear" w:color="auto" w:fill="FFFFFF"/>
            <w:vAlign w:val="center"/>
          </w:tcPr>
          <w:p w14:paraId="0269DAA9">
            <w:pPr>
              <w:spacing w:line="0" w:lineRule="atLeast"/>
              <w:jc w:val="center"/>
              <w:rPr>
                <w:rFonts w:hint="default" w:ascii="Times New Roman" w:hAnsi="Times New Roman" w:eastAsia="仿宋_GB2312" w:cs="Times New Roman"/>
                <w:color w:val="000000"/>
                <w:kern w:val="0"/>
                <w:sz w:val="22"/>
                <w:szCs w:val="22"/>
              </w:rPr>
            </w:pPr>
          </w:p>
        </w:tc>
        <w:tc>
          <w:tcPr>
            <w:tcW w:w="1221" w:type="dxa"/>
            <w:vMerge w:val="restart"/>
            <w:shd w:val="clear" w:color="auto" w:fill="FFFFFF"/>
            <w:vAlign w:val="center"/>
          </w:tcPr>
          <w:p w14:paraId="6417A658">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组织实施</w:t>
            </w:r>
          </w:p>
        </w:tc>
        <w:tc>
          <w:tcPr>
            <w:tcW w:w="1624" w:type="dxa"/>
            <w:shd w:val="clear" w:color="auto" w:fill="FFFFFF"/>
            <w:vAlign w:val="center"/>
          </w:tcPr>
          <w:p w14:paraId="365C3E03">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管理制度</w:t>
            </w:r>
          </w:p>
          <w:p w14:paraId="4F60C9DF">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健全性</w:t>
            </w:r>
          </w:p>
        </w:tc>
        <w:tc>
          <w:tcPr>
            <w:tcW w:w="692" w:type="dxa"/>
            <w:shd w:val="clear" w:color="000000" w:fill="FFFFFF"/>
            <w:vAlign w:val="center"/>
          </w:tcPr>
          <w:p w14:paraId="460BB5FD">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4</w:t>
            </w:r>
          </w:p>
        </w:tc>
        <w:tc>
          <w:tcPr>
            <w:tcW w:w="993" w:type="dxa"/>
            <w:shd w:val="clear" w:color="000000" w:fill="FFFFFF"/>
            <w:vAlign w:val="center"/>
          </w:tcPr>
          <w:p w14:paraId="1B7F92AB">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健全</w:t>
            </w:r>
          </w:p>
        </w:tc>
        <w:tc>
          <w:tcPr>
            <w:tcW w:w="879" w:type="dxa"/>
            <w:shd w:val="clear" w:color="000000" w:fill="FFFFFF"/>
            <w:vAlign w:val="center"/>
          </w:tcPr>
          <w:p w14:paraId="7C346F84">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健全</w:t>
            </w:r>
          </w:p>
        </w:tc>
        <w:tc>
          <w:tcPr>
            <w:tcW w:w="1156" w:type="dxa"/>
            <w:shd w:val="clear" w:color="000000" w:fill="FFFFFF"/>
            <w:vAlign w:val="center"/>
          </w:tcPr>
          <w:p w14:paraId="1C4557E2">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100%</w:t>
            </w:r>
          </w:p>
        </w:tc>
        <w:tc>
          <w:tcPr>
            <w:tcW w:w="913" w:type="dxa"/>
            <w:shd w:val="clear" w:color="000000" w:fill="FFFFFF"/>
            <w:vAlign w:val="center"/>
          </w:tcPr>
          <w:p w14:paraId="18EE110F">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4</w:t>
            </w:r>
          </w:p>
        </w:tc>
      </w:tr>
      <w:tr w14:paraId="5F42E0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trPr>
        <w:tc>
          <w:tcPr>
            <w:tcW w:w="1050" w:type="dxa"/>
            <w:vMerge w:val="continue"/>
            <w:shd w:val="clear" w:color="auto" w:fill="FFFFFF"/>
            <w:vAlign w:val="center"/>
          </w:tcPr>
          <w:p w14:paraId="0A79248B">
            <w:pPr>
              <w:widowControl/>
              <w:spacing w:line="0" w:lineRule="atLeast"/>
              <w:jc w:val="center"/>
              <w:rPr>
                <w:rFonts w:hint="default" w:ascii="Times New Roman" w:hAnsi="Times New Roman" w:eastAsia="仿宋_GB2312" w:cs="Times New Roman"/>
                <w:color w:val="000000"/>
                <w:kern w:val="0"/>
                <w:sz w:val="22"/>
                <w:szCs w:val="22"/>
              </w:rPr>
            </w:pPr>
          </w:p>
        </w:tc>
        <w:tc>
          <w:tcPr>
            <w:tcW w:w="942" w:type="dxa"/>
            <w:vMerge w:val="continue"/>
            <w:shd w:val="clear" w:color="auto" w:fill="FFFFFF"/>
            <w:vAlign w:val="center"/>
          </w:tcPr>
          <w:p w14:paraId="3F065020">
            <w:pPr>
              <w:widowControl/>
              <w:spacing w:line="0" w:lineRule="atLeast"/>
              <w:jc w:val="center"/>
              <w:rPr>
                <w:rFonts w:hint="default" w:ascii="Times New Roman" w:hAnsi="Times New Roman" w:eastAsia="仿宋_GB2312" w:cs="Times New Roman"/>
                <w:color w:val="000000"/>
                <w:kern w:val="0"/>
                <w:sz w:val="22"/>
                <w:szCs w:val="22"/>
              </w:rPr>
            </w:pPr>
          </w:p>
        </w:tc>
        <w:tc>
          <w:tcPr>
            <w:tcW w:w="1221" w:type="dxa"/>
            <w:vMerge w:val="continue"/>
            <w:shd w:val="clear" w:color="auto" w:fill="FFFFFF"/>
            <w:vAlign w:val="center"/>
          </w:tcPr>
          <w:p w14:paraId="04EB6219">
            <w:pPr>
              <w:widowControl/>
              <w:spacing w:line="0" w:lineRule="atLeast"/>
              <w:jc w:val="center"/>
              <w:rPr>
                <w:rFonts w:hint="default" w:ascii="Times New Roman" w:hAnsi="Times New Roman" w:eastAsia="仿宋_GB2312" w:cs="Times New Roman"/>
                <w:color w:val="000000"/>
                <w:kern w:val="0"/>
                <w:sz w:val="22"/>
                <w:szCs w:val="22"/>
              </w:rPr>
            </w:pPr>
          </w:p>
        </w:tc>
        <w:tc>
          <w:tcPr>
            <w:tcW w:w="1624" w:type="dxa"/>
            <w:shd w:val="clear" w:color="auto" w:fill="FFFFFF"/>
            <w:vAlign w:val="center"/>
          </w:tcPr>
          <w:p w14:paraId="0DE905B4">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制度执行</w:t>
            </w:r>
          </w:p>
          <w:p w14:paraId="70C3293C">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有效性</w:t>
            </w:r>
          </w:p>
        </w:tc>
        <w:tc>
          <w:tcPr>
            <w:tcW w:w="692" w:type="dxa"/>
            <w:shd w:val="clear" w:color="000000" w:fill="FFFFFF"/>
            <w:vAlign w:val="center"/>
          </w:tcPr>
          <w:p w14:paraId="2830ED5D">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4</w:t>
            </w:r>
          </w:p>
        </w:tc>
        <w:tc>
          <w:tcPr>
            <w:tcW w:w="993" w:type="dxa"/>
            <w:shd w:val="clear" w:color="000000" w:fill="FFFFFF"/>
            <w:vAlign w:val="center"/>
          </w:tcPr>
          <w:p w14:paraId="5F5D49FD">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有效</w:t>
            </w:r>
          </w:p>
        </w:tc>
        <w:tc>
          <w:tcPr>
            <w:tcW w:w="879" w:type="dxa"/>
            <w:shd w:val="clear" w:color="000000" w:fill="FFFFFF"/>
            <w:vAlign w:val="center"/>
          </w:tcPr>
          <w:p w14:paraId="388FEC5C">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有效</w:t>
            </w:r>
          </w:p>
        </w:tc>
        <w:tc>
          <w:tcPr>
            <w:tcW w:w="1156" w:type="dxa"/>
            <w:shd w:val="clear" w:color="000000" w:fill="FFFFFF"/>
            <w:vAlign w:val="center"/>
          </w:tcPr>
          <w:p w14:paraId="28BE8D81">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100%</w:t>
            </w:r>
          </w:p>
        </w:tc>
        <w:tc>
          <w:tcPr>
            <w:tcW w:w="913" w:type="dxa"/>
            <w:shd w:val="clear" w:color="000000" w:fill="FFFFFF"/>
            <w:vAlign w:val="center"/>
          </w:tcPr>
          <w:p w14:paraId="6F6785A0">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4</w:t>
            </w:r>
          </w:p>
        </w:tc>
      </w:tr>
      <w:tr w14:paraId="014626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trPr>
        <w:tc>
          <w:tcPr>
            <w:tcW w:w="1050" w:type="dxa"/>
            <w:vMerge w:val="restart"/>
            <w:shd w:val="clear" w:color="auto" w:fill="FFFFFF"/>
            <w:vAlign w:val="center"/>
          </w:tcPr>
          <w:p w14:paraId="5A571A5D">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产出</w:t>
            </w:r>
          </w:p>
        </w:tc>
        <w:tc>
          <w:tcPr>
            <w:tcW w:w="942" w:type="dxa"/>
            <w:vMerge w:val="restart"/>
            <w:shd w:val="clear" w:color="auto" w:fill="FFFFFF"/>
            <w:vAlign w:val="center"/>
          </w:tcPr>
          <w:p w14:paraId="794B0F95">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kern w:val="0"/>
                <w:sz w:val="22"/>
                <w:szCs w:val="22"/>
              </w:rPr>
              <w:t>40分</w:t>
            </w:r>
          </w:p>
        </w:tc>
        <w:tc>
          <w:tcPr>
            <w:tcW w:w="1221" w:type="dxa"/>
            <w:shd w:val="clear" w:color="auto" w:fill="FFFFFF"/>
            <w:vAlign w:val="center"/>
          </w:tcPr>
          <w:p w14:paraId="18DAA45B">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产出数量</w:t>
            </w:r>
          </w:p>
        </w:tc>
        <w:tc>
          <w:tcPr>
            <w:tcW w:w="1624" w:type="dxa"/>
            <w:shd w:val="clear" w:color="auto" w:fill="FFFFFF"/>
            <w:vAlign w:val="center"/>
          </w:tcPr>
          <w:p w14:paraId="27A7D62C">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实际完成率</w:t>
            </w:r>
          </w:p>
        </w:tc>
        <w:tc>
          <w:tcPr>
            <w:tcW w:w="692" w:type="dxa"/>
            <w:shd w:val="clear" w:color="000000" w:fill="FFFFFF"/>
            <w:vAlign w:val="center"/>
          </w:tcPr>
          <w:p w14:paraId="07CA421B">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10</w:t>
            </w:r>
          </w:p>
        </w:tc>
        <w:tc>
          <w:tcPr>
            <w:tcW w:w="993" w:type="dxa"/>
            <w:shd w:val="clear" w:color="000000" w:fill="FFFFFF"/>
            <w:vAlign w:val="center"/>
          </w:tcPr>
          <w:p w14:paraId="55872015">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100%</w:t>
            </w:r>
          </w:p>
        </w:tc>
        <w:tc>
          <w:tcPr>
            <w:tcW w:w="879" w:type="dxa"/>
            <w:shd w:val="clear" w:color="000000" w:fill="FFFFFF"/>
            <w:vAlign w:val="center"/>
          </w:tcPr>
          <w:p w14:paraId="00AEC90A">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90%</w:t>
            </w:r>
          </w:p>
        </w:tc>
        <w:tc>
          <w:tcPr>
            <w:tcW w:w="1156" w:type="dxa"/>
            <w:shd w:val="clear" w:color="000000" w:fill="FFFFFF"/>
            <w:vAlign w:val="center"/>
          </w:tcPr>
          <w:p w14:paraId="1CFAE508">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90%</w:t>
            </w:r>
          </w:p>
        </w:tc>
        <w:tc>
          <w:tcPr>
            <w:tcW w:w="913" w:type="dxa"/>
            <w:shd w:val="clear" w:color="000000" w:fill="FFFFFF"/>
            <w:vAlign w:val="center"/>
          </w:tcPr>
          <w:p w14:paraId="5B09C456">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9</w:t>
            </w:r>
          </w:p>
        </w:tc>
      </w:tr>
      <w:tr w14:paraId="093CF7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trPr>
        <w:tc>
          <w:tcPr>
            <w:tcW w:w="1050" w:type="dxa"/>
            <w:vMerge w:val="continue"/>
            <w:shd w:val="clear" w:color="auto" w:fill="FFFFFF"/>
            <w:vAlign w:val="center"/>
          </w:tcPr>
          <w:p w14:paraId="38EC0B17">
            <w:pPr>
              <w:widowControl/>
              <w:spacing w:line="0" w:lineRule="atLeast"/>
              <w:jc w:val="center"/>
              <w:rPr>
                <w:rFonts w:hint="default" w:ascii="Times New Roman" w:hAnsi="Times New Roman" w:eastAsia="仿宋_GB2312" w:cs="Times New Roman"/>
                <w:color w:val="000000"/>
                <w:kern w:val="0"/>
                <w:sz w:val="22"/>
                <w:szCs w:val="22"/>
              </w:rPr>
            </w:pPr>
          </w:p>
        </w:tc>
        <w:tc>
          <w:tcPr>
            <w:tcW w:w="942" w:type="dxa"/>
            <w:vMerge w:val="continue"/>
            <w:shd w:val="clear" w:color="auto" w:fill="FFFFFF"/>
            <w:vAlign w:val="center"/>
          </w:tcPr>
          <w:p w14:paraId="2AB51ACD">
            <w:pPr>
              <w:widowControl/>
              <w:spacing w:line="0" w:lineRule="atLeast"/>
              <w:jc w:val="center"/>
              <w:rPr>
                <w:rFonts w:hint="default" w:ascii="Times New Roman" w:hAnsi="Times New Roman" w:eastAsia="仿宋_GB2312" w:cs="Times New Roman"/>
                <w:color w:val="000000"/>
                <w:kern w:val="0"/>
                <w:sz w:val="22"/>
                <w:szCs w:val="22"/>
              </w:rPr>
            </w:pPr>
          </w:p>
        </w:tc>
        <w:tc>
          <w:tcPr>
            <w:tcW w:w="1221" w:type="dxa"/>
            <w:shd w:val="clear" w:color="auto" w:fill="FFFFFF"/>
            <w:vAlign w:val="center"/>
          </w:tcPr>
          <w:p w14:paraId="68D09B3F">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产出质量</w:t>
            </w:r>
          </w:p>
        </w:tc>
        <w:tc>
          <w:tcPr>
            <w:tcW w:w="1624" w:type="dxa"/>
            <w:shd w:val="clear" w:color="auto" w:fill="FFFFFF"/>
            <w:vAlign w:val="center"/>
          </w:tcPr>
          <w:p w14:paraId="53ACBA9B">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质量达标率</w:t>
            </w:r>
          </w:p>
        </w:tc>
        <w:tc>
          <w:tcPr>
            <w:tcW w:w="692" w:type="dxa"/>
            <w:shd w:val="clear" w:color="000000" w:fill="FFFFFF"/>
            <w:vAlign w:val="center"/>
          </w:tcPr>
          <w:p w14:paraId="4CCBE897">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10</w:t>
            </w:r>
          </w:p>
        </w:tc>
        <w:tc>
          <w:tcPr>
            <w:tcW w:w="993" w:type="dxa"/>
            <w:shd w:val="clear" w:color="000000" w:fill="FFFFFF"/>
            <w:vAlign w:val="center"/>
          </w:tcPr>
          <w:p w14:paraId="2B1F514A">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100%</w:t>
            </w:r>
          </w:p>
        </w:tc>
        <w:tc>
          <w:tcPr>
            <w:tcW w:w="879" w:type="dxa"/>
            <w:shd w:val="clear" w:color="000000" w:fill="FFFFFF"/>
            <w:vAlign w:val="center"/>
          </w:tcPr>
          <w:p w14:paraId="35E136E3">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90%</w:t>
            </w:r>
          </w:p>
        </w:tc>
        <w:tc>
          <w:tcPr>
            <w:tcW w:w="1156" w:type="dxa"/>
            <w:shd w:val="clear" w:color="000000" w:fill="FFFFFF"/>
            <w:vAlign w:val="center"/>
          </w:tcPr>
          <w:p w14:paraId="4CA6D91E">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90%</w:t>
            </w:r>
          </w:p>
        </w:tc>
        <w:tc>
          <w:tcPr>
            <w:tcW w:w="913" w:type="dxa"/>
            <w:shd w:val="clear" w:color="000000" w:fill="FFFFFF"/>
            <w:vAlign w:val="center"/>
          </w:tcPr>
          <w:p w14:paraId="3D968C0B">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9</w:t>
            </w:r>
          </w:p>
        </w:tc>
      </w:tr>
      <w:tr w14:paraId="38634B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trPr>
        <w:tc>
          <w:tcPr>
            <w:tcW w:w="1050" w:type="dxa"/>
            <w:vMerge w:val="continue"/>
            <w:shd w:val="clear" w:color="auto" w:fill="FFFFFF"/>
            <w:vAlign w:val="center"/>
          </w:tcPr>
          <w:p w14:paraId="7EAC4B28">
            <w:pPr>
              <w:spacing w:line="0" w:lineRule="atLeast"/>
              <w:jc w:val="center"/>
              <w:rPr>
                <w:rFonts w:hint="default" w:ascii="Times New Roman" w:hAnsi="Times New Roman" w:eastAsia="仿宋_GB2312" w:cs="Times New Roman"/>
                <w:color w:val="000000"/>
                <w:kern w:val="0"/>
                <w:sz w:val="22"/>
                <w:szCs w:val="22"/>
              </w:rPr>
            </w:pPr>
          </w:p>
        </w:tc>
        <w:tc>
          <w:tcPr>
            <w:tcW w:w="942" w:type="dxa"/>
            <w:vMerge w:val="continue"/>
            <w:shd w:val="clear" w:color="auto" w:fill="FFFFFF"/>
            <w:vAlign w:val="center"/>
          </w:tcPr>
          <w:p w14:paraId="01EB1D8F">
            <w:pPr>
              <w:spacing w:line="0" w:lineRule="atLeast"/>
              <w:jc w:val="center"/>
              <w:rPr>
                <w:rFonts w:hint="default" w:ascii="Times New Roman" w:hAnsi="Times New Roman" w:eastAsia="仿宋_GB2312" w:cs="Times New Roman"/>
                <w:color w:val="000000"/>
                <w:kern w:val="0"/>
                <w:sz w:val="22"/>
                <w:szCs w:val="22"/>
              </w:rPr>
            </w:pPr>
          </w:p>
        </w:tc>
        <w:tc>
          <w:tcPr>
            <w:tcW w:w="1221" w:type="dxa"/>
            <w:shd w:val="clear" w:color="auto" w:fill="FFFFFF"/>
            <w:vAlign w:val="center"/>
          </w:tcPr>
          <w:p w14:paraId="7ABFBC64">
            <w:pPr>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产出时效</w:t>
            </w:r>
          </w:p>
        </w:tc>
        <w:tc>
          <w:tcPr>
            <w:tcW w:w="1624" w:type="dxa"/>
            <w:shd w:val="clear" w:color="auto" w:fill="FFFFFF"/>
            <w:vAlign w:val="center"/>
          </w:tcPr>
          <w:p w14:paraId="26CC2FAD">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完成及时性</w:t>
            </w:r>
          </w:p>
        </w:tc>
        <w:tc>
          <w:tcPr>
            <w:tcW w:w="692" w:type="dxa"/>
            <w:shd w:val="clear" w:color="000000" w:fill="FFFFFF"/>
            <w:vAlign w:val="center"/>
          </w:tcPr>
          <w:p w14:paraId="38776BA9">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10</w:t>
            </w:r>
          </w:p>
        </w:tc>
        <w:tc>
          <w:tcPr>
            <w:tcW w:w="993" w:type="dxa"/>
            <w:shd w:val="clear" w:color="000000" w:fill="FFFFFF"/>
            <w:vAlign w:val="center"/>
          </w:tcPr>
          <w:p w14:paraId="50900BA7">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及时</w:t>
            </w:r>
          </w:p>
        </w:tc>
        <w:tc>
          <w:tcPr>
            <w:tcW w:w="879" w:type="dxa"/>
            <w:shd w:val="clear" w:color="000000" w:fill="FFFFFF"/>
            <w:vAlign w:val="center"/>
          </w:tcPr>
          <w:p w14:paraId="3A0AFE96">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及时</w:t>
            </w:r>
          </w:p>
        </w:tc>
        <w:tc>
          <w:tcPr>
            <w:tcW w:w="1156" w:type="dxa"/>
            <w:shd w:val="clear" w:color="000000" w:fill="FFFFFF"/>
            <w:vAlign w:val="center"/>
          </w:tcPr>
          <w:p w14:paraId="0188D503">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100%</w:t>
            </w:r>
          </w:p>
        </w:tc>
        <w:tc>
          <w:tcPr>
            <w:tcW w:w="913" w:type="dxa"/>
            <w:shd w:val="clear" w:color="000000" w:fill="FFFFFF"/>
            <w:vAlign w:val="center"/>
          </w:tcPr>
          <w:p w14:paraId="3A6BE690">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10</w:t>
            </w:r>
          </w:p>
        </w:tc>
      </w:tr>
      <w:tr w14:paraId="7FC350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trPr>
        <w:tc>
          <w:tcPr>
            <w:tcW w:w="1050" w:type="dxa"/>
            <w:vMerge w:val="continue"/>
            <w:shd w:val="clear" w:color="auto" w:fill="FFFFFF"/>
            <w:vAlign w:val="center"/>
          </w:tcPr>
          <w:p w14:paraId="0C6F4AD8">
            <w:pPr>
              <w:widowControl/>
              <w:spacing w:line="0" w:lineRule="atLeast"/>
              <w:jc w:val="center"/>
              <w:rPr>
                <w:rFonts w:hint="default" w:ascii="Times New Roman" w:hAnsi="Times New Roman" w:eastAsia="仿宋_GB2312" w:cs="Times New Roman"/>
                <w:color w:val="000000"/>
                <w:kern w:val="0"/>
                <w:sz w:val="22"/>
                <w:szCs w:val="22"/>
              </w:rPr>
            </w:pPr>
          </w:p>
        </w:tc>
        <w:tc>
          <w:tcPr>
            <w:tcW w:w="942" w:type="dxa"/>
            <w:vMerge w:val="continue"/>
            <w:shd w:val="clear" w:color="auto" w:fill="FFFFFF"/>
            <w:vAlign w:val="center"/>
          </w:tcPr>
          <w:p w14:paraId="77EEAAC6">
            <w:pPr>
              <w:widowControl/>
              <w:spacing w:line="0" w:lineRule="atLeast"/>
              <w:jc w:val="center"/>
              <w:rPr>
                <w:rFonts w:hint="default" w:ascii="Times New Roman" w:hAnsi="Times New Roman" w:eastAsia="仿宋_GB2312" w:cs="Times New Roman"/>
                <w:color w:val="000000"/>
                <w:kern w:val="0"/>
                <w:sz w:val="22"/>
                <w:szCs w:val="22"/>
              </w:rPr>
            </w:pPr>
          </w:p>
        </w:tc>
        <w:tc>
          <w:tcPr>
            <w:tcW w:w="1221" w:type="dxa"/>
            <w:shd w:val="clear" w:color="auto" w:fill="FFFFFF"/>
            <w:vAlign w:val="center"/>
          </w:tcPr>
          <w:p w14:paraId="55011351">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产出成本</w:t>
            </w:r>
          </w:p>
        </w:tc>
        <w:tc>
          <w:tcPr>
            <w:tcW w:w="1624" w:type="dxa"/>
            <w:shd w:val="clear" w:color="auto" w:fill="FFFFFF"/>
            <w:vAlign w:val="center"/>
          </w:tcPr>
          <w:p w14:paraId="17836C97">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成本节约率</w:t>
            </w:r>
          </w:p>
        </w:tc>
        <w:tc>
          <w:tcPr>
            <w:tcW w:w="692" w:type="dxa"/>
            <w:shd w:val="clear" w:color="000000" w:fill="FFFFFF"/>
            <w:vAlign w:val="center"/>
          </w:tcPr>
          <w:p w14:paraId="162C8263">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10</w:t>
            </w:r>
          </w:p>
        </w:tc>
        <w:tc>
          <w:tcPr>
            <w:tcW w:w="993" w:type="dxa"/>
            <w:shd w:val="clear" w:color="000000" w:fill="FFFFFF"/>
            <w:vAlign w:val="center"/>
          </w:tcPr>
          <w:p w14:paraId="26776D82">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100%</w:t>
            </w:r>
          </w:p>
        </w:tc>
        <w:tc>
          <w:tcPr>
            <w:tcW w:w="879" w:type="dxa"/>
            <w:shd w:val="clear" w:color="000000" w:fill="FFFFFF"/>
            <w:vAlign w:val="center"/>
          </w:tcPr>
          <w:p w14:paraId="362B9654">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100%</w:t>
            </w:r>
          </w:p>
        </w:tc>
        <w:tc>
          <w:tcPr>
            <w:tcW w:w="1156" w:type="dxa"/>
            <w:shd w:val="clear" w:color="000000" w:fill="FFFFFF"/>
            <w:vAlign w:val="center"/>
          </w:tcPr>
          <w:p w14:paraId="01C77D5D">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100%</w:t>
            </w:r>
          </w:p>
        </w:tc>
        <w:tc>
          <w:tcPr>
            <w:tcW w:w="913" w:type="dxa"/>
            <w:shd w:val="clear" w:color="000000" w:fill="FFFFFF"/>
            <w:vAlign w:val="center"/>
          </w:tcPr>
          <w:p w14:paraId="60321EE6">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10</w:t>
            </w:r>
          </w:p>
        </w:tc>
      </w:tr>
      <w:tr w14:paraId="00A983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trPr>
        <w:tc>
          <w:tcPr>
            <w:tcW w:w="1050" w:type="dxa"/>
            <w:vMerge w:val="restart"/>
            <w:shd w:val="clear" w:color="auto" w:fill="FFFFFF"/>
            <w:vAlign w:val="center"/>
          </w:tcPr>
          <w:p w14:paraId="51952A92">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效益　</w:t>
            </w:r>
          </w:p>
        </w:tc>
        <w:tc>
          <w:tcPr>
            <w:tcW w:w="942" w:type="dxa"/>
            <w:vMerge w:val="restart"/>
            <w:shd w:val="clear" w:color="auto" w:fill="FFFFFF"/>
            <w:vAlign w:val="center"/>
          </w:tcPr>
          <w:p w14:paraId="53362D42">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20分</w:t>
            </w:r>
          </w:p>
        </w:tc>
        <w:tc>
          <w:tcPr>
            <w:tcW w:w="1221" w:type="dxa"/>
            <w:vMerge w:val="restart"/>
            <w:shd w:val="clear" w:color="auto" w:fill="FFFFFF"/>
            <w:vAlign w:val="center"/>
          </w:tcPr>
          <w:p w14:paraId="21321E69">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项目效益　</w:t>
            </w:r>
          </w:p>
        </w:tc>
        <w:tc>
          <w:tcPr>
            <w:tcW w:w="1624" w:type="dxa"/>
            <w:shd w:val="clear" w:color="auto" w:fill="FFFFFF"/>
            <w:vAlign w:val="center"/>
          </w:tcPr>
          <w:p w14:paraId="76FE5514">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实施效益</w:t>
            </w:r>
          </w:p>
          <w:p w14:paraId="64E37388">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（社会效益、经济效益、可持续效益）</w:t>
            </w:r>
          </w:p>
        </w:tc>
        <w:tc>
          <w:tcPr>
            <w:tcW w:w="692" w:type="dxa"/>
            <w:shd w:val="clear" w:color="auto" w:fill="FFFFFF"/>
            <w:vAlign w:val="center"/>
          </w:tcPr>
          <w:p w14:paraId="63378434">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10</w:t>
            </w:r>
          </w:p>
        </w:tc>
        <w:tc>
          <w:tcPr>
            <w:tcW w:w="993" w:type="dxa"/>
            <w:shd w:val="clear" w:color="auto" w:fill="FFFFFF"/>
            <w:vAlign w:val="center"/>
          </w:tcPr>
          <w:p w14:paraId="58496258">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有效</w:t>
            </w:r>
          </w:p>
        </w:tc>
        <w:tc>
          <w:tcPr>
            <w:tcW w:w="879" w:type="dxa"/>
            <w:shd w:val="clear" w:color="auto" w:fill="FFFFFF"/>
            <w:vAlign w:val="center"/>
          </w:tcPr>
          <w:p w14:paraId="17E868B0">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有效</w:t>
            </w:r>
          </w:p>
        </w:tc>
        <w:tc>
          <w:tcPr>
            <w:tcW w:w="1156" w:type="dxa"/>
            <w:shd w:val="clear" w:color="auto" w:fill="FFFFFF"/>
            <w:vAlign w:val="center"/>
          </w:tcPr>
          <w:p w14:paraId="6FCFFE7B">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100%</w:t>
            </w:r>
          </w:p>
        </w:tc>
        <w:tc>
          <w:tcPr>
            <w:tcW w:w="913" w:type="dxa"/>
            <w:shd w:val="clear" w:color="auto" w:fill="FFFFFF"/>
            <w:vAlign w:val="center"/>
          </w:tcPr>
          <w:p w14:paraId="277E8D1B">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10</w:t>
            </w:r>
          </w:p>
        </w:tc>
      </w:tr>
      <w:tr w14:paraId="5BEE79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trPr>
        <w:tc>
          <w:tcPr>
            <w:tcW w:w="1050" w:type="dxa"/>
            <w:vMerge w:val="continue"/>
            <w:shd w:val="clear" w:color="auto" w:fill="FFFFFF"/>
            <w:vAlign w:val="center"/>
          </w:tcPr>
          <w:p w14:paraId="5E7D90DF">
            <w:pPr>
              <w:widowControl/>
              <w:spacing w:line="0" w:lineRule="atLeast"/>
              <w:jc w:val="center"/>
              <w:rPr>
                <w:rFonts w:hint="default" w:ascii="Times New Roman" w:hAnsi="Times New Roman" w:eastAsia="仿宋_GB2312" w:cs="Times New Roman"/>
                <w:color w:val="000000"/>
                <w:kern w:val="0"/>
                <w:sz w:val="22"/>
                <w:szCs w:val="22"/>
              </w:rPr>
            </w:pPr>
          </w:p>
        </w:tc>
        <w:tc>
          <w:tcPr>
            <w:tcW w:w="942" w:type="dxa"/>
            <w:vMerge w:val="continue"/>
            <w:shd w:val="clear" w:color="auto" w:fill="FFFFFF"/>
            <w:vAlign w:val="center"/>
          </w:tcPr>
          <w:p w14:paraId="2335D3B7">
            <w:pPr>
              <w:widowControl/>
              <w:spacing w:line="0" w:lineRule="atLeast"/>
              <w:jc w:val="center"/>
              <w:rPr>
                <w:rFonts w:hint="default" w:ascii="Times New Roman" w:hAnsi="Times New Roman" w:eastAsia="仿宋_GB2312" w:cs="Times New Roman"/>
                <w:color w:val="000000"/>
                <w:kern w:val="0"/>
                <w:sz w:val="22"/>
                <w:szCs w:val="22"/>
              </w:rPr>
            </w:pPr>
          </w:p>
        </w:tc>
        <w:tc>
          <w:tcPr>
            <w:tcW w:w="1221" w:type="dxa"/>
            <w:vMerge w:val="continue"/>
            <w:shd w:val="clear" w:color="auto" w:fill="FFFFFF"/>
            <w:vAlign w:val="center"/>
          </w:tcPr>
          <w:p w14:paraId="7B1A0962">
            <w:pPr>
              <w:widowControl/>
              <w:spacing w:line="0" w:lineRule="atLeast"/>
              <w:jc w:val="center"/>
              <w:rPr>
                <w:rFonts w:hint="default" w:ascii="Times New Roman" w:hAnsi="Times New Roman" w:eastAsia="仿宋_GB2312" w:cs="Times New Roman"/>
                <w:color w:val="000000"/>
                <w:kern w:val="0"/>
                <w:sz w:val="22"/>
                <w:szCs w:val="22"/>
              </w:rPr>
            </w:pPr>
          </w:p>
        </w:tc>
        <w:tc>
          <w:tcPr>
            <w:tcW w:w="1624" w:type="dxa"/>
            <w:shd w:val="clear" w:color="auto" w:fill="FFFFFF"/>
            <w:vAlign w:val="center"/>
          </w:tcPr>
          <w:p w14:paraId="549300DB">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满意度</w:t>
            </w:r>
          </w:p>
        </w:tc>
        <w:tc>
          <w:tcPr>
            <w:tcW w:w="692" w:type="dxa"/>
            <w:shd w:val="clear" w:color="000000" w:fill="FFFFFF"/>
            <w:vAlign w:val="center"/>
          </w:tcPr>
          <w:p w14:paraId="4C5D2FC9">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10</w:t>
            </w:r>
          </w:p>
        </w:tc>
        <w:tc>
          <w:tcPr>
            <w:tcW w:w="993" w:type="dxa"/>
            <w:shd w:val="clear" w:color="000000" w:fill="FFFFFF"/>
            <w:vAlign w:val="center"/>
          </w:tcPr>
          <w:p w14:paraId="19616CE6">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≥100%</w:t>
            </w:r>
          </w:p>
        </w:tc>
        <w:tc>
          <w:tcPr>
            <w:tcW w:w="879" w:type="dxa"/>
            <w:shd w:val="clear" w:color="000000" w:fill="FFFFFF"/>
            <w:vAlign w:val="center"/>
          </w:tcPr>
          <w:p w14:paraId="23968398">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100%</w:t>
            </w:r>
          </w:p>
        </w:tc>
        <w:tc>
          <w:tcPr>
            <w:tcW w:w="1156" w:type="dxa"/>
            <w:shd w:val="clear" w:color="000000" w:fill="FFFFFF"/>
            <w:vAlign w:val="center"/>
          </w:tcPr>
          <w:p w14:paraId="37FA95BF">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100%</w:t>
            </w:r>
          </w:p>
        </w:tc>
        <w:tc>
          <w:tcPr>
            <w:tcW w:w="913" w:type="dxa"/>
            <w:shd w:val="clear" w:color="000000" w:fill="FFFFFF"/>
            <w:vAlign w:val="center"/>
          </w:tcPr>
          <w:p w14:paraId="3F97D0D1">
            <w:pPr>
              <w:widowControl/>
              <w:spacing w:line="0" w:lineRule="atLeast"/>
              <w:jc w:val="center"/>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10</w:t>
            </w:r>
          </w:p>
        </w:tc>
      </w:tr>
    </w:tbl>
    <w:p w14:paraId="23DC371C">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四、绩效评价指标分析</w:t>
      </w:r>
    </w:p>
    <w:p w14:paraId="1A5E87EF">
      <w:pPr>
        <w:pStyle w:val="2"/>
        <w:spacing w:before="0" w:after="0" w:line="560" w:lineRule="exact"/>
        <w:ind w:firstLine="643" w:firstLineChars="200"/>
        <w:jc w:val="both"/>
        <w:rPr>
          <w:rFonts w:hint="eastAsia" w:ascii="楷体_GB2312" w:hAnsi="楷体_GB2312" w:eastAsia="楷体_GB2312" w:cs="楷体_GB2312"/>
        </w:rPr>
      </w:pPr>
      <w:r>
        <w:rPr>
          <w:rFonts w:hint="default" w:ascii="Times New Roman" w:hAnsi="Times New Roman" w:eastAsia="仿宋_GB2312" w:cs="Times New Roman"/>
        </w:rPr>
        <w:t>（一）</w:t>
      </w:r>
      <w:r>
        <w:rPr>
          <w:rFonts w:hint="eastAsia" w:ascii="楷体_GB2312" w:hAnsi="楷体_GB2312" w:eastAsia="楷体_GB2312" w:cs="楷体_GB2312"/>
        </w:rPr>
        <w:t>项目决策情况</w:t>
      </w:r>
    </w:p>
    <w:p w14:paraId="35170387">
      <w:pPr>
        <w:pStyle w:val="2"/>
        <w:spacing w:before="0" w:after="0" w:line="560" w:lineRule="exact"/>
        <w:ind w:firstLine="643"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1、立项依据充分性</w:t>
      </w:r>
    </w:p>
    <w:p w14:paraId="0A393122">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医院政府采购支出项目按照《中华人民共和国政府采购法</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新疆医科大学附属肿瘤医院招标采购管理办法</w:t>
      </w:r>
      <w:r>
        <w:rPr>
          <w:rFonts w:hint="default" w:ascii="Times New Roman" w:hAnsi="Times New Roman" w:eastAsia="仿宋_GB2312" w:cs="Times New Roman"/>
          <w:sz w:val="32"/>
          <w:szCs w:val="32"/>
          <w:lang w:eastAsia="zh-CN"/>
        </w:rPr>
        <w:t>》等</w:t>
      </w:r>
      <w:r>
        <w:rPr>
          <w:rFonts w:hint="default" w:ascii="Times New Roman" w:hAnsi="Times New Roman" w:eastAsia="仿宋_GB2312" w:cs="Times New Roman"/>
          <w:sz w:val="32"/>
          <w:szCs w:val="32"/>
        </w:rPr>
        <w:t>要求编制。立项符合行业发展规划和政策要求，与部门职责范围相符。</w:t>
      </w:r>
    </w:p>
    <w:p w14:paraId="18384FD4">
      <w:pPr>
        <w:spacing w:line="360" w:lineRule="auto"/>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2、立项程序规范性</w:t>
      </w:r>
    </w:p>
    <w:p w14:paraId="33FE1F98">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项目按照规定的程序申请设立，审批文件、材料符合相关要求。</w:t>
      </w:r>
    </w:p>
    <w:p w14:paraId="1E229A37">
      <w:pPr>
        <w:spacing w:line="360" w:lineRule="auto"/>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3、绩效目标合理性</w:t>
      </w:r>
    </w:p>
    <w:p w14:paraId="67F6EE19">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医院政府采购支出项目设立了项目绩效目标，与政府采购支出具有相关性，项目的预期产出效益和效果也均能符合正常的业绩水平，并且与预算确定的项目投资额或资金量相匹配。</w:t>
      </w:r>
    </w:p>
    <w:p w14:paraId="1E8E2E69">
      <w:pPr>
        <w:spacing w:line="360" w:lineRule="auto"/>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4、绩效指标明确性</w:t>
      </w:r>
    </w:p>
    <w:p w14:paraId="1D6B3532">
      <w:pPr>
        <w:spacing w:line="360" w:lineRule="auto"/>
        <w:ind w:firstLine="640" w:firstLineChars="200"/>
        <w:rPr>
          <w:rFonts w:hint="default" w:ascii="Times New Roman" w:hAnsi="Times New Roman" w:eastAsia="仿宋_GB2312" w:cs="Times New Roman"/>
          <w:sz w:val="32"/>
          <w:szCs w:val="32"/>
        </w:rPr>
      </w:pPr>
      <w:bookmarkStart w:id="2" w:name="_Hlk68699917"/>
      <w:r>
        <w:rPr>
          <w:rFonts w:hint="default" w:ascii="Times New Roman" w:hAnsi="Times New Roman" w:eastAsia="仿宋_GB2312" w:cs="Times New Roman"/>
          <w:sz w:val="32"/>
          <w:szCs w:val="32"/>
        </w:rPr>
        <w:t>医院政府采购项目将项目绩效目标细化分解为具体的绩效指标，一级指标共4条，二级指标共7条，三级指标共11条，其中量化指标条数共10条，所有绩效指标均通过清晰、可衡量的指标值予以体现，并且做到了与项目目标任务数或计划数相对应。</w:t>
      </w:r>
      <w:bookmarkEnd w:id="2"/>
    </w:p>
    <w:p w14:paraId="3B49985F">
      <w:pPr>
        <w:spacing w:line="360" w:lineRule="auto"/>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5、预算编制科学性</w:t>
      </w:r>
    </w:p>
    <w:p w14:paraId="08783DC6">
      <w:pPr>
        <w:ind w:firstLine="640" w:firstLineChars="20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医院政府采购支出预算编制经过了科学的论证，与医院政府采购支出内容相匹配，测算依据充分且按照标准编制，预算确定的项目资金量与工作任务相匹配</w:t>
      </w:r>
      <w:r>
        <w:rPr>
          <w:rFonts w:hint="eastAsia" w:eastAsia="仿宋_GB2312" w:cs="Times New Roman"/>
          <w:sz w:val="32"/>
          <w:szCs w:val="32"/>
          <w:lang w:eastAsia="zh-CN"/>
        </w:rPr>
        <w:t>。</w:t>
      </w:r>
    </w:p>
    <w:p w14:paraId="4A5B44D9">
      <w:pPr>
        <w:spacing w:line="360" w:lineRule="auto"/>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6、资金分配合理性</w:t>
      </w:r>
    </w:p>
    <w:p w14:paraId="58B2397A">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资金分配额度与项目单位实际工作内容相适应，资金分配额度合理，资金分配依据充分。</w:t>
      </w:r>
    </w:p>
    <w:p w14:paraId="477FEDF8">
      <w:pPr>
        <w:pStyle w:val="2"/>
        <w:numPr>
          <w:ilvl w:val="0"/>
          <w:numId w:val="5"/>
        </w:numPr>
        <w:spacing w:before="0" w:after="0" w:line="560" w:lineRule="exact"/>
        <w:ind w:firstLine="643" w:firstLineChars="200"/>
        <w:jc w:val="both"/>
        <w:rPr>
          <w:rFonts w:hint="eastAsia" w:ascii="楷体_GB2312" w:hAnsi="楷体_GB2312" w:eastAsia="楷体_GB2312" w:cs="楷体_GB2312"/>
        </w:rPr>
      </w:pPr>
      <w:r>
        <w:rPr>
          <w:rFonts w:hint="eastAsia" w:ascii="楷体_GB2312" w:hAnsi="楷体_GB2312" w:eastAsia="楷体_GB2312" w:cs="楷体_GB2312"/>
        </w:rPr>
        <w:t>项目过程情况</w:t>
      </w:r>
    </w:p>
    <w:p w14:paraId="7A19B1CD">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（1）资金到位率</w:t>
      </w:r>
    </w:p>
    <w:p w14:paraId="51FFDDA2">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本项目总投资117,368.25万元，财政资金及时足额到位，到位率100%，预算资金按计划进度执行。</w:t>
      </w:r>
    </w:p>
    <w:p w14:paraId="74881218">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（2）预算执行率</w:t>
      </w:r>
    </w:p>
    <w:p w14:paraId="52DD876A">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预算编制较为详细，项目资金支出总体能够按照预算执行，预算资金支出117,368.25万元，预算执行率为100.</w:t>
      </w:r>
      <w:r>
        <w:rPr>
          <w:rFonts w:hint="eastAsia" w:eastAsia="仿宋_GB2312" w:cs="Times New Roman"/>
          <w:sz w:val="32"/>
          <w:szCs w:val="32"/>
          <w:lang w:val="en-US" w:eastAsia="zh-CN"/>
        </w:rPr>
        <w:t>00</w:t>
      </w:r>
      <w:r>
        <w:rPr>
          <w:rFonts w:hint="default" w:ascii="Times New Roman" w:hAnsi="Times New Roman" w:eastAsia="仿宋_GB2312" w:cs="Times New Roman"/>
          <w:sz w:val="32"/>
          <w:szCs w:val="32"/>
        </w:rPr>
        <w:t>%。</w:t>
      </w:r>
    </w:p>
    <w:p w14:paraId="4015B8C2">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（3）资金使用合规性</w:t>
      </w:r>
    </w:p>
    <w:p w14:paraId="38CCE234">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44DAC8DB">
      <w:pPr>
        <w:pStyle w:val="17"/>
        <w:spacing w:line="560" w:lineRule="exact"/>
        <w:ind w:firstLine="64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2.组织实施</w:t>
      </w:r>
    </w:p>
    <w:p w14:paraId="66A48490">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（1）管理制度健全性</w:t>
      </w:r>
    </w:p>
    <w:p w14:paraId="11E4F9E4">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52334A08">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（2）制度执行有效性</w:t>
      </w:r>
    </w:p>
    <w:p w14:paraId="38F94749">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对资金使用的合法合规性进行监督，年末对资金使用效果进行评价。项目管理、实施人员落实到位，有效按照计划执行。项目执行情况等资料齐全，项目相关手续完备，及时进行归档。</w:t>
      </w:r>
    </w:p>
    <w:p w14:paraId="3D891935">
      <w:pPr>
        <w:pStyle w:val="10"/>
        <w:numPr>
          <w:ilvl w:val="0"/>
          <w:numId w:val="5"/>
        </w:numPr>
        <w:spacing w:line="560" w:lineRule="exact"/>
        <w:ind w:firstLine="643"/>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项目产出</w:t>
      </w:r>
    </w:p>
    <w:p w14:paraId="11440AE3">
      <w:pPr>
        <w:snapToGrid w:val="0"/>
        <w:spacing w:line="560" w:lineRule="exact"/>
        <w:ind w:firstLine="627" w:firstLineChars="200"/>
        <w:rPr>
          <w:rStyle w:val="14"/>
          <w:rFonts w:hint="default" w:ascii="Times New Roman" w:hAnsi="Times New Roman" w:eastAsia="仿宋_GB2312" w:cs="Times New Roman"/>
          <w:bCs w:val="0"/>
          <w:spacing w:val="-4"/>
          <w:sz w:val="32"/>
          <w:szCs w:val="32"/>
        </w:rPr>
      </w:pPr>
      <w:r>
        <w:rPr>
          <w:rStyle w:val="14"/>
          <w:rFonts w:hint="default" w:ascii="Times New Roman" w:hAnsi="Times New Roman" w:eastAsia="仿宋_GB2312" w:cs="Times New Roman"/>
          <w:bCs w:val="0"/>
          <w:spacing w:val="-4"/>
          <w:sz w:val="32"/>
          <w:szCs w:val="32"/>
        </w:rPr>
        <w:t>数量指标方面：</w:t>
      </w:r>
    </w:p>
    <w:p w14:paraId="4E799688">
      <w:pPr>
        <w:snapToGrid w:val="0"/>
        <w:spacing w:line="560" w:lineRule="exact"/>
        <w:ind w:firstLine="624" w:firstLineChars="200"/>
        <w:rPr>
          <w:rStyle w:val="14"/>
          <w:rFonts w:hint="default" w:ascii="Times New Roman" w:hAnsi="Times New Roman" w:eastAsia="仿宋_GB2312" w:cs="Times New Roman"/>
          <w:b w:val="0"/>
          <w:spacing w:val="-4"/>
          <w:sz w:val="32"/>
          <w:szCs w:val="32"/>
        </w:rPr>
      </w:pPr>
      <w:r>
        <w:rPr>
          <w:rStyle w:val="14"/>
          <w:rFonts w:hint="default" w:ascii="Times New Roman" w:hAnsi="Times New Roman" w:eastAsia="仿宋_GB2312" w:cs="Times New Roman"/>
          <w:b w:val="0"/>
          <w:spacing w:val="-4"/>
          <w:sz w:val="32"/>
          <w:szCs w:val="32"/>
        </w:rPr>
        <w:t>指标1：一般设备采购数量，指标值：≥50台，实际完成值：96台，指标完成率192%，偏差率92%，偏差原因：疫情结束后，患者激增，需要配置相应的一般设备，下年设定目标值时会考虑多方面因素；</w:t>
      </w:r>
    </w:p>
    <w:p w14:paraId="1E3DBFD8">
      <w:pPr>
        <w:snapToGrid w:val="0"/>
        <w:spacing w:line="560" w:lineRule="exact"/>
        <w:ind w:firstLine="624" w:firstLineChars="200"/>
        <w:rPr>
          <w:rStyle w:val="14"/>
          <w:rFonts w:hint="default" w:ascii="Times New Roman" w:hAnsi="Times New Roman" w:eastAsia="仿宋_GB2312" w:cs="Times New Roman"/>
          <w:b w:val="0"/>
          <w:spacing w:val="-4"/>
          <w:sz w:val="32"/>
          <w:szCs w:val="32"/>
        </w:rPr>
      </w:pPr>
      <w:r>
        <w:rPr>
          <w:rStyle w:val="14"/>
          <w:rFonts w:hint="default" w:ascii="Times New Roman" w:hAnsi="Times New Roman" w:eastAsia="仿宋_GB2312" w:cs="Times New Roman"/>
          <w:b w:val="0"/>
          <w:spacing w:val="-4"/>
          <w:sz w:val="32"/>
          <w:szCs w:val="32"/>
        </w:rPr>
        <w:t>指标2：大型专用设备采购数量，指标值：≥2台，实际完成值：2台，指标完成率100%，偏差率0%；</w:t>
      </w:r>
    </w:p>
    <w:p w14:paraId="126FD940">
      <w:pPr>
        <w:spacing w:line="560" w:lineRule="exact"/>
        <w:ind w:firstLine="643" w:firstLineChars="200"/>
        <w:rPr>
          <w:rStyle w:val="16"/>
          <w:rFonts w:hint="default" w:ascii="Times New Roman" w:hAnsi="Times New Roman" w:cs="Times New Roman"/>
          <w:b/>
          <w:bCs/>
          <w:color w:val="auto"/>
        </w:rPr>
      </w:pPr>
      <w:r>
        <w:rPr>
          <w:rStyle w:val="16"/>
          <w:rFonts w:hint="default" w:ascii="Times New Roman" w:hAnsi="Times New Roman" w:cs="Times New Roman"/>
          <w:b/>
          <w:bCs/>
          <w:color w:val="auto"/>
        </w:rPr>
        <w:t>质量指标方面：</w:t>
      </w:r>
    </w:p>
    <w:p w14:paraId="440B8135">
      <w:pPr>
        <w:snapToGrid w:val="0"/>
        <w:spacing w:line="560" w:lineRule="exact"/>
        <w:ind w:firstLine="624" w:firstLineChars="200"/>
        <w:rPr>
          <w:rStyle w:val="14"/>
          <w:rFonts w:hint="default" w:ascii="Times New Roman" w:hAnsi="Times New Roman" w:eastAsia="仿宋_GB2312" w:cs="Times New Roman"/>
          <w:b w:val="0"/>
          <w:spacing w:val="-4"/>
          <w:sz w:val="32"/>
          <w:szCs w:val="32"/>
        </w:rPr>
      </w:pPr>
      <w:r>
        <w:rPr>
          <w:rStyle w:val="14"/>
          <w:rFonts w:hint="default" w:ascii="Times New Roman" w:hAnsi="Times New Roman" w:eastAsia="仿宋_GB2312" w:cs="Times New Roman"/>
          <w:b w:val="0"/>
          <w:spacing w:val="-4"/>
          <w:sz w:val="32"/>
          <w:szCs w:val="32"/>
        </w:rPr>
        <w:t>指标1：医疗服务收入（不含药品、卫生材料、检查、检验收入）占医疗收入比例，指标值：≥24.49%，实际完成值：27.70%，指标完成率100%，偏差率0%；</w:t>
      </w:r>
    </w:p>
    <w:p w14:paraId="08730BF5">
      <w:pPr>
        <w:snapToGrid w:val="0"/>
        <w:spacing w:line="560" w:lineRule="exact"/>
        <w:ind w:firstLine="624" w:firstLineChars="200"/>
        <w:rPr>
          <w:rStyle w:val="14"/>
          <w:rFonts w:hint="default" w:ascii="Times New Roman" w:hAnsi="Times New Roman" w:eastAsia="仿宋_GB2312" w:cs="Times New Roman"/>
          <w:b w:val="0"/>
          <w:spacing w:val="-4"/>
          <w:sz w:val="32"/>
          <w:szCs w:val="32"/>
        </w:rPr>
      </w:pPr>
      <w:r>
        <w:rPr>
          <w:rStyle w:val="14"/>
          <w:rFonts w:hint="default" w:ascii="Times New Roman" w:hAnsi="Times New Roman" w:eastAsia="仿宋_GB2312" w:cs="Times New Roman"/>
          <w:b w:val="0"/>
          <w:spacing w:val="-4"/>
          <w:sz w:val="32"/>
          <w:szCs w:val="32"/>
        </w:rPr>
        <w:t>指标2：政府采购率，指标值：≥75%，实际完成值：80%，指标完成率106.67%，偏差率6.67%，偏差原因：政府采购制度和程序逐步规范；</w:t>
      </w:r>
    </w:p>
    <w:p w14:paraId="271DF46B">
      <w:pPr>
        <w:pStyle w:val="2"/>
        <w:spacing w:before="0" w:after="0" w:line="560" w:lineRule="exact"/>
        <w:ind w:firstLine="643" w:firstLineChars="200"/>
        <w:jc w:val="both"/>
        <w:rPr>
          <w:rStyle w:val="16"/>
          <w:rFonts w:hint="default" w:ascii="Times New Roman" w:hAnsi="Times New Roman" w:cs="Times New Roman"/>
          <w:color w:val="auto"/>
        </w:rPr>
      </w:pPr>
      <w:r>
        <w:rPr>
          <w:rStyle w:val="16"/>
          <w:rFonts w:hint="default" w:ascii="Times New Roman" w:hAnsi="Times New Roman" w:cs="Times New Roman"/>
          <w:color w:val="auto"/>
        </w:rPr>
        <w:t>成本指标方面：</w:t>
      </w:r>
    </w:p>
    <w:p w14:paraId="6F1F0F18">
      <w:pPr>
        <w:snapToGrid w:val="0"/>
        <w:spacing w:line="560" w:lineRule="exact"/>
        <w:ind w:firstLine="624" w:firstLineChars="200"/>
        <w:rPr>
          <w:rStyle w:val="14"/>
          <w:rFonts w:hint="default" w:ascii="Times New Roman" w:hAnsi="Times New Roman" w:eastAsia="仿宋_GB2312" w:cs="Times New Roman"/>
          <w:b w:val="0"/>
          <w:spacing w:val="-4"/>
          <w:sz w:val="32"/>
          <w:szCs w:val="32"/>
        </w:rPr>
      </w:pPr>
      <w:r>
        <w:rPr>
          <w:rStyle w:val="14"/>
          <w:rFonts w:hint="default" w:ascii="Times New Roman" w:hAnsi="Times New Roman" w:eastAsia="仿宋_GB2312" w:cs="Times New Roman"/>
          <w:b w:val="0"/>
          <w:spacing w:val="-4"/>
          <w:sz w:val="32"/>
          <w:szCs w:val="32"/>
        </w:rPr>
        <w:t>指标1：万元收入能耗支出，指标值：≤72.03%，实际完成值：39.29%，指标完成率100%，偏差率0%；</w:t>
      </w:r>
    </w:p>
    <w:p w14:paraId="28F0F74F">
      <w:pPr>
        <w:spacing w:line="560" w:lineRule="exact"/>
        <w:ind w:firstLine="643" w:firstLineChars="200"/>
        <w:rPr>
          <w:rStyle w:val="16"/>
          <w:rFonts w:hint="default" w:ascii="Times New Roman" w:hAnsi="Times New Roman" w:cs="Times New Roman"/>
          <w:b/>
          <w:bCs/>
          <w:color w:val="auto"/>
        </w:rPr>
      </w:pPr>
      <w:r>
        <w:rPr>
          <w:rStyle w:val="16"/>
          <w:rFonts w:hint="default" w:ascii="Times New Roman" w:hAnsi="Times New Roman" w:cs="Times New Roman"/>
          <w:b/>
          <w:bCs/>
          <w:color w:val="auto"/>
        </w:rPr>
        <w:t>时效指标方面：</w:t>
      </w:r>
    </w:p>
    <w:p w14:paraId="13633DC6">
      <w:pPr>
        <w:snapToGrid w:val="0"/>
        <w:spacing w:line="560" w:lineRule="exact"/>
        <w:ind w:firstLine="624" w:firstLineChars="200"/>
        <w:rPr>
          <w:rStyle w:val="14"/>
          <w:rFonts w:hint="default" w:ascii="Times New Roman" w:hAnsi="Times New Roman" w:eastAsia="仿宋_GB2312" w:cs="Times New Roman"/>
          <w:b w:val="0"/>
          <w:spacing w:val="-4"/>
          <w:sz w:val="32"/>
          <w:szCs w:val="32"/>
        </w:rPr>
      </w:pPr>
      <w:r>
        <w:rPr>
          <w:rStyle w:val="14"/>
          <w:rFonts w:hint="default" w:ascii="Times New Roman" w:hAnsi="Times New Roman" w:eastAsia="仿宋_GB2312" w:cs="Times New Roman"/>
          <w:b w:val="0"/>
          <w:spacing w:val="-4"/>
          <w:sz w:val="32"/>
          <w:szCs w:val="32"/>
        </w:rPr>
        <w:t>指标1：系统故障修复处理时间，指标值：≤24小时，实际完成值4小时，指标完成率100%，偏差率0%；</w:t>
      </w:r>
    </w:p>
    <w:p w14:paraId="6DBB31F5">
      <w:pPr>
        <w:pStyle w:val="10"/>
        <w:numPr>
          <w:ilvl w:val="0"/>
          <w:numId w:val="5"/>
        </w:numPr>
        <w:spacing w:line="560" w:lineRule="exact"/>
        <w:ind w:firstLine="643"/>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效益情况</w:t>
      </w:r>
    </w:p>
    <w:p w14:paraId="24998491">
      <w:pPr>
        <w:spacing w:line="560" w:lineRule="exact"/>
        <w:ind w:firstLine="643" w:firstLineChars="200"/>
        <w:rPr>
          <w:rStyle w:val="16"/>
          <w:rFonts w:hint="default" w:ascii="Times New Roman" w:hAnsi="Times New Roman" w:cs="Times New Roman"/>
          <w:b/>
          <w:bCs/>
          <w:color w:val="auto"/>
        </w:rPr>
      </w:pPr>
      <w:r>
        <w:rPr>
          <w:rStyle w:val="16"/>
          <w:rFonts w:hint="default" w:ascii="Times New Roman" w:hAnsi="Times New Roman" w:cs="Times New Roman"/>
          <w:b/>
          <w:bCs/>
          <w:color w:val="auto"/>
        </w:rPr>
        <w:t>经济效益指标方面：</w:t>
      </w:r>
    </w:p>
    <w:p w14:paraId="48CEFCED">
      <w:pPr>
        <w:spacing w:line="560" w:lineRule="exact"/>
        <w:ind w:firstLine="640" w:firstLineChars="200"/>
        <w:rPr>
          <w:rStyle w:val="16"/>
          <w:rFonts w:hint="default" w:ascii="Times New Roman" w:hAnsi="Times New Roman" w:cs="Times New Roman"/>
          <w:color w:val="auto"/>
        </w:rPr>
      </w:pPr>
      <w:r>
        <w:rPr>
          <w:rStyle w:val="16"/>
          <w:rFonts w:hint="default" w:ascii="Times New Roman" w:hAnsi="Times New Roman" w:cs="Times New Roman"/>
          <w:color w:val="auto"/>
        </w:rPr>
        <w:t>指标1：百元固定资产医疗收入（不含药品），指标值：≥65元，实际完成值：99元，指标完成率100%</w:t>
      </w:r>
      <w:r>
        <w:rPr>
          <w:rStyle w:val="14"/>
          <w:rFonts w:hint="default" w:ascii="Times New Roman" w:hAnsi="Times New Roman" w:eastAsia="仿宋_GB2312" w:cs="Times New Roman"/>
          <w:b w:val="0"/>
          <w:spacing w:val="-4"/>
          <w:sz w:val="32"/>
          <w:szCs w:val="32"/>
        </w:rPr>
        <w:t>，偏差率0%</w:t>
      </w:r>
      <w:r>
        <w:rPr>
          <w:rStyle w:val="16"/>
          <w:rFonts w:hint="default" w:ascii="Times New Roman" w:hAnsi="Times New Roman" w:cs="Times New Roman"/>
          <w:color w:val="auto"/>
        </w:rPr>
        <w:t>；</w:t>
      </w:r>
    </w:p>
    <w:p w14:paraId="081A3FCB">
      <w:pPr>
        <w:spacing w:line="560" w:lineRule="exact"/>
        <w:ind w:firstLine="640" w:firstLineChars="200"/>
        <w:rPr>
          <w:rStyle w:val="16"/>
          <w:rFonts w:hint="default" w:ascii="Times New Roman" w:hAnsi="Times New Roman" w:cs="Times New Roman"/>
          <w:color w:val="auto"/>
        </w:rPr>
      </w:pPr>
      <w:r>
        <w:rPr>
          <w:rStyle w:val="16"/>
          <w:rFonts w:hint="default" w:ascii="Times New Roman" w:hAnsi="Times New Roman" w:cs="Times New Roman"/>
          <w:color w:val="auto"/>
        </w:rPr>
        <w:t>指标2：设备使用率，指标值：≥80%，实际完成值：91%，指标完成率113.75%</w:t>
      </w:r>
      <w:r>
        <w:rPr>
          <w:rStyle w:val="14"/>
          <w:rFonts w:hint="default" w:ascii="Times New Roman" w:hAnsi="Times New Roman" w:eastAsia="仿宋_GB2312" w:cs="Times New Roman"/>
          <w:b w:val="0"/>
          <w:spacing w:val="-4"/>
          <w:sz w:val="32"/>
          <w:szCs w:val="32"/>
        </w:rPr>
        <w:t>，偏差率13.75%</w:t>
      </w:r>
      <w:r>
        <w:rPr>
          <w:rStyle w:val="16"/>
          <w:rFonts w:hint="default" w:ascii="Times New Roman" w:hAnsi="Times New Roman" w:cs="Times New Roman"/>
          <w:color w:val="auto"/>
        </w:rPr>
        <w:t>，</w:t>
      </w:r>
      <w:r>
        <w:rPr>
          <w:rStyle w:val="14"/>
          <w:rFonts w:hint="default" w:ascii="Times New Roman" w:hAnsi="Times New Roman" w:eastAsia="仿宋_GB2312" w:cs="Times New Roman"/>
          <w:b w:val="0"/>
          <w:spacing w:val="-4"/>
          <w:sz w:val="32"/>
          <w:szCs w:val="32"/>
        </w:rPr>
        <w:t>偏差原因：设备使用率不断提高</w:t>
      </w:r>
      <w:r>
        <w:rPr>
          <w:rStyle w:val="16"/>
          <w:rFonts w:hint="default" w:ascii="Times New Roman" w:hAnsi="Times New Roman" w:cs="Times New Roman"/>
          <w:color w:val="auto"/>
        </w:rPr>
        <w:t>；</w:t>
      </w:r>
    </w:p>
    <w:p w14:paraId="60853A81">
      <w:pPr>
        <w:spacing w:line="560" w:lineRule="exact"/>
        <w:ind w:firstLine="643" w:firstLineChars="200"/>
        <w:rPr>
          <w:rStyle w:val="16"/>
          <w:rFonts w:hint="default" w:ascii="Times New Roman" w:hAnsi="Times New Roman" w:cs="Times New Roman"/>
          <w:b/>
          <w:bCs/>
          <w:color w:val="auto"/>
        </w:rPr>
      </w:pPr>
      <w:r>
        <w:rPr>
          <w:rStyle w:val="16"/>
          <w:rFonts w:hint="default" w:ascii="Times New Roman" w:hAnsi="Times New Roman" w:cs="Times New Roman"/>
          <w:b/>
          <w:bCs/>
          <w:color w:val="auto"/>
        </w:rPr>
        <w:t>社会效益指标方面：</w:t>
      </w:r>
    </w:p>
    <w:p w14:paraId="62128651">
      <w:pPr>
        <w:spacing w:line="560" w:lineRule="exact"/>
        <w:ind w:firstLine="640" w:firstLineChars="200"/>
        <w:rPr>
          <w:rStyle w:val="16"/>
          <w:rFonts w:hint="default" w:ascii="Times New Roman" w:hAnsi="Times New Roman" w:cs="Times New Roman"/>
          <w:color w:val="auto"/>
        </w:rPr>
      </w:pPr>
      <w:r>
        <w:rPr>
          <w:rStyle w:val="16"/>
          <w:rFonts w:hint="default" w:ascii="Times New Roman" w:hAnsi="Times New Roman" w:cs="Times New Roman"/>
          <w:color w:val="auto"/>
        </w:rPr>
        <w:t>指标1：医疗服务活动平稳高效运行，指标值：有效保障，实际完成值：有效保障，指标完成率100%</w:t>
      </w:r>
      <w:r>
        <w:rPr>
          <w:rStyle w:val="14"/>
          <w:rFonts w:hint="default" w:ascii="Times New Roman" w:hAnsi="Times New Roman" w:eastAsia="仿宋_GB2312" w:cs="Times New Roman"/>
          <w:b w:val="0"/>
          <w:spacing w:val="-4"/>
          <w:sz w:val="32"/>
          <w:szCs w:val="32"/>
        </w:rPr>
        <w:t>，偏差率0%</w:t>
      </w:r>
      <w:r>
        <w:rPr>
          <w:rStyle w:val="16"/>
          <w:rFonts w:hint="default" w:ascii="Times New Roman" w:hAnsi="Times New Roman" w:cs="Times New Roman"/>
          <w:color w:val="auto"/>
        </w:rPr>
        <w:t>；</w:t>
      </w:r>
    </w:p>
    <w:p w14:paraId="26093D4D">
      <w:pPr>
        <w:spacing w:line="560" w:lineRule="exact"/>
        <w:ind w:firstLine="643" w:firstLineChars="200"/>
        <w:rPr>
          <w:rStyle w:val="16"/>
          <w:rFonts w:hint="default" w:ascii="Times New Roman" w:hAnsi="Times New Roman" w:cs="Times New Roman"/>
          <w:b/>
          <w:bCs/>
          <w:color w:val="auto"/>
        </w:rPr>
      </w:pPr>
      <w:r>
        <w:rPr>
          <w:rStyle w:val="16"/>
          <w:rFonts w:hint="default" w:ascii="Times New Roman" w:hAnsi="Times New Roman" w:cs="Times New Roman"/>
          <w:b/>
          <w:bCs/>
          <w:color w:val="auto"/>
        </w:rPr>
        <w:t>满意度指标方面：</w:t>
      </w:r>
    </w:p>
    <w:p w14:paraId="66840E6F">
      <w:pPr>
        <w:snapToGrid w:val="0"/>
        <w:spacing w:line="560" w:lineRule="exact"/>
        <w:ind w:firstLine="624" w:firstLineChars="200"/>
        <w:rPr>
          <w:rStyle w:val="14"/>
          <w:rFonts w:hint="default" w:ascii="Times New Roman" w:hAnsi="Times New Roman" w:eastAsia="仿宋_GB2312" w:cs="Times New Roman"/>
          <w:b w:val="0"/>
          <w:spacing w:val="-4"/>
          <w:sz w:val="32"/>
          <w:szCs w:val="32"/>
        </w:rPr>
      </w:pPr>
      <w:r>
        <w:rPr>
          <w:rStyle w:val="14"/>
          <w:rFonts w:hint="default" w:ascii="Times New Roman" w:hAnsi="Times New Roman" w:eastAsia="仿宋_GB2312" w:cs="Times New Roman"/>
          <w:b w:val="0"/>
          <w:spacing w:val="-4"/>
          <w:sz w:val="32"/>
          <w:szCs w:val="32"/>
        </w:rPr>
        <w:t>指标1：患者满意度，指标值：≥90%，实际完成值：99.26%，指标完成率110%，偏差率10%，偏差原因：满意度不断提高；</w:t>
      </w:r>
    </w:p>
    <w:p w14:paraId="571EF2D0">
      <w:pPr>
        <w:snapToGrid w:val="0"/>
        <w:spacing w:line="560" w:lineRule="exact"/>
        <w:ind w:firstLine="624" w:firstLineChars="200"/>
        <w:rPr>
          <w:rStyle w:val="14"/>
          <w:rFonts w:hint="default" w:ascii="Times New Roman" w:hAnsi="Times New Roman" w:eastAsia="仿宋_GB2312" w:cs="Times New Roman"/>
          <w:b w:val="0"/>
          <w:spacing w:val="-4"/>
          <w:sz w:val="32"/>
          <w:szCs w:val="32"/>
        </w:rPr>
      </w:pPr>
      <w:r>
        <w:rPr>
          <w:rStyle w:val="14"/>
          <w:rFonts w:hint="default" w:ascii="Times New Roman" w:hAnsi="Times New Roman" w:eastAsia="仿宋_GB2312" w:cs="Times New Roman"/>
          <w:b w:val="0"/>
          <w:spacing w:val="-4"/>
          <w:sz w:val="32"/>
          <w:szCs w:val="32"/>
        </w:rPr>
        <w:t>指标2：职工满意度，指标值：≥90%，实际完成值：90%，指标完成率100%，偏差率0%；</w:t>
      </w:r>
    </w:p>
    <w:p w14:paraId="59774480">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五、预算执行进度与绩效指标总体完成率偏差</w:t>
      </w:r>
    </w:p>
    <w:p w14:paraId="3492014C">
      <w:pPr>
        <w:pStyle w:val="17"/>
        <w:spacing w:line="56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医院政府</w:t>
      </w:r>
      <w:r>
        <w:rPr>
          <w:rFonts w:hint="default" w:ascii="Times New Roman" w:hAnsi="Times New Roman" w:eastAsia="仿宋_GB2312" w:cs="Times New Roman"/>
          <w:sz w:val="32"/>
          <w:szCs w:val="32"/>
          <w:lang w:eastAsia="zh-CN"/>
        </w:rPr>
        <w:t>采购项目</w:t>
      </w:r>
      <w:r>
        <w:rPr>
          <w:rFonts w:hint="default" w:ascii="Times New Roman" w:hAnsi="Times New Roman" w:eastAsia="仿宋_GB2312" w:cs="Times New Roman"/>
          <w:sz w:val="32"/>
          <w:szCs w:val="32"/>
        </w:rPr>
        <w:t>年初预算11</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rPr>
        <w:t>,</w:t>
      </w:r>
      <w:r>
        <w:rPr>
          <w:rFonts w:hint="eastAsia" w:eastAsia="仿宋_GB2312" w:cs="Times New Roman"/>
          <w:sz w:val="32"/>
          <w:szCs w:val="32"/>
          <w:lang w:val="en-US" w:eastAsia="zh-CN"/>
        </w:rPr>
        <w:t>292</w:t>
      </w:r>
      <w:r>
        <w:rPr>
          <w:rFonts w:hint="default" w:ascii="Times New Roman" w:hAnsi="Times New Roman" w:eastAsia="仿宋_GB2312" w:cs="Times New Roman"/>
          <w:sz w:val="32"/>
          <w:szCs w:val="32"/>
        </w:rPr>
        <w:t>.</w:t>
      </w:r>
      <w:r>
        <w:rPr>
          <w:rFonts w:hint="eastAsia" w:eastAsia="仿宋_GB2312" w:cs="Times New Roman"/>
          <w:sz w:val="32"/>
          <w:szCs w:val="32"/>
          <w:lang w:val="en-US" w:eastAsia="zh-CN"/>
        </w:rPr>
        <w:t>00</w:t>
      </w:r>
      <w:bookmarkStart w:id="4" w:name="_GoBack"/>
      <w:bookmarkEnd w:id="4"/>
      <w:r>
        <w:rPr>
          <w:rFonts w:hint="default" w:ascii="Times New Roman" w:hAnsi="Times New Roman" w:eastAsia="仿宋_GB2312" w:cs="Times New Roman"/>
          <w:sz w:val="32"/>
          <w:szCs w:val="32"/>
        </w:rPr>
        <w:t>万元，全年预算117,368.25万元，实际支出117,368.25万元，预算执行率为100.</w:t>
      </w:r>
      <w:r>
        <w:rPr>
          <w:rFonts w:hint="eastAsia" w:eastAsia="仿宋_GB2312" w:cs="Times New Roman"/>
          <w:sz w:val="32"/>
          <w:szCs w:val="32"/>
          <w:lang w:val="en-US" w:eastAsia="zh-CN"/>
        </w:rPr>
        <w:t>00</w:t>
      </w:r>
      <w:r>
        <w:rPr>
          <w:rFonts w:hint="default" w:ascii="Times New Roman" w:hAnsi="Times New Roman" w:eastAsia="仿宋_GB2312" w:cs="Times New Roman"/>
          <w:sz w:val="32"/>
          <w:szCs w:val="32"/>
        </w:rPr>
        <w:t>%，项目绩效指标总体完成率为111.13%，总体偏差率为11.13%</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偏差原因</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疫情结束后，患者激增，需要配置相应的设备，因此医院政府采购实际支出增大。改进措施</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下年设定目标值时会考虑多方面因素。</w:t>
      </w:r>
    </w:p>
    <w:p w14:paraId="1BF2ABBE">
      <w:pPr>
        <w:spacing w:line="560" w:lineRule="exact"/>
        <w:ind w:firstLine="643" w:firstLineChars="200"/>
        <w:rPr>
          <w:rStyle w:val="16"/>
          <w:rFonts w:hint="default" w:ascii="Times New Roman" w:hAnsi="Times New Roman" w:cs="Times New Roman"/>
          <w:b/>
          <w:bCs/>
          <w:color w:val="auto"/>
        </w:rPr>
      </w:pPr>
      <w:r>
        <w:rPr>
          <w:rFonts w:hint="default" w:ascii="Times New Roman" w:hAnsi="Times New Roman" w:eastAsia="仿宋_GB2312" w:cs="Times New Roman"/>
          <w:b/>
          <w:bCs/>
          <w:sz w:val="32"/>
          <w:szCs w:val="32"/>
        </w:rPr>
        <w:t>六、主要经验及做法、存在的问题及原因分析</w:t>
      </w:r>
    </w:p>
    <w:p w14:paraId="3CA6E3F4">
      <w:pPr>
        <w:snapToGrid w:val="0"/>
        <w:spacing w:line="560" w:lineRule="exact"/>
        <w:ind w:firstLine="627" w:firstLineChars="200"/>
        <w:rPr>
          <w:rStyle w:val="14"/>
          <w:rFonts w:hint="eastAsia" w:ascii="楷体_GB2312" w:hAnsi="楷体_GB2312" w:eastAsia="楷体_GB2312" w:cs="楷体_GB2312"/>
          <w:b/>
          <w:bCs w:val="0"/>
          <w:spacing w:val="-4"/>
          <w:sz w:val="32"/>
          <w:szCs w:val="32"/>
        </w:rPr>
      </w:pPr>
      <w:r>
        <w:rPr>
          <w:rStyle w:val="14"/>
          <w:rFonts w:hint="eastAsia" w:ascii="楷体_GB2312" w:hAnsi="楷体_GB2312" w:eastAsia="楷体_GB2312" w:cs="楷体_GB2312"/>
          <w:b/>
          <w:bCs w:val="0"/>
          <w:spacing w:val="-4"/>
          <w:sz w:val="32"/>
          <w:szCs w:val="32"/>
        </w:rPr>
        <w:t>（一）主要经验及做法</w:t>
      </w:r>
    </w:p>
    <w:p w14:paraId="74428DC2">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154F14BF">
      <w:pPr>
        <w:pStyle w:val="2"/>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严格坚持先做事、后验收、再拨付的原则，基本杜绝了资金被挤占和挪用现象的发生，跟踪检查到位。</w:t>
      </w:r>
    </w:p>
    <w:p w14:paraId="33A7928E">
      <w:pPr>
        <w:snapToGrid w:val="0"/>
        <w:spacing w:line="560" w:lineRule="exact"/>
        <w:ind w:firstLine="627" w:firstLineChars="200"/>
        <w:rPr>
          <w:rStyle w:val="14"/>
          <w:rFonts w:hint="default" w:ascii="楷体_GB2312" w:hAnsi="楷体_GB2312" w:eastAsia="楷体_GB2312" w:cs="楷体_GB2312"/>
          <w:b/>
          <w:bCs w:val="0"/>
          <w:spacing w:val="-4"/>
          <w:sz w:val="32"/>
          <w:szCs w:val="32"/>
        </w:rPr>
      </w:pPr>
      <w:r>
        <w:rPr>
          <w:rStyle w:val="14"/>
          <w:rFonts w:hint="default" w:ascii="楷体_GB2312" w:hAnsi="楷体_GB2312" w:eastAsia="楷体_GB2312" w:cs="楷体_GB2312"/>
          <w:b/>
          <w:bCs w:val="0"/>
          <w:spacing w:val="-4"/>
          <w:sz w:val="32"/>
          <w:szCs w:val="32"/>
          <w:lang w:eastAsia="zh-CN"/>
        </w:rPr>
        <w:t>（</w:t>
      </w:r>
      <w:r>
        <w:rPr>
          <w:rStyle w:val="14"/>
          <w:rFonts w:hint="default" w:ascii="楷体_GB2312" w:hAnsi="楷体_GB2312" w:eastAsia="楷体_GB2312" w:cs="楷体_GB2312"/>
          <w:b/>
          <w:bCs w:val="0"/>
          <w:spacing w:val="-4"/>
          <w:sz w:val="32"/>
          <w:szCs w:val="32"/>
        </w:rPr>
        <w:t>二</w:t>
      </w:r>
      <w:r>
        <w:rPr>
          <w:rStyle w:val="14"/>
          <w:rFonts w:hint="default" w:ascii="楷体_GB2312" w:hAnsi="楷体_GB2312" w:eastAsia="楷体_GB2312" w:cs="楷体_GB2312"/>
          <w:b/>
          <w:bCs w:val="0"/>
          <w:spacing w:val="-4"/>
          <w:sz w:val="32"/>
          <w:szCs w:val="32"/>
          <w:lang w:eastAsia="zh-CN"/>
        </w:rPr>
        <w:t>）</w:t>
      </w:r>
      <w:r>
        <w:rPr>
          <w:rStyle w:val="14"/>
          <w:rFonts w:hint="default" w:ascii="楷体_GB2312" w:hAnsi="楷体_GB2312" w:eastAsia="楷体_GB2312" w:cs="楷体_GB2312"/>
          <w:b/>
          <w:bCs w:val="0"/>
          <w:spacing w:val="-4"/>
          <w:sz w:val="32"/>
          <w:szCs w:val="32"/>
        </w:rPr>
        <w:t xml:space="preserve"> 存在的问题及原因分析</w:t>
      </w:r>
    </w:p>
    <w:p w14:paraId="2311E39F">
      <w:pPr>
        <w:pStyle w:val="2"/>
        <w:spacing w:before="0" w:after="0" w:line="560" w:lineRule="exact"/>
        <w:ind w:firstLine="640" w:firstLineChars="200"/>
        <w:jc w:val="both"/>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本项目2023年度无存在的问题。</w:t>
      </w:r>
    </w:p>
    <w:p w14:paraId="77C5EBAC">
      <w:pPr>
        <w:spacing w:line="560" w:lineRule="exact"/>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七、有关建议</w:t>
      </w:r>
    </w:p>
    <w:p w14:paraId="66C235B4">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一步加强对绩效管理工作的组织领导及培训，提高对预算绩效管理工作重要性的认识，总结经验查找问题，加大全局对全面实施预算绩效管理和绩效管理工作的学习力度，让“花钱必问效，无效必问责”的理念深入工作每个环节。</w:t>
      </w:r>
    </w:p>
    <w:p w14:paraId="33770B25">
      <w:pPr>
        <w:spacing w:line="560" w:lineRule="exact"/>
        <w:ind w:firstLine="640" w:firstLineChars="200"/>
        <w:rPr>
          <w:rFonts w:hint="default" w:ascii="黑体" w:hAnsi="黑体" w:eastAsia="黑体" w:cs="黑体"/>
          <w:b w:val="0"/>
          <w:bCs w:val="0"/>
          <w:sz w:val="32"/>
          <w:szCs w:val="32"/>
        </w:rPr>
      </w:pPr>
      <w:r>
        <w:rPr>
          <w:rFonts w:hint="default" w:ascii="黑体" w:hAnsi="黑体" w:eastAsia="黑体" w:cs="黑体"/>
          <w:b w:val="0"/>
          <w:bCs w:val="0"/>
          <w:sz w:val="32"/>
          <w:szCs w:val="32"/>
        </w:rPr>
        <w:t>八、其他需要说</w:t>
      </w:r>
      <w:bookmarkStart w:id="3" w:name="page8"/>
      <w:bookmarkEnd w:id="3"/>
      <w:r>
        <w:rPr>
          <w:rFonts w:hint="default" w:ascii="黑体" w:hAnsi="黑体" w:eastAsia="黑体" w:cs="黑体"/>
          <w:b w:val="0"/>
          <w:bCs w:val="0"/>
          <w:sz w:val="32"/>
          <w:szCs w:val="32"/>
        </w:rPr>
        <w:t>明的问题</w:t>
      </w:r>
    </w:p>
    <w:p w14:paraId="624CD208">
      <w:pPr>
        <w:pStyle w:val="11"/>
        <w:spacing w:after="0" w:line="560" w:lineRule="exact"/>
        <w:ind w:left="0" w:leftChars="0"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本项目无其他需说明的问题。</w:t>
      </w:r>
    </w:p>
    <w:p w14:paraId="4B6BD885">
      <w:pPr>
        <w:pStyle w:val="2"/>
        <w:jc w:val="both"/>
        <w:rPr>
          <w:rFonts w:hint="default" w:ascii="Times New Roman" w:hAnsi="Times New Roman" w:cs="Times New Roman"/>
        </w:rPr>
      </w:pPr>
    </w:p>
    <w:p w14:paraId="3449BCF7">
      <w:pPr>
        <w:rPr>
          <w:rFonts w:hint="default" w:ascii="Times New Roman" w:hAnsi="Times New Roman" w:cs="Times New Roman"/>
        </w:rPr>
      </w:pPr>
    </w:p>
    <w:p w14:paraId="6A539506">
      <w:pPr>
        <w:pStyle w:val="2"/>
        <w:rPr>
          <w:rFonts w:hint="default" w:ascii="Times New Roman" w:hAnsi="Times New Roman" w:cs="Times New Roman"/>
        </w:rPr>
      </w:pPr>
    </w:p>
    <w:p w14:paraId="0F73CA80">
      <w:pPr>
        <w:rPr>
          <w:rFonts w:hint="default" w:ascii="Times New Roman" w:hAnsi="Times New Roman" w:cs="Times New Roman"/>
        </w:rPr>
      </w:pPr>
    </w:p>
    <w:p w14:paraId="3DA91DD2">
      <w:pPr>
        <w:pStyle w:val="2"/>
        <w:rPr>
          <w:rFonts w:hint="default" w:ascii="Times New Roman" w:hAnsi="Times New Roman" w:cs="Times New Roman"/>
        </w:rPr>
      </w:pPr>
    </w:p>
    <w:p w14:paraId="15E1F782">
      <w:pPr>
        <w:rPr>
          <w:rFonts w:hint="default" w:ascii="Times New Roman" w:hAnsi="Times New Roman" w:cs="Times New Roman"/>
        </w:rPr>
      </w:pPr>
    </w:p>
    <w:p w14:paraId="1668C356">
      <w:pPr>
        <w:pStyle w:val="2"/>
        <w:jc w:val="both"/>
        <w:rPr>
          <w:rFonts w:hint="default" w:ascii="Times New Roman" w:hAnsi="Times New Roman" w:cs="Times New Roman"/>
        </w:rPr>
      </w:pPr>
    </w:p>
    <w:p w14:paraId="54762C79">
      <w:pPr>
        <w:widowControl/>
        <w:jc w:val="center"/>
        <w:rPr>
          <w:rFonts w:hint="default" w:ascii="Times New Roman" w:hAnsi="Times New Roman" w:cs="Times New Roman"/>
          <w:b/>
          <w:bCs/>
          <w:color w:val="000000"/>
          <w:kern w:val="0"/>
          <w:sz w:val="32"/>
          <w:szCs w:val="32"/>
        </w:rPr>
        <w:sectPr>
          <w:footerReference r:id="rId3" w:type="default"/>
          <w:pgSz w:w="11906" w:h="16838"/>
          <w:pgMar w:top="1440" w:right="1558" w:bottom="1440" w:left="1800" w:header="851" w:footer="992" w:gutter="0"/>
          <w:cols w:space="425" w:num="1"/>
          <w:docGrid w:type="lines" w:linePitch="312" w:charSpace="0"/>
        </w:sectPr>
      </w:pP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83"/>
        <w:gridCol w:w="583"/>
        <w:gridCol w:w="583"/>
        <w:gridCol w:w="1320"/>
        <w:gridCol w:w="1026"/>
        <w:gridCol w:w="936"/>
        <w:gridCol w:w="935"/>
        <w:gridCol w:w="934"/>
        <w:gridCol w:w="935"/>
        <w:gridCol w:w="935"/>
        <w:gridCol w:w="935"/>
        <w:gridCol w:w="1125"/>
        <w:gridCol w:w="1000"/>
        <w:gridCol w:w="2344"/>
      </w:tblGrid>
      <w:tr w14:paraId="3A53C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4" w:hRule="atLeast"/>
        </w:trPr>
        <w:tc>
          <w:tcPr>
            <w:tcW w:w="5000" w:type="pct"/>
            <w:gridSpan w:val="14"/>
            <w:tcBorders>
              <w:top w:val="nil"/>
              <w:left w:val="nil"/>
              <w:bottom w:val="nil"/>
              <w:right w:val="nil"/>
            </w:tcBorders>
            <w:shd w:val="clear" w:color="auto" w:fill="auto"/>
            <w:vAlign w:val="center"/>
          </w:tcPr>
          <w:p w14:paraId="565CB924">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216C6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000DED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(2023年度</w:t>
            </w:r>
            <w:r>
              <w:rPr>
                <w:rFonts w:hint="eastAsia" w:ascii="宋体" w:hAnsi="宋体" w:cs="宋体"/>
                <w:i w:val="0"/>
                <w:iCs w:val="0"/>
                <w:color w:val="000000"/>
                <w:kern w:val="0"/>
                <w:sz w:val="22"/>
                <w:szCs w:val="22"/>
                <w:u w:val="none"/>
                <w:lang w:val="en-US" w:eastAsia="zh-CN" w:bidi="ar"/>
              </w:rPr>
              <w:t>）</w:t>
            </w:r>
          </w:p>
        </w:tc>
      </w:tr>
      <w:tr w14:paraId="73B64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CC3F7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3"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60531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医院政府采购</w:t>
            </w:r>
          </w:p>
        </w:tc>
      </w:tr>
      <w:tr w14:paraId="49FE4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74CFF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67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94488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新疆维吾尔自治区卫生健康委员会</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52033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4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5B3F7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新疆医科大学附属肿瘤医院</w:t>
            </w:r>
          </w:p>
        </w:tc>
      </w:tr>
      <w:tr w14:paraId="04730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1727A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027ED9">
            <w:pPr>
              <w:jc w:val="cente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69CF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29556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DE464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7CFED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2F400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5511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2B2FF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4C84CD">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1FDF7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EB1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116292.00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4FEC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117368.25</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FE5D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117368.25</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9BEC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32C0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F3E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10.00分</w:t>
            </w:r>
          </w:p>
        </w:tc>
      </w:tr>
      <w:tr w14:paraId="45FC1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93723E">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F5514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A38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5F57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DC94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2B7B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76D4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58C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0DD4A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2B378A">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41385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CB4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116292</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FEC4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117368.25</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00D8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117368.25</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1A5B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552D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19E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3A572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9EDAF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A913A5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9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F649E8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1CB96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BF7191">
            <w:pPr>
              <w:jc w:val="center"/>
              <w:rPr>
                <w:rFonts w:hint="eastAsia" w:ascii="宋体" w:hAnsi="宋体" w:eastAsia="宋体" w:cs="宋体"/>
                <w:b/>
                <w:bCs/>
                <w:i w:val="0"/>
                <w:iCs w:val="0"/>
                <w:color w:val="000000"/>
                <w:sz w:val="18"/>
                <w:szCs w:val="18"/>
                <w:u w:val="none"/>
              </w:rPr>
            </w:pP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BC24A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积极完成医院年度总目标，完成政府采购项目支出116292万元。</w:t>
            </w:r>
          </w:p>
        </w:tc>
        <w:tc>
          <w:tcPr>
            <w:tcW w:w="29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4173E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2023年医院平稳运行，政府采购预算运行较好，能够完成全年预算目标。</w:t>
            </w:r>
          </w:p>
        </w:tc>
      </w:tr>
      <w:tr w14:paraId="7820E0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A5C9D5">
            <w:pPr>
              <w:jc w:val="center"/>
              <w:rPr>
                <w:rFonts w:hint="eastAsia" w:ascii="宋体" w:hAnsi="宋体" w:eastAsia="宋体" w:cs="宋体"/>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0C473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A7A88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2F2C1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9076D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F54A0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B687B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8FC7F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2E96B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A43A6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BAB9C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29EC0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173AC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96182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3E1EF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4CD4F3">
            <w:pPr>
              <w:jc w:val="center"/>
              <w:rPr>
                <w:rFonts w:hint="eastAsia" w:ascii="宋体" w:hAnsi="宋体" w:eastAsia="宋体" w:cs="宋体"/>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FB6CAC">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312073">
            <w:pPr>
              <w:jc w:val="center"/>
              <w:rPr>
                <w:rFonts w:hint="eastAsia" w:ascii="宋体" w:hAnsi="宋体" w:eastAsia="宋体" w:cs="宋体"/>
                <w:b/>
                <w:bCs/>
                <w:i w:val="0"/>
                <w:iCs w:val="0"/>
                <w:color w:val="000000"/>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4DB1ED">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0A6757">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0E28DA">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A950E9">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BAB4AC">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2C64B1">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7DC997">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2C7490">
            <w:pPr>
              <w:jc w:val="center"/>
              <w:rPr>
                <w:rFonts w:hint="eastAsia" w:ascii="宋体" w:hAnsi="宋体" w:eastAsia="宋体" w:cs="宋体"/>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32812B">
            <w:pPr>
              <w:jc w:val="center"/>
              <w:rPr>
                <w:rFonts w:hint="eastAsia" w:ascii="宋体" w:hAnsi="宋体" w:eastAsia="宋体" w:cs="宋体"/>
                <w:b/>
                <w:bCs/>
                <w:i w:val="0"/>
                <w:iCs w:val="0"/>
                <w:color w:val="000000"/>
                <w:sz w:val="18"/>
                <w:szCs w:val="18"/>
                <w:u w:val="none"/>
              </w:rPr>
            </w:pP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A2FCDA">
            <w:pPr>
              <w:jc w:val="center"/>
              <w:rPr>
                <w:rFonts w:hint="eastAsia" w:ascii="宋体" w:hAnsi="宋体" w:eastAsia="宋体" w:cs="宋体"/>
                <w:b/>
                <w:bCs/>
                <w:i w:val="0"/>
                <w:iCs w:val="0"/>
                <w:color w:val="000000"/>
                <w:sz w:val="18"/>
                <w:szCs w:val="18"/>
                <w:u w:val="none"/>
              </w:rPr>
            </w:pPr>
          </w:p>
        </w:tc>
        <w:tc>
          <w:tcPr>
            <w:tcW w:w="8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DC8CC4">
            <w:pPr>
              <w:jc w:val="center"/>
              <w:rPr>
                <w:rFonts w:hint="eastAsia" w:ascii="宋体" w:hAnsi="宋体" w:eastAsia="宋体" w:cs="宋体"/>
                <w:b/>
                <w:bCs/>
                <w:i w:val="0"/>
                <w:iCs w:val="0"/>
                <w:color w:val="000000"/>
                <w:sz w:val="18"/>
                <w:szCs w:val="18"/>
                <w:u w:val="none"/>
              </w:rPr>
            </w:pPr>
          </w:p>
        </w:tc>
      </w:tr>
      <w:tr w14:paraId="341D5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31781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5AFF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A8E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483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一般设备采购数量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145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ADC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&gt;=50台</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301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=96台</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2CA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B95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099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527EA">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7BC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417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C2E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疫情结束后，患者激增，需要配置相应的一般设备，下年设定目标值时会考虑多方面因素。</w:t>
            </w:r>
          </w:p>
        </w:tc>
      </w:tr>
      <w:tr w14:paraId="53EA7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C09745">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4B9B2C">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6F1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AD2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大型专用设备采购数量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2E4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78E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&gt;=2台</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378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=2台</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953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2E6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68C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046CB">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93D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79A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D6FA1">
            <w:pPr>
              <w:jc w:val="center"/>
              <w:rPr>
                <w:rFonts w:hint="eastAsia" w:ascii="宋体" w:hAnsi="宋体" w:eastAsia="宋体" w:cs="宋体"/>
                <w:i w:val="0"/>
                <w:iCs w:val="0"/>
                <w:color w:val="000000"/>
                <w:sz w:val="18"/>
                <w:szCs w:val="18"/>
                <w:u w:val="none"/>
              </w:rPr>
            </w:pPr>
          </w:p>
        </w:tc>
      </w:tr>
      <w:tr w14:paraId="0A6B5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AF21FF">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9D0E3A">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703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B1C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医疗服务收入（不含药品、卫生材料、检查、检验收入）占医疗收入比例</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B63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D38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&gt;=24.49%</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CF5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FD2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69F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9B9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FE99E">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564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ACE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8639E">
            <w:pPr>
              <w:jc w:val="center"/>
              <w:rPr>
                <w:rFonts w:hint="eastAsia" w:ascii="宋体" w:hAnsi="宋体" w:eastAsia="宋体" w:cs="宋体"/>
                <w:i w:val="0"/>
                <w:iCs w:val="0"/>
                <w:color w:val="000000"/>
                <w:sz w:val="18"/>
                <w:szCs w:val="18"/>
                <w:u w:val="none"/>
              </w:rPr>
            </w:pPr>
          </w:p>
        </w:tc>
      </w:tr>
      <w:tr w14:paraId="3F01D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2A2ABB">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15E350">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0AB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298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政府采购率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949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307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&gt;=75%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AE6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027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106.67%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C67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722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DFC63">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CC0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29B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25B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政府采购制度和程序逐步规范。</w:t>
            </w:r>
          </w:p>
        </w:tc>
      </w:tr>
      <w:tr w14:paraId="1DEC7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7E7C49">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EF44EF">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BE9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D6D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系统故障修复处理时间</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317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447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&lt;=24小时</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A64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=4小时</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9C4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5B0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920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B7391">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8A7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868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213CA">
            <w:pPr>
              <w:jc w:val="center"/>
              <w:rPr>
                <w:rFonts w:hint="eastAsia" w:ascii="宋体" w:hAnsi="宋体" w:eastAsia="宋体" w:cs="宋体"/>
                <w:i w:val="0"/>
                <w:iCs w:val="0"/>
                <w:color w:val="000000"/>
                <w:sz w:val="18"/>
                <w:szCs w:val="18"/>
                <w:u w:val="none"/>
              </w:rPr>
            </w:pPr>
          </w:p>
        </w:tc>
      </w:tr>
      <w:tr w14:paraId="7095E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1A12D6">
            <w:pPr>
              <w:jc w:val="center"/>
              <w:rPr>
                <w:rFonts w:hint="eastAsia" w:ascii="宋体" w:hAnsi="宋体" w:eastAsia="宋体" w:cs="宋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D90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15E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1F7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万元收入能耗支出</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26C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235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&lt;=72.03%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1F2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=39.29%</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67B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256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3D1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DB9ECC">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817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949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5942B">
            <w:pPr>
              <w:jc w:val="center"/>
              <w:rPr>
                <w:rFonts w:hint="eastAsia" w:ascii="宋体" w:hAnsi="宋体" w:eastAsia="宋体" w:cs="宋体"/>
                <w:i w:val="0"/>
                <w:iCs w:val="0"/>
                <w:color w:val="000000"/>
                <w:sz w:val="18"/>
                <w:szCs w:val="18"/>
                <w:u w:val="none"/>
              </w:rPr>
            </w:pPr>
          </w:p>
        </w:tc>
      </w:tr>
      <w:tr w14:paraId="416F6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3BC24A">
            <w:pPr>
              <w:jc w:val="center"/>
              <w:rPr>
                <w:rFonts w:hint="eastAsia" w:ascii="宋体" w:hAnsi="宋体" w:eastAsia="宋体" w:cs="宋体"/>
                <w:b/>
                <w:bCs/>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BC07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C73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57C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百元固定资产医疗收入（不含药品）</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AF8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4DE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&gt;=65元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955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92B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A9B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40D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D81E8">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D79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D821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03203">
            <w:pPr>
              <w:jc w:val="center"/>
              <w:rPr>
                <w:rFonts w:hint="eastAsia" w:ascii="宋体" w:hAnsi="宋体" w:eastAsia="宋体" w:cs="宋体"/>
                <w:i w:val="0"/>
                <w:iCs w:val="0"/>
                <w:color w:val="000000"/>
                <w:sz w:val="18"/>
                <w:szCs w:val="18"/>
                <w:u w:val="none"/>
              </w:rPr>
            </w:pPr>
          </w:p>
        </w:tc>
      </w:tr>
      <w:tr w14:paraId="34509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BEF53C">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73ABCD">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613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C55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设备使用率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C02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5EA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&gt;=80%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530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AFD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113.75%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4FF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723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71EA0">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889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9FD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74C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设备使用率不断提高。</w:t>
            </w:r>
          </w:p>
        </w:tc>
      </w:tr>
      <w:tr w14:paraId="32502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938BC5">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98DB98">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A1DF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C9D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医疗服务活动平稳高效运行</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04C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2C3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有效保障</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9C6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有效保障</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AAB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BD4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978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25E4B">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B08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68E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36035">
            <w:pPr>
              <w:jc w:val="center"/>
              <w:rPr>
                <w:rFonts w:hint="eastAsia" w:ascii="宋体" w:hAnsi="宋体" w:eastAsia="宋体" w:cs="宋体"/>
                <w:i w:val="0"/>
                <w:iCs w:val="0"/>
                <w:color w:val="000000"/>
                <w:sz w:val="18"/>
                <w:szCs w:val="18"/>
                <w:u w:val="none"/>
              </w:rPr>
            </w:pPr>
          </w:p>
        </w:tc>
      </w:tr>
      <w:tr w14:paraId="0019A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C0FB3E">
            <w:pPr>
              <w:jc w:val="center"/>
              <w:rPr>
                <w:rFonts w:hint="eastAsia" w:ascii="宋体" w:hAnsi="宋体" w:eastAsia="宋体" w:cs="宋体"/>
                <w:b/>
                <w:bCs/>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0ED4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D2A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452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患者满意度</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002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C82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6D2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=99.26%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BA8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78F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9D3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D506F">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55C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0ED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919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满意度不断提高。</w:t>
            </w:r>
          </w:p>
        </w:tc>
      </w:tr>
      <w:tr w14:paraId="0B939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68D63C">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6493ED">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AA9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A4F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职工满意度</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CE1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857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DBF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978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CD2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E58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5F1BC">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035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285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44F1F">
            <w:pPr>
              <w:jc w:val="center"/>
              <w:rPr>
                <w:rFonts w:hint="eastAsia" w:ascii="宋体" w:hAnsi="宋体" w:eastAsia="宋体" w:cs="宋体"/>
                <w:i w:val="0"/>
                <w:iCs w:val="0"/>
                <w:color w:val="000000"/>
                <w:sz w:val="18"/>
                <w:szCs w:val="18"/>
                <w:u w:val="none"/>
              </w:rPr>
            </w:pPr>
          </w:p>
        </w:tc>
      </w:tr>
      <w:tr w14:paraId="470A1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1092" w:type="pct"/>
            <w:gridSpan w:val="4"/>
            <w:tcBorders>
              <w:top w:val="single" w:color="000000" w:sz="4" w:space="0"/>
              <w:left w:val="single" w:color="000000" w:sz="4" w:space="0"/>
              <w:bottom w:val="single" w:color="000000" w:sz="4" w:space="0"/>
              <w:right w:val="nil"/>
            </w:tcBorders>
            <w:shd w:val="clear" w:color="auto" w:fill="auto"/>
            <w:vAlign w:val="center"/>
          </w:tcPr>
          <w:p w14:paraId="1282389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C26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nil"/>
              <w:bottom w:val="single" w:color="000000" w:sz="4" w:space="0"/>
              <w:right w:val="single" w:color="000000" w:sz="4" w:space="0"/>
            </w:tcBorders>
            <w:shd w:val="clear" w:color="auto" w:fill="auto"/>
            <w:vAlign w:val="center"/>
          </w:tcPr>
          <w:p w14:paraId="0D7B555C">
            <w:pP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C9881">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8A3D2">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BA4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94.04分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C90FD">
            <w:pP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C6B29">
            <w:pP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95C90">
            <w:pPr>
              <w:rPr>
                <w:rFonts w:hint="eastAsia" w:ascii="宋体" w:hAnsi="宋体" w:eastAsia="宋体" w:cs="宋体"/>
                <w:i w:val="0"/>
                <w:iCs w:val="0"/>
                <w:color w:val="000000"/>
                <w:sz w:val="18"/>
                <w:szCs w:val="18"/>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32974">
            <w:pPr>
              <w:rPr>
                <w:rFonts w:hint="eastAsia" w:ascii="宋体" w:hAnsi="宋体" w:eastAsia="宋体" w:cs="宋体"/>
                <w:i w:val="0"/>
                <w:iCs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135C1">
            <w:pPr>
              <w:rPr>
                <w:rFonts w:hint="eastAsia" w:ascii="宋体" w:hAnsi="宋体" w:eastAsia="宋体" w:cs="宋体"/>
                <w:i w:val="0"/>
                <w:iCs w:val="0"/>
                <w:color w:val="000000"/>
                <w:sz w:val="18"/>
                <w:szCs w:val="18"/>
                <w:u w:val="none"/>
              </w:rPr>
            </w:pPr>
          </w:p>
        </w:tc>
      </w:tr>
    </w:tbl>
    <w:p w14:paraId="099D0A58">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07A0C23C">
      <w:pPr>
        <w:spacing w:line="600" w:lineRule="exact"/>
        <w:rPr>
          <w:rFonts w:hint="default" w:ascii="Times New Roman" w:hAnsi="Times New Roman" w:cs="Times New Roman"/>
          <w:bCs/>
          <w:sz w:val="32"/>
          <w:szCs w:val="32"/>
        </w:rPr>
      </w:pPr>
      <w:r>
        <w:rPr>
          <w:rFonts w:hint="default" w:ascii="Times New Roman" w:hAnsi="Times New Roman" w:cs="Times New Roman"/>
          <w:bCs/>
          <w:sz w:val="32"/>
          <w:szCs w:val="32"/>
        </w:rPr>
        <w:t>附件1</w:t>
      </w:r>
    </w:p>
    <w:tbl>
      <w:tblPr>
        <w:tblStyle w:val="12"/>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9"/>
        <w:gridCol w:w="767"/>
        <w:gridCol w:w="873"/>
        <w:gridCol w:w="2353"/>
        <w:gridCol w:w="5188"/>
        <w:gridCol w:w="1300"/>
        <w:gridCol w:w="1363"/>
      </w:tblGrid>
      <w:tr w14:paraId="1BE629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1" w:type="pct"/>
            <w:shd w:val="clear" w:color="auto" w:fill="FFFFFF"/>
            <w:vAlign w:val="center"/>
          </w:tcPr>
          <w:p w14:paraId="3D80354E">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一级指标</w:t>
            </w:r>
          </w:p>
        </w:tc>
        <w:tc>
          <w:tcPr>
            <w:tcW w:w="302" w:type="pct"/>
            <w:shd w:val="clear" w:color="auto" w:fill="FFFFFF"/>
            <w:vAlign w:val="center"/>
          </w:tcPr>
          <w:p w14:paraId="1CBBDA6F">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二级指标</w:t>
            </w:r>
          </w:p>
        </w:tc>
        <w:tc>
          <w:tcPr>
            <w:tcW w:w="344" w:type="pct"/>
            <w:shd w:val="clear" w:color="auto" w:fill="FFFFFF"/>
            <w:vAlign w:val="center"/>
          </w:tcPr>
          <w:p w14:paraId="5B93E0BE">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三级指标</w:t>
            </w:r>
          </w:p>
        </w:tc>
        <w:tc>
          <w:tcPr>
            <w:tcW w:w="927" w:type="pct"/>
            <w:shd w:val="clear" w:color="auto" w:fill="FFFFFF"/>
            <w:vAlign w:val="center"/>
          </w:tcPr>
          <w:p w14:paraId="6AB05016">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指标解释</w:t>
            </w:r>
          </w:p>
        </w:tc>
        <w:tc>
          <w:tcPr>
            <w:tcW w:w="2044" w:type="pct"/>
            <w:shd w:val="clear" w:color="auto" w:fill="FFFFFF"/>
            <w:vAlign w:val="center"/>
          </w:tcPr>
          <w:p w14:paraId="312216B4">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指标说明</w:t>
            </w:r>
          </w:p>
        </w:tc>
        <w:tc>
          <w:tcPr>
            <w:tcW w:w="512" w:type="pct"/>
            <w:shd w:val="clear" w:color="auto" w:fill="FFFFFF"/>
            <w:vAlign w:val="center"/>
          </w:tcPr>
          <w:p w14:paraId="2524D3E3">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权重</w:t>
            </w:r>
          </w:p>
        </w:tc>
        <w:tc>
          <w:tcPr>
            <w:tcW w:w="537" w:type="pct"/>
            <w:shd w:val="clear" w:color="auto" w:fill="FFFFFF"/>
            <w:vAlign w:val="center"/>
          </w:tcPr>
          <w:p w14:paraId="56B9BD94">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得分</w:t>
            </w:r>
          </w:p>
        </w:tc>
      </w:tr>
      <w:tr w14:paraId="0B341A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31" w:type="pct"/>
            <w:vMerge w:val="restart"/>
            <w:shd w:val="clear" w:color="auto" w:fill="FFFFFF"/>
            <w:vAlign w:val="center"/>
          </w:tcPr>
          <w:p w14:paraId="0365E46E">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决策　</w:t>
            </w:r>
          </w:p>
          <w:p w14:paraId="5BE69FF7">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p w14:paraId="61A536A6">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302" w:type="pct"/>
            <w:vMerge w:val="restart"/>
            <w:shd w:val="clear" w:color="auto" w:fill="FFFFFF"/>
            <w:vAlign w:val="center"/>
          </w:tcPr>
          <w:p w14:paraId="12B5D874">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项目立项　</w:t>
            </w:r>
          </w:p>
        </w:tc>
        <w:tc>
          <w:tcPr>
            <w:tcW w:w="344" w:type="pct"/>
            <w:shd w:val="clear" w:color="auto" w:fill="FFFFFF"/>
            <w:vAlign w:val="center"/>
          </w:tcPr>
          <w:p w14:paraId="3DD9760B">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立项依据</w:t>
            </w:r>
          </w:p>
          <w:p w14:paraId="3781E095">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充分性</w:t>
            </w:r>
          </w:p>
        </w:tc>
        <w:tc>
          <w:tcPr>
            <w:tcW w:w="927" w:type="pct"/>
            <w:shd w:val="clear" w:color="auto" w:fill="FFFFFF"/>
            <w:vAlign w:val="center"/>
          </w:tcPr>
          <w:p w14:paraId="2B0F6A4B">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项目立项是否符合法律法规、相关政策、发展规划以及部门职责，用以反映和考核项目立项依据情况。</w:t>
            </w:r>
          </w:p>
        </w:tc>
        <w:tc>
          <w:tcPr>
            <w:tcW w:w="2044" w:type="pct"/>
            <w:shd w:val="clear" w:color="auto" w:fill="FFFFFF"/>
            <w:vAlign w:val="center"/>
          </w:tcPr>
          <w:p w14:paraId="760AE969">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①项目立项是否符合国家法律法规、国民经济发展规划和相关政策；</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②项目立项是否符合行业发展规划和政策要求；</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③项目立项是否与部门职责范围相符，属于部门履职所需；</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④项目是否属于公共财政支持范围，是否符合中央、地方事权支出责任划分原则；</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⑤项目是否与相关部门同类项目或部门内部相关项目重复。</w:t>
            </w:r>
          </w:p>
        </w:tc>
        <w:tc>
          <w:tcPr>
            <w:tcW w:w="512" w:type="pct"/>
            <w:shd w:val="clear" w:color="auto" w:fill="FFFFFF"/>
            <w:vAlign w:val="center"/>
          </w:tcPr>
          <w:p w14:paraId="25D8C95E">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3</w:t>
            </w:r>
          </w:p>
        </w:tc>
        <w:tc>
          <w:tcPr>
            <w:tcW w:w="537" w:type="pct"/>
            <w:shd w:val="clear" w:color="auto" w:fill="FFFFFF"/>
            <w:vAlign w:val="center"/>
          </w:tcPr>
          <w:p w14:paraId="3B64C616">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3</w:t>
            </w:r>
          </w:p>
        </w:tc>
      </w:tr>
      <w:tr w14:paraId="0B7B9D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1" w:type="pct"/>
            <w:vMerge w:val="continue"/>
            <w:shd w:val="clear" w:color="auto" w:fill="FFFFFF"/>
            <w:vAlign w:val="center"/>
          </w:tcPr>
          <w:p w14:paraId="37D6877D">
            <w:pPr>
              <w:spacing w:line="0" w:lineRule="atLeast"/>
              <w:jc w:val="center"/>
              <w:rPr>
                <w:rFonts w:hint="default" w:ascii="Times New Roman" w:hAnsi="Times New Roman" w:cs="Times New Roman"/>
                <w:color w:val="000000"/>
                <w:kern w:val="0"/>
                <w:sz w:val="22"/>
                <w:szCs w:val="22"/>
              </w:rPr>
            </w:pPr>
          </w:p>
        </w:tc>
        <w:tc>
          <w:tcPr>
            <w:tcW w:w="302" w:type="pct"/>
            <w:vMerge w:val="continue"/>
            <w:shd w:val="clear" w:color="auto" w:fill="FFFFFF"/>
            <w:vAlign w:val="center"/>
          </w:tcPr>
          <w:p w14:paraId="2F4E5562">
            <w:pPr>
              <w:widowControl/>
              <w:spacing w:line="0" w:lineRule="atLeast"/>
              <w:jc w:val="center"/>
              <w:rPr>
                <w:rFonts w:hint="default" w:ascii="Times New Roman" w:hAnsi="Times New Roman" w:cs="Times New Roman"/>
                <w:color w:val="000000"/>
                <w:kern w:val="0"/>
                <w:sz w:val="22"/>
                <w:szCs w:val="22"/>
              </w:rPr>
            </w:pPr>
          </w:p>
        </w:tc>
        <w:tc>
          <w:tcPr>
            <w:tcW w:w="344" w:type="pct"/>
            <w:shd w:val="clear" w:color="auto" w:fill="FFFFFF"/>
            <w:vAlign w:val="center"/>
          </w:tcPr>
          <w:p w14:paraId="51564D53">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立项程序</w:t>
            </w:r>
          </w:p>
          <w:p w14:paraId="4E484E9E">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规范性</w:t>
            </w:r>
          </w:p>
        </w:tc>
        <w:tc>
          <w:tcPr>
            <w:tcW w:w="927" w:type="pct"/>
            <w:shd w:val="clear" w:color="auto" w:fill="FFFFFF"/>
            <w:vAlign w:val="center"/>
          </w:tcPr>
          <w:p w14:paraId="62E16D9B">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项目申请、设立过程是否符合相关要求，用以反映和考核项目立项的规范情况。</w:t>
            </w:r>
          </w:p>
        </w:tc>
        <w:tc>
          <w:tcPr>
            <w:tcW w:w="2044" w:type="pct"/>
            <w:shd w:val="clear" w:color="auto" w:fill="FFFFFF"/>
            <w:vAlign w:val="center"/>
          </w:tcPr>
          <w:p w14:paraId="54C6E848">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①项目是否按照规定的程序申请设立；</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②审批文件、材料是否符合相关要求；</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③事前是否已经过必要的可行性研究、专家论证、风险评估、绩效评估、集体决策。</w:t>
            </w:r>
          </w:p>
        </w:tc>
        <w:tc>
          <w:tcPr>
            <w:tcW w:w="512" w:type="pct"/>
            <w:shd w:val="clear" w:color="auto" w:fill="FFFFFF"/>
            <w:vAlign w:val="center"/>
          </w:tcPr>
          <w:p w14:paraId="2B2E1D48">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3</w:t>
            </w:r>
          </w:p>
        </w:tc>
        <w:tc>
          <w:tcPr>
            <w:tcW w:w="537" w:type="pct"/>
            <w:shd w:val="clear" w:color="auto" w:fill="FFFFFF"/>
            <w:vAlign w:val="center"/>
          </w:tcPr>
          <w:p w14:paraId="234597B5">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3</w:t>
            </w:r>
          </w:p>
        </w:tc>
      </w:tr>
      <w:tr w14:paraId="521453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1" w:type="pct"/>
            <w:vMerge w:val="continue"/>
            <w:shd w:val="clear" w:color="auto" w:fill="FFFFFF"/>
            <w:vAlign w:val="center"/>
          </w:tcPr>
          <w:p w14:paraId="347286EA">
            <w:pPr>
              <w:spacing w:line="0" w:lineRule="atLeast"/>
              <w:jc w:val="center"/>
              <w:rPr>
                <w:rFonts w:hint="default" w:ascii="Times New Roman" w:hAnsi="Times New Roman" w:cs="Times New Roman"/>
                <w:color w:val="000000"/>
                <w:kern w:val="0"/>
                <w:sz w:val="22"/>
                <w:szCs w:val="22"/>
              </w:rPr>
            </w:pPr>
          </w:p>
        </w:tc>
        <w:tc>
          <w:tcPr>
            <w:tcW w:w="302" w:type="pct"/>
            <w:shd w:val="clear" w:color="auto" w:fill="FFFFFF"/>
            <w:vAlign w:val="center"/>
          </w:tcPr>
          <w:p w14:paraId="328435D2">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　</w:t>
            </w:r>
          </w:p>
        </w:tc>
        <w:tc>
          <w:tcPr>
            <w:tcW w:w="344" w:type="pct"/>
            <w:shd w:val="clear" w:color="auto" w:fill="FFFFFF"/>
            <w:vAlign w:val="center"/>
          </w:tcPr>
          <w:p w14:paraId="2F485B66">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w:t>
            </w:r>
          </w:p>
          <w:p w14:paraId="51C55D52">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合理性</w:t>
            </w:r>
          </w:p>
        </w:tc>
        <w:tc>
          <w:tcPr>
            <w:tcW w:w="927" w:type="pct"/>
            <w:shd w:val="clear" w:color="000000" w:fill="FFFFFF"/>
            <w:vAlign w:val="center"/>
          </w:tcPr>
          <w:p w14:paraId="23070363">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项目所设定的绩效目标是否依据充分，是否符合客观实际，用以反映和考核项目绩效目标与项目实施的相符情况。</w:t>
            </w:r>
          </w:p>
        </w:tc>
        <w:tc>
          <w:tcPr>
            <w:tcW w:w="2044" w:type="pct"/>
            <w:shd w:val="clear" w:color="000000" w:fill="FFFFFF"/>
            <w:vAlign w:val="center"/>
          </w:tcPr>
          <w:p w14:paraId="0372CB2F">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（如未设定预算绩效目标，也可考核其他工作任务目标）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①项目是否有绩效目标；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②项目绩效目标与实际工作内容是否具有相关性；</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③项目预期产出效益和效果是否符合正常的业绩水平；</w:t>
            </w:r>
          </w:p>
          <w:p w14:paraId="6E48EA43">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④是否与预算确定的项目投资额或资金量相匹配。</w:t>
            </w:r>
          </w:p>
        </w:tc>
        <w:tc>
          <w:tcPr>
            <w:tcW w:w="512" w:type="pct"/>
            <w:shd w:val="clear" w:color="000000" w:fill="FFFFFF"/>
            <w:vAlign w:val="center"/>
          </w:tcPr>
          <w:p w14:paraId="647738FF">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3</w:t>
            </w:r>
          </w:p>
        </w:tc>
        <w:tc>
          <w:tcPr>
            <w:tcW w:w="537" w:type="pct"/>
            <w:shd w:val="clear" w:color="000000" w:fill="FFFFFF"/>
            <w:vAlign w:val="center"/>
          </w:tcPr>
          <w:p w14:paraId="3067CBDC">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3</w:t>
            </w:r>
          </w:p>
        </w:tc>
      </w:tr>
      <w:tr w14:paraId="678ABD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1" w:type="pct"/>
            <w:vMerge w:val="restart"/>
            <w:shd w:val="clear" w:color="auto" w:fill="FFFFFF"/>
            <w:vAlign w:val="center"/>
          </w:tcPr>
          <w:p w14:paraId="03D8AE96">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决策　</w:t>
            </w:r>
          </w:p>
        </w:tc>
        <w:tc>
          <w:tcPr>
            <w:tcW w:w="302" w:type="pct"/>
            <w:shd w:val="clear" w:color="auto" w:fill="FFFFFF"/>
            <w:vAlign w:val="center"/>
          </w:tcPr>
          <w:p w14:paraId="62BF3B8A">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w:t>
            </w:r>
          </w:p>
        </w:tc>
        <w:tc>
          <w:tcPr>
            <w:tcW w:w="344" w:type="pct"/>
            <w:shd w:val="clear" w:color="auto" w:fill="FFFFFF"/>
            <w:vAlign w:val="center"/>
          </w:tcPr>
          <w:p w14:paraId="343E06A8">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绩效指标</w:t>
            </w:r>
          </w:p>
          <w:p w14:paraId="4A007B74">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明确性</w:t>
            </w:r>
          </w:p>
        </w:tc>
        <w:tc>
          <w:tcPr>
            <w:tcW w:w="927" w:type="pct"/>
            <w:shd w:val="clear" w:color="000000" w:fill="FFFFFF"/>
            <w:vAlign w:val="center"/>
          </w:tcPr>
          <w:p w14:paraId="531D3385">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依据绩效目标设定的绩效指标是否清晰、细化、可衡量等，用以反映和考核项目绩效目标的明细化情况。</w:t>
            </w:r>
          </w:p>
        </w:tc>
        <w:tc>
          <w:tcPr>
            <w:tcW w:w="2044" w:type="pct"/>
            <w:shd w:val="clear" w:color="000000" w:fill="FFFFFF"/>
            <w:vAlign w:val="center"/>
          </w:tcPr>
          <w:p w14:paraId="1484E213">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①是否将项目绩效目标细化分解为具体的绩效指标；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②是否通过清晰、可衡量的指标值予以体现；</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③是否与项目目标任务数或计划数相对应。</w:t>
            </w:r>
            <w:r>
              <w:rPr>
                <w:rFonts w:hint="default" w:ascii="Times New Roman" w:hAnsi="Times New Roman" w:cs="Times New Roman"/>
                <w:color w:val="000000"/>
                <w:kern w:val="0"/>
                <w:sz w:val="22"/>
                <w:szCs w:val="22"/>
              </w:rPr>
              <w:br w:type="textWrapping"/>
            </w:r>
          </w:p>
        </w:tc>
        <w:tc>
          <w:tcPr>
            <w:tcW w:w="512" w:type="pct"/>
            <w:shd w:val="clear" w:color="000000" w:fill="FFFFFF"/>
            <w:vAlign w:val="center"/>
          </w:tcPr>
          <w:p w14:paraId="5ED07068">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3</w:t>
            </w:r>
          </w:p>
        </w:tc>
        <w:tc>
          <w:tcPr>
            <w:tcW w:w="537" w:type="pct"/>
            <w:shd w:val="clear" w:color="000000" w:fill="FFFFFF"/>
            <w:vAlign w:val="center"/>
          </w:tcPr>
          <w:p w14:paraId="35A66045">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3</w:t>
            </w:r>
          </w:p>
        </w:tc>
      </w:tr>
      <w:tr w14:paraId="48A68D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1" w:type="pct"/>
            <w:vMerge w:val="continue"/>
            <w:shd w:val="clear" w:color="auto" w:fill="FFFFFF"/>
            <w:vAlign w:val="center"/>
          </w:tcPr>
          <w:p w14:paraId="29AAA62A">
            <w:pPr>
              <w:spacing w:line="0" w:lineRule="atLeast"/>
              <w:jc w:val="center"/>
              <w:rPr>
                <w:rFonts w:hint="default" w:ascii="Times New Roman" w:hAnsi="Times New Roman" w:cs="Times New Roman"/>
                <w:color w:val="000000"/>
                <w:kern w:val="0"/>
                <w:sz w:val="22"/>
                <w:szCs w:val="22"/>
              </w:rPr>
            </w:pPr>
          </w:p>
        </w:tc>
        <w:tc>
          <w:tcPr>
            <w:tcW w:w="302" w:type="pct"/>
            <w:vMerge w:val="restart"/>
            <w:shd w:val="clear" w:color="auto" w:fill="FFFFFF"/>
            <w:vAlign w:val="center"/>
          </w:tcPr>
          <w:p w14:paraId="489FFC9B">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资金投入</w:t>
            </w:r>
          </w:p>
          <w:p w14:paraId="13C9EDFB">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344" w:type="pct"/>
            <w:shd w:val="clear" w:color="auto" w:fill="FFFFFF"/>
            <w:vAlign w:val="center"/>
          </w:tcPr>
          <w:p w14:paraId="138ADC44">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预算编制</w:t>
            </w:r>
          </w:p>
          <w:p w14:paraId="75F7C772">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科学性</w:t>
            </w:r>
          </w:p>
        </w:tc>
        <w:tc>
          <w:tcPr>
            <w:tcW w:w="927" w:type="pct"/>
            <w:shd w:val="clear" w:color="auto" w:fill="FFFFFF"/>
            <w:vAlign w:val="center"/>
          </w:tcPr>
          <w:p w14:paraId="60D02BB8">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项目预算编制是否经过科学论证、有明确标准，资金额度与年度目标是否相适应，用以反映和考核项目预算编制的科学性、合理性情况。</w:t>
            </w:r>
          </w:p>
        </w:tc>
        <w:tc>
          <w:tcPr>
            <w:tcW w:w="2044" w:type="pct"/>
            <w:shd w:val="clear" w:color="auto" w:fill="FFFFFF"/>
            <w:vAlign w:val="center"/>
          </w:tcPr>
          <w:p w14:paraId="7B655E33">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①预算编制是否经过科学论证；</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②预算内容与项目内容是否匹配；</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③预算额度测算依据是否充分，是否按照标准编制；</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④预算确定的项目投资额或资金量是否与工作任务相匹配。</w:t>
            </w:r>
          </w:p>
        </w:tc>
        <w:tc>
          <w:tcPr>
            <w:tcW w:w="512" w:type="pct"/>
            <w:shd w:val="clear" w:color="auto" w:fill="FFFFFF"/>
            <w:vAlign w:val="center"/>
          </w:tcPr>
          <w:p w14:paraId="5FE63C75">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4</w:t>
            </w:r>
          </w:p>
        </w:tc>
        <w:tc>
          <w:tcPr>
            <w:tcW w:w="537" w:type="pct"/>
            <w:shd w:val="clear" w:color="auto" w:fill="FFFFFF"/>
            <w:vAlign w:val="center"/>
          </w:tcPr>
          <w:p w14:paraId="4472B9AB">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4</w:t>
            </w:r>
          </w:p>
        </w:tc>
      </w:tr>
      <w:tr w14:paraId="27A1A1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1" w:type="pct"/>
            <w:vMerge w:val="continue"/>
            <w:shd w:val="clear" w:color="auto" w:fill="FFFFFF"/>
            <w:vAlign w:val="center"/>
          </w:tcPr>
          <w:p w14:paraId="00497CA5">
            <w:pPr>
              <w:widowControl/>
              <w:spacing w:line="0" w:lineRule="atLeast"/>
              <w:jc w:val="center"/>
              <w:rPr>
                <w:rFonts w:hint="default" w:ascii="Times New Roman" w:hAnsi="Times New Roman" w:cs="Times New Roman"/>
                <w:color w:val="000000"/>
                <w:kern w:val="0"/>
                <w:sz w:val="22"/>
                <w:szCs w:val="22"/>
              </w:rPr>
            </w:pPr>
          </w:p>
        </w:tc>
        <w:tc>
          <w:tcPr>
            <w:tcW w:w="302" w:type="pct"/>
            <w:vMerge w:val="continue"/>
            <w:shd w:val="clear" w:color="auto" w:fill="FFFFFF"/>
            <w:vAlign w:val="center"/>
          </w:tcPr>
          <w:p w14:paraId="4DDD6FF3">
            <w:pPr>
              <w:widowControl/>
              <w:spacing w:line="0" w:lineRule="atLeast"/>
              <w:jc w:val="center"/>
              <w:rPr>
                <w:rFonts w:hint="default" w:ascii="Times New Roman" w:hAnsi="Times New Roman" w:cs="Times New Roman"/>
                <w:color w:val="000000"/>
                <w:kern w:val="0"/>
                <w:sz w:val="22"/>
                <w:szCs w:val="22"/>
              </w:rPr>
            </w:pPr>
          </w:p>
        </w:tc>
        <w:tc>
          <w:tcPr>
            <w:tcW w:w="344" w:type="pct"/>
            <w:shd w:val="clear" w:color="auto" w:fill="FFFFFF"/>
            <w:vAlign w:val="center"/>
          </w:tcPr>
          <w:p w14:paraId="12BE1F6B">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资金分配</w:t>
            </w:r>
          </w:p>
          <w:p w14:paraId="40BBF034">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合理性</w:t>
            </w:r>
          </w:p>
        </w:tc>
        <w:tc>
          <w:tcPr>
            <w:tcW w:w="927" w:type="pct"/>
            <w:shd w:val="clear" w:color="auto" w:fill="FFFFFF"/>
            <w:vAlign w:val="center"/>
          </w:tcPr>
          <w:p w14:paraId="60F3727E">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项目预算资金分配是否有测算依据，与补助单位或地方实际是否相适应，用以反映和考核项目预算资金分配的科学性、合理性情况。</w:t>
            </w:r>
          </w:p>
        </w:tc>
        <w:tc>
          <w:tcPr>
            <w:tcW w:w="2044" w:type="pct"/>
            <w:shd w:val="clear" w:color="auto" w:fill="FFFFFF"/>
            <w:vAlign w:val="center"/>
          </w:tcPr>
          <w:p w14:paraId="09840251">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①预算资金分配依据是否充分；</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②资金分配额度是否合理，与项目单位或地方实际是否相适应。</w:t>
            </w:r>
          </w:p>
        </w:tc>
        <w:tc>
          <w:tcPr>
            <w:tcW w:w="512" w:type="pct"/>
            <w:shd w:val="clear" w:color="auto" w:fill="FFFFFF"/>
            <w:vAlign w:val="center"/>
          </w:tcPr>
          <w:p w14:paraId="37BFDC89">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4</w:t>
            </w:r>
          </w:p>
        </w:tc>
        <w:tc>
          <w:tcPr>
            <w:tcW w:w="537" w:type="pct"/>
            <w:shd w:val="clear" w:color="auto" w:fill="FFFFFF"/>
            <w:vAlign w:val="center"/>
          </w:tcPr>
          <w:p w14:paraId="44DFFB3C">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4</w:t>
            </w:r>
          </w:p>
        </w:tc>
      </w:tr>
      <w:tr w14:paraId="162D87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1" w:type="pct"/>
            <w:vMerge w:val="restart"/>
            <w:shd w:val="clear" w:color="auto" w:fill="FFFFFF"/>
            <w:vAlign w:val="center"/>
          </w:tcPr>
          <w:p w14:paraId="4564A006">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过程</w:t>
            </w:r>
          </w:p>
        </w:tc>
        <w:tc>
          <w:tcPr>
            <w:tcW w:w="302" w:type="pct"/>
            <w:vMerge w:val="restart"/>
            <w:shd w:val="clear" w:color="auto" w:fill="FFFFFF"/>
            <w:vAlign w:val="center"/>
          </w:tcPr>
          <w:p w14:paraId="5706F789">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资金管理</w:t>
            </w:r>
          </w:p>
        </w:tc>
        <w:tc>
          <w:tcPr>
            <w:tcW w:w="344" w:type="pct"/>
            <w:shd w:val="clear" w:color="auto" w:fill="FFFFFF"/>
            <w:vAlign w:val="center"/>
          </w:tcPr>
          <w:p w14:paraId="3C9DEE4D">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资金到位率</w:t>
            </w:r>
          </w:p>
        </w:tc>
        <w:tc>
          <w:tcPr>
            <w:tcW w:w="927" w:type="pct"/>
            <w:shd w:val="clear" w:color="000000" w:fill="FFFFFF"/>
            <w:vAlign w:val="center"/>
          </w:tcPr>
          <w:p w14:paraId="7E05E08E">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实际到位资金与预算资金的比率，用以反映和考核资金落实情况对项目实施的总体保障程度。</w:t>
            </w:r>
          </w:p>
        </w:tc>
        <w:tc>
          <w:tcPr>
            <w:tcW w:w="2044" w:type="pct"/>
            <w:shd w:val="clear" w:color="000000" w:fill="FFFFFF"/>
            <w:vAlign w:val="center"/>
          </w:tcPr>
          <w:p w14:paraId="12D537AC">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资金到位率=（实际到位资金/预算资金）×100%。</w:t>
            </w:r>
          </w:p>
          <w:p w14:paraId="7866C612">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实际到位资金：一定时期（本年度或项目期）内落实到具体项目的资金。</w:t>
            </w:r>
          </w:p>
          <w:p w14:paraId="46D07D0A">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预算资金：一定时期（本年度或项目期）内预算安排到具体项目的资金。</w:t>
            </w:r>
          </w:p>
        </w:tc>
        <w:tc>
          <w:tcPr>
            <w:tcW w:w="512" w:type="pct"/>
            <w:shd w:val="clear" w:color="000000" w:fill="FFFFFF"/>
            <w:vAlign w:val="center"/>
          </w:tcPr>
          <w:p w14:paraId="7BD68BBD">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4</w:t>
            </w:r>
          </w:p>
        </w:tc>
        <w:tc>
          <w:tcPr>
            <w:tcW w:w="537" w:type="pct"/>
            <w:shd w:val="clear" w:color="000000" w:fill="FFFFFF"/>
            <w:vAlign w:val="center"/>
          </w:tcPr>
          <w:p w14:paraId="26FC3715">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4</w:t>
            </w:r>
          </w:p>
        </w:tc>
      </w:tr>
      <w:tr w14:paraId="6FEB54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1" w:type="pct"/>
            <w:vMerge w:val="continue"/>
            <w:shd w:val="clear" w:color="auto" w:fill="FFFFFF"/>
            <w:vAlign w:val="center"/>
          </w:tcPr>
          <w:p w14:paraId="1BA2E273">
            <w:pPr>
              <w:spacing w:line="0" w:lineRule="atLeast"/>
              <w:jc w:val="center"/>
              <w:rPr>
                <w:rFonts w:hint="default" w:ascii="Times New Roman" w:hAnsi="Times New Roman" w:cs="Times New Roman"/>
                <w:color w:val="000000"/>
                <w:kern w:val="0"/>
                <w:sz w:val="22"/>
                <w:szCs w:val="22"/>
              </w:rPr>
            </w:pPr>
          </w:p>
        </w:tc>
        <w:tc>
          <w:tcPr>
            <w:tcW w:w="302" w:type="pct"/>
            <w:vMerge w:val="continue"/>
            <w:shd w:val="clear" w:color="auto" w:fill="FFFFFF"/>
            <w:vAlign w:val="center"/>
          </w:tcPr>
          <w:p w14:paraId="25330127">
            <w:pPr>
              <w:spacing w:line="0" w:lineRule="atLeast"/>
              <w:jc w:val="center"/>
              <w:rPr>
                <w:rFonts w:hint="default" w:ascii="Times New Roman" w:hAnsi="Times New Roman" w:cs="Times New Roman"/>
                <w:color w:val="000000"/>
                <w:kern w:val="0"/>
                <w:sz w:val="22"/>
                <w:szCs w:val="22"/>
              </w:rPr>
            </w:pPr>
          </w:p>
        </w:tc>
        <w:tc>
          <w:tcPr>
            <w:tcW w:w="344" w:type="pct"/>
            <w:shd w:val="clear" w:color="auto" w:fill="FFFFFF"/>
            <w:vAlign w:val="center"/>
          </w:tcPr>
          <w:p w14:paraId="3D4FF809">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预算执行率</w:t>
            </w:r>
          </w:p>
        </w:tc>
        <w:tc>
          <w:tcPr>
            <w:tcW w:w="927" w:type="pct"/>
            <w:shd w:val="clear" w:color="auto" w:fill="FFFFFF"/>
            <w:vAlign w:val="center"/>
          </w:tcPr>
          <w:p w14:paraId="63114030">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项目预算资金是否按照计划执行，用以反映或考核项目预算执行情况。</w:t>
            </w:r>
          </w:p>
        </w:tc>
        <w:tc>
          <w:tcPr>
            <w:tcW w:w="2044" w:type="pct"/>
            <w:shd w:val="clear" w:color="auto" w:fill="FFFFFF"/>
            <w:vAlign w:val="center"/>
          </w:tcPr>
          <w:p w14:paraId="38515616">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预算执行率=（实际支出资金/实际到位资金）×100%。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实际支出资金：一定时期（本年度或项目期）内项目实际拨付的资金。</w:t>
            </w:r>
          </w:p>
        </w:tc>
        <w:tc>
          <w:tcPr>
            <w:tcW w:w="512" w:type="pct"/>
            <w:shd w:val="clear" w:color="auto" w:fill="FFFFFF"/>
            <w:vAlign w:val="center"/>
          </w:tcPr>
          <w:p w14:paraId="1A28B27B">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4</w:t>
            </w:r>
          </w:p>
        </w:tc>
        <w:tc>
          <w:tcPr>
            <w:tcW w:w="537" w:type="pct"/>
            <w:shd w:val="clear" w:color="auto" w:fill="FFFFFF"/>
            <w:vAlign w:val="center"/>
          </w:tcPr>
          <w:p w14:paraId="3220C3D3">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4</w:t>
            </w:r>
          </w:p>
        </w:tc>
      </w:tr>
      <w:tr w14:paraId="438FA8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restart"/>
            <w:shd w:val="clear" w:color="auto" w:fill="FFFFFF"/>
            <w:vAlign w:val="center"/>
          </w:tcPr>
          <w:p w14:paraId="02AA14F4">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p w14:paraId="357668AF">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过程　</w:t>
            </w:r>
          </w:p>
        </w:tc>
        <w:tc>
          <w:tcPr>
            <w:tcW w:w="302" w:type="pct"/>
            <w:shd w:val="clear" w:color="auto" w:fill="FFFFFF"/>
            <w:vAlign w:val="center"/>
          </w:tcPr>
          <w:p w14:paraId="6BAA3C29">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资金管理</w:t>
            </w:r>
          </w:p>
        </w:tc>
        <w:tc>
          <w:tcPr>
            <w:tcW w:w="344" w:type="pct"/>
            <w:shd w:val="clear" w:color="auto" w:fill="FFFFFF"/>
            <w:vAlign w:val="center"/>
          </w:tcPr>
          <w:p w14:paraId="58B6FA83">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资金使用</w:t>
            </w:r>
          </w:p>
          <w:p w14:paraId="6B260088">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合规性</w:t>
            </w:r>
          </w:p>
        </w:tc>
        <w:tc>
          <w:tcPr>
            <w:tcW w:w="927" w:type="pct"/>
            <w:shd w:val="clear" w:color="000000" w:fill="FFFFFF"/>
            <w:vAlign w:val="center"/>
          </w:tcPr>
          <w:p w14:paraId="104C2A7E">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项目资金使用是否符合相关的财务管理制度规定，用以反映和考核项目资金的规范运行情况。</w:t>
            </w:r>
          </w:p>
        </w:tc>
        <w:tc>
          <w:tcPr>
            <w:tcW w:w="2044" w:type="pct"/>
            <w:shd w:val="clear" w:color="000000" w:fill="FFFFFF"/>
            <w:vAlign w:val="center"/>
          </w:tcPr>
          <w:p w14:paraId="56CA3F4B">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①是否符合国家财经法规和财务管理制度以及有关专项资金管理办法的规定；</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②资金的拨付是否有完整的审批程序和手续；</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③是否符合项目预算批复或合同规定的用途；</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④是否存在截留、挤占、挪用、虚列支出等情况。</w:t>
            </w:r>
          </w:p>
        </w:tc>
        <w:tc>
          <w:tcPr>
            <w:tcW w:w="512" w:type="pct"/>
            <w:shd w:val="clear" w:color="000000" w:fill="FFFFFF"/>
            <w:vAlign w:val="center"/>
          </w:tcPr>
          <w:p w14:paraId="5EDC8896">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4</w:t>
            </w:r>
          </w:p>
        </w:tc>
        <w:tc>
          <w:tcPr>
            <w:tcW w:w="537" w:type="pct"/>
            <w:shd w:val="clear" w:color="000000" w:fill="FFFFFF"/>
            <w:vAlign w:val="center"/>
          </w:tcPr>
          <w:p w14:paraId="7C1A0E96">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4</w:t>
            </w:r>
          </w:p>
        </w:tc>
      </w:tr>
      <w:tr w14:paraId="028CC6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1" w:type="pct"/>
            <w:vMerge w:val="continue"/>
            <w:shd w:val="clear" w:color="auto" w:fill="FFFFFF"/>
            <w:vAlign w:val="center"/>
          </w:tcPr>
          <w:p w14:paraId="3981C0D8">
            <w:pPr>
              <w:spacing w:line="0" w:lineRule="atLeast"/>
              <w:jc w:val="center"/>
              <w:rPr>
                <w:rFonts w:hint="default" w:ascii="Times New Roman" w:hAnsi="Times New Roman" w:cs="Times New Roman"/>
                <w:color w:val="000000"/>
                <w:kern w:val="0"/>
                <w:sz w:val="22"/>
                <w:szCs w:val="22"/>
              </w:rPr>
            </w:pPr>
          </w:p>
        </w:tc>
        <w:tc>
          <w:tcPr>
            <w:tcW w:w="302" w:type="pct"/>
            <w:vMerge w:val="restart"/>
            <w:shd w:val="clear" w:color="auto" w:fill="FFFFFF"/>
            <w:vAlign w:val="center"/>
          </w:tcPr>
          <w:p w14:paraId="19167F38">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组织实施</w:t>
            </w:r>
          </w:p>
          <w:p w14:paraId="4DCAEFA1">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344" w:type="pct"/>
            <w:shd w:val="clear" w:color="auto" w:fill="FFFFFF"/>
            <w:vAlign w:val="center"/>
          </w:tcPr>
          <w:p w14:paraId="11C4BDAE">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管理制度</w:t>
            </w:r>
          </w:p>
          <w:p w14:paraId="2942EDE9">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健全性</w:t>
            </w:r>
          </w:p>
        </w:tc>
        <w:tc>
          <w:tcPr>
            <w:tcW w:w="927" w:type="pct"/>
            <w:shd w:val="clear" w:color="000000" w:fill="FFFFFF"/>
            <w:vAlign w:val="center"/>
          </w:tcPr>
          <w:p w14:paraId="62577DA2">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项目实施单位的财务和业务管理制度是否健全，用以反映和考核财务和业务管理制度对项目顺利实施的保障情况。</w:t>
            </w:r>
          </w:p>
        </w:tc>
        <w:tc>
          <w:tcPr>
            <w:tcW w:w="2044" w:type="pct"/>
            <w:shd w:val="clear" w:color="000000" w:fill="FFFFFF"/>
            <w:vAlign w:val="center"/>
          </w:tcPr>
          <w:p w14:paraId="4B2777F4">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①是否已制定或具有相应的财务和业务管理制度；</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②财务和业务管理制度是否合法、合规、完整。</w:t>
            </w:r>
          </w:p>
        </w:tc>
        <w:tc>
          <w:tcPr>
            <w:tcW w:w="512" w:type="pct"/>
            <w:shd w:val="clear" w:color="000000" w:fill="FFFFFF"/>
            <w:vAlign w:val="center"/>
          </w:tcPr>
          <w:p w14:paraId="2D8B6C74">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4</w:t>
            </w:r>
          </w:p>
        </w:tc>
        <w:tc>
          <w:tcPr>
            <w:tcW w:w="537" w:type="pct"/>
            <w:shd w:val="clear" w:color="000000" w:fill="FFFFFF"/>
            <w:vAlign w:val="center"/>
          </w:tcPr>
          <w:p w14:paraId="2B881060">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4</w:t>
            </w:r>
          </w:p>
        </w:tc>
      </w:tr>
      <w:tr w14:paraId="5E09A5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1" w:type="pct"/>
            <w:vMerge w:val="continue"/>
            <w:shd w:val="clear" w:color="auto" w:fill="FFFFFF"/>
            <w:vAlign w:val="center"/>
          </w:tcPr>
          <w:p w14:paraId="5C6B639F">
            <w:pPr>
              <w:widowControl/>
              <w:spacing w:line="0" w:lineRule="atLeast"/>
              <w:jc w:val="center"/>
              <w:rPr>
                <w:rFonts w:hint="default" w:ascii="Times New Roman" w:hAnsi="Times New Roman" w:cs="Times New Roman"/>
                <w:color w:val="000000"/>
                <w:kern w:val="0"/>
                <w:sz w:val="22"/>
                <w:szCs w:val="22"/>
              </w:rPr>
            </w:pPr>
          </w:p>
        </w:tc>
        <w:tc>
          <w:tcPr>
            <w:tcW w:w="302" w:type="pct"/>
            <w:vMerge w:val="continue"/>
            <w:shd w:val="clear" w:color="auto" w:fill="FFFFFF"/>
            <w:vAlign w:val="center"/>
          </w:tcPr>
          <w:p w14:paraId="3F69F745">
            <w:pPr>
              <w:widowControl/>
              <w:spacing w:line="0" w:lineRule="atLeast"/>
              <w:jc w:val="center"/>
              <w:rPr>
                <w:rFonts w:hint="default" w:ascii="Times New Roman" w:hAnsi="Times New Roman" w:cs="Times New Roman"/>
                <w:color w:val="000000"/>
                <w:kern w:val="0"/>
                <w:sz w:val="22"/>
                <w:szCs w:val="22"/>
              </w:rPr>
            </w:pPr>
          </w:p>
        </w:tc>
        <w:tc>
          <w:tcPr>
            <w:tcW w:w="344" w:type="pct"/>
            <w:shd w:val="clear" w:color="auto" w:fill="FFFFFF"/>
            <w:vAlign w:val="center"/>
          </w:tcPr>
          <w:p w14:paraId="0BE7F7D2">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制度执行</w:t>
            </w:r>
          </w:p>
          <w:p w14:paraId="6CA5AE71">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有效性</w:t>
            </w:r>
          </w:p>
        </w:tc>
        <w:tc>
          <w:tcPr>
            <w:tcW w:w="927" w:type="pct"/>
            <w:shd w:val="clear" w:color="000000" w:fill="FFFFFF"/>
            <w:vAlign w:val="center"/>
          </w:tcPr>
          <w:p w14:paraId="0106C363">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项目实施是否符合相关管理规定，用以反映和考核相关管理制度的有效执行情况。</w:t>
            </w:r>
          </w:p>
        </w:tc>
        <w:tc>
          <w:tcPr>
            <w:tcW w:w="2044" w:type="pct"/>
            <w:shd w:val="clear" w:color="000000" w:fill="FFFFFF"/>
            <w:vAlign w:val="center"/>
          </w:tcPr>
          <w:p w14:paraId="7549B135">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①是否遵守相关法律法规和相关管理规定；</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②项目调整及支出调整手续是否完备；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③项目合同书、验收报告、技术鉴定等资料是否齐全并及时归档；</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④项目实施的人员条件、场地设备、信息支撑等是否落实到位。</w:t>
            </w:r>
          </w:p>
        </w:tc>
        <w:tc>
          <w:tcPr>
            <w:tcW w:w="512" w:type="pct"/>
            <w:shd w:val="clear" w:color="000000" w:fill="FFFFFF"/>
            <w:vAlign w:val="center"/>
          </w:tcPr>
          <w:p w14:paraId="6B1A7F88">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4</w:t>
            </w:r>
          </w:p>
        </w:tc>
        <w:tc>
          <w:tcPr>
            <w:tcW w:w="537" w:type="pct"/>
            <w:shd w:val="clear" w:color="000000" w:fill="FFFFFF"/>
            <w:vAlign w:val="center"/>
          </w:tcPr>
          <w:p w14:paraId="4CD367AD">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4</w:t>
            </w:r>
          </w:p>
        </w:tc>
      </w:tr>
      <w:tr w14:paraId="32C3AB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1" w:type="pct"/>
            <w:shd w:val="clear" w:color="auto" w:fill="FFFFFF"/>
            <w:vAlign w:val="center"/>
          </w:tcPr>
          <w:p w14:paraId="3DFB6FDC">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w:t>
            </w:r>
          </w:p>
        </w:tc>
        <w:tc>
          <w:tcPr>
            <w:tcW w:w="302" w:type="pct"/>
            <w:shd w:val="clear" w:color="auto" w:fill="FFFFFF"/>
            <w:vAlign w:val="center"/>
          </w:tcPr>
          <w:p w14:paraId="17840EB4">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产出数量</w:t>
            </w:r>
          </w:p>
        </w:tc>
        <w:tc>
          <w:tcPr>
            <w:tcW w:w="344" w:type="pct"/>
            <w:shd w:val="clear" w:color="auto" w:fill="FFFFFF"/>
            <w:vAlign w:val="center"/>
          </w:tcPr>
          <w:p w14:paraId="782A2029">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实际完成率</w:t>
            </w:r>
          </w:p>
        </w:tc>
        <w:tc>
          <w:tcPr>
            <w:tcW w:w="927" w:type="pct"/>
            <w:shd w:val="clear" w:color="000000" w:fill="FFFFFF"/>
            <w:vAlign w:val="center"/>
          </w:tcPr>
          <w:p w14:paraId="2795C04A">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项目实施的实际产出数与计划产出数的比率，用以反映和考核项目产出数量目标的实现程度。</w:t>
            </w:r>
          </w:p>
        </w:tc>
        <w:tc>
          <w:tcPr>
            <w:tcW w:w="2044" w:type="pct"/>
            <w:shd w:val="clear" w:color="000000" w:fill="FFFFFF"/>
            <w:vAlign w:val="center"/>
          </w:tcPr>
          <w:p w14:paraId="74338421">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实际完成率=（实际产出数/计划产出数）×100%。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实际产出数：一定时期（本年度或项目期）内项目实际产出的产品或提供的服务数量。</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计划产出数：项目绩效目标确定的在一定时期（本年度或项目期）内计划产出的产品或提供的服务数量。</w:t>
            </w:r>
          </w:p>
        </w:tc>
        <w:tc>
          <w:tcPr>
            <w:tcW w:w="512" w:type="pct"/>
            <w:shd w:val="clear" w:color="000000" w:fill="FFFFFF"/>
            <w:vAlign w:val="center"/>
          </w:tcPr>
          <w:p w14:paraId="286E1C7D">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10</w:t>
            </w:r>
          </w:p>
        </w:tc>
        <w:tc>
          <w:tcPr>
            <w:tcW w:w="537" w:type="pct"/>
            <w:shd w:val="clear" w:color="000000" w:fill="FFFFFF"/>
            <w:vAlign w:val="center"/>
          </w:tcPr>
          <w:p w14:paraId="54C185D2">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9</w:t>
            </w:r>
          </w:p>
        </w:tc>
      </w:tr>
      <w:tr w14:paraId="481FEE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1" w:type="pct"/>
            <w:vMerge w:val="restart"/>
            <w:shd w:val="clear" w:color="auto" w:fill="FFFFFF"/>
            <w:vAlign w:val="center"/>
          </w:tcPr>
          <w:p w14:paraId="51995114">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w:t>
            </w:r>
          </w:p>
        </w:tc>
        <w:tc>
          <w:tcPr>
            <w:tcW w:w="302" w:type="pct"/>
            <w:shd w:val="clear" w:color="auto" w:fill="FFFFFF"/>
            <w:vAlign w:val="center"/>
          </w:tcPr>
          <w:p w14:paraId="6FC35066">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产出质量</w:t>
            </w:r>
          </w:p>
        </w:tc>
        <w:tc>
          <w:tcPr>
            <w:tcW w:w="344" w:type="pct"/>
            <w:shd w:val="clear" w:color="auto" w:fill="FFFFFF"/>
            <w:vAlign w:val="center"/>
          </w:tcPr>
          <w:p w14:paraId="010B51AF">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质量达标率</w:t>
            </w:r>
          </w:p>
        </w:tc>
        <w:tc>
          <w:tcPr>
            <w:tcW w:w="927" w:type="pct"/>
            <w:shd w:val="clear" w:color="000000" w:fill="FFFFFF"/>
            <w:vAlign w:val="center"/>
          </w:tcPr>
          <w:p w14:paraId="1A572E85">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项目完成的质量达标产出数与实际产出数的比率，用以反映和考核项目产出质量目标的实现程度。</w:t>
            </w:r>
          </w:p>
        </w:tc>
        <w:tc>
          <w:tcPr>
            <w:tcW w:w="2044" w:type="pct"/>
            <w:shd w:val="clear" w:color="000000" w:fill="FFFFFF"/>
            <w:vAlign w:val="center"/>
          </w:tcPr>
          <w:p w14:paraId="146617F0">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质量达标率=（质量达标产出数/实际产出数）×100%。</w:t>
            </w:r>
          </w:p>
          <w:p w14:paraId="7EFDC251">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5FAA7289">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10</w:t>
            </w:r>
          </w:p>
        </w:tc>
        <w:tc>
          <w:tcPr>
            <w:tcW w:w="537" w:type="pct"/>
            <w:shd w:val="clear" w:color="000000" w:fill="FFFFFF"/>
            <w:vAlign w:val="center"/>
          </w:tcPr>
          <w:p w14:paraId="762994EA">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9</w:t>
            </w:r>
          </w:p>
        </w:tc>
      </w:tr>
      <w:tr w14:paraId="79E544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1" w:type="pct"/>
            <w:vMerge w:val="continue"/>
            <w:shd w:val="clear" w:color="auto" w:fill="FFFFFF"/>
            <w:vAlign w:val="center"/>
          </w:tcPr>
          <w:p w14:paraId="2E406C60">
            <w:pPr>
              <w:spacing w:line="0" w:lineRule="atLeast"/>
              <w:jc w:val="center"/>
              <w:rPr>
                <w:rFonts w:hint="default" w:ascii="Times New Roman" w:hAnsi="Times New Roman" w:cs="Times New Roman"/>
                <w:color w:val="000000"/>
                <w:kern w:val="0"/>
                <w:sz w:val="22"/>
                <w:szCs w:val="22"/>
              </w:rPr>
            </w:pPr>
          </w:p>
        </w:tc>
        <w:tc>
          <w:tcPr>
            <w:tcW w:w="302" w:type="pct"/>
            <w:shd w:val="clear" w:color="auto" w:fill="FFFFFF"/>
            <w:vAlign w:val="center"/>
          </w:tcPr>
          <w:p w14:paraId="76620EC8">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产出时效</w:t>
            </w:r>
          </w:p>
        </w:tc>
        <w:tc>
          <w:tcPr>
            <w:tcW w:w="344" w:type="pct"/>
            <w:shd w:val="clear" w:color="auto" w:fill="FFFFFF"/>
            <w:vAlign w:val="center"/>
          </w:tcPr>
          <w:p w14:paraId="362D99AF">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完成及时性</w:t>
            </w:r>
          </w:p>
        </w:tc>
        <w:tc>
          <w:tcPr>
            <w:tcW w:w="927" w:type="pct"/>
            <w:shd w:val="clear" w:color="000000" w:fill="FFFFFF"/>
            <w:vAlign w:val="center"/>
          </w:tcPr>
          <w:p w14:paraId="647272F1">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项目实际完成时间与计划完成时间的比较，用以反映和考核项目产出时效目标的实现程度。</w:t>
            </w:r>
          </w:p>
        </w:tc>
        <w:tc>
          <w:tcPr>
            <w:tcW w:w="2044" w:type="pct"/>
            <w:shd w:val="clear" w:color="000000" w:fill="FFFFFF"/>
            <w:vAlign w:val="center"/>
          </w:tcPr>
          <w:p w14:paraId="05A3024E">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实际完成时间：项目实施单位完成该项目实际所耗用的时间。</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计划完成时间：按照项目实施计划或相关规定完成该项目所需的时间。</w:t>
            </w:r>
          </w:p>
        </w:tc>
        <w:tc>
          <w:tcPr>
            <w:tcW w:w="512" w:type="pct"/>
            <w:shd w:val="clear" w:color="000000" w:fill="FFFFFF"/>
            <w:vAlign w:val="center"/>
          </w:tcPr>
          <w:p w14:paraId="6AD3CACB">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10</w:t>
            </w:r>
          </w:p>
        </w:tc>
        <w:tc>
          <w:tcPr>
            <w:tcW w:w="537" w:type="pct"/>
            <w:shd w:val="clear" w:color="000000" w:fill="FFFFFF"/>
            <w:vAlign w:val="center"/>
          </w:tcPr>
          <w:p w14:paraId="7CFCBBBE">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10</w:t>
            </w:r>
          </w:p>
        </w:tc>
      </w:tr>
      <w:tr w14:paraId="10741F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continue"/>
            <w:shd w:val="clear" w:color="auto" w:fill="FFFFFF"/>
            <w:vAlign w:val="center"/>
          </w:tcPr>
          <w:p w14:paraId="489999B8">
            <w:pPr>
              <w:widowControl/>
              <w:spacing w:line="0" w:lineRule="atLeast"/>
              <w:jc w:val="center"/>
              <w:rPr>
                <w:rFonts w:hint="default" w:ascii="Times New Roman" w:hAnsi="Times New Roman" w:cs="Times New Roman"/>
                <w:color w:val="000000"/>
                <w:kern w:val="0"/>
                <w:sz w:val="22"/>
                <w:szCs w:val="22"/>
              </w:rPr>
            </w:pPr>
          </w:p>
        </w:tc>
        <w:tc>
          <w:tcPr>
            <w:tcW w:w="302" w:type="pct"/>
            <w:shd w:val="clear" w:color="auto" w:fill="FFFFFF"/>
            <w:vAlign w:val="center"/>
          </w:tcPr>
          <w:p w14:paraId="463ABEDD">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产出成本</w:t>
            </w:r>
          </w:p>
        </w:tc>
        <w:tc>
          <w:tcPr>
            <w:tcW w:w="344" w:type="pct"/>
            <w:shd w:val="clear" w:color="auto" w:fill="FFFFFF"/>
            <w:vAlign w:val="center"/>
          </w:tcPr>
          <w:p w14:paraId="76EC6AAC">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成本节约率</w:t>
            </w:r>
          </w:p>
        </w:tc>
        <w:tc>
          <w:tcPr>
            <w:tcW w:w="927" w:type="pct"/>
            <w:shd w:val="clear" w:color="000000" w:fill="FFFFFF"/>
            <w:vAlign w:val="center"/>
          </w:tcPr>
          <w:p w14:paraId="00ECE837">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完成项目计划工作目标的实际节约成本与计划成本的比率，用以反映和考核项目的成本节约程度。</w:t>
            </w:r>
          </w:p>
        </w:tc>
        <w:tc>
          <w:tcPr>
            <w:tcW w:w="2044" w:type="pct"/>
            <w:shd w:val="clear" w:color="000000" w:fill="FFFFFF"/>
            <w:vAlign w:val="center"/>
          </w:tcPr>
          <w:p w14:paraId="196FB37D">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成本节约率=[（计划成本-实际成本）/计划成本]×100%。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实际成本：项目实施单位如期、保质、保量完成既定工作目标实际所耗费的支出。</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计划成本：项目实施单位为完成工作目标计划安排的支出，一般以项目预算为参考。</w:t>
            </w:r>
          </w:p>
        </w:tc>
        <w:tc>
          <w:tcPr>
            <w:tcW w:w="512" w:type="pct"/>
            <w:shd w:val="clear" w:color="000000" w:fill="FFFFFF"/>
            <w:vAlign w:val="center"/>
          </w:tcPr>
          <w:p w14:paraId="0F1BFAED">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10</w:t>
            </w:r>
          </w:p>
        </w:tc>
        <w:tc>
          <w:tcPr>
            <w:tcW w:w="537" w:type="pct"/>
            <w:shd w:val="clear" w:color="000000" w:fill="FFFFFF"/>
            <w:vAlign w:val="center"/>
          </w:tcPr>
          <w:p w14:paraId="6D94818E">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10</w:t>
            </w:r>
          </w:p>
        </w:tc>
      </w:tr>
      <w:tr w14:paraId="1AB830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1" w:type="pct"/>
            <w:vMerge w:val="restart"/>
            <w:shd w:val="clear" w:color="auto" w:fill="FFFFFF"/>
            <w:vAlign w:val="center"/>
          </w:tcPr>
          <w:p w14:paraId="29D74A0A">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效益　</w:t>
            </w:r>
          </w:p>
        </w:tc>
        <w:tc>
          <w:tcPr>
            <w:tcW w:w="302" w:type="pct"/>
            <w:vMerge w:val="restart"/>
            <w:shd w:val="clear" w:color="auto" w:fill="FFFFFF"/>
            <w:vAlign w:val="center"/>
          </w:tcPr>
          <w:p w14:paraId="00990048">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项目效益　</w:t>
            </w:r>
          </w:p>
        </w:tc>
        <w:tc>
          <w:tcPr>
            <w:tcW w:w="344" w:type="pct"/>
            <w:shd w:val="clear" w:color="auto" w:fill="FFFFFF"/>
            <w:vAlign w:val="center"/>
          </w:tcPr>
          <w:p w14:paraId="65652400">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实施效益</w:t>
            </w:r>
          </w:p>
        </w:tc>
        <w:tc>
          <w:tcPr>
            <w:tcW w:w="927" w:type="pct"/>
            <w:shd w:val="clear" w:color="auto" w:fill="FFFFFF"/>
            <w:vAlign w:val="center"/>
          </w:tcPr>
          <w:p w14:paraId="0A7F994C">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项目实施所产生的效益。</w:t>
            </w:r>
          </w:p>
        </w:tc>
        <w:tc>
          <w:tcPr>
            <w:tcW w:w="2044" w:type="pct"/>
            <w:shd w:val="clear" w:color="auto" w:fill="FFFFFF"/>
            <w:vAlign w:val="center"/>
          </w:tcPr>
          <w:p w14:paraId="31E0719D">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项目实施所产生的社会效益、经济效益、生态效益、可持续影响等。可根据项目实际情况有选择地设置和细化。</w:t>
            </w:r>
          </w:p>
        </w:tc>
        <w:tc>
          <w:tcPr>
            <w:tcW w:w="512" w:type="pct"/>
            <w:shd w:val="clear" w:color="auto" w:fill="FFFFFF"/>
            <w:vAlign w:val="center"/>
          </w:tcPr>
          <w:p w14:paraId="36825238">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10</w:t>
            </w:r>
          </w:p>
        </w:tc>
        <w:tc>
          <w:tcPr>
            <w:tcW w:w="537" w:type="pct"/>
            <w:shd w:val="clear" w:color="auto" w:fill="FFFFFF"/>
            <w:vAlign w:val="center"/>
          </w:tcPr>
          <w:p w14:paraId="4CCD0550">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10</w:t>
            </w:r>
          </w:p>
        </w:tc>
      </w:tr>
      <w:tr w14:paraId="67BF2B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1" w:type="pct"/>
            <w:vMerge w:val="continue"/>
            <w:shd w:val="clear" w:color="auto" w:fill="FFFFFF"/>
            <w:vAlign w:val="center"/>
          </w:tcPr>
          <w:p w14:paraId="6AC2FF3D">
            <w:pPr>
              <w:widowControl/>
              <w:spacing w:line="0" w:lineRule="atLeast"/>
              <w:jc w:val="center"/>
              <w:rPr>
                <w:rFonts w:hint="default" w:ascii="Times New Roman" w:hAnsi="Times New Roman" w:cs="Times New Roman"/>
                <w:color w:val="000000"/>
                <w:kern w:val="0"/>
                <w:sz w:val="22"/>
                <w:szCs w:val="22"/>
              </w:rPr>
            </w:pPr>
          </w:p>
        </w:tc>
        <w:tc>
          <w:tcPr>
            <w:tcW w:w="302" w:type="pct"/>
            <w:vMerge w:val="continue"/>
            <w:shd w:val="clear" w:color="auto" w:fill="FFFFFF"/>
            <w:vAlign w:val="center"/>
          </w:tcPr>
          <w:p w14:paraId="33A3BBEB">
            <w:pPr>
              <w:widowControl/>
              <w:spacing w:line="0" w:lineRule="atLeast"/>
              <w:jc w:val="center"/>
              <w:rPr>
                <w:rFonts w:hint="default" w:ascii="Times New Roman" w:hAnsi="Times New Roman" w:cs="Times New Roman"/>
                <w:color w:val="000000"/>
                <w:kern w:val="0"/>
                <w:sz w:val="22"/>
                <w:szCs w:val="22"/>
              </w:rPr>
            </w:pPr>
          </w:p>
        </w:tc>
        <w:tc>
          <w:tcPr>
            <w:tcW w:w="344" w:type="pct"/>
            <w:shd w:val="clear" w:color="auto" w:fill="FFFFFF"/>
            <w:vAlign w:val="center"/>
          </w:tcPr>
          <w:p w14:paraId="23EF4500">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满意度</w:t>
            </w:r>
          </w:p>
        </w:tc>
        <w:tc>
          <w:tcPr>
            <w:tcW w:w="927" w:type="pct"/>
            <w:shd w:val="clear" w:color="000000" w:fill="FFFFFF"/>
            <w:vAlign w:val="center"/>
          </w:tcPr>
          <w:p w14:paraId="12B42CFE">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社会公众或服务对象对项目实施效果的满意程度。</w:t>
            </w:r>
          </w:p>
        </w:tc>
        <w:tc>
          <w:tcPr>
            <w:tcW w:w="2044" w:type="pct"/>
            <w:shd w:val="clear" w:color="000000" w:fill="FFFFFF"/>
            <w:vAlign w:val="center"/>
          </w:tcPr>
          <w:p w14:paraId="18B0DF1A">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社会公众或服务对象是指因该项目实施而受到影响的部门（单位）、群体或个人。一般采取社会调查的方式。</w:t>
            </w:r>
          </w:p>
        </w:tc>
        <w:tc>
          <w:tcPr>
            <w:tcW w:w="512" w:type="pct"/>
            <w:shd w:val="clear" w:color="000000" w:fill="FFFFFF"/>
            <w:vAlign w:val="center"/>
          </w:tcPr>
          <w:p w14:paraId="249FD97D">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10</w:t>
            </w:r>
          </w:p>
        </w:tc>
        <w:tc>
          <w:tcPr>
            <w:tcW w:w="537" w:type="pct"/>
            <w:shd w:val="clear" w:color="000000" w:fill="FFFFFF"/>
            <w:vAlign w:val="center"/>
          </w:tcPr>
          <w:p w14:paraId="5BC686CD">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10</w:t>
            </w:r>
          </w:p>
        </w:tc>
      </w:tr>
    </w:tbl>
    <w:p w14:paraId="62002AA1">
      <w:pPr>
        <w:pStyle w:val="2"/>
        <w:rPr>
          <w:rFonts w:hint="default" w:ascii="Times New Roman" w:hAnsi="Times New Roman" w:cs="Times New Roman"/>
        </w:rPr>
      </w:pPr>
    </w:p>
    <w:p w14:paraId="37434C67">
      <w:pPr>
        <w:rPr>
          <w:rFonts w:hint="default" w:ascii="Times New Roman" w:hAnsi="Times New Roman" w:cs="Times New Roman"/>
        </w:rPr>
      </w:pPr>
    </w:p>
    <w:p w14:paraId="7C09EDC8">
      <w:pPr>
        <w:spacing w:line="540" w:lineRule="exact"/>
        <w:ind w:firstLine="640"/>
        <w:rPr>
          <w:rStyle w:val="14"/>
          <w:rFonts w:hint="default" w:ascii="Times New Roman" w:hAnsi="Times New Roman" w:eastAsia="黑体" w:cs="Times New Roman"/>
          <w:bCs w:val="0"/>
          <w:spacing w:val="-4"/>
          <w:sz w:val="32"/>
          <w:szCs w:val="32"/>
        </w:rPr>
      </w:pPr>
    </w:p>
    <w:p w14:paraId="7A9D81FD">
      <w:pPr>
        <w:spacing w:line="540" w:lineRule="exact"/>
        <w:ind w:firstLine="640"/>
        <w:rPr>
          <w:rStyle w:val="14"/>
          <w:rFonts w:hint="default" w:ascii="Times New Roman" w:hAnsi="Times New Roman" w:eastAsia="黑体" w:cs="Times New Roman"/>
          <w:bCs w:val="0"/>
          <w:spacing w:val="-4"/>
          <w:sz w:val="32"/>
          <w:szCs w:val="32"/>
        </w:rPr>
      </w:pPr>
    </w:p>
    <w:p w14:paraId="67094726">
      <w:pPr>
        <w:spacing w:line="540" w:lineRule="exact"/>
        <w:ind w:firstLine="640"/>
        <w:rPr>
          <w:rStyle w:val="14"/>
          <w:rFonts w:hint="default" w:ascii="Times New Roman" w:hAnsi="Times New Roman" w:eastAsia="黑体" w:cs="Times New Roman"/>
          <w:bCs w:val="0"/>
          <w:spacing w:val="-4"/>
          <w:sz w:val="32"/>
          <w:szCs w:val="32"/>
        </w:rPr>
      </w:pPr>
    </w:p>
    <w:p w14:paraId="3772ED4E">
      <w:pPr>
        <w:spacing w:line="540" w:lineRule="exact"/>
        <w:ind w:firstLine="640"/>
        <w:rPr>
          <w:rStyle w:val="14"/>
          <w:rFonts w:hint="default" w:ascii="Times New Roman" w:hAnsi="Times New Roman" w:eastAsia="黑体" w:cs="Times New Roman"/>
          <w:bCs w:val="0"/>
          <w:spacing w:val="-4"/>
          <w:sz w:val="32"/>
          <w:szCs w:val="32"/>
        </w:rPr>
      </w:pPr>
    </w:p>
    <w:p w14:paraId="7DED5352">
      <w:pPr>
        <w:spacing w:line="540" w:lineRule="exact"/>
        <w:ind w:firstLine="640"/>
        <w:rPr>
          <w:rStyle w:val="14"/>
          <w:rFonts w:hint="default" w:ascii="Times New Roman" w:hAnsi="Times New Roman" w:eastAsia="黑体" w:cs="Times New Roman"/>
          <w:bCs w:val="0"/>
          <w:spacing w:val="-4"/>
          <w:sz w:val="32"/>
          <w:szCs w:val="32"/>
        </w:rPr>
      </w:pPr>
    </w:p>
    <w:p w14:paraId="38E20446">
      <w:pPr>
        <w:spacing w:line="540" w:lineRule="exact"/>
        <w:ind w:firstLine="640"/>
        <w:rPr>
          <w:rStyle w:val="14"/>
          <w:rFonts w:hint="default" w:ascii="Times New Roman" w:hAnsi="Times New Roman" w:eastAsia="黑体" w:cs="Times New Roman"/>
          <w:bCs w:val="0"/>
          <w:spacing w:val="-4"/>
          <w:sz w:val="32"/>
          <w:szCs w:val="32"/>
        </w:rPr>
      </w:pPr>
    </w:p>
    <w:p w14:paraId="70B1400C">
      <w:pPr>
        <w:spacing w:line="540" w:lineRule="exact"/>
        <w:rPr>
          <w:rStyle w:val="14"/>
          <w:rFonts w:hint="default" w:ascii="Times New Roman" w:hAnsi="Times New Roman" w:eastAsia="仿宋" w:cs="Times New Roman"/>
          <w:b w:val="0"/>
          <w:spacing w:val="-4"/>
          <w:sz w:val="32"/>
          <w:szCs w:val="32"/>
        </w:rPr>
      </w:pPr>
    </w:p>
    <w:p w14:paraId="76A66FC6">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3E908A3-E1C9-46F7-88D9-7FBA18B5B33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603BA0A7-EF0E-4248-9C96-F1872A796023}"/>
  </w:font>
  <w:font w:name="华文中宋">
    <w:panose1 w:val="02010600040101010101"/>
    <w:charset w:val="86"/>
    <w:family w:val="auto"/>
    <w:pitch w:val="default"/>
    <w:sig w:usb0="00000287" w:usb1="080F0000" w:usb2="00000000" w:usb3="00000000" w:csb0="0004009F" w:csb1="DFD70000"/>
    <w:embedRegular r:id="rId3" w:fontKey="{6A165C40-E9B2-49E2-9FE3-D6BE276FB609}"/>
  </w:font>
  <w:font w:name="方正小标宋_GBK">
    <w:panose1 w:val="02000000000000000000"/>
    <w:charset w:val="86"/>
    <w:family w:val="script"/>
    <w:pitch w:val="default"/>
    <w:sig w:usb0="A00002BF" w:usb1="38CF7CFA" w:usb2="00082016" w:usb3="00000000" w:csb0="00040001" w:csb1="00000000"/>
    <w:embedRegular r:id="rId4" w:fontKey="{DAFC1DF3-2992-44AA-8D20-F32B718F9DC0}"/>
  </w:font>
  <w:font w:name="楷体_GB2312">
    <w:panose1 w:val="02010609030101010101"/>
    <w:charset w:val="86"/>
    <w:family w:val="modern"/>
    <w:pitch w:val="default"/>
    <w:sig w:usb0="00000001" w:usb1="080E0000" w:usb2="00000000" w:usb3="00000000" w:csb0="00040000" w:csb1="00000000"/>
    <w:embedRegular r:id="rId5" w:fontKey="{3DD1DF0C-9F33-4BAD-99CA-9B3623001915}"/>
  </w:font>
  <w:font w:name="仿宋">
    <w:panose1 w:val="02010609060101010101"/>
    <w:charset w:val="86"/>
    <w:family w:val="modern"/>
    <w:pitch w:val="default"/>
    <w:sig w:usb0="800002BF" w:usb1="38CF7CFA" w:usb2="00000016" w:usb3="00000000" w:csb0="00040001" w:csb1="00000000"/>
    <w:embedRegular r:id="rId6" w:fontKey="{5187970E-38C1-4EEC-B774-8008336EBA5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A6DD088">
        <w:pPr>
          <w:pStyle w:val="8"/>
          <w:jc w:val="center"/>
        </w:pPr>
        <w:r>
          <w:fldChar w:fldCharType="begin"/>
        </w:r>
        <w:r>
          <w:instrText xml:space="preserve">PAGE   \* MERGEFORMAT</w:instrText>
        </w:r>
        <w:r>
          <w:fldChar w:fldCharType="separate"/>
        </w:r>
        <w:r>
          <w:rPr>
            <w:lang w:val="zh-CN"/>
          </w:rPr>
          <w:t>2</w:t>
        </w:r>
        <w:r>
          <w:rPr>
            <w:lang w:val="zh-CN"/>
          </w:rPr>
          <w:fldChar w:fldCharType="end"/>
        </w:r>
      </w:p>
    </w:sdtContent>
  </w:sdt>
  <w:p w14:paraId="3486AF42">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3853AE"/>
    <w:multiLevelType w:val="singleLevel"/>
    <w:tmpl w:val="E83853AE"/>
    <w:lvl w:ilvl="0" w:tentative="0">
      <w:start w:val="2"/>
      <w:numFmt w:val="decimal"/>
      <w:suff w:val="nothing"/>
      <w:lvlText w:val="%1、"/>
      <w:lvlJc w:val="left"/>
    </w:lvl>
  </w:abstractNum>
  <w:abstractNum w:abstractNumId="1">
    <w:nsid w:val="116B29BF"/>
    <w:multiLevelType w:val="singleLevel"/>
    <w:tmpl w:val="116B29BF"/>
    <w:lvl w:ilvl="0" w:tentative="0">
      <w:start w:val="3"/>
      <w:numFmt w:val="chineseCounting"/>
      <w:suff w:val="nothing"/>
      <w:lvlText w:val="%1、"/>
      <w:lvlJc w:val="left"/>
      <w:rPr>
        <w:rFonts w:hint="eastAsia"/>
      </w:rPr>
    </w:lvl>
  </w:abstractNum>
  <w:abstractNum w:abstractNumId="2">
    <w:nsid w:val="27813159"/>
    <w:multiLevelType w:val="singleLevel"/>
    <w:tmpl w:val="27813159"/>
    <w:lvl w:ilvl="0" w:tentative="0">
      <w:start w:val="3"/>
      <w:numFmt w:val="chineseCounting"/>
      <w:suff w:val="nothing"/>
      <w:lvlText w:val="（%1）"/>
      <w:lvlJc w:val="left"/>
      <w:rPr>
        <w:rFonts w:hint="eastAsia"/>
      </w:rPr>
    </w:lvl>
  </w:abstractNum>
  <w:abstractNum w:abstractNumId="3">
    <w:nsid w:val="38F0C646"/>
    <w:multiLevelType w:val="singleLevel"/>
    <w:tmpl w:val="38F0C646"/>
    <w:lvl w:ilvl="0" w:tentative="0">
      <w:start w:val="1"/>
      <w:numFmt w:val="decimal"/>
      <w:suff w:val="nothing"/>
      <w:lvlText w:val="%1、"/>
      <w:lvlJc w:val="left"/>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c1YWRlYmYyMDA2MjU1OTYyYzAzNjE2OGM4ZjcxZTgifQ=="/>
  </w:docVars>
  <w:rsids>
    <w:rsidRoot w:val="FF6C4049"/>
    <w:rsid w:val="00005654"/>
    <w:rsid w:val="00027D7C"/>
    <w:rsid w:val="000302B5"/>
    <w:rsid w:val="00030EDE"/>
    <w:rsid w:val="00092045"/>
    <w:rsid w:val="00095176"/>
    <w:rsid w:val="000A77E8"/>
    <w:rsid w:val="000C3617"/>
    <w:rsid w:val="000C69D4"/>
    <w:rsid w:val="000D4040"/>
    <w:rsid w:val="00101063"/>
    <w:rsid w:val="00101EC1"/>
    <w:rsid w:val="001041A8"/>
    <w:rsid w:val="00104B09"/>
    <w:rsid w:val="00106529"/>
    <w:rsid w:val="00115828"/>
    <w:rsid w:val="001200CC"/>
    <w:rsid w:val="001645D4"/>
    <w:rsid w:val="0017049B"/>
    <w:rsid w:val="00180FC7"/>
    <w:rsid w:val="001B56BA"/>
    <w:rsid w:val="001D1900"/>
    <w:rsid w:val="001D2709"/>
    <w:rsid w:val="001E7399"/>
    <w:rsid w:val="001F2A23"/>
    <w:rsid w:val="00226C0E"/>
    <w:rsid w:val="002436B7"/>
    <w:rsid w:val="0024640F"/>
    <w:rsid w:val="002669BD"/>
    <w:rsid w:val="002678D7"/>
    <w:rsid w:val="002728B6"/>
    <w:rsid w:val="00282465"/>
    <w:rsid w:val="00283760"/>
    <w:rsid w:val="002B5273"/>
    <w:rsid w:val="002C3947"/>
    <w:rsid w:val="002D2A44"/>
    <w:rsid w:val="002F5FFE"/>
    <w:rsid w:val="0030181C"/>
    <w:rsid w:val="00314F6A"/>
    <w:rsid w:val="00316DAE"/>
    <w:rsid w:val="00326562"/>
    <w:rsid w:val="00344EBB"/>
    <w:rsid w:val="00350857"/>
    <w:rsid w:val="0035499A"/>
    <w:rsid w:val="00380193"/>
    <w:rsid w:val="00387A27"/>
    <w:rsid w:val="003B3F5F"/>
    <w:rsid w:val="003B7D47"/>
    <w:rsid w:val="003D6FBF"/>
    <w:rsid w:val="003E6132"/>
    <w:rsid w:val="0040062F"/>
    <w:rsid w:val="00413AF8"/>
    <w:rsid w:val="00415E80"/>
    <w:rsid w:val="00430FD4"/>
    <w:rsid w:val="00440B4E"/>
    <w:rsid w:val="004533F8"/>
    <w:rsid w:val="0045647C"/>
    <w:rsid w:val="004605B9"/>
    <w:rsid w:val="004610F0"/>
    <w:rsid w:val="004712B7"/>
    <w:rsid w:val="00485E96"/>
    <w:rsid w:val="0048619A"/>
    <w:rsid w:val="00494444"/>
    <w:rsid w:val="004C3E10"/>
    <w:rsid w:val="004D30F2"/>
    <w:rsid w:val="00500784"/>
    <w:rsid w:val="00515B53"/>
    <w:rsid w:val="00517546"/>
    <w:rsid w:val="00560114"/>
    <w:rsid w:val="005659F9"/>
    <w:rsid w:val="0057122C"/>
    <w:rsid w:val="005745A9"/>
    <w:rsid w:val="005A3D2C"/>
    <w:rsid w:val="005B5A69"/>
    <w:rsid w:val="005D32A5"/>
    <w:rsid w:val="005D334C"/>
    <w:rsid w:val="005E00B3"/>
    <w:rsid w:val="005E0FF4"/>
    <w:rsid w:val="0060194E"/>
    <w:rsid w:val="006046B5"/>
    <w:rsid w:val="00605586"/>
    <w:rsid w:val="00620AE3"/>
    <w:rsid w:val="006225A6"/>
    <w:rsid w:val="00662AB4"/>
    <w:rsid w:val="0069466E"/>
    <w:rsid w:val="006B48AC"/>
    <w:rsid w:val="006D52DB"/>
    <w:rsid w:val="006F4248"/>
    <w:rsid w:val="00707BFC"/>
    <w:rsid w:val="00714727"/>
    <w:rsid w:val="007209C0"/>
    <w:rsid w:val="00721195"/>
    <w:rsid w:val="00737292"/>
    <w:rsid w:val="00745E05"/>
    <w:rsid w:val="00770939"/>
    <w:rsid w:val="0077684C"/>
    <w:rsid w:val="007875B1"/>
    <w:rsid w:val="007912DC"/>
    <w:rsid w:val="00793800"/>
    <w:rsid w:val="00795B40"/>
    <w:rsid w:val="00796116"/>
    <w:rsid w:val="007A6CF6"/>
    <w:rsid w:val="007C32E0"/>
    <w:rsid w:val="007D182C"/>
    <w:rsid w:val="007E2D23"/>
    <w:rsid w:val="007F14F3"/>
    <w:rsid w:val="007F6AF5"/>
    <w:rsid w:val="00803C03"/>
    <w:rsid w:val="00807989"/>
    <w:rsid w:val="008229BB"/>
    <w:rsid w:val="00835AA2"/>
    <w:rsid w:val="00837392"/>
    <w:rsid w:val="008374E9"/>
    <w:rsid w:val="0084483A"/>
    <w:rsid w:val="00851E2B"/>
    <w:rsid w:val="00857A6E"/>
    <w:rsid w:val="00862F30"/>
    <w:rsid w:val="0086475E"/>
    <w:rsid w:val="00881AFC"/>
    <w:rsid w:val="00890100"/>
    <w:rsid w:val="008A7088"/>
    <w:rsid w:val="008B5894"/>
    <w:rsid w:val="008C7FD9"/>
    <w:rsid w:val="00900480"/>
    <w:rsid w:val="009008B1"/>
    <w:rsid w:val="00902502"/>
    <w:rsid w:val="00912BE2"/>
    <w:rsid w:val="009325AA"/>
    <w:rsid w:val="0095341F"/>
    <w:rsid w:val="009608EF"/>
    <w:rsid w:val="009A1954"/>
    <w:rsid w:val="009A2520"/>
    <w:rsid w:val="009C49BC"/>
    <w:rsid w:val="00A06F3D"/>
    <w:rsid w:val="00A113CE"/>
    <w:rsid w:val="00A217EC"/>
    <w:rsid w:val="00A479BE"/>
    <w:rsid w:val="00A80F54"/>
    <w:rsid w:val="00A812D9"/>
    <w:rsid w:val="00A9538E"/>
    <w:rsid w:val="00AA23CB"/>
    <w:rsid w:val="00AB044A"/>
    <w:rsid w:val="00AB35DF"/>
    <w:rsid w:val="00AB5FDA"/>
    <w:rsid w:val="00AC634B"/>
    <w:rsid w:val="00AE117E"/>
    <w:rsid w:val="00B039A4"/>
    <w:rsid w:val="00B92476"/>
    <w:rsid w:val="00B96E8F"/>
    <w:rsid w:val="00BC4C78"/>
    <w:rsid w:val="00BD27D5"/>
    <w:rsid w:val="00BE0216"/>
    <w:rsid w:val="00BE61DC"/>
    <w:rsid w:val="00C03B88"/>
    <w:rsid w:val="00C25D20"/>
    <w:rsid w:val="00C261B7"/>
    <w:rsid w:val="00C57429"/>
    <w:rsid w:val="00C6711B"/>
    <w:rsid w:val="00C71F2B"/>
    <w:rsid w:val="00C87719"/>
    <w:rsid w:val="00CC450E"/>
    <w:rsid w:val="00CD3E58"/>
    <w:rsid w:val="00CF220B"/>
    <w:rsid w:val="00CF7255"/>
    <w:rsid w:val="00D0462F"/>
    <w:rsid w:val="00D10CA2"/>
    <w:rsid w:val="00D32906"/>
    <w:rsid w:val="00D65AE1"/>
    <w:rsid w:val="00D80911"/>
    <w:rsid w:val="00D8225E"/>
    <w:rsid w:val="00D90CC5"/>
    <w:rsid w:val="00DC0176"/>
    <w:rsid w:val="00DD0571"/>
    <w:rsid w:val="00DD7632"/>
    <w:rsid w:val="00DF7A8B"/>
    <w:rsid w:val="00E03EB0"/>
    <w:rsid w:val="00E31E60"/>
    <w:rsid w:val="00E352A7"/>
    <w:rsid w:val="00E61D8D"/>
    <w:rsid w:val="00E7408E"/>
    <w:rsid w:val="00E94C36"/>
    <w:rsid w:val="00EE4BBC"/>
    <w:rsid w:val="00EF06D1"/>
    <w:rsid w:val="00EF4782"/>
    <w:rsid w:val="00F215FD"/>
    <w:rsid w:val="00F30A5F"/>
    <w:rsid w:val="00F353C0"/>
    <w:rsid w:val="00F41291"/>
    <w:rsid w:val="00F46E41"/>
    <w:rsid w:val="00F57A74"/>
    <w:rsid w:val="00F64634"/>
    <w:rsid w:val="00F83216"/>
    <w:rsid w:val="00F942A7"/>
    <w:rsid w:val="00F976EF"/>
    <w:rsid w:val="00FA3E25"/>
    <w:rsid w:val="00FC1FAB"/>
    <w:rsid w:val="00FC27FC"/>
    <w:rsid w:val="00FC3D7B"/>
    <w:rsid w:val="00FC7F82"/>
    <w:rsid w:val="00FD2239"/>
    <w:rsid w:val="00FD3DF8"/>
    <w:rsid w:val="00FE4B60"/>
    <w:rsid w:val="031B3965"/>
    <w:rsid w:val="04B2045F"/>
    <w:rsid w:val="0ACF434F"/>
    <w:rsid w:val="0C8338AA"/>
    <w:rsid w:val="0D8C6527"/>
    <w:rsid w:val="0E3F1AD3"/>
    <w:rsid w:val="0E527220"/>
    <w:rsid w:val="0F1123D0"/>
    <w:rsid w:val="0F3B2FEA"/>
    <w:rsid w:val="127B54E8"/>
    <w:rsid w:val="13B90F01"/>
    <w:rsid w:val="16610551"/>
    <w:rsid w:val="1AB175CD"/>
    <w:rsid w:val="1C671E73"/>
    <w:rsid w:val="27282B77"/>
    <w:rsid w:val="2A663F30"/>
    <w:rsid w:val="2AA9206F"/>
    <w:rsid w:val="2D3C71CA"/>
    <w:rsid w:val="2EFFCB54"/>
    <w:rsid w:val="2F126434"/>
    <w:rsid w:val="2F4F49C8"/>
    <w:rsid w:val="30F552E3"/>
    <w:rsid w:val="34586EEB"/>
    <w:rsid w:val="35D11B70"/>
    <w:rsid w:val="386D5023"/>
    <w:rsid w:val="392E030F"/>
    <w:rsid w:val="395F2B56"/>
    <w:rsid w:val="3BECE841"/>
    <w:rsid w:val="3E7F3E91"/>
    <w:rsid w:val="3FB35061"/>
    <w:rsid w:val="3FF7797D"/>
    <w:rsid w:val="43813A4B"/>
    <w:rsid w:val="44654E01"/>
    <w:rsid w:val="473867FC"/>
    <w:rsid w:val="47F830B6"/>
    <w:rsid w:val="483416BA"/>
    <w:rsid w:val="489B7043"/>
    <w:rsid w:val="4910665F"/>
    <w:rsid w:val="4B1B446B"/>
    <w:rsid w:val="534A1D91"/>
    <w:rsid w:val="55E108BC"/>
    <w:rsid w:val="571B1801"/>
    <w:rsid w:val="5BFF6039"/>
    <w:rsid w:val="5C0C052C"/>
    <w:rsid w:val="5D76A616"/>
    <w:rsid w:val="5D7F20B9"/>
    <w:rsid w:val="5DAC7D0E"/>
    <w:rsid w:val="5F093570"/>
    <w:rsid w:val="5FFE8511"/>
    <w:rsid w:val="5FFEACE2"/>
    <w:rsid w:val="643EE26D"/>
    <w:rsid w:val="65270184"/>
    <w:rsid w:val="652C7549"/>
    <w:rsid w:val="65801061"/>
    <w:rsid w:val="68925915"/>
    <w:rsid w:val="6B3E2F06"/>
    <w:rsid w:val="6E431539"/>
    <w:rsid w:val="6E90672B"/>
    <w:rsid w:val="6FAF6C78"/>
    <w:rsid w:val="7141612A"/>
    <w:rsid w:val="71E237B3"/>
    <w:rsid w:val="7317C656"/>
    <w:rsid w:val="74B06629"/>
    <w:rsid w:val="77073972"/>
    <w:rsid w:val="77FD8BE9"/>
    <w:rsid w:val="7880578A"/>
    <w:rsid w:val="78D87374"/>
    <w:rsid w:val="790E2D96"/>
    <w:rsid w:val="79A9BD3F"/>
    <w:rsid w:val="7B332F87"/>
    <w:rsid w:val="7B8D6AD9"/>
    <w:rsid w:val="7BFFFDD0"/>
    <w:rsid w:val="7CD33333"/>
    <w:rsid w:val="7D284642"/>
    <w:rsid w:val="7D7A5F86"/>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0"/>
    <w:qFormat/>
    <w:uiPriority w:val="99"/>
    <w:pPr>
      <w:jc w:val="left"/>
    </w:pPr>
  </w:style>
  <w:style w:type="paragraph" w:styleId="5">
    <w:name w:val="Body Text"/>
    <w:basedOn w:val="1"/>
    <w:autoRedefine/>
    <w:qFormat/>
    <w:uiPriority w:val="0"/>
    <w:pPr>
      <w:spacing w:after="120"/>
    </w:pPr>
  </w:style>
  <w:style w:type="paragraph" w:styleId="6">
    <w:name w:val="Body Text Indent"/>
    <w:basedOn w:val="1"/>
    <w:autoRedefine/>
    <w:qFormat/>
    <w:uiPriority w:val="0"/>
    <w:pPr>
      <w:spacing w:after="120"/>
      <w:ind w:left="420" w:leftChars="200"/>
    </w:pPr>
    <w:rPr>
      <w:rFonts w:ascii="Calibri" w:hAnsi="Calibri"/>
    </w:rPr>
  </w:style>
  <w:style w:type="paragraph" w:styleId="7">
    <w:name w:val="Balloon Text"/>
    <w:basedOn w:val="1"/>
    <w:link w:val="22"/>
    <w:autoRedefine/>
    <w:qFormat/>
    <w:uiPriority w:val="0"/>
    <w:rPr>
      <w:sz w:val="18"/>
      <w:szCs w:val="18"/>
    </w:rPr>
  </w:style>
  <w:style w:type="paragraph" w:styleId="8">
    <w:name w:val="footer"/>
    <w:basedOn w:val="1"/>
    <w:autoRedefine/>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19"/>
    <w:autoRedefine/>
    <w:qFormat/>
    <w:uiPriority w:val="0"/>
    <w:pPr>
      <w:tabs>
        <w:tab w:val="center" w:pos="4153"/>
        <w:tab w:val="right" w:pos="8306"/>
      </w:tabs>
      <w:snapToGrid w:val="0"/>
      <w:jc w:val="center"/>
    </w:pPr>
    <w:rPr>
      <w:sz w:val="18"/>
      <w:szCs w:val="18"/>
    </w:rPr>
  </w:style>
  <w:style w:type="paragraph" w:styleId="10">
    <w:name w:val="Body Text First Indent"/>
    <w:basedOn w:val="5"/>
    <w:autoRedefine/>
    <w:qFormat/>
    <w:uiPriority w:val="0"/>
    <w:pPr>
      <w:spacing w:after="0"/>
      <w:ind w:firstLine="200" w:firstLineChars="200"/>
    </w:pPr>
  </w:style>
  <w:style w:type="paragraph" w:styleId="11">
    <w:name w:val="Body Text First Indent 2"/>
    <w:basedOn w:val="6"/>
    <w:autoRedefine/>
    <w:qFormat/>
    <w:uiPriority w:val="0"/>
    <w:pPr>
      <w:ind w:firstLine="420" w:firstLineChars="200"/>
    </w:pPr>
  </w:style>
  <w:style w:type="character" w:styleId="14">
    <w:name w:val="Strong"/>
    <w:basedOn w:val="13"/>
    <w:autoRedefine/>
    <w:qFormat/>
    <w:uiPriority w:val="0"/>
    <w:rPr>
      <w:b/>
      <w:bCs/>
    </w:rPr>
  </w:style>
  <w:style w:type="character" w:styleId="15">
    <w:name w:val="annotation reference"/>
    <w:basedOn w:val="13"/>
    <w:autoRedefine/>
    <w:qFormat/>
    <w:uiPriority w:val="99"/>
    <w:rPr>
      <w:sz w:val="21"/>
      <w:szCs w:val="21"/>
    </w:rPr>
  </w:style>
  <w:style w:type="character" w:customStyle="1" w:styleId="16">
    <w:name w:val="fontstyle01"/>
    <w:qFormat/>
    <w:uiPriority w:val="0"/>
    <w:rPr>
      <w:rFonts w:ascii="仿宋_GB2312" w:hAnsi="仿宋_GB2312" w:eastAsia="仿宋_GB2312" w:cs="仿宋_GB2312"/>
      <w:color w:val="000000"/>
      <w:sz w:val="32"/>
      <w:szCs w:val="32"/>
    </w:rPr>
  </w:style>
  <w:style w:type="paragraph" w:customStyle="1" w:styleId="17">
    <w:name w:val="闻政-正文段落文字"/>
    <w:basedOn w:val="1"/>
    <w:autoRedefine/>
    <w:qFormat/>
    <w:uiPriority w:val="3"/>
    <w:pPr>
      <w:spacing w:line="500" w:lineRule="exact"/>
      <w:ind w:firstLine="200"/>
    </w:pPr>
    <w:rPr>
      <w:kern w:val="0"/>
      <w:szCs w:val="28"/>
    </w:rPr>
  </w:style>
  <w:style w:type="paragraph" w:customStyle="1" w:styleId="18">
    <w:name w:val="修订1"/>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19">
    <w:name w:val="页眉 Char"/>
    <w:basedOn w:val="13"/>
    <w:link w:val="9"/>
    <w:autoRedefine/>
    <w:qFormat/>
    <w:uiPriority w:val="0"/>
    <w:rPr>
      <w:rFonts w:ascii="Times New Roman" w:hAnsi="Times New Roman" w:eastAsia="宋体" w:cs="Times New Roman"/>
      <w:kern w:val="2"/>
      <w:sz w:val="18"/>
      <w:szCs w:val="18"/>
    </w:rPr>
  </w:style>
  <w:style w:type="character" w:customStyle="1" w:styleId="20">
    <w:name w:val="批注文字 Char"/>
    <w:basedOn w:val="13"/>
    <w:link w:val="4"/>
    <w:qFormat/>
    <w:uiPriority w:val="99"/>
    <w:rPr>
      <w:rFonts w:ascii="Times New Roman" w:hAnsi="Times New Roman" w:eastAsia="宋体" w:cs="Times New Roman"/>
      <w:kern w:val="2"/>
      <w:sz w:val="21"/>
      <w:szCs w:val="24"/>
    </w:rPr>
  </w:style>
  <w:style w:type="paragraph" w:styleId="21">
    <w:name w:val="List Paragraph"/>
    <w:basedOn w:val="1"/>
    <w:autoRedefine/>
    <w:unhideWhenUsed/>
    <w:qFormat/>
    <w:uiPriority w:val="99"/>
    <w:pPr>
      <w:ind w:firstLine="420" w:firstLineChars="200"/>
    </w:pPr>
  </w:style>
  <w:style w:type="character" w:customStyle="1" w:styleId="22">
    <w:name w:val="批注框文本 Char"/>
    <w:basedOn w:val="13"/>
    <w:link w:val="7"/>
    <w:autoRedefine/>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21</Pages>
  <Words>8470</Words>
  <Characters>9113</Characters>
  <Lines>70</Lines>
  <Paragraphs>19</Paragraphs>
  <TotalTime>2</TotalTime>
  <ScaleCrop>false</ScaleCrop>
  <LinksUpToDate>false</LinksUpToDate>
  <CharactersWithSpaces>9138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佩</cp:lastModifiedBy>
  <dcterms:modified xsi:type="dcterms:W3CDTF">2024-08-28T04:01:51Z</dcterms:modified>
  <cp:revision>270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0CA58AF8364FF55815C8066417B177EA</vt:lpwstr>
  </property>
</Properties>
</file>