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884A7">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DAF7E2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67A06B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新疆医科大学附属肿瘤医院</w:t>
      </w:r>
    </w:p>
    <w:p w14:paraId="7E0158E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w:t>
      </w:r>
      <w:r>
        <w:rPr>
          <w:rFonts w:hint="default" w:ascii="Times New Roman" w:hAnsi="Times New Roman" w:eastAsia="方正小标宋_GBK" w:cs="Times New Roman"/>
          <w:color w:val="auto"/>
          <w:sz w:val="44"/>
          <w:szCs w:val="44"/>
          <w:highlight w:val="none"/>
          <w:lang w:eastAsia="zh-CN"/>
        </w:rPr>
        <w:t>2023</w:t>
      </w:r>
      <w:r>
        <w:rPr>
          <w:rFonts w:hint="eastAsia" w:ascii="方正小标宋_GBK" w:hAnsi="宋体" w:eastAsia="方正小标宋_GBK"/>
          <w:color w:val="auto"/>
          <w:sz w:val="44"/>
          <w:szCs w:val="44"/>
          <w:highlight w:val="none"/>
          <w:lang w:eastAsia="zh-CN"/>
        </w:rPr>
        <w:t>年度</w:t>
      </w:r>
      <w:r>
        <w:rPr>
          <w:rFonts w:hint="eastAsia" w:ascii="方正小标宋_GBK" w:hAnsi="宋体" w:eastAsia="方正小标宋_GBK"/>
          <w:color w:val="auto"/>
          <w:sz w:val="44"/>
          <w:szCs w:val="44"/>
          <w:highlight w:val="none"/>
        </w:rPr>
        <w:t>部门决算</w:t>
      </w:r>
    </w:p>
    <w:p w14:paraId="01B1B7C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7807748E">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7F8C121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466331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63DF7A0">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A2B55CB">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7CF138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2FFE127">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260D14A">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AC01541">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AA5E3BE">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BD8AAC4">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4AEDE66">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ED2A7FE">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782A708">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F1E1F6C">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CD92661">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753B163">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505B047">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9AF12AA">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B04B97D">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02A9AEF">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0134B0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DF0A17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1A96D2D">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03A31AD">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0C19E8B">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7BF9236">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2E4878E">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D0580AC">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94F3D56">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B7F10D8">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184E5CB">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74E342A">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D812BAD">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FE8D3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3A92FB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34FD0098">
      <w:pPr>
        <w:ind w:firstLine="640" w:firstLineChars="200"/>
        <w:rPr>
          <w:rFonts w:ascii="仿宋_GB2312" w:eastAsia="仿宋_GB2312"/>
          <w:color w:val="auto"/>
          <w:sz w:val="32"/>
          <w:szCs w:val="32"/>
        </w:rPr>
      </w:pPr>
      <w:r>
        <w:rPr>
          <w:rFonts w:ascii="仿宋_GB2312" w:eastAsia="仿宋_GB2312"/>
          <w:color w:val="auto"/>
          <w:sz w:val="32"/>
          <w:szCs w:val="32"/>
        </w:rPr>
        <w:t>新疆医科大学附属肿瘤医院成立于</w:t>
      </w:r>
      <w:r>
        <w:rPr>
          <w:rFonts w:hint="default" w:ascii="Times New Roman" w:hAnsi="Times New Roman" w:eastAsia="仿宋_GB2312" w:cs="Times New Roman"/>
          <w:color w:val="auto"/>
          <w:sz w:val="32"/>
          <w:szCs w:val="32"/>
        </w:rPr>
        <w:t>1989</w:t>
      </w:r>
      <w:r>
        <w:rPr>
          <w:rFonts w:ascii="仿宋_GB2312" w:eastAsia="仿宋_GB2312"/>
          <w:color w:val="auto"/>
          <w:sz w:val="32"/>
          <w:szCs w:val="32"/>
        </w:rPr>
        <w:t>年，</w:t>
      </w:r>
      <w:r>
        <w:rPr>
          <w:rFonts w:hint="default" w:ascii="Times New Roman" w:hAnsi="Times New Roman" w:eastAsia="仿宋_GB2312" w:cs="Times New Roman"/>
          <w:color w:val="auto"/>
          <w:sz w:val="32"/>
          <w:szCs w:val="32"/>
        </w:rPr>
        <w:t>1993</w:t>
      </w:r>
      <w:r>
        <w:rPr>
          <w:rFonts w:ascii="仿宋_GB2312" w:eastAsia="仿宋_GB2312"/>
          <w:color w:val="auto"/>
          <w:sz w:val="32"/>
          <w:szCs w:val="32"/>
        </w:rPr>
        <w:t>年新疆维吾尔自治区肿瘤防治研究所院所合一。</w:t>
      </w:r>
      <w:r>
        <w:rPr>
          <w:rFonts w:hint="default" w:ascii="Times New Roman" w:hAnsi="Times New Roman" w:eastAsia="仿宋_GB2312" w:cs="Times New Roman"/>
          <w:color w:val="auto"/>
          <w:sz w:val="32"/>
          <w:szCs w:val="32"/>
        </w:rPr>
        <w:t>2004</w:t>
      </w:r>
      <w:r>
        <w:rPr>
          <w:rFonts w:ascii="仿宋_GB2312" w:eastAsia="仿宋_GB2312"/>
          <w:color w:val="auto"/>
          <w:sz w:val="32"/>
          <w:szCs w:val="32"/>
        </w:rPr>
        <w:t>年批准为新疆医科大学第三临床医学院及新疆维吾尔自治区肿瘤防治中心。新疆医科大学附属肿瘤医院是自治区癌症中心，是中山大学肿瘤防治中心新疆中心，是中山大学孙逸仙纪念医院逸仙乳腺肿瘤医院新疆医院，是新疆唯一一所集医教研防于一体的三级甲等肿瘤专科医院。</w:t>
      </w:r>
    </w:p>
    <w:p w14:paraId="7DC0C094">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医院拥有人社部博士后科研工作站，国家级住院医师规范化培训基地（含</w:t>
      </w:r>
      <w:r>
        <w:rPr>
          <w:rFonts w:hint="default" w:ascii="Times New Roman" w:hAnsi="Times New Roman" w:eastAsia="仿宋_GB2312" w:cs="Times New Roman"/>
          <w:color w:val="auto"/>
          <w:sz w:val="32"/>
          <w:szCs w:val="32"/>
          <w:lang w:val="en-US" w:eastAsia="zh-CN"/>
        </w:rPr>
        <w:t>10</w:t>
      </w:r>
      <w:r>
        <w:rPr>
          <w:rFonts w:hint="eastAsia" w:ascii="仿宋_GB2312" w:eastAsia="仿宋_GB2312"/>
          <w:color w:val="auto"/>
          <w:sz w:val="32"/>
          <w:szCs w:val="32"/>
        </w:rPr>
        <w:t>个专业基地），教育部省部共建重点实验室，科技部新疆肿瘤学国际合作研究中心，新疆肿瘤学重点实验室</w:t>
      </w:r>
      <w:r>
        <w:rPr>
          <w:rFonts w:hint="eastAsia" w:ascii="仿宋_GB2312" w:eastAsia="仿宋_GB2312"/>
          <w:color w:val="auto"/>
          <w:sz w:val="32"/>
          <w:szCs w:val="32"/>
          <w:lang w:eastAsia="zh-CN"/>
        </w:rPr>
        <w:t>，</w:t>
      </w:r>
      <w:r>
        <w:rPr>
          <w:rFonts w:hint="eastAsia" w:ascii="仿宋_GB2312" w:eastAsia="仿宋_GB2312"/>
          <w:color w:val="auto"/>
          <w:sz w:val="32"/>
          <w:szCs w:val="32"/>
        </w:rPr>
        <w:t>中国医学科学院（院外）肿瘤免疫与放疗研究重点实验室，国家药物临床试验机构。</w:t>
      </w:r>
    </w:p>
    <w:p w14:paraId="7C8D08A8">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rPr>
        <w:t>医院拥有临床医学（肿瘤学）博士学位授权点</w:t>
      </w:r>
      <w:r>
        <w:rPr>
          <w:rFonts w:hint="eastAsia" w:ascii="仿宋_GB2312" w:eastAsia="仿宋_GB2312"/>
          <w:color w:val="auto"/>
          <w:sz w:val="32"/>
          <w:szCs w:val="32"/>
          <w:lang w:eastAsia="zh-CN"/>
        </w:rPr>
        <w:t>，</w:t>
      </w:r>
      <w:r>
        <w:rPr>
          <w:rFonts w:hint="eastAsia" w:ascii="仿宋_GB2312" w:eastAsia="仿宋_GB2312"/>
          <w:color w:val="auto"/>
          <w:sz w:val="32"/>
          <w:szCs w:val="32"/>
        </w:rPr>
        <w:t>肿瘤学硕士学位授权点，是自治区肿瘤学重点学科，承办麻醉学</w:t>
      </w:r>
      <w:r>
        <w:rPr>
          <w:rFonts w:hint="eastAsia" w:ascii="仿宋_GB2312" w:eastAsia="仿宋_GB2312"/>
          <w:color w:val="auto"/>
          <w:sz w:val="32"/>
          <w:szCs w:val="32"/>
          <w:lang w:eastAsia="zh-CN"/>
        </w:rPr>
        <w:t>、</w:t>
      </w:r>
      <w:r>
        <w:rPr>
          <w:rFonts w:hint="eastAsia" w:ascii="仿宋_GB2312" w:eastAsia="仿宋_GB2312"/>
          <w:color w:val="auto"/>
          <w:sz w:val="32"/>
          <w:szCs w:val="32"/>
        </w:rPr>
        <w:t>医学影像学</w:t>
      </w:r>
      <w:r>
        <w:rPr>
          <w:rFonts w:hint="eastAsia" w:ascii="仿宋_GB2312" w:eastAsia="仿宋_GB2312"/>
          <w:color w:val="auto"/>
          <w:sz w:val="32"/>
          <w:szCs w:val="32"/>
          <w:lang w:eastAsia="zh-CN"/>
        </w:rPr>
        <w:t>、</w:t>
      </w:r>
      <w:r>
        <w:rPr>
          <w:rFonts w:hint="eastAsia" w:ascii="仿宋_GB2312" w:eastAsia="仿宋_GB2312"/>
          <w:color w:val="auto"/>
          <w:sz w:val="32"/>
          <w:szCs w:val="32"/>
        </w:rPr>
        <w:t>医学检验技术</w:t>
      </w:r>
      <w:r>
        <w:rPr>
          <w:rFonts w:hint="eastAsia" w:ascii="仿宋_GB2312" w:eastAsia="仿宋_GB2312"/>
          <w:color w:val="auto"/>
          <w:sz w:val="32"/>
          <w:szCs w:val="32"/>
          <w:lang w:eastAsia="zh-CN"/>
        </w:rPr>
        <w:t>、</w:t>
      </w:r>
      <w:r>
        <w:rPr>
          <w:rFonts w:hint="eastAsia" w:ascii="仿宋_GB2312" w:eastAsia="仿宋_GB2312"/>
          <w:color w:val="auto"/>
          <w:sz w:val="32"/>
          <w:szCs w:val="32"/>
        </w:rPr>
        <w:t>医学影像技术等本科专业</w:t>
      </w:r>
      <w:r>
        <w:rPr>
          <w:rFonts w:hint="eastAsia" w:ascii="仿宋_GB2312" w:eastAsia="仿宋_GB2312"/>
          <w:color w:val="auto"/>
          <w:sz w:val="32"/>
          <w:szCs w:val="32"/>
          <w:lang w:eastAsia="zh-CN"/>
        </w:rPr>
        <w:t>。</w:t>
      </w:r>
      <w:r>
        <w:rPr>
          <w:rFonts w:hint="eastAsia" w:ascii="仿宋_GB2312" w:eastAsia="仿宋_GB2312"/>
          <w:color w:val="auto"/>
          <w:sz w:val="32"/>
          <w:szCs w:val="32"/>
        </w:rPr>
        <w:t>医学检验技术专业获批国家级一流本科专业建设点，麻醉学专业</w:t>
      </w:r>
      <w:r>
        <w:rPr>
          <w:rFonts w:hint="eastAsia" w:ascii="仿宋_GB2312" w:eastAsia="仿宋_GB2312"/>
          <w:color w:val="auto"/>
          <w:sz w:val="32"/>
          <w:szCs w:val="32"/>
          <w:lang w:eastAsia="zh-CN"/>
        </w:rPr>
        <w:t>、</w:t>
      </w:r>
      <w:r>
        <w:rPr>
          <w:rFonts w:hint="eastAsia" w:ascii="仿宋_GB2312" w:eastAsia="仿宋_GB2312"/>
          <w:color w:val="auto"/>
          <w:sz w:val="32"/>
          <w:szCs w:val="32"/>
        </w:rPr>
        <w:t>医学影像学专业获自治区级一流本科专业建设点。</w:t>
      </w:r>
    </w:p>
    <w:p w14:paraId="20751C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FBCC2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新疆医科大学附属肿瘤医院</w:t>
      </w:r>
      <w:r>
        <w:rPr>
          <w:rFonts w:hint="default" w:ascii="Times New Roman" w:hAnsi="Times New Roman" w:eastAsia="仿宋_GB2312" w:cs="Times New Roman"/>
          <w:color w:val="auto"/>
          <w:sz w:val="32"/>
          <w:szCs w:val="32"/>
          <w:highlight w:val="none"/>
          <w:lang w:eastAsia="zh-CN"/>
        </w:rPr>
        <w:t>2023</w:t>
      </w:r>
      <w:r>
        <w:rPr>
          <w:rFonts w:hint="eastAsia" w:ascii="仿宋_GB2312" w:eastAsia="仿宋_GB2312"/>
          <w:color w:val="auto"/>
          <w:sz w:val="32"/>
          <w:szCs w:val="32"/>
          <w:highlight w:val="none"/>
          <w:lang w:eastAsia="zh-CN"/>
        </w:rPr>
        <w:t>年度，</w:t>
      </w:r>
      <w:r>
        <w:rPr>
          <w:rFonts w:hint="eastAsia" w:ascii="仿宋_GB2312" w:eastAsia="仿宋_GB2312"/>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777</w:t>
      </w:r>
      <w:r>
        <w:rPr>
          <w:rFonts w:hint="eastAsia" w:ascii="仿宋_GB2312" w:eastAsia="仿宋_GB2312"/>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613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164</w:t>
      </w:r>
      <w:r>
        <w:rPr>
          <w:rFonts w:hint="eastAsia" w:ascii="仿宋_GB2312" w:eastAsia="仿宋_GB2312"/>
          <w:color w:val="auto"/>
          <w:sz w:val="32"/>
          <w:szCs w:val="32"/>
          <w:highlight w:val="none"/>
        </w:rPr>
        <w:t>人。</w:t>
      </w:r>
    </w:p>
    <w:p w14:paraId="39C0E6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pacing w:val="8"/>
          <w:sz w:val="32"/>
          <w:szCs w:val="32"/>
        </w:r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下设</w:t>
      </w:r>
      <w:r>
        <w:rPr>
          <w:rFonts w:hint="default" w:ascii="Times New Roman" w:hAnsi="Times New Roman" w:eastAsia="仿宋_GB2312" w:cs="Times New Roman"/>
          <w:color w:val="auto"/>
          <w:sz w:val="32"/>
          <w:szCs w:val="32"/>
          <w:highlight w:val="none"/>
          <w:lang w:val="en-US" w:eastAsia="zh-CN"/>
        </w:rPr>
        <w:t>89</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eastAsia="仿宋_GB2312"/>
          <w:color w:val="auto"/>
          <w:sz w:val="32"/>
          <w:szCs w:val="32"/>
        </w:rPr>
        <w:t>室，分别是：肺内科(一病区</w:t>
      </w:r>
      <w:r>
        <w:rPr>
          <w:rFonts w:hint="eastAsia" w:ascii="仿宋_GB2312" w:eastAsia="仿宋_GB2312"/>
          <w:color w:val="auto"/>
          <w:sz w:val="32"/>
          <w:szCs w:val="32"/>
          <w:lang w:eastAsia="zh-CN"/>
        </w:rPr>
        <w:t>）、</w:t>
      </w:r>
      <w:r>
        <w:rPr>
          <w:rFonts w:hint="eastAsia" w:ascii="仿宋_GB2312" w:eastAsia="仿宋_GB2312"/>
          <w:color w:val="auto"/>
          <w:sz w:val="32"/>
          <w:szCs w:val="32"/>
        </w:rPr>
        <w:t>肺内科(二病区)</w:t>
      </w:r>
      <w:r>
        <w:rPr>
          <w:rFonts w:hint="eastAsia" w:ascii="仿宋_GB2312" w:eastAsia="仿宋_GB2312"/>
          <w:color w:val="auto"/>
          <w:sz w:val="32"/>
          <w:szCs w:val="32"/>
          <w:lang w:eastAsia="zh-CN"/>
        </w:rPr>
        <w:t>、</w:t>
      </w:r>
      <w:r>
        <w:rPr>
          <w:rFonts w:hint="eastAsia" w:ascii="仿宋_GB2312" w:eastAsia="仿宋_GB2312"/>
          <w:color w:val="auto"/>
          <w:sz w:val="32"/>
          <w:szCs w:val="32"/>
        </w:rPr>
        <w:t>淋巴瘤内科</w:t>
      </w:r>
      <w:r>
        <w:rPr>
          <w:rFonts w:hint="eastAsia" w:ascii="仿宋_GB2312" w:eastAsia="仿宋_GB2312"/>
          <w:color w:val="auto"/>
          <w:sz w:val="32"/>
          <w:szCs w:val="32"/>
          <w:lang w:eastAsia="zh-CN"/>
        </w:rPr>
        <w:t>、</w:t>
      </w:r>
      <w:r>
        <w:rPr>
          <w:rFonts w:hint="eastAsia" w:ascii="仿宋_GB2312" w:eastAsia="仿宋_GB2312"/>
          <w:color w:val="auto"/>
          <w:sz w:val="32"/>
          <w:szCs w:val="32"/>
        </w:rPr>
        <w:t>消化内科、</w:t>
      </w:r>
      <w:r>
        <w:rPr>
          <w:rFonts w:hint="eastAsia" w:ascii="仿宋_GB2312" w:hAnsi="黑体" w:eastAsia="仿宋_GB2312" w:cs="宋体"/>
          <w:bCs/>
          <w:color w:val="auto"/>
          <w:kern w:val="0"/>
          <w:sz w:val="32"/>
          <w:szCs w:val="32"/>
          <w:highlight w:val="none"/>
        </w:rPr>
        <w:t>中医</w:t>
      </w:r>
      <w:r>
        <w:rPr>
          <w:rFonts w:hint="eastAsia" w:ascii="仿宋_GB2312" w:eastAsia="仿宋_GB2312"/>
          <w:color w:val="auto"/>
          <w:sz w:val="32"/>
          <w:szCs w:val="32"/>
        </w:rPr>
        <w:t>肿瘤科</w:t>
      </w:r>
      <w:r>
        <w:rPr>
          <w:rFonts w:hint="eastAsia" w:ascii="仿宋_GB2312" w:eastAsia="仿宋_GB2312"/>
          <w:color w:val="auto"/>
          <w:sz w:val="32"/>
          <w:szCs w:val="32"/>
          <w:lang w:eastAsia="zh-CN"/>
        </w:rPr>
        <w:t>、</w:t>
      </w:r>
      <w:r>
        <w:rPr>
          <w:rFonts w:hint="eastAsia" w:ascii="仿宋_GB2312" w:eastAsia="仿宋_GB2312"/>
          <w:color w:val="auto"/>
          <w:sz w:val="32"/>
          <w:szCs w:val="32"/>
        </w:rPr>
        <w:t>神经外科、乳腺内科、乳腺甲状腺外科、</w:t>
      </w:r>
      <w:r>
        <w:rPr>
          <w:rFonts w:hint="eastAsia" w:ascii="仿宋_GB2312" w:hAnsi="仿宋_GB2312" w:eastAsia="仿宋_GB2312" w:cs="仿宋_GB2312"/>
          <w:spacing w:val="8"/>
          <w:sz w:val="32"/>
          <w:szCs w:val="32"/>
        </w:rPr>
        <w:t>头颈外科、乳腺外科(一病区)、乳腺外科(二病区)、胸外科(一病区)、胸外科(二病区)、胃肠外科(一病区)、胃肠外科(二病区)、骨与软组织肿瘤及黑色素瘤科、肝胆胰外科(一病区)、肝胆胰外科(二病区)、泌尿科</w:t>
      </w:r>
      <w:r>
        <w:rPr>
          <w:rFonts w:hint="eastAsia" w:ascii="仿宋_GB2312" w:hAnsi="仿宋_GB2312" w:eastAsia="仿宋_GB2312" w:cs="仿宋_GB2312"/>
          <w:spacing w:val="9"/>
          <w:sz w:val="32"/>
          <w:szCs w:val="32"/>
        </w:rPr>
        <w:t>、妇外一科、妇外二科</w:t>
      </w:r>
      <w:r>
        <w:rPr>
          <w:rFonts w:hint="eastAsia" w:ascii="仿宋_GB2312" w:hAnsi="仿宋_GB2312" w:eastAsia="仿宋_GB2312" w:cs="仿宋_GB2312"/>
          <w:spacing w:val="9"/>
          <w:sz w:val="32"/>
          <w:szCs w:val="32"/>
          <w:lang w:eastAsia="zh-CN"/>
        </w:rPr>
        <w:t>、</w:t>
      </w:r>
      <w:r>
        <w:rPr>
          <w:rFonts w:hint="eastAsia" w:ascii="仿宋_GB2312" w:hAnsi="仿宋_GB2312" w:eastAsia="仿宋_GB2312" w:cs="仿宋_GB2312"/>
          <w:spacing w:val="9"/>
          <w:sz w:val="32"/>
          <w:szCs w:val="32"/>
        </w:rPr>
        <w:t>妇外三科、妇外四科、妇外五科</w:t>
      </w:r>
      <w:r>
        <w:rPr>
          <w:rFonts w:hint="eastAsia" w:ascii="仿宋_GB2312" w:hAnsi="仿宋_GB2312" w:eastAsia="仿宋_GB2312" w:cs="仿宋_GB2312"/>
          <w:spacing w:val="8"/>
          <w:sz w:val="32"/>
          <w:szCs w:val="32"/>
        </w:rPr>
        <w:t>、头颈综合放射治疗科、胸腹放射治疗科、乳腺放射治疗科、妇科放射治疗科</w:t>
      </w:r>
      <w:r>
        <w:rPr>
          <w:rFonts w:hint="eastAsia" w:ascii="仿宋_GB2312" w:hAnsi="仿宋_GB2312" w:eastAsia="仿宋_GB2312" w:cs="仿宋_GB2312"/>
          <w:spacing w:val="9"/>
          <w:sz w:val="32"/>
          <w:szCs w:val="32"/>
        </w:rPr>
        <w:t>(一病区)、妇科放射治疗科(二病区)、综合/特需科、呼吸神经内科、肿瘤心脏病科、介入诊疗科、急诊科、重症医学科(ICU)、姑息医学科、日间病房(一病区)、日间病房(二病区)、日间病房(三病区)</w:t>
      </w:r>
      <w:r>
        <w:rPr>
          <w:rFonts w:hint="eastAsia" w:ascii="仿宋_GB2312" w:hAnsi="仿宋_GB2312" w:eastAsia="仿宋_GB2312" w:cs="仿宋_GB2312"/>
          <w:spacing w:val="8"/>
          <w:sz w:val="32"/>
          <w:szCs w:val="32"/>
        </w:rPr>
        <w:t>、麻醉与围术期医学科、疼痛与康复治疗科、超声诊断中心、病理中心、影像诊断中心、核医学科、医学检验中心、输血科、内镜诊治中心、放射物理技术科、功能检查科、药学部、中心供应室、临床营养科、体检与健康管理中心、宁养院、感染管理科、心理医学科、综合科、文秘机要科、组织科、人事科、会计科、资产管理科、收费结算科、医务管理科、质量管理科、病案管理科</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门诊部</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公共卫生科</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护理部</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纪检监察室、审计科、运营管理科、医疗保险办公室、医学工程科、信息管理与大数据中心、后勤管理科</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保卫科、离退休管理办公室、基建科</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干部保健科、工会</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团委</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本科教育管理科</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科技管理科</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毕业后教育管理科、学生工作办公室</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肿瘤防治研究所中心实验室、药物临床试验机构办公室。</w:t>
      </w:r>
    </w:p>
    <w:p w14:paraId="7769AD81">
      <w:pPr>
        <w:ind w:firstLine="640" w:firstLineChars="200"/>
        <w:rPr>
          <w:rFonts w:hint="eastAsia" w:ascii="仿宋_GB2312" w:eastAsia="仿宋_GB2312"/>
          <w:color w:val="auto"/>
          <w:sz w:val="32"/>
          <w:szCs w:val="32"/>
        </w:rPr>
      </w:pPr>
    </w:p>
    <w:p w14:paraId="3ADB3D05">
      <w:pPr>
        <w:ind w:firstLine="640" w:firstLineChars="200"/>
        <w:rPr>
          <w:rFonts w:hint="eastAsia" w:ascii="仿宋_GB2312" w:eastAsia="仿宋_GB2312"/>
          <w:color w:val="auto"/>
          <w:sz w:val="32"/>
          <w:szCs w:val="32"/>
        </w:rPr>
        <w:sectPr>
          <w:footerReference r:id="rId3" w:type="default"/>
          <w:pgSz w:w="11906" w:h="16838"/>
          <w:pgMar w:top="1440" w:right="1800" w:bottom="1440" w:left="1800" w:header="851" w:footer="992" w:gutter="0"/>
          <w:cols w:space="720" w:num="1"/>
          <w:docGrid w:type="lines" w:linePitch="312" w:charSpace="0"/>
        </w:sectPr>
      </w:pPr>
    </w:p>
    <w:p w14:paraId="0A7663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A33BD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18DEF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242,700.58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239,898.10</w:t>
      </w:r>
      <w:r>
        <w:rPr>
          <w:rFonts w:hint="eastAsia" w:ascii="仿宋_GB2312" w:eastAsia="仿宋_GB2312"/>
          <w:color w:val="auto"/>
          <w:spacing w:val="0"/>
          <w:sz w:val="32"/>
          <w:szCs w:val="32"/>
          <w:highlight w:val="none"/>
          <w:lang w:eastAsia="zh-CN"/>
        </w:rPr>
        <w:t>万元，使用非财政拨款结余</w:t>
      </w:r>
      <w:r>
        <w:rPr>
          <w:rFonts w:hint="default" w:ascii="Times New Roman" w:hAnsi="Times New Roman" w:eastAsia="仿宋_GB2312" w:cs="Times New Roman"/>
          <w:color w:val="auto"/>
          <w:spacing w:val="0"/>
          <w:sz w:val="32"/>
          <w:szCs w:val="32"/>
          <w:highlight w:val="none"/>
          <w:lang w:eastAsia="zh-CN"/>
        </w:rPr>
        <w:t>0.00</w:t>
      </w:r>
      <w:r>
        <w:rPr>
          <w:rFonts w:hint="eastAsia" w:ascii="仿宋_GB2312" w:eastAsia="仿宋_GB2312"/>
          <w:color w:val="auto"/>
          <w:spacing w:val="0"/>
          <w:sz w:val="32"/>
          <w:szCs w:val="32"/>
          <w:highlight w:val="none"/>
          <w:lang w:eastAsia="zh-CN"/>
        </w:rPr>
        <w:t>万元，年初结转和结余</w:t>
      </w:r>
      <w:r>
        <w:rPr>
          <w:rFonts w:hint="default" w:ascii="Times New Roman" w:hAnsi="Times New Roman" w:eastAsia="仿宋_GB2312" w:cs="Times New Roman"/>
          <w:color w:val="auto"/>
          <w:spacing w:val="0"/>
          <w:sz w:val="32"/>
          <w:szCs w:val="32"/>
          <w:highlight w:val="none"/>
          <w:lang w:eastAsia="zh-CN"/>
        </w:rPr>
        <w:t>2,802.48</w:t>
      </w:r>
      <w:r>
        <w:rPr>
          <w:rFonts w:hint="eastAsia" w:ascii="仿宋_GB2312" w:eastAsia="仿宋_GB2312"/>
          <w:color w:val="auto"/>
          <w:spacing w:val="0"/>
          <w:sz w:val="32"/>
          <w:szCs w:val="32"/>
          <w:highlight w:val="none"/>
          <w:lang w:eastAsia="zh-CN"/>
        </w:rPr>
        <w:t>万元。</w:t>
      </w:r>
    </w:p>
    <w:p w14:paraId="34CE74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242,700.58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221,741.35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17,176.87</w:t>
      </w:r>
      <w:r>
        <w:rPr>
          <w:rFonts w:hint="eastAsia" w:ascii="仿宋_GB2312" w:eastAsia="仿宋_GB2312"/>
          <w:color w:val="auto"/>
          <w:spacing w:val="0"/>
          <w:sz w:val="32"/>
          <w:szCs w:val="32"/>
          <w:highlight w:val="none"/>
          <w:lang w:eastAsia="zh-CN"/>
        </w:rPr>
        <w:t>万元，年末结转和结余</w:t>
      </w:r>
      <w:r>
        <w:rPr>
          <w:rFonts w:hint="default" w:ascii="Times New Roman" w:hAnsi="Times New Roman" w:eastAsia="仿宋_GB2312" w:cs="Times New Roman"/>
          <w:color w:val="auto"/>
          <w:spacing w:val="0"/>
          <w:sz w:val="32"/>
          <w:szCs w:val="32"/>
          <w:highlight w:val="none"/>
          <w:lang w:eastAsia="zh-CN"/>
        </w:rPr>
        <w:t>3,782.35</w:t>
      </w:r>
      <w:r>
        <w:rPr>
          <w:rFonts w:hint="eastAsia" w:ascii="仿宋_GB2312" w:eastAsia="仿宋_GB2312"/>
          <w:color w:val="auto"/>
          <w:spacing w:val="0"/>
          <w:sz w:val="32"/>
          <w:szCs w:val="32"/>
          <w:highlight w:val="none"/>
          <w:lang w:eastAsia="zh-CN"/>
        </w:rPr>
        <w:t>万元。</w:t>
      </w:r>
    </w:p>
    <w:p w14:paraId="751079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12,983.95</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5.65%</w:t>
      </w:r>
      <w:r>
        <w:rPr>
          <w:rFonts w:hint="eastAsia" w:ascii="仿宋_GB2312" w:eastAsia="仿宋_GB2312"/>
          <w:color w:val="auto"/>
          <w:spacing w:val="0"/>
          <w:sz w:val="32"/>
          <w:szCs w:val="32"/>
          <w:highlight w:val="none"/>
          <w:lang w:eastAsia="zh-CN"/>
        </w:rPr>
        <w:t>，主要原因是：</w:t>
      </w:r>
      <w:r>
        <w:rPr>
          <w:rFonts w:hint="eastAsia" w:ascii="仿宋_GB2312" w:hAnsi="宋体" w:eastAsia="仿宋_GB2312" w:cs="宋体"/>
          <w:kern w:val="0"/>
          <w:sz w:val="32"/>
          <w:szCs w:val="32"/>
          <w:lang w:eastAsia="zh-CN"/>
        </w:rPr>
        <w:t>医疗服务需求增加</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医院</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eastAsia="zh-CN"/>
        </w:rPr>
        <w:t>及相应的</w:t>
      </w:r>
      <w:r>
        <w:rPr>
          <w:rFonts w:hint="eastAsia" w:ascii="仿宋_GB2312" w:hAnsi="宋体" w:eastAsia="仿宋_GB2312" w:cs="宋体"/>
          <w:kern w:val="0"/>
          <w:sz w:val="32"/>
          <w:szCs w:val="32"/>
        </w:rPr>
        <w:t>卫生材料支出、药品支出等支出</w:t>
      </w:r>
      <w:r>
        <w:rPr>
          <w:rFonts w:hint="eastAsia" w:ascii="仿宋_GB2312" w:hAnsi="宋体" w:eastAsia="仿宋_GB2312" w:cs="宋体"/>
          <w:kern w:val="0"/>
          <w:sz w:val="32"/>
          <w:szCs w:val="32"/>
          <w:lang w:eastAsia="zh-CN"/>
        </w:rPr>
        <w:t>随业务量增加而增加</w:t>
      </w:r>
      <w:r>
        <w:rPr>
          <w:rFonts w:hint="eastAsia" w:ascii="仿宋_GB2312" w:eastAsia="仿宋_GB2312"/>
          <w:color w:val="auto"/>
          <w:spacing w:val="0"/>
          <w:sz w:val="32"/>
          <w:szCs w:val="32"/>
          <w:highlight w:val="none"/>
          <w:lang w:eastAsia="zh-CN"/>
        </w:rPr>
        <w:t>。</w:t>
      </w:r>
    </w:p>
    <w:p w14:paraId="7702D2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A4C66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239,898.10</w:t>
      </w:r>
      <w:r>
        <w:rPr>
          <w:rFonts w:hint="eastAsia" w:ascii="仿宋_GB2312" w:eastAsia="仿宋_GB2312"/>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12,894.86</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5.38</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219,869.89</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91.65</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7,133.34</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2.97</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w:t>
      </w:r>
    </w:p>
    <w:p w14:paraId="5BDB80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C7B3E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w:t>
      </w:r>
      <w:r>
        <w:rPr>
          <w:rFonts w:hint="default" w:ascii="Times New Roman" w:hAnsi="Times New Roman" w:eastAsia="仿宋_GB2312" w:cs="Times New Roman"/>
          <w:color w:val="auto"/>
          <w:sz w:val="32"/>
          <w:szCs w:val="32"/>
          <w:highlight w:val="none"/>
          <w:lang w:val="zh-CN" w:eastAsia="zh-CN"/>
        </w:rPr>
        <w:t>221,741.35</w:t>
      </w:r>
      <w:r>
        <w:rPr>
          <w:rFonts w:hint="eastAsia" w:ascii="Times New Roman" w:hAnsi="Times New Roman" w:eastAsia="仿宋_GB2312" w:cs="仿宋_GB2312"/>
          <w:color w:val="auto"/>
          <w:sz w:val="32"/>
          <w:szCs w:val="32"/>
          <w:highlight w:val="none"/>
          <w:lang w:val="zh-CN" w:eastAsia="zh-CN"/>
        </w:rPr>
        <w:t>万元，其中：基本支出206,368.07万元，占93.07%；项目支出15,373.29万元，占6.93%；上缴上级支出0.00万元，占0.00%；经营支出0.00万元，占0.00%；对附属单位补助支出0.00万元，占0.00%。</w:t>
      </w:r>
    </w:p>
    <w:p w14:paraId="0C9A91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866C1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年度财政拨款收入</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12,894.86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12,894.86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12,894.86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471.21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12,423.65</w:t>
      </w:r>
      <w:r>
        <w:rPr>
          <w:rFonts w:hint="eastAsia" w:ascii="仿宋_GB2312" w:eastAsia="仿宋_GB2312"/>
          <w:color w:val="auto"/>
          <w:spacing w:val="0"/>
          <w:sz w:val="32"/>
          <w:szCs w:val="32"/>
          <w:highlight w:val="none"/>
          <w:lang w:eastAsia="zh-CN"/>
        </w:rPr>
        <w:t>万元。</w:t>
      </w:r>
    </w:p>
    <w:p w14:paraId="0D1105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FF0000"/>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w:t>
      </w:r>
      <w:r>
        <w:rPr>
          <w:rFonts w:hint="default" w:ascii="Times New Roman" w:hAnsi="Times New Roman" w:eastAsia="仿宋_GB2312" w:cs="Times New Roman"/>
          <w:color w:val="auto"/>
          <w:spacing w:val="0"/>
          <w:sz w:val="32"/>
          <w:szCs w:val="32"/>
          <w:highlight w:val="none"/>
          <w:lang w:val="zh-CN" w:eastAsia="zh-CN"/>
        </w:rPr>
        <w:t>6,669.75</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w:t>
      </w:r>
      <w:r>
        <w:rPr>
          <w:rFonts w:hint="default" w:ascii="Times New Roman" w:hAnsi="Times New Roman" w:eastAsia="仿宋_GB2312" w:cs="Times New Roman"/>
          <w:color w:val="auto"/>
          <w:spacing w:val="0"/>
          <w:sz w:val="32"/>
          <w:szCs w:val="32"/>
          <w:highlight w:val="none"/>
          <w:lang w:val="zh-CN" w:eastAsia="zh-CN"/>
        </w:rPr>
        <w:t>34.09%</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年医院财政拨款项目</w:t>
      </w:r>
      <w:r>
        <w:rPr>
          <w:rFonts w:hint="eastAsia" w:ascii="仿宋_GB2312" w:eastAsia="仿宋_GB2312"/>
          <w:color w:val="auto"/>
          <w:sz w:val="32"/>
          <w:szCs w:val="32"/>
        </w:rPr>
        <w:t>地方政府专项债券</w:t>
      </w:r>
      <w:r>
        <w:rPr>
          <w:rFonts w:hint="eastAsia" w:ascii="仿宋_GB2312" w:eastAsia="仿宋_GB2312"/>
          <w:color w:val="auto"/>
          <w:sz w:val="32"/>
          <w:szCs w:val="32"/>
          <w:lang w:eastAsia="zh-CN"/>
        </w:rPr>
        <w:t>资金较上年减少</w:t>
      </w:r>
      <w:r>
        <w:rPr>
          <w:rFonts w:hint="eastAsia" w:ascii="仿宋_GB2312" w:eastAsia="仿宋_GB2312"/>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5,068.15</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12,894.86</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eastAsia="zh-CN"/>
        </w:rPr>
        <w:t>154.43%</w:t>
      </w:r>
      <w:r>
        <w:rPr>
          <w:rFonts w:hint="eastAsia" w:ascii="仿宋_GB2312" w:eastAsia="仿宋_GB2312"/>
          <w:color w:val="auto"/>
          <w:spacing w:val="0"/>
          <w:sz w:val="32"/>
          <w:szCs w:val="32"/>
          <w:highlight w:val="none"/>
          <w:lang w:eastAsia="zh-CN"/>
        </w:rPr>
        <w:t>，主要原因是：一是</w:t>
      </w:r>
      <w:r>
        <w:rPr>
          <w:rFonts w:hint="eastAsia" w:eastAsia="仿宋_GB2312" w:cs="Times New Roman"/>
          <w:color w:val="auto"/>
          <w:kern w:val="2"/>
          <w:sz w:val="32"/>
          <w:szCs w:val="32"/>
          <w:highlight w:val="none"/>
          <w:lang w:val="en-US" w:eastAsia="zh-CN" w:bidi="ar-SA"/>
        </w:rPr>
        <w:t>新增下达中央医疗服务与保障能力提升（卫生健康人才培养）补助资金等项目资金；</w:t>
      </w:r>
      <w:r>
        <w:rPr>
          <w:rFonts w:hint="eastAsia" w:eastAsia="仿宋_GB2312" w:cs="Times New Roman"/>
          <w:color w:val="auto"/>
          <w:kern w:val="2"/>
          <w:sz w:val="32"/>
          <w:szCs w:val="32"/>
          <w:highlight w:val="none"/>
          <w:lang w:val="zh-CN" w:eastAsia="zh-CN" w:bidi="ar-SA"/>
        </w:rPr>
        <w:t>二是</w:t>
      </w:r>
      <w:r>
        <w:rPr>
          <w:rFonts w:hint="eastAsia" w:ascii="仿宋_GB2312" w:eastAsia="仿宋_GB2312"/>
          <w:color w:val="auto"/>
          <w:spacing w:val="0"/>
          <w:sz w:val="32"/>
          <w:szCs w:val="32"/>
          <w:highlight w:val="none"/>
          <w:lang w:eastAsia="zh-CN"/>
        </w:rPr>
        <w:t>新疆人才发展基金重大人才计划等项目拨款额度增加。</w:t>
      </w:r>
    </w:p>
    <w:p w14:paraId="67CCD0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107B38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051C0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年度一般公共预算财政拨款支出</w:t>
      </w:r>
      <w:r>
        <w:rPr>
          <w:rFonts w:hint="default" w:ascii="Times New Roman" w:hAnsi="Times New Roman" w:eastAsia="仿宋_GB2312" w:cs="Times New Roman"/>
          <w:color w:val="auto"/>
          <w:spacing w:val="0"/>
          <w:sz w:val="32"/>
          <w:szCs w:val="32"/>
          <w:highlight w:val="none"/>
          <w:lang w:eastAsia="zh-CN"/>
        </w:rPr>
        <w:t>9,423.65</w:t>
      </w:r>
      <w:r>
        <w:rPr>
          <w:rFonts w:hint="eastAsia" w:ascii="仿宋_GB2312" w:eastAsia="仿宋_GB2312"/>
          <w:color w:val="auto"/>
          <w:spacing w:val="0"/>
          <w:sz w:val="32"/>
          <w:szCs w:val="32"/>
          <w:highlight w:val="none"/>
          <w:lang w:eastAsia="zh-CN"/>
        </w:rPr>
        <w:t>万元，占本年支出合计的</w:t>
      </w:r>
      <w:r>
        <w:rPr>
          <w:rFonts w:hint="default" w:ascii="Times New Roman" w:hAnsi="Times New Roman" w:eastAsia="仿宋_GB2312" w:cs="Times New Roman"/>
          <w:color w:val="auto"/>
          <w:spacing w:val="0"/>
          <w:sz w:val="32"/>
          <w:szCs w:val="32"/>
          <w:highlight w:val="none"/>
          <w:lang w:val="zh-CN" w:eastAsia="zh-CN"/>
        </w:rPr>
        <w:t>4.25%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4,859.04</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106.45%</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年增加新疆人才发展基金重大人才计划等项目资金。与年初预算相比，年初预算数</w:t>
      </w:r>
      <w:r>
        <w:rPr>
          <w:rFonts w:hint="default" w:ascii="Times New Roman" w:hAnsi="Times New Roman" w:eastAsia="仿宋_GB2312" w:cs="Times New Roman"/>
          <w:color w:val="auto"/>
          <w:spacing w:val="0"/>
          <w:sz w:val="32"/>
          <w:szCs w:val="32"/>
          <w:highlight w:val="none"/>
          <w:lang w:val="zh-CN" w:eastAsia="zh-CN"/>
        </w:rPr>
        <w:t>5,068.15</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9,423.65</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85.94%</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仿宋_GB2312" w:cs="Times New Roman"/>
          <w:color w:val="auto"/>
          <w:sz w:val="32"/>
          <w:szCs w:val="32"/>
          <w:lang w:val="en-US" w:eastAsia="zh-CN"/>
        </w:rPr>
        <w:t>2023</w:t>
      </w:r>
      <w:r>
        <w:rPr>
          <w:rFonts w:hint="eastAsia" w:ascii="仿宋_GB2312" w:eastAsia="仿宋_GB2312"/>
          <w:color w:val="auto"/>
          <w:sz w:val="32"/>
          <w:szCs w:val="32"/>
          <w:lang w:val="en-US" w:eastAsia="zh-CN"/>
        </w:rPr>
        <w:t>年年中下达中央医疗服务与保障能力提升（卫生健康人才培养）补助资金（第二批）等项目资金</w:t>
      </w:r>
      <w:r>
        <w:rPr>
          <w:rFonts w:hint="eastAsia" w:ascii="仿宋_GB2312" w:eastAsia="仿宋_GB2312"/>
          <w:color w:val="auto"/>
          <w:spacing w:val="0"/>
          <w:sz w:val="32"/>
          <w:szCs w:val="32"/>
          <w:highlight w:val="none"/>
          <w:lang w:eastAsia="zh-CN"/>
        </w:rPr>
        <w:t>。</w:t>
      </w:r>
    </w:p>
    <w:p w14:paraId="56434545">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43269C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default" w:ascii="Times New Roman" w:hAnsi="Times New Roman" w:eastAsia="仿宋_GB2312" w:cs="Times New Roman"/>
          <w:color w:val="auto"/>
          <w:spacing w:val="0"/>
          <w:kern w:val="2"/>
          <w:sz w:val="32"/>
          <w:szCs w:val="32"/>
          <w:highlight w:val="none"/>
          <w:lang w:val="zh-CN" w:eastAsia="zh-CN" w:bidi="ar-SA"/>
        </w:rPr>
        <w:t>248.79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2.64</w:t>
      </w:r>
      <w:r>
        <w:rPr>
          <w:rFonts w:hint="default" w:ascii="Times New Roman" w:hAnsi="Times New Roman" w:eastAsia="仿宋_GB2312" w:cs="Times New Roman"/>
          <w:color w:val="auto"/>
          <w:spacing w:val="0"/>
          <w:kern w:val="2"/>
          <w:sz w:val="32"/>
          <w:szCs w:val="32"/>
          <w:highlight w:val="none"/>
          <w:lang w:val="en-US" w:eastAsia="zh-CN" w:bidi="ar-SA"/>
        </w:rPr>
        <w:t>%</w:t>
      </w:r>
      <w:r>
        <w:rPr>
          <w:rFonts w:hint="default" w:ascii="仿宋_GB2312" w:hAnsi="Times New Roman" w:eastAsia="仿宋_GB2312" w:cs="Times New Roman"/>
          <w:color w:val="auto"/>
          <w:spacing w:val="0"/>
          <w:kern w:val="2"/>
          <w:sz w:val="32"/>
          <w:szCs w:val="32"/>
          <w:highlight w:val="none"/>
          <w:lang w:val="en-US" w:eastAsia="zh-CN" w:bidi="ar-SA"/>
        </w:rPr>
        <w:t>；</w:t>
      </w:r>
    </w:p>
    <w:p w14:paraId="6406EF0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default" w:ascii="Times New Roman" w:hAnsi="Times New Roman" w:eastAsia="仿宋_GB2312" w:cs="Times New Roman"/>
          <w:color w:val="auto"/>
          <w:spacing w:val="0"/>
          <w:kern w:val="2"/>
          <w:sz w:val="32"/>
          <w:szCs w:val="32"/>
          <w:highlight w:val="none"/>
          <w:lang w:val="zh-CN" w:eastAsia="zh-CN" w:bidi="ar-SA"/>
        </w:rPr>
        <w:t>9,174.86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97.36%</w:t>
      </w:r>
      <w:r>
        <w:rPr>
          <w:rFonts w:hint="default" w:ascii="仿宋_GB2312" w:hAnsi="Times New Roman" w:eastAsia="仿宋_GB2312" w:cs="Times New Roman"/>
          <w:color w:val="auto"/>
          <w:spacing w:val="0"/>
          <w:kern w:val="2"/>
          <w:sz w:val="32"/>
          <w:szCs w:val="32"/>
          <w:highlight w:val="none"/>
          <w:lang w:val="zh-CN" w:eastAsia="zh-CN" w:bidi="ar-SA"/>
        </w:rPr>
        <w:t>；</w:t>
      </w:r>
    </w:p>
    <w:p w14:paraId="60EE63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CA6E7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1.卫生健康支出（类）卫生健康管理事务（款）其他卫生健康管理事务支出（项）:支出决算数为50.67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本年新增下达中央医疗服务与保障能力提升（卫生健康人才培养）补助资金等项目资金</w:t>
      </w:r>
      <w:r>
        <w:rPr>
          <w:rFonts w:hint="eastAsia" w:eastAsia="仿宋_GB2312" w:cs="Times New Roman"/>
          <w:color w:val="auto"/>
          <w:kern w:val="2"/>
          <w:sz w:val="32"/>
          <w:szCs w:val="32"/>
          <w:highlight w:val="none"/>
          <w:lang w:val="zh-CN" w:eastAsia="zh-CN" w:bidi="ar-SA"/>
        </w:rPr>
        <w:t>。</w:t>
      </w:r>
    </w:p>
    <w:p w14:paraId="047D38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2.卫生健康支出（类）公立医院（款）其他公立医院支出（项）:支出决算数为1,789.11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1,629.37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1020.0</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本年自治区医疗服务与保障能力提升（公立医院综合改革）补助资金拨款额度较上年增加</w:t>
      </w:r>
      <w:r>
        <w:rPr>
          <w:rFonts w:hint="eastAsia" w:eastAsia="仿宋_GB2312" w:cs="Times New Roman"/>
          <w:color w:val="auto"/>
          <w:kern w:val="2"/>
          <w:sz w:val="32"/>
          <w:szCs w:val="32"/>
          <w:highlight w:val="none"/>
          <w:lang w:val="zh-CN" w:eastAsia="zh-CN" w:bidi="ar-SA"/>
        </w:rPr>
        <w:t>。</w:t>
      </w:r>
    </w:p>
    <w:p w14:paraId="226962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3.卫生健康支出（类）公共卫生（款）突发公共卫生事件应急处理（项）:支出决算数为2,758.18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2,758.18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本年新增下达疫情防控补助资金等项目资金</w:t>
      </w:r>
      <w:r>
        <w:rPr>
          <w:rFonts w:hint="eastAsia" w:eastAsia="仿宋_GB2312" w:cs="Times New Roman"/>
          <w:color w:val="auto"/>
          <w:kern w:val="2"/>
          <w:sz w:val="32"/>
          <w:szCs w:val="32"/>
          <w:highlight w:val="none"/>
          <w:lang w:val="zh-CN" w:eastAsia="zh-CN" w:bidi="ar-SA"/>
        </w:rPr>
        <w:t>。</w:t>
      </w:r>
    </w:p>
    <w:p w14:paraId="0EDEF6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4.卫生健康支出（类）公共卫生（款）其他公共卫生支出（项）:支出决算数为767.54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640.31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503.2</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w:t>
      </w:r>
      <w:r>
        <w:rPr>
          <w:rFonts w:hint="eastAsia" w:ascii="Times New Roman" w:hAnsi="Times New Roman" w:eastAsia="仿宋_GB2312" w:cs="Times New Roman"/>
          <w:color w:val="auto"/>
          <w:kern w:val="2"/>
          <w:sz w:val="32"/>
          <w:szCs w:val="32"/>
          <w:highlight w:val="none"/>
          <w:lang w:val="zh-CN" w:eastAsia="zh-CN" w:bidi="ar-SA"/>
        </w:rPr>
        <w:t>中央财政医疗服务与保障能力提升（医疗机构能力建设、卫生健康人才培养）补助资金</w:t>
      </w:r>
      <w:r>
        <w:rPr>
          <w:rFonts w:hint="eastAsia" w:eastAsia="仿宋_GB2312" w:cs="Times New Roman"/>
          <w:color w:val="auto"/>
          <w:kern w:val="2"/>
          <w:sz w:val="32"/>
          <w:szCs w:val="32"/>
          <w:highlight w:val="none"/>
          <w:lang w:val="zh-CN" w:eastAsia="zh-CN" w:bidi="ar-SA"/>
        </w:rPr>
        <w:t>项目拨款额度较上年增加。</w:t>
      </w:r>
    </w:p>
    <w:p w14:paraId="7C0764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5.卫生健康支出（类）公共卫生（款）应急救治机构（项）:支出决算数为440.00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440.00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本年新增下达新型冠状病毒感染疫情应急救治能力提升项目资金</w:t>
      </w:r>
      <w:r>
        <w:rPr>
          <w:rFonts w:hint="eastAsia" w:eastAsia="仿宋_GB2312" w:cs="Times New Roman"/>
          <w:color w:val="auto"/>
          <w:kern w:val="2"/>
          <w:sz w:val="32"/>
          <w:szCs w:val="32"/>
          <w:highlight w:val="none"/>
          <w:lang w:val="zh-CN" w:eastAsia="zh-CN" w:bidi="ar-SA"/>
        </w:rPr>
        <w:t>。</w:t>
      </w:r>
    </w:p>
    <w:p w14:paraId="26B018F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6.卫生健康支出（类）公立医院（款）其他专科医院（项）:支出决算数为3,244.99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1,011.19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23.76%，主要原因是：</w:t>
      </w:r>
      <w:r>
        <w:rPr>
          <w:rFonts w:hint="eastAsia" w:eastAsia="仿宋_GB2312" w:cs="Times New Roman"/>
          <w:color w:val="auto"/>
          <w:kern w:val="2"/>
          <w:sz w:val="32"/>
          <w:szCs w:val="32"/>
          <w:highlight w:val="none"/>
          <w:lang w:val="en-US" w:eastAsia="zh-CN" w:bidi="ar-SA"/>
        </w:rPr>
        <w:t>一是</w:t>
      </w: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基本工资财政拨款额度减少</w:t>
      </w:r>
      <w:r>
        <w:rPr>
          <w:rFonts w:hint="eastAsia" w:eastAsia="仿宋_GB2312" w:cs="Times New Roman"/>
          <w:color w:val="auto"/>
          <w:kern w:val="2"/>
          <w:sz w:val="32"/>
          <w:szCs w:val="32"/>
          <w:highlight w:val="none"/>
          <w:lang w:val="zh-CN" w:eastAsia="zh-CN" w:bidi="ar-SA"/>
        </w:rPr>
        <w:t>；二是</w:t>
      </w:r>
      <w:r>
        <w:rPr>
          <w:rFonts w:hint="eastAsia" w:eastAsia="仿宋_GB2312" w:cs="Times New Roman"/>
          <w:color w:val="auto"/>
          <w:kern w:val="2"/>
          <w:sz w:val="32"/>
          <w:szCs w:val="32"/>
          <w:highlight w:val="none"/>
          <w:lang w:val="en-US" w:eastAsia="zh-CN" w:bidi="ar-SA"/>
        </w:rPr>
        <w:t>2023年公立医院综合改革补助资金拨款额度减少</w:t>
      </w:r>
      <w:r>
        <w:rPr>
          <w:rFonts w:hint="eastAsia" w:eastAsia="仿宋_GB2312" w:cs="Times New Roman"/>
          <w:color w:val="auto"/>
          <w:kern w:val="2"/>
          <w:sz w:val="32"/>
          <w:szCs w:val="32"/>
          <w:highlight w:val="none"/>
          <w:lang w:val="zh-CN" w:eastAsia="zh-CN" w:bidi="ar-SA"/>
        </w:rPr>
        <w:t>。</w:t>
      </w:r>
    </w:p>
    <w:p w14:paraId="6454E9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7.卫生健康支出（类）公共卫生（款）基本公共卫生服务（项）:支出决算数为2.00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本年新增下达</w:t>
      </w:r>
      <w:r>
        <w:rPr>
          <w:rFonts w:hint="eastAsia" w:ascii="Times New Roman" w:hAnsi="Times New Roman" w:eastAsia="仿宋_GB2312" w:cs="Times New Roman"/>
          <w:color w:val="auto"/>
          <w:kern w:val="2"/>
          <w:sz w:val="32"/>
          <w:szCs w:val="32"/>
          <w:highlight w:val="none"/>
          <w:lang w:val="en-US" w:eastAsia="zh-CN" w:bidi="ar-SA"/>
        </w:rPr>
        <w:t>基本公共卫生服务补助资金</w:t>
      </w:r>
      <w:r>
        <w:rPr>
          <w:rFonts w:hint="eastAsia" w:eastAsia="仿宋_GB2312" w:cs="Times New Roman"/>
          <w:color w:val="auto"/>
          <w:kern w:val="2"/>
          <w:sz w:val="32"/>
          <w:szCs w:val="32"/>
          <w:highlight w:val="none"/>
          <w:lang w:val="en-US" w:eastAsia="zh-CN" w:bidi="ar-SA"/>
        </w:rPr>
        <w:t>项目资金用于职业病防护</w:t>
      </w:r>
      <w:r>
        <w:rPr>
          <w:rFonts w:hint="eastAsia" w:eastAsia="仿宋_GB2312" w:cs="Times New Roman"/>
          <w:color w:val="auto"/>
          <w:kern w:val="2"/>
          <w:sz w:val="32"/>
          <w:szCs w:val="32"/>
          <w:highlight w:val="none"/>
          <w:lang w:val="zh-CN" w:eastAsia="zh-CN" w:bidi="ar-SA"/>
        </w:rPr>
        <w:t>。</w:t>
      </w:r>
    </w:p>
    <w:p w14:paraId="5C06A5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8.卫生健康支出（类）公共卫生（款）重大公共卫生服务（项）:支出决算数为122.37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470.</w:t>
      </w:r>
      <w:r>
        <w:rPr>
          <w:rFonts w:hint="eastAsia" w:eastAsia="仿宋_GB2312" w:cs="Times New Roman"/>
          <w:color w:val="auto"/>
          <w:kern w:val="2"/>
          <w:sz w:val="32"/>
          <w:szCs w:val="32"/>
          <w:highlight w:val="none"/>
          <w:lang w:val="en-US" w:eastAsia="zh-CN" w:bidi="ar-SA"/>
        </w:rPr>
        <w:t>22</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w:t>
      </w:r>
      <w:r>
        <w:rPr>
          <w:rFonts w:hint="eastAsia" w:ascii="Times New Roman" w:hAnsi="Times New Roman" w:eastAsia="仿宋_GB2312" w:cs="Times New Roman"/>
          <w:color w:val="auto"/>
          <w:kern w:val="2"/>
          <w:sz w:val="32"/>
          <w:szCs w:val="32"/>
          <w:highlight w:val="none"/>
          <w:lang w:val="zh-CN" w:eastAsia="zh-CN" w:bidi="ar-SA"/>
        </w:rPr>
        <w:t>中央重大传染病防控经费</w:t>
      </w:r>
      <w:r>
        <w:rPr>
          <w:rFonts w:hint="eastAsia" w:eastAsia="仿宋_GB2312" w:cs="Times New Roman"/>
          <w:color w:val="auto"/>
          <w:kern w:val="2"/>
          <w:sz w:val="32"/>
          <w:szCs w:val="32"/>
          <w:highlight w:val="none"/>
          <w:lang w:val="zh-CN" w:eastAsia="zh-CN" w:bidi="ar-SA"/>
        </w:rPr>
        <w:t>拨款额度增加。</w:t>
      </w:r>
    </w:p>
    <w:p w14:paraId="7B1B05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9.科学技术支出（类）基础研究（款）专项基础科研（项）:支出决算数为248.79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248.79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本年新增下达新疆人才发展基金</w:t>
      </w:r>
      <w:r>
        <w:rPr>
          <w:rFonts w:hint="eastAsia" w:ascii="Times New Roman" w:hAnsi="Times New Roman" w:eastAsia="仿宋_GB2312" w:cs="Times New Roman"/>
          <w:color w:val="auto"/>
          <w:kern w:val="2"/>
          <w:sz w:val="32"/>
          <w:szCs w:val="32"/>
          <w:highlight w:val="none"/>
          <w:lang w:val="zh-CN" w:eastAsia="zh-CN" w:bidi="ar-SA"/>
        </w:rPr>
        <w:t>重大人才计划项目</w:t>
      </w:r>
      <w:r>
        <w:rPr>
          <w:rFonts w:hint="eastAsia" w:eastAsia="仿宋_GB2312" w:cs="Times New Roman"/>
          <w:color w:val="auto"/>
          <w:kern w:val="2"/>
          <w:sz w:val="32"/>
          <w:szCs w:val="32"/>
          <w:highlight w:val="none"/>
          <w:lang w:val="zh-CN" w:eastAsia="zh-CN" w:bidi="ar-SA"/>
        </w:rPr>
        <w:t>资金。</w:t>
      </w:r>
    </w:p>
    <w:p w14:paraId="61377C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A02B7B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2,787.00</w:t>
      </w:r>
      <w:r>
        <w:rPr>
          <w:rFonts w:hint="eastAsia" w:ascii="仿宋_GB2312" w:eastAsia="仿宋_GB2312"/>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2,787.00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w:t>
      </w:r>
    </w:p>
    <w:p w14:paraId="79E9DDA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0.00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eastAsia="zh-CN"/>
        </w:rPr>
        <w:t>无公用经费。</w:t>
      </w:r>
    </w:p>
    <w:p w14:paraId="367505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B991BB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z w:val="32"/>
          <w:szCs w:val="32"/>
          <w:highlight w:val="none"/>
          <w:lang w:val="zh-CN" w:eastAsia="zh-CN"/>
        </w:rPr>
        <w:t>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我单位无财政拨款“三公”经费</w:t>
      </w:r>
      <w:r>
        <w:rPr>
          <w:rFonts w:hint="eastAsia" w:ascii="仿宋_GB2312" w:eastAsia="仿宋_GB2312"/>
          <w:color w:val="auto"/>
          <w:sz w:val="32"/>
          <w:szCs w:val="32"/>
          <w:highlight w:val="none"/>
          <w:lang w:val="zh-CN" w:eastAsia="zh-CN"/>
        </w:rPr>
        <w:t>。其中：因公出国（境）费支出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因公出国（境）费；公务用车购置及运行维护费支出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公务用车购置及运行维护费；公务接待费支出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公务接待费。</w:t>
      </w:r>
    </w:p>
    <w:p w14:paraId="320E9D4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5678D2A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因公出国（境）费。单位全年安排的因公出国（境）团组</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个，因公出国（境）</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7DCEF3C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万元，其中：公务用车购置费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万元。公务用车运行维护费开支内容包括</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公务用车运行维护费。公务用车购置数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12</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default" w:ascii="Times New Roman" w:hAnsi="Times New Roman" w:eastAsia="仿宋_GB2312" w:cs="Times New Roman"/>
          <w:color w:val="auto"/>
          <w:sz w:val="32"/>
          <w:szCs w:val="32"/>
          <w:highlight w:val="none"/>
          <w:lang w:val="zh-CN"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val="zh-CN" w:eastAsia="zh-CN"/>
        </w:rPr>
        <w:t>为差额拨款事业单位，一般公共预算财政安排的基本支出仅包含人员经费，不含为保障机构正常运转的公用经费支出，公务用车购置及运行维护</w:t>
      </w:r>
      <w:r>
        <w:rPr>
          <w:rFonts w:hint="default" w:ascii="Times New Roman" w:hAnsi="Times New Roman" w:eastAsia="仿宋_GB2312" w:cs="Times New Roman"/>
          <w:color w:val="auto"/>
          <w:sz w:val="32"/>
          <w:szCs w:val="32"/>
          <w:highlight w:val="none"/>
          <w:lang w:val="en-US" w:eastAsia="zh-CN"/>
        </w:rPr>
        <w:t>费</w:t>
      </w:r>
      <w:r>
        <w:rPr>
          <w:rFonts w:hint="eastAsia" w:ascii="Times New Roman" w:hAnsi="Times New Roman" w:eastAsia="仿宋_GB2312" w:cs="Times New Roman"/>
          <w:color w:val="auto"/>
          <w:sz w:val="32"/>
          <w:szCs w:val="32"/>
          <w:highlight w:val="none"/>
          <w:lang w:val="en-US" w:eastAsia="zh-CN"/>
        </w:rPr>
        <w:t>由</w:t>
      </w:r>
      <w:r>
        <w:rPr>
          <w:rFonts w:hint="eastAsia" w:eastAsia="仿宋_GB2312" w:cs="Times New Roman"/>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lang w:val="en-US" w:eastAsia="zh-CN"/>
        </w:rPr>
        <w:t>自行承担</w:t>
      </w:r>
      <w:r>
        <w:rPr>
          <w:rFonts w:hint="default" w:ascii="Times New Roman" w:hAnsi="Times New Roman" w:eastAsia="仿宋_GB2312" w:cs="Times New Roman"/>
          <w:color w:val="auto"/>
          <w:sz w:val="32"/>
          <w:szCs w:val="32"/>
          <w:highlight w:val="none"/>
          <w:lang w:val="zh-CN" w:eastAsia="zh-CN"/>
        </w:rPr>
        <w:t>。</w:t>
      </w:r>
    </w:p>
    <w:p w14:paraId="70B70D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公务接待费。单位全年安排的国内公务接待</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批次，</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7CC06CF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rPr>
        <w:t>我单位无财政拨款“三公”经费</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color w:val="auto"/>
          <w:sz w:val="32"/>
          <w:szCs w:val="32"/>
        </w:rPr>
        <w:t>我单位无</w:t>
      </w:r>
      <w:r>
        <w:rPr>
          <w:rFonts w:hint="eastAsia" w:ascii="仿宋_GB2312" w:eastAsia="仿宋_GB2312"/>
          <w:color w:val="auto"/>
          <w:sz w:val="32"/>
          <w:szCs w:val="32"/>
          <w:highlight w:val="none"/>
          <w:lang w:val="zh-CN" w:eastAsia="zh-CN"/>
        </w:rPr>
        <w:t>公务接待费。</w:t>
      </w:r>
    </w:p>
    <w:p w14:paraId="1FC7C4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73885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总计3,000.00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本年收入3,000.00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总计3,000.00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本年支出3,000.00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14:paraId="13AF7AD4">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与上年相比，减少12,000.00万元</w:t>
      </w:r>
      <w:r>
        <w:rPr>
          <w:rFonts w:hint="eastAsia"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rPr>
        <w:t>下降80.00%，</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ascii="仿宋_GB2312" w:eastAsia="仿宋_GB2312"/>
          <w:color w:val="auto"/>
          <w:sz w:val="32"/>
          <w:szCs w:val="32"/>
        </w:rPr>
        <w:t>年</w:t>
      </w:r>
      <w:r>
        <w:rPr>
          <w:rFonts w:hint="eastAsia" w:ascii="仿宋_GB2312" w:eastAsia="仿宋_GB2312"/>
          <w:color w:val="auto"/>
          <w:sz w:val="32"/>
          <w:szCs w:val="32"/>
          <w:lang w:eastAsia="zh-CN"/>
        </w:rPr>
        <w:t>政府性基金预算财政拨款项目</w:t>
      </w:r>
      <w:r>
        <w:rPr>
          <w:rFonts w:ascii="仿宋_GB2312" w:eastAsia="仿宋_GB2312"/>
          <w:color w:val="auto"/>
          <w:sz w:val="32"/>
          <w:szCs w:val="32"/>
        </w:rPr>
        <w:t>地方政府专项</w:t>
      </w:r>
      <w:r>
        <w:rPr>
          <w:rFonts w:hint="eastAsia" w:ascii="仿宋_GB2312" w:eastAsia="仿宋_GB2312"/>
          <w:color w:val="auto"/>
          <w:sz w:val="32"/>
          <w:szCs w:val="32"/>
          <w:lang w:eastAsia="zh-CN"/>
        </w:rPr>
        <w:t>债券资金</w:t>
      </w:r>
      <w:r>
        <w:rPr>
          <w:rFonts w:hint="eastAsia" w:ascii="仿宋_GB2312" w:eastAsia="仿宋_GB2312"/>
          <w:color w:val="auto"/>
          <w:sz w:val="32"/>
          <w:szCs w:val="32"/>
          <w:lang w:val="en-US" w:eastAsia="zh-CN"/>
        </w:rPr>
        <w:t>较上年减少</w:t>
      </w:r>
      <w:r>
        <w:rPr>
          <w:rFonts w:hint="default" w:ascii="Times New Roman" w:hAnsi="Times New Roman" w:eastAsia="仿宋_GB2312" w:cs="Times New Roman"/>
          <w:color w:val="auto"/>
          <w:sz w:val="32"/>
          <w:szCs w:val="32"/>
          <w:lang w:val="en-US" w:eastAsia="zh-CN"/>
        </w:rPr>
        <w:t>12,000.00</w:t>
      </w:r>
      <w:r>
        <w:rPr>
          <w:rFonts w:hint="eastAsia" w:ascii="仿宋_GB2312" w:eastAsia="仿宋_GB2312"/>
          <w:color w:val="auto"/>
          <w:sz w:val="32"/>
          <w:szCs w:val="32"/>
          <w:lang w:val="en-US" w:eastAsia="zh-CN"/>
        </w:rPr>
        <w:t>万元</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w:t>
      </w:r>
      <w:r>
        <w:rPr>
          <w:rFonts w:hint="eastAsia"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rPr>
        <w:t>决算数</w:t>
      </w:r>
      <w:r>
        <w:rPr>
          <w:rFonts w:hint="eastAsia" w:ascii="Times New Roman" w:hAnsi="Times New Roman" w:eastAsia="仿宋_GB2312" w:cs="Times New Roman"/>
          <w:color w:val="auto"/>
          <w:sz w:val="32"/>
          <w:szCs w:val="32"/>
          <w:highlight w:val="none"/>
          <w:lang w:val="en-US" w:eastAsia="zh-CN"/>
        </w:rPr>
        <w:t>3,000.00</w:t>
      </w:r>
      <w:r>
        <w:rPr>
          <w:rFonts w:hint="eastAsia" w:ascii="Times New Roman" w:hAnsi="Times New Roman" w:eastAsia="仿宋_GB2312" w:cs="Times New Roman"/>
          <w:color w:val="auto"/>
          <w:sz w:val="32"/>
          <w:szCs w:val="32"/>
          <w:highlight w:val="none"/>
          <w:lang w:val="zh-CN"/>
        </w:rPr>
        <w:t>万元</w:t>
      </w:r>
      <w:r>
        <w:rPr>
          <w:rFonts w:hint="eastAsia"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rPr>
        <w:t>预决算差异率</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eastAsia="zh-CN"/>
        </w:rPr>
        <w:t>.00%，主要原因是：</w:t>
      </w:r>
      <w:r>
        <w:rPr>
          <w:rFonts w:hint="eastAsia" w:eastAsia="仿宋_GB2312" w:cs="Times New Roman"/>
          <w:color w:val="auto"/>
          <w:sz w:val="32"/>
          <w:szCs w:val="32"/>
          <w:highlight w:val="none"/>
          <w:lang w:val="en-US" w:eastAsia="zh-CN"/>
        </w:rPr>
        <w:t>2023年执行中追加</w:t>
      </w:r>
      <w:r>
        <w:rPr>
          <w:rFonts w:ascii="仿宋_GB2312" w:eastAsia="仿宋_GB2312"/>
          <w:color w:val="auto"/>
          <w:sz w:val="32"/>
          <w:szCs w:val="32"/>
        </w:rPr>
        <w:t>地方政府专项</w:t>
      </w:r>
      <w:r>
        <w:rPr>
          <w:rFonts w:hint="eastAsia" w:ascii="仿宋_GB2312" w:eastAsia="仿宋_GB2312"/>
          <w:color w:val="auto"/>
          <w:sz w:val="32"/>
          <w:szCs w:val="32"/>
          <w:lang w:eastAsia="zh-CN"/>
        </w:rPr>
        <w:t>债券项目资金</w:t>
      </w:r>
      <w:r>
        <w:rPr>
          <w:rFonts w:hint="eastAsia" w:ascii="Times New Roman" w:hAnsi="Times New Roman" w:eastAsia="仿宋_GB2312" w:cs="Times New Roman"/>
          <w:color w:val="auto"/>
          <w:sz w:val="32"/>
          <w:szCs w:val="32"/>
          <w:highlight w:val="none"/>
          <w:lang w:val="zh-CN"/>
        </w:rPr>
        <w:t>。</w:t>
      </w:r>
      <w:bookmarkStart w:id="48" w:name="_GoBack"/>
      <w:bookmarkEnd w:id="48"/>
    </w:p>
    <w:p w14:paraId="79A044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3,000.00</w:t>
      </w:r>
      <w:r>
        <w:rPr>
          <w:rFonts w:hint="eastAsia" w:ascii="Times New Roman" w:hAnsi="Times New Roman" w:eastAsia="仿宋_GB2312" w:cs="Times New Roman"/>
          <w:color w:val="auto"/>
          <w:sz w:val="32"/>
          <w:szCs w:val="32"/>
          <w:highlight w:val="none"/>
          <w:lang w:val="zh-CN"/>
        </w:rPr>
        <w:t>万元。</w:t>
      </w:r>
    </w:p>
    <w:p w14:paraId="5CAE58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1.其他支出（类）其他政府性基金及对应专项债务收入安排的支出（款）其他地方自行试点项目收益专项债券收入安排的支出（项）:支出决算数为3,000.00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zh-CN"/>
        </w:rPr>
        <w:t>12,000.00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下降</w:t>
      </w:r>
      <w:r>
        <w:rPr>
          <w:rFonts w:hint="eastAsia" w:ascii="Times New Roman" w:hAnsi="Times New Roman" w:eastAsia="仿宋_GB2312" w:cs="Times New Roman"/>
          <w:color w:val="auto"/>
          <w:sz w:val="32"/>
          <w:szCs w:val="32"/>
          <w:highlight w:val="none"/>
          <w:lang w:val="zh-CN"/>
        </w:rPr>
        <w:t>80.00%，主要原因是：</w:t>
      </w: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ascii="仿宋_GB2312" w:eastAsia="仿宋_GB2312"/>
          <w:color w:val="auto"/>
          <w:sz w:val="32"/>
          <w:szCs w:val="32"/>
        </w:rPr>
        <w:t>年</w:t>
      </w:r>
      <w:r>
        <w:rPr>
          <w:rFonts w:hint="eastAsia" w:ascii="仿宋_GB2312" w:eastAsia="仿宋_GB2312"/>
          <w:color w:val="auto"/>
          <w:sz w:val="32"/>
          <w:szCs w:val="32"/>
          <w:lang w:eastAsia="zh-CN"/>
        </w:rPr>
        <w:t>政府性基金预算财政拨款项目</w:t>
      </w:r>
      <w:r>
        <w:rPr>
          <w:rFonts w:ascii="仿宋_GB2312" w:eastAsia="仿宋_GB2312"/>
          <w:color w:val="auto"/>
          <w:sz w:val="32"/>
          <w:szCs w:val="32"/>
        </w:rPr>
        <w:t>地方政府专项</w:t>
      </w:r>
      <w:r>
        <w:rPr>
          <w:rFonts w:hint="eastAsia" w:ascii="仿宋_GB2312" w:eastAsia="仿宋_GB2312"/>
          <w:color w:val="auto"/>
          <w:sz w:val="32"/>
          <w:szCs w:val="32"/>
          <w:lang w:eastAsia="zh-CN"/>
        </w:rPr>
        <w:t>债券资金</w:t>
      </w:r>
      <w:r>
        <w:rPr>
          <w:rFonts w:hint="eastAsia" w:ascii="仿宋_GB2312" w:eastAsia="仿宋_GB2312"/>
          <w:color w:val="auto"/>
          <w:sz w:val="32"/>
          <w:szCs w:val="32"/>
          <w:lang w:val="en-US" w:eastAsia="zh-CN"/>
        </w:rPr>
        <w:t>较上年减少</w:t>
      </w:r>
      <w:r>
        <w:rPr>
          <w:rFonts w:hint="default" w:ascii="Times New Roman" w:hAnsi="Times New Roman" w:eastAsia="仿宋_GB2312" w:cs="Times New Roman"/>
          <w:color w:val="auto"/>
          <w:sz w:val="32"/>
          <w:szCs w:val="32"/>
          <w:lang w:val="en-US" w:eastAsia="zh-CN"/>
        </w:rPr>
        <w:t>12,000.00</w:t>
      </w:r>
      <w:r>
        <w:rPr>
          <w:rFonts w:hint="eastAsia" w:ascii="仿宋_GB2312" w:eastAsia="仿宋_GB2312"/>
          <w:color w:val="auto"/>
          <w:sz w:val="32"/>
          <w:szCs w:val="32"/>
          <w:lang w:val="en-US" w:eastAsia="zh-CN"/>
        </w:rPr>
        <w:t>万元</w:t>
      </w:r>
      <w:r>
        <w:rPr>
          <w:rFonts w:hint="eastAsia" w:ascii="Times New Roman" w:hAnsi="Times New Roman" w:eastAsia="仿宋_GB2312" w:cs="Times New Roman"/>
          <w:color w:val="auto"/>
          <w:sz w:val="32"/>
          <w:szCs w:val="32"/>
          <w:highlight w:val="none"/>
          <w:lang w:val="zh-CN"/>
        </w:rPr>
        <w:t>。</w:t>
      </w:r>
    </w:p>
    <w:p w14:paraId="427FB9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611F9E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120FFB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B9EEE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B5AF0AB">
      <w:pPr>
        <w:ind w:firstLine="640" w:firstLineChars="200"/>
        <w:outlineLvl w:val="2"/>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新疆医科大学附属肿瘤医院</w:t>
      </w:r>
      <w:r>
        <w:rPr>
          <w:rFonts w:hint="eastAsia" w:ascii="Times New Roman" w:hAnsi="Times New Roman" w:eastAsia="仿宋_GB2312" w:cs="Times New Roman"/>
          <w:color w:val="auto"/>
          <w:sz w:val="32"/>
          <w:szCs w:val="32"/>
          <w:highlight w:val="none"/>
          <w:lang w:val="zh-CN" w:eastAsia="zh-CN"/>
        </w:rPr>
        <w:t>（事业单位）公用经费支出0.00万元，比上年增加0.00万元，增长0.00%，主要原因是：</w:t>
      </w:r>
      <w:r>
        <w:rPr>
          <w:rFonts w:hint="eastAsia" w:ascii="仿宋_GB2312" w:eastAsia="仿宋_GB2312"/>
          <w:color w:val="auto"/>
          <w:sz w:val="32"/>
          <w:szCs w:val="32"/>
        </w:rPr>
        <w:t>我单位无公用经费。</w:t>
      </w:r>
    </w:p>
    <w:p w14:paraId="6BB966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7042E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14,079.21万元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其中：政府采购货物支出12,756.40万元、政府采购工程支出741.04万元、政府采购服务支出581.77万元。</w:t>
      </w:r>
    </w:p>
    <w:p w14:paraId="1A9BA4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授予中小企业合同金额13,229.05万元，占政府采购支出总额的93.96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，其中：授予小微企业合同金额10,740.02万元，占政府采购支出总额的76.28</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3023FA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11AB83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172,204.31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屋168280.25平方米，价值70,347.11万元。车辆12辆，价值425.40万元，其中：副部（省）级及以上领导用车0辆、主要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用车0辆、机要通信用车0辆、应急保障用车0辆、执法执勤用车0辆、特种专业技术用车2辆、离退休干部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用车0辆、其他用车10辆，其他用车主要是：</w:t>
      </w:r>
      <w:r>
        <w:rPr>
          <w:rFonts w:hint="eastAsia" w:ascii="仿宋_GB2312" w:eastAsia="仿宋_GB2312"/>
          <w:color w:val="auto"/>
          <w:sz w:val="32"/>
          <w:szCs w:val="32"/>
        </w:rPr>
        <w:t>医疗业务活动用车</w:t>
      </w:r>
      <w:r>
        <w:rPr>
          <w:rFonts w:hint="eastAsia" w:ascii="Times New Roman" w:hAnsi="Times New Roman" w:eastAsia="仿宋_GB2312" w:cs="Times New Roman"/>
          <w:color w:val="auto"/>
          <w:sz w:val="32"/>
          <w:szCs w:val="32"/>
          <w:highlight w:val="none"/>
          <w:lang w:val="zh-CN" w:eastAsia="zh-CN"/>
        </w:rPr>
        <w:t>；单价100万元（含）以上设备（不含车辆）148</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5C9115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3A5BBC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w:t>
      </w:r>
      <w:r>
        <w:rPr>
          <w:rFonts w:hint="eastAsia" w:ascii="仿宋_GB2312" w:eastAsia="仿宋_GB2312"/>
          <w:color w:val="auto"/>
          <w:sz w:val="32"/>
          <w:szCs w:val="32"/>
          <w:highlight w:val="none"/>
          <w:lang w:eastAsia="zh-CN"/>
        </w:rPr>
        <w:t>年</w:t>
      </w:r>
      <w:r>
        <w:rPr>
          <w:rFonts w:hint="eastAsia" w:ascii="仿宋_GB2312" w:hAnsi="仿宋_GB2312" w:eastAsia="仿宋_GB2312" w:cs="仿宋_GB2312"/>
          <w:color w:val="auto"/>
          <w:kern w:val="0"/>
          <w:sz w:val="32"/>
          <w:szCs w:val="32"/>
          <w:highlight w:val="none"/>
        </w:rPr>
        <w:t>整体绩效自评表</w:t>
      </w:r>
      <w:r>
        <w:rPr>
          <w:rFonts w:hint="default" w:ascii="Times New Roman" w:hAnsi="Times New Roman" w:eastAsia="仿宋_GB2312" w:cs="Times New Roman"/>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default" w:ascii="Times New Roman" w:hAnsi="Times New Roman"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en-US" w:eastAsia="zh-CN"/>
        </w:rPr>
        <w:t>.00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default" w:ascii="Times New Roman" w:hAnsi="Times New Roman"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en-US" w:eastAsia="zh-CN"/>
        </w:rPr>
        <w:t>.00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en-US" w:eastAsia="zh-CN"/>
        </w:rPr>
        <w:t>214,406.49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default" w:ascii="Times New Roman" w:hAnsi="Times New Roman" w:eastAsia="仿宋_GB2312" w:cs="Times New Roman"/>
          <w:color w:val="auto"/>
          <w:sz w:val="32"/>
          <w:szCs w:val="32"/>
          <w:highlight w:val="none"/>
          <w:lang w:val="en-US" w:eastAsia="zh-CN"/>
        </w:rPr>
        <w:t>214,406.49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医院层面高度重视绩效评价过程；二是预算绩效监控扎实落地，佐证资料真实有效。发现的问题及原因：行业的绩效目标指标库及其指标的标准有待达成一致。下一步改进措施：一是不断优化绩效目标指标体系；二是提升行业预算绩效信息平台建设。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1005C79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6587AB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31B682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8002EB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35B8E2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934041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70C722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691B9FB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7B34E4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8DF5A3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988F18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913DC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B6AF1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611615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CD2E04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600216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192062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931A2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C6052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7C4085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290043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481E0C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7AED1A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68DDD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266C5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227B04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D5DAA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C81F53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8B31C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A71236-B969-4DA2-8FF7-ADD91501C5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2" w:fontKey="{9C2C9663-DB60-4875-AB62-C32163291F0C}"/>
  </w:font>
  <w:font w:name="仿宋_GB2312">
    <w:panose1 w:val="02010609030101010101"/>
    <w:charset w:val="86"/>
    <w:family w:val="modern"/>
    <w:pitch w:val="default"/>
    <w:sig w:usb0="00000001" w:usb1="080E0000" w:usb2="00000000" w:usb3="00000000" w:csb0="00040000" w:csb1="00000000"/>
    <w:embedRegular r:id="rId3" w:fontKey="{5690CC50-FBFD-46E2-A8EA-CC67812BF0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A05C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CA90C">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A4CA90C">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000000"/>
    <w:rsid w:val="00213C59"/>
    <w:rsid w:val="00214674"/>
    <w:rsid w:val="003210CE"/>
    <w:rsid w:val="00B70D59"/>
    <w:rsid w:val="00BA1191"/>
    <w:rsid w:val="00F52A8D"/>
    <w:rsid w:val="019404F8"/>
    <w:rsid w:val="01A86058"/>
    <w:rsid w:val="01F12E80"/>
    <w:rsid w:val="027F6DD0"/>
    <w:rsid w:val="02BD3108"/>
    <w:rsid w:val="02CA41E8"/>
    <w:rsid w:val="02EC03A7"/>
    <w:rsid w:val="02F73D26"/>
    <w:rsid w:val="034D4FEF"/>
    <w:rsid w:val="035D1785"/>
    <w:rsid w:val="039F47CE"/>
    <w:rsid w:val="03E05CE8"/>
    <w:rsid w:val="03E72816"/>
    <w:rsid w:val="03F973EE"/>
    <w:rsid w:val="042C139F"/>
    <w:rsid w:val="043C4083"/>
    <w:rsid w:val="043E5B56"/>
    <w:rsid w:val="04C04386"/>
    <w:rsid w:val="04FA68C4"/>
    <w:rsid w:val="053F5AE6"/>
    <w:rsid w:val="057C0B0F"/>
    <w:rsid w:val="05EF4B48"/>
    <w:rsid w:val="05F76ECA"/>
    <w:rsid w:val="06587982"/>
    <w:rsid w:val="06792773"/>
    <w:rsid w:val="06CA7203"/>
    <w:rsid w:val="07093795"/>
    <w:rsid w:val="07373325"/>
    <w:rsid w:val="07804730"/>
    <w:rsid w:val="079052BE"/>
    <w:rsid w:val="07A42B90"/>
    <w:rsid w:val="08145C21"/>
    <w:rsid w:val="08422688"/>
    <w:rsid w:val="085854ED"/>
    <w:rsid w:val="0879188F"/>
    <w:rsid w:val="08A0354D"/>
    <w:rsid w:val="08CD4C49"/>
    <w:rsid w:val="09114954"/>
    <w:rsid w:val="09445BDC"/>
    <w:rsid w:val="095A5B83"/>
    <w:rsid w:val="09635C9F"/>
    <w:rsid w:val="096466E3"/>
    <w:rsid w:val="0968304D"/>
    <w:rsid w:val="09AE5A46"/>
    <w:rsid w:val="09AF3D17"/>
    <w:rsid w:val="09ED7353"/>
    <w:rsid w:val="0A0013F1"/>
    <w:rsid w:val="0A7809B7"/>
    <w:rsid w:val="0A7B4867"/>
    <w:rsid w:val="0A840954"/>
    <w:rsid w:val="0A9928ED"/>
    <w:rsid w:val="0B61769D"/>
    <w:rsid w:val="0B8C3ECC"/>
    <w:rsid w:val="0B9C639D"/>
    <w:rsid w:val="0BB052B2"/>
    <w:rsid w:val="0BD33FFC"/>
    <w:rsid w:val="0BE97AC1"/>
    <w:rsid w:val="0C1C4780"/>
    <w:rsid w:val="0C3613A3"/>
    <w:rsid w:val="0C45261C"/>
    <w:rsid w:val="0C5E519C"/>
    <w:rsid w:val="0C7227A7"/>
    <w:rsid w:val="0CA52EE8"/>
    <w:rsid w:val="0CBD6988"/>
    <w:rsid w:val="0CD208AC"/>
    <w:rsid w:val="0CDA28E2"/>
    <w:rsid w:val="0D2C0459"/>
    <w:rsid w:val="0D4502B1"/>
    <w:rsid w:val="0D4903E8"/>
    <w:rsid w:val="0D7A4A46"/>
    <w:rsid w:val="0D7D3D02"/>
    <w:rsid w:val="0E5C4F34"/>
    <w:rsid w:val="0E640559"/>
    <w:rsid w:val="0EFA372B"/>
    <w:rsid w:val="0F1113DA"/>
    <w:rsid w:val="0F78534A"/>
    <w:rsid w:val="0F89358A"/>
    <w:rsid w:val="0F8C6D51"/>
    <w:rsid w:val="0F99582A"/>
    <w:rsid w:val="105B0B5E"/>
    <w:rsid w:val="112E58D0"/>
    <w:rsid w:val="11731CAC"/>
    <w:rsid w:val="119500A0"/>
    <w:rsid w:val="11A13CBD"/>
    <w:rsid w:val="11C0733B"/>
    <w:rsid w:val="11D50D17"/>
    <w:rsid w:val="120E0809"/>
    <w:rsid w:val="127009D2"/>
    <w:rsid w:val="127F665A"/>
    <w:rsid w:val="12F7068C"/>
    <w:rsid w:val="131C4158"/>
    <w:rsid w:val="13294F44"/>
    <w:rsid w:val="14207DC0"/>
    <w:rsid w:val="142F0825"/>
    <w:rsid w:val="144C6D23"/>
    <w:rsid w:val="14B932DA"/>
    <w:rsid w:val="150A66AF"/>
    <w:rsid w:val="154C1139"/>
    <w:rsid w:val="158C5B77"/>
    <w:rsid w:val="160D1149"/>
    <w:rsid w:val="163563C0"/>
    <w:rsid w:val="164315EF"/>
    <w:rsid w:val="164B43C5"/>
    <w:rsid w:val="164D3029"/>
    <w:rsid w:val="16557DFE"/>
    <w:rsid w:val="167268FB"/>
    <w:rsid w:val="16C81189"/>
    <w:rsid w:val="16D45940"/>
    <w:rsid w:val="16D50C50"/>
    <w:rsid w:val="16E120E1"/>
    <w:rsid w:val="17385A05"/>
    <w:rsid w:val="173B3901"/>
    <w:rsid w:val="176747F9"/>
    <w:rsid w:val="17954A6E"/>
    <w:rsid w:val="180059E9"/>
    <w:rsid w:val="18312259"/>
    <w:rsid w:val="184510FD"/>
    <w:rsid w:val="18C91355"/>
    <w:rsid w:val="18FF1538"/>
    <w:rsid w:val="190648B0"/>
    <w:rsid w:val="19071D6C"/>
    <w:rsid w:val="1964379D"/>
    <w:rsid w:val="19D26CD4"/>
    <w:rsid w:val="19E60D19"/>
    <w:rsid w:val="19FA1399"/>
    <w:rsid w:val="19FF7DBF"/>
    <w:rsid w:val="1A3E3450"/>
    <w:rsid w:val="1A8F17EA"/>
    <w:rsid w:val="1A9F576D"/>
    <w:rsid w:val="1AD807E5"/>
    <w:rsid w:val="1B39345B"/>
    <w:rsid w:val="1BFB2A1F"/>
    <w:rsid w:val="1C015D4A"/>
    <w:rsid w:val="1C290ED5"/>
    <w:rsid w:val="1C317E4F"/>
    <w:rsid w:val="1C472464"/>
    <w:rsid w:val="1D1D6B6A"/>
    <w:rsid w:val="1D22799A"/>
    <w:rsid w:val="1D5A601F"/>
    <w:rsid w:val="1D5C1A72"/>
    <w:rsid w:val="1D732148"/>
    <w:rsid w:val="1D7B761C"/>
    <w:rsid w:val="1DAF458D"/>
    <w:rsid w:val="1E086ACE"/>
    <w:rsid w:val="1E62130A"/>
    <w:rsid w:val="1E97358B"/>
    <w:rsid w:val="1EAA4A5F"/>
    <w:rsid w:val="1EE869A7"/>
    <w:rsid w:val="1F741F9C"/>
    <w:rsid w:val="1FA15E62"/>
    <w:rsid w:val="1FA524E5"/>
    <w:rsid w:val="1FED69B6"/>
    <w:rsid w:val="204C0F10"/>
    <w:rsid w:val="2064678E"/>
    <w:rsid w:val="206A7F78"/>
    <w:rsid w:val="20AC0BEB"/>
    <w:rsid w:val="20DC1AB9"/>
    <w:rsid w:val="20DD6197"/>
    <w:rsid w:val="212631E0"/>
    <w:rsid w:val="21754619"/>
    <w:rsid w:val="21A4503A"/>
    <w:rsid w:val="21A53757"/>
    <w:rsid w:val="21B82A35"/>
    <w:rsid w:val="221236C6"/>
    <w:rsid w:val="22D7662C"/>
    <w:rsid w:val="23106308"/>
    <w:rsid w:val="23247813"/>
    <w:rsid w:val="23326B7F"/>
    <w:rsid w:val="2380045B"/>
    <w:rsid w:val="238635FC"/>
    <w:rsid w:val="23BC04D2"/>
    <w:rsid w:val="23EF1892"/>
    <w:rsid w:val="2483647E"/>
    <w:rsid w:val="24A32D55"/>
    <w:rsid w:val="25292727"/>
    <w:rsid w:val="252E5CA9"/>
    <w:rsid w:val="256F7692"/>
    <w:rsid w:val="25BA05CA"/>
    <w:rsid w:val="25BA2154"/>
    <w:rsid w:val="25C8773F"/>
    <w:rsid w:val="260D0694"/>
    <w:rsid w:val="264A7253"/>
    <w:rsid w:val="265B4CF1"/>
    <w:rsid w:val="26D92385"/>
    <w:rsid w:val="26F0170C"/>
    <w:rsid w:val="270306C3"/>
    <w:rsid w:val="270A2075"/>
    <w:rsid w:val="27182E91"/>
    <w:rsid w:val="27201D62"/>
    <w:rsid w:val="27280C9C"/>
    <w:rsid w:val="27286E73"/>
    <w:rsid w:val="279D582C"/>
    <w:rsid w:val="27CF2642"/>
    <w:rsid w:val="27E26338"/>
    <w:rsid w:val="27E777F5"/>
    <w:rsid w:val="27EA1D4C"/>
    <w:rsid w:val="27EA2E41"/>
    <w:rsid w:val="282459E2"/>
    <w:rsid w:val="283A7FE5"/>
    <w:rsid w:val="28471403"/>
    <w:rsid w:val="285F51FF"/>
    <w:rsid w:val="286E69A8"/>
    <w:rsid w:val="28DF2665"/>
    <w:rsid w:val="29072599"/>
    <w:rsid w:val="291029F3"/>
    <w:rsid w:val="29CB58F0"/>
    <w:rsid w:val="2A053397"/>
    <w:rsid w:val="2A145E96"/>
    <w:rsid w:val="2A556F75"/>
    <w:rsid w:val="2AF5378F"/>
    <w:rsid w:val="2AFD7C51"/>
    <w:rsid w:val="2BB94DBF"/>
    <w:rsid w:val="2C6E0762"/>
    <w:rsid w:val="2C6F314E"/>
    <w:rsid w:val="2CC206BE"/>
    <w:rsid w:val="2D1136DF"/>
    <w:rsid w:val="2D20606D"/>
    <w:rsid w:val="2D911431"/>
    <w:rsid w:val="2DB87198"/>
    <w:rsid w:val="2DB93C54"/>
    <w:rsid w:val="2DC55411"/>
    <w:rsid w:val="2E3D144C"/>
    <w:rsid w:val="2E891204"/>
    <w:rsid w:val="2E97010B"/>
    <w:rsid w:val="2F3F0A28"/>
    <w:rsid w:val="2F8B5011"/>
    <w:rsid w:val="2FBF7029"/>
    <w:rsid w:val="2FD0187F"/>
    <w:rsid w:val="2FD27414"/>
    <w:rsid w:val="2FFE4BB0"/>
    <w:rsid w:val="300E7B60"/>
    <w:rsid w:val="300F6E18"/>
    <w:rsid w:val="30862F5F"/>
    <w:rsid w:val="30900D16"/>
    <w:rsid w:val="310F6602"/>
    <w:rsid w:val="3130225C"/>
    <w:rsid w:val="314029C9"/>
    <w:rsid w:val="31763D3D"/>
    <w:rsid w:val="31AC2513"/>
    <w:rsid w:val="31BD5260"/>
    <w:rsid w:val="31C63837"/>
    <w:rsid w:val="31C82E39"/>
    <w:rsid w:val="31EC08FA"/>
    <w:rsid w:val="32601BAD"/>
    <w:rsid w:val="329F6389"/>
    <w:rsid w:val="3389023A"/>
    <w:rsid w:val="33CB74FA"/>
    <w:rsid w:val="34050C5E"/>
    <w:rsid w:val="343642F2"/>
    <w:rsid w:val="343F3010"/>
    <w:rsid w:val="345D0A00"/>
    <w:rsid w:val="34713BFD"/>
    <w:rsid w:val="34732DC3"/>
    <w:rsid w:val="34C13589"/>
    <w:rsid w:val="353369E3"/>
    <w:rsid w:val="35657E57"/>
    <w:rsid w:val="35E00D72"/>
    <w:rsid w:val="36965B9D"/>
    <w:rsid w:val="36B8120C"/>
    <w:rsid w:val="36C549FD"/>
    <w:rsid w:val="37294DBF"/>
    <w:rsid w:val="37A755DD"/>
    <w:rsid w:val="37F94FA0"/>
    <w:rsid w:val="380D3381"/>
    <w:rsid w:val="38115B1F"/>
    <w:rsid w:val="385E3AC3"/>
    <w:rsid w:val="387B6124"/>
    <w:rsid w:val="387D6B9E"/>
    <w:rsid w:val="38B75FF0"/>
    <w:rsid w:val="38D45016"/>
    <w:rsid w:val="38D90432"/>
    <w:rsid w:val="38ED0774"/>
    <w:rsid w:val="3914510A"/>
    <w:rsid w:val="3926770B"/>
    <w:rsid w:val="398D3668"/>
    <w:rsid w:val="39DA0497"/>
    <w:rsid w:val="3A36009B"/>
    <w:rsid w:val="3A893816"/>
    <w:rsid w:val="3A893B6D"/>
    <w:rsid w:val="3AD1763A"/>
    <w:rsid w:val="3B2A3E06"/>
    <w:rsid w:val="3B6716E3"/>
    <w:rsid w:val="3B6C6B2D"/>
    <w:rsid w:val="3BB97E09"/>
    <w:rsid w:val="3C242659"/>
    <w:rsid w:val="3C4F32A9"/>
    <w:rsid w:val="3C96719C"/>
    <w:rsid w:val="3CA72BE8"/>
    <w:rsid w:val="3CF37F8C"/>
    <w:rsid w:val="3D137554"/>
    <w:rsid w:val="3D5275AC"/>
    <w:rsid w:val="3DC92CFC"/>
    <w:rsid w:val="3DCC2473"/>
    <w:rsid w:val="3DEB0883"/>
    <w:rsid w:val="3E06185A"/>
    <w:rsid w:val="3E2527BF"/>
    <w:rsid w:val="3E385C24"/>
    <w:rsid w:val="3E4C333C"/>
    <w:rsid w:val="3E731662"/>
    <w:rsid w:val="3E8168DD"/>
    <w:rsid w:val="3EA7725F"/>
    <w:rsid w:val="3EB03713"/>
    <w:rsid w:val="3EBF1A11"/>
    <w:rsid w:val="3EC52607"/>
    <w:rsid w:val="3EEC6CEF"/>
    <w:rsid w:val="3F183429"/>
    <w:rsid w:val="3FB77A1D"/>
    <w:rsid w:val="3FDC3674"/>
    <w:rsid w:val="3FED7F8A"/>
    <w:rsid w:val="3FF1348F"/>
    <w:rsid w:val="40094AEF"/>
    <w:rsid w:val="404D23EB"/>
    <w:rsid w:val="405470BD"/>
    <w:rsid w:val="40794A29"/>
    <w:rsid w:val="40834692"/>
    <w:rsid w:val="40DF0F15"/>
    <w:rsid w:val="41431AD5"/>
    <w:rsid w:val="414B3C0F"/>
    <w:rsid w:val="41571B6F"/>
    <w:rsid w:val="41590C40"/>
    <w:rsid w:val="417C1CE7"/>
    <w:rsid w:val="41900018"/>
    <w:rsid w:val="41944406"/>
    <w:rsid w:val="41AC4F93"/>
    <w:rsid w:val="41C968EB"/>
    <w:rsid w:val="41CE128F"/>
    <w:rsid w:val="41DA6F12"/>
    <w:rsid w:val="42171FB1"/>
    <w:rsid w:val="42803C6E"/>
    <w:rsid w:val="42A94A06"/>
    <w:rsid w:val="42D63BAE"/>
    <w:rsid w:val="434E6957"/>
    <w:rsid w:val="43BA0E31"/>
    <w:rsid w:val="43C15147"/>
    <w:rsid w:val="43E14DD2"/>
    <w:rsid w:val="43F800E9"/>
    <w:rsid w:val="443A7E4B"/>
    <w:rsid w:val="44766930"/>
    <w:rsid w:val="452F5B3A"/>
    <w:rsid w:val="454E7FD2"/>
    <w:rsid w:val="456035E6"/>
    <w:rsid w:val="458D1A8F"/>
    <w:rsid w:val="45AE2BEB"/>
    <w:rsid w:val="46061BDC"/>
    <w:rsid w:val="461404F8"/>
    <w:rsid w:val="46412952"/>
    <w:rsid w:val="46413018"/>
    <w:rsid w:val="464B7E04"/>
    <w:rsid w:val="468041AA"/>
    <w:rsid w:val="468123C6"/>
    <w:rsid w:val="46901EEE"/>
    <w:rsid w:val="469C74D2"/>
    <w:rsid w:val="46FD17CB"/>
    <w:rsid w:val="47445515"/>
    <w:rsid w:val="474B4782"/>
    <w:rsid w:val="47D90D14"/>
    <w:rsid w:val="480732F2"/>
    <w:rsid w:val="48387FB0"/>
    <w:rsid w:val="483A6114"/>
    <w:rsid w:val="488727DB"/>
    <w:rsid w:val="48AD3456"/>
    <w:rsid w:val="48B82268"/>
    <w:rsid w:val="48C354B3"/>
    <w:rsid w:val="492F3997"/>
    <w:rsid w:val="493D58B5"/>
    <w:rsid w:val="494A7A04"/>
    <w:rsid w:val="4A0A26D2"/>
    <w:rsid w:val="4A2019A5"/>
    <w:rsid w:val="4A241A0B"/>
    <w:rsid w:val="4A7B2875"/>
    <w:rsid w:val="4A934476"/>
    <w:rsid w:val="4AAA220A"/>
    <w:rsid w:val="4AE12E67"/>
    <w:rsid w:val="4B2A07DE"/>
    <w:rsid w:val="4B2D7657"/>
    <w:rsid w:val="4B4C0111"/>
    <w:rsid w:val="4B8553A9"/>
    <w:rsid w:val="4BCC51A0"/>
    <w:rsid w:val="4BDB3730"/>
    <w:rsid w:val="4C0233B4"/>
    <w:rsid w:val="4C200F7A"/>
    <w:rsid w:val="4C8F11AF"/>
    <w:rsid w:val="4CDA3FA7"/>
    <w:rsid w:val="4CE76C4C"/>
    <w:rsid w:val="4CEE3180"/>
    <w:rsid w:val="4D0F4AF6"/>
    <w:rsid w:val="4D466439"/>
    <w:rsid w:val="4D4F3FDC"/>
    <w:rsid w:val="4DF94F37"/>
    <w:rsid w:val="4E0A1DD5"/>
    <w:rsid w:val="4E3160E5"/>
    <w:rsid w:val="4E4D37AF"/>
    <w:rsid w:val="4E606915"/>
    <w:rsid w:val="4E8C6496"/>
    <w:rsid w:val="4EFD18DE"/>
    <w:rsid w:val="4F144236"/>
    <w:rsid w:val="4F627A77"/>
    <w:rsid w:val="4F663C87"/>
    <w:rsid w:val="4F7E29A8"/>
    <w:rsid w:val="4F9E1FFC"/>
    <w:rsid w:val="50447CC2"/>
    <w:rsid w:val="50832246"/>
    <w:rsid w:val="50874A7C"/>
    <w:rsid w:val="50895EE7"/>
    <w:rsid w:val="50921B9D"/>
    <w:rsid w:val="50B701D3"/>
    <w:rsid w:val="50C441E5"/>
    <w:rsid w:val="50D16158"/>
    <w:rsid w:val="50DB5F45"/>
    <w:rsid w:val="51025EB1"/>
    <w:rsid w:val="51141503"/>
    <w:rsid w:val="51325966"/>
    <w:rsid w:val="518D0ED5"/>
    <w:rsid w:val="51B54597"/>
    <w:rsid w:val="525C687F"/>
    <w:rsid w:val="52F647F7"/>
    <w:rsid w:val="52F92565"/>
    <w:rsid w:val="538F547F"/>
    <w:rsid w:val="53D03877"/>
    <w:rsid w:val="542F73CA"/>
    <w:rsid w:val="5430786D"/>
    <w:rsid w:val="54C811C0"/>
    <w:rsid w:val="556620A2"/>
    <w:rsid w:val="556A442D"/>
    <w:rsid w:val="55BE02CD"/>
    <w:rsid w:val="55DA564E"/>
    <w:rsid w:val="5604127D"/>
    <w:rsid w:val="56166703"/>
    <w:rsid w:val="56510474"/>
    <w:rsid w:val="56861525"/>
    <w:rsid w:val="56A93273"/>
    <w:rsid w:val="56BC1DF1"/>
    <w:rsid w:val="56BC764E"/>
    <w:rsid w:val="56BD550C"/>
    <w:rsid w:val="56E07045"/>
    <w:rsid w:val="56E236EB"/>
    <w:rsid w:val="56ED75A9"/>
    <w:rsid w:val="56FF28AF"/>
    <w:rsid w:val="57540E7D"/>
    <w:rsid w:val="577B4878"/>
    <w:rsid w:val="577F39F6"/>
    <w:rsid w:val="57926973"/>
    <w:rsid w:val="58175352"/>
    <w:rsid w:val="581F2200"/>
    <w:rsid w:val="583059FA"/>
    <w:rsid w:val="583B1536"/>
    <w:rsid w:val="584A0929"/>
    <w:rsid w:val="58CD2491"/>
    <w:rsid w:val="591B41B2"/>
    <w:rsid w:val="59254A26"/>
    <w:rsid w:val="59326325"/>
    <w:rsid w:val="595C505B"/>
    <w:rsid w:val="595E55C3"/>
    <w:rsid w:val="596E7E20"/>
    <w:rsid w:val="5A60780B"/>
    <w:rsid w:val="5AB34579"/>
    <w:rsid w:val="5AFC6609"/>
    <w:rsid w:val="5B113480"/>
    <w:rsid w:val="5BD221A8"/>
    <w:rsid w:val="5BD456CE"/>
    <w:rsid w:val="5C0D1F49"/>
    <w:rsid w:val="5C410350"/>
    <w:rsid w:val="5C743264"/>
    <w:rsid w:val="5CBB0CE2"/>
    <w:rsid w:val="5CC17177"/>
    <w:rsid w:val="5CF306BC"/>
    <w:rsid w:val="5D3C0370"/>
    <w:rsid w:val="5D3F3D64"/>
    <w:rsid w:val="5D5C0042"/>
    <w:rsid w:val="5D833043"/>
    <w:rsid w:val="5DD92690"/>
    <w:rsid w:val="5DDB1CFD"/>
    <w:rsid w:val="5E046ABE"/>
    <w:rsid w:val="5E086EE0"/>
    <w:rsid w:val="5E7E6D93"/>
    <w:rsid w:val="5ED44800"/>
    <w:rsid w:val="5EF476DB"/>
    <w:rsid w:val="5F161646"/>
    <w:rsid w:val="5F350BDE"/>
    <w:rsid w:val="5F61632C"/>
    <w:rsid w:val="5F73441E"/>
    <w:rsid w:val="5FA17648"/>
    <w:rsid w:val="5FE705CB"/>
    <w:rsid w:val="603D5080"/>
    <w:rsid w:val="60D0261B"/>
    <w:rsid w:val="60E360E1"/>
    <w:rsid w:val="612029C4"/>
    <w:rsid w:val="618E3791"/>
    <w:rsid w:val="61947DCA"/>
    <w:rsid w:val="61A46A97"/>
    <w:rsid w:val="61D1382F"/>
    <w:rsid w:val="61F114A2"/>
    <w:rsid w:val="622D3B81"/>
    <w:rsid w:val="62512BB4"/>
    <w:rsid w:val="625D7D1A"/>
    <w:rsid w:val="626A14D4"/>
    <w:rsid w:val="62DD7D21"/>
    <w:rsid w:val="637D586B"/>
    <w:rsid w:val="63A5560B"/>
    <w:rsid w:val="63E9091F"/>
    <w:rsid w:val="64322AF9"/>
    <w:rsid w:val="648854C5"/>
    <w:rsid w:val="64D6010D"/>
    <w:rsid w:val="64D82665"/>
    <w:rsid w:val="64E47C96"/>
    <w:rsid w:val="651E5741"/>
    <w:rsid w:val="658A4877"/>
    <w:rsid w:val="65A00902"/>
    <w:rsid w:val="65AC6EDD"/>
    <w:rsid w:val="65D97752"/>
    <w:rsid w:val="660172CC"/>
    <w:rsid w:val="66085536"/>
    <w:rsid w:val="66105BF7"/>
    <w:rsid w:val="66150023"/>
    <w:rsid w:val="6628010D"/>
    <w:rsid w:val="669B4528"/>
    <w:rsid w:val="66CB77FD"/>
    <w:rsid w:val="66CC12D7"/>
    <w:rsid w:val="66E52C70"/>
    <w:rsid w:val="67134CEF"/>
    <w:rsid w:val="671F1ABD"/>
    <w:rsid w:val="67521A59"/>
    <w:rsid w:val="675F4CDA"/>
    <w:rsid w:val="67C304AB"/>
    <w:rsid w:val="682936A0"/>
    <w:rsid w:val="683F0658"/>
    <w:rsid w:val="689C6793"/>
    <w:rsid w:val="68DB0208"/>
    <w:rsid w:val="68FB170C"/>
    <w:rsid w:val="69016E69"/>
    <w:rsid w:val="691B3D98"/>
    <w:rsid w:val="693748F0"/>
    <w:rsid w:val="69846A0E"/>
    <w:rsid w:val="69AD798C"/>
    <w:rsid w:val="69D005C0"/>
    <w:rsid w:val="69D80B96"/>
    <w:rsid w:val="6A9D040D"/>
    <w:rsid w:val="6B29693A"/>
    <w:rsid w:val="6B68175F"/>
    <w:rsid w:val="6BFD799F"/>
    <w:rsid w:val="6C4A2E5A"/>
    <w:rsid w:val="6C58290B"/>
    <w:rsid w:val="6C7812C6"/>
    <w:rsid w:val="6C8138D0"/>
    <w:rsid w:val="6CBF4A4F"/>
    <w:rsid w:val="6CEF0725"/>
    <w:rsid w:val="6D4B2604"/>
    <w:rsid w:val="6D8030E4"/>
    <w:rsid w:val="6E0E35C4"/>
    <w:rsid w:val="6E0F7A08"/>
    <w:rsid w:val="6E3947F5"/>
    <w:rsid w:val="6E9C74ED"/>
    <w:rsid w:val="6EF72976"/>
    <w:rsid w:val="6F795A80"/>
    <w:rsid w:val="6F7B0103"/>
    <w:rsid w:val="6F7C1D2E"/>
    <w:rsid w:val="6F8E0407"/>
    <w:rsid w:val="6FDD069F"/>
    <w:rsid w:val="702B4D16"/>
    <w:rsid w:val="70AA6621"/>
    <w:rsid w:val="70AE7335"/>
    <w:rsid w:val="7111480F"/>
    <w:rsid w:val="71261F49"/>
    <w:rsid w:val="712E6956"/>
    <w:rsid w:val="71473612"/>
    <w:rsid w:val="71504F32"/>
    <w:rsid w:val="71505F03"/>
    <w:rsid w:val="7152309F"/>
    <w:rsid w:val="716960D4"/>
    <w:rsid w:val="718F7F65"/>
    <w:rsid w:val="71C34A43"/>
    <w:rsid w:val="71D075A9"/>
    <w:rsid w:val="71F70B61"/>
    <w:rsid w:val="72056B05"/>
    <w:rsid w:val="7221650A"/>
    <w:rsid w:val="72513A74"/>
    <w:rsid w:val="72735860"/>
    <w:rsid w:val="727B234E"/>
    <w:rsid w:val="72D068C7"/>
    <w:rsid w:val="72E42ED8"/>
    <w:rsid w:val="735F4CB9"/>
    <w:rsid w:val="73674C62"/>
    <w:rsid w:val="73845865"/>
    <w:rsid w:val="739B6D9E"/>
    <w:rsid w:val="73BC1D76"/>
    <w:rsid w:val="73FB6630"/>
    <w:rsid w:val="7486721B"/>
    <w:rsid w:val="748D790E"/>
    <w:rsid w:val="749820CC"/>
    <w:rsid w:val="74B5591A"/>
    <w:rsid w:val="74CE04EC"/>
    <w:rsid w:val="74E76DCD"/>
    <w:rsid w:val="751D7C0A"/>
    <w:rsid w:val="75722D56"/>
    <w:rsid w:val="75DB5477"/>
    <w:rsid w:val="75FC6AC3"/>
    <w:rsid w:val="7616619B"/>
    <w:rsid w:val="76254EB0"/>
    <w:rsid w:val="76660D7C"/>
    <w:rsid w:val="766C5968"/>
    <w:rsid w:val="76BE0C8F"/>
    <w:rsid w:val="76BF14FB"/>
    <w:rsid w:val="76CD53B2"/>
    <w:rsid w:val="770719AC"/>
    <w:rsid w:val="776526CC"/>
    <w:rsid w:val="77A262E1"/>
    <w:rsid w:val="77AF4DD0"/>
    <w:rsid w:val="77B13C33"/>
    <w:rsid w:val="77ED6F44"/>
    <w:rsid w:val="77F45548"/>
    <w:rsid w:val="784E7CA6"/>
    <w:rsid w:val="78574801"/>
    <w:rsid w:val="7873527F"/>
    <w:rsid w:val="7879089F"/>
    <w:rsid w:val="789028EE"/>
    <w:rsid w:val="78A94ED4"/>
    <w:rsid w:val="790A6425"/>
    <w:rsid w:val="790E2D96"/>
    <w:rsid w:val="791B54B2"/>
    <w:rsid w:val="795A0A34"/>
    <w:rsid w:val="797339C3"/>
    <w:rsid w:val="79AA7059"/>
    <w:rsid w:val="79D57D57"/>
    <w:rsid w:val="79F00650"/>
    <w:rsid w:val="7A1B5D3E"/>
    <w:rsid w:val="7A6242BF"/>
    <w:rsid w:val="7A794513"/>
    <w:rsid w:val="7AAD5FD5"/>
    <w:rsid w:val="7AE952D2"/>
    <w:rsid w:val="7BF953E3"/>
    <w:rsid w:val="7C3650B6"/>
    <w:rsid w:val="7C976D69"/>
    <w:rsid w:val="7CD752DA"/>
    <w:rsid w:val="7CDE40AB"/>
    <w:rsid w:val="7CF057E2"/>
    <w:rsid w:val="7D1548B5"/>
    <w:rsid w:val="7D451B48"/>
    <w:rsid w:val="7DF84014"/>
    <w:rsid w:val="7E207949"/>
    <w:rsid w:val="7E5C0A47"/>
    <w:rsid w:val="7E670C75"/>
    <w:rsid w:val="7EE24272"/>
    <w:rsid w:val="7EEA6053"/>
    <w:rsid w:val="7F487C04"/>
    <w:rsid w:val="7F6A2A7F"/>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660" w:beforeLines="0" w:after="400" w:afterLines="0" w:line="540" w:lineRule="atLeast"/>
      <w:ind w:right="2160"/>
    </w:pPr>
    <w:rPr>
      <w:rFonts w:ascii="Times New Roman" w:hAnsi="Times New Roman"/>
      <w:spacing w:val="-40"/>
      <w:sz w:val="60"/>
    </w:rPr>
  </w:style>
  <w:style w:type="paragraph" w:styleId="3">
    <w:name w:val="annotation text"/>
    <w:basedOn w:val="1"/>
    <w:qFormat/>
    <w:uiPriority w:val="0"/>
    <w:pPr>
      <w:jc w:val="left"/>
    </w:p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6339</Words>
  <Characters>7268</Characters>
  <Lines>0</Lines>
  <Paragraphs>0</Paragraphs>
  <TotalTime>17</TotalTime>
  <ScaleCrop>false</ScaleCrop>
  <LinksUpToDate>false</LinksUpToDate>
  <CharactersWithSpaces>7279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cp:lastPrinted>2024-08-19T12:09:00Z</cp:lastPrinted>
  <dcterms:modified xsi:type="dcterms:W3CDTF">2024-09-05T06:52:24Z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