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highlight w:val="none"/>
        </w:rPr>
      </w:pPr>
    </w:p>
    <w:p>
      <w:pPr>
        <w:spacing w:line="540" w:lineRule="exact"/>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val="en-US" w:eastAsia="zh-CN"/>
        </w:rPr>
        <w:t>医院政府采购资金</w:t>
      </w:r>
      <w:r>
        <w:rPr>
          <w:rFonts w:eastAsia="方正小标宋_GBK"/>
          <w:kern w:val="0"/>
          <w:sz w:val="48"/>
          <w:szCs w:val="48"/>
          <w:highlight w:val="none"/>
        </w:rPr>
        <w:t>项目</w:t>
      </w:r>
    </w:p>
    <w:p>
      <w:pPr>
        <w:spacing w:line="540" w:lineRule="exact"/>
        <w:jc w:val="center"/>
        <w:rPr>
          <w:rFonts w:eastAsia="方正小标宋_GBK"/>
          <w:kern w:val="0"/>
          <w:sz w:val="48"/>
          <w:szCs w:val="48"/>
          <w:highlight w:val="none"/>
        </w:rPr>
      </w:pPr>
      <w:r>
        <w:rPr>
          <w:rFonts w:eastAsia="方正小标宋_GBK"/>
          <w:kern w:val="0"/>
          <w:sz w:val="48"/>
          <w:szCs w:val="48"/>
          <w:highlight w:val="none"/>
        </w:rPr>
        <w:t>支出绩效评价报告</w:t>
      </w:r>
    </w:p>
    <w:p>
      <w:pPr>
        <w:spacing w:line="540" w:lineRule="exact"/>
        <w:jc w:val="center"/>
        <w:rPr>
          <w:rFonts w:eastAsia="华文中宋"/>
          <w:b/>
          <w:kern w:val="0"/>
          <w:sz w:val="52"/>
          <w:szCs w:val="52"/>
          <w:highlight w:val="none"/>
        </w:rPr>
      </w:pPr>
    </w:p>
    <w:p>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rPr>
          <w:rFonts w:eastAsia="仿宋_GB2312"/>
          <w:kern w:val="0"/>
          <w:sz w:val="30"/>
          <w:szCs w:val="30"/>
          <w:highlight w:val="none"/>
        </w:rPr>
      </w:pPr>
    </w:p>
    <w:p>
      <w:pPr>
        <w:spacing w:line="700" w:lineRule="exact"/>
        <w:ind w:firstLine="1440" w:firstLineChars="400"/>
        <w:jc w:val="left"/>
        <w:rPr>
          <w:rFonts w:hint="default" w:eastAsia="仿宋_GB2312"/>
          <w:kern w:val="0"/>
          <w:sz w:val="36"/>
          <w:szCs w:val="36"/>
          <w:highlight w:val="none"/>
          <w:lang w:val="en-US" w:eastAsia="zh-CN"/>
        </w:rPr>
      </w:pPr>
      <w:r>
        <w:rPr>
          <w:rFonts w:eastAsia="仿宋_GB2312"/>
          <w:kern w:val="0"/>
          <w:sz w:val="36"/>
          <w:szCs w:val="36"/>
          <w:highlight w:val="none"/>
        </w:rPr>
        <w:t>项目名称：</w:t>
      </w:r>
      <w:r>
        <w:rPr>
          <w:rFonts w:hint="eastAsia" w:eastAsia="仿宋_GB2312"/>
          <w:kern w:val="0"/>
          <w:sz w:val="36"/>
          <w:szCs w:val="36"/>
          <w:highlight w:val="none"/>
          <w:lang w:val="en-US" w:eastAsia="zh-CN"/>
        </w:rPr>
        <w:t>2023年医院政府采购项目</w:t>
      </w:r>
    </w:p>
    <w:p>
      <w:pPr>
        <w:spacing w:line="700" w:lineRule="exact"/>
        <w:ind w:left="4676" w:leftChars="684" w:hanging="3240" w:hangingChars="900"/>
        <w:jc w:val="left"/>
        <w:rPr>
          <w:rFonts w:hint="eastAsia" w:eastAsia="仿宋_GB2312"/>
          <w:kern w:val="0"/>
          <w:sz w:val="36"/>
          <w:szCs w:val="36"/>
          <w:highlight w:val="none"/>
          <w:lang w:val="en-US" w:eastAsia="zh-CN"/>
        </w:rPr>
      </w:pPr>
      <w:r>
        <w:rPr>
          <w:rFonts w:eastAsia="仿宋_GB2312"/>
          <w:kern w:val="0"/>
          <w:sz w:val="36"/>
          <w:szCs w:val="36"/>
          <w:highlight w:val="none"/>
        </w:rPr>
        <w:t>实施单位（公章）：</w:t>
      </w:r>
      <w:r>
        <w:rPr>
          <w:rFonts w:hint="eastAsia" w:eastAsia="仿宋_GB2312"/>
          <w:kern w:val="0"/>
          <w:sz w:val="36"/>
          <w:szCs w:val="36"/>
          <w:highlight w:val="none"/>
          <w:lang w:val="en-US" w:eastAsia="zh-CN"/>
        </w:rPr>
        <w:t>新疆医科大学第六附属</w:t>
      </w:r>
    </w:p>
    <w:p>
      <w:pPr>
        <w:spacing w:line="700" w:lineRule="exact"/>
        <w:ind w:left="4668" w:leftChars="2223" w:firstLine="0" w:firstLineChars="0"/>
        <w:jc w:val="left"/>
        <w:rPr>
          <w:rFonts w:hint="default" w:eastAsia="仿宋_GB2312"/>
          <w:kern w:val="0"/>
          <w:sz w:val="36"/>
          <w:szCs w:val="36"/>
          <w:highlight w:val="none"/>
          <w:lang w:val="en-US" w:eastAsia="zh-CN"/>
        </w:rPr>
      </w:pPr>
      <w:r>
        <w:rPr>
          <w:rFonts w:hint="eastAsia" w:eastAsia="仿宋_GB2312"/>
          <w:kern w:val="0"/>
          <w:sz w:val="36"/>
          <w:szCs w:val="36"/>
          <w:highlight w:val="none"/>
          <w:lang w:val="en-US" w:eastAsia="zh-CN"/>
        </w:rPr>
        <w:t>医院</w:t>
      </w:r>
    </w:p>
    <w:p>
      <w:pPr>
        <w:spacing w:line="700" w:lineRule="exact"/>
        <w:ind w:firstLine="1440" w:firstLineChars="400"/>
        <w:jc w:val="left"/>
        <w:rPr>
          <w:rFonts w:hint="default" w:eastAsia="仿宋_GB2312"/>
          <w:kern w:val="0"/>
          <w:sz w:val="36"/>
          <w:szCs w:val="36"/>
          <w:highlight w:val="none"/>
          <w:lang w:val="en-US" w:eastAsia="zh-CN"/>
        </w:rPr>
      </w:pPr>
      <w:r>
        <w:rPr>
          <w:rFonts w:eastAsia="仿宋_GB2312"/>
          <w:kern w:val="0"/>
          <w:sz w:val="36"/>
          <w:szCs w:val="36"/>
          <w:highlight w:val="none"/>
        </w:rPr>
        <w:t>主管部门（公章）：</w:t>
      </w:r>
      <w:r>
        <w:rPr>
          <w:rFonts w:hint="eastAsia" w:eastAsia="仿宋_GB2312"/>
          <w:kern w:val="0"/>
          <w:sz w:val="36"/>
          <w:szCs w:val="36"/>
          <w:highlight w:val="none"/>
          <w:lang w:val="en-US" w:eastAsia="zh-CN"/>
        </w:rPr>
        <w:t>自治区卫生健康委员会</w:t>
      </w:r>
    </w:p>
    <w:p>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姜侃</w:t>
      </w:r>
    </w:p>
    <w:p>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5</w:t>
      </w:r>
      <w:r>
        <w:rPr>
          <w:rFonts w:eastAsia="仿宋_GB2312"/>
          <w:kern w:val="0"/>
          <w:sz w:val="36"/>
          <w:szCs w:val="36"/>
          <w:highlight w:val="none"/>
        </w:rPr>
        <w:t>日</w:t>
      </w:r>
    </w:p>
    <w:p>
      <w:pPr>
        <w:spacing w:line="540" w:lineRule="exact"/>
        <w:jc w:val="center"/>
        <w:rPr>
          <w:rFonts w:eastAsia="仿宋_GB2312"/>
          <w:kern w:val="0"/>
          <w:sz w:val="30"/>
          <w:szCs w:val="30"/>
          <w:highlight w:val="none"/>
        </w:rPr>
      </w:pPr>
    </w:p>
    <w:p>
      <w:pPr>
        <w:spacing w:line="540" w:lineRule="exact"/>
        <w:rPr>
          <w:rStyle w:val="13"/>
          <w:rFonts w:eastAsia="黑体"/>
          <w:b w:val="0"/>
          <w:spacing w:val="-4"/>
          <w:sz w:val="32"/>
          <w:szCs w:val="32"/>
          <w:highlight w:val="none"/>
        </w:rPr>
      </w:pPr>
    </w:p>
    <w:p>
      <w:pPr>
        <w:spacing w:line="540" w:lineRule="exact"/>
        <w:ind w:firstLine="640"/>
        <w:rPr>
          <w:rStyle w:val="13"/>
          <w:rFonts w:eastAsia="黑体"/>
          <w:b w:val="0"/>
          <w:spacing w:val="-4"/>
          <w:sz w:val="32"/>
          <w:szCs w:val="32"/>
          <w:highlight w:val="none"/>
        </w:rPr>
      </w:pPr>
    </w:p>
    <w:p>
      <w:pPr>
        <w:spacing w:line="540" w:lineRule="exact"/>
        <w:rPr>
          <w:rStyle w:val="13"/>
          <w:rFonts w:eastAsia="黑体"/>
          <w:b w:val="0"/>
          <w:spacing w:val="-4"/>
          <w:sz w:val="32"/>
          <w:szCs w:val="32"/>
          <w:highlight w:val="none"/>
        </w:rPr>
      </w:pPr>
    </w:p>
    <w:p>
      <w:pPr>
        <w:spacing w:line="560" w:lineRule="exact"/>
        <w:rPr>
          <w:rFonts w:eastAsia="黑体"/>
          <w:bCs/>
          <w:sz w:val="32"/>
          <w:szCs w:val="32"/>
          <w:highlight w:val="none"/>
        </w:rPr>
      </w:pPr>
    </w:p>
    <w:p>
      <w:pPr>
        <w:spacing w:line="560" w:lineRule="exact"/>
        <w:ind w:firstLine="320" w:firstLineChars="100"/>
        <w:rPr>
          <w:rFonts w:eastAsia="黑体"/>
          <w:bCs/>
          <w:sz w:val="32"/>
          <w:szCs w:val="32"/>
          <w:highlight w:val="none"/>
        </w:rPr>
      </w:pPr>
      <w:r>
        <w:rPr>
          <w:rFonts w:eastAsia="黑体"/>
          <w:bCs/>
          <w:sz w:val="32"/>
          <w:szCs w:val="32"/>
          <w:highlight w:val="none"/>
        </w:rPr>
        <w:t>一、基本情况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pPr>
        <w:spacing w:line="560" w:lineRule="exact"/>
        <w:ind w:firstLine="640" w:firstLineChars="200"/>
        <w:rPr>
          <w:rStyle w:val="13"/>
          <w:rFonts w:hint="eastAsia" w:eastAsia="宋体"/>
          <w:bCs w:val="0"/>
          <w:spacing w:val="-4"/>
          <w:sz w:val="32"/>
          <w:szCs w:val="32"/>
          <w:highlight w:val="none"/>
          <w:lang w:eastAsia="zh-CN"/>
        </w:rPr>
      </w:pPr>
      <w:r>
        <w:rPr>
          <w:rFonts w:hint="eastAsia" w:ascii="仿宋" w:hAnsi="仿宋" w:eastAsia="仿宋" w:cs="仿宋"/>
          <w:sz w:val="32"/>
          <w:szCs w:val="32"/>
          <w:highlight w:val="none"/>
        </w:rPr>
        <w:t>2023年以来，在医院党委的正确领导下，在上级部门的关心指导下，在医院各科室的配合下，我院政府采购工作严格按照《中华人民共和国政府采购法》《中华人民共和国招投标法》等国家和自治区相关法律法规，强化医院采购工作，合理编制医院采购预算，坚持“无预算，不采购”。紧紧围绕医院项目建设，不断探索新方法，及时、有效地开展各类采购项目的实施，切实维护医院政府采购工作公平、公开、公正、透明的秩序</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认真完成各项政府采购任务。</w:t>
      </w:r>
    </w:p>
    <w:p>
      <w:pPr>
        <w:pStyle w:val="8"/>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pPr>
        <w:spacing w:line="560" w:lineRule="exact"/>
        <w:ind w:firstLine="640" w:firstLineChars="200"/>
        <w:rPr>
          <w:highlight w:val="none"/>
        </w:rPr>
      </w:pPr>
      <w:r>
        <w:rPr>
          <w:rFonts w:hint="eastAsia" w:eastAsia="仿宋_GB2312"/>
          <w:sz w:val="32"/>
          <w:szCs w:val="32"/>
          <w:highlight w:val="none"/>
        </w:rPr>
        <w:t>为合理配置设备资源，科学统筹和规划经费使用。通过医疗设备、网络设备、办公设备等资产的新增和更新换代，更大程度</w:t>
      </w:r>
      <w:r>
        <w:rPr>
          <w:rFonts w:hint="eastAsia" w:eastAsia="仿宋_GB2312"/>
          <w:sz w:val="32"/>
          <w:szCs w:val="32"/>
          <w:highlight w:val="none"/>
          <w:lang w:eastAsia="zh-CN"/>
        </w:rPr>
        <w:t>地</w:t>
      </w:r>
      <w:r>
        <w:rPr>
          <w:rFonts w:hint="eastAsia" w:eastAsia="仿宋_GB2312"/>
          <w:sz w:val="32"/>
          <w:szCs w:val="32"/>
          <w:highlight w:val="none"/>
        </w:rPr>
        <w:t>满足患者医疗服务需求，使诊疗速度更快，服务效率更高，患者就医更加方便、舒适。</w:t>
      </w:r>
    </w:p>
    <w:p>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32,718.81</w:t>
      </w:r>
      <w:r>
        <w:rPr>
          <w:rFonts w:eastAsia="仿宋_GB2312"/>
          <w:sz w:val="32"/>
          <w:szCs w:val="32"/>
          <w:highlight w:val="none"/>
        </w:rPr>
        <w:t>万元，其中：财政</w:t>
      </w:r>
      <w:r>
        <w:rPr>
          <w:rFonts w:hint="eastAsia" w:eastAsia="仿宋_GB2312"/>
          <w:sz w:val="32"/>
          <w:szCs w:val="32"/>
          <w:highlight w:val="none"/>
        </w:rPr>
        <w:t>拨款</w:t>
      </w:r>
      <w:r>
        <w:rPr>
          <w:rFonts w:eastAsia="仿宋_GB2312"/>
          <w:sz w:val="32"/>
          <w:szCs w:val="32"/>
          <w:highlight w:val="none"/>
        </w:rPr>
        <w:t>资金</w:t>
      </w:r>
      <w:r>
        <w:rPr>
          <w:rFonts w:hint="eastAsia" w:eastAsia="仿宋_GB2312"/>
          <w:sz w:val="32"/>
          <w:szCs w:val="32"/>
          <w:highlight w:val="none"/>
          <w:lang w:val="en-US" w:eastAsia="zh-CN"/>
        </w:rPr>
        <w:t>0</w:t>
      </w:r>
      <w:r>
        <w:rPr>
          <w:rFonts w:eastAsia="仿宋_GB2312"/>
          <w:sz w:val="32"/>
          <w:szCs w:val="32"/>
          <w:highlight w:val="none"/>
        </w:rPr>
        <w:t>万元。</w:t>
      </w:r>
      <w:r>
        <w:rPr>
          <w:rFonts w:hint="eastAsia" w:eastAsia="仿宋_GB2312"/>
          <w:sz w:val="32"/>
          <w:szCs w:val="32"/>
          <w:highlight w:val="none"/>
        </w:rPr>
        <w:t>其他资金</w:t>
      </w:r>
      <w:r>
        <w:rPr>
          <w:rFonts w:hint="eastAsia" w:eastAsia="仿宋_GB2312"/>
          <w:sz w:val="32"/>
          <w:szCs w:val="32"/>
          <w:highlight w:val="none"/>
          <w:lang w:val="en-US" w:eastAsia="zh-CN"/>
        </w:rPr>
        <w:t>32,718.81</w:t>
      </w:r>
      <w:r>
        <w:rPr>
          <w:rFonts w:hint="eastAsia" w:eastAsia="仿宋_GB2312"/>
          <w:sz w:val="32"/>
          <w:szCs w:val="32"/>
          <w:highlight w:val="none"/>
        </w:rPr>
        <w:t>万元。</w:t>
      </w:r>
      <w:r>
        <w:rPr>
          <w:rFonts w:eastAsia="仿宋_GB2312"/>
          <w:sz w:val="32"/>
          <w:szCs w:val="32"/>
          <w:highlight w:val="none"/>
        </w:rPr>
        <w:t>项目实际支出</w:t>
      </w:r>
      <w:r>
        <w:rPr>
          <w:rFonts w:hint="eastAsia" w:eastAsia="仿宋_GB2312"/>
          <w:sz w:val="32"/>
          <w:szCs w:val="32"/>
          <w:highlight w:val="none"/>
          <w:lang w:val="en-US" w:eastAsia="zh-CN"/>
        </w:rPr>
        <w:t>33,514.64</w:t>
      </w:r>
      <w:r>
        <w:rPr>
          <w:rFonts w:eastAsia="仿宋_GB2312"/>
          <w:sz w:val="32"/>
          <w:szCs w:val="32"/>
          <w:highlight w:val="none"/>
        </w:rPr>
        <w:t>万元，支出率为</w:t>
      </w:r>
      <w:r>
        <w:rPr>
          <w:rFonts w:hint="eastAsia" w:eastAsia="仿宋_GB2312"/>
          <w:sz w:val="32"/>
          <w:szCs w:val="32"/>
          <w:highlight w:val="none"/>
          <w:lang w:val="en-US" w:eastAsia="zh-CN"/>
        </w:rPr>
        <w:t>100.00</w:t>
      </w:r>
      <w:r>
        <w:rPr>
          <w:rFonts w:eastAsia="仿宋_GB2312"/>
          <w:sz w:val="32"/>
          <w:szCs w:val="32"/>
          <w:highlight w:val="none"/>
        </w:rPr>
        <w:t>%。</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（1）资金投入情况</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该项目年初预算数</w:t>
      </w:r>
      <w:r>
        <w:rPr>
          <w:rFonts w:hint="eastAsia" w:eastAsia="仿宋_GB2312"/>
          <w:sz w:val="32"/>
          <w:szCs w:val="32"/>
          <w:highlight w:val="none"/>
          <w:lang w:val="en-US" w:eastAsia="zh-CN"/>
        </w:rPr>
        <w:t>32,718.81</w:t>
      </w:r>
      <w:r>
        <w:rPr>
          <w:rFonts w:hint="eastAsia" w:eastAsia="仿宋_GB2312"/>
          <w:sz w:val="32"/>
          <w:szCs w:val="32"/>
          <w:highlight w:val="none"/>
        </w:rPr>
        <w:t>万元，全年预算数</w:t>
      </w:r>
      <w:r>
        <w:rPr>
          <w:rFonts w:hint="eastAsia" w:eastAsia="仿宋_GB2312"/>
          <w:sz w:val="32"/>
          <w:szCs w:val="32"/>
          <w:highlight w:val="none"/>
          <w:lang w:val="en-US" w:eastAsia="zh-CN"/>
        </w:rPr>
        <w:t>33,514.64</w:t>
      </w:r>
      <w:r>
        <w:rPr>
          <w:rFonts w:hint="eastAsia" w:eastAsia="仿宋_GB2312"/>
          <w:sz w:val="32"/>
          <w:szCs w:val="32"/>
          <w:highlight w:val="none"/>
        </w:rPr>
        <w:t>万元，实际总投入</w:t>
      </w:r>
      <w:r>
        <w:rPr>
          <w:rFonts w:hint="eastAsia" w:eastAsia="仿宋_GB2312"/>
          <w:sz w:val="32"/>
          <w:szCs w:val="32"/>
          <w:highlight w:val="none"/>
          <w:lang w:val="en-US" w:eastAsia="zh-CN"/>
        </w:rPr>
        <w:t>33,514.64</w:t>
      </w:r>
      <w:r>
        <w:rPr>
          <w:rFonts w:hint="eastAsia" w:eastAsia="仿宋_GB2312"/>
          <w:sz w:val="32"/>
          <w:szCs w:val="32"/>
          <w:highlight w:val="none"/>
        </w:rPr>
        <w:t>万元，该项目资金已全部落实到位，资金来源为</w:t>
      </w:r>
      <w:r>
        <w:rPr>
          <w:rFonts w:hint="eastAsia" w:eastAsia="仿宋_GB2312"/>
          <w:sz w:val="32"/>
          <w:szCs w:val="32"/>
          <w:highlight w:val="none"/>
          <w:lang w:val="en-US" w:eastAsia="zh-CN"/>
        </w:rPr>
        <w:t>其他资金</w:t>
      </w:r>
      <w:r>
        <w:rPr>
          <w:rFonts w:hint="eastAsia" w:eastAsia="仿宋_GB2312"/>
          <w:sz w:val="32"/>
          <w:szCs w:val="32"/>
          <w:highlight w:val="none"/>
        </w:rPr>
        <w:t>。</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（2）资金使用情况</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该项目年初预算数</w:t>
      </w:r>
      <w:r>
        <w:rPr>
          <w:rFonts w:hint="eastAsia" w:eastAsia="仿宋_GB2312"/>
          <w:sz w:val="32"/>
          <w:szCs w:val="32"/>
          <w:highlight w:val="none"/>
          <w:lang w:val="en-US" w:eastAsia="zh-CN"/>
        </w:rPr>
        <w:t>32,718.81</w:t>
      </w:r>
      <w:r>
        <w:rPr>
          <w:rFonts w:hint="eastAsia" w:eastAsia="仿宋_GB2312"/>
          <w:sz w:val="32"/>
          <w:szCs w:val="32"/>
          <w:highlight w:val="none"/>
        </w:rPr>
        <w:t>万元，全年预算数</w:t>
      </w:r>
      <w:r>
        <w:rPr>
          <w:rFonts w:hint="eastAsia" w:eastAsia="仿宋_GB2312"/>
          <w:sz w:val="32"/>
          <w:szCs w:val="32"/>
          <w:highlight w:val="none"/>
          <w:lang w:val="en-US" w:eastAsia="zh-CN"/>
        </w:rPr>
        <w:t>33,514.64</w:t>
      </w:r>
      <w:r>
        <w:rPr>
          <w:rFonts w:hint="eastAsia"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rPr>
        <w:t>全年执行数</w:t>
      </w:r>
      <w:r>
        <w:rPr>
          <w:rFonts w:hint="eastAsia" w:eastAsia="仿宋_GB2312"/>
          <w:sz w:val="32"/>
          <w:szCs w:val="32"/>
          <w:highlight w:val="none"/>
          <w:lang w:val="en-US" w:eastAsia="zh-CN"/>
        </w:rPr>
        <w:t>33,514.64</w:t>
      </w:r>
      <w:r>
        <w:rPr>
          <w:rFonts w:hint="eastAsia" w:eastAsia="仿宋_GB2312"/>
          <w:sz w:val="32"/>
          <w:szCs w:val="32"/>
          <w:highlight w:val="none"/>
        </w:rPr>
        <w:t>万元，预算执行率为</w:t>
      </w:r>
      <w:r>
        <w:rPr>
          <w:rFonts w:hint="eastAsia" w:eastAsia="仿宋_GB2312"/>
          <w:sz w:val="32"/>
          <w:szCs w:val="32"/>
          <w:highlight w:val="none"/>
          <w:lang w:val="en-US" w:eastAsia="zh-CN"/>
        </w:rPr>
        <w:t>100.00</w:t>
      </w:r>
      <w:r>
        <w:rPr>
          <w:rFonts w:hint="eastAsia" w:eastAsia="仿宋_GB2312"/>
          <w:sz w:val="32"/>
          <w:szCs w:val="32"/>
          <w:highlight w:val="none"/>
        </w:rPr>
        <w:t>%，主要用于：</w:t>
      </w:r>
      <w:r>
        <w:rPr>
          <w:rFonts w:hint="eastAsia" w:eastAsia="仿宋_GB2312"/>
          <w:b w:val="0"/>
          <w:bCs w:val="0"/>
          <w:sz w:val="32"/>
          <w:szCs w:val="32"/>
          <w:highlight w:val="none"/>
          <w:lang w:val="en-US" w:eastAsia="zh-CN"/>
        </w:rPr>
        <w:t>医用专用设备购置、通用设备购置、设备维保及信息系统维保等支出</w:t>
      </w:r>
      <w:r>
        <w:rPr>
          <w:rFonts w:hint="eastAsia" w:eastAsia="仿宋_GB2312"/>
          <w:sz w:val="32"/>
          <w:szCs w:val="32"/>
          <w:highlight w:val="none"/>
        </w:rPr>
        <w:t>。</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pPr>
        <w:spacing w:line="560" w:lineRule="exact"/>
        <w:ind w:firstLine="640" w:firstLineChars="200"/>
        <w:rPr>
          <w:rFonts w:hint="default" w:eastAsia="宋体"/>
          <w:highlight w:val="none"/>
          <w:lang w:val="en-US" w:eastAsia="zh-CN"/>
        </w:rPr>
      </w:pPr>
      <w:r>
        <w:rPr>
          <w:rFonts w:hint="eastAsia" w:eastAsia="仿宋_GB2312"/>
          <w:sz w:val="32"/>
          <w:szCs w:val="32"/>
          <w:highlight w:val="none"/>
          <w:lang w:val="en-US" w:eastAsia="zh-CN"/>
        </w:rPr>
        <w:t>加强政府采购工作；进一步规范政府采购行为；提高资金使用效益。</w:t>
      </w:r>
    </w:p>
    <w:p>
      <w:pPr>
        <w:spacing w:line="560" w:lineRule="exact"/>
        <w:ind w:firstLine="640" w:firstLineChars="200"/>
        <w:rPr>
          <w:highlight w:val="none"/>
        </w:rPr>
      </w:pPr>
      <w:r>
        <w:rPr>
          <w:rFonts w:eastAsia="仿宋_GB2312"/>
          <w:sz w:val="32"/>
          <w:szCs w:val="32"/>
          <w:highlight w:val="none"/>
        </w:rPr>
        <w:t>2、阶段性目标</w:t>
      </w:r>
    </w:p>
    <w:p>
      <w:pPr>
        <w:spacing w:line="56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pPr>
        <w:spacing w:line="56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8"/>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pPr>
        <w:pStyle w:val="16"/>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eastAsia="仿宋_GB2312"/>
          <w:sz w:val="32"/>
          <w:szCs w:val="32"/>
          <w:highlight w:val="none"/>
        </w:rPr>
      </w:pPr>
      <w:r>
        <w:rPr>
          <w:rFonts w:eastAsia="仿宋_GB2312"/>
          <w:sz w:val="32"/>
          <w:szCs w:val="32"/>
          <w:highlight w:val="none"/>
        </w:rPr>
        <w:t>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pPr>
        <w:pStyle w:val="8"/>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2023年医院政府采购项目</w:t>
      </w:r>
      <w:r>
        <w:rPr>
          <w:rFonts w:hint="eastAsia" w:ascii="仿宋_GB2312" w:hAnsi="仿宋_GB2312" w:eastAsia="仿宋_GB2312" w:cs="仿宋_GB2312"/>
          <w:sz w:val="32"/>
          <w:szCs w:val="32"/>
          <w:highlight w:val="none"/>
        </w:rPr>
        <w:t>所包含的全部项目内容。</w:t>
      </w:r>
    </w:p>
    <w:p>
      <w:pPr>
        <w:pStyle w:val="8"/>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2023年医院政府采购项目</w:t>
      </w:r>
      <w:r>
        <w:rPr>
          <w:rFonts w:hint="eastAsia" w:ascii="仿宋_GB2312" w:hAnsi="仿宋_GB2312" w:eastAsia="仿宋_GB2312" w:cs="仿宋_GB2312"/>
          <w:sz w:val="32"/>
          <w:szCs w:val="32"/>
          <w:highlight w:val="none"/>
        </w:rPr>
        <w:t>的决策、过程、产出、效益等。</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highlight w:val="none"/>
        </w:rPr>
      </w:pPr>
      <w:r>
        <w:rPr>
          <w:rFonts w:eastAsia="楷体_GB2312"/>
          <w:b/>
          <w:bCs/>
          <w:sz w:val="32"/>
          <w:szCs w:val="32"/>
          <w:highlight w:val="none"/>
        </w:rPr>
        <w:t>（二）绩效评价原则、评价指标体系（详情见表1）、评价方法、评价标准。</w:t>
      </w:r>
    </w:p>
    <w:p>
      <w:pPr>
        <w:pStyle w:val="8"/>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8"/>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pPr>
        <w:pStyle w:val="8"/>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8"/>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8"/>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pPr>
        <w:pStyle w:val="8"/>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8"/>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pPr>
        <w:pStyle w:val="8"/>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pPr>
        <w:pStyle w:val="8"/>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8"/>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pPr>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绩效评价标准通常包括计划标准、行业标准、历史标准等，用于对绩效指标完成情况进行比较、分析、评价。本次评价主要采用了</w:t>
      </w:r>
      <w:r>
        <w:rPr>
          <w:rFonts w:hint="eastAsia" w:ascii="仿宋_GB2312" w:hAnsi="仿宋_GB2312" w:eastAsia="仿宋_GB2312" w:cs="仿宋_GB2312"/>
          <w:color w:val="auto"/>
          <w:sz w:val="32"/>
          <w:szCs w:val="32"/>
          <w:highlight w:val="none"/>
          <w:lang w:val="en-US" w:eastAsia="zh-CN"/>
        </w:rPr>
        <w:t>历史标准</w:t>
      </w:r>
      <w:r>
        <w:rPr>
          <w:rFonts w:hint="eastAsia" w:ascii="仿宋_GB2312" w:hAnsi="仿宋_GB2312" w:eastAsia="仿宋_GB2312" w:cs="仿宋_GB2312"/>
          <w:color w:val="auto"/>
          <w:sz w:val="32"/>
          <w:szCs w:val="32"/>
          <w:highlight w:val="none"/>
        </w:rPr>
        <w:t>。</w:t>
      </w:r>
    </w:p>
    <w:p>
      <w:pPr>
        <w:spacing w:line="560" w:lineRule="exact"/>
        <w:ind w:firstLine="640"/>
        <w:rPr>
          <w:rFonts w:eastAsia="方正仿宋_GBK" w:cs="方正仿宋_GBK"/>
          <w:sz w:val="32"/>
          <w:szCs w:val="32"/>
          <w:highlight w:val="none"/>
        </w:rPr>
      </w:pPr>
      <w:bookmarkStart w:id="0" w:name="_Toc430"/>
      <w:bookmarkStart w:id="1" w:name="_Toc16028"/>
      <w:r>
        <w:rPr>
          <w:rFonts w:hint="eastAsia" w:ascii="仿宋_GB2312" w:hAnsi="仿宋_GB2312" w:eastAsia="仿宋_GB2312" w:cs="仿宋_GB2312"/>
          <w:b/>
          <w:bCs/>
          <w:color w:val="auto"/>
          <w:sz w:val="32"/>
          <w:szCs w:val="32"/>
          <w:highlight w:val="none"/>
        </w:rPr>
        <w:t>历史标准：</w:t>
      </w:r>
      <w:r>
        <w:rPr>
          <w:rFonts w:hint="eastAsia" w:ascii="仿宋_GB2312" w:hAnsi="仿宋_GB2312" w:eastAsia="仿宋_GB2312" w:cs="仿宋_GB2312"/>
          <w:color w:val="auto"/>
          <w:sz w:val="32"/>
          <w:szCs w:val="32"/>
          <w:highlight w:val="none"/>
        </w:rPr>
        <w:t>指参照历史数据制定的评价标准，为体现绩效改进的原则，在可实现的条件下应当确定相对较高的评价标准。</w:t>
      </w:r>
      <w:bookmarkEnd w:id="0"/>
      <w:bookmarkEnd w:id="1"/>
    </w:p>
    <w:p>
      <w:pPr>
        <w:pStyle w:val="8"/>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560" w:lineRule="exact"/>
        <w:ind w:firstLine="640" w:firstLineChars="200"/>
        <w:rPr>
          <w:rFonts w:hint="eastAsia" w:eastAsia="仿宋_GB2312"/>
          <w:bCs/>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eastAsia="黑体"/>
          <w:sz w:val="32"/>
          <w:szCs w:val="32"/>
          <w:highlight w:val="none"/>
        </w:rPr>
      </w:pPr>
      <w:r>
        <w:rPr>
          <w:rFonts w:hint="eastAsia" w:eastAsia="黑体"/>
          <w:sz w:val="32"/>
          <w:szCs w:val="32"/>
          <w:highlight w:val="none"/>
          <w:lang w:val="en-US" w:eastAsia="zh-CN"/>
        </w:rPr>
        <w:t>三、</w:t>
      </w:r>
      <w:r>
        <w:rPr>
          <w:rFonts w:eastAsia="黑体"/>
          <w:sz w:val="32"/>
          <w:szCs w:val="32"/>
          <w:highlight w:val="none"/>
        </w:rPr>
        <w:t>综合评价情况及评价结论（附相关评分表）</w:t>
      </w:r>
    </w:p>
    <w:p>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（一）评价情况</w:t>
      </w:r>
    </w:p>
    <w:p>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项目总体组织规范，在项目实施过</w:t>
      </w:r>
      <w:r>
        <w:rPr>
          <w:rFonts w:hint="eastAsia" w:ascii="Times New Roman" w:hAnsi="Times New Roman" w:eastAsia="仿宋_GB2312"/>
          <w:b w:val="0"/>
          <w:bCs w:val="0"/>
          <w:color w:val="auto"/>
          <w:highlight w:val="none"/>
          <w:lang w:eastAsia="zh-CN"/>
        </w:rPr>
        <w:t>程中</w:t>
      </w:r>
      <w:r>
        <w:rPr>
          <w:rFonts w:hint="eastAsia" w:ascii="Times New Roman" w:hAnsi="Times New Roman" w:eastAsia="仿宋_GB2312"/>
          <w:b w:val="0"/>
          <w:bCs w:val="0"/>
          <w:color w:val="auto"/>
          <w:highlight w:val="none"/>
        </w:rPr>
        <w:t>做到认真履职，监督到位。按照相关制度的要求，项目负责人对项目绩效监控执行情况进行跟踪监督，有效完成了本项目的工作目标，确保资金使用安全和最大效益</w:t>
      </w:r>
      <w:r>
        <w:rPr>
          <w:rFonts w:hint="eastAsia" w:ascii="Times New Roman" w:hAnsi="Times New Roman" w:eastAsia="仿宋_GB2312"/>
          <w:b w:val="0"/>
          <w:bCs w:val="0"/>
          <w:color w:val="auto"/>
          <w:highlight w:val="none"/>
          <w:lang w:eastAsia="zh-CN"/>
        </w:rPr>
        <w:t>地</w:t>
      </w:r>
      <w:r>
        <w:rPr>
          <w:rFonts w:hint="eastAsia" w:ascii="Times New Roman" w:hAnsi="Times New Roman" w:eastAsia="仿宋_GB2312"/>
          <w:b w:val="0"/>
          <w:bCs w:val="0"/>
          <w:color w:val="auto"/>
          <w:highlight w:val="none"/>
        </w:rPr>
        <w:t>发挥，保障项目如期按要求完成。规范了项目档案资料的整理。项目的实施达到项目预期效果。</w:t>
      </w:r>
    </w:p>
    <w:p>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（二）评价结论</w:t>
      </w:r>
    </w:p>
    <w:p>
      <w:pPr>
        <w:pStyle w:val="8"/>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color w:val="auto"/>
          <w:highlight w:val="none"/>
        </w:rPr>
        <w:t>对</w:t>
      </w:r>
      <w:r>
        <w:rPr>
          <w:rFonts w:hint="eastAsia" w:ascii="Times New Roman" w:hAnsi="Times New Roman" w:eastAsia="仿宋_GB2312"/>
          <w:b w:val="0"/>
          <w:bCs w:val="0"/>
          <w:color w:val="auto"/>
          <w:highlight w:val="none"/>
          <w:lang w:val="en-US" w:eastAsia="zh-CN"/>
        </w:rPr>
        <w:t>2023年医院政府采购</w:t>
      </w:r>
      <w:r>
        <w:rPr>
          <w:rFonts w:ascii="Times New Roman" w:hAnsi="Times New Roman" w:eastAsia="仿宋_GB2312"/>
          <w:b w:val="0"/>
          <w:bCs w:val="0"/>
          <w:color w:val="auto"/>
          <w:highlight w:val="none"/>
        </w:rPr>
        <w:t>项目进行客观评价，最终评分结果：总得分为</w:t>
      </w:r>
      <w:r>
        <w:rPr>
          <w:rFonts w:hint="eastAsia" w:ascii="Times New Roman" w:hAnsi="Times New Roman" w:eastAsia="仿宋_GB2312"/>
          <w:b w:val="0"/>
          <w:bCs w:val="0"/>
          <w:color w:val="auto"/>
          <w:highlight w:val="none"/>
          <w:lang w:val="en-US" w:eastAsia="zh-CN"/>
        </w:rPr>
        <w:t>85.92</w:t>
      </w:r>
      <w:r>
        <w:rPr>
          <w:rFonts w:ascii="Times New Roman" w:hAnsi="Times New Roman" w:eastAsia="仿宋_GB2312"/>
          <w:b w:val="0"/>
          <w:bCs w:val="0"/>
          <w:color w:val="auto"/>
          <w:highlight w:val="none"/>
        </w:rPr>
        <w:t>分，属于“</w:t>
      </w:r>
      <w:r>
        <w:rPr>
          <w:rFonts w:hint="eastAsia" w:ascii="Times New Roman" w:hAnsi="Times New Roman" w:eastAsia="仿宋_GB2312"/>
          <w:b w:val="0"/>
          <w:bCs w:val="0"/>
          <w:color w:val="auto"/>
          <w:highlight w:val="none"/>
          <w:lang w:val="en-US" w:eastAsia="zh-CN"/>
        </w:rPr>
        <w:t>良</w:t>
      </w:r>
      <w:r>
        <w:rPr>
          <w:rFonts w:ascii="Times New Roman" w:hAnsi="Times New Roman" w:eastAsia="仿宋_GB2312"/>
          <w:b w:val="0"/>
          <w:bCs w:val="0"/>
          <w:color w:val="auto"/>
          <w:highlight w:val="none"/>
        </w:rPr>
        <w:t>”。其中，项目决策类指标权重为20分，得分为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26.55</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66.38</w:t>
      </w:r>
      <w:r>
        <w:rPr>
          <w:rFonts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19.37</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96.85</w:t>
      </w:r>
      <w:r>
        <w:rPr>
          <w:rFonts w:ascii="Times New Roman" w:hAnsi="Times New Roman" w:eastAsia="仿宋_GB2312"/>
          <w:b w:val="0"/>
          <w:bCs w:val="0"/>
          <w:color w:val="auto"/>
          <w:highlight w:val="none"/>
        </w:rPr>
        <w:t>%</w:t>
      </w:r>
      <w:r>
        <w:rPr>
          <w:rFonts w:ascii="Times New Roman" w:hAnsi="Times New Roman" w:eastAsia="仿宋_GB2312"/>
          <w:b w:val="0"/>
          <w:bCs w:val="0"/>
          <w:highlight w:val="none"/>
        </w:rPr>
        <w:t>。</w:t>
      </w:r>
    </w:p>
    <w:p>
      <w:pPr>
        <w:jc w:val="center"/>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表1综合评分表</w:t>
      </w:r>
    </w:p>
    <w:p>
      <w:pPr>
        <w:rPr>
          <w:highlight w:val="none"/>
        </w:rPr>
      </w:pPr>
    </w:p>
    <w:p>
      <w:pPr>
        <w:widowControl/>
        <w:spacing w:line="0" w:lineRule="atLeast"/>
        <w:rPr>
          <w:b/>
          <w:bCs/>
          <w:color w:val="000000"/>
          <w:kern w:val="0"/>
          <w:sz w:val="22"/>
          <w:szCs w:val="22"/>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1"/>
        <w:tblpPr w:leftFromText="180" w:rightFromText="180" w:vertAnchor="text" w:horzAnchor="page" w:tblpX="1308" w:tblpY="-10650"/>
        <w:tblOverlap w:val="never"/>
        <w:tblW w:w="4983"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43"/>
        <w:gridCol w:w="843"/>
        <w:gridCol w:w="1102"/>
        <w:gridCol w:w="1475"/>
        <w:gridCol w:w="612"/>
        <w:gridCol w:w="892"/>
        <w:gridCol w:w="1005"/>
        <w:gridCol w:w="1044"/>
        <w:gridCol w:w="8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98" w:hRule="atLeast"/>
          <w:tblHeader/>
        </w:trPr>
        <w:tc>
          <w:tcPr>
            <w:tcW w:w="540" w:type="pct"/>
            <w:shd w:val="clear" w:color="auto" w:fill="BFBFBF"/>
            <w:vAlign w:val="center"/>
          </w:tcPr>
          <w:p>
            <w:pPr>
              <w:widowControl/>
              <w:spacing w:line="0" w:lineRule="atLeast"/>
              <w:rPr>
                <w:b/>
                <w:bCs/>
                <w:color w:val="000000"/>
                <w:kern w:val="0"/>
                <w:sz w:val="22"/>
                <w:szCs w:val="22"/>
                <w:highlight w:val="none"/>
              </w:rPr>
            </w:pPr>
            <w:r>
              <w:rPr>
                <w:b/>
                <w:bCs/>
                <w:color w:val="000000"/>
                <w:kern w:val="0"/>
                <w:sz w:val="22"/>
                <w:szCs w:val="22"/>
                <w:highlight w:val="none"/>
              </w:rPr>
              <w:br w:type="textWrapping"/>
            </w:r>
            <w:r>
              <w:rPr>
                <w:b/>
                <w:bCs/>
                <w:color w:val="000000"/>
                <w:kern w:val="0"/>
                <w:sz w:val="22"/>
                <w:szCs w:val="22"/>
                <w:highlight w:val="none"/>
              </w:rPr>
              <w:t>一级指标</w:t>
            </w:r>
          </w:p>
        </w:tc>
        <w:tc>
          <w:tcPr>
            <w:tcW w:w="483" w:type="pct"/>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631" w:type="pct"/>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44" w:type="pct"/>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350" w:type="pct"/>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10" w:type="pct"/>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573" w:type="pct"/>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597" w:type="pct"/>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468" w:type="pct"/>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20分</w:t>
            </w: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573"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597" w:type="pct"/>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rFonts w:hint="default"/>
                <w:highlight w:val="none"/>
                <w:lang w:val="en-US" w:eastAsia="zh-CN"/>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continue"/>
            <w:shd w:val="clear" w:color="auto" w:fill="FFFFFF"/>
            <w:vAlign w:val="center"/>
          </w:tcPr>
          <w:p>
            <w:pPr>
              <w:widowControl/>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573"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597"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continue"/>
            <w:shd w:val="clear" w:color="auto" w:fill="FFFFFF"/>
            <w:vAlign w:val="center"/>
          </w:tcPr>
          <w:p>
            <w:pPr>
              <w:widowControl/>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spacing w:line="0" w:lineRule="atLeast"/>
              <w:jc w:val="center"/>
              <w:rPr>
                <w:color w:val="000000"/>
                <w:kern w:val="0"/>
                <w:sz w:val="22"/>
                <w:szCs w:val="22"/>
                <w:highlight w:val="none"/>
              </w:rPr>
            </w:pP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573"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597"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continue"/>
            <w:shd w:val="clear" w:color="auto" w:fill="FFFFFF"/>
            <w:vAlign w:val="center"/>
          </w:tcPr>
          <w:p>
            <w:pPr>
              <w:widowControl/>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73"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97"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p>
            <w:pPr>
              <w:spacing w:line="0" w:lineRule="atLeas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20分</w:t>
            </w: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spacing w:line="0" w:lineRule="atLeast"/>
              <w:jc w:val="center"/>
              <w:rPr>
                <w:color w:val="000000"/>
                <w:kern w:val="0"/>
                <w:sz w:val="22"/>
                <w:szCs w:val="22"/>
                <w:highlight w:val="none"/>
              </w:rPr>
            </w:pPr>
          </w:p>
        </w:tc>
        <w:tc>
          <w:tcPr>
            <w:tcW w:w="631" w:type="pct"/>
            <w:vMerge w:val="continue"/>
            <w:shd w:val="clear" w:color="auto" w:fill="FFFFFF"/>
            <w:vAlign w:val="center"/>
          </w:tcPr>
          <w:p>
            <w:pPr>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73"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597"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spacing w:line="0" w:lineRule="atLeast"/>
              <w:jc w:val="center"/>
              <w:rPr>
                <w:color w:val="000000"/>
                <w:kern w:val="0"/>
                <w:sz w:val="22"/>
                <w:szCs w:val="22"/>
                <w:highlight w:val="none"/>
              </w:rPr>
            </w:pP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9"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continue"/>
            <w:shd w:val="clear" w:color="auto" w:fill="FFFFFF"/>
            <w:vAlign w:val="center"/>
          </w:tcPr>
          <w:p>
            <w:pPr>
              <w:widowControl/>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483" w:type="pct"/>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40分</w:t>
            </w:r>
          </w:p>
        </w:tc>
        <w:tc>
          <w:tcPr>
            <w:tcW w:w="6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272.41</w:t>
            </w:r>
            <w:r>
              <w:rPr>
                <w:color w:val="000000"/>
                <w:kern w:val="0"/>
                <w:sz w:val="22"/>
                <w:szCs w:val="22"/>
                <w:highlight w:val="none"/>
              </w:rPr>
              <w:t>%</w:t>
            </w:r>
          </w:p>
        </w:tc>
        <w:tc>
          <w:tcPr>
            <w:tcW w:w="597"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23.5%</w:t>
            </w:r>
          </w:p>
        </w:tc>
        <w:tc>
          <w:tcPr>
            <w:tcW w:w="468"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2.35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continue"/>
            <w:shd w:val="clear" w:color="auto" w:fill="FFFFFF"/>
            <w:vAlign w:val="center"/>
          </w:tcPr>
          <w:p>
            <w:pPr>
              <w:spacing w:line="0" w:lineRule="atLeast"/>
              <w:jc w:val="center"/>
              <w:rPr>
                <w:color w:val="000000"/>
                <w:kern w:val="0"/>
                <w:sz w:val="22"/>
                <w:szCs w:val="22"/>
                <w:highlight w:val="none"/>
              </w:rPr>
            </w:pPr>
          </w:p>
        </w:tc>
        <w:tc>
          <w:tcPr>
            <w:tcW w:w="483" w:type="pct"/>
            <w:vMerge w:val="continue"/>
            <w:shd w:val="clear" w:color="auto" w:fill="FFFFFF"/>
            <w:vAlign w:val="center"/>
          </w:tcPr>
          <w:p>
            <w:pPr>
              <w:spacing w:line="0" w:lineRule="atLeast"/>
              <w:jc w:val="center"/>
              <w:rPr>
                <w:color w:val="000000"/>
                <w:kern w:val="0"/>
                <w:sz w:val="22"/>
                <w:szCs w:val="22"/>
                <w:highlight w:val="none"/>
              </w:rPr>
            </w:pPr>
          </w:p>
        </w:tc>
        <w:tc>
          <w:tcPr>
            <w:tcW w:w="631"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573"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597"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42</w:t>
            </w:r>
            <w:r>
              <w:rPr>
                <w:color w:val="000000"/>
                <w:kern w:val="0"/>
                <w:sz w:val="22"/>
                <w:szCs w:val="22"/>
                <w:highlight w:val="none"/>
              </w:rPr>
              <w:t>%</w:t>
            </w:r>
          </w:p>
        </w:tc>
        <w:tc>
          <w:tcPr>
            <w:tcW w:w="597"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42%</w:t>
            </w:r>
          </w:p>
        </w:tc>
        <w:tc>
          <w:tcPr>
            <w:tcW w:w="468"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9" w:hRule="atLeast"/>
        </w:trPr>
        <w:tc>
          <w:tcPr>
            <w:tcW w:w="540"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483"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6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p>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35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73"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97"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468" w:type="pc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1" w:hRule="atLeast"/>
        </w:trPr>
        <w:tc>
          <w:tcPr>
            <w:tcW w:w="540" w:type="pct"/>
            <w:vMerge w:val="continue"/>
            <w:shd w:val="clear" w:color="auto" w:fill="FFFFFF"/>
            <w:vAlign w:val="center"/>
          </w:tcPr>
          <w:p>
            <w:pPr>
              <w:widowControl/>
              <w:spacing w:line="0" w:lineRule="atLeast"/>
              <w:jc w:val="center"/>
              <w:rPr>
                <w:color w:val="000000"/>
                <w:kern w:val="0"/>
                <w:sz w:val="22"/>
                <w:szCs w:val="22"/>
                <w:highlight w:val="none"/>
              </w:rPr>
            </w:pPr>
          </w:p>
        </w:tc>
        <w:tc>
          <w:tcPr>
            <w:tcW w:w="483" w:type="pct"/>
            <w:vMerge w:val="continue"/>
            <w:shd w:val="clear" w:color="auto" w:fill="FFFFFF"/>
            <w:vAlign w:val="center"/>
          </w:tcPr>
          <w:p>
            <w:pPr>
              <w:widowControl/>
              <w:spacing w:line="0" w:lineRule="atLeast"/>
              <w:jc w:val="center"/>
              <w:rPr>
                <w:color w:val="000000"/>
                <w:kern w:val="0"/>
                <w:sz w:val="22"/>
                <w:szCs w:val="22"/>
                <w:highlight w:val="none"/>
              </w:rPr>
            </w:pPr>
          </w:p>
        </w:tc>
        <w:tc>
          <w:tcPr>
            <w:tcW w:w="631" w:type="pct"/>
            <w:vMerge w:val="continue"/>
            <w:shd w:val="clear" w:color="auto" w:fill="FFFFFF"/>
            <w:vAlign w:val="center"/>
          </w:tcPr>
          <w:p>
            <w:pPr>
              <w:widowControl/>
              <w:spacing w:line="0" w:lineRule="atLeast"/>
              <w:jc w:val="center"/>
              <w:rPr>
                <w:color w:val="000000"/>
                <w:kern w:val="0"/>
                <w:sz w:val="22"/>
                <w:szCs w:val="22"/>
                <w:highlight w:val="none"/>
              </w:rPr>
            </w:pPr>
          </w:p>
        </w:tc>
        <w:tc>
          <w:tcPr>
            <w:tcW w:w="8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35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80</w:t>
            </w:r>
            <w:r>
              <w:rPr>
                <w:color w:val="000000"/>
                <w:kern w:val="0"/>
                <w:sz w:val="22"/>
                <w:szCs w:val="22"/>
                <w:highlight w:val="none"/>
              </w:rPr>
              <w:t>%</w:t>
            </w:r>
          </w:p>
        </w:tc>
        <w:tc>
          <w:tcPr>
            <w:tcW w:w="573" w:type="pct"/>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74.96</w:t>
            </w:r>
            <w:r>
              <w:rPr>
                <w:color w:val="000000"/>
                <w:kern w:val="0"/>
                <w:sz w:val="22"/>
                <w:szCs w:val="22"/>
                <w:highlight w:val="none"/>
              </w:rPr>
              <w:t>%</w:t>
            </w:r>
          </w:p>
        </w:tc>
        <w:tc>
          <w:tcPr>
            <w:tcW w:w="597"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93.70%</w:t>
            </w:r>
          </w:p>
        </w:tc>
        <w:tc>
          <w:tcPr>
            <w:tcW w:w="468" w:type="pct"/>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9.37</w:t>
            </w:r>
          </w:p>
        </w:tc>
      </w:tr>
    </w:tbl>
    <w:p>
      <w:pPr>
        <w:spacing w:line="560" w:lineRule="exact"/>
        <w:rPr>
          <w:rFonts w:eastAsia="黑体"/>
          <w:sz w:val="32"/>
          <w:szCs w:val="32"/>
          <w:highlight w:val="none"/>
        </w:rPr>
      </w:pPr>
      <w:r>
        <w:rPr>
          <w:rFonts w:eastAsia="黑体"/>
          <w:sz w:val="32"/>
          <w:szCs w:val="32"/>
          <w:highlight w:val="none"/>
        </w:rPr>
        <w:t>四、绩效评价指标分析</w:t>
      </w:r>
    </w:p>
    <w:p>
      <w:pPr>
        <w:pStyle w:val="8"/>
        <w:spacing w:before="0" w:after="0" w:line="560" w:lineRule="exact"/>
        <w:jc w:val="both"/>
        <w:rPr>
          <w:rFonts w:ascii="Times New Roman" w:hAnsi="Times New Roman" w:eastAsia="楷体_GB2312"/>
          <w:highlight w:val="none"/>
        </w:rPr>
      </w:pPr>
      <w:r>
        <w:rPr>
          <w:rFonts w:ascii="Times New Roman" w:hAnsi="Times New Roman" w:eastAsia="楷体_GB2312"/>
          <w:highlight w:val="none"/>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2"/>
          <w:szCs w:val="32"/>
          <w:highlight w:val="none"/>
        </w:rPr>
      </w:pPr>
      <w:r>
        <w:rPr>
          <w:rFonts w:hint="eastAsia" w:eastAsia="仿宋_GB2312"/>
          <w:color w:val="auto"/>
          <w:sz w:val="32"/>
          <w:szCs w:val="32"/>
          <w:highlight w:val="none"/>
        </w:rPr>
        <w:t>项目立项符合国家法律法规、国民经济发展规划和相关政策；符合行业发展规划和政策要求；与部门职责范围相符，属于部门履职所需；属于公共财政支持范围，符合中央、地方事权支出责任划分原则；</w:t>
      </w:r>
      <w:r>
        <w:rPr>
          <w:rFonts w:hint="eastAsia" w:eastAsia="仿宋_GB2312"/>
          <w:color w:val="auto"/>
          <w:sz w:val="32"/>
          <w:szCs w:val="32"/>
          <w:highlight w:val="none"/>
          <w:lang w:val="en-US" w:eastAsia="zh-CN"/>
        </w:rPr>
        <w:t>不</w:t>
      </w:r>
      <w:r>
        <w:rPr>
          <w:rFonts w:hint="eastAsia" w:eastAsia="仿宋_GB2312"/>
          <w:color w:val="auto"/>
          <w:sz w:val="32"/>
          <w:szCs w:val="32"/>
          <w:highlight w:val="none"/>
        </w:rPr>
        <w:t>与相关部门同类项目或部门内部相关项目重复。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2"/>
          <w:szCs w:val="32"/>
          <w:highlight w:val="none"/>
        </w:rPr>
      </w:pPr>
      <w:r>
        <w:rPr>
          <w:rFonts w:hint="eastAsia" w:eastAsia="仿宋_GB2312"/>
          <w:color w:val="auto"/>
          <w:sz w:val="32"/>
          <w:szCs w:val="32"/>
          <w:highlight w:val="none"/>
        </w:rPr>
        <w:t>项目按照规定的程序申请设立；审批文件、材料符合相关要求；事前已经过必要的可行性研究、专家论证、风险评估、绩效评估、集体决策。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3、绩效目标合理性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highlight w:val="none"/>
        </w:rPr>
      </w:pPr>
      <w:r>
        <w:rPr>
          <w:rFonts w:hint="eastAsia" w:eastAsia="仿宋_GB2312"/>
          <w:color w:val="auto"/>
          <w:sz w:val="32"/>
          <w:szCs w:val="32"/>
          <w:highlight w:val="none"/>
          <w:lang w:val="en-US" w:eastAsia="zh-CN"/>
        </w:rPr>
        <w:t>2023年医院政府采购</w:t>
      </w:r>
      <w:r>
        <w:rPr>
          <w:rFonts w:hint="eastAsia" w:eastAsia="仿宋_GB2312"/>
          <w:color w:val="auto"/>
          <w:sz w:val="32"/>
          <w:szCs w:val="32"/>
          <w:highlight w:val="none"/>
        </w:rPr>
        <w:t>项目设立了项目绩效目标，与</w:t>
      </w:r>
      <w:r>
        <w:rPr>
          <w:rFonts w:hint="eastAsia" w:eastAsia="仿宋_GB2312"/>
          <w:color w:val="auto"/>
          <w:sz w:val="32"/>
          <w:szCs w:val="32"/>
          <w:highlight w:val="none"/>
          <w:lang w:val="en-US" w:eastAsia="zh-CN"/>
        </w:rPr>
        <w:t>医院政府采购发展</w:t>
      </w:r>
      <w:r>
        <w:rPr>
          <w:rFonts w:hint="eastAsia" w:eastAsia="仿宋_GB2312"/>
          <w:color w:val="auto"/>
          <w:sz w:val="32"/>
          <w:szCs w:val="32"/>
          <w:highlight w:val="none"/>
        </w:rPr>
        <w:t>具有相关性，项目的预期产出效益和效果也均能符合正常的业绩水平，并且与预算确定的项目投资额或资金量相匹配。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4、绩效指标明确性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2"/>
          <w:szCs w:val="32"/>
          <w:highlight w:val="none"/>
        </w:rPr>
      </w:pPr>
      <w:bookmarkStart w:id="2" w:name="_Hlk68699917"/>
      <w:r>
        <w:rPr>
          <w:rFonts w:hint="eastAsia" w:eastAsia="仿宋_GB2312"/>
          <w:color w:val="auto"/>
          <w:sz w:val="32"/>
          <w:szCs w:val="32"/>
          <w:highlight w:val="none"/>
          <w:lang w:val="en-US" w:eastAsia="zh-CN"/>
        </w:rPr>
        <w:t>2023年医院政府采购</w:t>
      </w:r>
      <w:r>
        <w:rPr>
          <w:rFonts w:hint="eastAsia" w:eastAsia="仿宋_GB2312"/>
          <w:color w:val="auto"/>
          <w:sz w:val="32"/>
          <w:szCs w:val="32"/>
          <w:highlight w:val="none"/>
        </w:rPr>
        <w:t>项目将项目绩效目标细化分解为具体的绩效指标，一级指标共</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条，二级指标共</w:t>
      </w:r>
      <w:r>
        <w:rPr>
          <w:rFonts w:hint="eastAsia" w:eastAsia="仿宋_GB2312"/>
          <w:color w:val="auto"/>
          <w:sz w:val="32"/>
          <w:szCs w:val="32"/>
          <w:highlight w:val="none"/>
          <w:lang w:val="en-US" w:eastAsia="zh-CN"/>
        </w:rPr>
        <w:t>10</w:t>
      </w:r>
      <w:r>
        <w:rPr>
          <w:rFonts w:hint="eastAsia" w:eastAsia="仿宋_GB2312"/>
          <w:color w:val="auto"/>
          <w:sz w:val="32"/>
          <w:szCs w:val="32"/>
          <w:highlight w:val="none"/>
        </w:rPr>
        <w:t>条，三级指标共</w:t>
      </w:r>
      <w:r>
        <w:rPr>
          <w:rFonts w:hint="eastAsia" w:eastAsia="仿宋_GB2312"/>
          <w:color w:val="auto"/>
          <w:sz w:val="32"/>
          <w:szCs w:val="32"/>
          <w:highlight w:val="none"/>
          <w:lang w:val="en-US" w:eastAsia="zh-CN"/>
        </w:rPr>
        <w:t>18</w:t>
      </w:r>
      <w:r>
        <w:rPr>
          <w:rFonts w:hint="eastAsia" w:eastAsia="仿宋_GB2312"/>
          <w:color w:val="auto"/>
          <w:sz w:val="32"/>
          <w:szCs w:val="32"/>
          <w:highlight w:val="none"/>
        </w:rPr>
        <w:t>条，其中量化指标条数共</w:t>
      </w:r>
      <w:r>
        <w:rPr>
          <w:rFonts w:hint="eastAsia" w:eastAsia="仿宋_GB2312"/>
          <w:color w:val="auto"/>
          <w:sz w:val="32"/>
          <w:szCs w:val="32"/>
          <w:highlight w:val="none"/>
          <w:lang w:val="en-US" w:eastAsia="zh-CN"/>
        </w:rPr>
        <w:t>16</w:t>
      </w:r>
      <w:r>
        <w:rPr>
          <w:rFonts w:hint="eastAsia" w:eastAsia="仿宋_GB2312"/>
          <w:color w:val="auto"/>
          <w:sz w:val="32"/>
          <w:szCs w:val="32"/>
          <w:highlight w:val="none"/>
        </w:rPr>
        <w:t>条，所有绩效指标均通过清晰、可衡量的指标值予以体现，并且做到了与项目目标任务数或计划数相对应。</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5、预算编制科学性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2"/>
          <w:szCs w:val="32"/>
          <w:highlight w:val="none"/>
        </w:rPr>
      </w:pPr>
      <w:r>
        <w:rPr>
          <w:rFonts w:hint="default" w:ascii="Times New Roman" w:hAnsi="Times New Roman" w:eastAsia="仿宋_GB2312" w:cs="Times New Roman"/>
          <w:color w:val="auto"/>
          <w:sz w:val="32"/>
          <w:szCs w:val="32"/>
          <w:highlight w:val="none"/>
        </w:rPr>
        <w:t>预算编制</w:t>
      </w:r>
      <w:r>
        <w:rPr>
          <w:rFonts w:hint="eastAsia" w:eastAsia="仿宋_GB2312" w:cs="Times New Roman"/>
          <w:color w:val="auto"/>
          <w:sz w:val="32"/>
          <w:szCs w:val="32"/>
          <w:highlight w:val="none"/>
          <w:lang w:val="en-US" w:eastAsia="zh-CN"/>
        </w:rPr>
        <w:t>已</w:t>
      </w:r>
      <w:r>
        <w:rPr>
          <w:rFonts w:hint="default" w:ascii="Times New Roman" w:hAnsi="Times New Roman" w:eastAsia="仿宋_GB2312" w:cs="Times New Roman"/>
          <w:color w:val="auto"/>
          <w:sz w:val="32"/>
          <w:szCs w:val="32"/>
          <w:highlight w:val="none"/>
        </w:rPr>
        <w:t>经过科学论证</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预算内容与项目内容匹配</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预算额度测算依据充分，按照标准编制</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预算确定的项目投资额或资金量与工作任务相匹配。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eastAsia" w:eastAsia="仿宋_GB2312"/>
          <w:sz w:val="32"/>
          <w:szCs w:val="32"/>
          <w:highlight w:val="none"/>
        </w:rPr>
        <w:t>6、资金分配合理性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0"/>
          <w:highlight w:val="none"/>
        </w:rPr>
      </w:pPr>
      <w:r>
        <w:rPr>
          <w:rFonts w:hint="default" w:ascii="Times New Roman" w:hAnsi="Times New Roman" w:eastAsia="仿宋_GB2312" w:cs="Times New Roman"/>
          <w:color w:val="auto"/>
          <w:sz w:val="32"/>
          <w:szCs w:val="32"/>
          <w:highlight w:val="none"/>
        </w:rPr>
        <w:t>预算资金分配依据充分</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资金分配额度合理，与</w:t>
      </w:r>
      <w:r>
        <w:rPr>
          <w:rFonts w:hint="eastAsia" w:eastAsia="仿宋_GB2312" w:cs="Times New Roman"/>
          <w:color w:val="auto"/>
          <w:sz w:val="32"/>
          <w:szCs w:val="32"/>
          <w:highlight w:val="none"/>
          <w:lang w:val="en-US" w:eastAsia="zh-CN"/>
        </w:rPr>
        <w:t>我</w:t>
      </w:r>
      <w:r>
        <w:rPr>
          <w:rFonts w:hint="default" w:ascii="Times New Roman" w:hAnsi="Times New Roman" w:eastAsia="仿宋_GB2312" w:cs="Times New Roman"/>
          <w:color w:val="auto"/>
          <w:sz w:val="32"/>
          <w:szCs w:val="32"/>
          <w:highlight w:val="none"/>
        </w:rPr>
        <w:t>单位实际</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相适应。</w:t>
      </w:r>
    </w:p>
    <w:p>
      <w:pPr>
        <w:pStyle w:val="8"/>
        <w:numPr>
          <w:ilvl w:val="0"/>
          <w:numId w:val="4"/>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1、资金到位率：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实际到位资金</w:t>
      </w:r>
      <w:r>
        <w:rPr>
          <w:rFonts w:hint="eastAsia" w:eastAsia="仿宋_GB2312"/>
          <w:color w:val="auto"/>
          <w:sz w:val="32"/>
          <w:szCs w:val="32"/>
          <w:highlight w:val="none"/>
          <w:lang w:val="en-US" w:eastAsia="zh-CN"/>
        </w:rPr>
        <w:t>33,514.64</w:t>
      </w:r>
      <w:r>
        <w:rPr>
          <w:rFonts w:hint="eastAsia" w:eastAsia="仿宋_GB2312"/>
          <w:color w:val="auto"/>
          <w:sz w:val="32"/>
          <w:szCs w:val="32"/>
          <w:highlight w:val="none"/>
        </w:rPr>
        <w:t>万元，预算资金</w:t>
      </w:r>
      <w:r>
        <w:rPr>
          <w:rFonts w:hint="eastAsia" w:eastAsia="仿宋_GB2312"/>
          <w:color w:val="auto"/>
          <w:sz w:val="32"/>
          <w:szCs w:val="32"/>
          <w:highlight w:val="none"/>
          <w:lang w:val="en-US" w:eastAsia="zh-CN"/>
        </w:rPr>
        <w:t>32,718.81</w:t>
      </w:r>
      <w:r>
        <w:rPr>
          <w:rFonts w:hint="eastAsia" w:eastAsia="仿宋_GB2312"/>
          <w:color w:val="auto"/>
          <w:sz w:val="32"/>
          <w:szCs w:val="32"/>
          <w:highlight w:val="none"/>
        </w:rPr>
        <w:t>万元，资金到位率</w:t>
      </w:r>
      <w:r>
        <w:rPr>
          <w:rFonts w:hint="eastAsia" w:eastAsia="仿宋_GB2312"/>
          <w:color w:val="auto"/>
          <w:sz w:val="32"/>
          <w:szCs w:val="32"/>
          <w:highlight w:val="none"/>
          <w:lang w:val="en-US" w:eastAsia="zh-CN"/>
        </w:rPr>
        <w:t>100.00</w:t>
      </w:r>
      <w:r>
        <w:rPr>
          <w:rFonts w:hint="eastAsia" w:eastAsia="仿宋_GB2312"/>
          <w:color w:val="auto"/>
          <w:sz w:val="32"/>
          <w:szCs w:val="32"/>
          <w:highlight w:val="none"/>
        </w:rPr>
        <w:t>%</w:t>
      </w:r>
      <w:r>
        <w:rPr>
          <w:rFonts w:hint="eastAsia"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2、预算执行率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年初预算数</w:t>
      </w:r>
      <w:r>
        <w:rPr>
          <w:rFonts w:hint="eastAsia" w:eastAsia="仿宋_GB2312"/>
          <w:color w:val="auto"/>
          <w:sz w:val="32"/>
          <w:szCs w:val="32"/>
          <w:highlight w:val="none"/>
          <w:lang w:val="en-US" w:eastAsia="zh-CN"/>
        </w:rPr>
        <w:t>32,718.81</w:t>
      </w:r>
      <w:r>
        <w:rPr>
          <w:rFonts w:hint="eastAsia" w:eastAsia="仿宋_GB2312"/>
          <w:color w:val="auto"/>
          <w:sz w:val="32"/>
          <w:szCs w:val="32"/>
          <w:highlight w:val="none"/>
        </w:rPr>
        <w:t>万元，全年预算数</w:t>
      </w:r>
      <w:r>
        <w:rPr>
          <w:rFonts w:hint="eastAsia" w:eastAsia="仿宋_GB2312"/>
          <w:sz w:val="32"/>
          <w:szCs w:val="32"/>
          <w:highlight w:val="none"/>
          <w:lang w:val="en-US" w:eastAsia="zh-CN"/>
        </w:rPr>
        <w:t>33,514.64</w:t>
      </w:r>
      <w:r>
        <w:rPr>
          <w:rFonts w:hint="eastAsia" w:eastAsia="仿宋_GB2312"/>
          <w:color w:val="auto"/>
          <w:sz w:val="32"/>
          <w:szCs w:val="32"/>
          <w:highlight w:val="none"/>
        </w:rPr>
        <w:t>万元，全年执行数</w:t>
      </w:r>
      <w:r>
        <w:rPr>
          <w:rFonts w:hint="eastAsia" w:eastAsia="仿宋_GB2312"/>
          <w:color w:val="auto"/>
          <w:sz w:val="32"/>
          <w:szCs w:val="32"/>
          <w:highlight w:val="none"/>
          <w:lang w:val="en-US" w:eastAsia="zh-CN"/>
        </w:rPr>
        <w:t>33,514.64</w:t>
      </w:r>
      <w:r>
        <w:rPr>
          <w:rFonts w:hint="eastAsia" w:eastAsia="仿宋_GB2312"/>
          <w:color w:val="auto"/>
          <w:sz w:val="32"/>
          <w:szCs w:val="32"/>
          <w:highlight w:val="none"/>
        </w:rPr>
        <w:t>万元，预算执行率为</w:t>
      </w:r>
      <w:r>
        <w:rPr>
          <w:rFonts w:hint="eastAsia" w:eastAsia="仿宋_GB2312"/>
          <w:color w:val="auto"/>
          <w:sz w:val="32"/>
          <w:szCs w:val="32"/>
          <w:highlight w:val="none"/>
          <w:lang w:val="en-US" w:eastAsia="zh-CN"/>
        </w:rPr>
        <w:t>100.00</w:t>
      </w:r>
      <w:r>
        <w:rPr>
          <w:rFonts w:hint="eastAsia" w:eastAsia="仿宋_GB2312"/>
          <w:color w:val="auto"/>
          <w:sz w:val="32"/>
          <w:szCs w:val="32"/>
          <w:highlight w:val="none"/>
        </w:rPr>
        <w:t>%</w:t>
      </w:r>
      <w:r>
        <w:rPr>
          <w:rFonts w:hint="eastAsia"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符合国家财经法规和财务管理制度以及有关专项资金管理办法的规定；资金的拨付有完整的审批程序和手续；符合项目预算批复或合同规定的用途；</w:t>
      </w:r>
      <w:r>
        <w:rPr>
          <w:rFonts w:hint="eastAsia" w:eastAsia="仿宋_GB2312"/>
          <w:color w:val="auto"/>
          <w:sz w:val="32"/>
          <w:szCs w:val="32"/>
          <w:highlight w:val="none"/>
          <w:lang w:val="en-US" w:eastAsia="zh-CN"/>
        </w:rPr>
        <w:t>不</w:t>
      </w:r>
      <w:r>
        <w:rPr>
          <w:rFonts w:hint="eastAsia" w:eastAsia="仿宋_GB2312"/>
          <w:color w:val="auto"/>
          <w:sz w:val="32"/>
          <w:szCs w:val="32"/>
          <w:highlight w:val="none"/>
        </w:rPr>
        <w:t>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已制定相应的财务和业务管理制度</w:t>
      </w:r>
      <w:r>
        <w:rPr>
          <w:rFonts w:hint="eastAsia" w:eastAsia="仿宋_GB2312"/>
          <w:color w:val="auto"/>
          <w:sz w:val="32"/>
          <w:szCs w:val="32"/>
          <w:highlight w:val="none"/>
          <w:lang w:eastAsia="zh-CN"/>
        </w:rPr>
        <w:t>，</w:t>
      </w:r>
      <w:r>
        <w:rPr>
          <w:rFonts w:hint="eastAsia" w:eastAsia="仿宋_GB2312"/>
          <w:color w:val="auto"/>
          <w:sz w:val="32"/>
          <w:szCs w:val="32"/>
          <w:highlight w:val="none"/>
        </w:rPr>
        <w:t>财务和业务管理制度合法、合规、完整。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FF0000"/>
          <w:sz w:val="30"/>
          <w:highlight w:val="none"/>
        </w:rPr>
      </w:pPr>
      <w:r>
        <w:rPr>
          <w:rFonts w:hint="eastAsia" w:eastAsia="仿宋_GB2312"/>
          <w:color w:val="auto"/>
          <w:sz w:val="32"/>
          <w:szCs w:val="32"/>
          <w:highlight w:val="none"/>
          <w:lang w:val="en-US" w:eastAsia="zh-CN"/>
        </w:rPr>
        <w:t>项目</w:t>
      </w:r>
      <w:r>
        <w:rPr>
          <w:rFonts w:hint="eastAsia" w:eastAsia="仿宋_GB2312"/>
          <w:color w:val="auto"/>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pPr>
        <w:pStyle w:val="9"/>
        <w:numPr>
          <w:ilvl w:val="0"/>
          <w:numId w:val="4"/>
        </w:numPr>
        <w:spacing w:line="560" w:lineRule="exact"/>
        <w:ind w:firstLine="640"/>
        <w:rPr>
          <w:rFonts w:eastAsia="楷体_GB2312"/>
          <w:b/>
          <w:bCs/>
          <w:sz w:val="32"/>
          <w:szCs w:val="32"/>
          <w:highlight w:val="none"/>
        </w:rPr>
      </w:pPr>
      <w:r>
        <w:rPr>
          <w:rFonts w:eastAsia="楷体_GB2312"/>
          <w:b/>
          <w:bCs/>
          <w:sz w:val="32"/>
          <w:szCs w:val="32"/>
          <w:highlight w:val="none"/>
        </w:rPr>
        <w:t>项目产出</w:t>
      </w:r>
    </w:p>
    <w:p>
      <w:pPr>
        <w:keepLines w:val="0"/>
        <w:pageBreakBefore w:val="0"/>
        <w:kinsoku/>
        <w:wordWrap/>
        <w:overflowPunct/>
        <w:topLinePunct w:val="0"/>
        <w:autoSpaceDE/>
        <w:autoSpaceDN/>
        <w:bidi w:val="0"/>
        <w:adjustRightInd/>
        <w:snapToGrid w:val="0"/>
        <w:spacing w:line="560" w:lineRule="exact"/>
        <w:ind w:firstLine="627" w:firstLineChars="200"/>
        <w:textAlignment w:val="auto"/>
        <w:outlineLvl w:val="9"/>
        <w:rPr>
          <w:rStyle w:val="13"/>
          <w:rFonts w:hint="default" w:ascii="Times New Roman" w:hAnsi="Times New Roman" w:eastAsia="仿宋_GB2312" w:cs="Times New Roman"/>
          <w:bCs w:val="0"/>
          <w:spacing w:val="-4"/>
          <w:sz w:val="32"/>
          <w:szCs w:val="32"/>
          <w:highlight w:val="none"/>
        </w:rPr>
      </w:pPr>
      <w:r>
        <w:rPr>
          <w:rStyle w:val="13"/>
          <w:rFonts w:hint="default" w:ascii="Times New Roman" w:hAnsi="Times New Roman" w:eastAsia="仿宋_GB2312" w:cs="Times New Roman"/>
          <w:bCs w:val="0"/>
          <w:spacing w:val="-4"/>
          <w:sz w:val="32"/>
          <w:szCs w:val="32"/>
          <w:highlight w:val="none"/>
        </w:rPr>
        <w:t>数量指标方面：</w:t>
      </w:r>
    </w:p>
    <w:p>
      <w:pPr>
        <w:keepLines w:val="0"/>
        <w:pageBreakBefore w:val="0"/>
        <w:kinsoku/>
        <w:wordWrap/>
        <w:overflowPunct/>
        <w:topLinePunct w:val="0"/>
        <w:autoSpaceDE/>
        <w:autoSpaceDN/>
        <w:bidi w:val="0"/>
        <w:adjustRightInd/>
        <w:snapToGrid w:val="0"/>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lang w:val="en-US"/>
        </w:rPr>
      </w:pPr>
      <w:r>
        <w:rPr>
          <w:rStyle w:val="13"/>
          <w:rFonts w:hint="default" w:ascii="Times New Roman" w:hAnsi="Times New Roman" w:eastAsia="仿宋_GB2312" w:cs="Times New Roman"/>
          <w:b w:val="0"/>
          <w:spacing w:val="-4"/>
          <w:sz w:val="32"/>
          <w:szCs w:val="32"/>
          <w:highlight w:val="none"/>
        </w:rPr>
        <w:t>指标1：</w:t>
      </w:r>
      <w:r>
        <w:rPr>
          <w:rStyle w:val="13"/>
          <w:rFonts w:hint="default" w:ascii="Times New Roman" w:hAnsi="Times New Roman" w:eastAsia="仿宋_GB2312" w:cs="Times New Roman"/>
          <w:b w:val="0"/>
          <w:spacing w:val="-4"/>
          <w:sz w:val="32"/>
          <w:szCs w:val="32"/>
          <w:highlight w:val="none"/>
          <w:lang w:val="en-US" w:eastAsia="zh-CN"/>
        </w:rPr>
        <w:t>医疗设备购置数量</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≥17套</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15套</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88.24</w:t>
      </w:r>
      <w:r>
        <w:rPr>
          <w:rStyle w:val="13"/>
          <w:rFonts w:hint="default" w:ascii="Times New Roman" w:hAnsi="Times New Roman" w:eastAsia="仿宋_GB2312" w:cs="Times New Roman"/>
          <w:b w:val="0"/>
          <w:spacing w:val="-4"/>
          <w:sz w:val="32"/>
          <w:szCs w:val="32"/>
          <w:highlight w:val="none"/>
        </w:rPr>
        <w:t>%；</w:t>
      </w:r>
      <w:r>
        <w:rPr>
          <w:rStyle w:val="13"/>
          <w:rFonts w:hint="eastAsia" w:eastAsia="仿宋_GB2312" w:cs="Times New Roman"/>
          <w:b w:val="0"/>
          <w:spacing w:val="-4"/>
          <w:sz w:val="32"/>
          <w:szCs w:val="32"/>
          <w:highlight w:val="none"/>
          <w:lang w:val="en-US" w:eastAsia="zh-CN"/>
        </w:rPr>
        <w:t>偏差原因</w:t>
      </w:r>
      <w:r>
        <w:rPr>
          <w:rStyle w:val="13"/>
          <w:rFonts w:hint="eastAsia" w:ascii="Times New Roman" w:hAnsi="Times New Roman" w:eastAsia="仿宋_GB2312" w:cs="Times New Roman"/>
          <w:b w:val="0"/>
          <w:spacing w:val="-4"/>
          <w:sz w:val="32"/>
          <w:szCs w:val="32"/>
          <w:highlight w:val="none"/>
          <w:lang w:val="en-US" w:eastAsia="zh-CN"/>
        </w:rPr>
        <w:t>：有两台设备今年未采购。</w:t>
      </w:r>
    </w:p>
    <w:p>
      <w:pPr>
        <w:keepLines w:val="0"/>
        <w:pageBreakBefore w:val="0"/>
        <w:widowControl w:val="0"/>
        <w:kinsoku/>
        <w:wordWrap/>
        <w:overflowPunct/>
        <w:topLinePunct w:val="0"/>
        <w:autoSpaceDE/>
        <w:autoSpaceDN/>
        <w:bidi w:val="0"/>
        <w:adjustRightInd/>
        <w:spacing w:before="0" w:after="0"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2</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购置办公桌椅数量</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≥50套</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196套</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392</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Hans"/>
        </w:rPr>
        <w:t>偏差原因：</w:t>
      </w:r>
      <w:r>
        <w:rPr>
          <w:rStyle w:val="13"/>
          <w:rFonts w:hint="default" w:ascii="Times New Roman" w:hAnsi="Times New Roman" w:eastAsia="仿宋_GB2312" w:cs="Times New Roman"/>
          <w:b w:val="0"/>
          <w:spacing w:val="-4"/>
          <w:sz w:val="32"/>
          <w:szCs w:val="32"/>
          <w:highlight w:val="none"/>
          <w:lang w:val="en-US" w:eastAsia="zh-CN"/>
        </w:rPr>
        <w:t>受疫情影响，根据医院2022年收入支出情况设定此目标。2023年“乙类乙管”后购置数量较年初目标值增幅较大</w:t>
      </w:r>
      <w:r>
        <w:rPr>
          <w:rStyle w:val="13"/>
          <w:rFonts w:hint="default" w:ascii="Times New Roman" w:hAnsi="Times New Roman" w:eastAsia="仿宋_GB2312" w:cs="Times New Roman"/>
          <w:b w:val="0"/>
          <w:spacing w:val="-4"/>
          <w:sz w:val="32"/>
          <w:szCs w:val="32"/>
          <w:highlight w:val="none"/>
        </w:rPr>
        <w:t>；</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lang w:eastAsia="zh-CN"/>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3</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购置办公设备数量</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≥100件</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337件</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337</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Hans"/>
        </w:rPr>
        <w:t>偏差原因：</w:t>
      </w:r>
      <w:r>
        <w:rPr>
          <w:rStyle w:val="13"/>
          <w:rFonts w:hint="default" w:ascii="Times New Roman" w:hAnsi="Times New Roman" w:eastAsia="仿宋_GB2312" w:cs="Times New Roman"/>
          <w:b w:val="0"/>
          <w:bCs/>
          <w:spacing w:val="-4"/>
          <w:sz w:val="32"/>
          <w:szCs w:val="32"/>
          <w:highlight w:val="none"/>
          <w:lang w:val="en-US" w:eastAsia="zh-CN"/>
        </w:rPr>
        <w:t>受疫情影响，根据医院2022年收入支出情况设定此目标。2023年“乙类乙管”后购置数量较年初目标值增幅较大</w:t>
      </w:r>
      <w:r>
        <w:rPr>
          <w:rStyle w:val="13"/>
          <w:rFonts w:hint="default" w:ascii="Times New Roman" w:hAnsi="Times New Roman" w:eastAsia="仿宋_GB2312" w:cs="Times New Roman"/>
          <w:b w:val="0"/>
          <w:spacing w:val="-4"/>
          <w:sz w:val="32"/>
          <w:szCs w:val="32"/>
          <w:highlight w:val="none"/>
          <w:lang w:eastAsia="zh-CN"/>
        </w:rPr>
        <w:t>。</w:t>
      </w:r>
    </w:p>
    <w:p>
      <w:pPr>
        <w:keepLines w:val="0"/>
        <w:pageBreakBefore w:val="0"/>
        <w:kinsoku/>
        <w:wordWrap/>
        <w:overflowPunct/>
        <w:topLinePunct w:val="0"/>
        <w:autoSpaceDE/>
        <w:autoSpaceDN/>
        <w:bidi w:val="0"/>
        <w:adjustRightInd/>
        <w:spacing w:line="560" w:lineRule="exact"/>
        <w:ind w:firstLine="643" w:firstLineChars="200"/>
        <w:textAlignment w:val="auto"/>
        <w:outlineLvl w:val="9"/>
        <w:rPr>
          <w:rStyle w:val="15"/>
          <w:rFonts w:hint="default" w:ascii="Times New Roman" w:hAnsi="Times New Roman" w:eastAsia="仿宋_GB2312" w:cs="Times New Roman"/>
          <w:b/>
          <w:bCs/>
          <w:color w:val="auto"/>
          <w:sz w:val="32"/>
          <w:szCs w:val="32"/>
          <w:highlight w:val="none"/>
        </w:rPr>
      </w:pPr>
      <w:r>
        <w:rPr>
          <w:rStyle w:val="15"/>
          <w:rFonts w:hint="default" w:ascii="Times New Roman" w:hAnsi="Times New Roman" w:eastAsia="仿宋_GB2312" w:cs="Times New Roman"/>
          <w:b/>
          <w:bCs/>
          <w:color w:val="auto"/>
          <w:sz w:val="32"/>
          <w:szCs w:val="32"/>
          <w:highlight w:val="none"/>
        </w:rPr>
        <w:t>质量指标方面：</w:t>
      </w:r>
    </w:p>
    <w:p>
      <w:pPr>
        <w:keepLines w:val="0"/>
        <w:pageBreakBefore w:val="0"/>
        <w:kinsoku/>
        <w:wordWrap/>
        <w:overflowPunct/>
        <w:topLinePunct w:val="0"/>
        <w:autoSpaceDE/>
        <w:autoSpaceDN/>
        <w:bidi w:val="0"/>
        <w:adjustRightInd/>
        <w:snapToGrid w:val="0"/>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指标1：</w:t>
      </w:r>
      <w:r>
        <w:rPr>
          <w:rStyle w:val="13"/>
          <w:rFonts w:hint="default" w:ascii="Times New Roman" w:hAnsi="Times New Roman" w:eastAsia="仿宋_GB2312" w:cs="Times New Roman"/>
          <w:b w:val="0"/>
          <w:spacing w:val="-4"/>
          <w:sz w:val="32"/>
          <w:szCs w:val="32"/>
          <w:highlight w:val="none"/>
          <w:lang w:val="en-US" w:eastAsia="zh-CN"/>
        </w:rPr>
        <w:t>资金支付准确率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widowControl w:val="0"/>
        <w:kinsoku/>
        <w:wordWrap/>
        <w:overflowPunct/>
        <w:topLinePunct w:val="0"/>
        <w:autoSpaceDE/>
        <w:autoSpaceDN/>
        <w:bidi w:val="0"/>
        <w:adjustRightInd/>
        <w:spacing w:before="0" w:after="0"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2</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设备购置合格率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≥95%</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3</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系统故障率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≤5%</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2%</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kinsoku/>
        <w:wordWrap/>
        <w:overflowPunct/>
        <w:topLinePunct w:val="0"/>
        <w:autoSpaceDE/>
        <w:autoSpaceDN/>
        <w:bidi w:val="0"/>
        <w:adjustRightInd/>
        <w:spacing w:before="0" w:after="0"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4</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政府采购率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Fonts w:hint="default" w:ascii="Times New Roman" w:hAnsi="Times New Roman" w:eastAsia="仿宋_GB2312" w:cs="Times New Roman"/>
          <w:sz w:val="32"/>
          <w:szCs w:val="32"/>
          <w:highlight w:val="none"/>
          <w:lang w:eastAsia="zh-CN"/>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5</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改造合格率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w:t>
      </w:r>
      <w:r>
        <w:rPr>
          <w:rStyle w:val="13"/>
          <w:rFonts w:hint="eastAsia" w:eastAsia="仿宋_GB2312" w:cs="Times New Roman"/>
          <w:b w:val="0"/>
          <w:spacing w:val="-4"/>
          <w:sz w:val="32"/>
          <w:szCs w:val="32"/>
          <w:highlight w:val="none"/>
          <w:lang w:val="en-US" w:eastAsia="zh-CN"/>
        </w:rPr>
        <w:t>90</w:t>
      </w:r>
      <w:r>
        <w:rPr>
          <w:rStyle w:val="13"/>
          <w:rFonts w:hint="default" w:ascii="Times New Roman" w:hAnsi="Times New Roman" w:eastAsia="仿宋_GB2312" w:cs="Times New Roman"/>
          <w:b w:val="0"/>
          <w:spacing w:val="-4"/>
          <w:sz w:val="32"/>
          <w:szCs w:val="32"/>
          <w:highlight w:val="none"/>
          <w:lang w:val="en-US" w:eastAsia="zh-CN"/>
        </w:rPr>
        <w:t>%</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CN"/>
        </w:rPr>
        <w:t>。</w:t>
      </w:r>
    </w:p>
    <w:p>
      <w:pPr>
        <w:keepLines w:val="0"/>
        <w:pageBreakBefore w:val="0"/>
        <w:kinsoku/>
        <w:wordWrap/>
        <w:overflowPunct/>
        <w:topLinePunct w:val="0"/>
        <w:autoSpaceDE/>
        <w:autoSpaceDN/>
        <w:bidi w:val="0"/>
        <w:adjustRightInd/>
        <w:spacing w:line="560" w:lineRule="exact"/>
        <w:ind w:firstLine="643" w:firstLineChars="200"/>
        <w:textAlignment w:val="auto"/>
        <w:outlineLvl w:val="9"/>
        <w:rPr>
          <w:rStyle w:val="15"/>
          <w:rFonts w:hint="default" w:ascii="Times New Roman" w:hAnsi="Times New Roman" w:eastAsia="仿宋_GB2312" w:cs="Times New Roman"/>
          <w:b/>
          <w:bCs/>
          <w:color w:val="auto"/>
          <w:sz w:val="32"/>
          <w:szCs w:val="32"/>
          <w:highlight w:val="none"/>
        </w:rPr>
      </w:pPr>
      <w:r>
        <w:rPr>
          <w:rStyle w:val="15"/>
          <w:rFonts w:hint="default" w:ascii="Times New Roman" w:hAnsi="Times New Roman" w:eastAsia="仿宋_GB2312" w:cs="Times New Roman"/>
          <w:b/>
          <w:bCs/>
          <w:color w:val="auto"/>
          <w:sz w:val="32"/>
          <w:szCs w:val="32"/>
          <w:highlight w:val="none"/>
        </w:rPr>
        <w:t>时效指标方面：</w:t>
      </w:r>
    </w:p>
    <w:p>
      <w:pPr>
        <w:keepLines w:val="0"/>
        <w:pageBreakBefore w:val="0"/>
        <w:kinsoku/>
        <w:wordWrap/>
        <w:overflowPunct/>
        <w:topLinePunct w:val="0"/>
        <w:autoSpaceDE/>
        <w:autoSpaceDN/>
        <w:bidi w:val="0"/>
        <w:adjustRightInd/>
        <w:snapToGrid w:val="0"/>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指标1：</w:t>
      </w:r>
      <w:r>
        <w:rPr>
          <w:rStyle w:val="13"/>
          <w:rFonts w:hint="default" w:ascii="Times New Roman" w:hAnsi="Times New Roman" w:eastAsia="仿宋_GB2312" w:cs="Times New Roman"/>
          <w:b w:val="0"/>
          <w:spacing w:val="-4"/>
          <w:sz w:val="32"/>
          <w:szCs w:val="32"/>
          <w:highlight w:val="none"/>
          <w:lang w:val="en-US" w:eastAsia="zh-CN"/>
        </w:rPr>
        <w:t>资金支付及时率</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widowControl w:val="0"/>
        <w:kinsoku/>
        <w:wordWrap/>
        <w:overflowPunct/>
        <w:topLinePunct w:val="0"/>
        <w:autoSpaceDE/>
        <w:autoSpaceDN/>
        <w:bidi w:val="0"/>
        <w:adjustRightInd/>
        <w:spacing w:before="0" w:after="0"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2</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系统故障修复处理时间</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≤1天</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1天</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Fonts w:hint="default" w:ascii="Times New Roman" w:hAnsi="Times New Roman" w:eastAsia="仿宋_GB2312" w:cs="Times New Roman"/>
          <w:sz w:val="32"/>
          <w:szCs w:val="32"/>
          <w:highlight w:val="none"/>
          <w:lang w:eastAsia="zh-CN"/>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3</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系统运行维护响应时间</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≤8小时</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3小时</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CN"/>
        </w:rPr>
        <w:t>。</w:t>
      </w:r>
    </w:p>
    <w:p>
      <w:pPr>
        <w:pStyle w:val="8"/>
        <w:keepLines w:val="0"/>
        <w:pageBreakBefore w:val="0"/>
        <w:kinsoku/>
        <w:wordWrap/>
        <w:overflowPunct/>
        <w:topLinePunct w:val="0"/>
        <w:autoSpaceDE/>
        <w:autoSpaceDN/>
        <w:bidi w:val="0"/>
        <w:adjustRightInd/>
        <w:spacing w:before="0" w:after="0" w:line="560" w:lineRule="exact"/>
        <w:ind w:firstLine="643" w:firstLineChars="200"/>
        <w:jc w:val="both"/>
        <w:textAlignment w:val="auto"/>
        <w:outlineLvl w:val="9"/>
        <w:rPr>
          <w:rStyle w:val="15"/>
          <w:rFonts w:hint="default" w:ascii="Times New Roman" w:hAnsi="Times New Roman" w:eastAsia="仿宋_GB2312" w:cs="Times New Roman"/>
          <w:color w:val="auto"/>
          <w:sz w:val="32"/>
          <w:szCs w:val="32"/>
          <w:highlight w:val="none"/>
        </w:rPr>
      </w:pPr>
      <w:r>
        <w:rPr>
          <w:rStyle w:val="15"/>
          <w:rFonts w:hint="default" w:ascii="Times New Roman" w:hAnsi="Times New Roman" w:eastAsia="仿宋_GB2312" w:cs="Times New Roman"/>
          <w:color w:val="auto"/>
          <w:sz w:val="32"/>
          <w:szCs w:val="32"/>
          <w:highlight w:val="none"/>
        </w:rPr>
        <w:t>成本指标方面：</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rPr>
      </w:pPr>
      <w:r>
        <w:rPr>
          <w:rStyle w:val="13"/>
          <w:rFonts w:hint="default" w:ascii="Times New Roman" w:hAnsi="Times New Roman" w:eastAsia="仿宋_GB2312" w:cs="Times New Roman"/>
          <w:b w:val="0"/>
          <w:spacing w:val="-4"/>
          <w:sz w:val="32"/>
          <w:szCs w:val="32"/>
          <w:highlight w:val="none"/>
        </w:rPr>
        <w:t>指标1：</w:t>
      </w:r>
      <w:r>
        <w:rPr>
          <w:rStyle w:val="13"/>
          <w:rFonts w:hint="default" w:ascii="Times New Roman" w:hAnsi="Times New Roman" w:eastAsia="仿宋_GB2312" w:cs="Times New Roman"/>
          <w:b w:val="0"/>
          <w:spacing w:val="-4"/>
          <w:sz w:val="32"/>
          <w:szCs w:val="32"/>
          <w:highlight w:val="none"/>
          <w:lang w:val="en-US" w:eastAsia="zh-CN"/>
        </w:rPr>
        <w:t>卫生耗材及药品费用</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≤30,000万元</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31,</w:t>
      </w:r>
      <w:r>
        <w:rPr>
          <w:rStyle w:val="13"/>
          <w:rFonts w:hint="eastAsia" w:eastAsia="仿宋_GB2312" w:cs="Times New Roman"/>
          <w:b w:val="0"/>
          <w:spacing w:val="-4"/>
          <w:sz w:val="32"/>
          <w:szCs w:val="32"/>
          <w:highlight w:val="none"/>
          <w:lang w:val="en-US" w:eastAsia="zh-CN"/>
        </w:rPr>
        <w:t>185.64</w:t>
      </w:r>
      <w:r>
        <w:rPr>
          <w:rStyle w:val="13"/>
          <w:rFonts w:hint="default" w:ascii="Times New Roman" w:hAnsi="Times New Roman" w:eastAsia="仿宋_GB2312" w:cs="Times New Roman"/>
          <w:b w:val="0"/>
          <w:spacing w:val="-4"/>
          <w:sz w:val="32"/>
          <w:szCs w:val="32"/>
          <w:highlight w:val="none"/>
          <w:lang w:val="en-US" w:eastAsia="zh-CN"/>
        </w:rPr>
        <w:t>万元</w:t>
      </w:r>
      <w:r>
        <w:rPr>
          <w:rStyle w:val="13"/>
          <w:rFonts w:hint="default" w:ascii="Times New Roman" w:hAnsi="Times New Roman" w:eastAsia="仿宋_GB2312" w:cs="Times New Roman"/>
          <w:b w:val="0"/>
          <w:spacing w:val="-4"/>
          <w:sz w:val="32"/>
          <w:szCs w:val="32"/>
          <w:highlight w:val="none"/>
        </w:rPr>
        <w:t>，指标完成率</w:t>
      </w:r>
      <w:r>
        <w:rPr>
          <w:rStyle w:val="13"/>
          <w:rFonts w:hint="eastAsia" w:eastAsia="仿宋_GB2312" w:cs="Times New Roman"/>
          <w:b w:val="0"/>
          <w:spacing w:val="-4"/>
          <w:sz w:val="32"/>
          <w:szCs w:val="32"/>
          <w:highlight w:val="none"/>
          <w:lang w:val="en-US" w:eastAsia="zh-CN"/>
        </w:rPr>
        <w:t>0</w:t>
      </w:r>
      <w:r>
        <w:rPr>
          <w:rStyle w:val="13"/>
          <w:rFonts w:hint="default" w:ascii="Times New Roman" w:hAnsi="Times New Roman" w:eastAsia="仿宋_GB2312" w:cs="Times New Roman"/>
          <w:b w:val="0"/>
          <w:spacing w:val="-4"/>
          <w:sz w:val="32"/>
          <w:szCs w:val="32"/>
          <w:highlight w:val="none"/>
        </w:rPr>
        <w:t>%；</w:t>
      </w:r>
      <w:r>
        <w:rPr>
          <w:rStyle w:val="13"/>
          <w:rFonts w:hint="eastAsia" w:eastAsia="仿宋_GB2312" w:cs="Times New Roman"/>
          <w:b w:val="0"/>
          <w:spacing w:val="-4"/>
          <w:sz w:val="32"/>
          <w:szCs w:val="32"/>
          <w:highlight w:val="none"/>
          <w:lang w:val="en-US" w:eastAsia="zh-CN"/>
        </w:rPr>
        <w:t>偏差原因：</w:t>
      </w:r>
      <w:r>
        <w:rPr>
          <w:rStyle w:val="13"/>
          <w:rFonts w:hint="eastAsia" w:ascii="Times New Roman" w:hAnsi="Times New Roman" w:eastAsia="仿宋_GB2312" w:cs="Times New Roman"/>
          <w:b w:val="0"/>
          <w:spacing w:val="-4"/>
          <w:sz w:val="32"/>
          <w:szCs w:val="32"/>
          <w:highlight w:val="none"/>
          <w:lang w:val="en-US" w:eastAsia="zh-CN"/>
        </w:rPr>
        <w:t>乙类乙管后采购量恢复正常，但超出年初制定的指标值。</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Style w:val="13"/>
          <w:rFonts w:hint="default" w:ascii="Times New Roman" w:hAnsi="Times New Roman" w:eastAsia="仿宋_GB2312" w:cs="Times New Roman"/>
          <w:b w:val="0"/>
          <w:spacing w:val="-4"/>
          <w:sz w:val="32"/>
          <w:szCs w:val="32"/>
          <w:highlight w:val="none"/>
          <w:lang w:val="en-US" w:eastAsia="zh-CN"/>
        </w:rPr>
      </w:pPr>
      <w:r>
        <w:rPr>
          <w:rStyle w:val="13"/>
          <w:rFonts w:hint="default" w:ascii="Times New Roman" w:hAnsi="Times New Roman" w:eastAsia="仿宋_GB2312" w:cs="Times New Roman"/>
          <w:b w:val="0"/>
          <w:spacing w:val="-4"/>
          <w:sz w:val="32"/>
          <w:szCs w:val="32"/>
          <w:highlight w:val="none"/>
        </w:rPr>
        <w:t>指标</w:t>
      </w:r>
      <w:r>
        <w:rPr>
          <w:rStyle w:val="13"/>
          <w:rFonts w:hint="default" w:ascii="Times New Roman" w:hAnsi="Times New Roman" w:eastAsia="仿宋_GB2312" w:cs="Times New Roman"/>
          <w:b w:val="0"/>
          <w:spacing w:val="-4"/>
          <w:sz w:val="32"/>
          <w:szCs w:val="32"/>
          <w:highlight w:val="none"/>
          <w:lang w:val="en-US" w:eastAsia="zh-CN"/>
        </w:rPr>
        <w:t>2</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val="en-US" w:eastAsia="zh-CN"/>
        </w:rPr>
        <w:t>医疗设备购置费用</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≤760.8万元</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663.73万元</w:t>
      </w:r>
      <w:r>
        <w:rPr>
          <w:rStyle w:val="13"/>
          <w:rFonts w:hint="default" w:ascii="Times New Roman" w:hAnsi="Times New Roman" w:eastAsia="仿宋_GB2312" w:cs="Times New Roman"/>
          <w:b w:val="0"/>
          <w:spacing w:val="-4"/>
          <w:sz w:val="32"/>
          <w:szCs w:val="32"/>
          <w:highlight w:val="none"/>
        </w:rPr>
        <w:t>，指标完成率</w:t>
      </w:r>
      <w:r>
        <w:rPr>
          <w:rStyle w:val="13"/>
          <w:rFonts w:hint="eastAsia" w:eastAsia="仿宋_GB2312" w:cs="Times New Roman"/>
          <w:b w:val="0"/>
          <w:spacing w:val="-4"/>
          <w:sz w:val="32"/>
          <w:szCs w:val="32"/>
          <w:highlight w:val="none"/>
          <w:lang w:val="en-US" w:eastAsia="zh-CN"/>
        </w:rPr>
        <w:t>87.24</w:t>
      </w:r>
      <w:r>
        <w:rPr>
          <w:rStyle w:val="13"/>
          <w:rFonts w:hint="default" w:ascii="Times New Roman" w:hAnsi="Times New Roman" w:eastAsia="仿宋_GB2312" w:cs="Times New Roman"/>
          <w:b w:val="0"/>
          <w:spacing w:val="-4"/>
          <w:sz w:val="32"/>
          <w:szCs w:val="32"/>
          <w:highlight w:val="none"/>
        </w:rPr>
        <w:t>%；</w:t>
      </w:r>
      <w:r>
        <w:rPr>
          <w:rStyle w:val="13"/>
          <w:rFonts w:hint="eastAsia" w:eastAsia="仿宋_GB2312" w:cs="Times New Roman"/>
          <w:b w:val="0"/>
          <w:spacing w:val="-4"/>
          <w:sz w:val="32"/>
          <w:szCs w:val="32"/>
          <w:highlight w:val="none"/>
          <w:lang w:val="en-US" w:eastAsia="zh-CN"/>
        </w:rPr>
        <w:t>偏差原因：</w:t>
      </w:r>
      <w:r>
        <w:rPr>
          <w:rStyle w:val="13"/>
          <w:rFonts w:hint="eastAsia" w:ascii="Times New Roman" w:hAnsi="Times New Roman" w:eastAsia="仿宋_GB2312" w:cs="Times New Roman"/>
          <w:b w:val="0"/>
          <w:spacing w:val="-4"/>
          <w:sz w:val="32"/>
          <w:szCs w:val="32"/>
          <w:highlight w:val="none"/>
          <w:lang w:val="en-US" w:eastAsia="zh-CN"/>
        </w:rPr>
        <w:t>有两台设备今年未采购，所以采购金额低于年初制定的指标值。</w:t>
      </w:r>
    </w:p>
    <w:p>
      <w:pPr>
        <w:keepLines w:val="0"/>
        <w:pageBreakBefore w:val="0"/>
        <w:kinsoku/>
        <w:wordWrap/>
        <w:overflowPunct/>
        <w:topLinePunct w:val="0"/>
        <w:autoSpaceDE/>
        <w:autoSpaceDN/>
        <w:bidi w:val="0"/>
        <w:adjustRightInd/>
        <w:spacing w:line="560" w:lineRule="exact"/>
        <w:ind w:firstLine="624" w:firstLineChars="200"/>
        <w:textAlignment w:val="auto"/>
        <w:outlineLvl w:val="9"/>
        <w:rPr>
          <w:rFonts w:hint="eastAsia"/>
          <w:highlight w:val="none"/>
          <w:lang w:eastAsia="zh-CN"/>
        </w:rPr>
      </w:pPr>
      <w:r>
        <w:rPr>
          <w:rStyle w:val="13"/>
          <w:rFonts w:hint="default" w:ascii="Times New Roman" w:hAnsi="Times New Roman" w:eastAsia="仿宋_GB2312" w:cs="Times New Roman"/>
          <w:b w:val="0"/>
          <w:spacing w:val="-4"/>
          <w:sz w:val="32"/>
          <w:szCs w:val="32"/>
          <w:highlight w:val="none"/>
          <w:lang w:val="en-US" w:eastAsia="zh-CN"/>
        </w:rPr>
        <w:t>指标3：乙类大型医用设备维保费用，指标值：=140万元/年/套</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bCs/>
          <w:spacing w:val="-4"/>
          <w:sz w:val="32"/>
          <w:szCs w:val="32"/>
          <w:highlight w:val="none"/>
          <w:lang w:val="en-US" w:eastAsia="zh-CN"/>
        </w:rPr>
        <w:t>140万元/年/套</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100</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CN"/>
        </w:rPr>
        <w:t>。</w:t>
      </w:r>
    </w:p>
    <w:p>
      <w:pPr>
        <w:pStyle w:val="9"/>
        <w:numPr>
          <w:ilvl w:val="0"/>
          <w:numId w:val="4"/>
        </w:numPr>
        <w:spacing w:line="560" w:lineRule="exact"/>
        <w:ind w:firstLine="640"/>
        <w:rPr>
          <w:rFonts w:eastAsia="楷体_GB2312"/>
          <w:b/>
          <w:bCs/>
          <w:sz w:val="32"/>
          <w:szCs w:val="32"/>
          <w:highlight w:val="none"/>
        </w:rPr>
      </w:pPr>
      <w:r>
        <w:rPr>
          <w:rFonts w:eastAsia="楷体_GB2312"/>
          <w:b/>
          <w:bCs/>
          <w:sz w:val="32"/>
          <w:szCs w:val="32"/>
          <w:highlight w:val="none"/>
        </w:rPr>
        <w:t>效益情况</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Style w:val="15"/>
          <w:rFonts w:hint="default" w:ascii="Times New Roman" w:hAnsi="Times New Roman" w:eastAsia="仿宋_GB2312" w:cs="Times New Roman"/>
          <w:b/>
          <w:bCs/>
          <w:color w:val="auto"/>
          <w:sz w:val="32"/>
          <w:szCs w:val="32"/>
          <w:highlight w:val="none"/>
          <w:lang w:eastAsia="zh-Hans"/>
        </w:rPr>
      </w:pPr>
      <w:r>
        <w:rPr>
          <w:rStyle w:val="15"/>
          <w:rFonts w:hint="default" w:ascii="Times New Roman" w:hAnsi="Times New Roman" w:eastAsia="仿宋_GB2312" w:cs="Times New Roman"/>
          <w:b/>
          <w:bCs/>
          <w:color w:val="auto"/>
          <w:sz w:val="32"/>
          <w:szCs w:val="32"/>
          <w:highlight w:val="none"/>
          <w:lang w:eastAsia="zh-Hans"/>
        </w:rPr>
        <w:t>经济效益指标方面：</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Style w:val="15"/>
          <w:rFonts w:hint="default" w:ascii="Times New Roman" w:hAnsi="Times New Roman" w:eastAsia="仿宋_GB2312" w:cs="Times New Roman"/>
          <w:color w:val="auto"/>
          <w:sz w:val="32"/>
          <w:szCs w:val="32"/>
          <w:highlight w:val="none"/>
        </w:rPr>
        <w:t>指标1：</w:t>
      </w:r>
      <w:r>
        <w:rPr>
          <w:rStyle w:val="15"/>
          <w:rFonts w:hint="default" w:ascii="Times New Roman" w:hAnsi="Times New Roman" w:eastAsia="仿宋_GB2312" w:cs="Times New Roman"/>
          <w:color w:val="auto"/>
          <w:sz w:val="32"/>
          <w:szCs w:val="32"/>
          <w:highlight w:val="none"/>
          <w:lang w:val="en-US" w:eastAsia="zh-CN"/>
        </w:rPr>
        <w:t>设备使用率</w:t>
      </w:r>
      <w:r>
        <w:rPr>
          <w:rStyle w:val="15"/>
          <w:rFonts w:hint="default" w:ascii="Times New Roman" w:hAnsi="Times New Roman" w:eastAsia="仿宋_GB2312" w:cs="Times New Roman"/>
          <w:color w:val="auto"/>
          <w:sz w:val="32"/>
          <w:szCs w:val="32"/>
          <w:highlight w:val="none"/>
        </w:rPr>
        <w:t>，指标值：</w:t>
      </w:r>
      <w:r>
        <w:rPr>
          <w:rStyle w:val="15"/>
          <w:rFonts w:hint="default" w:ascii="Times New Roman" w:hAnsi="Times New Roman" w:eastAsia="仿宋_GB2312" w:cs="Times New Roman"/>
          <w:color w:val="auto"/>
          <w:sz w:val="32"/>
          <w:szCs w:val="32"/>
          <w:highlight w:val="none"/>
          <w:lang w:val="en-US" w:eastAsia="zh-CN"/>
        </w:rPr>
        <w:t>≥90%</w:t>
      </w:r>
      <w:r>
        <w:rPr>
          <w:rStyle w:val="15"/>
          <w:rFonts w:hint="default" w:ascii="Times New Roman" w:hAnsi="Times New Roman" w:eastAsia="仿宋_GB2312" w:cs="Times New Roman"/>
          <w:color w:val="auto"/>
          <w:sz w:val="32"/>
          <w:szCs w:val="32"/>
          <w:highlight w:val="none"/>
        </w:rPr>
        <w:t>，实际完成值：</w:t>
      </w:r>
      <w:r>
        <w:rPr>
          <w:rStyle w:val="15"/>
          <w:rFonts w:hint="default" w:ascii="Times New Roman" w:hAnsi="Times New Roman" w:eastAsia="仿宋_GB2312" w:cs="Times New Roman"/>
          <w:color w:val="auto"/>
          <w:sz w:val="32"/>
          <w:szCs w:val="32"/>
          <w:highlight w:val="none"/>
          <w:lang w:val="en-US" w:eastAsia="zh-CN"/>
        </w:rPr>
        <w:t>95%</w:t>
      </w:r>
      <w:r>
        <w:rPr>
          <w:rStyle w:val="15"/>
          <w:rFonts w:hint="default" w:ascii="Times New Roman" w:hAnsi="Times New Roman" w:eastAsia="仿宋_GB2312" w:cs="Times New Roman"/>
          <w:color w:val="auto"/>
          <w:sz w:val="32"/>
          <w:szCs w:val="32"/>
          <w:highlight w:val="none"/>
        </w:rPr>
        <w:t>，指标完成率</w:t>
      </w:r>
      <w:r>
        <w:rPr>
          <w:rStyle w:val="15"/>
          <w:rFonts w:hint="default" w:ascii="Times New Roman" w:hAnsi="Times New Roman" w:eastAsia="仿宋_GB2312" w:cs="Times New Roman"/>
          <w:color w:val="auto"/>
          <w:sz w:val="32"/>
          <w:szCs w:val="32"/>
          <w:highlight w:val="none"/>
          <w:lang w:val="en-US" w:eastAsia="zh-CN"/>
        </w:rPr>
        <w:t>100</w:t>
      </w:r>
      <w:r>
        <w:rPr>
          <w:rStyle w:val="15"/>
          <w:rFonts w:hint="default" w:ascii="Times New Roman" w:hAnsi="Times New Roman" w:eastAsia="仿宋_GB2312" w:cs="Times New Roman"/>
          <w:color w:val="auto"/>
          <w:sz w:val="32"/>
          <w:szCs w:val="32"/>
          <w:highlight w:val="none"/>
        </w:rPr>
        <w:t>%</w:t>
      </w:r>
      <w:r>
        <w:rPr>
          <w:rStyle w:val="13"/>
          <w:rFonts w:hint="default" w:ascii="Times New Roman" w:hAnsi="Times New Roman" w:eastAsia="仿宋_GB2312" w:cs="Times New Roman"/>
          <w:b w:val="0"/>
          <w:spacing w:val="-4"/>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Style w:val="15"/>
          <w:rFonts w:hint="default" w:ascii="Times New Roman" w:hAnsi="Times New Roman" w:eastAsia="仿宋_GB2312" w:cs="Times New Roman"/>
          <w:b/>
          <w:bCs/>
          <w:color w:val="auto"/>
          <w:sz w:val="32"/>
          <w:szCs w:val="32"/>
          <w:highlight w:val="none"/>
        </w:rPr>
      </w:pPr>
      <w:r>
        <w:rPr>
          <w:rStyle w:val="15"/>
          <w:rFonts w:hint="default" w:ascii="Times New Roman" w:hAnsi="Times New Roman" w:eastAsia="仿宋_GB2312" w:cs="Times New Roman"/>
          <w:b/>
          <w:bCs/>
          <w:color w:val="auto"/>
          <w:sz w:val="32"/>
          <w:szCs w:val="32"/>
          <w:highlight w:val="none"/>
        </w:rPr>
        <w:t>社会效益指标方面：</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Style w:val="15"/>
          <w:rFonts w:hint="default" w:ascii="Times New Roman" w:hAnsi="Times New Roman" w:eastAsia="仿宋_GB2312" w:cs="Times New Roman"/>
          <w:color w:val="auto"/>
          <w:sz w:val="32"/>
          <w:szCs w:val="32"/>
          <w:highlight w:val="none"/>
          <w:lang w:eastAsia="zh-CN"/>
        </w:rPr>
      </w:pPr>
      <w:r>
        <w:rPr>
          <w:rStyle w:val="15"/>
          <w:rFonts w:hint="default" w:ascii="Times New Roman" w:hAnsi="Times New Roman" w:eastAsia="仿宋_GB2312" w:cs="Times New Roman"/>
          <w:color w:val="auto"/>
          <w:sz w:val="32"/>
          <w:szCs w:val="32"/>
          <w:highlight w:val="none"/>
        </w:rPr>
        <w:t>指标1：</w:t>
      </w:r>
      <w:r>
        <w:rPr>
          <w:rStyle w:val="15"/>
          <w:rFonts w:hint="default" w:ascii="Times New Roman" w:hAnsi="Times New Roman" w:eastAsia="仿宋_GB2312" w:cs="Times New Roman"/>
          <w:color w:val="auto"/>
          <w:sz w:val="32"/>
          <w:szCs w:val="32"/>
          <w:highlight w:val="none"/>
          <w:lang w:val="en-US" w:eastAsia="zh-CN"/>
        </w:rPr>
        <w:t>提高医院医疗水平</w:t>
      </w:r>
      <w:r>
        <w:rPr>
          <w:rStyle w:val="15"/>
          <w:rFonts w:hint="default" w:ascii="Times New Roman" w:hAnsi="Times New Roman" w:eastAsia="仿宋_GB2312" w:cs="Times New Roman"/>
          <w:color w:val="auto"/>
          <w:sz w:val="32"/>
          <w:szCs w:val="32"/>
          <w:highlight w:val="none"/>
        </w:rPr>
        <w:t>，指标值：</w:t>
      </w:r>
      <w:r>
        <w:rPr>
          <w:rStyle w:val="15"/>
          <w:rFonts w:hint="default" w:ascii="Times New Roman" w:hAnsi="Times New Roman" w:eastAsia="仿宋_GB2312" w:cs="Times New Roman"/>
          <w:color w:val="auto"/>
          <w:sz w:val="32"/>
          <w:szCs w:val="32"/>
          <w:highlight w:val="none"/>
          <w:lang w:val="en-US" w:eastAsia="zh-CN"/>
        </w:rPr>
        <w:t>有效提高</w:t>
      </w:r>
      <w:r>
        <w:rPr>
          <w:rStyle w:val="15"/>
          <w:rFonts w:hint="default" w:ascii="Times New Roman" w:hAnsi="Times New Roman" w:eastAsia="仿宋_GB2312" w:cs="Times New Roman"/>
          <w:color w:val="auto"/>
          <w:sz w:val="32"/>
          <w:szCs w:val="32"/>
          <w:highlight w:val="none"/>
        </w:rPr>
        <w:t>，实际完成值：</w:t>
      </w:r>
      <w:r>
        <w:rPr>
          <w:rStyle w:val="15"/>
          <w:rFonts w:hint="default" w:ascii="Times New Roman" w:hAnsi="Times New Roman" w:eastAsia="仿宋_GB2312" w:cs="Times New Roman"/>
          <w:color w:val="auto"/>
          <w:sz w:val="32"/>
          <w:szCs w:val="32"/>
          <w:highlight w:val="none"/>
          <w:lang w:val="en-US" w:eastAsia="zh-CN"/>
        </w:rPr>
        <w:t>有效提高</w:t>
      </w:r>
      <w:r>
        <w:rPr>
          <w:rStyle w:val="15"/>
          <w:rFonts w:hint="default" w:ascii="Times New Roman" w:hAnsi="Times New Roman" w:eastAsia="仿宋_GB2312" w:cs="Times New Roman"/>
          <w:color w:val="auto"/>
          <w:sz w:val="32"/>
          <w:szCs w:val="32"/>
          <w:highlight w:val="none"/>
        </w:rPr>
        <w:t>，指标完成率</w:t>
      </w:r>
      <w:r>
        <w:rPr>
          <w:rStyle w:val="15"/>
          <w:rFonts w:hint="default" w:ascii="Times New Roman" w:hAnsi="Times New Roman" w:eastAsia="仿宋_GB2312" w:cs="Times New Roman"/>
          <w:color w:val="auto"/>
          <w:sz w:val="32"/>
          <w:szCs w:val="32"/>
          <w:highlight w:val="none"/>
          <w:lang w:val="en-US" w:eastAsia="zh-CN"/>
        </w:rPr>
        <w:t>100</w:t>
      </w:r>
      <w:r>
        <w:rPr>
          <w:rStyle w:val="15"/>
          <w:rFonts w:hint="default" w:ascii="Times New Roman" w:hAnsi="Times New Roman" w:eastAsia="仿宋_GB2312" w:cs="Times New Roman"/>
          <w:color w:val="auto"/>
          <w:sz w:val="32"/>
          <w:szCs w:val="32"/>
          <w:highlight w:val="none"/>
        </w:rPr>
        <w:t>%</w:t>
      </w:r>
      <w:r>
        <w:rPr>
          <w:rStyle w:val="15"/>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Style w:val="15"/>
          <w:rFonts w:hint="default" w:ascii="Times New Roman" w:hAnsi="Times New Roman" w:eastAsia="仿宋_GB2312" w:cs="Times New Roman"/>
          <w:b/>
          <w:bCs/>
          <w:color w:val="auto"/>
          <w:sz w:val="32"/>
          <w:szCs w:val="32"/>
          <w:highlight w:val="none"/>
          <w:lang w:eastAsia="zh-Hans"/>
        </w:rPr>
      </w:pPr>
      <w:r>
        <w:rPr>
          <w:rStyle w:val="15"/>
          <w:rFonts w:hint="default" w:ascii="Times New Roman" w:hAnsi="Times New Roman" w:eastAsia="仿宋_GB2312" w:cs="Times New Roman"/>
          <w:b/>
          <w:bCs/>
          <w:color w:val="auto"/>
          <w:sz w:val="32"/>
          <w:szCs w:val="32"/>
          <w:highlight w:val="none"/>
          <w:lang w:eastAsia="zh-Hans"/>
        </w:rPr>
        <w:t>生态效益指标方面：</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Style w:val="15"/>
          <w:rFonts w:hint="default" w:ascii="Times New Roman" w:hAnsi="Times New Roman" w:eastAsia="仿宋_GB2312" w:cs="Times New Roman"/>
          <w:color w:val="auto"/>
          <w:sz w:val="32"/>
          <w:szCs w:val="32"/>
          <w:highlight w:val="none"/>
          <w:lang w:eastAsia="zh-CN"/>
        </w:rPr>
      </w:pPr>
      <w:r>
        <w:rPr>
          <w:rStyle w:val="15"/>
          <w:rFonts w:hint="default" w:ascii="Times New Roman" w:hAnsi="Times New Roman" w:eastAsia="仿宋_GB2312" w:cs="Times New Roman"/>
          <w:color w:val="auto"/>
          <w:sz w:val="32"/>
          <w:szCs w:val="32"/>
          <w:highlight w:val="none"/>
        </w:rPr>
        <w:t>指标1：</w:t>
      </w:r>
      <w:r>
        <w:rPr>
          <w:rStyle w:val="15"/>
          <w:rFonts w:hint="default" w:ascii="Times New Roman" w:hAnsi="Times New Roman" w:eastAsia="仿宋_GB2312" w:cs="Times New Roman"/>
          <w:color w:val="auto"/>
          <w:sz w:val="32"/>
          <w:szCs w:val="32"/>
          <w:highlight w:val="none"/>
          <w:lang w:val="en-US" w:eastAsia="zh-CN"/>
        </w:rPr>
        <w:t>医疗软件系统正常使用年限</w:t>
      </w:r>
      <w:r>
        <w:rPr>
          <w:rStyle w:val="15"/>
          <w:rFonts w:hint="default" w:ascii="Times New Roman" w:hAnsi="Times New Roman" w:eastAsia="仿宋_GB2312" w:cs="Times New Roman"/>
          <w:color w:val="auto"/>
          <w:sz w:val="32"/>
          <w:szCs w:val="32"/>
          <w:highlight w:val="none"/>
        </w:rPr>
        <w:t>，指标值：</w:t>
      </w:r>
      <w:r>
        <w:rPr>
          <w:rStyle w:val="15"/>
          <w:rFonts w:hint="default" w:ascii="Times New Roman" w:hAnsi="Times New Roman" w:eastAsia="仿宋_GB2312" w:cs="Times New Roman"/>
          <w:color w:val="auto"/>
          <w:sz w:val="32"/>
          <w:szCs w:val="32"/>
          <w:highlight w:val="none"/>
          <w:lang w:val="en-US" w:eastAsia="zh-CN"/>
        </w:rPr>
        <w:t>≥10年</w:t>
      </w:r>
      <w:r>
        <w:rPr>
          <w:rStyle w:val="15"/>
          <w:rFonts w:hint="default" w:ascii="Times New Roman" w:hAnsi="Times New Roman" w:eastAsia="仿宋_GB2312" w:cs="Times New Roman"/>
          <w:color w:val="auto"/>
          <w:sz w:val="32"/>
          <w:szCs w:val="32"/>
          <w:highlight w:val="none"/>
        </w:rPr>
        <w:t>，实际完成值：</w:t>
      </w:r>
      <w:r>
        <w:rPr>
          <w:rStyle w:val="15"/>
          <w:rFonts w:hint="default" w:ascii="Times New Roman" w:hAnsi="Times New Roman" w:eastAsia="仿宋_GB2312" w:cs="Times New Roman"/>
          <w:color w:val="auto"/>
          <w:sz w:val="32"/>
          <w:szCs w:val="32"/>
          <w:highlight w:val="none"/>
          <w:lang w:val="en-US" w:eastAsia="zh-CN"/>
        </w:rPr>
        <w:t>10年</w:t>
      </w:r>
      <w:r>
        <w:rPr>
          <w:rStyle w:val="15"/>
          <w:rFonts w:hint="default" w:ascii="Times New Roman" w:hAnsi="Times New Roman" w:eastAsia="仿宋_GB2312" w:cs="Times New Roman"/>
          <w:color w:val="auto"/>
          <w:sz w:val="32"/>
          <w:szCs w:val="32"/>
          <w:highlight w:val="none"/>
        </w:rPr>
        <w:t>，指标完成率</w:t>
      </w:r>
      <w:r>
        <w:rPr>
          <w:rStyle w:val="15"/>
          <w:rFonts w:hint="default" w:ascii="Times New Roman" w:hAnsi="Times New Roman" w:eastAsia="仿宋_GB2312" w:cs="Times New Roman"/>
          <w:color w:val="auto"/>
          <w:sz w:val="32"/>
          <w:szCs w:val="32"/>
          <w:highlight w:val="none"/>
          <w:lang w:val="en-US" w:eastAsia="zh-CN"/>
        </w:rPr>
        <w:t>100</w:t>
      </w:r>
      <w:r>
        <w:rPr>
          <w:rStyle w:val="15"/>
          <w:rFonts w:hint="default" w:ascii="Times New Roman" w:hAnsi="Times New Roman" w:eastAsia="仿宋_GB2312" w:cs="Times New Roman"/>
          <w:color w:val="auto"/>
          <w:sz w:val="32"/>
          <w:szCs w:val="32"/>
          <w:highlight w:val="none"/>
        </w:rPr>
        <w:t>%</w:t>
      </w:r>
      <w:r>
        <w:rPr>
          <w:rStyle w:val="15"/>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Style w:val="15"/>
          <w:rFonts w:hint="default" w:ascii="Times New Roman" w:hAnsi="Times New Roman" w:eastAsia="仿宋_GB2312" w:cs="Times New Roman"/>
          <w:b/>
          <w:bCs/>
          <w:color w:val="auto"/>
          <w:sz w:val="32"/>
          <w:szCs w:val="32"/>
          <w:highlight w:val="none"/>
        </w:rPr>
      </w:pPr>
      <w:r>
        <w:rPr>
          <w:rStyle w:val="15"/>
          <w:rFonts w:hint="default" w:ascii="Times New Roman" w:hAnsi="Times New Roman" w:eastAsia="仿宋_GB2312" w:cs="Times New Roman"/>
          <w:b/>
          <w:bCs/>
          <w:color w:val="auto"/>
          <w:sz w:val="32"/>
          <w:szCs w:val="32"/>
          <w:highlight w:val="none"/>
        </w:rPr>
        <w:t>满意度指标方面：</w:t>
      </w:r>
    </w:p>
    <w:p>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textAlignment w:val="auto"/>
        <w:rPr>
          <w:rStyle w:val="13"/>
          <w:rFonts w:hint="default" w:eastAsia="仿宋_GB2312"/>
          <w:b w:val="0"/>
          <w:spacing w:val="-4"/>
          <w:sz w:val="32"/>
          <w:szCs w:val="32"/>
          <w:highlight w:val="none"/>
          <w:lang w:val="en-US"/>
        </w:rPr>
      </w:pPr>
      <w:r>
        <w:rPr>
          <w:rStyle w:val="13"/>
          <w:rFonts w:hint="default" w:ascii="Times New Roman" w:hAnsi="Times New Roman" w:eastAsia="仿宋_GB2312" w:cs="Times New Roman"/>
          <w:b w:val="0"/>
          <w:spacing w:val="-4"/>
          <w:sz w:val="32"/>
          <w:szCs w:val="32"/>
          <w:highlight w:val="none"/>
        </w:rPr>
        <w:t>指标1：</w:t>
      </w:r>
      <w:r>
        <w:rPr>
          <w:rStyle w:val="13"/>
          <w:rFonts w:hint="default" w:ascii="Times New Roman" w:hAnsi="Times New Roman" w:eastAsia="仿宋_GB2312" w:cs="Times New Roman"/>
          <w:b w:val="0"/>
          <w:spacing w:val="-4"/>
          <w:sz w:val="32"/>
          <w:szCs w:val="32"/>
          <w:highlight w:val="none"/>
          <w:lang w:val="en-US" w:eastAsia="zh-CN"/>
        </w:rPr>
        <w:t>职工满意度</w:t>
      </w:r>
      <w:r>
        <w:rPr>
          <w:rStyle w:val="13"/>
          <w:rFonts w:hint="default" w:ascii="Times New Roman" w:hAnsi="Times New Roman" w:eastAsia="仿宋_GB2312" w:cs="Times New Roman"/>
          <w:b w:val="0"/>
          <w:spacing w:val="-4"/>
          <w:sz w:val="32"/>
          <w:szCs w:val="32"/>
          <w:highlight w:val="none"/>
        </w:rPr>
        <w:t>，指标值：</w:t>
      </w:r>
      <w:r>
        <w:rPr>
          <w:rStyle w:val="13"/>
          <w:rFonts w:hint="default" w:ascii="Times New Roman" w:hAnsi="Times New Roman" w:eastAsia="仿宋_GB2312" w:cs="Times New Roman"/>
          <w:b w:val="0"/>
          <w:spacing w:val="-4"/>
          <w:sz w:val="32"/>
          <w:szCs w:val="32"/>
          <w:highlight w:val="none"/>
          <w:lang w:val="en-US" w:eastAsia="zh-CN"/>
        </w:rPr>
        <w:t>≥80%</w:t>
      </w:r>
      <w:r>
        <w:rPr>
          <w:rStyle w:val="13"/>
          <w:rFonts w:hint="default" w:ascii="Times New Roman" w:hAnsi="Times New Roman" w:eastAsia="仿宋_GB2312" w:cs="Times New Roman"/>
          <w:b w:val="0"/>
          <w:spacing w:val="-4"/>
          <w:sz w:val="32"/>
          <w:szCs w:val="32"/>
          <w:highlight w:val="none"/>
        </w:rPr>
        <w:t>，实际完成值：</w:t>
      </w:r>
      <w:r>
        <w:rPr>
          <w:rStyle w:val="13"/>
          <w:rFonts w:hint="default" w:ascii="Times New Roman" w:hAnsi="Times New Roman" w:eastAsia="仿宋_GB2312" w:cs="Times New Roman"/>
          <w:b w:val="0"/>
          <w:spacing w:val="-4"/>
          <w:sz w:val="32"/>
          <w:szCs w:val="32"/>
          <w:highlight w:val="none"/>
          <w:lang w:val="en-US" w:eastAsia="zh-CN"/>
        </w:rPr>
        <w:t>74.96%</w:t>
      </w:r>
      <w:r>
        <w:rPr>
          <w:rStyle w:val="13"/>
          <w:rFonts w:hint="default" w:ascii="Times New Roman" w:hAnsi="Times New Roman" w:eastAsia="仿宋_GB2312" w:cs="Times New Roman"/>
          <w:b w:val="0"/>
          <w:spacing w:val="-4"/>
          <w:sz w:val="32"/>
          <w:szCs w:val="32"/>
          <w:highlight w:val="none"/>
        </w:rPr>
        <w:t>，指标完成率</w:t>
      </w:r>
      <w:r>
        <w:rPr>
          <w:rStyle w:val="13"/>
          <w:rFonts w:hint="default" w:ascii="Times New Roman" w:hAnsi="Times New Roman" w:eastAsia="仿宋_GB2312" w:cs="Times New Roman"/>
          <w:b w:val="0"/>
          <w:spacing w:val="-4"/>
          <w:sz w:val="32"/>
          <w:szCs w:val="32"/>
          <w:highlight w:val="none"/>
          <w:lang w:val="en-US" w:eastAsia="zh-CN"/>
        </w:rPr>
        <w:t>93.70</w:t>
      </w:r>
      <w:r>
        <w:rPr>
          <w:rStyle w:val="13"/>
          <w:rFonts w:hint="default" w:ascii="Times New Roman" w:hAnsi="Times New Roman" w:eastAsia="仿宋_GB2312" w:cs="Times New Roman"/>
          <w:b w:val="0"/>
          <w:spacing w:val="-4"/>
          <w:sz w:val="32"/>
          <w:szCs w:val="32"/>
          <w:highlight w:val="none"/>
        </w:rPr>
        <w:t>%</w:t>
      </w:r>
      <w:r>
        <w:rPr>
          <w:rStyle w:val="13"/>
          <w:rFonts w:hint="default" w:ascii="Times New Roman" w:hAnsi="Times New Roman" w:eastAsia="仿宋_GB2312" w:cs="Times New Roman"/>
          <w:b w:val="0"/>
          <w:spacing w:val="-4"/>
          <w:sz w:val="32"/>
          <w:szCs w:val="32"/>
          <w:highlight w:val="none"/>
          <w:lang w:eastAsia="zh-CN"/>
        </w:rPr>
        <w:t>。</w:t>
      </w:r>
      <w:r>
        <w:rPr>
          <w:rStyle w:val="13"/>
          <w:rFonts w:hint="eastAsia" w:eastAsia="仿宋_GB2312" w:cs="Times New Roman"/>
          <w:b w:val="0"/>
          <w:spacing w:val="-4"/>
          <w:sz w:val="32"/>
          <w:szCs w:val="32"/>
          <w:highlight w:val="none"/>
          <w:lang w:val="en-US" w:eastAsia="zh-CN"/>
        </w:rPr>
        <w:t>偏差原因</w:t>
      </w:r>
      <w:r>
        <w:rPr>
          <w:rStyle w:val="13"/>
          <w:rFonts w:hint="eastAsia" w:ascii="Times New Roman" w:hAnsi="Times New Roman" w:eastAsia="仿宋_GB2312" w:cs="Times New Roman"/>
          <w:b w:val="0"/>
          <w:spacing w:val="-4"/>
          <w:sz w:val="32"/>
          <w:szCs w:val="32"/>
          <w:highlight w:val="none"/>
          <w:lang w:val="en-US" w:eastAsia="zh-CN"/>
        </w:rPr>
        <w:t>：</w:t>
      </w:r>
      <w:r>
        <w:rPr>
          <w:rStyle w:val="13"/>
          <w:rFonts w:hint="eastAsia" w:eastAsia="仿宋_GB2312" w:cs="Times New Roman"/>
          <w:b w:val="0"/>
          <w:spacing w:val="-4"/>
          <w:sz w:val="32"/>
          <w:szCs w:val="32"/>
          <w:highlight w:val="none"/>
          <w:lang w:val="en-US" w:eastAsia="zh-CN"/>
        </w:rPr>
        <w:t>部分</w:t>
      </w:r>
      <w:r>
        <w:rPr>
          <w:rStyle w:val="13"/>
          <w:rFonts w:hint="eastAsia" w:ascii="Times New Roman" w:hAnsi="Times New Roman" w:eastAsia="仿宋_GB2312" w:cs="Times New Roman"/>
          <w:b w:val="0"/>
          <w:spacing w:val="-4"/>
          <w:sz w:val="32"/>
          <w:szCs w:val="32"/>
          <w:highlight w:val="none"/>
          <w:lang w:val="en-US" w:eastAsia="zh-CN"/>
        </w:rPr>
        <w:t>职工</w:t>
      </w:r>
      <w:r>
        <w:rPr>
          <w:rStyle w:val="13"/>
          <w:rFonts w:hint="eastAsia" w:eastAsia="仿宋_GB2312" w:cs="Times New Roman"/>
          <w:b w:val="0"/>
          <w:spacing w:val="-4"/>
          <w:sz w:val="32"/>
          <w:szCs w:val="32"/>
          <w:highlight w:val="none"/>
          <w:lang w:val="en-US" w:eastAsia="zh-CN"/>
        </w:rPr>
        <w:t>答题不仔细，导致</w:t>
      </w:r>
      <w:r>
        <w:rPr>
          <w:rStyle w:val="13"/>
          <w:rFonts w:hint="eastAsia" w:ascii="Times New Roman" w:hAnsi="Times New Roman" w:eastAsia="仿宋_GB2312" w:cs="Times New Roman"/>
          <w:b w:val="0"/>
          <w:spacing w:val="-4"/>
          <w:sz w:val="32"/>
          <w:szCs w:val="32"/>
          <w:highlight w:val="none"/>
          <w:lang w:val="en-US" w:eastAsia="zh-CN"/>
        </w:rPr>
        <w:t>满意度</w:t>
      </w:r>
      <w:r>
        <w:rPr>
          <w:rStyle w:val="13"/>
          <w:rFonts w:hint="eastAsia" w:eastAsia="仿宋_GB2312" w:cs="Times New Roman"/>
          <w:b w:val="0"/>
          <w:spacing w:val="-4"/>
          <w:sz w:val="32"/>
          <w:szCs w:val="32"/>
          <w:highlight w:val="none"/>
          <w:lang w:val="en-US" w:eastAsia="zh-CN"/>
        </w:rPr>
        <w:t>调查数据存在偏差</w:t>
      </w:r>
      <w:r>
        <w:rPr>
          <w:rStyle w:val="13"/>
          <w:rFonts w:hint="eastAsia" w:ascii="Times New Roman" w:hAnsi="Times New Roman" w:eastAsia="仿宋_GB2312" w:cs="Times New Roman"/>
          <w:b w:val="0"/>
          <w:spacing w:val="-4"/>
          <w:sz w:val="32"/>
          <w:szCs w:val="32"/>
          <w:highlight w:val="none"/>
          <w:lang w:val="en-US" w:eastAsia="zh-CN"/>
        </w:rPr>
        <w:t>。</w:t>
      </w:r>
    </w:p>
    <w:p>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pPr>
        <w:pStyle w:val="16"/>
        <w:spacing w:line="560" w:lineRule="exact"/>
        <w:ind w:firstLine="640"/>
        <w:rPr>
          <w:highlight w:val="none"/>
        </w:rPr>
      </w:pPr>
      <w:r>
        <w:rPr>
          <w:rFonts w:hint="default" w:ascii="Times New Roman" w:hAnsi="Times New Roman" w:eastAsia="仿宋_GB2312" w:cs="Times New Roman"/>
          <w:b w:val="0"/>
          <w:bCs w:val="0"/>
          <w:sz w:val="32"/>
          <w:szCs w:val="32"/>
          <w:highlight w:val="none"/>
          <w:lang w:val="en-US" w:eastAsia="zh-CN"/>
        </w:rPr>
        <w:t>2023年医院</w:t>
      </w:r>
      <w:r>
        <w:rPr>
          <w:rFonts w:hint="eastAsia" w:eastAsia="仿宋_GB2312" w:cs="Times New Roman"/>
          <w:b w:val="0"/>
          <w:bCs w:val="0"/>
          <w:sz w:val="32"/>
          <w:szCs w:val="32"/>
          <w:highlight w:val="none"/>
          <w:lang w:val="en-US" w:eastAsia="zh-CN"/>
        </w:rPr>
        <w:t>政府采购</w:t>
      </w:r>
      <w:r>
        <w:rPr>
          <w:rFonts w:hint="default" w:ascii="Times New Roman" w:hAnsi="Times New Roman" w:eastAsia="仿宋_GB2312" w:cs="Times New Roman"/>
          <w:sz w:val="32"/>
          <w:szCs w:val="32"/>
          <w:highlight w:val="none"/>
        </w:rPr>
        <w:t>项目预算</w:t>
      </w:r>
      <w:r>
        <w:rPr>
          <w:rFonts w:hint="eastAsia" w:eastAsia="仿宋_GB2312" w:cs="Times New Roman"/>
          <w:sz w:val="32"/>
          <w:szCs w:val="32"/>
          <w:highlight w:val="none"/>
          <w:lang w:val="en-US" w:eastAsia="zh-CN"/>
        </w:rPr>
        <w:t>32,718.81</w:t>
      </w:r>
      <w:r>
        <w:rPr>
          <w:rFonts w:hint="default" w:ascii="Times New Roman" w:hAnsi="Times New Roman" w:eastAsia="仿宋_GB2312" w:cs="Times New Roman"/>
          <w:sz w:val="32"/>
          <w:szCs w:val="32"/>
          <w:highlight w:val="none"/>
        </w:rPr>
        <w:t>万元，到位</w:t>
      </w:r>
      <w:r>
        <w:rPr>
          <w:rFonts w:hint="eastAsia" w:eastAsia="仿宋_GB2312"/>
          <w:sz w:val="32"/>
          <w:szCs w:val="32"/>
          <w:highlight w:val="none"/>
          <w:lang w:val="en-US" w:eastAsia="zh-CN"/>
        </w:rPr>
        <w:t>33,514.64</w:t>
      </w:r>
      <w:r>
        <w:rPr>
          <w:rFonts w:hint="default" w:ascii="Times New Roman" w:hAnsi="Times New Roman" w:eastAsia="仿宋_GB2312" w:cs="Times New Roman"/>
          <w:sz w:val="32"/>
          <w:szCs w:val="32"/>
          <w:highlight w:val="none"/>
        </w:rPr>
        <w:t>万元，实际支出</w:t>
      </w:r>
      <w:r>
        <w:rPr>
          <w:rFonts w:hint="eastAsia" w:eastAsia="仿宋_GB2312" w:cs="Times New Roman"/>
          <w:sz w:val="32"/>
          <w:szCs w:val="32"/>
          <w:highlight w:val="none"/>
          <w:lang w:val="en-US" w:eastAsia="zh-CN"/>
        </w:rPr>
        <w:t>33,514.64</w:t>
      </w:r>
      <w:r>
        <w:rPr>
          <w:rFonts w:hint="default" w:ascii="Times New Roman" w:hAnsi="Times New Roman" w:eastAsia="仿宋_GB2312" w:cs="Times New Roman"/>
          <w:sz w:val="32"/>
          <w:szCs w:val="32"/>
          <w:highlight w:val="none"/>
        </w:rPr>
        <w:t>万元，预算执行率为</w:t>
      </w:r>
      <w:r>
        <w:rPr>
          <w:rFonts w:hint="default" w:ascii="Times New Roman" w:hAnsi="Times New Roman" w:eastAsia="仿宋_GB2312" w:cs="Times New Roman"/>
          <w:sz w:val="32"/>
          <w:szCs w:val="32"/>
          <w:highlight w:val="none"/>
          <w:lang w:val="en-US" w:eastAsia="zh-CN"/>
        </w:rPr>
        <w:t>10</w:t>
      </w:r>
      <w:r>
        <w:rPr>
          <w:rFonts w:hint="eastAsia" w:eastAsia="仿宋_GB2312" w:cs="Times New Roman"/>
          <w:sz w:val="32"/>
          <w:szCs w:val="32"/>
          <w:highlight w:val="none"/>
          <w:lang w:val="en-US" w:eastAsia="zh-CN"/>
        </w:rPr>
        <w:t>0.00</w:t>
      </w:r>
      <w:r>
        <w:rPr>
          <w:rFonts w:hint="default" w:ascii="Times New Roman" w:hAnsi="Times New Roman" w:eastAsia="仿宋_GB2312" w:cs="Times New Roman"/>
          <w:sz w:val="32"/>
          <w:szCs w:val="32"/>
          <w:highlight w:val="none"/>
        </w:rPr>
        <w:t>%，项目绩效指标总体完成率为</w:t>
      </w:r>
      <w:r>
        <w:rPr>
          <w:rFonts w:hint="eastAsia" w:eastAsia="仿宋_GB2312" w:cs="Times New Roman"/>
          <w:sz w:val="32"/>
          <w:szCs w:val="32"/>
          <w:highlight w:val="none"/>
          <w:lang w:val="en-US" w:eastAsia="zh-CN"/>
        </w:rPr>
        <w:t>122.12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总体</w:t>
      </w:r>
      <w:r>
        <w:rPr>
          <w:rFonts w:hint="default" w:ascii="Times New Roman" w:hAnsi="Times New Roman" w:eastAsia="仿宋_GB2312" w:cs="Times New Roman"/>
          <w:sz w:val="32"/>
          <w:szCs w:val="32"/>
          <w:highlight w:val="none"/>
        </w:rPr>
        <w:t>偏差率为</w:t>
      </w:r>
      <w:r>
        <w:rPr>
          <w:rFonts w:hint="eastAsia" w:eastAsia="仿宋_GB2312" w:cs="Times New Roman"/>
          <w:sz w:val="32"/>
          <w:szCs w:val="32"/>
          <w:highlight w:val="none"/>
          <w:lang w:val="en-US" w:eastAsia="zh-CN"/>
        </w:rPr>
        <w:t>22.12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偏差原因</w:t>
      </w:r>
      <w:r>
        <w:rPr>
          <w:rFonts w:hint="eastAsia" w:eastAsia="仿宋_GB2312" w:cs="Times New Roman"/>
          <w:sz w:val="32"/>
          <w:szCs w:val="32"/>
          <w:highlight w:val="none"/>
          <w:lang w:val="en-US" w:eastAsia="zh-CN"/>
        </w:rPr>
        <w:t>是医疗收入增加导致专用材料购置费用增加，最终超出预算</w:t>
      </w:r>
      <w:r>
        <w:rPr>
          <w:rFonts w:hint="default" w:ascii="Times New Roman" w:hAnsi="Times New Roman" w:eastAsia="仿宋_GB2312" w:cs="Times New Roman"/>
          <w:sz w:val="32"/>
          <w:szCs w:val="32"/>
          <w:highlight w:val="none"/>
        </w:rPr>
        <w:t>，改进措施</w:t>
      </w:r>
      <w:r>
        <w:rPr>
          <w:rFonts w:hint="eastAsia" w:eastAsia="仿宋_GB2312" w:cs="Times New Roman"/>
          <w:sz w:val="32"/>
          <w:szCs w:val="32"/>
          <w:highlight w:val="none"/>
          <w:lang w:val="en-US" w:eastAsia="zh-CN"/>
        </w:rPr>
        <w:t>是科学分析、合理安排下一年度政府采购预算</w:t>
      </w:r>
      <w:r>
        <w:rPr>
          <w:rFonts w:hint="default" w:ascii="Times New Roman" w:hAnsi="Times New Roman" w:eastAsia="仿宋_GB2312" w:cs="Times New Roman"/>
          <w:sz w:val="32"/>
          <w:szCs w:val="32"/>
          <w:highlight w:val="none"/>
        </w:rPr>
        <w:t>。</w:t>
      </w:r>
    </w:p>
    <w:p>
      <w:pPr>
        <w:spacing w:line="560" w:lineRule="exact"/>
        <w:ind w:firstLine="640" w:firstLineChars="200"/>
        <w:rPr>
          <w:rStyle w:val="15"/>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8"/>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pPr>
        <w:pStyle w:val="8"/>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pPr>
        <w:spacing w:line="56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3" w:name="page8"/>
      <w:bookmarkEnd w:id="3"/>
      <w:r>
        <w:rPr>
          <w:rFonts w:eastAsia="黑体"/>
          <w:sz w:val="32"/>
          <w:szCs w:val="32"/>
          <w:highlight w:val="none"/>
        </w:rPr>
        <w:t>明的问题</w:t>
      </w: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pPr>
        <w:pStyle w:val="10"/>
        <w:spacing w:after="0" w:line="560" w:lineRule="exact"/>
        <w:ind w:left="0" w:leftChars="0" w:firstLine="0" w:firstLineChars="0"/>
        <w:rPr>
          <w:rFonts w:hint="eastAsia" w:ascii="仿宋_GB2312" w:hAnsi="仿宋_GB2312" w:eastAsia="仿宋_GB2312" w:cs="仿宋_GB2312"/>
          <w:sz w:val="32"/>
          <w:szCs w:val="32"/>
          <w:highlight w:val="none"/>
          <w:lang w:eastAsia="zh-Hans"/>
        </w:rPr>
        <w:sectPr>
          <w:pgSz w:w="11906" w:h="16838"/>
          <w:pgMar w:top="1440" w:right="1558" w:bottom="1440" w:left="1800" w:header="851" w:footer="992" w:gutter="0"/>
          <w:cols w:space="425" w:num="1"/>
          <w:docGrid w:type="lines" w:linePitch="312" w:charSpace="0"/>
        </w:sectPr>
      </w:pPr>
      <w:bookmarkStart w:id="4" w:name="_GoBack"/>
      <w:bookmarkEnd w:id="4"/>
    </w:p>
    <w:p>
      <w:pPr>
        <w:pStyle w:val="10"/>
        <w:spacing w:after="0" w:line="560" w:lineRule="exact"/>
        <w:ind w:left="0" w:leftChars="0" w:firstLine="0" w:firstLineChars="0"/>
        <w:rPr>
          <w:rFonts w:hint="eastAsia" w:ascii="仿宋_GB2312" w:hAnsi="仿宋_GB2312" w:eastAsia="仿宋_GB2312" w:cs="仿宋_GB2312"/>
          <w:sz w:val="32"/>
          <w:szCs w:val="32"/>
          <w:highlight w:val="none"/>
          <w:lang w:eastAsia="zh-Hans"/>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3"/>
        <w:gridCol w:w="583"/>
        <w:gridCol w:w="583"/>
        <w:gridCol w:w="1320"/>
        <w:gridCol w:w="936"/>
        <w:gridCol w:w="936"/>
        <w:gridCol w:w="1026"/>
        <w:gridCol w:w="933"/>
        <w:gridCol w:w="935"/>
        <w:gridCol w:w="935"/>
        <w:gridCol w:w="936"/>
        <w:gridCol w:w="1124"/>
        <w:gridCol w:w="1000"/>
        <w:gridCol w:w="2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2023年医院政府采购项目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新疆医科大学第六附属医院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32718.81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33514.64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33514.64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32718.81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33514.64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33514.64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加强政府采购工作；进一步规范政府采购行为；提高资金使用效益。</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实际完成采购办公桌椅196套、办公设备337件、卫生耗材及药品31,185.64万元，总计完成采购33,514.64万元。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医疗设备购置数量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&gt;=17套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88.24%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53套</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有两台设备今年未采购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购置办公桌椅数量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25套</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乙类乙管后采购量恢复正常，但超出年初制定的指标值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购置办公设备数量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102件</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乙类乙管后采购量恢复正常，但超出年初制定的指标值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资金支付准确率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设备购置合格率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系统故障率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1天</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系统运行维护响应时间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&lt;=8小时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=3小时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3小时</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卫生耗材及药品费用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&lt;=30000万元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=31185.64万元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25243.55万元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乙类乙管后采购量恢复正常，但超出年初制定的指标值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医疗设备购置费用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&lt;=760.80万元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=663.73万元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1524万元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有两台设备今年未采购，所以采购金额低于年初制定的指标值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乙类大型医用设备维保费用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=140万元/年/套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=140万元/年/套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140万元/年/套</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提高医院医疗水平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医疗软件系统正常使用年限</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=74.96%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74.96%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79.22分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8"/>
        <w:jc w:val="both"/>
        <w:rPr>
          <w:rFonts w:ascii="Times New Roman" w:hAnsi="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bCs/>
          <w:sz w:val="32"/>
          <w:szCs w:val="32"/>
          <w:highlight w:val="none"/>
        </w:rPr>
      </w:pPr>
      <w:r>
        <w:rPr>
          <w:bCs/>
          <w:sz w:val="32"/>
          <w:szCs w:val="32"/>
          <w:highlight w:val="none"/>
        </w:rPr>
        <w:t>附件1</w:t>
      </w:r>
    </w:p>
    <w:tbl>
      <w:tblPr>
        <w:tblStyle w:val="1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b/>
                <w:bCs/>
                <w:color w:val="000000"/>
                <w:kern w:val="0"/>
                <w:sz w:val="22"/>
                <w:szCs w:val="22"/>
                <w:highlight w:val="none"/>
                <w:lang w:val="en-US"/>
              </w:rPr>
            </w:pPr>
            <w:r>
              <w:rPr>
                <w:rFonts w:hint="eastAsia"/>
                <w:color w:val="000000"/>
                <w:kern w:val="0"/>
                <w:sz w:val="22"/>
                <w:szCs w:val="22"/>
                <w:highlight w:val="none"/>
                <w:lang w:val="en-US" w:eastAsia="zh-CN"/>
              </w:rPr>
              <w:t>2.35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b/>
                <w:bCs/>
                <w:color w:val="000000"/>
                <w:kern w:val="0"/>
                <w:sz w:val="22"/>
                <w:szCs w:val="22"/>
                <w:highlight w:val="none"/>
                <w:lang w:val="en-US"/>
              </w:rPr>
            </w:pPr>
            <w:r>
              <w:rPr>
                <w:rFonts w:hint="eastAsia"/>
                <w:color w:val="000000"/>
                <w:kern w:val="0"/>
                <w:sz w:val="22"/>
                <w:szCs w:val="22"/>
                <w:highlight w:val="none"/>
                <w:lang w:val="en-US" w:eastAsia="zh-CN"/>
              </w:rPr>
              <w:t>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9.37</w:t>
            </w:r>
          </w:p>
        </w:tc>
      </w:tr>
    </w:tbl>
    <w:p>
      <w:pPr>
        <w:pStyle w:val="8"/>
        <w:rPr>
          <w:rFonts w:ascii="Times New Roman" w:hAnsi="Times New Roman"/>
          <w:highlight w:val="none"/>
        </w:rPr>
      </w:pPr>
    </w:p>
    <w:p>
      <w:pPr>
        <w:rPr>
          <w:highlight w:val="none"/>
        </w:rPr>
      </w:pPr>
    </w:p>
    <w:p>
      <w:pPr>
        <w:spacing w:line="540" w:lineRule="exact"/>
        <w:ind w:firstLine="640"/>
        <w:rPr>
          <w:rStyle w:val="13"/>
          <w:rFonts w:eastAsia="黑体"/>
          <w:bCs w:val="0"/>
          <w:spacing w:val="-4"/>
          <w:sz w:val="32"/>
          <w:szCs w:val="32"/>
          <w:highlight w:val="none"/>
        </w:rPr>
      </w:pPr>
    </w:p>
    <w:p>
      <w:pPr>
        <w:spacing w:line="540" w:lineRule="exact"/>
        <w:ind w:firstLine="640"/>
        <w:rPr>
          <w:rStyle w:val="13"/>
          <w:rFonts w:eastAsia="黑体"/>
          <w:bCs w:val="0"/>
          <w:spacing w:val="-4"/>
          <w:sz w:val="32"/>
          <w:szCs w:val="32"/>
          <w:highlight w:val="none"/>
        </w:rPr>
      </w:pPr>
    </w:p>
    <w:p>
      <w:pPr>
        <w:spacing w:line="540" w:lineRule="exact"/>
        <w:ind w:firstLine="640"/>
        <w:rPr>
          <w:rStyle w:val="13"/>
          <w:rFonts w:eastAsia="黑体"/>
          <w:bCs w:val="0"/>
          <w:spacing w:val="-4"/>
          <w:sz w:val="32"/>
          <w:szCs w:val="32"/>
          <w:highlight w:val="none"/>
        </w:rPr>
      </w:pPr>
    </w:p>
    <w:p>
      <w:pPr>
        <w:spacing w:line="540" w:lineRule="exact"/>
        <w:ind w:firstLine="640"/>
        <w:rPr>
          <w:rStyle w:val="13"/>
          <w:rFonts w:eastAsia="黑体"/>
          <w:bCs w:val="0"/>
          <w:spacing w:val="-4"/>
          <w:sz w:val="32"/>
          <w:szCs w:val="32"/>
          <w:highlight w:val="none"/>
        </w:rPr>
      </w:pPr>
    </w:p>
    <w:p>
      <w:pPr>
        <w:spacing w:line="540" w:lineRule="exact"/>
        <w:ind w:firstLine="640"/>
        <w:rPr>
          <w:rStyle w:val="13"/>
          <w:rFonts w:eastAsia="黑体"/>
          <w:bCs w:val="0"/>
          <w:spacing w:val="-4"/>
          <w:sz w:val="32"/>
          <w:szCs w:val="32"/>
          <w:highlight w:val="none"/>
        </w:rPr>
      </w:pPr>
    </w:p>
    <w:p>
      <w:pPr>
        <w:spacing w:line="540" w:lineRule="exact"/>
        <w:ind w:firstLine="640"/>
        <w:rPr>
          <w:rStyle w:val="13"/>
          <w:rFonts w:eastAsia="黑体"/>
          <w:bCs w:val="0"/>
          <w:spacing w:val="-4"/>
          <w:sz w:val="32"/>
          <w:szCs w:val="32"/>
          <w:highlight w:val="none"/>
        </w:rPr>
      </w:pPr>
    </w:p>
    <w:p>
      <w:pPr>
        <w:spacing w:line="540" w:lineRule="exact"/>
        <w:rPr>
          <w:rStyle w:val="13"/>
          <w:rFonts w:eastAsia="仿宋"/>
          <w:b w:val="0"/>
          <w:spacing w:val="-4"/>
          <w:sz w:val="32"/>
          <w:szCs w:val="32"/>
          <w:highlight w:val="none"/>
        </w:rPr>
      </w:pPr>
    </w:p>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8F0C646"/>
    <w:multiLevelType w:val="singleLevel"/>
    <w:tmpl w:val="38F0C646"/>
    <w:lvl w:ilvl="0" w:tentative="0">
      <w:start w:val="1"/>
      <w:numFmt w:val="decimal"/>
      <w:suff w:val="nothing"/>
      <w:lvlText w:val="%1、"/>
      <w:lvlJc w:val="left"/>
    </w:lvl>
  </w:abstractNum>
  <w:abstractNum w:abstractNumId="4">
    <w:nsid w:val="6FAA0AB1"/>
    <w:multiLevelType w:val="singleLevel"/>
    <w:tmpl w:val="6FAA0AB1"/>
    <w:lvl w:ilvl="0" w:tentative="0">
      <w:start w:val="2"/>
      <w:numFmt w:val="chineseCounting"/>
      <w:suff w:val="nothing"/>
      <w:lvlText w:val="（%1）"/>
      <w:lvlJc w:val="left"/>
      <w:rPr>
        <w:rFonts w:hint="eastAsia" w:ascii="楷体" w:hAnsi="楷体" w:eastAsia="楷体" w:cs="楷体"/>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4712B7"/>
    <w:rsid w:val="00714727"/>
    <w:rsid w:val="00FC7F82"/>
    <w:rsid w:val="00FD3DF8"/>
    <w:rsid w:val="01E31610"/>
    <w:rsid w:val="025F0B06"/>
    <w:rsid w:val="02B26E88"/>
    <w:rsid w:val="0A2C5771"/>
    <w:rsid w:val="0A652A31"/>
    <w:rsid w:val="0CEE150A"/>
    <w:rsid w:val="0F530923"/>
    <w:rsid w:val="122218DF"/>
    <w:rsid w:val="13B90F01"/>
    <w:rsid w:val="144A6287"/>
    <w:rsid w:val="19404D95"/>
    <w:rsid w:val="19A5109C"/>
    <w:rsid w:val="1C671E73"/>
    <w:rsid w:val="1DE55F0B"/>
    <w:rsid w:val="1E0839A8"/>
    <w:rsid w:val="23F32BFD"/>
    <w:rsid w:val="25AB5124"/>
    <w:rsid w:val="2609650F"/>
    <w:rsid w:val="2F1E1378"/>
    <w:rsid w:val="34976CD4"/>
    <w:rsid w:val="35DE565D"/>
    <w:rsid w:val="395F2B56"/>
    <w:rsid w:val="3AFC3D29"/>
    <w:rsid w:val="3BECE841"/>
    <w:rsid w:val="3C131A3E"/>
    <w:rsid w:val="3EBA43F3"/>
    <w:rsid w:val="3FF7797D"/>
    <w:rsid w:val="42942B41"/>
    <w:rsid w:val="4456696C"/>
    <w:rsid w:val="46010E44"/>
    <w:rsid w:val="46A904B9"/>
    <w:rsid w:val="480D1A37"/>
    <w:rsid w:val="4879399C"/>
    <w:rsid w:val="4A5B4CDC"/>
    <w:rsid w:val="4E5C7274"/>
    <w:rsid w:val="4EA07129"/>
    <w:rsid w:val="5082337C"/>
    <w:rsid w:val="591C2278"/>
    <w:rsid w:val="59CF2FF0"/>
    <w:rsid w:val="5BC64F29"/>
    <w:rsid w:val="5BFF6039"/>
    <w:rsid w:val="5D76A616"/>
    <w:rsid w:val="5D7F20B9"/>
    <w:rsid w:val="5DAC7D0E"/>
    <w:rsid w:val="5EE44E48"/>
    <w:rsid w:val="5F6D7533"/>
    <w:rsid w:val="5FFE8511"/>
    <w:rsid w:val="5FFEACE2"/>
    <w:rsid w:val="62F92E8C"/>
    <w:rsid w:val="643EE26D"/>
    <w:rsid w:val="66E68BD5"/>
    <w:rsid w:val="674E2800"/>
    <w:rsid w:val="689E4674"/>
    <w:rsid w:val="6B321631"/>
    <w:rsid w:val="6F3911E0"/>
    <w:rsid w:val="6FAF6C78"/>
    <w:rsid w:val="70B76860"/>
    <w:rsid w:val="718671D1"/>
    <w:rsid w:val="7317C656"/>
    <w:rsid w:val="77FD8BE9"/>
    <w:rsid w:val="79A9BD3F"/>
    <w:rsid w:val="7BFFFDD0"/>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7E8C24"/>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99"/>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18"/>
    <w:qFormat/>
    <w:uiPriority w:val="0"/>
    <w:pPr>
      <w:tabs>
        <w:tab w:val="center" w:pos="4153"/>
        <w:tab w:val="right" w:pos="8306"/>
      </w:tabs>
      <w:snapToGrid w:val="0"/>
      <w:jc w:val="center"/>
    </w:pPr>
    <w:rPr>
      <w:sz w:val="18"/>
      <w:szCs w:val="18"/>
    </w:rPr>
  </w:style>
  <w:style w:type="paragraph" w:styleId="8">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9">
    <w:name w:val="Body Text First Indent"/>
    <w:basedOn w:val="4"/>
    <w:qFormat/>
    <w:uiPriority w:val="0"/>
    <w:pPr>
      <w:spacing w:after="0"/>
      <w:ind w:firstLine="200" w:firstLineChars="200"/>
    </w:pPr>
  </w:style>
  <w:style w:type="paragraph" w:styleId="10">
    <w:name w:val="Body Text First Indent 2"/>
    <w:basedOn w:val="5"/>
    <w:qFormat/>
    <w:uiPriority w:val="0"/>
    <w:pPr>
      <w:ind w:firstLine="420" w:firstLineChars="200"/>
    </w:pPr>
  </w:style>
  <w:style w:type="character" w:styleId="13">
    <w:name w:val="Strong"/>
    <w:basedOn w:val="12"/>
    <w:qFormat/>
    <w:uiPriority w:val="0"/>
    <w:rPr>
      <w:b/>
      <w:bCs/>
    </w:rPr>
  </w:style>
  <w:style w:type="character" w:styleId="14">
    <w:name w:val="annotation reference"/>
    <w:basedOn w:val="12"/>
    <w:qFormat/>
    <w:uiPriority w:val="99"/>
    <w:rPr>
      <w:sz w:val="21"/>
      <w:szCs w:val="21"/>
    </w:rPr>
  </w:style>
  <w:style w:type="character" w:customStyle="1" w:styleId="15">
    <w:name w:val="fontstyle01"/>
    <w:qFormat/>
    <w:uiPriority w:val="0"/>
    <w:rPr>
      <w:rFonts w:ascii="仿宋_GB2312" w:hAnsi="仿宋_GB2312" w:eastAsia="仿宋_GB2312" w:cs="仿宋_GB2312"/>
      <w:color w:val="000000"/>
      <w:sz w:val="32"/>
      <w:szCs w:val="32"/>
    </w:rPr>
  </w:style>
  <w:style w:type="paragraph" w:customStyle="1" w:styleId="16">
    <w:name w:val="闻政-正文段落文字"/>
    <w:basedOn w:val="1"/>
    <w:qFormat/>
    <w:uiPriority w:val="3"/>
    <w:pPr>
      <w:spacing w:line="500" w:lineRule="exact"/>
      <w:ind w:firstLine="200"/>
    </w:pPr>
    <w:rPr>
      <w:kern w:val="0"/>
      <w:szCs w:val="28"/>
    </w:r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页眉 字符"/>
    <w:basedOn w:val="12"/>
    <w:link w:val="7"/>
    <w:qFormat/>
    <w:uiPriority w:val="0"/>
    <w:rPr>
      <w:rFonts w:ascii="Times New Roman" w:hAnsi="Times New Roman" w:eastAsia="宋体" w:cs="Times New Roman"/>
      <w:kern w:val="2"/>
      <w:sz w:val="18"/>
      <w:szCs w:val="18"/>
    </w:rPr>
  </w:style>
  <w:style w:type="character" w:customStyle="1" w:styleId="19">
    <w:name w:val="批注文字 字符"/>
    <w:basedOn w:val="12"/>
    <w:link w:val="3"/>
    <w:qFormat/>
    <w:uiPriority w:val="99"/>
    <w:rPr>
      <w:rFonts w:ascii="Times New Roman" w:hAnsi="Times New Roman" w:eastAsia="宋体" w:cs="Times New Roman"/>
      <w:kern w:val="2"/>
      <w:sz w:val="21"/>
      <w:szCs w:val="24"/>
    </w:rPr>
  </w:style>
  <w:style w:type="paragraph" w:styleId="20">
    <w:name w:val="List Paragraph"/>
    <w:basedOn w:val="1"/>
    <w:unhideWhenUsed/>
    <w:qFormat/>
    <w:uiPriority w:val="99"/>
    <w:pPr>
      <w:ind w:firstLine="420" w:firstLineChars="200"/>
    </w:pPr>
  </w:style>
  <w:style w:type="character" w:customStyle="1" w:styleId="21">
    <w:name w:val="font01"/>
    <w:basedOn w:val="12"/>
    <w:qFormat/>
    <w:uiPriority w:val="0"/>
    <w:rPr>
      <w:rFonts w:hint="eastAsia" w:ascii="宋体" w:hAnsi="宋体" w:eastAsia="宋体" w:cs="宋体"/>
      <w:color w:val="000000"/>
      <w:sz w:val="18"/>
      <w:szCs w:val="18"/>
      <w:u w:val="none"/>
    </w:rPr>
  </w:style>
  <w:style w:type="character" w:customStyle="1" w:styleId="22">
    <w:name w:val="font21"/>
    <w:basedOn w:val="12"/>
    <w:qFormat/>
    <w:uiPriority w:val="0"/>
    <w:rPr>
      <w:rFonts w:hint="eastAsia" w:ascii="宋体" w:hAnsi="宋体" w:eastAsia="宋体" w:cs="宋体"/>
      <w:color w:val="000000"/>
      <w:sz w:val="16"/>
      <w:szCs w:val="16"/>
      <w:u w:val="none"/>
    </w:rPr>
  </w:style>
  <w:style w:type="character" w:customStyle="1" w:styleId="23">
    <w:name w:val="font81"/>
    <w:basedOn w:val="12"/>
    <w:qFormat/>
    <w:uiPriority w:val="0"/>
    <w:rPr>
      <w:rFonts w:hint="eastAsia" w:ascii="宋体" w:hAnsi="宋体" w:eastAsia="宋体" w:cs="宋体"/>
      <w:color w:val="FF0000"/>
      <w:sz w:val="16"/>
      <w:szCs w:val="16"/>
      <w:u w:val="none"/>
    </w:rPr>
  </w:style>
  <w:style w:type="character" w:customStyle="1" w:styleId="24">
    <w:name w:val="font91"/>
    <w:basedOn w:val="12"/>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9138</Words>
  <Characters>10046</Characters>
  <Lines>63</Lines>
  <Paragraphs>17</Paragraphs>
  <TotalTime>3</TotalTime>
  <ScaleCrop>false</ScaleCrop>
  <LinksUpToDate>false</LinksUpToDate>
  <CharactersWithSpaces>10072</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lys</cp:lastModifiedBy>
  <dcterms:modified xsi:type="dcterms:W3CDTF">2024-08-28T04:33:58Z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0CA58AF8364FF55815C8066417B177EA</vt:lpwstr>
  </property>
</Properties>
</file>