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3E6EA">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1DBE6DF9">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5312F50F">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新疆医科大学第六附属医院</w:t>
      </w:r>
    </w:p>
    <w:p w14:paraId="7E8CC8F8">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 xml:space="preserve"> 2023年度</w:t>
      </w:r>
      <w:r>
        <w:rPr>
          <w:rFonts w:hint="default" w:ascii="Times New Roman" w:hAnsi="Times New Roman" w:eastAsia="方正小标宋_GBK" w:cs="Times New Roman"/>
          <w:color w:val="auto"/>
          <w:sz w:val="44"/>
          <w:szCs w:val="44"/>
          <w:highlight w:val="none"/>
        </w:rPr>
        <w:t>部门决算</w:t>
      </w:r>
    </w:p>
    <w:p w14:paraId="359BFAA9">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6BA3E3A1">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2FAAF04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5287A9D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1C555C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31FDDB6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1A7B316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37FDAD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6B7677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32A55D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2FD3BF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102BFC6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3B7EFB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1761CC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4F8593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31CB1F9A">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1AB81E0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0F19A32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704EFF7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56847B3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2300E2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3A0BD3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44F9041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5044377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2BA322B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72BD04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57DA58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14D15C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35D860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4F130B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298DDB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1D072CE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7653BD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38774BBE">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574F9B01">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0FE2E5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39ABAC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14:paraId="299811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医科大学第六附属医院（第六临床医学院）、新疆维吾尔自治区骨科医院占地面积46,100平方米，各项医疗设施配置、服务功能齐全，关节外科、创伤骨科、骨病矫形外科、脊柱外科及微创脊柱外科在全疆及西北地区具有较大影响力，并被广大患者高度认可。目前，医院拥有全疆最大骨科单元，最全骨科亚专业，最大年骨科手术量。现有49个临床医技科室，其中共有14个骨科及相关临床单元,编制床位800张，骨科专业依托自治区骨科医院构建形成了“一所四中心”专业平台，即脊柱外科研究所、脊柱外科中心、骨科中心、骨伤康复中心、骨科实验中心。建有全疆唯一小儿骨科，骨病矫形（足踝）外科等科室。年门急诊量30万人次，手术量15,000余台，三四级手术量12,000余台。髋关节、膝关节人工关节置换术，人工关节翻修术，人工肩关节置换和反肩置换，髋关节发育不良的手术治疗，重度脊柱侧弯截骨矫形术，脊柱内镜（椎间孔镜）微创治疗椎间盘突出、椎管狭窄、滑脱等技术得到各族患者的好评。</w:t>
      </w:r>
    </w:p>
    <w:p w14:paraId="6C662D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4" w:name="_Toc31238"/>
      <w:bookmarkStart w:id="5" w:name="_Toc2151"/>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3233BA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新疆医科大学第六附属医院</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762</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351</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5</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406</w:t>
      </w:r>
      <w:r>
        <w:rPr>
          <w:rFonts w:hint="default" w:ascii="Times New Roman" w:hAnsi="Times New Roman" w:eastAsia="仿宋_GB2312" w:cs="Times New Roman"/>
          <w:color w:val="auto"/>
          <w:sz w:val="32"/>
          <w:szCs w:val="32"/>
          <w:highlight w:val="none"/>
        </w:rPr>
        <w:t>人。</w:t>
      </w:r>
    </w:p>
    <w:p w14:paraId="4358E46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default" w:ascii="Times New Roman" w:hAnsi="Times New Roman" w:eastAsia="仿宋_GB2312" w:cs="Times New Roman"/>
          <w:bCs/>
          <w:color w:val="auto"/>
          <w:kern w:val="0"/>
          <w:sz w:val="32"/>
          <w:szCs w:val="32"/>
          <w:highlight w:val="none"/>
          <w:lang w:val="en-US" w:eastAsia="zh-CN"/>
        </w:rPr>
        <w:t>新疆医科大学第六附属医院</w:t>
      </w:r>
      <w:r>
        <w:rPr>
          <w:rFonts w:hint="default" w:ascii="Times New Roman" w:hAnsi="Times New Roman" w:eastAsia="仿宋_GB2312" w:cs="Times New Roman"/>
          <w:bCs/>
          <w:color w:val="auto"/>
          <w:kern w:val="0"/>
          <w:sz w:val="32"/>
          <w:szCs w:val="32"/>
          <w:highlight w:val="none"/>
        </w:rPr>
        <w:t>无下属预算单位，下设</w:t>
      </w:r>
      <w:r>
        <w:rPr>
          <w:rFonts w:hint="default" w:ascii="Times New Roman" w:hAnsi="Times New Roman" w:eastAsia="仿宋_GB2312" w:cs="Times New Roman"/>
          <w:bCs/>
          <w:color w:val="auto"/>
          <w:kern w:val="0"/>
          <w:sz w:val="32"/>
          <w:szCs w:val="32"/>
          <w:highlight w:val="none"/>
          <w:lang w:val="en-US" w:eastAsia="zh-CN"/>
        </w:rPr>
        <w:t>69</w:t>
      </w:r>
      <w:r>
        <w:rPr>
          <w:rFonts w:hint="default" w:ascii="Times New Roman" w:hAnsi="Times New Roman" w:eastAsia="仿宋_GB2312" w:cs="Times New Roman"/>
          <w:bCs/>
          <w:color w:val="auto"/>
          <w:kern w:val="0"/>
          <w:sz w:val="32"/>
          <w:szCs w:val="32"/>
          <w:highlight w:val="none"/>
        </w:rPr>
        <w:t>个科室，分别是：呼吸与危重症医学科、消化内科、</w:t>
      </w:r>
      <w:r>
        <w:rPr>
          <w:rFonts w:hint="default" w:ascii="Times New Roman" w:hAnsi="Times New Roman" w:eastAsia="仿宋_GB2312" w:cs="Times New Roman"/>
          <w:bCs/>
          <w:color w:val="auto"/>
          <w:kern w:val="0"/>
          <w:sz w:val="32"/>
          <w:szCs w:val="32"/>
          <w:highlight w:val="none"/>
          <w:lang w:val="en-US" w:eastAsia="zh-CN"/>
        </w:rPr>
        <w:t>风湿免疫科、</w:t>
      </w:r>
      <w:r>
        <w:rPr>
          <w:rFonts w:hint="default" w:ascii="Times New Roman" w:hAnsi="Times New Roman" w:eastAsia="仿宋_GB2312" w:cs="Times New Roman"/>
          <w:bCs/>
          <w:color w:val="auto"/>
          <w:kern w:val="0"/>
          <w:sz w:val="32"/>
          <w:szCs w:val="32"/>
          <w:highlight w:val="none"/>
        </w:rPr>
        <w:t>妇产科、</w:t>
      </w:r>
      <w:r>
        <w:rPr>
          <w:rFonts w:hint="default" w:ascii="Times New Roman" w:hAnsi="Times New Roman" w:eastAsia="仿宋_GB2312" w:cs="Times New Roman"/>
          <w:bCs/>
          <w:color w:val="auto"/>
          <w:kern w:val="0"/>
          <w:sz w:val="32"/>
          <w:szCs w:val="32"/>
          <w:highlight w:val="none"/>
          <w:lang w:val="en-US" w:eastAsia="zh-CN"/>
        </w:rPr>
        <w:t>儿科、</w:t>
      </w:r>
      <w:r>
        <w:rPr>
          <w:rFonts w:hint="default" w:ascii="Times New Roman" w:hAnsi="Times New Roman" w:eastAsia="仿宋_GB2312" w:cs="Times New Roman"/>
          <w:bCs/>
          <w:color w:val="auto"/>
          <w:kern w:val="0"/>
          <w:sz w:val="32"/>
          <w:szCs w:val="32"/>
          <w:highlight w:val="none"/>
        </w:rPr>
        <w:t>康复医学科、神经外科、神经内科、</w:t>
      </w:r>
      <w:r>
        <w:rPr>
          <w:rFonts w:hint="default" w:ascii="Times New Roman" w:hAnsi="Times New Roman" w:eastAsia="仿宋_GB2312" w:cs="Times New Roman"/>
          <w:bCs/>
          <w:color w:val="auto"/>
          <w:kern w:val="0"/>
          <w:sz w:val="32"/>
          <w:szCs w:val="32"/>
          <w:highlight w:val="none"/>
          <w:lang w:val="en-US" w:eastAsia="zh-CN"/>
        </w:rPr>
        <w:t>疼痛科、眼科、</w:t>
      </w:r>
      <w:r>
        <w:rPr>
          <w:rFonts w:hint="default" w:ascii="Times New Roman" w:hAnsi="Times New Roman" w:eastAsia="仿宋_GB2312" w:cs="Times New Roman"/>
          <w:bCs/>
          <w:color w:val="auto"/>
          <w:kern w:val="0"/>
          <w:sz w:val="32"/>
          <w:szCs w:val="32"/>
          <w:highlight w:val="none"/>
        </w:rPr>
        <w:t>耳鼻喉科、心血管内科、中医科、全科医学</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lang w:val="en-US" w:eastAsia="zh-CN"/>
        </w:rPr>
        <w:t>老年病）科</w:t>
      </w:r>
      <w:r>
        <w:rPr>
          <w:rFonts w:hint="default" w:ascii="Times New Roman" w:hAnsi="Times New Roman" w:eastAsia="仿宋_GB2312" w:cs="Times New Roman"/>
          <w:bCs/>
          <w:color w:val="auto"/>
          <w:kern w:val="0"/>
          <w:sz w:val="32"/>
          <w:szCs w:val="32"/>
          <w:highlight w:val="none"/>
        </w:rPr>
        <w:t>、内分泌</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lang w:val="en-US" w:eastAsia="zh-CN"/>
        </w:rPr>
        <w:t>营养）</w:t>
      </w:r>
      <w:r>
        <w:rPr>
          <w:rFonts w:hint="default" w:ascii="Times New Roman" w:hAnsi="Times New Roman" w:eastAsia="仿宋_GB2312" w:cs="Times New Roman"/>
          <w:bCs/>
          <w:color w:val="auto"/>
          <w:kern w:val="0"/>
          <w:sz w:val="32"/>
          <w:szCs w:val="32"/>
          <w:highlight w:val="none"/>
        </w:rPr>
        <w:t>科</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微创脊柱</w:t>
      </w:r>
      <w:r>
        <w:rPr>
          <w:rFonts w:hint="default" w:ascii="Times New Roman" w:hAnsi="Times New Roman" w:eastAsia="仿宋_GB2312" w:cs="Times New Roman"/>
          <w:bCs/>
          <w:color w:val="auto"/>
          <w:kern w:val="0"/>
          <w:sz w:val="32"/>
          <w:szCs w:val="32"/>
          <w:highlight w:val="none"/>
          <w:lang w:val="en-US" w:eastAsia="zh-CN"/>
        </w:rPr>
        <w:t>外</w:t>
      </w:r>
      <w:r>
        <w:rPr>
          <w:rFonts w:hint="default" w:ascii="Times New Roman" w:hAnsi="Times New Roman" w:eastAsia="仿宋_GB2312" w:cs="Times New Roman"/>
          <w:bCs/>
          <w:color w:val="auto"/>
          <w:kern w:val="0"/>
          <w:sz w:val="32"/>
          <w:szCs w:val="32"/>
          <w:highlight w:val="none"/>
        </w:rPr>
        <w:t>科、脊</w:t>
      </w:r>
      <w:r>
        <w:rPr>
          <w:rFonts w:hint="default" w:ascii="Times New Roman" w:hAnsi="Times New Roman" w:eastAsia="仿宋_GB2312" w:cs="Times New Roman"/>
          <w:bCs/>
          <w:color w:val="auto"/>
          <w:kern w:val="0"/>
          <w:sz w:val="32"/>
          <w:szCs w:val="32"/>
          <w:highlight w:val="none"/>
          <w:lang w:val="en-US" w:eastAsia="zh-CN"/>
        </w:rPr>
        <w:t>柱</w:t>
      </w:r>
      <w:r>
        <w:rPr>
          <w:rFonts w:hint="default" w:ascii="Times New Roman" w:hAnsi="Times New Roman" w:eastAsia="仿宋_GB2312" w:cs="Times New Roman"/>
          <w:bCs/>
          <w:color w:val="auto"/>
          <w:kern w:val="0"/>
          <w:sz w:val="32"/>
          <w:szCs w:val="32"/>
          <w:highlight w:val="none"/>
        </w:rPr>
        <w:t>外三科、泌尿外科、创伤骨二科、脊</w:t>
      </w:r>
      <w:r>
        <w:rPr>
          <w:rFonts w:hint="default" w:ascii="Times New Roman" w:hAnsi="Times New Roman" w:eastAsia="仿宋_GB2312" w:cs="Times New Roman"/>
          <w:bCs/>
          <w:color w:val="auto"/>
          <w:kern w:val="0"/>
          <w:sz w:val="32"/>
          <w:szCs w:val="32"/>
          <w:highlight w:val="none"/>
          <w:lang w:val="en-US" w:eastAsia="zh-CN"/>
        </w:rPr>
        <w:t>柱</w:t>
      </w:r>
      <w:r>
        <w:rPr>
          <w:rFonts w:hint="default" w:ascii="Times New Roman" w:hAnsi="Times New Roman" w:eastAsia="仿宋_GB2312" w:cs="Times New Roman"/>
          <w:bCs/>
          <w:color w:val="auto"/>
          <w:kern w:val="0"/>
          <w:sz w:val="32"/>
          <w:szCs w:val="32"/>
          <w:highlight w:val="none"/>
        </w:rPr>
        <w:t>外一科、手足显微外科、重症医学科（ICU）、关节外科、脊</w:t>
      </w:r>
      <w:r>
        <w:rPr>
          <w:rFonts w:hint="default" w:ascii="Times New Roman" w:hAnsi="Times New Roman" w:eastAsia="仿宋_GB2312" w:cs="Times New Roman"/>
          <w:bCs/>
          <w:color w:val="auto"/>
          <w:kern w:val="0"/>
          <w:sz w:val="32"/>
          <w:szCs w:val="32"/>
          <w:highlight w:val="none"/>
          <w:lang w:val="en-US" w:eastAsia="zh-CN"/>
        </w:rPr>
        <w:t>柱</w:t>
      </w:r>
      <w:r>
        <w:rPr>
          <w:rFonts w:hint="default" w:ascii="Times New Roman" w:hAnsi="Times New Roman" w:eastAsia="仿宋_GB2312" w:cs="Times New Roman"/>
          <w:bCs/>
          <w:color w:val="auto"/>
          <w:kern w:val="0"/>
          <w:sz w:val="32"/>
          <w:szCs w:val="32"/>
          <w:highlight w:val="none"/>
        </w:rPr>
        <w:t>外二科、小儿骨科、骨病矫形（足踝）外科、创伤骨一科、普外</w:t>
      </w:r>
      <w:r>
        <w:rPr>
          <w:rFonts w:hint="default" w:ascii="Times New Roman" w:hAnsi="Times New Roman" w:eastAsia="仿宋_GB2312" w:cs="Times New Roman"/>
          <w:bCs/>
          <w:color w:val="auto"/>
          <w:kern w:val="0"/>
          <w:sz w:val="32"/>
          <w:szCs w:val="32"/>
          <w:highlight w:val="none"/>
          <w:lang w:val="en-US" w:eastAsia="zh-CN"/>
        </w:rPr>
        <w:t>科、</w:t>
      </w:r>
      <w:r>
        <w:rPr>
          <w:rFonts w:hint="default" w:ascii="Times New Roman" w:hAnsi="Times New Roman" w:eastAsia="仿宋_GB2312" w:cs="Times New Roman"/>
          <w:bCs/>
          <w:color w:val="auto"/>
          <w:kern w:val="0"/>
          <w:sz w:val="32"/>
          <w:szCs w:val="32"/>
          <w:highlight w:val="none"/>
        </w:rPr>
        <w:t>胸外科、运动</w:t>
      </w:r>
      <w:r>
        <w:rPr>
          <w:rFonts w:hint="default" w:ascii="Times New Roman" w:hAnsi="Times New Roman" w:eastAsia="仿宋_GB2312" w:cs="Times New Roman"/>
          <w:bCs/>
          <w:color w:val="auto"/>
          <w:kern w:val="0"/>
          <w:sz w:val="32"/>
          <w:szCs w:val="32"/>
          <w:highlight w:val="none"/>
          <w:lang w:val="en-US" w:eastAsia="zh-CN"/>
        </w:rPr>
        <w:t>医学</w:t>
      </w:r>
      <w:r>
        <w:rPr>
          <w:rFonts w:hint="default" w:ascii="Times New Roman" w:hAnsi="Times New Roman" w:eastAsia="仿宋_GB2312" w:cs="Times New Roman"/>
          <w:bCs/>
          <w:color w:val="auto"/>
          <w:kern w:val="0"/>
          <w:sz w:val="32"/>
          <w:szCs w:val="32"/>
          <w:highlight w:val="none"/>
        </w:rPr>
        <w:t>科、麻醉科、</w:t>
      </w:r>
      <w:r>
        <w:rPr>
          <w:rFonts w:hint="default" w:ascii="Times New Roman" w:hAnsi="Times New Roman" w:eastAsia="仿宋_GB2312" w:cs="Times New Roman"/>
          <w:bCs/>
          <w:color w:val="auto"/>
          <w:kern w:val="0"/>
          <w:sz w:val="32"/>
          <w:szCs w:val="32"/>
          <w:highlight w:val="none"/>
          <w:lang w:val="en-US" w:eastAsia="zh-CN"/>
        </w:rPr>
        <w:t>手术室、</w:t>
      </w:r>
      <w:r>
        <w:rPr>
          <w:rFonts w:hint="default" w:ascii="Times New Roman" w:hAnsi="Times New Roman" w:eastAsia="仿宋_GB2312" w:cs="Times New Roman"/>
          <w:bCs/>
          <w:color w:val="auto"/>
          <w:kern w:val="0"/>
          <w:sz w:val="32"/>
          <w:szCs w:val="32"/>
          <w:highlight w:val="none"/>
        </w:rPr>
        <w:t>感染疾病科、皮肤科、内镜诊治科、肾病科、口腔科、放射影像科、超声诊断科、功能检查科、检验科、输血科、病理科、药学部、消毒供应室、</w:t>
      </w:r>
      <w:r>
        <w:rPr>
          <w:rFonts w:hint="default" w:ascii="Times New Roman" w:hAnsi="Times New Roman" w:eastAsia="仿宋_GB2312" w:cs="Times New Roman"/>
          <w:bCs/>
          <w:color w:val="auto"/>
          <w:kern w:val="0"/>
          <w:sz w:val="32"/>
          <w:szCs w:val="32"/>
          <w:highlight w:val="none"/>
          <w:lang w:val="en-US" w:eastAsia="zh-CN"/>
        </w:rPr>
        <w:t>体检科</w:t>
      </w:r>
      <w:r>
        <w:rPr>
          <w:rFonts w:hint="default" w:ascii="Times New Roman" w:hAnsi="Times New Roman" w:eastAsia="仿宋_GB2312" w:cs="Times New Roman"/>
          <w:bCs/>
          <w:color w:val="auto"/>
          <w:kern w:val="0"/>
          <w:sz w:val="32"/>
          <w:szCs w:val="32"/>
          <w:highlight w:val="none"/>
        </w:rPr>
        <w:t>、门诊部、急诊科、</w:t>
      </w:r>
      <w:r>
        <w:rPr>
          <w:rFonts w:hint="default" w:ascii="Times New Roman" w:hAnsi="Times New Roman" w:eastAsia="仿宋_GB2312" w:cs="Times New Roman"/>
          <w:bCs/>
          <w:color w:val="auto"/>
          <w:kern w:val="0"/>
          <w:sz w:val="32"/>
          <w:szCs w:val="32"/>
          <w:highlight w:val="none"/>
          <w:lang w:val="en-US" w:eastAsia="zh-CN"/>
        </w:rPr>
        <w:t>病友综合服务中心、</w:t>
      </w:r>
      <w:r>
        <w:rPr>
          <w:rFonts w:hint="default" w:ascii="Times New Roman" w:hAnsi="Times New Roman" w:eastAsia="仿宋_GB2312" w:cs="Times New Roman"/>
          <w:bCs/>
          <w:color w:val="auto"/>
          <w:kern w:val="0"/>
          <w:sz w:val="32"/>
          <w:szCs w:val="32"/>
          <w:highlight w:val="none"/>
        </w:rPr>
        <w:t>党</w:t>
      </w:r>
      <w:r>
        <w:rPr>
          <w:rFonts w:hint="default" w:ascii="Times New Roman" w:hAnsi="Times New Roman" w:eastAsia="仿宋_GB2312" w:cs="Times New Roman"/>
          <w:bCs/>
          <w:color w:val="auto"/>
          <w:kern w:val="0"/>
          <w:sz w:val="32"/>
          <w:szCs w:val="32"/>
          <w:highlight w:val="none"/>
          <w:lang w:val="en-US" w:eastAsia="zh-CN"/>
        </w:rPr>
        <w:t>委（医</w:t>
      </w:r>
      <w:r>
        <w:rPr>
          <w:rFonts w:hint="default" w:ascii="Times New Roman" w:hAnsi="Times New Roman" w:eastAsia="仿宋_GB2312" w:cs="Times New Roman"/>
          <w:bCs/>
          <w:color w:val="auto"/>
          <w:kern w:val="0"/>
          <w:sz w:val="32"/>
          <w:szCs w:val="32"/>
          <w:highlight w:val="none"/>
        </w:rPr>
        <w:t>院</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lang w:val="en-US" w:eastAsia="zh-CN"/>
        </w:rPr>
        <w:t>办公室</w:t>
      </w:r>
      <w:r>
        <w:rPr>
          <w:rFonts w:hint="default" w:ascii="Times New Roman" w:hAnsi="Times New Roman" w:eastAsia="仿宋_GB2312" w:cs="Times New Roman"/>
          <w:bCs/>
          <w:color w:val="auto"/>
          <w:kern w:val="0"/>
          <w:sz w:val="32"/>
          <w:szCs w:val="32"/>
          <w:highlight w:val="none"/>
        </w:rPr>
        <w:t>、医务部、病案管理科、财务科、感染管理办公室、审计科、护理部、信息与设备管理科、教学科研管理办公室、学生工作办公室、组织人事科、离退休管理办公室、纪检监察室、团委、工会、医疗保险</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lang w:val="en-US" w:eastAsia="zh-CN"/>
        </w:rPr>
        <w:t>运营管理）</w:t>
      </w:r>
      <w:r>
        <w:rPr>
          <w:rFonts w:hint="default" w:ascii="Times New Roman" w:hAnsi="Times New Roman" w:eastAsia="仿宋_GB2312" w:cs="Times New Roman"/>
          <w:bCs/>
          <w:color w:val="auto"/>
          <w:kern w:val="0"/>
          <w:sz w:val="32"/>
          <w:szCs w:val="32"/>
          <w:highlight w:val="none"/>
        </w:rPr>
        <w:t>办公室、保卫科、住院部、公共卫生科</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lang w:val="en-US" w:eastAsia="zh-CN"/>
        </w:rPr>
        <w:t>后勤管理科</w:t>
      </w:r>
      <w:r>
        <w:rPr>
          <w:rFonts w:hint="default" w:ascii="Times New Roman" w:hAnsi="Times New Roman" w:eastAsia="仿宋_GB2312" w:cs="Times New Roman"/>
          <w:bCs/>
          <w:color w:val="auto"/>
          <w:kern w:val="0"/>
          <w:sz w:val="32"/>
          <w:szCs w:val="32"/>
          <w:highlight w:val="none"/>
        </w:rPr>
        <w:t>。</w:t>
      </w:r>
    </w:p>
    <w:p w14:paraId="2C072A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2FC63C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3804D9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89,709.28万元，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88,955.24万元，使用非财政拨款结余0.00万元，年初结转和结余754.0</w:t>
      </w:r>
      <w:r>
        <w:rPr>
          <w:rFonts w:hint="default" w:ascii="Times New Roman" w:hAnsi="Times New Roman" w:eastAsia="仿宋_GB2312" w:cs="Times New Roman"/>
          <w:color w:val="auto"/>
          <w:spacing w:val="0"/>
          <w:sz w:val="32"/>
          <w:szCs w:val="32"/>
          <w:highlight w:val="none"/>
          <w:lang w:val="en-US" w:eastAsia="zh-CN"/>
        </w:rPr>
        <w:t>4</w:t>
      </w:r>
      <w:r>
        <w:rPr>
          <w:rFonts w:hint="default" w:ascii="Times New Roman" w:hAnsi="Times New Roman" w:eastAsia="仿宋_GB2312" w:cs="Times New Roman"/>
          <w:color w:val="auto"/>
          <w:spacing w:val="0"/>
          <w:sz w:val="32"/>
          <w:szCs w:val="32"/>
          <w:highlight w:val="none"/>
          <w:lang w:eastAsia="zh-CN"/>
        </w:rPr>
        <w:t>万元。</w:t>
      </w:r>
    </w:p>
    <w:p w14:paraId="0870D4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89,709.28万元，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73,672.50万元，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15,470.30万元，年末结转和结余566.4</w:t>
      </w:r>
      <w:r>
        <w:rPr>
          <w:rFonts w:hint="default" w:ascii="Times New Roman" w:hAnsi="Times New Roman" w:eastAsia="仿宋_GB2312" w:cs="Times New Roman"/>
          <w:color w:val="auto"/>
          <w:spacing w:val="0"/>
          <w:sz w:val="32"/>
          <w:szCs w:val="32"/>
          <w:highlight w:val="none"/>
          <w:lang w:val="en-US" w:eastAsia="zh-CN"/>
        </w:rPr>
        <w:t>8</w:t>
      </w:r>
      <w:r>
        <w:rPr>
          <w:rFonts w:hint="default" w:ascii="Times New Roman" w:hAnsi="Times New Roman" w:eastAsia="仿宋_GB2312" w:cs="Times New Roman"/>
          <w:color w:val="auto"/>
          <w:spacing w:val="0"/>
          <w:sz w:val="32"/>
          <w:szCs w:val="32"/>
          <w:highlight w:val="none"/>
          <w:lang w:eastAsia="zh-CN"/>
        </w:rPr>
        <w:t>万元。</w:t>
      </w:r>
    </w:p>
    <w:p w14:paraId="0531CD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增加34,174.14万元</w:t>
      </w:r>
      <w:r>
        <w:rPr>
          <w:rFonts w:hint="default" w:ascii="Times New Roman" w:hAnsi="Times New Roman" w:eastAsia="仿宋_GB2312" w:cs="Times New Roman"/>
          <w:color w:val="auto"/>
          <w:spacing w:val="0"/>
          <w:sz w:val="32"/>
          <w:szCs w:val="32"/>
          <w:highlight w:val="none"/>
          <w:lang w:eastAsia="zh-CN"/>
        </w:rPr>
        <w:t>，增长61.54%，主要原因是：</w:t>
      </w:r>
      <w:r>
        <w:rPr>
          <w:rFonts w:hint="default" w:ascii="Times New Roman" w:hAnsi="Times New Roman" w:eastAsia="仿宋_GB2312" w:cs="Times New Roman"/>
          <w:color w:val="auto"/>
          <w:spacing w:val="0"/>
          <w:sz w:val="32"/>
          <w:szCs w:val="32"/>
          <w:highlight w:val="none"/>
          <w:lang w:val="en-US" w:eastAsia="zh-CN"/>
        </w:rPr>
        <w:t>疫情结束后医院整体运营恢复正常，就诊人次增加，所以收入支出总体较上年有所增长</w:t>
      </w:r>
      <w:r>
        <w:rPr>
          <w:rFonts w:hint="default" w:ascii="Times New Roman" w:hAnsi="Times New Roman" w:eastAsia="仿宋_GB2312" w:cs="Times New Roman"/>
          <w:color w:val="auto"/>
          <w:spacing w:val="0"/>
          <w:sz w:val="32"/>
          <w:szCs w:val="32"/>
          <w:highlight w:val="none"/>
          <w:lang w:eastAsia="zh-CN"/>
        </w:rPr>
        <w:t>。</w:t>
      </w:r>
    </w:p>
    <w:p w14:paraId="472B9F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33C513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88,955.24</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5,014.75</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5.64</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82,352.42</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92.58</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1,588.07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1.7</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4E5E53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2682D7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本年支出73,672.50万元，其中：基本支出71,401.29万元，占96.92%；项目支出2,271.21万元，占3.08%；上缴上级支出0.00万元，占0.00%；经营支出0.00万元，占0.00%；对附属单位补助支出0.00万元，占0.00%。</w:t>
      </w:r>
    </w:p>
    <w:p w14:paraId="6D8FDB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128F1B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5,187.28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172.53</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5,014.75</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5,187.28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5,187.28</w:t>
      </w:r>
      <w:r>
        <w:rPr>
          <w:rFonts w:hint="default" w:ascii="Times New Roman" w:hAnsi="Times New Roman" w:eastAsia="仿宋_GB2312" w:cs="Times New Roman"/>
          <w:color w:val="auto"/>
          <w:spacing w:val="0"/>
          <w:sz w:val="32"/>
          <w:szCs w:val="32"/>
          <w:highlight w:val="none"/>
          <w:lang w:eastAsia="zh-CN"/>
        </w:rPr>
        <w:t>万元。</w:t>
      </w:r>
    </w:p>
    <w:p w14:paraId="309832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增加1,461.09万元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增长39.21%,</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本年度</w:t>
      </w:r>
      <w:r>
        <w:rPr>
          <w:rFonts w:hint="eastAsia" w:eastAsia="仿宋_GB2312" w:cs="Times New Roman"/>
          <w:color w:val="auto"/>
          <w:spacing w:val="0"/>
          <w:sz w:val="32"/>
          <w:szCs w:val="32"/>
          <w:highlight w:val="none"/>
          <w:lang w:val="en-US" w:eastAsia="zh-CN"/>
        </w:rPr>
        <w:t>新增</w:t>
      </w:r>
      <w:r>
        <w:rPr>
          <w:rFonts w:hint="default" w:ascii="Times New Roman" w:hAnsi="Times New Roman" w:eastAsia="仿宋_GB2312" w:cs="Times New Roman"/>
          <w:color w:val="auto"/>
          <w:spacing w:val="0"/>
          <w:sz w:val="32"/>
          <w:szCs w:val="32"/>
          <w:highlight w:val="none"/>
          <w:lang w:val="en-US" w:eastAsia="zh-CN"/>
        </w:rPr>
        <w:t>“天池英才”人才支持资金、中央基建投资补助资金等项目</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3,832.00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5,187.28</w:t>
      </w:r>
      <w:r>
        <w:rPr>
          <w:rFonts w:hint="default" w:ascii="Times New Roman" w:hAnsi="Times New Roman" w:eastAsia="仿宋_GB2312" w:cs="Times New Roman"/>
          <w:color w:val="auto"/>
          <w:spacing w:val="0"/>
          <w:sz w:val="32"/>
          <w:szCs w:val="32"/>
          <w:highlight w:val="none"/>
          <w:lang w:eastAsia="zh-CN"/>
        </w:rPr>
        <w:t>万元，预决算差异率35.37%，主要原因是：</w:t>
      </w:r>
      <w:r>
        <w:rPr>
          <w:rFonts w:hint="default" w:ascii="Times New Roman" w:hAnsi="Times New Roman" w:eastAsia="仿宋_GB2312" w:cs="Times New Roman"/>
          <w:color w:val="auto"/>
          <w:spacing w:val="0"/>
          <w:sz w:val="32"/>
          <w:szCs w:val="32"/>
          <w:highlight w:val="none"/>
          <w:lang w:val="en-US" w:eastAsia="zh-CN"/>
        </w:rPr>
        <w:t>1,355.28万元属于年中追加</w:t>
      </w:r>
      <w:r>
        <w:rPr>
          <w:rFonts w:hint="eastAsia" w:eastAsia="仿宋_GB2312" w:cs="Times New Roman"/>
          <w:color w:val="auto"/>
          <w:spacing w:val="0"/>
          <w:sz w:val="32"/>
          <w:szCs w:val="32"/>
          <w:highlight w:val="none"/>
          <w:lang w:val="en-US" w:eastAsia="zh-CN"/>
        </w:rPr>
        <w:t>第二批项目</w:t>
      </w:r>
      <w:r>
        <w:rPr>
          <w:rFonts w:hint="default" w:ascii="Times New Roman" w:hAnsi="Times New Roman" w:eastAsia="仿宋_GB2312" w:cs="Times New Roman"/>
          <w:color w:val="auto"/>
          <w:spacing w:val="0"/>
          <w:sz w:val="32"/>
          <w:szCs w:val="32"/>
          <w:highlight w:val="none"/>
          <w:lang w:val="en-US" w:eastAsia="zh-CN"/>
        </w:rPr>
        <w:t>补助资金</w:t>
      </w:r>
      <w:r>
        <w:rPr>
          <w:rFonts w:hint="default" w:ascii="Times New Roman" w:hAnsi="Times New Roman" w:eastAsia="仿宋_GB2312" w:cs="Times New Roman"/>
          <w:color w:val="auto"/>
          <w:spacing w:val="0"/>
          <w:sz w:val="32"/>
          <w:szCs w:val="32"/>
          <w:highlight w:val="none"/>
          <w:lang w:eastAsia="zh-CN"/>
        </w:rPr>
        <w:t>。</w:t>
      </w:r>
    </w:p>
    <w:p w14:paraId="65456F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24934F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1ECE1F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2023年度一般公共预算财政拨款支出5,187.28万元，占本年支出合计的</w:t>
      </w:r>
      <w:r>
        <w:rPr>
          <w:rFonts w:hint="default" w:ascii="Times New Roman" w:hAnsi="Times New Roman" w:eastAsia="仿宋_GB2312" w:cs="Times New Roman"/>
          <w:color w:val="auto"/>
          <w:spacing w:val="0"/>
          <w:sz w:val="32"/>
          <w:szCs w:val="32"/>
          <w:highlight w:val="none"/>
          <w:lang w:val="zh-CN" w:eastAsia="zh-CN"/>
        </w:rPr>
        <w:t>7.04%</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增加1,633.62万元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增长45.97%,</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本年度主要是财政项目拨款较上年增加，其中“天池英才”人才支持资金、中央基建投资补助资金等项目为本年度新增财政项目</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3,832.00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5,187.28</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35.37%</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1,355.28万元属于年中追加</w:t>
      </w:r>
      <w:r>
        <w:rPr>
          <w:rFonts w:hint="eastAsia" w:eastAsia="仿宋_GB2312" w:cs="Times New Roman"/>
          <w:color w:val="auto"/>
          <w:spacing w:val="0"/>
          <w:sz w:val="32"/>
          <w:szCs w:val="32"/>
          <w:highlight w:val="none"/>
          <w:lang w:val="en-US" w:eastAsia="zh-CN"/>
        </w:rPr>
        <w:t>第二批项目</w:t>
      </w:r>
      <w:r>
        <w:rPr>
          <w:rFonts w:hint="default" w:ascii="Times New Roman" w:hAnsi="Times New Roman" w:eastAsia="仿宋_GB2312" w:cs="Times New Roman"/>
          <w:color w:val="auto"/>
          <w:spacing w:val="0"/>
          <w:sz w:val="32"/>
          <w:szCs w:val="32"/>
          <w:highlight w:val="none"/>
          <w:lang w:val="en-US" w:eastAsia="zh-CN"/>
        </w:rPr>
        <w:t>补助资金</w:t>
      </w:r>
      <w:r>
        <w:rPr>
          <w:rFonts w:hint="default" w:ascii="Times New Roman" w:hAnsi="Times New Roman" w:eastAsia="仿宋_GB2312" w:cs="Times New Roman"/>
          <w:color w:val="auto"/>
          <w:spacing w:val="0"/>
          <w:sz w:val="32"/>
          <w:szCs w:val="32"/>
          <w:highlight w:val="none"/>
          <w:lang w:eastAsia="zh-CN"/>
        </w:rPr>
        <w:t>。</w:t>
      </w:r>
    </w:p>
    <w:p w14:paraId="4D2CEA6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35C90FA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en-US"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科学技术支出（类）7.11万元，占0.14</w:t>
      </w:r>
      <w:r>
        <w:rPr>
          <w:rFonts w:hint="default" w:ascii="Times New Roman" w:hAnsi="Times New Roman" w:eastAsia="仿宋_GB2312" w:cs="Times New Roman"/>
          <w:color w:val="auto"/>
          <w:spacing w:val="0"/>
          <w:kern w:val="2"/>
          <w:sz w:val="32"/>
          <w:szCs w:val="32"/>
          <w:highlight w:val="none"/>
          <w:lang w:val="en-US" w:eastAsia="zh-CN" w:bidi="ar-SA"/>
        </w:rPr>
        <w:t>%；</w:t>
      </w:r>
    </w:p>
    <w:p w14:paraId="57AFDFE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社会保障和就业支出（类）90.36万元，占1.74%；</w:t>
      </w:r>
    </w:p>
    <w:p w14:paraId="1A33E01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卫生健康支出（类）5,089.81万元，占98.12%。</w:t>
      </w:r>
    </w:p>
    <w:p w14:paraId="693EA4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504ECE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1.卫生健康支出（类）公立医院（款）其他公立医院支出（项）:支出决算数为113.06万元，比上年决算减少225.79万元，下降66.63%，主要原因是：</w:t>
      </w:r>
      <w:r>
        <w:rPr>
          <w:rFonts w:hint="eastAsia" w:eastAsia="仿宋_GB2312" w:cs="Times New Roman"/>
          <w:color w:val="auto"/>
          <w:kern w:val="2"/>
          <w:sz w:val="32"/>
          <w:szCs w:val="32"/>
          <w:highlight w:val="none"/>
          <w:lang w:val="en-US" w:eastAsia="zh-CN" w:bidi="ar-SA"/>
        </w:rPr>
        <w:t>对</w:t>
      </w:r>
      <w:r>
        <w:rPr>
          <w:rFonts w:hint="default" w:ascii="Times New Roman" w:hAnsi="Times New Roman" w:eastAsia="仿宋_GB2312" w:cs="Times New Roman"/>
          <w:color w:val="auto"/>
          <w:kern w:val="2"/>
          <w:sz w:val="32"/>
          <w:szCs w:val="32"/>
          <w:highlight w:val="none"/>
          <w:lang w:val="en-US" w:eastAsia="zh-CN" w:bidi="ar-SA"/>
        </w:rPr>
        <w:t>自治区公立医院综合改革</w:t>
      </w:r>
      <w:r>
        <w:rPr>
          <w:rFonts w:hint="eastAsia" w:eastAsia="仿宋_GB2312" w:cs="Times New Roman"/>
          <w:color w:val="auto"/>
          <w:kern w:val="2"/>
          <w:sz w:val="32"/>
          <w:szCs w:val="32"/>
          <w:highlight w:val="none"/>
          <w:lang w:val="en-US" w:eastAsia="zh-CN" w:bidi="ar-SA"/>
        </w:rPr>
        <w:t>项目</w:t>
      </w:r>
      <w:r>
        <w:rPr>
          <w:rFonts w:hint="default" w:ascii="Times New Roman" w:hAnsi="Times New Roman" w:eastAsia="仿宋_GB2312" w:cs="Times New Roman"/>
          <w:color w:val="auto"/>
          <w:kern w:val="2"/>
          <w:sz w:val="32"/>
          <w:szCs w:val="32"/>
          <w:highlight w:val="none"/>
          <w:lang w:val="en-US" w:eastAsia="zh-CN" w:bidi="ar-SA"/>
        </w:rPr>
        <w:t>补助资金</w:t>
      </w:r>
      <w:r>
        <w:rPr>
          <w:rFonts w:hint="eastAsia" w:eastAsia="仿宋_GB2312" w:cs="Times New Roman"/>
          <w:color w:val="auto"/>
          <w:kern w:val="2"/>
          <w:sz w:val="32"/>
          <w:szCs w:val="32"/>
          <w:highlight w:val="none"/>
          <w:lang w:val="en-US" w:eastAsia="zh-CN" w:bidi="ar-SA"/>
        </w:rPr>
        <w:t>支出功能分类科目进行了调整</w:t>
      </w:r>
      <w:r>
        <w:rPr>
          <w:rFonts w:hint="default" w:ascii="Times New Roman" w:hAnsi="Times New Roman" w:eastAsia="仿宋_GB2312" w:cs="Times New Roman"/>
          <w:color w:val="auto"/>
          <w:kern w:val="2"/>
          <w:sz w:val="32"/>
          <w:szCs w:val="32"/>
          <w:highlight w:val="none"/>
          <w:lang w:val="zh-CN" w:eastAsia="zh-CN" w:bidi="ar-SA"/>
        </w:rPr>
        <w:t>。</w:t>
      </w:r>
    </w:p>
    <w:p w14:paraId="461E10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2.卫生健康支出（类）公立医院（款）综合医院（项）:支出决算数为3,710.06万元，比上年决算增加607.12万元，增长19.57%，主要原因是：</w:t>
      </w:r>
      <w:r>
        <w:rPr>
          <w:rFonts w:hint="eastAsia" w:eastAsia="仿宋_GB2312" w:cs="Times New Roman"/>
          <w:color w:val="auto"/>
          <w:kern w:val="2"/>
          <w:sz w:val="32"/>
          <w:szCs w:val="32"/>
          <w:highlight w:val="none"/>
          <w:lang w:val="en-US" w:eastAsia="zh-CN" w:bidi="ar-SA"/>
        </w:rPr>
        <w:t>对</w:t>
      </w:r>
      <w:r>
        <w:rPr>
          <w:rFonts w:hint="default" w:ascii="Times New Roman" w:hAnsi="Times New Roman" w:eastAsia="仿宋_GB2312" w:cs="Times New Roman"/>
          <w:color w:val="auto"/>
          <w:kern w:val="2"/>
          <w:sz w:val="32"/>
          <w:szCs w:val="32"/>
          <w:highlight w:val="none"/>
          <w:lang w:val="en-US" w:eastAsia="zh-CN" w:bidi="ar-SA"/>
        </w:rPr>
        <w:t>自治区公立医院综合改革</w:t>
      </w:r>
      <w:r>
        <w:rPr>
          <w:rFonts w:hint="eastAsia" w:eastAsia="仿宋_GB2312" w:cs="Times New Roman"/>
          <w:color w:val="auto"/>
          <w:kern w:val="2"/>
          <w:sz w:val="32"/>
          <w:szCs w:val="32"/>
          <w:highlight w:val="none"/>
          <w:lang w:val="en-US" w:eastAsia="zh-CN" w:bidi="ar-SA"/>
        </w:rPr>
        <w:t>项目</w:t>
      </w:r>
      <w:r>
        <w:rPr>
          <w:rFonts w:hint="default" w:ascii="Times New Roman" w:hAnsi="Times New Roman" w:eastAsia="仿宋_GB2312" w:cs="Times New Roman"/>
          <w:color w:val="auto"/>
          <w:kern w:val="2"/>
          <w:sz w:val="32"/>
          <w:szCs w:val="32"/>
          <w:highlight w:val="none"/>
          <w:lang w:val="en-US" w:eastAsia="zh-CN" w:bidi="ar-SA"/>
        </w:rPr>
        <w:t>补助资金</w:t>
      </w:r>
      <w:r>
        <w:rPr>
          <w:rFonts w:hint="eastAsia" w:eastAsia="仿宋_GB2312" w:cs="Times New Roman"/>
          <w:color w:val="auto"/>
          <w:kern w:val="2"/>
          <w:sz w:val="32"/>
          <w:szCs w:val="32"/>
          <w:highlight w:val="none"/>
          <w:lang w:val="en-US" w:eastAsia="zh-CN" w:bidi="ar-SA"/>
        </w:rPr>
        <w:t>支出功能分类科目进行了调整</w:t>
      </w:r>
      <w:r>
        <w:rPr>
          <w:rFonts w:hint="default" w:ascii="Times New Roman" w:hAnsi="Times New Roman" w:eastAsia="仿宋_GB2312" w:cs="Times New Roman"/>
          <w:color w:val="auto"/>
          <w:kern w:val="2"/>
          <w:sz w:val="32"/>
          <w:szCs w:val="32"/>
          <w:highlight w:val="none"/>
          <w:lang w:val="en-US" w:eastAsia="zh-CN" w:bidi="ar-SA"/>
        </w:rPr>
        <w:t>，本年新增自治区医疗卫生机构能力建设补助资金</w:t>
      </w:r>
      <w:r>
        <w:rPr>
          <w:rFonts w:hint="default" w:ascii="Times New Roman" w:hAnsi="Times New Roman" w:eastAsia="仿宋_GB2312" w:cs="Times New Roman"/>
          <w:color w:val="auto"/>
          <w:kern w:val="2"/>
          <w:sz w:val="32"/>
          <w:szCs w:val="32"/>
          <w:highlight w:val="none"/>
          <w:lang w:val="zh-CN" w:eastAsia="zh-CN" w:bidi="ar-SA"/>
        </w:rPr>
        <w:t>。</w:t>
      </w:r>
    </w:p>
    <w:p w14:paraId="6E39F23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3.卫生健康支出（类）公共卫生（款）突发公共卫生事件应急处理（项）:支出决算数为1,146.71万元，比上年决算增加1,146.71万元，增长100%，主要原因是：本年</w:t>
      </w:r>
      <w:r>
        <w:rPr>
          <w:rFonts w:hint="eastAsia" w:eastAsia="仿宋_GB2312" w:cs="Times New Roman"/>
          <w:color w:val="auto"/>
          <w:kern w:val="2"/>
          <w:sz w:val="32"/>
          <w:szCs w:val="32"/>
          <w:highlight w:val="none"/>
          <w:lang w:val="en-US" w:eastAsia="zh-CN" w:bidi="ar-SA"/>
        </w:rPr>
        <w:t>财政拨付</w:t>
      </w:r>
      <w:r>
        <w:rPr>
          <w:rFonts w:hint="default" w:ascii="Times New Roman" w:hAnsi="Times New Roman" w:eastAsia="仿宋_GB2312" w:cs="Times New Roman"/>
          <w:color w:val="auto"/>
          <w:kern w:val="2"/>
          <w:sz w:val="32"/>
          <w:szCs w:val="32"/>
          <w:highlight w:val="none"/>
          <w:lang w:val="en-US" w:eastAsia="zh-CN" w:bidi="ar-SA"/>
        </w:rPr>
        <w:t>新冠患者救治补助资金、医务人员临时性工作补助资金、重症床位设备配置经费等专项补助资金</w:t>
      </w:r>
      <w:r>
        <w:rPr>
          <w:rFonts w:hint="default" w:ascii="Times New Roman" w:hAnsi="Times New Roman" w:eastAsia="仿宋_GB2312" w:cs="Times New Roman"/>
          <w:color w:val="auto"/>
          <w:kern w:val="2"/>
          <w:sz w:val="32"/>
          <w:szCs w:val="32"/>
          <w:highlight w:val="none"/>
          <w:lang w:val="zh-CN" w:eastAsia="zh-CN" w:bidi="ar-SA"/>
        </w:rPr>
        <w:t>。</w:t>
      </w:r>
    </w:p>
    <w:p w14:paraId="3BED8E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4.卫生健康支出（类）公共卫生（款）其他公共卫生支出（项）:支出决算数为112.00万元，比上年决算增加112.00万元，增长100%，主要原因是：本年新增自治区公共卫生服务（地方公卫）补助资金</w:t>
      </w:r>
      <w:r>
        <w:rPr>
          <w:rFonts w:hint="default" w:ascii="Times New Roman" w:hAnsi="Times New Roman" w:eastAsia="仿宋_GB2312" w:cs="Times New Roman"/>
          <w:color w:val="auto"/>
          <w:kern w:val="2"/>
          <w:sz w:val="32"/>
          <w:szCs w:val="32"/>
          <w:highlight w:val="none"/>
          <w:lang w:val="zh-CN" w:eastAsia="zh-CN" w:bidi="ar-SA"/>
        </w:rPr>
        <w:t>。</w:t>
      </w:r>
    </w:p>
    <w:p w14:paraId="715B16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5.社会保障和就业支出（类）行政事业单位养老支出（款）事业单位离退休（项）:支出决算数为90.36万元，比上年决算减少3.51万元，下降3.74%，主要原因是：</w:t>
      </w:r>
      <w:r>
        <w:rPr>
          <w:rFonts w:hint="eastAsia" w:eastAsia="仿宋_GB2312"/>
          <w:sz w:val="32"/>
          <w:szCs w:val="32"/>
        </w:rPr>
        <w:t>本年度减少了事业单位离休人员财政拨款，减少部分从医院预算中安排支出</w:t>
      </w:r>
      <w:r>
        <w:rPr>
          <w:rFonts w:hint="eastAsia" w:eastAsia="仿宋_GB2312"/>
          <w:sz w:val="32"/>
          <w:szCs w:val="32"/>
          <w:lang w:val="zh-CN"/>
        </w:rPr>
        <w:t>。</w:t>
      </w:r>
    </w:p>
    <w:p w14:paraId="1A8315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6.卫生健康支出（类）公共卫生（款）应急救治机构（项）:支出决算数为2.98万元，比上年决算增加2.98万元，增长100%，主要原因是：本年新增新冠疫情应急救治能力提升项目中央基建投资补助资金</w:t>
      </w:r>
      <w:r>
        <w:rPr>
          <w:rFonts w:hint="default" w:ascii="Times New Roman" w:hAnsi="Times New Roman" w:eastAsia="仿宋_GB2312" w:cs="Times New Roman"/>
          <w:color w:val="auto"/>
          <w:kern w:val="2"/>
          <w:sz w:val="32"/>
          <w:szCs w:val="32"/>
          <w:highlight w:val="none"/>
          <w:lang w:val="zh-CN" w:eastAsia="zh-CN" w:bidi="ar-SA"/>
        </w:rPr>
        <w:t>。</w:t>
      </w:r>
    </w:p>
    <w:p w14:paraId="005768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7.科学技术支出（类）科技交流与合作（款）国际交流与合作（项）:支出决算数为7.11万元，比上年决算增加7.11万元，增长100%，主要原因是：本年新增自治区区域协同创新专项资金</w:t>
      </w:r>
      <w:r>
        <w:rPr>
          <w:rFonts w:hint="default" w:ascii="Times New Roman" w:hAnsi="Times New Roman" w:eastAsia="仿宋_GB2312" w:cs="Times New Roman"/>
          <w:color w:val="auto"/>
          <w:kern w:val="2"/>
          <w:sz w:val="32"/>
          <w:szCs w:val="32"/>
          <w:highlight w:val="none"/>
          <w:lang w:val="zh-CN" w:eastAsia="zh-CN" w:bidi="ar-SA"/>
        </w:rPr>
        <w:t>。</w:t>
      </w:r>
    </w:p>
    <w:p w14:paraId="0D08D8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8.卫生健康支出（类）公共卫生（款）重大公共卫生服务（项）:支出决算数为5.00万元，比上年决算增加5.00万元，增长100%，主要原因是：本年新增中央重大传染病防控补助资金</w:t>
      </w:r>
      <w:r>
        <w:rPr>
          <w:rFonts w:hint="default" w:ascii="Times New Roman" w:hAnsi="Times New Roman" w:eastAsia="仿宋_GB2312" w:cs="Times New Roman"/>
          <w:color w:val="auto"/>
          <w:kern w:val="2"/>
          <w:sz w:val="32"/>
          <w:szCs w:val="32"/>
          <w:highlight w:val="none"/>
          <w:lang w:val="zh-CN" w:eastAsia="zh-CN" w:bidi="ar-SA"/>
        </w:rPr>
        <w:t>。</w:t>
      </w:r>
    </w:p>
    <w:p w14:paraId="1C0A68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9.科学技术支出（类）基础研究（款）自然科学基金（项）:支出决算数为0.00万元，比上年决算减少18.00万元，下降100%，主要原因是：本年</w:t>
      </w:r>
      <w:r>
        <w:rPr>
          <w:rFonts w:hint="eastAsia" w:eastAsia="仿宋_GB2312" w:cs="Times New Roman"/>
          <w:color w:val="auto"/>
          <w:kern w:val="2"/>
          <w:sz w:val="32"/>
          <w:szCs w:val="32"/>
          <w:highlight w:val="none"/>
          <w:lang w:val="en-US" w:eastAsia="zh-CN" w:bidi="ar-SA"/>
        </w:rPr>
        <w:t>财政未安排</w:t>
      </w:r>
      <w:r>
        <w:rPr>
          <w:rFonts w:hint="default" w:ascii="Times New Roman" w:hAnsi="Times New Roman" w:eastAsia="仿宋_GB2312" w:cs="Times New Roman"/>
          <w:color w:val="auto"/>
          <w:kern w:val="2"/>
          <w:sz w:val="32"/>
          <w:szCs w:val="32"/>
          <w:highlight w:val="none"/>
          <w:lang w:val="en-US" w:eastAsia="zh-CN" w:bidi="ar-SA"/>
        </w:rPr>
        <w:t>自治区自然科学计划资助项目补助资金</w:t>
      </w:r>
      <w:r>
        <w:rPr>
          <w:rFonts w:hint="default" w:ascii="Times New Roman" w:hAnsi="Times New Roman" w:eastAsia="仿宋_GB2312" w:cs="Times New Roman"/>
          <w:color w:val="auto"/>
          <w:kern w:val="2"/>
          <w:sz w:val="32"/>
          <w:szCs w:val="32"/>
          <w:highlight w:val="none"/>
          <w:lang w:val="zh-CN" w:eastAsia="zh-CN" w:bidi="ar-SA"/>
        </w:rPr>
        <w:t>。</w:t>
      </w:r>
    </w:p>
    <w:p w14:paraId="34C383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59973F6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3,025.00</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3,025.00</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w:t>
      </w:r>
      <w:r>
        <w:rPr>
          <w:rFonts w:hint="eastAsia" w:eastAsia="仿宋_GB2312" w:cs="Times New Roman"/>
          <w:color w:val="auto"/>
          <w:sz w:val="32"/>
          <w:szCs w:val="32"/>
          <w:highlight w:val="none"/>
          <w:lang w:val="en-US" w:eastAsia="zh-CN"/>
        </w:rPr>
        <w:t>绩效工资、</w:t>
      </w:r>
      <w:r>
        <w:rPr>
          <w:rFonts w:hint="default" w:ascii="Times New Roman" w:hAnsi="Times New Roman" w:eastAsia="仿宋_GB2312" w:cs="Times New Roman"/>
          <w:color w:val="auto"/>
          <w:sz w:val="32"/>
          <w:szCs w:val="32"/>
          <w:highlight w:val="none"/>
          <w:lang w:val="en-US" w:eastAsia="zh-CN"/>
        </w:rPr>
        <w:t>离休费。</w:t>
      </w:r>
    </w:p>
    <w:p w14:paraId="271AC9C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0.00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本单位无一般公共预算安排的公用经费支出</w:t>
      </w:r>
      <w:r>
        <w:rPr>
          <w:rFonts w:hint="default" w:ascii="Times New Roman" w:hAnsi="Times New Roman" w:eastAsia="仿宋_GB2312" w:cs="Times New Roman"/>
          <w:color w:val="auto"/>
          <w:sz w:val="32"/>
          <w:szCs w:val="32"/>
          <w:highlight w:val="none"/>
          <w:lang w:eastAsia="zh-CN"/>
        </w:rPr>
        <w:t>。</w:t>
      </w:r>
    </w:p>
    <w:p w14:paraId="17881A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44F3588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“三公”经费支出0.00万元，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财政拨款“三公”经费支出</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因公出国（境）费支出；公务用车购置及运行维护费支出0.00万元，占0.00%，比上年增加0.00万元，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公务用车购置及运行维护费支出；公务接待费支出0.00万元，占0.00%，比上年增加0.00万元，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公务接待费支出。</w:t>
      </w:r>
    </w:p>
    <w:p w14:paraId="78793DF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14:paraId="74F1523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因公出国（境）费支出。单位全年安排的因公出国（境）团组0个，因公出国（境）0人次。</w:t>
      </w:r>
    </w:p>
    <w:p w14:paraId="698C88E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公务用车运行维护费支出。公务用车购置数0辆，公务用车保有量0辆。国有资产占用情况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11辆，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为</w:t>
      </w:r>
      <w:r>
        <w:rPr>
          <w:rFonts w:hint="default" w:ascii="Times New Roman" w:hAnsi="Times New Roman" w:eastAsia="仿宋_GB2312" w:cs="Times New Roman"/>
          <w:sz w:val="32"/>
          <w:szCs w:val="32"/>
        </w:rPr>
        <w:t>差额拨款事业单位，一</w:t>
      </w:r>
      <w:bookmarkStart w:id="48" w:name="_GoBack"/>
      <w:bookmarkEnd w:id="48"/>
      <w:r>
        <w:rPr>
          <w:rFonts w:hint="default" w:ascii="Times New Roman" w:hAnsi="Times New Roman" w:eastAsia="仿宋_GB2312" w:cs="Times New Roman"/>
          <w:sz w:val="32"/>
          <w:szCs w:val="32"/>
        </w:rPr>
        <w:t>般公共预算财政安排的基本支出仅包含人员经费，不含为保障机构正常运转的公用经费支出，公务用车购置及运行维护实行经费自理</w:t>
      </w:r>
      <w:r>
        <w:rPr>
          <w:rFonts w:hint="eastAsia" w:eastAsia="仿宋_GB2312" w:cs="Times New Roman"/>
          <w:sz w:val="32"/>
          <w:szCs w:val="32"/>
          <w:lang w:eastAsia="zh-CN"/>
        </w:rPr>
        <w:t>，</w:t>
      </w:r>
      <w:r>
        <w:rPr>
          <w:rFonts w:hint="eastAsia" w:eastAsia="仿宋_GB2312" w:cs="Times New Roman"/>
          <w:sz w:val="32"/>
          <w:szCs w:val="32"/>
          <w:lang w:val="en-US" w:eastAsia="zh-CN"/>
        </w:rPr>
        <w:t>来源于医院事业收入</w:t>
      </w:r>
      <w:r>
        <w:rPr>
          <w:rFonts w:hint="default" w:ascii="Times New Roman" w:hAnsi="Times New Roman" w:eastAsia="仿宋_GB2312" w:cs="Times New Roman"/>
          <w:sz w:val="32"/>
          <w:szCs w:val="32"/>
          <w:lang w:val="zh-CN"/>
        </w:rPr>
        <w:t>。</w:t>
      </w:r>
    </w:p>
    <w:p w14:paraId="20F9945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公务接待费支出。单位全年安排的国内公务接待0批次，0人次。</w:t>
      </w:r>
    </w:p>
    <w:p w14:paraId="5CE0480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财政拨款“三公”经费支出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因公出国（境）费支出；公务用车购置费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公务用车购置费支出；公务用车运行费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公务用车运行费支出；公务接待费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eastAsia"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lang w:val="en-US" w:eastAsia="zh-CN"/>
        </w:rPr>
        <w:t>我单位</w:t>
      </w:r>
      <w:r>
        <w:rPr>
          <w:rFonts w:hint="eastAsia" w:eastAsia="仿宋_GB2312" w:cs="Times New Roman"/>
          <w:color w:val="auto"/>
          <w:sz w:val="32"/>
          <w:szCs w:val="32"/>
          <w:highlight w:val="none"/>
          <w:lang w:val="en-US" w:eastAsia="zh-CN"/>
        </w:rPr>
        <w:t>无</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公务接待费支出。</w:t>
      </w:r>
    </w:p>
    <w:p w14:paraId="057B73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42D41EC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4D776F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7B5D61F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67280D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5E6761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224F07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新疆医科大学第六附属医院（事业单位）公用经费支出0.00万元，</w:t>
      </w:r>
      <w:r>
        <w:rPr>
          <w:rFonts w:hint="default" w:ascii="Times New Roman" w:hAnsi="Times New Roman" w:eastAsia="仿宋_GB2312" w:cs="Times New Roman"/>
          <w:color w:val="auto"/>
          <w:sz w:val="32"/>
          <w:szCs w:val="32"/>
          <w:highlight w:val="none"/>
          <w:lang w:val="zh-CN" w:eastAsia="zh-CN"/>
        </w:rPr>
        <w:t>比上年减少2.99万元，下降100.00%，主要原因是：</w:t>
      </w:r>
      <w:r>
        <w:rPr>
          <w:rFonts w:hint="eastAsia" w:eastAsia="仿宋_GB2312" w:cs="Times New Roman"/>
          <w:color w:val="auto"/>
          <w:sz w:val="32"/>
          <w:szCs w:val="32"/>
          <w:highlight w:val="none"/>
          <w:lang w:val="en-US" w:eastAsia="zh-CN"/>
        </w:rPr>
        <w:t>上年</w:t>
      </w:r>
      <w:r>
        <w:rPr>
          <w:rFonts w:hint="default" w:ascii="Times New Roman" w:hAnsi="Times New Roman" w:eastAsia="仿宋_GB2312" w:cs="Times New Roman"/>
          <w:color w:val="auto"/>
          <w:sz w:val="32"/>
          <w:szCs w:val="32"/>
          <w:highlight w:val="none"/>
          <w:lang w:val="en-US" w:eastAsia="zh-CN"/>
        </w:rPr>
        <w:t>财政拨付结对认亲交通费时</w:t>
      </w:r>
      <w:r>
        <w:rPr>
          <w:rFonts w:hint="eastAsia" w:eastAsia="仿宋_GB2312" w:cs="Times New Roman"/>
          <w:color w:val="auto"/>
          <w:sz w:val="32"/>
          <w:szCs w:val="32"/>
          <w:highlight w:val="none"/>
          <w:lang w:val="en-US" w:eastAsia="zh-CN"/>
        </w:rPr>
        <w:t>项目类别为人员类项目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本</w:t>
      </w:r>
      <w:r>
        <w:rPr>
          <w:rFonts w:hint="default" w:ascii="Times New Roman" w:hAnsi="Times New Roman" w:eastAsia="仿宋_GB2312" w:cs="Times New Roman"/>
          <w:color w:val="auto"/>
          <w:sz w:val="32"/>
          <w:szCs w:val="32"/>
          <w:highlight w:val="none"/>
          <w:lang w:val="en-US" w:eastAsia="zh-CN"/>
        </w:rPr>
        <w:t>年财政拨付结对认亲交通费时</w:t>
      </w:r>
      <w:r>
        <w:rPr>
          <w:rFonts w:hint="eastAsia" w:eastAsia="仿宋_GB2312" w:cs="Times New Roman"/>
          <w:color w:val="auto"/>
          <w:sz w:val="32"/>
          <w:szCs w:val="32"/>
          <w:highlight w:val="none"/>
          <w:lang w:val="en-US" w:eastAsia="zh-CN"/>
        </w:rPr>
        <w:t>项目类别调整为特定目标类</w:t>
      </w:r>
      <w:r>
        <w:rPr>
          <w:rFonts w:hint="default" w:ascii="Times New Roman" w:hAnsi="Times New Roman" w:eastAsia="仿宋_GB2312" w:cs="Times New Roman"/>
          <w:color w:val="auto"/>
          <w:sz w:val="32"/>
          <w:szCs w:val="32"/>
          <w:highlight w:val="none"/>
          <w:lang w:val="en-US" w:eastAsia="zh-CN"/>
        </w:rPr>
        <w:t>。</w:t>
      </w:r>
    </w:p>
    <w:p w14:paraId="6F0664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094F8E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2,329.00万元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其中：政府采购货物支出1,925.49万元、政府采购工程支出192.72万元、政府采购服务支出210.78万元。</w:t>
      </w:r>
    </w:p>
    <w:p w14:paraId="763E0B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授予中小企业合同金额2,274.06万元，占政府采购支出总额的97.64%，其中：授予小微企业合同金额1,972.20万元，占政府采购支出总额的84.68%</w:t>
      </w:r>
      <w:r>
        <w:rPr>
          <w:rFonts w:hint="default" w:ascii="Times New Roman" w:hAnsi="Times New Roman" w:eastAsia="仿宋_GB2312" w:cs="Times New Roman"/>
          <w:color w:val="auto"/>
          <w:sz w:val="32"/>
          <w:szCs w:val="32"/>
          <w:highlight w:val="none"/>
          <w:lang w:val="en-US" w:eastAsia="zh-CN"/>
        </w:rPr>
        <w:t>。</w:t>
      </w:r>
    </w:p>
    <w:p w14:paraId="74C860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2445FC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90,458.21</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屋108274.48平方米，价值51,048.21万元。车辆11辆，价值299.04万元，其中：副部（省）级及以上领导用车0辆、主要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用车0辆、机要通信用车0辆、应急保障用车0辆、执法执勤用车0辆、特种专业技术用车5辆、离退休干部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用车0辆、其他用车6辆，其他用车主要是：</w:t>
      </w:r>
      <w:r>
        <w:rPr>
          <w:rFonts w:hint="default" w:ascii="Times New Roman" w:hAnsi="Times New Roman" w:eastAsia="仿宋_GB2312" w:cs="Times New Roman"/>
          <w:sz w:val="32"/>
          <w:szCs w:val="32"/>
        </w:rPr>
        <w:t>一般用车4辆、小型载客汽车1辆、中型载客汽车1辆</w:t>
      </w:r>
      <w:r>
        <w:rPr>
          <w:rFonts w:hint="default" w:ascii="Times New Roman" w:hAnsi="Times New Roman" w:eastAsia="仿宋_GB2312" w:cs="Times New Roman"/>
          <w:color w:val="auto"/>
          <w:sz w:val="32"/>
          <w:szCs w:val="32"/>
          <w:highlight w:val="none"/>
          <w:lang w:val="zh-CN" w:eastAsia="zh-CN"/>
        </w:rPr>
        <w:t>；单价100万元（含）以上设备（不含车辆）54</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03CA84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0BC964B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w:t>
      </w:r>
      <w:r>
        <w:rPr>
          <w:rFonts w:hint="default" w:ascii="Times New Roman" w:hAnsi="Times New Roman" w:eastAsia="仿宋_GB2312" w:cs="Times New Roman"/>
          <w:color w:val="auto"/>
          <w:kern w:val="0"/>
          <w:sz w:val="32"/>
          <w:szCs w:val="32"/>
          <w:highlight w:val="none"/>
          <w:lang w:val="en-US" w:eastAsia="zh-CN"/>
        </w:rPr>
        <w:t>整体支出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kern w:val="0"/>
          <w:sz w:val="32"/>
          <w:szCs w:val="32"/>
          <w:highlight w:val="none"/>
          <w:lang w:val="en-US" w:eastAsia="zh-CN"/>
        </w:rPr>
        <w:t>0个，全年</w:t>
      </w:r>
      <w:r>
        <w:rPr>
          <w:rFonts w:hint="default" w:ascii="Times New Roman" w:hAnsi="Times New Roman" w:eastAsia="仿宋_GB2312" w:cs="Times New Roman"/>
          <w:color w:val="auto"/>
          <w:sz w:val="32"/>
          <w:szCs w:val="32"/>
          <w:highlight w:val="none"/>
          <w:lang w:val="en-US" w:eastAsia="zh-CN"/>
        </w:rPr>
        <w:t>预算总额0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全年预算数64,971.64</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全年执行数64,971.64</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w:t>
      </w:r>
      <w:r>
        <w:rPr>
          <w:rFonts w:hint="default" w:ascii="Times New Roman" w:hAnsi="Times New Roman" w:eastAsia="仿宋_GB2312" w:cs="Times New Roman"/>
          <w:sz w:val="32"/>
          <w:szCs w:val="32"/>
        </w:rPr>
        <w:t>一是通过预算绩效管理能更好地执行支出项目；二是利用绩效管理工作按季度监控项目绩效执行情况</w:t>
      </w:r>
      <w:r>
        <w:rPr>
          <w:rFonts w:hint="default" w:ascii="Times New Roman" w:hAnsi="Times New Roman" w:eastAsia="仿宋_GB2312" w:cs="Times New Roman"/>
          <w:color w:val="auto"/>
          <w:sz w:val="32"/>
          <w:szCs w:val="32"/>
          <w:highlight w:val="none"/>
          <w:lang w:eastAsia="zh-CN"/>
        </w:rPr>
        <w:t>。发现的问题及原因：</w:t>
      </w:r>
      <w:r>
        <w:rPr>
          <w:rFonts w:hint="default" w:ascii="Times New Roman" w:hAnsi="Times New Roman" w:eastAsia="仿宋_GB2312" w:cs="Times New Roman"/>
          <w:sz w:val="32"/>
          <w:szCs w:val="32"/>
        </w:rPr>
        <w:t>一是预算绩效项目编制过于简单，没有达到预期的效果；二是没有按照所列出的绩效项目严格执行</w:t>
      </w:r>
      <w:r>
        <w:rPr>
          <w:rFonts w:hint="default" w:ascii="Times New Roman" w:hAnsi="Times New Roman" w:eastAsia="仿宋_GB2312" w:cs="Times New Roman"/>
          <w:color w:val="auto"/>
          <w:sz w:val="32"/>
          <w:szCs w:val="32"/>
          <w:highlight w:val="none"/>
          <w:lang w:eastAsia="zh-CN"/>
        </w:rPr>
        <w:t>。下一步改进措施：</w:t>
      </w:r>
      <w:r>
        <w:rPr>
          <w:rFonts w:hint="default" w:ascii="Times New Roman" w:hAnsi="Times New Roman" w:eastAsia="仿宋_GB2312" w:cs="Times New Roman"/>
          <w:sz w:val="32"/>
          <w:szCs w:val="32"/>
        </w:rPr>
        <w:t>一是通过学习进一步细化并科学合理地设置绩效项目指标；二是严格执行所列出的绩效指标</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1C8765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0A7043D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14:paraId="0BA9D9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49BBBFC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5468853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112E56E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0362028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4932DF9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70DD59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3A6C83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FE9D18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3FEC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3E0DBE3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0344FD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24C695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3AE95A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241CD8E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236EBA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19C304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3E863F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01A560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14:paraId="5E75DE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2768B3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71FD40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387A07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1123BE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257B06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5F0942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06DE3B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A81F87-ACBF-475E-8281-FD885AB948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0BA3C1D-6B82-42D9-91EA-0F357F954AFB}"/>
  </w:font>
  <w:font w:name="仿宋_GB2312">
    <w:panose1 w:val="02010609030101010101"/>
    <w:charset w:val="86"/>
    <w:family w:val="modern"/>
    <w:pitch w:val="default"/>
    <w:sig w:usb0="00000001" w:usb1="080E0000" w:usb2="00000000" w:usb3="00000000" w:csb0="00040000" w:csb1="00000000"/>
    <w:embedRegular r:id="rId3" w:fontKey="{2A16CC1D-9606-4947-8F1C-9C9D75F15A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4F0E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99A41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C99A41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mJjMmNjMjIyMGZmNjNjMGUwZTQxZDYwYTNkYmU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1A1127"/>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237843"/>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AA7079"/>
    <w:rsid w:val="19CF17ED"/>
    <w:rsid w:val="19D26CD4"/>
    <w:rsid w:val="19E60D19"/>
    <w:rsid w:val="1A3E3450"/>
    <w:rsid w:val="1AD807E5"/>
    <w:rsid w:val="1B39345B"/>
    <w:rsid w:val="1BFB2A1F"/>
    <w:rsid w:val="1C015D4A"/>
    <w:rsid w:val="1C106F85"/>
    <w:rsid w:val="1C290ED5"/>
    <w:rsid w:val="1C317E4F"/>
    <w:rsid w:val="1C472464"/>
    <w:rsid w:val="1D22799A"/>
    <w:rsid w:val="1D5C1A72"/>
    <w:rsid w:val="1DAF458D"/>
    <w:rsid w:val="1E086ACE"/>
    <w:rsid w:val="1E62130A"/>
    <w:rsid w:val="1E97358B"/>
    <w:rsid w:val="1EAA4A5F"/>
    <w:rsid w:val="1EE869A7"/>
    <w:rsid w:val="1FA15E62"/>
    <w:rsid w:val="1FED69B6"/>
    <w:rsid w:val="2064678E"/>
    <w:rsid w:val="207F289E"/>
    <w:rsid w:val="20DC1AB9"/>
    <w:rsid w:val="20DD6197"/>
    <w:rsid w:val="212631E0"/>
    <w:rsid w:val="21A53757"/>
    <w:rsid w:val="221236C6"/>
    <w:rsid w:val="221550DF"/>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4CE6584"/>
    <w:rsid w:val="353369E3"/>
    <w:rsid w:val="35E00D72"/>
    <w:rsid w:val="367C4BF3"/>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7D24EC"/>
    <w:rsid w:val="41900018"/>
    <w:rsid w:val="41944406"/>
    <w:rsid w:val="41CE128F"/>
    <w:rsid w:val="41DA6F12"/>
    <w:rsid w:val="42171FB1"/>
    <w:rsid w:val="434E6957"/>
    <w:rsid w:val="43BA0E31"/>
    <w:rsid w:val="43C15147"/>
    <w:rsid w:val="43E14DD2"/>
    <w:rsid w:val="43F800E9"/>
    <w:rsid w:val="443A7E4B"/>
    <w:rsid w:val="452F5B3A"/>
    <w:rsid w:val="454E7FD2"/>
    <w:rsid w:val="45E87E40"/>
    <w:rsid w:val="46061BDC"/>
    <w:rsid w:val="461404F8"/>
    <w:rsid w:val="46413018"/>
    <w:rsid w:val="464B7E04"/>
    <w:rsid w:val="468041AA"/>
    <w:rsid w:val="468123C6"/>
    <w:rsid w:val="46901EEE"/>
    <w:rsid w:val="469C74D2"/>
    <w:rsid w:val="47445515"/>
    <w:rsid w:val="474B4782"/>
    <w:rsid w:val="477D62FA"/>
    <w:rsid w:val="47D90D14"/>
    <w:rsid w:val="48387FB0"/>
    <w:rsid w:val="483A6114"/>
    <w:rsid w:val="488727DB"/>
    <w:rsid w:val="48B82268"/>
    <w:rsid w:val="48C354B3"/>
    <w:rsid w:val="49032EBE"/>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8A3505"/>
    <w:rsid w:val="54C811C0"/>
    <w:rsid w:val="54DF1F63"/>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1F23084"/>
    <w:rsid w:val="62512BB4"/>
    <w:rsid w:val="625D7D1A"/>
    <w:rsid w:val="62DD7D21"/>
    <w:rsid w:val="637D586B"/>
    <w:rsid w:val="63A5560B"/>
    <w:rsid w:val="63E9091F"/>
    <w:rsid w:val="64322AF9"/>
    <w:rsid w:val="64D6010D"/>
    <w:rsid w:val="64D82665"/>
    <w:rsid w:val="64E47C96"/>
    <w:rsid w:val="651E5741"/>
    <w:rsid w:val="658A4877"/>
    <w:rsid w:val="658E7AF1"/>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14073"/>
    <w:rsid w:val="69D80B96"/>
    <w:rsid w:val="6B68175F"/>
    <w:rsid w:val="6BF64E81"/>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B2D76"/>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21477C"/>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6D1484"/>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6063</Words>
  <Characters>6871</Characters>
  <Lines>0</Lines>
  <Paragraphs>0</Paragraphs>
  <TotalTime>5</TotalTime>
  <ScaleCrop>false</ScaleCrop>
  <LinksUpToDate>false</LinksUpToDate>
  <CharactersWithSpaces>6882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dcterms:modified xsi:type="dcterms:W3CDTF">2024-11-05T08:39:29Z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