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F1C79E">
      <w:pPr>
        <w:spacing w:line="540" w:lineRule="exact"/>
        <w:jc w:val="center"/>
        <w:rPr>
          <w:rFonts w:eastAsia="华文中宋"/>
          <w:b/>
          <w:kern w:val="0"/>
          <w:sz w:val="52"/>
          <w:szCs w:val="52"/>
          <w:highlight w:val="none"/>
        </w:rPr>
      </w:pPr>
    </w:p>
    <w:p w14:paraId="08A580F8">
      <w:pPr>
        <w:spacing w:line="540" w:lineRule="exact"/>
        <w:rPr>
          <w:rFonts w:eastAsia="华文中宋"/>
          <w:b/>
          <w:kern w:val="0"/>
          <w:sz w:val="52"/>
          <w:szCs w:val="52"/>
          <w:highlight w:val="none"/>
        </w:rPr>
      </w:pPr>
    </w:p>
    <w:p w14:paraId="594B2ACA">
      <w:pPr>
        <w:spacing w:line="540" w:lineRule="exact"/>
        <w:jc w:val="center"/>
        <w:rPr>
          <w:rFonts w:eastAsia="华文中宋"/>
          <w:b/>
          <w:kern w:val="0"/>
          <w:sz w:val="52"/>
          <w:szCs w:val="52"/>
          <w:highlight w:val="none"/>
        </w:rPr>
      </w:pPr>
    </w:p>
    <w:p w14:paraId="0E64A4F5">
      <w:pPr>
        <w:spacing w:line="540" w:lineRule="exact"/>
        <w:jc w:val="center"/>
        <w:rPr>
          <w:rFonts w:eastAsia="华文中宋"/>
          <w:b/>
          <w:kern w:val="0"/>
          <w:sz w:val="52"/>
          <w:szCs w:val="52"/>
          <w:highlight w:val="none"/>
        </w:rPr>
      </w:pPr>
    </w:p>
    <w:p w14:paraId="5A277D16">
      <w:pPr>
        <w:spacing w:line="540" w:lineRule="exact"/>
        <w:jc w:val="center"/>
        <w:rPr>
          <w:rFonts w:eastAsia="方正小标宋_GBK"/>
          <w:kern w:val="0"/>
          <w:sz w:val="48"/>
          <w:szCs w:val="48"/>
          <w:highlight w:val="none"/>
        </w:rPr>
      </w:pPr>
      <w:r>
        <w:rPr>
          <w:rFonts w:hint="eastAsia" w:eastAsia="方正小标宋_GBK"/>
          <w:color w:val="auto"/>
          <w:kern w:val="0"/>
          <w:sz w:val="48"/>
          <w:szCs w:val="48"/>
          <w:highlight w:val="none"/>
          <w:u w:val="none"/>
          <w:lang w:eastAsia="zh-CN"/>
        </w:rPr>
        <w:t>自治区财政</w:t>
      </w:r>
      <w:r>
        <w:rPr>
          <w:rFonts w:eastAsia="方正小标宋_GBK"/>
          <w:color w:val="auto"/>
          <w:kern w:val="0"/>
          <w:sz w:val="48"/>
          <w:szCs w:val="48"/>
          <w:highlight w:val="none"/>
          <w:u w:val="none"/>
        </w:rPr>
        <w:t>项目</w:t>
      </w:r>
      <w:r>
        <w:rPr>
          <w:rFonts w:eastAsia="方正小标宋_GBK"/>
          <w:kern w:val="0"/>
          <w:sz w:val="48"/>
          <w:szCs w:val="48"/>
          <w:highlight w:val="none"/>
        </w:rPr>
        <w:t>支出绩效评价</w:t>
      </w:r>
    </w:p>
    <w:p w14:paraId="422C08A0">
      <w:pPr>
        <w:spacing w:line="540" w:lineRule="exact"/>
        <w:jc w:val="center"/>
        <w:rPr>
          <w:rFonts w:eastAsia="方正小标宋_GBK"/>
          <w:kern w:val="0"/>
          <w:sz w:val="48"/>
          <w:szCs w:val="48"/>
          <w:highlight w:val="none"/>
        </w:rPr>
      </w:pPr>
      <w:r>
        <w:rPr>
          <w:rFonts w:eastAsia="方正小标宋_GBK"/>
          <w:kern w:val="0"/>
          <w:sz w:val="48"/>
          <w:szCs w:val="48"/>
          <w:highlight w:val="none"/>
        </w:rPr>
        <w:t>报告</w:t>
      </w:r>
    </w:p>
    <w:p w14:paraId="35F05DA1">
      <w:pPr>
        <w:spacing w:line="540" w:lineRule="exact"/>
        <w:jc w:val="center"/>
        <w:rPr>
          <w:rFonts w:eastAsia="华文中宋"/>
          <w:b/>
          <w:kern w:val="0"/>
          <w:sz w:val="52"/>
          <w:szCs w:val="52"/>
          <w:highlight w:val="none"/>
        </w:rPr>
      </w:pPr>
    </w:p>
    <w:p w14:paraId="7523FBA4">
      <w:pPr>
        <w:spacing w:line="540" w:lineRule="exact"/>
        <w:jc w:val="center"/>
        <w:rPr>
          <w:rFonts w:eastAsia="仿宋_GB2312"/>
          <w:kern w:val="0"/>
          <w:sz w:val="36"/>
          <w:szCs w:val="36"/>
          <w:highlight w:val="none"/>
        </w:rPr>
      </w:pPr>
      <w:r>
        <w:rPr>
          <w:rFonts w:eastAsia="仿宋_GB2312"/>
          <w:kern w:val="0"/>
          <w:sz w:val="36"/>
          <w:szCs w:val="36"/>
          <w:highlight w:val="none"/>
        </w:rPr>
        <w:t>（ 2023年度）</w:t>
      </w:r>
    </w:p>
    <w:p w14:paraId="593294BF">
      <w:pPr>
        <w:spacing w:line="540" w:lineRule="exact"/>
        <w:jc w:val="center"/>
        <w:rPr>
          <w:rFonts w:eastAsia="仿宋_GB2312"/>
          <w:kern w:val="0"/>
          <w:sz w:val="30"/>
          <w:szCs w:val="30"/>
          <w:highlight w:val="none"/>
        </w:rPr>
      </w:pPr>
    </w:p>
    <w:p w14:paraId="24F5F03E">
      <w:pPr>
        <w:spacing w:line="540" w:lineRule="exact"/>
        <w:jc w:val="center"/>
        <w:rPr>
          <w:rFonts w:eastAsia="仿宋_GB2312"/>
          <w:kern w:val="0"/>
          <w:sz w:val="30"/>
          <w:szCs w:val="30"/>
          <w:highlight w:val="none"/>
        </w:rPr>
      </w:pPr>
    </w:p>
    <w:p w14:paraId="3FCE93DB">
      <w:pPr>
        <w:spacing w:line="540" w:lineRule="exact"/>
        <w:jc w:val="center"/>
        <w:rPr>
          <w:rFonts w:eastAsia="仿宋_GB2312"/>
          <w:kern w:val="0"/>
          <w:sz w:val="30"/>
          <w:szCs w:val="30"/>
          <w:highlight w:val="none"/>
        </w:rPr>
      </w:pPr>
    </w:p>
    <w:p w14:paraId="29D3CFE8">
      <w:pPr>
        <w:spacing w:line="540" w:lineRule="exact"/>
        <w:jc w:val="center"/>
        <w:rPr>
          <w:rFonts w:eastAsia="仿宋_GB2312"/>
          <w:kern w:val="0"/>
          <w:sz w:val="30"/>
          <w:szCs w:val="30"/>
          <w:highlight w:val="none"/>
        </w:rPr>
      </w:pPr>
    </w:p>
    <w:p w14:paraId="32B6C3EC">
      <w:pPr>
        <w:spacing w:line="540" w:lineRule="exact"/>
        <w:rPr>
          <w:rFonts w:eastAsia="仿宋_GB2312"/>
          <w:kern w:val="0"/>
          <w:sz w:val="30"/>
          <w:szCs w:val="30"/>
          <w:highlight w:val="none"/>
        </w:rPr>
      </w:pPr>
    </w:p>
    <w:p w14:paraId="207CA6C4">
      <w:pPr>
        <w:spacing w:line="700" w:lineRule="exact"/>
        <w:ind w:left="3036" w:leftChars="684" w:hanging="1600" w:hangingChars="500"/>
        <w:jc w:val="left"/>
        <w:rPr>
          <w:rFonts w:hint="eastAsia" w:eastAsia="仿宋_GB2312"/>
          <w:kern w:val="0"/>
          <w:sz w:val="32"/>
          <w:szCs w:val="32"/>
          <w:highlight w:val="none"/>
        </w:rPr>
      </w:pPr>
      <w:r>
        <w:rPr>
          <w:rFonts w:eastAsia="仿宋_GB2312"/>
          <w:kern w:val="0"/>
          <w:sz w:val="32"/>
          <w:szCs w:val="32"/>
          <w:highlight w:val="none"/>
        </w:rPr>
        <w:t>项目名称：</w:t>
      </w:r>
      <w:r>
        <w:rPr>
          <w:rFonts w:hint="eastAsia" w:eastAsia="仿宋_GB2312"/>
          <w:kern w:val="0"/>
          <w:sz w:val="32"/>
          <w:szCs w:val="32"/>
          <w:highlight w:val="none"/>
        </w:rPr>
        <w:t>自治区卫生健康委所属单位2023年地方政府债券资金（第二批）</w:t>
      </w:r>
    </w:p>
    <w:p w14:paraId="04103E43">
      <w:pPr>
        <w:spacing w:line="700" w:lineRule="exact"/>
        <w:ind w:firstLine="1280" w:firstLineChars="400"/>
        <w:jc w:val="left"/>
        <w:rPr>
          <w:rFonts w:hint="eastAsia" w:eastAsia="仿宋_GB2312"/>
          <w:kern w:val="0"/>
          <w:sz w:val="32"/>
          <w:szCs w:val="32"/>
          <w:highlight w:val="none"/>
          <w:lang w:eastAsia="zh-CN"/>
        </w:rPr>
      </w:pPr>
      <w:r>
        <w:rPr>
          <w:rFonts w:eastAsia="仿宋_GB2312"/>
          <w:kern w:val="0"/>
          <w:sz w:val="32"/>
          <w:szCs w:val="32"/>
          <w:highlight w:val="none"/>
        </w:rPr>
        <w:t>实施单位（公章）：</w:t>
      </w:r>
      <w:r>
        <w:rPr>
          <w:rFonts w:hint="eastAsia" w:eastAsia="仿宋_GB2312"/>
          <w:kern w:val="0"/>
          <w:sz w:val="32"/>
          <w:szCs w:val="32"/>
          <w:highlight w:val="none"/>
          <w:lang w:eastAsia="zh-CN"/>
        </w:rPr>
        <w:t>新疆医科大学第八附属医院</w:t>
      </w:r>
    </w:p>
    <w:p w14:paraId="04B6146D">
      <w:pPr>
        <w:spacing w:line="700" w:lineRule="exact"/>
        <w:ind w:firstLine="1280" w:firstLineChars="400"/>
        <w:jc w:val="left"/>
        <w:rPr>
          <w:rFonts w:hint="eastAsia" w:eastAsia="仿宋_GB2312"/>
          <w:kern w:val="0"/>
          <w:sz w:val="32"/>
          <w:szCs w:val="32"/>
          <w:highlight w:val="none"/>
          <w:lang w:eastAsia="zh-CN"/>
        </w:rPr>
      </w:pPr>
      <w:r>
        <w:rPr>
          <w:rFonts w:eastAsia="仿宋_GB2312"/>
          <w:kern w:val="0"/>
          <w:sz w:val="32"/>
          <w:szCs w:val="32"/>
          <w:highlight w:val="none"/>
        </w:rPr>
        <w:t>主管部门（公章）：</w:t>
      </w:r>
      <w:r>
        <w:rPr>
          <w:rFonts w:hint="eastAsia" w:eastAsia="仿宋_GB2312"/>
          <w:kern w:val="0"/>
          <w:sz w:val="32"/>
          <w:szCs w:val="32"/>
          <w:highlight w:val="none"/>
          <w:lang w:eastAsia="zh-CN"/>
        </w:rPr>
        <w:t>自治区卫生健康委员会</w:t>
      </w:r>
    </w:p>
    <w:p w14:paraId="1F990052">
      <w:pPr>
        <w:spacing w:line="700" w:lineRule="exact"/>
        <w:ind w:firstLine="1280" w:firstLineChars="400"/>
        <w:jc w:val="left"/>
        <w:rPr>
          <w:rFonts w:hint="eastAsia" w:eastAsia="仿宋_GB2312"/>
          <w:kern w:val="0"/>
          <w:sz w:val="32"/>
          <w:szCs w:val="32"/>
          <w:highlight w:val="none"/>
          <w:lang w:eastAsia="zh-CN"/>
        </w:rPr>
      </w:pPr>
      <w:r>
        <w:rPr>
          <w:rFonts w:eastAsia="仿宋_GB2312"/>
          <w:kern w:val="0"/>
          <w:sz w:val="32"/>
          <w:szCs w:val="32"/>
          <w:highlight w:val="none"/>
        </w:rPr>
        <w:t>项目负责人（签章）：</w:t>
      </w:r>
      <w:r>
        <w:rPr>
          <w:rFonts w:hint="eastAsia" w:eastAsia="仿宋_GB2312"/>
          <w:kern w:val="0"/>
          <w:sz w:val="32"/>
          <w:szCs w:val="32"/>
          <w:highlight w:val="none"/>
          <w:lang w:eastAsia="zh-CN"/>
        </w:rPr>
        <w:t>王刚</w:t>
      </w:r>
    </w:p>
    <w:p w14:paraId="1A4D629B">
      <w:pPr>
        <w:spacing w:line="700" w:lineRule="exact"/>
        <w:ind w:firstLine="1280" w:firstLineChars="400"/>
        <w:jc w:val="left"/>
        <w:rPr>
          <w:rFonts w:eastAsia="仿宋_GB2312"/>
          <w:kern w:val="0"/>
          <w:sz w:val="32"/>
          <w:szCs w:val="32"/>
          <w:highlight w:val="none"/>
        </w:rPr>
      </w:pPr>
      <w:r>
        <w:rPr>
          <w:rFonts w:eastAsia="仿宋_GB2312"/>
          <w:kern w:val="0"/>
          <w:sz w:val="32"/>
          <w:szCs w:val="32"/>
          <w:highlight w:val="none"/>
        </w:rPr>
        <w:t>填报时间：</w:t>
      </w:r>
      <w:r>
        <w:rPr>
          <w:rFonts w:hint="eastAsia" w:eastAsia="仿宋_GB2312"/>
          <w:kern w:val="0"/>
          <w:sz w:val="32"/>
          <w:szCs w:val="32"/>
          <w:highlight w:val="none"/>
          <w:lang w:val="en-US" w:eastAsia="zh-CN"/>
        </w:rPr>
        <w:t>2024</w:t>
      </w:r>
      <w:r>
        <w:rPr>
          <w:rFonts w:eastAsia="仿宋_GB2312"/>
          <w:kern w:val="0"/>
          <w:sz w:val="32"/>
          <w:szCs w:val="32"/>
          <w:highlight w:val="none"/>
        </w:rPr>
        <w:t>年</w:t>
      </w:r>
      <w:r>
        <w:rPr>
          <w:rFonts w:hint="eastAsia" w:eastAsia="仿宋_GB2312"/>
          <w:kern w:val="0"/>
          <w:sz w:val="32"/>
          <w:szCs w:val="32"/>
          <w:highlight w:val="none"/>
          <w:lang w:val="en-US" w:eastAsia="zh-CN"/>
        </w:rPr>
        <w:t>4</w:t>
      </w:r>
      <w:r>
        <w:rPr>
          <w:rFonts w:eastAsia="仿宋_GB2312"/>
          <w:kern w:val="0"/>
          <w:sz w:val="32"/>
          <w:szCs w:val="32"/>
          <w:highlight w:val="none"/>
        </w:rPr>
        <w:t>月</w:t>
      </w:r>
      <w:r>
        <w:rPr>
          <w:rFonts w:hint="eastAsia" w:eastAsia="仿宋_GB2312"/>
          <w:kern w:val="0"/>
          <w:sz w:val="32"/>
          <w:szCs w:val="32"/>
          <w:highlight w:val="none"/>
          <w:lang w:val="en-US" w:eastAsia="zh-CN"/>
        </w:rPr>
        <w:t>7</w:t>
      </w:r>
      <w:r>
        <w:rPr>
          <w:rFonts w:eastAsia="仿宋_GB2312"/>
          <w:kern w:val="0"/>
          <w:sz w:val="32"/>
          <w:szCs w:val="32"/>
          <w:highlight w:val="none"/>
        </w:rPr>
        <w:t>日</w:t>
      </w:r>
    </w:p>
    <w:p w14:paraId="017C9A46">
      <w:pPr>
        <w:spacing w:line="540" w:lineRule="exact"/>
        <w:jc w:val="center"/>
        <w:rPr>
          <w:rFonts w:eastAsia="仿宋_GB2312"/>
          <w:kern w:val="0"/>
          <w:sz w:val="30"/>
          <w:szCs w:val="30"/>
          <w:highlight w:val="none"/>
        </w:rPr>
      </w:pPr>
    </w:p>
    <w:p w14:paraId="3D70BDFE">
      <w:pPr>
        <w:spacing w:line="540" w:lineRule="exact"/>
        <w:rPr>
          <w:rStyle w:val="15"/>
          <w:rFonts w:eastAsia="黑体"/>
          <w:b w:val="0"/>
          <w:spacing w:val="-4"/>
          <w:sz w:val="32"/>
          <w:szCs w:val="32"/>
          <w:highlight w:val="none"/>
        </w:rPr>
      </w:pPr>
    </w:p>
    <w:p w14:paraId="22869563">
      <w:pPr>
        <w:spacing w:line="540" w:lineRule="exact"/>
        <w:ind w:firstLine="640"/>
        <w:rPr>
          <w:rStyle w:val="15"/>
          <w:rFonts w:eastAsia="黑体"/>
          <w:b w:val="0"/>
          <w:spacing w:val="-4"/>
          <w:sz w:val="32"/>
          <w:szCs w:val="32"/>
          <w:highlight w:val="none"/>
        </w:rPr>
      </w:pPr>
    </w:p>
    <w:p w14:paraId="32C793FF">
      <w:pPr>
        <w:spacing w:line="540" w:lineRule="exact"/>
        <w:rPr>
          <w:rStyle w:val="15"/>
          <w:rFonts w:eastAsia="黑体"/>
          <w:b w:val="0"/>
          <w:spacing w:val="-4"/>
          <w:sz w:val="32"/>
          <w:szCs w:val="32"/>
          <w:highlight w:val="none"/>
        </w:rPr>
      </w:pPr>
    </w:p>
    <w:p w14:paraId="29E3042C">
      <w:pPr>
        <w:spacing w:line="600" w:lineRule="exact"/>
        <w:jc w:val="center"/>
        <w:rPr>
          <w:rFonts w:eastAsia="黑体"/>
          <w:bCs/>
          <w:sz w:val="32"/>
          <w:szCs w:val="32"/>
          <w:highlight w:val="none"/>
        </w:rPr>
      </w:pPr>
    </w:p>
    <w:p w14:paraId="180D08C9">
      <w:pPr>
        <w:spacing w:line="600" w:lineRule="exact"/>
        <w:rPr>
          <w:rFonts w:eastAsia="黑体"/>
          <w:bCs/>
          <w:sz w:val="32"/>
          <w:szCs w:val="32"/>
          <w:highlight w:val="none"/>
        </w:rPr>
      </w:pPr>
    </w:p>
    <w:p w14:paraId="25900B03">
      <w:pPr>
        <w:spacing w:line="560" w:lineRule="exact"/>
        <w:ind w:firstLine="640" w:firstLineChars="200"/>
        <w:rPr>
          <w:rFonts w:eastAsia="黑体"/>
          <w:bCs/>
          <w:sz w:val="32"/>
          <w:szCs w:val="32"/>
          <w:highlight w:val="none"/>
        </w:rPr>
      </w:pPr>
      <w:r>
        <w:rPr>
          <w:rFonts w:eastAsia="黑体"/>
          <w:bCs/>
          <w:sz w:val="32"/>
          <w:szCs w:val="32"/>
          <w:highlight w:val="none"/>
        </w:rPr>
        <w:t>一、基本情况</w:t>
      </w:r>
    </w:p>
    <w:p w14:paraId="6DC080C9">
      <w:pPr>
        <w:spacing w:line="560" w:lineRule="exact"/>
        <w:ind w:firstLine="643" w:firstLineChars="200"/>
        <w:rPr>
          <w:rFonts w:eastAsia="楷体_GB2312"/>
          <w:b/>
          <w:bCs/>
          <w:sz w:val="32"/>
          <w:szCs w:val="32"/>
          <w:highlight w:val="none"/>
        </w:rPr>
      </w:pPr>
      <w:r>
        <w:rPr>
          <w:rFonts w:eastAsia="楷体_GB2312"/>
          <w:b/>
          <w:bCs/>
          <w:sz w:val="32"/>
          <w:szCs w:val="32"/>
          <w:highlight w:val="none"/>
        </w:rPr>
        <w:t>（一）项目概况</w:t>
      </w:r>
    </w:p>
    <w:p w14:paraId="7F25F231">
      <w:pPr>
        <w:spacing w:line="560" w:lineRule="exact"/>
        <w:ind w:firstLine="643" w:firstLineChars="200"/>
        <w:rPr>
          <w:rFonts w:eastAsia="仿宋_GB2312"/>
          <w:b/>
          <w:bCs/>
          <w:sz w:val="32"/>
          <w:szCs w:val="32"/>
          <w:highlight w:val="none"/>
        </w:rPr>
      </w:pPr>
      <w:r>
        <w:rPr>
          <w:rFonts w:eastAsia="仿宋_GB2312"/>
          <w:b/>
          <w:bCs/>
          <w:sz w:val="32"/>
          <w:szCs w:val="32"/>
          <w:highlight w:val="none"/>
        </w:rPr>
        <w:t>1、项目背景</w:t>
      </w:r>
    </w:p>
    <w:p w14:paraId="234D6390">
      <w:pPr>
        <w:spacing w:line="560" w:lineRule="exact"/>
        <w:ind w:firstLine="640" w:firstLineChars="200"/>
        <w:rPr>
          <w:rFonts w:hint="eastAsia" w:eastAsia="仿宋_GB2312"/>
          <w:sz w:val="32"/>
          <w:szCs w:val="32"/>
          <w:highlight w:val="none"/>
          <w:lang w:val="en-US" w:eastAsia="zh-CN"/>
        </w:rPr>
      </w:pPr>
      <w:r>
        <w:rPr>
          <w:rFonts w:hint="eastAsia" w:eastAsia="仿宋_GB2312"/>
          <w:sz w:val="32"/>
          <w:szCs w:val="32"/>
          <w:highlight w:val="none"/>
          <w:lang w:val="en-US" w:eastAsia="zh-CN"/>
        </w:rPr>
        <w:t xml:space="preserve">《中华人民共和国国民经济和社会发展第十四个五年规划和 2035 年远景目标纲要》中指出：“把保障人民健康放在优先发展的战略位置，坚持预防为主的方针，深入实施健康中国行动，完善国民健康促进政策，织牢国家公共卫生防护网，为人民提供全方位全生命期健康服务。”《“健康中国 2030”规划纲要》，提出优化健康服务，强化覆盖全民的公共卫生服务。        </w:t>
      </w:r>
    </w:p>
    <w:p w14:paraId="09A129FC">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eastAsia" w:eastAsia="仿宋_GB2312"/>
          <w:sz w:val="32"/>
          <w:szCs w:val="32"/>
          <w:highlight w:val="none"/>
          <w:lang w:val="en-US" w:eastAsia="zh-CN"/>
        </w:rPr>
        <w:t>乌鲁木齐</w:t>
      </w:r>
      <w:r>
        <w:rPr>
          <w:rFonts w:hint="default" w:ascii="Times New Roman" w:hAnsi="Times New Roman" w:eastAsia="仿宋_GB2312" w:cs="Times New Roman"/>
          <w:b w:val="0"/>
          <w:bCs w:val="0"/>
          <w:kern w:val="2"/>
          <w:sz w:val="32"/>
          <w:szCs w:val="32"/>
          <w:highlight w:val="none"/>
          <w:lang w:val="en-US" w:eastAsia="zh-CN" w:bidi="ar-SA"/>
        </w:rPr>
        <w:t>市政府、市卫健委十分重视公共卫生服务工作，全面落实各项国家方针政策。近年来，乌鲁木齐市防治法贯彻实施情况总体良好。然而随着近年城市各族人民群众生活水平的提高，对公共卫生、人体健康、医疗预防等方面的需求不断提高，医院门诊量也在</w:t>
      </w:r>
      <w:r>
        <w:rPr>
          <w:rFonts w:hint="eastAsia" w:eastAsia="仿宋_GB2312" w:cs="Times New Roman"/>
          <w:b w:val="0"/>
          <w:bCs w:val="0"/>
          <w:kern w:val="2"/>
          <w:sz w:val="32"/>
          <w:szCs w:val="32"/>
          <w:highlight w:val="none"/>
          <w:lang w:val="en-US" w:eastAsia="zh-CN" w:bidi="ar-SA"/>
        </w:rPr>
        <w:t>逐年</w:t>
      </w:r>
      <w:r>
        <w:rPr>
          <w:rFonts w:hint="default" w:ascii="Times New Roman" w:hAnsi="Times New Roman" w:eastAsia="仿宋_GB2312" w:cs="Times New Roman"/>
          <w:b w:val="0"/>
          <w:bCs w:val="0"/>
          <w:kern w:val="2"/>
          <w:sz w:val="32"/>
          <w:szCs w:val="32"/>
          <w:highlight w:val="none"/>
          <w:lang w:val="en-US" w:eastAsia="zh-CN" w:bidi="ar-SA"/>
        </w:rPr>
        <w:t>增加。按照《公共卫生防控救治能力建设方案》（发改社会〔2020〕0735 号）要求，新疆医科大学第八附属医院作为公共卫生服务体系的重要组成部分，现有医疗设施已远不能满足现有城市居民以及周边地区居民看病的需要。</w:t>
      </w:r>
    </w:p>
    <w:p w14:paraId="58675741">
      <w:pPr>
        <w:pStyle w:val="10"/>
        <w:numPr>
          <w:ilvl w:val="0"/>
          <w:numId w:val="1"/>
        </w:numPr>
        <w:spacing w:before="0" w:after="0" w:line="560" w:lineRule="exact"/>
        <w:ind w:firstLine="643" w:firstLineChars="200"/>
        <w:jc w:val="both"/>
        <w:rPr>
          <w:rFonts w:ascii="Times New Roman" w:hAnsi="Times New Roman" w:eastAsia="仿宋_GB2312"/>
          <w:kern w:val="2"/>
          <w:highlight w:val="none"/>
        </w:rPr>
      </w:pPr>
      <w:r>
        <w:rPr>
          <w:rFonts w:ascii="Times New Roman" w:hAnsi="Times New Roman" w:eastAsia="仿宋_GB2312"/>
          <w:kern w:val="2"/>
          <w:highlight w:val="none"/>
        </w:rPr>
        <w:t>项目主要内容</w:t>
      </w:r>
    </w:p>
    <w:p w14:paraId="5AD30D55">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eastAsia" w:eastAsia="仿宋_GB2312" w:cs="Times New Roman"/>
          <w:b w:val="0"/>
          <w:bCs w:val="0"/>
          <w:kern w:val="2"/>
          <w:sz w:val="32"/>
          <w:szCs w:val="32"/>
          <w:highlight w:val="none"/>
          <w:lang w:val="en-US" w:eastAsia="zh-CN" w:bidi="ar-SA"/>
        </w:rPr>
        <w:t>项目主要内容：</w:t>
      </w:r>
      <w:r>
        <w:rPr>
          <w:rFonts w:hint="eastAsia" w:ascii="Times New Roman" w:hAnsi="Times New Roman" w:eastAsia="仿宋_GB2312" w:cs="Times New Roman"/>
          <w:b w:val="0"/>
          <w:bCs w:val="0"/>
          <w:kern w:val="2"/>
          <w:sz w:val="32"/>
          <w:szCs w:val="32"/>
          <w:highlight w:val="none"/>
          <w:lang w:val="en-US" w:eastAsia="zh-CN" w:bidi="ar-SA"/>
        </w:rPr>
        <w:t>本项目新建综合门急诊，综合外科住院和综合内科住院，总建筑面积为116160㎡，其中：地上建筑面积83760㎡，地下建筑面积32400㎡。</w:t>
      </w:r>
    </w:p>
    <w:p w14:paraId="725CAAE8">
      <w:pPr>
        <w:spacing w:line="560" w:lineRule="exact"/>
        <w:ind w:firstLine="640" w:firstLineChars="200"/>
        <w:rPr>
          <w:highlight w:val="none"/>
        </w:rPr>
      </w:pPr>
      <w:r>
        <w:rPr>
          <w:rFonts w:eastAsia="仿宋_GB2312"/>
          <w:sz w:val="32"/>
          <w:szCs w:val="32"/>
          <w:highlight w:val="none"/>
        </w:rPr>
        <w:t>项目实施情况：项目目前已经完成实际设立的目标，项目在实施过程中严格按照目标设立的各阶段任务进行开展工作，在前期立项过程中严格把质量关，建立安全防护机制，保证项目实施各阶段安全顺利进行。</w:t>
      </w:r>
    </w:p>
    <w:p w14:paraId="2AE44E76">
      <w:pPr>
        <w:spacing w:line="560" w:lineRule="exact"/>
        <w:ind w:firstLine="643" w:firstLineChars="200"/>
        <w:rPr>
          <w:rFonts w:eastAsia="仿宋_GB2312"/>
          <w:b/>
          <w:bCs/>
          <w:sz w:val="32"/>
          <w:szCs w:val="32"/>
          <w:highlight w:val="none"/>
        </w:rPr>
      </w:pPr>
      <w:r>
        <w:rPr>
          <w:rFonts w:eastAsia="仿宋_GB2312"/>
          <w:b/>
          <w:bCs/>
          <w:sz w:val="32"/>
          <w:szCs w:val="32"/>
          <w:highlight w:val="none"/>
        </w:rPr>
        <w:t>3、资金投入和使用情况</w:t>
      </w:r>
    </w:p>
    <w:p w14:paraId="1C1CA76A">
      <w:pPr>
        <w:spacing w:line="560" w:lineRule="exact"/>
        <w:ind w:firstLine="640" w:firstLineChars="200"/>
        <w:rPr>
          <w:rFonts w:hint="default" w:eastAsia="仿宋_GB2312"/>
          <w:sz w:val="20"/>
          <w:szCs w:val="20"/>
          <w:highlight w:val="none"/>
          <w:lang w:val="en-US" w:eastAsia="zh-CN"/>
        </w:rPr>
      </w:pPr>
      <w:r>
        <w:rPr>
          <w:rFonts w:eastAsia="仿宋_GB2312"/>
          <w:sz w:val="32"/>
          <w:szCs w:val="32"/>
          <w:highlight w:val="none"/>
        </w:rPr>
        <w:t>（1）资金</w:t>
      </w:r>
      <w:r>
        <w:rPr>
          <w:rFonts w:hint="eastAsia" w:eastAsia="仿宋_GB2312"/>
          <w:sz w:val="32"/>
          <w:szCs w:val="32"/>
          <w:highlight w:val="none"/>
          <w:lang w:val="en-US" w:eastAsia="zh-CN"/>
        </w:rPr>
        <w:t>投入情况</w:t>
      </w:r>
    </w:p>
    <w:p w14:paraId="484A5CA8">
      <w:pPr>
        <w:spacing w:line="560" w:lineRule="exact"/>
        <w:ind w:firstLine="640" w:firstLineChars="200"/>
        <w:rPr>
          <w:rFonts w:hint="eastAsia" w:ascii="Times New Roman" w:hAnsi="Times New Roman" w:eastAsia="仿宋_GB2312" w:cs="Times New Roman"/>
          <w:sz w:val="32"/>
          <w:szCs w:val="32"/>
          <w:lang w:eastAsia="zh-CN"/>
        </w:rPr>
      </w:pPr>
      <w:r>
        <w:rPr>
          <w:rFonts w:eastAsia="仿宋_GB2312"/>
          <w:sz w:val="32"/>
          <w:szCs w:val="32"/>
        </w:rPr>
        <w:t>项目</w:t>
      </w:r>
      <w:r>
        <w:rPr>
          <w:rFonts w:hint="eastAsia" w:eastAsia="仿宋_GB2312"/>
          <w:sz w:val="32"/>
          <w:szCs w:val="32"/>
          <w:lang w:val="en-US" w:eastAsia="zh-CN"/>
        </w:rPr>
        <w:t>年初安排预算8000万元，全年预算数8000</w:t>
      </w:r>
      <w:r>
        <w:rPr>
          <w:rFonts w:eastAsia="仿宋_GB2312"/>
          <w:sz w:val="32"/>
          <w:szCs w:val="32"/>
        </w:rPr>
        <w:t>万元，</w:t>
      </w:r>
      <w:r>
        <w:rPr>
          <w:rFonts w:ascii="Times New Roman" w:hAnsi="Times New Roman" w:eastAsia="仿宋_GB2312" w:cs="Times New Roman"/>
          <w:sz w:val="32"/>
          <w:szCs w:val="32"/>
        </w:rPr>
        <w:t>其中：财政</w:t>
      </w:r>
      <w:r>
        <w:rPr>
          <w:rFonts w:hint="eastAsia" w:ascii="Times New Roman" w:hAnsi="Times New Roman" w:eastAsia="仿宋_GB2312" w:cs="Times New Roman"/>
          <w:sz w:val="32"/>
          <w:szCs w:val="32"/>
        </w:rPr>
        <w:t>拨款</w:t>
      </w:r>
      <w:r>
        <w:rPr>
          <w:rFonts w:ascii="Times New Roman" w:hAnsi="Times New Roman" w:eastAsia="仿宋_GB2312" w:cs="Times New Roman"/>
          <w:sz w:val="32"/>
          <w:szCs w:val="32"/>
        </w:rPr>
        <w:t>资金</w:t>
      </w:r>
      <w:r>
        <w:rPr>
          <w:rFonts w:hint="eastAsia" w:ascii="Times New Roman" w:hAnsi="Times New Roman" w:eastAsia="仿宋_GB2312" w:cs="Times New Roman"/>
          <w:sz w:val="32"/>
          <w:szCs w:val="32"/>
          <w:lang w:val="en-US" w:eastAsia="zh-CN"/>
        </w:rPr>
        <w:t>8000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其他资金</w:t>
      </w:r>
      <w:r>
        <w:rPr>
          <w:rFonts w:hint="eastAsia" w:ascii="Times New Roman" w:hAnsi="Times New Roman" w:eastAsia="仿宋_GB2312" w:cs="Times New Roman"/>
          <w:sz w:val="32"/>
          <w:szCs w:val="32"/>
          <w:lang w:val="en-US" w:eastAsia="zh-CN"/>
        </w:rPr>
        <w:t>0</w:t>
      </w:r>
      <w:r>
        <w:rPr>
          <w:rFonts w:hint="eastAsia" w:ascii="Times New Roman" w:hAnsi="Times New Roman" w:eastAsia="仿宋_GB2312" w:cs="Times New Roman"/>
          <w:sz w:val="32"/>
          <w:szCs w:val="32"/>
        </w:rPr>
        <w:t>万元。</w:t>
      </w:r>
      <w:r>
        <w:rPr>
          <w:rFonts w:hint="eastAsia" w:ascii="Times New Roman" w:hAnsi="Times New Roman" w:eastAsia="仿宋_GB2312" w:cs="Times New Roman"/>
          <w:sz w:val="32"/>
          <w:szCs w:val="32"/>
          <w:lang w:val="en-US" w:eastAsia="zh-CN"/>
        </w:rPr>
        <w:t>项目资金到位8000万元，资金到位率100%。</w:t>
      </w:r>
      <w:r>
        <w:rPr>
          <w:rFonts w:hint="eastAsia" w:ascii="Times New Roman" w:hAnsi="Times New Roman" w:eastAsia="仿宋_GB2312" w:cs="Times New Roman"/>
          <w:sz w:val="32"/>
          <w:szCs w:val="32"/>
        </w:rPr>
        <w:t>项目预算资金来源于财政拨款收入</w:t>
      </w:r>
      <w:r>
        <w:rPr>
          <w:rFonts w:hint="eastAsia" w:ascii="Times New Roman" w:hAnsi="Times New Roman" w:eastAsia="仿宋_GB2312" w:cs="Times New Roman"/>
          <w:sz w:val="32"/>
          <w:szCs w:val="32"/>
          <w:lang w:eastAsia="zh-CN"/>
        </w:rPr>
        <w:t>。</w:t>
      </w:r>
    </w:p>
    <w:p w14:paraId="04AE5838">
      <w:pPr>
        <w:spacing w:line="560" w:lineRule="exact"/>
        <w:ind w:firstLine="640" w:firstLineChars="200"/>
        <w:rPr>
          <w:rFonts w:eastAsia="仿宋_GB2312"/>
          <w:sz w:val="32"/>
          <w:szCs w:val="32"/>
          <w:highlight w:val="none"/>
        </w:rPr>
      </w:pPr>
      <w:r>
        <w:rPr>
          <w:rFonts w:eastAsia="仿宋_GB2312"/>
          <w:sz w:val="32"/>
          <w:szCs w:val="32"/>
          <w:highlight w:val="none"/>
        </w:rPr>
        <w:t>（2）预算资金来源及使用情况</w:t>
      </w:r>
      <w:bookmarkStart w:id="0" w:name="page10"/>
      <w:bookmarkEnd w:id="0"/>
    </w:p>
    <w:p w14:paraId="51E61EFA">
      <w:pPr>
        <w:pStyle w:val="10"/>
        <w:spacing w:before="0" w:after="0" w:line="560" w:lineRule="exact"/>
        <w:ind w:firstLine="640" w:firstLineChars="200"/>
        <w:jc w:val="both"/>
        <w:rPr>
          <w:rFonts w:hint="default" w:ascii="Times New Roman" w:hAnsi="Times New Roman" w:eastAsia="仿宋_GB2312" w:cs="Times New Roman"/>
          <w:b w:val="0"/>
          <w:bCs w:val="0"/>
          <w:kern w:val="2"/>
          <w:highlight w:val="none"/>
        </w:rPr>
      </w:pPr>
      <w:r>
        <w:rPr>
          <w:rFonts w:hint="eastAsia" w:ascii="Times New Roman" w:hAnsi="Times New Roman" w:eastAsia="仿宋_GB2312"/>
          <w:b w:val="0"/>
          <w:bCs w:val="0"/>
          <w:kern w:val="2"/>
          <w:lang w:eastAsia="zh-CN"/>
        </w:rPr>
        <w:t>截至2023年</w:t>
      </w:r>
      <w:r>
        <w:rPr>
          <w:rFonts w:hint="eastAsia" w:ascii="Times New Roman" w:hAnsi="Times New Roman" w:eastAsia="仿宋_GB2312"/>
          <w:b w:val="0"/>
          <w:bCs w:val="0"/>
          <w:kern w:val="2"/>
        </w:rPr>
        <w:t>12月31日，该项目全年预算数</w:t>
      </w:r>
      <w:r>
        <w:rPr>
          <w:rFonts w:hint="eastAsia" w:ascii="Times New Roman" w:hAnsi="Times New Roman" w:eastAsia="仿宋_GB2312"/>
          <w:b w:val="0"/>
          <w:bCs w:val="0"/>
          <w:kern w:val="2"/>
          <w:lang w:val="en-US" w:eastAsia="zh-CN"/>
        </w:rPr>
        <w:t>8000</w:t>
      </w:r>
      <w:r>
        <w:rPr>
          <w:rFonts w:hint="eastAsia" w:ascii="Times New Roman" w:hAnsi="Times New Roman" w:eastAsia="仿宋_GB2312"/>
          <w:b w:val="0"/>
          <w:bCs w:val="0"/>
          <w:kern w:val="2"/>
        </w:rPr>
        <w:t>万元，全年执行数</w:t>
      </w:r>
      <w:r>
        <w:rPr>
          <w:rFonts w:hint="eastAsia" w:ascii="Times New Roman" w:hAnsi="Times New Roman" w:eastAsia="仿宋_GB2312"/>
          <w:b w:val="0"/>
          <w:bCs w:val="0"/>
          <w:kern w:val="2"/>
          <w:lang w:val="en-US" w:eastAsia="zh-CN"/>
        </w:rPr>
        <w:t>8000</w:t>
      </w:r>
      <w:r>
        <w:rPr>
          <w:rFonts w:hint="eastAsia" w:ascii="Times New Roman" w:hAnsi="Times New Roman" w:eastAsia="仿宋_GB2312"/>
          <w:b w:val="0"/>
          <w:bCs w:val="0"/>
          <w:kern w:val="2"/>
        </w:rPr>
        <w:t>万元，预算执行率</w:t>
      </w:r>
      <w:r>
        <w:rPr>
          <w:rFonts w:hint="eastAsia" w:ascii="Times New Roman" w:hAnsi="Times New Roman" w:eastAsia="仿宋_GB2312"/>
          <w:b w:val="0"/>
          <w:bCs w:val="0"/>
          <w:kern w:val="2"/>
          <w:lang w:val="en-US" w:eastAsia="zh-CN"/>
        </w:rPr>
        <w:t>10</w:t>
      </w:r>
      <w:r>
        <w:rPr>
          <w:rFonts w:hint="eastAsia" w:ascii="Times New Roman" w:hAnsi="Times New Roman" w:eastAsia="仿宋_GB2312" w:cs="Times New Roman"/>
          <w:b w:val="0"/>
          <w:bCs w:val="0"/>
          <w:kern w:val="2"/>
          <w:lang w:val="en-US" w:eastAsia="zh-CN"/>
        </w:rPr>
        <w:t>0</w:t>
      </w:r>
      <w:r>
        <w:rPr>
          <w:rFonts w:hint="eastAsia" w:ascii="Times New Roman" w:hAnsi="Times New Roman" w:eastAsia="仿宋_GB2312" w:cs="Times New Roman"/>
          <w:b w:val="0"/>
          <w:bCs w:val="0"/>
          <w:kern w:val="2"/>
        </w:rPr>
        <w:t>%</w:t>
      </w:r>
      <w:r>
        <w:rPr>
          <w:rFonts w:hint="default" w:ascii="Times New Roman" w:hAnsi="Times New Roman" w:eastAsia="仿宋_GB2312" w:cs="Times New Roman"/>
          <w:b w:val="0"/>
          <w:bCs w:val="0"/>
          <w:kern w:val="2"/>
        </w:rPr>
        <w:t>。</w:t>
      </w:r>
      <w:r>
        <w:rPr>
          <w:rFonts w:hint="default" w:ascii="Times New Roman" w:hAnsi="Times New Roman" w:eastAsia="仿宋_GB2312" w:cs="Times New Roman"/>
          <w:b w:val="0"/>
          <w:bCs w:val="0"/>
          <w:kern w:val="2"/>
          <w:lang w:val="en-US" w:eastAsia="zh-CN"/>
        </w:rPr>
        <w:t>主要</w:t>
      </w:r>
      <w:r>
        <w:rPr>
          <w:rFonts w:hint="default" w:ascii="Times New Roman" w:hAnsi="Times New Roman" w:eastAsia="仿宋_GB2312" w:cs="Times New Roman"/>
          <w:b w:val="0"/>
          <w:bCs w:val="0"/>
          <w:kern w:val="2"/>
          <w:highlight w:val="none"/>
        </w:rPr>
        <w:t>用于支付项目实施进程中的各项费用。</w:t>
      </w:r>
      <w:r>
        <w:rPr>
          <w:rFonts w:hint="default" w:ascii="Times New Roman" w:hAnsi="Times New Roman" w:eastAsia="仿宋_GB2312" w:cs="Times New Roman"/>
          <w:b w:val="0"/>
          <w:bCs w:val="0"/>
          <w:sz w:val="32"/>
          <w:szCs w:val="32"/>
          <w:highlight w:val="none"/>
        </w:rPr>
        <w:t>按照单位财务制度等相关规定，资金支出符合自治区卫生健康委所属单位2023年地方政府债券资金（第二批）</w:t>
      </w:r>
      <w:r>
        <w:rPr>
          <w:rFonts w:hint="default" w:ascii="Times New Roman" w:hAnsi="Times New Roman" w:eastAsia="仿宋_GB2312" w:cs="Times New Roman"/>
          <w:b w:val="0"/>
          <w:bCs w:val="0"/>
          <w:sz w:val="32"/>
          <w:szCs w:val="32"/>
          <w:highlight w:val="none"/>
          <w:lang w:eastAsia="zh-Hans"/>
        </w:rPr>
        <w:t>项目</w:t>
      </w:r>
      <w:r>
        <w:rPr>
          <w:rFonts w:hint="default" w:ascii="Times New Roman" w:hAnsi="Times New Roman" w:eastAsia="仿宋_GB2312" w:cs="Times New Roman"/>
          <w:b w:val="0"/>
          <w:bCs w:val="0"/>
          <w:sz w:val="32"/>
          <w:szCs w:val="32"/>
          <w:highlight w:val="none"/>
        </w:rPr>
        <w:t>资金费用范围，做到了专款专用。在项目资金拨付和使用过程中，为确保项目资金的安全性，提高项目资金使用效率，严格遵循自治区卫生健康委所属单位2023年地方政府债券资金（第二批）</w:t>
      </w:r>
      <w:r>
        <w:rPr>
          <w:rFonts w:hint="default" w:ascii="Times New Roman" w:hAnsi="Times New Roman" w:eastAsia="仿宋_GB2312" w:cs="Times New Roman"/>
          <w:b w:val="0"/>
          <w:bCs w:val="0"/>
          <w:sz w:val="32"/>
          <w:szCs w:val="32"/>
          <w:highlight w:val="none"/>
          <w:lang w:eastAsia="zh-Hans"/>
        </w:rPr>
        <w:t>项目</w:t>
      </w:r>
      <w:r>
        <w:rPr>
          <w:rFonts w:hint="default" w:ascii="Times New Roman" w:hAnsi="Times New Roman" w:eastAsia="仿宋_GB2312" w:cs="Times New Roman"/>
          <w:b w:val="0"/>
          <w:bCs w:val="0"/>
          <w:sz w:val="32"/>
          <w:szCs w:val="32"/>
          <w:highlight w:val="none"/>
        </w:rPr>
        <w:t>资金的拨付程序，认真审核项目实施各阶段的相关材料和手续，根据项目实施进展情况拨付资金。</w:t>
      </w:r>
    </w:p>
    <w:p w14:paraId="300D1F93">
      <w:pPr>
        <w:spacing w:line="560" w:lineRule="exact"/>
        <w:ind w:firstLine="643" w:firstLineChars="200"/>
        <w:rPr>
          <w:rFonts w:eastAsia="楷体_GB2312"/>
          <w:b/>
          <w:bCs/>
          <w:sz w:val="32"/>
          <w:szCs w:val="32"/>
          <w:highlight w:val="none"/>
        </w:rPr>
      </w:pPr>
      <w:r>
        <w:rPr>
          <w:rFonts w:eastAsia="楷体_GB2312"/>
          <w:b/>
          <w:bCs/>
          <w:sz w:val="32"/>
          <w:szCs w:val="32"/>
          <w:highlight w:val="none"/>
        </w:rPr>
        <w:t>（二）项目绩效目标</w:t>
      </w:r>
    </w:p>
    <w:p w14:paraId="00F312A9">
      <w:pPr>
        <w:spacing w:line="560" w:lineRule="exact"/>
        <w:ind w:firstLine="640" w:firstLineChars="200"/>
        <w:rPr>
          <w:rFonts w:eastAsia="仿宋_GB2312"/>
          <w:sz w:val="32"/>
          <w:szCs w:val="32"/>
          <w:highlight w:val="none"/>
        </w:rPr>
      </w:pPr>
      <w:r>
        <w:rPr>
          <w:rFonts w:eastAsia="仿宋_GB2312"/>
          <w:sz w:val="32"/>
          <w:szCs w:val="32"/>
          <w:highlight w:val="none"/>
        </w:rPr>
        <w:t>1、总体目标</w:t>
      </w:r>
    </w:p>
    <w:p w14:paraId="5AD4265E">
      <w:pPr>
        <w:spacing w:line="560" w:lineRule="exact"/>
        <w:ind w:firstLine="640" w:firstLineChars="200"/>
        <w:rPr>
          <w:rFonts w:hint="eastAsia"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根据《财政部发展改革委人民银行银监会关于贯彻国务院关于加强地方政府融资平台公司管理有关问题的通知相关事项的通知》</w:t>
      </w:r>
      <w:r>
        <w:rPr>
          <w:rFonts w:hint="eastAsia" w:eastAsia="仿宋_GB2312" w:cs="Times New Roman"/>
          <w:b w:val="0"/>
          <w:bCs w:val="0"/>
          <w:kern w:val="2"/>
          <w:sz w:val="32"/>
          <w:szCs w:val="32"/>
          <w:highlight w:val="none"/>
          <w:lang w:val="en-US" w:eastAsia="zh-CN" w:bidi="ar-SA"/>
        </w:rPr>
        <w:t>（</w:t>
      </w:r>
      <w:r>
        <w:rPr>
          <w:rFonts w:hint="eastAsia" w:ascii="Times New Roman" w:hAnsi="Times New Roman" w:eastAsia="仿宋_GB2312" w:cs="Times New Roman"/>
          <w:b w:val="0"/>
          <w:bCs w:val="0"/>
          <w:kern w:val="2"/>
          <w:sz w:val="32"/>
          <w:szCs w:val="32"/>
          <w:highlight w:val="none"/>
          <w:lang w:val="en-US" w:eastAsia="zh-CN" w:bidi="ar-SA"/>
        </w:rPr>
        <w:t>财预</w:t>
      </w:r>
      <w:r>
        <w:rPr>
          <w:rFonts w:hint="eastAsia" w:ascii="方正仿宋_GBK" w:hAnsi="方正仿宋_GBK" w:eastAsia="方正仿宋_GBK" w:cs="方正仿宋_GBK"/>
          <w:b w:val="0"/>
          <w:bCs w:val="0"/>
          <w:kern w:val="2"/>
          <w:sz w:val="32"/>
          <w:szCs w:val="32"/>
          <w:highlight w:val="none"/>
          <w:lang w:val="en-US" w:eastAsia="zh-CN" w:bidi="ar-SA"/>
        </w:rPr>
        <w:t>〔</w:t>
      </w:r>
      <w:r>
        <w:rPr>
          <w:rFonts w:hint="eastAsia" w:ascii="Times New Roman" w:hAnsi="Times New Roman" w:eastAsia="仿宋_GB2312" w:cs="Times New Roman"/>
          <w:b w:val="0"/>
          <w:bCs w:val="0"/>
          <w:kern w:val="2"/>
          <w:sz w:val="32"/>
          <w:szCs w:val="32"/>
          <w:highlight w:val="none"/>
          <w:lang w:val="en-US" w:eastAsia="zh-CN" w:bidi="ar-SA"/>
        </w:rPr>
        <w:t>2010〕412 号</w:t>
      </w:r>
      <w:r>
        <w:rPr>
          <w:rFonts w:hint="eastAsia" w:eastAsia="仿宋_GB2312" w:cs="Times New Roman"/>
          <w:b w:val="0"/>
          <w:bCs w:val="0"/>
          <w:kern w:val="2"/>
          <w:sz w:val="32"/>
          <w:szCs w:val="32"/>
          <w:highlight w:val="none"/>
          <w:lang w:val="en-US" w:eastAsia="zh-CN" w:bidi="ar-SA"/>
        </w:rPr>
        <w:t>）</w:t>
      </w:r>
      <w:r>
        <w:rPr>
          <w:rFonts w:hint="eastAsia" w:ascii="Times New Roman" w:hAnsi="Times New Roman" w:eastAsia="仿宋_GB2312" w:cs="Times New Roman"/>
          <w:b w:val="0"/>
          <w:bCs w:val="0"/>
          <w:kern w:val="2"/>
          <w:sz w:val="32"/>
          <w:szCs w:val="32"/>
          <w:highlight w:val="none"/>
          <w:lang w:val="en-US" w:eastAsia="zh-CN" w:bidi="ar-SA"/>
        </w:rPr>
        <w:t>规定，“公益性项目”是指为社会公共利益服务、不以盈利为目的，且不能或不宜通过市场化方式运作的政府投资项目，如市政道路、公共交通等基础设施项目，以及公共卫生、基础科研、义务教育、保障性安居工程、供水、污水处理等基本建设项目。本项目具有很强的公益性，项目的建设对广大病患者有重要影响，能方便其就医和康复治疗。全面提高预防和救治能力，促进医防融合发展，构建整合型区县域卫生健康服务体系。</w:t>
      </w:r>
    </w:p>
    <w:p w14:paraId="56B92EA6">
      <w:pPr>
        <w:spacing w:line="560" w:lineRule="exact"/>
        <w:ind w:firstLine="640" w:firstLineChars="200"/>
        <w:rPr>
          <w:highlight w:val="none"/>
        </w:rPr>
      </w:pPr>
      <w:r>
        <w:rPr>
          <w:rFonts w:eastAsia="仿宋_GB2312"/>
          <w:sz w:val="32"/>
          <w:szCs w:val="32"/>
          <w:highlight w:val="none"/>
        </w:rPr>
        <w:t>2、阶段性目标</w:t>
      </w:r>
    </w:p>
    <w:p w14:paraId="3BD5FC72">
      <w:pPr>
        <w:spacing w:line="560" w:lineRule="exact"/>
        <w:ind w:firstLine="640" w:firstLineChars="200"/>
        <w:rPr>
          <w:rFonts w:eastAsia="仿宋_GB2312"/>
          <w:sz w:val="32"/>
          <w:szCs w:val="32"/>
          <w:highlight w:val="none"/>
        </w:rPr>
      </w:pPr>
      <w:r>
        <w:rPr>
          <w:rFonts w:eastAsia="仿宋_GB2312"/>
          <w:sz w:val="32"/>
          <w:szCs w:val="32"/>
          <w:highlight w:val="none"/>
        </w:rPr>
        <w:t>（1）前期准备：通过制定项目实施方案，经项目负责人审核通过后，有序开展后续工作。</w:t>
      </w:r>
    </w:p>
    <w:p w14:paraId="6B1A06FC">
      <w:pPr>
        <w:spacing w:line="560" w:lineRule="exact"/>
        <w:ind w:firstLine="640" w:firstLineChars="200"/>
        <w:rPr>
          <w:rFonts w:eastAsia="仿宋_GB2312"/>
          <w:sz w:val="32"/>
          <w:szCs w:val="32"/>
          <w:highlight w:val="none"/>
        </w:rPr>
      </w:pPr>
      <w:r>
        <w:rPr>
          <w:rFonts w:eastAsia="仿宋_GB2312"/>
          <w:sz w:val="32"/>
          <w:szCs w:val="32"/>
          <w:highlight w:val="none"/>
        </w:rPr>
        <w:t>（2）组织实施：资金一到位，立即根据项目要求实施项目。项目责任人按照项目实施方案要求逐一进行项目部署安排，提高项目质量及</w:t>
      </w:r>
      <w:r>
        <w:rPr>
          <w:rFonts w:hint="eastAsia" w:eastAsia="仿宋_GB2312"/>
          <w:sz w:val="32"/>
          <w:szCs w:val="32"/>
          <w:highlight w:val="none"/>
          <w:lang w:eastAsia="zh-CN"/>
        </w:rPr>
        <w:t>效率</w:t>
      </w:r>
      <w:r>
        <w:rPr>
          <w:rFonts w:eastAsia="仿宋_GB2312"/>
          <w:sz w:val="32"/>
          <w:szCs w:val="32"/>
          <w:highlight w:val="none"/>
        </w:rPr>
        <w:t>。</w:t>
      </w:r>
    </w:p>
    <w:p w14:paraId="1BE3FB3D">
      <w:pPr>
        <w:spacing w:line="560" w:lineRule="exact"/>
        <w:ind w:firstLine="640" w:firstLineChars="200"/>
        <w:rPr>
          <w:rFonts w:eastAsia="黑体"/>
          <w:sz w:val="32"/>
          <w:szCs w:val="32"/>
          <w:highlight w:val="none"/>
        </w:rPr>
      </w:pPr>
      <w:r>
        <w:rPr>
          <w:rFonts w:eastAsia="黑体"/>
          <w:sz w:val="32"/>
          <w:szCs w:val="32"/>
          <w:highlight w:val="none"/>
        </w:rPr>
        <w:t>二、绩效评价工作开展情况</w:t>
      </w:r>
    </w:p>
    <w:p w14:paraId="74605D9D">
      <w:pPr>
        <w:spacing w:line="560" w:lineRule="exact"/>
        <w:ind w:firstLine="643" w:firstLineChars="200"/>
        <w:rPr>
          <w:rFonts w:eastAsia="楷体_GB2312"/>
          <w:b/>
          <w:bCs/>
          <w:sz w:val="32"/>
          <w:szCs w:val="32"/>
          <w:highlight w:val="none"/>
        </w:rPr>
      </w:pPr>
      <w:r>
        <w:rPr>
          <w:rFonts w:eastAsia="楷体_GB2312"/>
          <w:b/>
          <w:bCs/>
          <w:sz w:val="32"/>
          <w:szCs w:val="32"/>
          <w:highlight w:val="none"/>
        </w:rPr>
        <w:t>（一）绩效评价目的、对象和范围</w:t>
      </w:r>
    </w:p>
    <w:p w14:paraId="5FFCACA0">
      <w:pPr>
        <w:pStyle w:val="10"/>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1、绩效评价的目的</w:t>
      </w:r>
    </w:p>
    <w:p w14:paraId="2BD9C786">
      <w:pPr>
        <w:spacing w:line="560" w:lineRule="exact"/>
        <w:ind w:firstLine="640" w:firstLineChars="200"/>
        <w:rPr>
          <w:rFonts w:eastAsia="仿宋_GB2312"/>
          <w:sz w:val="32"/>
          <w:szCs w:val="32"/>
          <w:highlight w:val="none"/>
        </w:rPr>
      </w:pPr>
      <w:r>
        <w:rPr>
          <w:rFonts w:eastAsia="仿宋_GB2312"/>
          <w:sz w:val="32"/>
          <w:szCs w:val="32"/>
          <w:highlight w:val="none"/>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57F07EAD">
      <w:pPr>
        <w:numPr>
          <w:ilvl w:val="0"/>
          <w:numId w:val="2"/>
        </w:numPr>
        <w:spacing w:line="560" w:lineRule="exact"/>
        <w:ind w:firstLine="640" w:firstLineChars="200"/>
        <w:rPr>
          <w:rFonts w:eastAsia="仿宋_GB2312"/>
          <w:sz w:val="32"/>
          <w:szCs w:val="32"/>
          <w:highlight w:val="none"/>
        </w:rPr>
      </w:pPr>
      <w:r>
        <w:rPr>
          <w:rFonts w:eastAsia="仿宋_GB2312"/>
          <w:sz w:val="32"/>
          <w:szCs w:val="32"/>
          <w:highlight w:val="none"/>
        </w:rPr>
        <w:t>项目在实施前向项目负责人提供财政支出绩效方面的资金管理信息，促进项目支出严格按照资金管理规定进行。</w:t>
      </w:r>
    </w:p>
    <w:p w14:paraId="26767DDC">
      <w:pPr>
        <w:spacing w:line="560" w:lineRule="exact"/>
        <w:ind w:firstLine="640" w:firstLineChars="200"/>
        <w:rPr>
          <w:rFonts w:eastAsia="仿宋_GB2312"/>
          <w:sz w:val="32"/>
          <w:szCs w:val="32"/>
          <w:highlight w:val="none"/>
        </w:rPr>
      </w:pPr>
      <w:r>
        <w:rPr>
          <w:rFonts w:eastAsia="仿宋_GB2312"/>
          <w:sz w:val="32"/>
          <w:szCs w:val="32"/>
          <w:highlight w:val="none"/>
        </w:rPr>
        <w:t>（2）项目绩效管</w:t>
      </w:r>
      <w:r>
        <w:rPr>
          <w:rFonts w:hint="eastAsia" w:eastAsia="仿宋_GB2312"/>
          <w:sz w:val="32"/>
          <w:szCs w:val="32"/>
          <w:highlight w:val="none"/>
          <w:lang w:eastAsia="zh-CN"/>
        </w:rPr>
        <w:t>理为</w:t>
      </w:r>
      <w:r>
        <w:rPr>
          <w:rFonts w:eastAsia="仿宋_GB2312"/>
          <w:sz w:val="32"/>
          <w:szCs w:val="32"/>
          <w:highlight w:val="none"/>
        </w:rPr>
        <w:t>财政支出运行提供及时、有效的信息。</w:t>
      </w:r>
    </w:p>
    <w:p w14:paraId="6665D871">
      <w:pPr>
        <w:pStyle w:val="18"/>
        <w:spacing w:line="560" w:lineRule="exact"/>
        <w:ind w:firstLine="640" w:firstLineChars="200"/>
        <w:rPr>
          <w:rFonts w:eastAsia="仿宋_GB2312"/>
          <w:kern w:val="2"/>
          <w:sz w:val="32"/>
          <w:szCs w:val="32"/>
          <w:highlight w:val="none"/>
        </w:rPr>
      </w:pPr>
      <w:r>
        <w:rPr>
          <w:rFonts w:eastAsia="仿宋_GB2312"/>
          <w:sz w:val="32"/>
          <w:szCs w:val="32"/>
          <w:highlight w:val="none"/>
        </w:rPr>
        <w:t>综合来看，通过开展有效的财政支出绩效评价管理，</w:t>
      </w:r>
      <w:r>
        <w:rPr>
          <w:rFonts w:hint="eastAsia" w:eastAsia="仿宋_GB2312"/>
          <w:kern w:val="2"/>
          <w:sz w:val="32"/>
          <w:szCs w:val="32"/>
          <w:highlight w:val="none"/>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w:t>
      </w:r>
      <w:r>
        <w:rPr>
          <w:rFonts w:eastAsia="仿宋_GB2312"/>
          <w:kern w:val="2"/>
          <w:sz w:val="32"/>
          <w:szCs w:val="32"/>
          <w:highlight w:val="none"/>
        </w:rPr>
        <w:t>改进预算管理、控制节约成本，</w:t>
      </w:r>
      <w:r>
        <w:rPr>
          <w:rFonts w:hint="eastAsia" w:eastAsia="仿宋_GB2312"/>
          <w:kern w:val="2"/>
          <w:sz w:val="32"/>
          <w:szCs w:val="32"/>
          <w:highlight w:val="none"/>
        </w:rPr>
        <w:t>优化资源配置、</w:t>
      </w:r>
      <w:r>
        <w:rPr>
          <w:rFonts w:eastAsia="仿宋_GB2312"/>
          <w:kern w:val="2"/>
          <w:sz w:val="32"/>
          <w:szCs w:val="32"/>
          <w:highlight w:val="none"/>
        </w:rPr>
        <w:t>提高预算资金使用效益的目的。</w:t>
      </w:r>
    </w:p>
    <w:p w14:paraId="5671A654">
      <w:pPr>
        <w:pStyle w:val="10"/>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2、绩效评价的对象</w:t>
      </w:r>
    </w:p>
    <w:p w14:paraId="6C8273F4">
      <w:pPr>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自治区卫生健康委所属单位2023年地方政府债券资金（第二批）项目所包含的全部项目内容。</w:t>
      </w:r>
    </w:p>
    <w:p w14:paraId="79B44A46">
      <w:pPr>
        <w:pStyle w:val="10"/>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3、绩效评价的范围</w:t>
      </w:r>
    </w:p>
    <w:p w14:paraId="6446F9C6">
      <w:pPr>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评价从项目决策（包括项目立项、绩效目标、资金投入）、项目过程（包括资金管理、组织实施）、项目产出（包括项目产出数量、产出质量、产出时效和产出成本）、项目效益（实施效益、满意度）四个维度对</w:t>
      </w:r>
      <w:r>
        <w:rPr>
          <w:rFonts w:hint="eastAsia" w:eastAsia="仿宋_GB2312"/>
          <w:kern w:val="0"/>
          <w:sz w:val="32"/>
          <w:szCs w:val="32"/>
          <w:highlight w:val="none"/>
        </w:rPr>
        <w:t>自治区卫生健康委所属单位2023年地方政府债券资金（第二批）</w:t>
      </w:r>
      <w:r>
        <w:rPr>
          <w:rFonts w:hint="eastAsia" w:ascii="仿宋_GB2312" w:hAnsi="仿宋_GB2312" w:eastAsia="仿宋_GB2312" w:cs="仿宋_GB2312"/>
          <w:sz w:val="32"/>
          <w:szCs w:val="32"/>
          <w:highlight w:val="none"/>
        </w:rPr>
        <w:t>项目进行评价，评价核心为项目资金的支出完成情况和效果。</w:t>
      </w:r>
    </w:p>
    <w:p w14:paraId="04ACC129">
      <w:pPr>
        <w:spacing w:line="560" w:lineRule="exact"/>
        <w:ind w:firstLine="643" w:firstLineChars="200"/>
        <w:rPr>
          <w:highlight w:val="none"/>
        </w:rPr>
      </w:pPr>
      <w:r>
        <w:rPr>
          <w:rFonts w:eastAsia="楷体_GB2312"/>
          <w:b/>
          <w:bCs/>
          <w:sz w:val="32"/>
          <w:szCs w:val="32"/>
          <w:highlight w:val="none"/>
        </w:rPr>
        <w:t>（二）绩效评价原则、评价指标体系（详情见表1）、评价方法、评价标准。</w:t>
      </w:r>
    </w:p>
    <w:p w14:paraId="47CE03CF">
      <w:pPr>
        <w:pStyle w:val="10"/>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1、绩效评价原则</w:t>
      </w:r>
    </w:p>
    <w:p w14:paraId="275A2638">
      <w:pPr>
        <w:spacing w:line="560" w:lineRule="exact"/>
        <w:ind w:firstLine="640" w:firstLineChars="200"/>
        <w:rPr>
          <w:rFonts w:eastAsia="仿宋_GB2312"/>
          <w:color w:val="000000"/>
          <w:sz w:val="32"/>
          <w:szCs w:val="32"/>
          <w:highlight w:val="none"/>
        </w:rPr>
      </w:pPr>
      <w:r>
        <w:rPr>
          <w:rFonts w:eastAsia="仿宋_GB2312"/>
          <w:color w:val="000000"/>
          <w:sz w:val="32"/>
          <w:szCs w:val="32"/>
          <w:highlight w:val="none"/>
        </w:rPr>
        <w:t>本次项目绩效评价遵循以下基本原则：</w:t>
      </w:r>
    </w:p>
    <w:p w14:paraId="1F138F43">
      <w:pPr>
        <w:pStyle w:val="1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（1）科学公正。绩效评价应当运用科学合理的方法，按照规范的程序，对项目绩效进行客观、公正</w:t>
      </w:r>
      <w:r>
        <w:rPr>
          <w:rFonts w:hint="eastAsia" w:ascii="Times New Roman" w:hAnsi="Times New Roman" w:eastAsia="仿宋_GB2312"/>
          <w:b w:val="0"/>
          <w:bCs w:val="0"/>
          <w:highlight w:val="none"/>
          <w:lang w:eastAsia="zh-CN"/>
        </w:rPr>
        <w:t>的</w:t>
      </w:r>
      <w:r>
        <w:rPr>
          <w:rFonts w:ascii="Times New Roman" w:hAnsi="Times New Roman" w:eastAsia="仿宋_GB2312"/>
          <w:b w:val="0"/>
          <w:bCs w:val="0"/>
          <w:highlight w:val="none"/>
        </w:rPr>
        <w:t>反映。</w:t>
      </w:r>
    </w:p>
    <w:p w14:paraId="76F66AFB">
      <w:pPr>
        <w:pStyle w:val="1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（2）统筹兼顾。单位自评、部门评价和财政评价应职责明确，各有侧重，相互衔接。单位自评应由项目单位自主实施，即“谁支出、谁自评”。部门评价和财政评价应在单位自评的基础上开展。</w:t>
      </w:r>
    </w:p>
    <w:p w14:paraId="248CFF6F">
      <w:pPr>
        <w:pStyle w:val="1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（3）激励约束。绩效评价结果应与预算安排、政策调整、改进管理实质性挂钩，体现奖优罚劣和激励相容导向，有效要安排、低效要压减、无效要问责。</w:t>
      </w:r>
    </w:p>
    <w:p w14:paraId="7F7C18CC">
      <w:pPr>
        <w:pStyle w:val="1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（4）公开透明。绩效评价结果应依法依规公开，并自觉接受社会监督。</w:t>
      </w:r>
    </w:p>
    <w:p w14:paraId="72B45778">
      <w:pPr>
        <w:pStyle w:val="10"/>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2、评价指标体系</w:t>
      </w:r>
    </w:p>
    <w:p w14:paraId="1F5B1C99">
      <w:pPr>
        <w:spacing w:line="560" w:lineRule="exact"/>
        <w:ind w:firstLine="708" w:firstLineChars="200"/>
        <w:rPr>
          <w:color w:val="000000"/>
          <w:spacing w:val="17"/>
          <w:sz w:val="32"/>
          <w:szCs w:val="32"/>
          <w:highlight w:val="none"/>
        </w:rPr>
      </w:pPr>
      <w:r>
        <w:rPr>
          <w:rFonts w:eastAsia="仿宋_GB2312"/>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2E1E29FF">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（1）确定评价指标</w:t>
      </w:r>
    </w:p>
    <w:p w14:paraId="0653AD1A">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0A12174C">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（2）确定权重</w:t>
      </w:r>
    </w:p>
    <w:p w14:paraId="4DBD8325">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672247B6">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（3）确定指标标准值</w:t>
      </w:r>
    </w:p>
    <w:p w14:paraId="545EA041">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6DA51329">
      <w:pPr>
        <w:pStyle w:val="10"/>
        <w:spacing w:before="0" w:after="0" w:line="560" w:lineRule="exact"/>
        <w:ind w:firstLine="708" w:firstLineChars="200"/>
        <w:jc w:val="both"/>
        <w:rPr>
          <w:rFonts w:ascii="Times New Roman" w:hAnsi="Times New Roman" w:eastAsia="仿宋_GB2312"/>
          <w:b w:val="0"/>
          <w:bCs w:val="0"/>
          <w:color w:val="000000"/>
          <w:spacing w:val="17"/>
          <w:kern w:val="2"/>
          <w:highlight w:val="none"/>
        </w:rPr>
      </w:pPr>
      <w:r>
        <w:rPr>
          <w:rFonts w:ascii="Times New Roman" w:hAnsi="Times New Roman" w:eastAsia="仿宋_GB2312"/>
          <w:b w:val="0"/>
          <w:bCs w:val="0"/>
          <w:color w:val="000000"/>
          <w:spacing w:val="17"/>
          <w:kern w:val="2"/>
          <w:highlight w:val="none"/>
        </w:rPr>
        <w:t>绩效评价总分值100分，根据综合评分结果，评价计分90分</w:t>
      </w:r>
      <w:r>
        <w:rPr>
          <w:rFonts w:hint="eastAsia" w:ascii="Times New Roman" w:hAnsi="Times New Roman" w:eastAsia="仿宋_GB2312"/>
          <w:b w:val="0"/>
          <w:bCs w:val="0"/>
          <w:color w:val="000000"/>
          <w:spacing w:val="17"/>
          <w:kern w:val="2"/>
          <w:highlight w:val="none"/>
          <w:lang w:eastAsia="zh-CN"/>
        </w:rPr>
        <w:t>—</w:t>
      </w:r>
      <w:r>
        <w:rPr>
          <w:rFonts w:ascii="Times New Roman" w:hAnsi="Times New Roman" w:eastAsia="仿宋_GB2312"/>
          <w:b w:val="0"/>
          <w:bCs w:val="0"/>
          <w:color w:val="000000"/>
          <w:spacing w:val="17"/>
          <w:kern w:val="2"/>
          <w:highlight w:val="none"/>
        </w:rPr>
        <w:t>100分（含90分）对应的评分结果级别为优，80</w:t>
      </w:r>
      <w:r>
        <w:rPr>
          <w:rFonts w:hint="eastAsia" w:ascii="Times New Roman" w:hAnsi="Times New Roman" w:eastAsia="仿宋_GB2312"/>
          <w:b w:val="0"/>
          <w:bCs w:val="0"/>
          <w:color w:val="000000"/>
          <w:spacing w:val="17"/>
          <w:kern w:val="2"/>
          <w:highlight w:val="none"/>
          <w:lang w:eastAsia="zh-CN"/>
        </w:rPr>
        <w:t>—</w:t>
      </w:r>
      <w:r>
        <w:rPr>
          <w:rFonts w:ascii="Times New Roman" w:hAnsi="Times New Roman" w:eastAsia="仿宋_GB2312"/>
          <w:b w:val="0"/>
          <w:bCs w:val="0"/>
          <w:color w:val="000000"/>
          <w:spacing w:val="17"/>
          <w:kern w:val="2"/>
          <w:highlight w:val="none"/>
        </w:rPr>
        <w:t>90分（含80分）对应的评分结果级别为良，60</w:t>
      </w:r>
      <w:r>
        <w:rPr>
          <w:rFonts w:hint="eastAsia" w:ascii="Times New Roman" w:hAnsi="Times New Roman" w:eastAsia="仿宋_GB2312"/>
          <w:b w:val="0"/>
          <w:bCs w:val="0"/>
          <w:color w:val="000000"/>
          <w:spacing w:val="17"/>
          <w:kern w:val="2"/>
          <w:highlight w:val="none"/>
          <w:lang w:eastAsia="zh-CN"/>
        </w:rPr>
        <w:t>—</w:t>
      </w:r>
      <w:r>
        <w:rPr>
          <w:rFonts w:ascii="Times New Roman" w:hAnsi="Times New Roman" w:eastAsia="仿宋_GB2312"/>
          <w:b w:val="0"/>
          <w:bCs w:val="0"/>
          <w:color w:val="000000"/>
          <w:spacing w:val="17"/>
          <w:kern w:val="2"/>
          <w:highlight w:val="none"/>
        </w:rPr>
        <w:t>80分（含60分）对应的评分结果级别为中，60分以下对应的评分结果级别为差。</w:t>
      </w:r>
    </w:p>
    <w:p w14:paraId="4B2BEAE7">
      <w:pPr>
        <w:pStyle w:val="10"/>
        <w:widowControl w:val="0"/>
        <w:spacing w:before="0" w:after="0" w:line="560" w:lineRule="exact"/>
        <w:ind w:firstLine="708" w:firstLineChars="200"/>
        <w:jc w:val="both"/>
        <w:outlineLvl w:val="9"/>
        <w:rPr>
          <w:rFonts w:hint="eastAsia" w:ascii="Times New Roman" w:hAnsi="Times New Roman" w:eastAsia="仿宋_GB2312"/>
          <w:b w:val="0"/>
          <w:bCs w:val="0"/>
          <w:color w:val="000000"/>
          <w:spacing w:val="17"/>
          <w:highlight w:val="none"/>
          <w:lang w:eastAsia="zh-CN"/>
        </w:rPr>
      </w:pPr>
      <w:r>
        <w:rPr>
          <w:rFonts w:ascii="Times New Roman" w:hAnsi="Times New Roman" w:eastAsia="仿宋_GB2312"/>
          <w:b w:val="0"/>
          <w:bCs w:val="0"/>
          <w:color w:val="000000"/>
          <w:spacing w:val="17"/>
          <w:highlight w:val="none"/>
        </w:rPr>
        <w:t>具体评价指标体系详情见附件1</w:t>
      </w:r>
      <w:r>
        <w:rPr>
          <w:rFonts w:hint="eastAsia" w:ascii="Times New Roman" w:hAnsi="Times New Roman" w:eastAsia="仿宋_GB2312"/>
          <w:b w:val="0"/>
          <w:bCs w:val="0"/>
          <w:color w:val="000000"/>
          <w:spacing w:val="17"/>
          <w:highlight w:val="none"/>
          <w:lang w:eastAsia="zh-CN"/>
        </w:rPr>
        <w:t>。</w:t>
      </w:r>
    </w:p>
    <w:p w14:paraId="2D17226D">
      <w:pPr>
        <w:pStyle w:val="10"/>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3、绩效评价方法</w:t>
      </w:r>
    </w:p>
    <w:p w14:paraId="21E06B92">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14:paraId="695B5FD4">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3086B292">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（1）比较法</w:t>
      </w:r>
    </w:p>
    <w:p w14:paraId="5CCDF7C1">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通过对绩效目标与实施效果、历史与当期情况，综合分析绩效目标实现程度。对</w:t>
      </w:r>
      <w:r>
        <w:rPr>
          <w:rFonts w:eastAsia="仿宋_GB2312"/>
          <w:sz w:val="32"/>
          <w:szCs w:val="32"/>
          <w:highlight w:val="none"/>
        </w:rPr>
        <w:t>项目</w:t>
      </w:r>
      <w:r>
        <w:rPr>
          <w:rFonts w:eastAsia="仿宋_GB2312"/>
          <w:color w:val="000000"/>
          <w:spacing w:val="17"/>
          <w:sz w:val="32"/>
          <w:szCs w:val="32"/>
          <w:highlight w:val="none"/>
        </w:rPr>
        <w:t>最终验收情况与年度绩效目标对比、预算资金执行情况等相关因素进行比较。</w:t>
      </w:r>
    </w:p>
    <w:p w14:paraId="1C6FE147">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（2）因素分析法</w:t>
      </w:r>
    </w:p>
    <w:p w14:paraId="33D9D6AA">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通过综合分析影响绩效目标实现、实施效果的内外因素，评价绩效目标实现程度。通过对</w:t>
      </w:r>
      <w:r>
        <w:rPr>
          <w:rFonts w:eastAsia="仿宋_GB2312"/>
          <w:sz w:val="32"/>
          <w:szCs w:val="32"/>
          <w:highlight w:val="none"/>
        </w:rPr>
        <w:t>项目</w:t>
      </w:r>
      <w:r>
        <w:rPr>
          <w:rFonts w:eastAsia="仿宋_GB2312"/>
          <w:color w:val="000000"/>
          <w:spacing w:val="17"/>
          <w:sz w:val="32"/>
          <w:szCs w:val="32"/>
          <w:highlight w:val="none"/>
        </w:rPr>
        <w:t>的开展情况、项目产出数量、成本控制、资金拨付文件及自评报告等相关资料的收集和审核，综合分析各因素对绩效目标实现的影响。</w:t>
      </w:r>
    </w:p>
    <w:p w14:paraId="135659A3">
      <w:pPr>
        <w:pStyle w:val="10"/>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4、评价标准</w:t>
      </w:r>
    </w:p>
    <w:p w14:paraId="7A41513A">
      <w:pPr>
        <w:spacing w:line="560" w:lineRule="exact"/>
        <w:ind w:firstLine="708" w:firstLineChars="200"/>
        <w:rPr>
          <w:rFonts w:ascii="Times New Roman" w:hAnsi="Times New Roman" w:eastAsia="仿宋_GB2312" w:cs="Times New Roman"/>
          <w:color w:val="000000"/>
          <w:spacing w:val="17"/>
          <w:sz w:val="32"/>
          <w:szCs w:val="32"/>
          <w:highlight w:val="none"/>
        </w:rPr>
      </w:pPr>
      <w:r>
        <w:rPr>
          <w:rFonts w:hint="eastAsia" w:ascii="Times New Roman" w:hAnsi="Times New Roman" w:eastAsia="仿宋_GB2312" w:cs="Times New Roman"/>
          <w:color w:val="000000"/>
          <w:spacing w:val="17"/>
          <w:sz w:val="32"/>
          <w:szCs w:val="32"/>
          <w:highlight w:val="none"/>
        </w:rPr>
        <w:t>绩效评价标准通常包括计划标准、行业标准、历史标准等，用于对绩效指标完成情况进行比较、分析、评价。本次评价主要采用了计划标准和行业标准。</w:t>
      </w:r>
    </w:p>
    <w:p w14:paraId="38C81C7D">
      <w:pPr>
        <w:spacing w:line="560" w:lineRule="exact"/>
        <w:ind w:firstLine="711" w:firstLineChars="200"/>
        <w:rPr>
          <w:rFonts w:ascii="Times New Roman" w:hAnsi="Times New Roman" w:eastAsia="仿宋_GB2312" w:cs="Times New Roman"/>
          <w:color w:val="000000"/>
          <w:spacing w:val="17"/>
          <w:sz w:val="32"/>
          <w:szCs w:val="32"/>
          <w:highlight w:val="none"/>
        </w:rPr>
      </w:pPr>
      <w:bookmarkStart w:id="1" w:name="_Toc17882"/>
      <w:bookmarkStart w:id="2" w:name="_Toc31464"/>
      <w:r>
        <w:rPr>
          <w:rFonts w:hint="eastAsia" w:ascii="Times New Roman" w:hAnsi="Times New Roman" w:eastAsia="仿宋_GB2312" w:cs="Times New Roman"/>
          <w:b/>
          <w:bCs/>
          <w:color w:val="000000"/>
          <w:spacing w:val="17"/>
          <w:sz w:val="32"/>
          <w:szCs w:val="32"/>
          <w:highlight w:val="none"/>
        </w:rPr>
        <w:t>计划标准：</w:t>
      </w:r>
      <w:r>
        <w:rPr>
          <w:rFonts w:hint="eastAsia" w:ascii="Times New Roman" w:hAnsi="Times New Roman" w:eastAsia="仿宋_GB2312" w:cs="Times New Roman"/>
          <w:color w:val="000000"/>
          <w:spacing w:val="17"/>
          <w:sz w:val="32"/>
          <w:szCs w:val="32"/>
          <w:highlight w:val="none"/>
        </w:rPr>
        <w:t>指以预先制定的目标、计划、预算、定额等作为评价标准。</w:t>
      </w:r>
      <w:bookmarkEnd w:id="1"/>
      <w:bookmarkEnd w:id="2"/>
    </w:p>
    <w:p w14:paraId="55DD408E">
      <w:pPr>
        <w:spacing w:line="560" w:lineRule="exact"/>
        <w:ind w:firstLine="711" w:firstLineChars="200"/>
        <w:rPr>
          <w:rFonts w:ascii="Times New Roman" w:hAnsi="Times New Roman" w:eastAsia="仿宋_GB2312" w:cs="Times New Roman"/>
          <w:color w:val="000000"/>
          <w:spacing w:val="17"/>
          <w:sz w:val="32"/>
          <w:szCs w:val="32"/>
          <w:highlight w:val="none"/>
        </w:rPr>
      </w:pPr>
      <w:bookmarkStart w:id="3" w:name="_Toc5633"/>
      <w:bookmarkStart w:id="4" w:name="_Toc2318"/>
      <w:r>
        <w:rPr>
          <w:rFonts w:hint="eastAsia" w:ascii="Times New Roman" w:hAnsi="Times New Roman" w:eastAsia="仿宋_GB2312" w:cs="Times New Roman"/>
          <w:b/>
          <w:bCs/>
          <w:color w:val="000000"/>
          <w:spacing w:val="17"/>
          <w:sz w:val="32"/>
          <w:szCs w:val="32"/>
          <w:highlight w:val="none"/>
        </w:rPr>
        <w:t>行业标准：</w:t>
      </w:r>
      <w:r>
        <w:rPr>
          <w:rFonts w:hint="eastAsia" w:ascii="Times New Roman" w:hAnsi="Times New Roman" w:eastAsia="仿宋_GB2312" w:cs="Times New Roman"/>
          <w:color w:val="000000"/>
          <w:spacing w:val="17"/>
          <w:sz w:val="32"/>
          <w:szCs w:val="32"/>
          <w:highlight w:val="none"/>
        </w:rPr>
        <w:t>指参照国家公布的行业指标数据制定的评价标准。</w:t>
      </w:r>
      <w:bookmarkEnd w:id="3"/>
      <w:bookmarkEnd w:id="4"/>
    </w:p>
    <w:p w14:paraId="783580BD">
      <w:pPr>
        <w:pStyle w:val="10"/>
        <w:numPr>
          <w:ilvl w:val="0"/>
          <w:numId w:val="3"/>
        </w:numPr>
        <w:spacing w:before="0" w:after="0" w:line="560" w:lineRule="exact"/>
        <w:ind w:firstLine="711" w:firstLineChars="200"/>
        <w:jc w:val="both"/>
        <w:rPr>
          <w:rFonts w:ascii="楷体" w:hAnsi="楷体" w:eastAsia="楷体" w:cs="楷体"/>
          <w:color w:val="000000"/>
          <w:spacing w:val="17"/>
          <w:highlight w:val="none"/>
        </w:rPr>
      </w:pPr>
      <w:r>
        <w:rPr>
          <w:rFonts w:hint="eastAsia" w:ascii="楷体" w:hAnsi="楷体" w:eastAsia="楷体" w:cs="楷体"/>
          <w:color w:val="000000"/>
          <w:spacing w:val="17"/>
          <w:highlight w:val="none"/>
        </w:rPr>
        <w:t>绩效评价工作过程</w:t>
      </w:r>
    </w:p>
    <w:p w14:paraId="1C2218D8">
      <w:pPr>
        <w:numPr>
          <w:ilvl w:val="0"/>
          <w:numId w:val="4"/>
        </w:numPr>
        <w:spacing w:line="560" w:lineRule="exact"/>
        <w:ind w:firstLine="640" w:firstLineChars="200"/>
        <w:rPr>
          <w:rFonts w:eastAsia="仿宋_GB2312"/>
          <w:bCs/>
          <w:sz w:val="32"/>
          <w:szCs w:val="32"/>
          <w:highlight w:val="none"/>
        </w:rPr>
      </w:pPr>
      <w:r>
        <w:rPr>
          <w:rFonts w:hint="eastAsia" w:eastAsia="仿宋_GB2312"/>
          <w:bCs/>
          <w:sz w:val="32"/>
          <w:szCs w:val="32"/>
          <w:highlight w:val="none"/>
        </w:rPr>
        <w:t>前期准备。首先成立评价工作组，开展前期调研；其次明确项目绩效目标，设计绩效评价指标体系并确定绩效评价方法；接着确定现场和非现场评价范围，设计资料清单；最后制定评价实施方案并进行论证。</w:t>
      </w:r>
    </w:p>
    <w:p w14:paraId="2ABDB179">
      <w:pPr>
        <w:numPr>
          <w:ilvl w:val="0"/>
          <w:numId w:val="4"/>
        </w:numPr>
        <w:spacing w:line="560" w:lineRule="exact"/>
        <w:ind w:firstLine="640" w:firstLineChars="200"/>
        <w:rPr>
          <w:rFonts w:eastAsia="仿宋_GB2312"/>
          <w:bCs/>
          <w:sz w:val="32"/>
          <w:szCs w:val="32"/>
          <w:highlight w:val="none"/>
        </w:rPr>
      </w:pPr>
      <w:r>
        <w:rPr>
          <w:rFonts w:hint="eastAsia" w:eastAsia="仿宋_GB2312"/>
          <w:bCs/>
          <w:sz w:val="32"/>
          <w:szCs w:val="32"/>
          <w:highlight w:val="none"/>
        </w:rPr>
        <w:t>组织实施。制定绩效评价工作方案，具体包括项目概况、评价思路、方法手段、组织实施、进度安排等。收集项目立项依据、相关会议纪要、实施方案、财政资金分配方案、支付管理情况等相关评价资料并进行梳理。</w:t>
      </w:r>
    </w:p>
    <w:p w14:paraId="0E1D5DF4">
      <w:pPr>
        <w:numPr>
          <w:ilvl w:val="0"/>
          <w:numId w:val="4"/>
        </w:numPr>
        <w:spacing w:line="560" w:lineRule="exact"/>
        <w:ind w:firstLine="640" w:firstLineChars="200"/>
        <w:rPr>
          <w:sz w:val="32"/>
          <w:szCs w:val="32"/>
          <w:highlight w:val="none"/>
        </w:rPr>
      </w:pPr>
      <w:r>
        <w:rPr>
          <w:rFonts w:hint="eastAsia" w:eastAsia="仿宋_GB2312"/>
          <w:bCs/>
          <w:sz w:val="32"/>
          <w:szCs w:val="32"/>
          <w:highlight w:val="none"/>
        </w:rPr>
        <w:t>分析评价。根据收集梳理的资料围绕项目立项、资金落实、业务管理、财务管理、项目产出、项目效益等内容，对照已确定的绩效评价指标进行详细全面的分析评价，逐项打分并形成绩效评价最终结果。</w:t>
      </w:r>
    </w:p>
    <w:p w14:paraId="68C7CEE3">
      <w:pPr>
        <w:numPr>
          <w:ilvl w:val="0"/>
          <w:numId w:val="5"/>
        </w:numPr>
        <w:spacing w:line="560" w:lineRule="exact"/>
        <w:ind w:firstLine="640" w:firstLineChars="200"/>
        <w:rPr>
          <w:rFonts w:eastAsia="黑体"/>
          <w:sz w:val="32"/>
          <w:szCs w:val="32"/>
          <w:highlight w:val="none"/>
        </w:rPr>
      </w:pPr>
      <w:r>
        <w:rPr>
          <w:rFonts w:eastAsia="黑体"/>
          <w:sz w:val="32"/>
          <w:szCs w:val="32"/>
          <w:highlight w:val="none"/>
        </w:rPr>
        <w:t>综合评价情况及评价结论（附相关评分表）</w:t>
      </w:r>
    </w:p>
    <w:p w14:paraId="3E0DF14A">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lang w:val="en-US" w:eastAsia="zh-CN"/>
        </w:rPr>
      </w:pPr>
      <w:r>
        <w:rPr>
          <w:rFonts w:hint="eastAsia" w:ascii="Times New Roman" w:hAnsi="Times New Roman" w:eastAsia="楷体_GB2312"/>
          <w:lang w:eastAsia="zh-CN"/>
        </w:rPr>
        <w:t>（</w:t>
      </w:r>
      <w:r>
        <w:rPr>
          <w:rFonts w:hint="eastAsia" w:ascii="Times New Roman" w:hAnsi="Times New Roman" w:eastAsia="楷体_GB2312"/>
          <w:lang w:val="en-US" w:eastAsia="zh-CN"/>
        </w:rPr>
        <w:t>一</w:t>
      </w:r>
      <w:r>
        <w:rPr>
          <w:rFonts w:hint="eastAsia" w:ascii="Times New Roman" w:hAnsi="Times New Roman" w:eastAsia="楷体_GB2312"/>
          <w:lang w:eastAsia="zh-CN"/>
        </w:rPr>
        <w:t>）</w:t>
      </w:r>
      <w:r>
        <w:rPr>
          <w:rFonts w:hint="eastAsia" w:ascii="Times New Roman" w:hAnsi="Times New Roman" w:eastAsia="楷体_GB2312"/>
          <w:lang w:val="en-US" w:eastAsia="zh-CN"/>
        </w:rPr>
        <w:t>评价情况</w:t>
      </w:r>
    </w:p>
    <w:p w14:paraId="25790F68">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eastAsia" w:ascii="Times New Roman" w:hAnsi="Times New Roman" w:eastAsia="仿宋_GB2312" w:cs="Times New Roman"/>
          <w:b w:val="0"/>
          <w:bCs w:val="0"/>
          <w:highlight w:val="none"/>
          <w:lang w:val="en-US" w:eastAsia="zh-CN"/>
        </w:rPr>
        <w:t>项目总体组织规范，在项目实施过程中做到认真履职，监督到位。按照相关制度的要求，项目负责人对项目绩效监控执行情况进行跟踪监督，有效完成了本项目的工作目标，确保资金使用安全和最大效益地发挥，保障项目如期按要求完成。规范了项目档案资料的整理。项目的实施达到项目预期效果。</w:t>
      </w:r>
    </w:p>
    <w:p w14:paraId="3268091F">
      <w:pPr>
        <w:pStyle w:val="10"/>
        <w:widowControl w:val="0"/>
        <w:spacing w:before="0" w:after="0" w:line="560" w:lineRule="exact"/>
        <w:ind w:firstLine="643" w:firstLineChars="200"/>
        <w:jc w:val="both"/>
        <w:outlineLvl w:val="9"/>
        <w:rPr>
          <w:rFonts w:hint="eastAsia" w:ascii="Times New Roman" w:hAnsi="Times New Roman" w:eastAsia="楷体_GB2312" w:cs="Times New Roman"/>
          <w:lang w:val="en-US" w:eastAsia="zh-CN"/>
        </w:rPr>
      </w:pP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二</w:t>
      </w: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评价结论</w:t>
      </w:r>
    </w:p>
    <w:p w14:paraId="2680A55D">
      <w:pPr>
        <w:pStyle w:val="10"/>
        <w:widowControl w:val="0"/>
        <w:spacing w:before="0" w:after="0" w:line="560" w:lineRule="exact"/>
        <w:ind w:firstLine="640" w:firstLineChars="200"/>
        <w:jc w:val="both"/>
        <w:outlineLvl w:val="9"/>
        <w:rPr>
          <w:rFonts w:ascii="Times New Roman" w:hAnsi="Times New Roman" w:eastAsia="仿宋_GB2312"/>
          <w:sz w:val="30"/>
          <w:szCs w:val="30"/>
          <w:highlight w:val="none"/>
        </w:rPr>
      </w:pPr>
      <w:r>
        <w:rPr>
          <w:rFonts w:ascii="Times New Roman" w:hAnsi="Times New Roman" w:eastAsia="仿宋_GB2312"/>
          <w:b w:val="0"/>
          <w:bCs w:val="0"/>
          <w:highlight w:val="none"/>
        </w:rPr>
        <w:t>对</w:t>
      </w:r>
      <w:r>
        <w:rPr>
          <w:rFonts w:hint="eastAsia" w:ascii="Times New Roman" w:hAnsi="Times New Roman" w:eastAsia="仿宋_GB2312"/>
          <w:b w:val="0"/>
          <w:bCs w:val="0"/>
          <w:highlight w:val="none"/>
        </w:rPr>
        <w:t>自治区卫生健康委所属单位2023年地方政府债券资金（第二批）</w:t>
      </w:r>
      <w:r>
        <w:rPr>
          <w:rFonts w:ascii="Times New Roman" w:hAnsi="Times New Roman" w:eastAsia="仿宋_GB2312"/>
          <w:b w:val="0"/>
          <w:bCs w:val="0"/>
          <w:highlight w:val="none"/>
        </w:rPr>
        <w:t>项目进行客观评价，最终评分结果：总得分为</w:t>
      </w:r>
      <w:r>
        <w:rPr>
          <w:rFonts w:hint="eastAsia" w:ascii="Times New Roman" w:hAnsi="Times New Roman" w:eastAsia="仿宋_GB2312"/>
          <w:b w:val="0"/>
          <w:bCs w:val="0"/>
          <w:highlight w:val="none"/>
          <w:lang w:val="en-US" w:eastAsia="zh-CN"/>
        </w:rPr>
        <w:t>80</w:t>
      </w:r>
      <w:r>
        <w:rPr>
          <w:rFonts w:ascii="Times New Roman" w:hAnsi="Times New Roman" w:eastAsia="仿宋_GB2312"/>
          <w:b w:val="0"/>
          <w:bCs w:val="0"/>
          <w:highlight w:val="none"/>
        </w:rPr>
        <w:t>分，</w:t>
      </w:r>
      <w:r>
        <w:rPr>
          <w:rFonts w:ascii="Times New Roman" w:hAnsi="Times New Roman" w:eastAsia="仿宋_GB2312"/>
          <w:b w:val="0"/>
          <w:bCs w:val="0"/>
          <w:color w:val="auto"/>
          <w:highlight w:val="none"/>
        </w:rPr>
        <w:t>属于</w:t>
      </w:r>
      <w:r>
        <w:rPr>
          <w:rFonts w:hint="eastAsia" w:ascii="Times New Roman" w:hAnsi="Times New Roman" w:eastAsia="仿宋_GB2312"/>
          <w:b w:val="0"/>
          <w:bCs w:val="0"/>
          <w:color w:val="auto"/>
          <w:highlight w:val="none"/>
          <w:lang w:eastAsia="zh-CN"/>
        </w:rPr>
        <w:t>“</w:t>
      </w:r>
      <w:r>
        <w:rPr>
          <w:rFonts w:hint="eastAsia" w:ascii="Times New Roman" w:hAnsi="Times New Roman" w:eastAsia="仿宋_GB2312"/>
          <w:b w:val="0"/>
          <w:bCs w:val="0"/>
          <w:color w:val="auto"/>
          <w:highlight w:val="none"/>
          <w:lang w:val="en-US" w:eastAsia="zh-CN"/>
        </w:rPr>
        <w:t>良</w:t>
      </w:r>
      <w:r>
        <w:rPr>
          <w:rFonts w:hint="eastAsia" w:ascii="Times New Roman" w:hAnsi="Times New Roman" w:eastAsia="仿宋_GB2312"/>
          <w:b w:val="0"/>
          <w:bCs w:val="0"/>
          <w:color w:val="auto"/>
          <w:highlight w:val="none"/>
          <w:lang w:eastAsia="zh-CN"/>
        </w:rPr>
        <w:t>”</w:t>
      </w:r>
      <w:r>
        <w:rPr>
          <w:rFonts w:ascii="Times New Roman" w:hAnsi="Times New Roman" w:eastAsia="仿宋_GB2312"/>
          <w:b w:val="0"/>
          <w:bCs w:val="0"/>
          <w:highlight w:val="none"/>
        </w:rPr>
        <w:t>。其中，项目决策类指标权重为20分，得分为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CN"/>
        </w:rPr>
        <w:t>40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lang w:val="en-US" w:eastAsia="zh-CN"/>
        </w:rPr>
        <w:t>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0</w:t>
      </w:r>
      <w:r>
        <w:rPr>
          <w:rFonts w:ascii="Times New Roman" w:hAnsi="Times New Roman" w:eastAsia="仿宋_GB2312"/>
          <w:b w:val="0"/>
          <w:bCs w:val="0"/>
          <w:highlight w:val="none"/>
        </w:rPr>
        <w:t>%。</w:t>
      </w:r>
    </w:p>
    <w:p w14:paraId="09A0B491">
      <w:pPr>
        <w:pStyle w:val="10"/>
        <w:rPr>
          <w:highlight w:val="none"/>
        </w:rPr>
      </w:pPr>
      <w:r>
        <w:rPr>
          <w:rFonts w:ascii="Times New Roman" w:hAnsi="Times New Roman" w:eastAsia="仿宋_GB2312"/>
          <w:sz w:val="30"/>
          <w:szCs w:val="30"/>
          <w:highlight w:val="none"/>
        </w:rPr>
        <w:t>表1综合评分表</w:t>
      </w:r>
    </w:p>
    <w:tbl>
      <w:tblPr>
        <w:tblStyle w:val="13"/>
        <w:tblW w:w="4997"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658"/>
        <w:gridCol w:w="690"/>
        <w:gridCol w:w="1150"/>
        <w:gridCol w:w="1402"/>
        <w:gridCol w:w="738"/>
        <w:gridCol w:w="1127"/>
        <w:gridCol w:w="1027"/>
        <w:gridCol w:w="1122"/>
        <w:gridCol w:w="845"/>
      </w:tblGrid>
      <w:tr w14:paraId="12FF64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24" w:hRule="atLeast"/>
          <w:tblHeader/>
        </w:trPr>
        <w:tc>
          <w:tcPr>
            <w:tcW w:w="376" w:type="pct"/>
            <w:shd w:val="clear" w:color="auto" w:fill="BFBFBF"/>
            <w:vAlign w:val="center"/>
          </w:tcPr>
          <w:p w14:paraId="60F4062A">
            <w:pPr>
              <w:widowControl/>
              <w:spacing w:line="0" w:lineRule="atLeast"/>
              <w:rPr>
                <w:b/>
                <w:bCs/>
                <w:color w:val="000000"/>
                <w:kern w:val="0"/>
                <w:sz w:val="22"/>
                <w:szCs w:val="22"/>
                <w:highlight w:val="none"/>
              </w:rPr>
            </w:pPr>
            <w:r>
              <w:rPr>
                <w:b/>
                <w:bCs/>
                <w:color w:val="000000"/>
                <w:kern w:val="0"/>
                <w:sz w:val="22"/>
                <w:szCs w:val="22"/>
                <w:highlight w:val="none"/>
              </w:rPr>
              <w:t>一级指标</w:t>
            </w:r>
          </w:p>
        </w:tc>
        <w:tc>
          <w:tcPr>
            <w:tcW w:w="394" w:type="pct"/>
            <w:shd w:val="clear" w:color="auto" w:fill="BFBFBF"/>
            <w:vAlign w:val="center"/>
          </w:tcPr>
          <w:p w14:paraId="16532FFE">
            <w:pPr>
              <w:widowControl/>
              <w:spacing w:line="0" w:lineRule="atLeast"/>
              <w:jc w:val="center"/>
              <w:rPr>
                <w:b/>
                <w:bCs/>
                <w:color w:val="000000"/>
                <w:kern w:val="0"/>
                <w:sz w:val="22"/>
                <w:szCs w:val="22"/>
                <w:highlight w:val="none"/>
              </w:rPr>
            </w:pPr>
            <w:r>
              <w:rPr>
                <w:b/>
                <w:bCs/>
                <w:color w:val="000000"/>
                <w:kern w:val="0"/>
                <w:sz w:val="22"/>
                <w:szCs w:val="22"/>
                <w:highlight w:val="none"/>
              </w:rPr>
              <w:t>分值</w:t>
            </w:r>
          </w:p>
        </w:tc>
        <w:tc>
          <w:tcPr>
            <w:tcW w:w="656" w:type="pct"/>
            <w:shd w:val="clear" w:color="auto" w:fill="BFBFBF"/>
            <w:vAlign w:val="center"/>
          </w:tcPr>
          <w:p w14:paraId="6CBA518A">
            <w:pPr>
              <w:widowControl/>
              <w:spacing w:line="0" w:lineRule="atLeast"/>
              <w:jc w:val="center"/>
              <w:rPr>
                <w:b/>
                <w:bCs/>
                <w:color w:val="000000"/>
                <w:kern w:val="0"/>
                <w:sz w:val="22"/>
                <w:szCs w:val="22"/>
                <w:highlight w:val="none"/>
              </w:rPr>
            </w:pPr>
            <w:r>
              <w:rPr>
                <w:b/>
                <w:bCs/>
                <w:color w:val="000000"/>
                <w:kern w:val="0"/>
                <w:sz w:val="22"/>
                <w:szCs w:val="22"/>
                <w:highlight w:val="none"/>
              </w:rPr>
              <w:t>二级指标</w:t>
            </w:r>
          </w:p>
        </w:tc>
        <w:tc>
          <w:tcPr>
            <w:tcW w:w="798" w:type="pct"/>
            <w:shd w:val="clear" w:color="auto" w:fill="BFBFBF"/>
            <w:vAlign w:val="center"/>
          </w:tcPr>
          <w:p w14:paraId="526C70DB">
            <w:pPr>
              <w:widowControl/>
              <w:spacing w:line="0" w:lineRule="atLeast"/>
              <w:jc w:val="center"/>
              <w:rPr>
                <w:b/>
                <w:bCs/>
                <w:color w:val="000000"/>
                <w:kern w:val="0"/>
                <w:sz w:val="22"/>
                <w:szCs w:val="22"/>
                <w:highlight w:val="none"/>
              </w:rPr>
            </w:pPr>
            <w:r>
              <w:rPr>
                <w:b/>
                <w:bCs/>
                <w:color w:val="000000"/>
                <w:kern w:val="0"/>
                <w:sz w:val="22"/>
                <w:szCs w:val="22"/>
                <w:highlight w:val="none"/>
              </w:rPr>
              <w:t>三级指标</w:t>
            </w:r>
          </w:p>
        </w:tc>
        <w:tc>
          <w:tcPr>
            <w:tcW w:w="421" w:type="pct"/>
            <w:shd w:val="clear" w:color="auto" w:fill="BFBFBF"/>
            <w:vAlign w:val="center"/>
          </w:tcPr>
          <w:p w14:paraId="1D00BAFD">
            <w:pPr>
              <w:widowControl/>
              <w:spacing w:line="0" w:lineRule="atLeast"/>
              <w:jc w:val="center"/>
              <w:rPr>
                <w:b/>
                <w:bCs/>
                <w:color w:val="000000"/>
                <w:kern w:val="0"/>
                <w:sz w:val="22"/>
                <w:szCs w:val="22"/>
                <w:highlight w:val="none"/>
              </w:rPr>
            </w:pPr>
            <w:r>
              <w:rPr>
                <w:b/>
                <w:bCs/>
                <w:color w:val="000000"/>
                <w:kern w:val="0"/>
                <w:sz w:val="22"/>
                <w:szCs w:val="22"/>
                <w:highlight w:val="none"/>
              </w:rPr>
              <w:t>权重</w:t>
            </w:r>
          </w:p>
        </w:tc>
        <w:tc>
          <w:tcPr>
            <w:tcW w:w="643" w:type="pct"/>
            <w:shd w:val="clear" w:color="auto" w:fill="BFBFBF"/>
            <w:vAlign w:val="center"/>
          </w:tcPr>
          <w:p w14:paraId="5DBDB2D2">
            <w:pPr>
              <w:widowControl/>
              <w:tabs>
                <w:tab w:val="left" w:pos="1333"/>
                <w:tab w:val="center" w:pos="3623"/>
              </w:tabs>
              <w:spacing w:line="0" w:lineRule="atLeast"/>
              <w:jc w:val="center"/>
              <w:rPr>
                <w:b/>
                <w:bCs/>
                <w:color w:val="000000"/>
                <w:kern w:val="0"/>
                <w:sz w:val="22"/>
                <w:szCs w:val="22"/>
                <w:highlight w:val="none"/>
              </w:rPr>
            </w:pPr>
            <w:r>
              <w:rPr>
                <w:b/>
                <w:bCs/>
                <w:color w:val="000000"/>
                <w:kern w:val="0"/>
                <w:sz w:val="22"/>
                <w:szCs w:val="22"/>
                <w:highlight w:val="none"/>
              </w:rPr>
              <w:t>目标值</w:t>
            </w:r>
          </w:p>
        </w:tc>
        <w:tc>
          <w:tcPr>
            <w:tcW w:w="586" w:type="pct"/>
            <w:shd w:val="clear" w:color="auto" w:fill="BFBFBF"/>
            <w:vAlign w:val="center"/>
          </w:tcPr>
          <w:p w14:paraId="60BDF773">
            <w:pPr>
              <w:widowControl/>
              <w:tabs>
                <w:tab w:val="left" w:pos="1333"/>
                <w:tab w:val="center" w:pos="3623"/>
              </w:tabs>
              <w:spacing w:line="0" w:lineRule="atLeast"/>
              <w:jc w:val="center"/>
              <w:rPr>
                <w:b/>
                <w:bCs/>
                <w:color w:val="000000"/>
                <w:kern w:val="0"/>
                <w:sz w:val="22"/>
                <w:szCs w:val="22"/>
                <w:highlight w:val="none"/>
              </w:rPr>
            </w:pPr>
            <w:r>
              <w:rPr>
                <w:b/>
                <w:bCs/>
                <w:color w:val="000000"/>
                <w:kern w:val="0"/>
                <w:sz w:val="22"/>
                <w:szCs w:val="22"/>
                <w:highlight w:val="none"/>
              </w:rPr>
              <w:t>业绩值</w:t>
            </w:r>
          </w:p>
        </w:tc>
        <w:tc>
          <w:tcPr>
            <w:tcW w:w="640" w:type="pct"/>
            <w:shd w:val="clear" w:color="auto" w:fill="BFBFBF"/>
            <w:vAlign w:val="center"/>
          </w:tcPr>
          <w:p w14:paraId="205701D9">
            <w:pPr>
              <w:widowControl/>
              <w:tabs>
                <w:tab w:val="left" w:pos="1333"/>
                <w:tab w:val="center" w:pos="3623"/>
              </w:tabs>
              <w:spacing w:line="0" w:lineRule="atLeast"/>
              <w:jc w:val="center"/>
              <w:rPr>
                <w:b/>
                <w:bCs/>
                <w:color w:val="000000"/>
                <w:kern w:val="0"/>
                <w:sz w:val="22"/>
                <w:szCs w:val="22"/>
                <w:highlight w:val="none"/>
              </w:rPr>
            </w:pPr>
            <w:r>
              <w:rPr>
                <w:b/>
                <w:bCs/>
                <w:color w:val="000000"/>
                <w:kern w:val="0"/>
                <w:sz w:val="22"/>
                <w:szCs w:val="22"/>
                <w:highlight w:val="none"/>
              </w:rPr>
              <w:t>得分率</w:t>
            </w:r>
          </w:p>
        </w:tc>
        <w:tc>
          <w:tcPr>
            <w:tcW w:w="482" w:type="pct"/>
            <w:shd w:val="clear" w:color="auto" w:fill="BFBFBF"/>
            <w:vAlign w:val="center"/>
          </w:tcPr>
          <w:p w14:paraId="2140E5AA">
            <w:pPr>
              <w:widowControl/>
              <w:tabs>
                <w:tab w:val="left" w:pos="1333"/>
                <w:tab w:val="center" w:pos="3623"/>
              </w:tabs>
              <w:spacing w:line="0" w:lineRule="atLeast"/>
              <w:jc w:val="center"/>
              <w:rPr>
                <w:b/>
                <w:bCs/>
                <w:color w:val="000000"/>
                <w:kern w:val="0"/>
                <w:sz w:val="22"/>
                <w:szCs w:val="22"/>
                <w:highlight w:val="none"/>
              </w:rPr>
            </w:pPr>
            <w:r>
              <w:rPr>
                <w:b/>
                <w:bCs/>
                <w:color w:val="000000"/>
                <w:kern w:val="0"/>
                <w:sz w:val="22"/>
                <w:szCs w:val="22"/>
                <w:highlight w:val="none"/>
              </w:rPr>
              <w:t>得分</w:t>
            </w:r>
          </w:p>
        </w:tc>
      </w:tr>
      <w:tr w14:paraId="691FCF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376" w:type="pct"/>
            <w:vMerge w:val="restart"/>
            <w:shd w:val="clear" w:color="auto" w:fill="FFFFFF"/>
            <w:vAlign w:val="center"/>
          </w:tcPr>
          <w:p w14:paraId="43A084FF">
            <w:pPr>
              <w:widowControl/>
              <w:spacing w:line="0" w:lineRule="atLeast"/>
              <w:jc w:val="center"/>
              <w:rPr>
                <w:color w:val="000000"/>
                <w:kern w:val="0"/>
                <w:sz w:val="22"/>
                <w:szCs w:val="22"/>
                <w:highlight w:val="none"/>
              </w:rPr>
            </w:pPr>
            <w:r>
              <w:rPr>
                <w:color w:val="000000"/>
                <w:kern w:val="0"/>
                <w:sz w:val="22"/>
                <w:szCs w:val="22"/>
                <w:highlight w:val="none"/>
              </w:rPr>
              <w:t>决策　　</w:t>
            </w:r>
          </w:p>
        </w:tc>
        <w:tc>
          <w:tcPr>
            <w:tcW w:w="394" w:type="pct"/>
            <w:vMerge w:val="restart"/>
            <w:shd w:val="clear" w:color="auto" w:fill="FFFFFF"/>
            <w:vAlign w:val="center"/>
          </w:tcPr>
          <w:p w14:paraId="3E3AEE28">
            <w:pPr>
              <w:widowControl/>
              <w:spacing w:line="0" w:lineRule="atLeast"/>
              <w:jc w:val="center"/>
              <w:rPr>
                <w:color w:val="000000"/>
                <w:kern w:val="0"/>
                <w:sz w:val="22"/>
                <w:szCs w:val="22"/>
                <w:highlight w:val="none"/>
              </w:rPr>
            </w:pPr>
            <w:r>
              <w:rPr>
                <w:kern w:val="0"/>
                <w:sz w:val="22"/>
                <w:szCs w:val="22"/>
                <w:highlight w:val="none"/>
              </w:rPr>
              <w:t>20分</w:t>
            </w:r>
          </w:p>
        </w:tc>
        <w:tc>
          <w:tcPr>
            <w:tcW w:w="656" w:type="pct"/>
            <w:vMerge w:val="restart"/>
            <w:shd w:val="clear" w:color="auto" w:fill="FFFFFF"/>
            <w:vAlign w:val="center"/>
          </w:tcPr>
          <w:p w14:paraId="7038E592">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798" w:type="pct"/>
            <w:shd w:val="clear" w:color="auto" w:fill="FFFFFF"/>
            <w:vAlign w:val="center"/>
          </w:tcPr>
          <w:p w14:paraId="06BCBAE1">
            <w:pPr>
              <w:widowControl/>
              <w:spacing w:line="0" w:lineRule="atLeast"/>
              <w:jc w:val="center"/>
              <w:rPr>
                <w:color w:val="000000"/>
                <w:kern w:val="0"/>
                <w:sz w:val="22"/>
                <w:szCs w:val="22"/>
                <w:highlight w:val="none"/>
              </w:rPr>
            </w:pPr>
            <w:r>
              <w:rPr>
                <w:color w:val="000000"/>
                <w:kern w:val="0"/>
                <w:sz w:val="22"/>
                <w:szCs w:val="22"/>
                <w:highlight w:val="none"/>
              </w:rPr>
              <w:t>立项依据</w:t>
            </w:r>
          </w:p>
          <w:p w14:paraId="45A3D0D5">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421" w:type="pct"/>
            <w:shd w:val="clear" w:color="auto" w:fill="FFFFFF"/>
            <w:vAlign w:val="center"/>
          </w:tcPr>
          <w:p w14:paraId="473EA2D0">
            <w:pPr>
              <w:widowControl/>
              <w:spacing w:line="0" w:lineRule="atLeast"/>
              <w:jc w:val="center"/>
              <w:rPr>
                <w:color w:val="000000"/>
                <w:kern w:val="0"/>
                <w:sz w:val="22"/>
                <w:szCs w:val="22"/>
                <w:highlight w:val="none"/>
              </w:rPr>
            </w:pPr>
            <w:r>
              <w:rPr>
                <w:color w:val="000000"/>
                <w:kern w:val="0"/>
                <w:sz w:val="22"/>
                <w:szCs w:val="22"/>
                <w:highlight w:val="none"/>
              </w:rPr>
              <w:t>3</w:t>
            </w:r>
          </w:p>
        </w:tc>
        <w:tc>
          <w:tcPr>
            <w:tcW w:w="643" w:type="pct"/>
            <w:shd w:val="clear" w:color="auto" w:fill="FFFFFF"/>
            <w:vAlign w:val="center"/>
          </w:tcPr>
          <w:p w14:paraId="0B63340E">
            <w:pPr>
              <w:widowControl/>
              <w:spacing w:line="0" w:lineRule="atLeast"/>
              <w:jc w:val="center"/>
              <w:rPr>
                <w:color w:val="000000"/>
                <w:kern w:val="0"/>
                <w:sz w:val="22"/>
                <w:szCs w:val="22"/>
                <w:highlight w:val="none"/>
              </w:rPr>
            </w:pPr>
            <w:r>
              <w:rPr>
                <w:color w:val="000000"/>
                <w:kern w:val="0"/>
                <w:sz w:val="22"/>
                <w:szCs w:val="22"/>
                <w:highlight w:val="none"/>
              </w:rPr>
              <w:t>充分</w:t>
            </w:r>
          </w:p>
        </w:tc>
        <w:tc>
          <w:tcPr>
            <w:tcW w:w="586" w:type="pct"/>
            <w:shd w:val="clear" w:color="auto" w:fill="FFFFFF"/>
            <w:vAlign w:val="center"/>
          </w:tcPr>
          <w:p w14:paraId="5AD9A7E3">
            <w:pPr>
              <w:widowControl/>
              <w:spacing w:line="0" w:lineRule="atLeast"/>
              <w:jc w:val="center"/>
              <w:rPr>
                <w:color w:val="000000"/>
                <w:kern w:val="0"/>
                <w:sz w:val="22"/>
                <w:szCs w:val="22"/>
                <w:highlight w:val="none"/>
              </w:rPr>
            </w:pPr>
            <w:r>
              <w:rPr>
                <w:color w:val="000000"/>
                <w:kern w:val="0"/>
                <w:sz w:val="22"/>
                <w:szCs w:val="22"/>
                <w:highlight w:val="none"/>
              </w:rPr>
              <w:t>充分</w:t>
            </w:r>
          </w:p>
        </w:tc>
        <w:tc>
          <w:tcPr>
            <w:tcW w:w="640" w:type="pct"/>
            <w:shd w:val="clear" w:color="auto" w:fill="FFFFFF"/>
            <w:vAlign w:val="center"/>
          </w:tcPr>
          <w:p w14:paraId="0819329F">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100%</w:t>
            </w:r>
          </w:p>
        </w:tc>
        <w:tc>
          <w:tcPr>
            <w:tcW w:w="482" w:type="pct"/>
            <w:shd w:val="clear" w:color="auto" w:fill="FFFFFF"/>
            <w:vAlign w:val="center"/>
          </w:tcPr>
          <w:p w14:paraId="166A832E">
            <w:pPr>
              <w:widowControl/>
              <w:spacing w:line="0" w:lineRule="atLeast"/>
              <w:jc w:val="center"/>
              <w:rPr>
                <w:color w:val="000000"/>
                <w:kern w:val="0"/>
                <w:sz w:val="22"/>
                <w:szCs w:val="22"/>
                <w:highlight w:val="none"/>
              </w:rPr>
            </w:pPr>
            <w:r>
              <w:rPr>
                <w:color w:val="000000"/>
                <w:kern w:val="0"/>
                <w:sz w:val="22"/>
                <w:szCs w:val="22"/>
                <w:highlight w:val="none"/>
              </w:rPr>
              <w:t>3</w:t>
            </w:r>
          </w:p>
        </w:tc>
      </w:tr>
      <w:tr w14:paraId="30CA5B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376" w:type="pct"/>
            <w:vMerge w:val="continue"/>
            <w:shd w:val="clear" w:color="auto" w:fill="FFFFFF"/>
            <w:vAlign w:val="center"/>
          </w:tcPr>
          <w:p w14:paraId="416CB6DB">
            <w:pPr>
              <w:spacing w:line="0" w:lineRule="atLeast"/>
              <w:jc w:val="center"/>
              <w:rPr>
                <w:color w:val="000000"/>
                <w:kern w:val="0"/>
                <w:sz w:val="22"/>
                <w:szCs w:val="22"/>
                <w:highlight w:val="none"/>
              </w:rPr>
            </w:pPr>
          </w:p>
        </w:tc>
        <w:tc>
          <w:tcPr>
            <w:tcW w:w="394" w:type="pct"/>
            <w:vMerge w:val="continue"/>
            <w:shd w:val="clear" w:color="auto" w:fill="FFFFFF"/>
            <w:vAlign w:val="center"/>
          </w:tcPr>
          <w:p w14:paraId="357D9011">
            <w:pPr>
              <w:widowControl/>
              <w:spacing w:line="0" w:lineRule="atLeast"/>
              <w:jc w:val="center"/>
              <w:rPr>
                <w:color w:val="000000"/>
                <w:kern w:val="0"/>
                <w:sz w:val="22"/>
                <w:szCs w:val="22"/>
                <w:highlight w:val="none"/>
              </w:rPr>
            </w:pPr>
          </w:p>
        </w:tc>
        <w:tc>
          <w:tcPr>
            <w:tcW w:w="656" w:type="pct"/>
            <w:vMerge w:val="continue"/>
            <w:shd w:val="clear" w:color="auto" w:fill="FFFFFF"/>
            <w:vAlign w:val="center"/>
          </w:tcPr>
          <w:p w14:paraId="41920FA1">
            <w:pPr>
              <w:widowControl/>
              <w:spacing w:line="0" w:lineRule="atLeast"/>
              <w:jc w:val="center"/>
              <w:rPr>
                <w:color w:val="000000"/>
                <w:kern w:val="0"/>
                <w:sz w:val="22"/>
                <w:szCs w:val="22"/>
                <w:highlight w:val="none"/>
              </w:rPr>
            </w:pPr>
          </w:p>
        </w:tc>
        <w:tc>
          <w:tcPr>
            <w:tcW w:w="798" w:type="pct"/>
            <w:shd w:val="clear" w:color="auto" w:fill="FFFFFF"/>
            <w:vAlign w:val="center"/>
          </w:tcPr>
          <w:p w14:paraId="6A6C0731">
            <w:pPr>
              <w:widowControl/>
              <w:spacing w:line="0" w:lineRule="atLeast"/>
              <w:jc w:val="center"/>
              <w:rPr>
                <w:color w:val="000000"/>
                <w:kern w:val="0"/>
                <w:sz w:val="22"/>
                <w:szCs w:val="22"/>
                <w:highlight w:val="none"/>
              </w:rPr>
            </w:pPr>
            <w:r>
              <w:rPr>
                <w:color w:val="000000"/>
                <w:kern w:val="0"/>
                <w:sz w:val="22"/>
                <w:szCs w:val="22"/>
                <w:highlight w:val="none"/>
              </w:rPr>
              <w:t>立项程序</w:t>
            </w:r>
          </w:p>
          <w:p w14:paraId="3CBB0D6B">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421" w:type="pct"/>
            <w:shd w:val="clear" w:color="auto" w:fill="FFFFFF"/>
            <w:vAlign w:val="center"/>
          </w:tcPr>
          <w:p w14:paraId="1EE29E8A">
            <w:pPr>
              <w:widowControl/>
              <w:spacing w:line="0" w:lineRule="atLeast"/>
              <w:jc w:val="center"/>
              <w:rPr>
                <w:color w:val="000000"/>
                <w:kern w:val="0"/>
                <w:sz w:val="22"/>
                <w:szCs w:val="22"/>
                <w:highlight w:val="none"/>
              </w:rPr>
            </w:pPr>
            <w:r>
              <w:rPr>
                <w:color w:val="000000"/>
                <w:kern w:val="0"/>
                <w:sz w:val="22"/>
                <w:szCs w:val="22"/>
                <w:highlight w:val="none"/>
              </w:rPr>
              <w:t>3</w:t>
            </w:r>
          </w:p>
        </w:tc>
        <w:tc>
          <w:tcPr>
            <w:tcW w:w="643" w:type="pct"/>
            <w:shd w:val="clear" w:color="auto" w:fill="FFFFFF"/>
            <w:vAlign w:val="center"/>
          </w:tcPr>
          <w:p w14:paraId="6F056B1A">
            <w:pPr>
              <w:widowControl/>
              <w:spacing w:line="0" w:lineRule="atLeast"/>
              <w:jc w:val="center"/>
              <w:rPr>
                <w:color w:val="000000"/>
                <w:kern w:val="0"/>
                <w:sz w:val="22"/>
                <w:szCs w:val="22"/>
                <w:highlight w:val="none"/>
              </w:rPr>
            </w:pPr>
            <w:r>
              <w:rPr>
                <w:color w:val="000000"/>
                <w:kern w:val="0"/>
                <w:sz w:val="22"/>
                <w:szCs w:val="22"/>
                <w:highlight w:val="none"/>
              </w:rPr>
              <w:t>规范</w:t>
            </w:r>
          </w:p>
        </w:tc>
        <w:tc>
          <w:tcPr>
            <w:tcW w:w="586" w:type="pct"/>
            <w:shd w:val="clear" w:color="auto" w:fill="FFFFFF"/>
            <w:vAlign w:val="center"/>
          </w:tcPr>
          <w:p w14:paraId="5855DD75">
            <w:pPr>
              <w:widowControl/>
              <w:spacing w:line="0" w:lineRule="atLeast"/>
              <w:jc w:val="center"/>
              <w:rPr>
                <w:color w:val="000000"/>
                <w:kern w:val="0"/>
                <w:sz w:val="22"/>
                <w:szCs w:val="22"/>
                <w:highlight w:val="none"/>
              </w:rPr>
            </w:pPr>
            <w:r>
              <w:rPr>
                <w:color w:val="000000"/>
                <w:kern w:val="0"/>
                <w:sz w:val="22"/>
                <w:szCs w:val="22"/>
                <w:highlight w:val="none"/>
              </w:rPr>
              <w:t>规范</w:t>
            </w:r>
          </w:p>
        </w:tc>
        <w:tc>
          <w:tcPr>
            <w:tcW w:w="640" w:type="pct"/>
            <w:shd w:val="clear" w:color="auto" w:fill="FFFFFF"/>
            <w:vAlign w:val="center"/>
          </w:tcPr>
          <w:p w14:paraId="42A1948F">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482" w:type="pct"/>
            <w:shd w:val="clear" w:color="auto" w:fill="FFFFFF"/>
            <w:vAlign w:val="center"/>
          </w:tcPr>
          <w:p w14:paraId="70F822DE">
            <w:pPr>
              <w:widowControl/>
              <w:spacing w:line="0" w:lineRule="atLeast"/>
              <w:jc w:val="center"/>
              <w:rPr>
                <w:color w:val="000000"/>
                <w:kern w:val="0"/>
                <w:sz w:val="22"/>
                <w:szCs w:val="22"/>
                <w:highlight w:val="none"/>
              </w:rPr>
            </w:pPr>
            <w:r>
              <w:rPr>
                <w:color w:val="000000"/>
                <w:kern w:val="0"/>
                <w:sz w:val="22"/>
                <w:szCs w:val="22"/>
                <w:highlight w:val="none"/>
              </w:rPr>
              <w:t>3</w:t>
            </w:r>
          </w:p>
        </w:tc>
      </w:tr>
      <w:tr w14:paraId="704E0C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376" w:type="pct"/>
            <w:vMerge w:val="continue"/>
            <w:shd w:val="clear" w:color="auto" w:fill="FFFFFF"/>
            <w:vAlign w:val="center"/>
          </w:tcPr>
          <w:p w14:paraId="055EB2C6">
            <w:pPr>
              <w:spacing w:line="0" w:lineRule="atLeast"/>
              <w:jc w:val="center"/>
              <w:rPr>
                <w:color w:val="000000"/>
                <w:kern w:val="0"/>
                <w:sz w:val="22"/>
                <w:szCs w:val="22"/>
                <w:highlight w:val="none"/>
              </w:rPr>
            </w:pPr>
          </w:p>
        </w:tc>
        <w:tc>
          <w:tcPr>
            <w:tcW w:w="394" w:type="pct"/>
            <w:vMerge w:val="continue"/>
            <w:shd w:val="clear" w:color="auto" w:fill="FFFFFF"/>
            <w:vAlign w:val="center"/>
          </w:tcPr>
          <w:p w14:paraId="3B4C1EB9">
            <w:pPr>
              <w:widowControl/>
              <w:spacing w:line="0" w:lineRule="atLeast"/>
              <w:jc w:val="center"/>
              <w:rPr>
                <w:color w:val="000000"/>
                <w:kern w:val="0"/>
                <w:sz w:val="22"/>
                <w:szCs w:val="22"/>
                <w:highlight w:val="none"/>
              </w:rPr>
            </w:pPr>
          </w:p>
        </w:tc>
        <w:tc>
          <w:tcPr>
            <w:tcW w:w="656" w:type="pct"/>
            <w:vMerge w:val="restart"/>
            <w:shd w:val="clear" w:color="auto" w:fill="FFFFFF"/>
            <w:vAlign w:val="center"/>
          </w:tcPr>
          <w:p w14:paraId="3E0B879B">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798" w:type="pct"/>
            <w:shd w:val="clear" w:color="auto" w:fill="FFFFFF"/>
            <w:vAlign w:val="center"/>
          </w:tcPr>
          <w:p w14:paraId="6F7EA3CE">
            <w:pPr>
              <w:widowControl/>
              <w:spacing w:line="0" w:lineRule="atLeast"/>
              <w:jc w:val="center"/>
              <w:rPr>
                <w:color w:val="000000"/>
                <w:kern w:val="0"/>
                <w:sz w:val="22"/>
                <w:szCs w:val="22"/>
                <w:highlight w:val="none"/>
              </w:rPr>
            </w:pPr>
            <w:r>
              <w:rPr>
                <w:color w:val="000000"/>
                <w:kern w:val="0"/>
                <w:sz w:val="22"/>
                <w:szCs w:val="22"/>
                <w:highlight w:val="none"/>
              </w:rPr>
              <w:t>绩效目标</w:t>
            </w:r>
          </w:p>
          <w:p w14:paraId="1426CB47">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421" w:type="pct"/>
            <w:shd w:val="clear" w:color="000000" w:fill="FFFFFF"/>
            <w:vAlign w:val="center"/>
          </w:tcPr>
          <w:p w14:paraId="6E53D4A1">
            <w:pPr>
              <w:widowControl/>
              <w:spacing w:line="0" w:lineRule="atLeast"/>
              <w:jc w:val="center"/>
              <w:rPr>
                <w:color w:val="000000"/>
                <w:kern w:val="0"/>
                <w:sz w:val="22"/>
                <w:szCs w:val="22"/>
                <w:highlight w:val="none"/>
              </w:rPr>
            </w:pPr>
            <w:r>
              <w:rPr>
                <w:color w:val="000000"/>
                <w:kern w:val="0"/>
                <w:sz w:val="22"/>
                <w:szCs w:val="22"/>
                <w:highlight w:val="none"/>
              </w:rPr>
              <w:t>3</w:t>
            </w:r>
          </w:p>
        </w:tc>
        <w:tc>
          <w:tcPr>
            <w:tcW w:w="643" w:type="pct"/>
            <w:shd w:val="clear" w:color="000000" w:fill="FFFFFF"/>
            <w:vAlign w:val="center"/>
          </w:tcPr>
          <w:p w14:paraId="49EC6225">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586" w:type="pct"/>
            <w:shd w:val="clear" w:color="000000" w:fill="FFFFFF"/>
            <w:vAlign w:val="center"/>
          </w:tcPr>
          <w:p w14:paraId="31F8E6E6">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640" w:type="pct"/>
            <w:shd w:val="clear" w:color="000000" w:fill="FFFFFF"/>
            <w:vAlign w:val="center"/>
          </w:tcPr>
          <w:p w14:paraId="1E5FA634">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482" w:type="pct"/>
            <w:shd w:val="clear" w:color="000000" w:fill="FFFFFF"/>
            <w:vAlign w:val="center"/>
          </w:tcPr>
          <w:p w14:paraId="61DF76AB">
            <w:pPr>
              <w:widowControl/>
              <w:spacing w:line="0" w:lineRule="atLeast"/>
              <w:jc w:val="center"/>
              <w:rPr>
                <w:color w:val="000000"/>
                <w:kern w:val="0"/>
                <w:sz w:val="22"/>
                <w:szCs w:val="22"/>
                <w:highlight w:val="none"/>
              </w:rPr>
            </w:pPr>
            <w:r>
              <w:rPr>
                <w:color w:val="000000"/>
                <w:kern w:val="0"/>
                <w:sz w:val="22"/>
                <w:szCs w:val="22"/>
                <w:highlight w:val="none"/>
              </w:rPr>
              <w:t>3</w:t>
            </w:r>
          </w:p>
        </w:tc>
      </w:tr>
      <w:tr w14:paraId="40D340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376" w:type="pct"/>
            <w:vMerge w:val="continue"/>
            <w:shd w:val="clear" w:color="auto" w:fill="FFFFFF"/>
            <w:vAlign w:val="center"/>
          </w:tcPr>
          <w:p w14:paraId="7825E45F">
            <w:pPr>
              <w:widowControl/>
              <w:spacing w:line="0" w:lineRule="atLeast"/>
              <w:jc w:val="center"/>
              <w:rPr>
                <w:color w:val="000000"/>
                <w:kern w:val="0"/>
                <w:sz w:val="22"/>
                <w:szCs w:val="22"/>
                <w:highlight w:val="none"/>
              </w:rPr>
            </w:pPr>
          </w:p>
        </w:tc>
        <w:tc>
          <w:tcPr>
            <w:tcW w:w="394" w:type="pct"/>
            <w:vMerge w:val="continue"/>
            <w:shd w:val="clear" w:color="auto" w:fill="FFFFFF"/>
            <w:vAlign w:val="center"/>
          </w:tcPr>
          <w:p w14:paraId="6D0D6303">
            <w:pPr>
              <w:widowControl/>
              <w:spacing w:line="0" w:lineRule="atLeast"/>
              <w:jc w:val="center"/>
              <w:rPr>
                <w:color w:val="000000"/>
                <w:kern w:val="0"/>
                <w:sz w:val="22"/>
                <w:szCs w:val="22"/>
                <w:highlight w:val="none"/>
              </w:rPr>
            </w:pPr>
          </w:p>
        </w:tc>
        <w:tc>
          <w:tcPr>
            <w:tcW w:w="656" w:type="pct"/>
            <w:vMerge w:val="continue"/>
            <w:shd w:val="clear" w:color="auto" w:fill="FFFFFF"/>
            <w:vAlign w:val="center"/>
          </w:tcPr>
          <w:p w14:paraId="5333D579">
            <w:pPr>
              <w:widowControl/>
              <w:spacing w:line="0" w:lineRule="atLeast"/>
              <w:jc w:val="center"/>
              <w:rPr>
                <w:color w:val="000000"/>
                <w:kern w:val="0"/>
                <w:sz w:val="22"/>
                <w:szCs w:val="22"/>
                <w:highlight w:val="none"/>
              </w:rPr>
            </w:pPr>
          </w:p>
        </w:tc>
        <w:tc>
          <w:tcPr>
            <w:tcW w:w="798" w:type="pct"/>
            <w:shd w:val="clear" w:color="auto" w:fill="FFFFFF"/>
            <w:vAlign w:val="center"/>
          </w:tcPr>
          <w:p w14:paraId="40E03CCF">
            <w:pPr>
              <w:widowControl/>
              <w:spacing w:line="0" w:lineRule="atLeast"/>
              <w:jc w:val="center"/>
              <w:rPr>
                <w:color w:val="000000"/>
                <w:kern w:val="0"/>
                <w:sz w:val="22"/>
                <w:szCs w:val="22"/>
                <w:highlight w:val="none"/>
              </w:rPr>
            </w:pPr>
            <w:r>
              <w:rPr>
                <w:color w:val="000000"/>
                <w:kern w:val="0"/>
                <w:sz w:val="22"/>
                <w:szCs w:val="22"/>
                <w:highlight w:val="none"/>
              </w:rPr>
              <w:t>绩效指标</w:t>
            </w:r>
          </w:p>
          <w:p w14:paraId="3742CD5C">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421" w:type="pct"/>
            <w:shd w:val="clear" w:color="000000" w:fill="FFFFFF"/>
            <w:vAlign w:val="center"/>
          </w:tcPr>
          <w:p w14:paraId="14862C62">
            <w:pPr>
              <w:widowControl/>
              <w:spacing w:line="0" w:lineRule="atLeast"/>
              <w:jc w:val="center"/>
              <w:rPr>
                <w:color w:val="000000"/>
                <w:kern w:val="0"/>
                <w:sz w:val="22"/>
                <w:szCs w:val="22"/>
                <w:highlight w:val="none"/>
              </w:rPr>
            </w:pPr>
            <w:r>
              <w:rPr>
                <w:color w:val="000000"/>
                <w:kern w:val="0"/>
                <w:sz w:val="22"/>
                <w:szCs w:val="22"/>
                <w:highlight w:val="none"/>
              </w:rPr>
              <w:t>3</w:t>
            </w:r>
          </w:p>
        </w:tc>
        <w:tc>
          <w:tcPr>
            <w:tcW w:w="643" w:type="pct"/>
            <w:shd w:val="clear" w:color="000000" w:fill="FFFFFF"/>
            <w:vAlign w:val="center"/>
          </w:tcPr>
          <w:p w14:paraId="2AD686DE">
            <w:pPr>
              <w:widowControl/>
              <w:spacing w:line="0" w:lineRule="atLeast"/>
              <w:jc w:val="center"/>
              <w:rPr>
                <w:color w:val="000000"/>
                <w:kern w:val="0"/>
                <w:sz w:val="22"/>
                <w:szCs w:val="22"/>
                <w:highlight w:val="none"/>
              </w:rPr>
            </w:pPr>
            <w:r>
              <w:rPr>
                <w:color w:val="000000"/>
                <w:kern w:val="0"/>
                <w:sz w:val="22"/>
                <w:szCs w:val="22"/>
                <w:highlight w:val="none"/>
              </w:rPr>
              <w:t>明确</w:t>
            </w:r>
          </w:p>
        </w:tc>
        <w:tc>
          <w:tcPr>
            <w:tcW w:w="586" w:type="pct"/>
            <w:shd w:val="clear" w:color="000000" w:fill="FFFFFF"/>
            <w:vAlign w:val="center"/>
          </w:tcPr>
          <w:p w14:paraId="68D915FD">
            <w:pPr>
              <w:widowControl/>
              <w:spacing w:line="0" w:lineRule="atLeast"/>
              <w:jc w:val="center"/>
              <w:rPr>
                <w:color w:val="000000"/>
                <w:kern w:val="0"/>
                <w:sz w:val="22"/>
                <w:szCs w:val="22"/>
                <w:highlight w:val="none"/>
              </w:rPr>
            </w:pPr>
            <w:r>
              <w:rPr>
                <w:color w:val="000000"/>
                <w:kern w:val="0"/>
                <w:sz w:val="22"/>
                <w:szCs w:val="22"/>
                <w:highlight w:val="none"/>
              </w:rPr>
              <w:t>明确</w:t>
            </w:r>
          </w:p>
        </w:tc>
        <w:tc>
          <w:tcPr>
            <w:tcW w:w="640" w:type="pct"/>
            <w:shd w:val="clear" w:color="000000" w:fill="FFFFFF"/>
            <w:vAlign w:val="center"/>
          </w:tcPr>
          <w:p w14:paraId="3DE01FE7">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482" w:type="pct"/>
            <w:shd w:val="clear" w:color="000000" w:fill="FFFFFF"/>
            <w:vAlign w:val="center"/>
          </w:tcPr>
          <w:p w14:paraId="06414A3B">
            <w:pPr>
              <w:widowControl/>
              <w:spacing w:line="0" w:lineRule="atLeast"/>
              <w:jc w:val="center"/>
              <w:rPr>
                <w:color w:val="000000"/>
                <w:kern w:val="0"/>
                <w:sz w:val="22"/>
                <w:szCs w:val="22"/>
                <w:highlight w:val="none"/>
              </w:rPr>
            </w:pPr>
            <w:r>
              <w:rPr>
                <w:color w:val="000000"/>
                <w:kern w:val="0"/>
                <w:sz w:val="22"/>
                <w:szCs w:val="22"/>
                <w:highlight w:val="none"/>
              </w:rPr>
              <w:t>3</w:t>
            </w:r>
          </w:p>
        </w:tc>
      </w:tr>
      <w:tr w14:paraId="2EE7D2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376" w:type="pct"/>
            <w:vMerge w:val="continue"/>
            <w:shd w:val="clear" w:color="auto" w:fill="FFFFFF"/>
            <w:vAlign w:val="center"/>
          </w:tcPr>
          <w:p w14:paraId="738BFC45">
            <w:pPr>
              <w:spacing w:line="0" w:lineRule="atLeast"/>
              <w:jc w:val="center"/>
              <w:rPr>
                <w:color w:val="000000"/>
                <w:kern w:val="0"/>
                <w:sz w:val="22"/>
                <w:szCs w:val="22"/>
                <w:highlight w:val="none"/>
              </w:rPr>
            </w:pPr>
          </w:p>
        </w:tc>
        <w:tc>
          <w:tcPr>
            <w:tcW w:w="394" w:type="pct"/>
            <w:vMerge w:val="continue"/>
            <w:shd w:val="clear" w:color="auto" w:fill="FFFFFF"/>
            <w:vAlign w:val="center"/>
          </w:tcPr>
          <w:p w14:paraId="00B2908B">
            <w:pPr>
              <w:spacing w:line="0" w:lineRule="atLeast"/>
              <w:jc w:val="center"/>
              <w:rPr>
                <w:color w:val="000000"/>
                <w:kern w:val="0"/>
                <w:sz w:val="22"/>
                <w:szCs w:val="22"/>
                <w:highlight w:val="none"/>
              </w:rPr>
            </w:pPr>
          </w:p>
        </w:tc>
        <w:tc>
          <w:tcPr>
            <w:tcW w:w="656" w:type="pct"/>
            <w:vMerge w:val="restart"/>
            <w:shd w:val="clear" w:color="auto" w:fill="FFFFFF"/>
            <w:vAlign w:val="center"/>
          </w:tcPr>
          <w:p w14:paraId="1E03F484">
            <w:pPr>
              <w:widowControl/>
              <w:spacing w:line="0" w:lineRule="atLeast"/>
              <w:jc w:val="center"/>
              <w:rPr>
                <w:color w:val="000000"/>
                <w:kern w:val="0"/>
                <w:sz w:val="22"/>
                <w:szCs w:val="22"/>
                <w:highlight w:val="none"/>
              </w:rPr>
            </w:pPr>
            <w:r>
              <w:rPr>
                <w:color w:val="000000"/>
                <w:kern w:val="0"/>
                <w:sz w:val="22"/>
                <w:szCs w:val="22"/>
                <w:highlight w:val="none"/>
              </w:rPr>
              <w:t>资金投入</w:t>
            </w:r>
          </w:p>
        </w:tc>
        <w:tc>
          <w:tcPr>
            <w:tcW w:w="798" w:type="pct"/>
            <w:shd w:val="clear" w:color="auto" w:fill="FFFFFF"/>
            <w:vAlign w:val="center"/>
          </w:tcPr>
          <w:p w14:paraId="6BB21344">
            <w:pPr>
              <w:widowControl/>
              <w:spacing w:line="0" w:lineRule="atLeast"/>
              <w:jc w:val="center"/>
              <w:rPr>
                <w:color w:val="000000"/>
                <w:kern w:val="0"/>
                <w:sz w:val="22"/>
                <w:szCs w:val="22"/>
                <w:highlight w:val="none"/>
              </w:rPr>
            </w:pPr>
            <w:r>
              <w:rPr>
                <w:color w:val="000000"/>
                <w:kern w:val="0"/>
                <w:sz w:val="22"/>
                <w:szCs w:val="22"/>
                <w:highlight w:val="none"/>
              </w:rPr>
              <w:t>预算编制</w:t>
            </w:r>
          </w:p>
          <w:p w14:paraId="53613C36">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421" w:type="pct"/>
            <w:shd w:val="clear" w:color="auto" w:fill="FFFFFF"/>
            <w:vAlign w:val="center"/>
          </w:tcPr>
          <w:p w14:paraId="5208ABE6">
            <w:pPr>
              <w:widowControl/>
              <w:spacing w:line="0" w:lineRule="atLeast"/>
              <w:jc w:val="center"/>
              <w:rPr>
                <w:color w:val="000000"/>
                <w:kern w:val="0"/>
                <w:sz w:val="22"/>
                <w:szCs w:val="22"/>
                <w:highlight w:val="none"/>
              </w:rPr>
            </w:pPr>
            <w:r>
              <w:rPr>
                <w:color w:val="000000"/>
                <w:kern w:val="0"/>
                <w:sz w:val="22"/>
                <w:szCs w:val="22"/>
                <w:highlight w:val="none"/>
              </w:rPr>
              <w:t>4</w:t>
            </w:r>
          </w:p>
        </w:tc>
        <w:tc>
          <w:tcPr>
            <w:tcW w:w="643" w:type="pct"/>
            <w:shd w:val="clear" w:color="auto" w:fill="FFFFFF"/>
            <w:vAlign w:val="center"/>
          </w:tcPr>
          <w:p w14:paraId="3CFD665A">
            <w:pPr>
              <w:widowControl/>
              <w:spacing w:line="0" w:lineRule="atLeast"/>
              <w:jc w:val="center"/>
              <w:rPr>
                <w:color w:val="000000"/>
                <w:kern w:val="0"/>
                <w:sz w:val="22"/>
                <w:szCs w:val="22"/>
                <w:highlight w:val="none"/>
              </w:rPr>
            </w:pPr>
            <w:r>
              <w:rPr>
                <w:color w:val="000000"/>
                <w:kern w:val="0"/>
                <w:sz w:val="22"/>
                <w:szCs w:val="22"/>
                <w:highlight w:val="none"/>
              </w:rPr>
              <w:t>科学</w:t>
            </w:r>
          </w:p>
        </w:tc>
        <w:tc>
          <w:tcPr>
            <w:tcW w:w="586" w:type="pct"/>
            <w:shd w:val="clear" w:color="auto" w:fill="FFFFFF"/>
            <w:vAlign w:val="center"/>
          </w:tcPr>
          <w:p w14:paraId="2E4C9228">
            <w:pPr>
              <w:widowControl/>
              <w:spacing w:line="0" w:lineRule="atLeast"/>
              <w:jc w:val="center"/>
              <w:rPr>
                <w:color w:val="000000"/>
                <w:kern w:val="0"/>
                <w:sz w:val="22"/>
                <w:szCs w:val="22"/>
                <w:highlight w:val="none"/>
              </w:rPr>
            </w:pPr>
            <w:r>
              <w:rPr>
                <w:color w:val="000000"/>
                <w:kern w:val="0"/>
                <w:sz w:val="22"/>
                <w:szCs w:val="22"/>
                <w:highlight w:val="none"/>
              </w:rPr>
              <w:t>科学</w:t>
            </w:r>
          </w:p>
        </w:tc>
        <w:tc>
          <w:tcPr>
            <w:tcW w:w="640" w:type="pct"/>
            <w:shd w:val="clear" w:color="auto" w:fill="FFFFFF"/>
            <w:vAlign w:val="center"/>
          </w:tcPr>
          <w:p w14:paraId="53E9E853">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482" w:type="pct"/>
            <w:shd w:val="clear" w:color="auto" w:fill="FFFFFF"/>
            <w:vAlign w:val="center"/>
          </w:tcPr>
          <w:p w14:paraId="7DD09041">
            <w:pPr>
              <w:widowControl/>
              <w:spacing w:line="0" w:lineRule="atLeast"/>
              <w:jc w:val="center"/>
              <w:rPr>
                <w:color w:val="000000"/>
                <w:kern w:val="0"/>
                <w:sz w:val="22"/>
                <w:szCs w:val="22"/>
                <w:highlight w:val="none"/>
              </w:rPr>
            </w:pPr>
            <w:r>
              <w:rPr>
                <w:color w:val="000000"/>
                <w:kern w:val="0"/>
                <w:sz w:val="22"/>
                <w:szCs w:val="22"/>
                <w:highlight w:val="none"/>
              </w:rPr>
              <w:t>4</w:t>
            </w:r>
          </w:p>
        </w:tc>
      </w:tr>
      <w:tr w14:paraId="0482E1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376" w:type="pct"/>
            <w:vMerge w:val="continue"/>
            <w:shd w:val="clear" w:color="auto" w:fill="FFFFFF"/>
            <w:vAlign w:val="center"/>
          </w:tcPr>
          <w:p w14:paraId="3061F9C1">
            <w:pPr>
              <w:widowControl/>
              <w:spacing w:line="0" w:lineRule="atLeast"/>
              <w:jc w:val="center"/>
              <w:rPr>
                <w:color w:val="000000"/>
                <w:kern w:val="0"/>
                <w:sz w:val="22"/>
                <w:szCs w:val="22"/>
                <w:highlight w:val="none"/>
              </w:rPr>
            </w:pPr>
          </w:p>
        </w:tc>
        <w:tc>
          <w:tcPr>
            <w:tcW w:w="394" w:type="pct"/>
            <w:vMerge w:val="continue"/>
            <w:shd w:val="clear" w:color="auto" w:fill="FFFFFF"/>
            <w:vAlign w:val="center"/>
          </w:tcPr>
          <w:p w14:paraId="20E0001E">
            <w:pPr>
              <w:widowControl/>
              <w:spacing w:line="0" w:lineRule="atLeast"/>
              <w:jc w:val="center"/>
              <w:rPr>
                <w:color w:val="000000"/>
                <w:kern w:val="0"/>
                <w:sz w:val="22"/>
                <w:szCs w:val="22"/>
                <w:highlight w:val="none"/>
              </w:rPr>
            </w:pPr>
          </w:p>
        </w:tc>
        <w:tc>
          <w:tcPr>
            <w:tcW w:w="656" w:type="pct"/>
            <w:vMerge w:val="continue"/>
            <w:shd w:val="clear" w:color="auto" w:fill="FFFFFF"/>
            <w:vAlign w:val="center"/>
          </w:tcPr>
          <w:p w14:paraId="6DF85F49">
            <w:pPr>
              <w:widowControl/>
              <w:spacing w:line="0" w:lineRule="atLeast"/>
              <w:jc w:val="center"/>
              <w:rPr>
                <w:color w:val="000000"/>
                <w:kern w:val="0"/>
                <w:sz w:val="22"/>
                <w:szCs w:val="22"/>
                <w:highlight w:val="none"/>
              </w:rPr>
            </w:pPr>
          </w:p>
        </w:tc>
        <w:tc>
          <w:tcPr>
            <w:tcW w:w="798" w:type="pct"/>
            <w:shd w:val="clear" w:color="auto" w:fill="FFFFFF"/>
            <w:vAlign w:val="center"/>
          </w:tcPr>
          <w:p w14:paraId="7A379D74">
            <w:pPr>
              <w:widowControl/>
              <w:spacing w:line="0" w:lineRule="atLeast"/>
              <w:jc w:val="center"/>
              <w:rPr>
                <w:color w:val="000000"/>
                <w:kern w:val="0"/>
                <w:sz w:val="22"/>
                <w:szCs w:val="22"/>
                <w:highlight w:val="none"/>
              </w:rPr>
            </w:pPr>
            <w:r>
              <w:rPr>
                <w:color w:val="000000"/>
                <w:kern w:val="0"/>
                <w:sz w:val="22"/>
                <w:szCs w:val="22"/>
                <w:highlight w:val="none"/>
              </w:rPr>
              <w:t>资金分配</w:t>
            </w:r>
          </w:p>
          <w:p w14:paraId="0A4AC826">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421" w:type="pct"/>
            <w:shd w:val="clear" w:color="auto" w:fill="FFFFFF"/>
            <w:vAlign w:val="center"/>
          </w:tcPr>
          <w:p w14:paraId="351DC95B">
            <w:pPr>
              <w:widowControl/>
              <w:spacing w:line="0" w:lineRule="atLeast"/>
              <w:jc w:val="center"/>
              <w:rPr>
                <w:color w:val="000000"/>
                <w:kern w:val="0"/>
                <w:sz w:val="22"/>
                <w:szCs w:val="22"/>
                <w:highlight w:val="none"/>
              </w:rPr>
            </w:pPr>
            <w:r>
              <w:rPr>
                <w:color w:val="000000"/>
                <w:kern w:val="0"/>
                <w:sz w:val="22"/>
                <w:szCs w:val="22"/>
                <w:highlight w:val="none"/>
              </w:rPr>
              <w:t>4</w:t>
            </w:r>
          </w:p>
        </w:tc>
        <w:tc>
          <w:tcPr>
            <w:tcW w:w="643" w:type="pct"/>
            <w:shd w:val="clear" w:color="auto" w:fill="FFFFFF"/>
            <w:vAlign w:val="center"/>
          </w:tcPr>
          <w:p w14:paraId="2C7CE0B0">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586" w:type="pct"/>
            <w:shd w:val="clear" w:color="auto" w:fill="FFFFFF"/>
            <w:vAlign w:val="center"/>
          </w:tcPr>
          <w:p w14:paraId="5674B28B">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640" w:type="pct"/>
            <w:shd w:val="clear" w:color="auto" w:fill="FFFFFF"/>
            <w:vAlign w:val="center"/>
          </w:tcPr>
          <w:p w14:paraId="2C59325A">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482" w:type="pct"/>
            <w:shd w:val="clear" w:color="auto" w:fill="FFFFFF"/>
            <w:vAlign w:val="center"/>
          </w:tcPr>
          <w:p w14:paraId="16978C2D">
            <w:pPr>
              <w:widowControl/>
              <w:spacing w:line="0" w:lineRule="atLeast"/>
              <w:jc w:val="center"/>
              <w:rPr>
                <w:color w:val="000000"/>
                <w:kern w:val="0"/>
                <w:sz w:val="22"/>
                <w:szCs w:val="22"/>
                <w:highlight w:val="none"/>
              </w:rPr>
            </w:pPr>
            <w:r>
              <w:rPr>
                <w:color w:val="000000"/>
                <w:kern w:val="0"/>
                <w:sz w:val="22"/>
                <w:szCs w:val="22"/>
                <w:highlight w:val="none"/>
              </w:rPr>
              <w:t>4</w:t>
            </w:r>
          </w:p>
        </w:tc>
      </w:tr>
      <w:tr w14:paraId="4C9718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376" w:type="pct"/>
            <w:vMerge w:val="restart"/>
            <w:shd w:val="clear" w:color="auto" w:fill="FFFFFF"/>
            <w:vAlign w:val="center"/>
          </w:tcPr>
          <w:p w14:paraId="017FFBCB">
            <w:pPr>
              <w:spacing w:line="0" w:lineRule="atLeast"/>
              <w:jc w:val="center"/>
              <w:rPr>
                <w:color w:val="000000"/>
                <w:kern w:val="0"/>
                <w:sz w:val="22"/>
                <w:szCs w:val="22"/>
                <w:highlight w:val="none"/>
              </w:rPr>
            </w:pPr>
            <w:r>
              <w:rPr>
                <w:color w:val="000000"/>
                <w:kern w:val="0"/>
                <w:sz w:val="22"/>
                <w:szCs w:val="22"/>
                <w:highlight w:val="none"/>
              </w:rPr>
              <w:t>过程</w:t>
            </w:r>
          </w:p>
          <w:p w14:paraId="6EFDC0FD">
            <w:pPr>
              <w:spacing w:line="0" w:lineRule="atLeast"/>
              <w:jc w:val="center"/>
              <w:rPr>
                <w:color w:val="000000"/>
                <w:kern w:val="0"/>
                <w:sz w:val="22"/>
                <w:szCs w:val="22"/>
                <w:highlight w:val="none"/>
              </w:rPr>
            </w:pPr>
            <w:r>
              <w:rPr>
                <w:color w:val="000000"/>
                <w:kern w:val="0"/>
                <w:sz w:val="22"/>
                <w:szCs w:val="22"/>
                <w:highlight w:val="none"/>
              </w:rPr>
              <w:t>　</w:t>
            </w:r>
          </w:p>
        </w:tc>
        <w:tc>
          <w:tcPr>
            <w:tcW w:w="394" w:type="pct"/>
            <w:vMerge w:val="restart"/>
            <w:shd w:val="clear" w:color="auto" w:fill="FFFFFF"/>
            <w:vAlign w:val="center"/>
          </w:tcPr>
          <w:p w14:paraId="370C3008">
            <w:pPr>
              <w:widowControl/>
              <w:spacing w:line="0" w:lineRule="atLeast"/>
              <w:jc w:val="center"/>
              <w:rPr>
                <w:color w:val="000000"/>
                <w:kern w:val="0"/>
                <w:sz w:val="22"/>
                <w:szCs w:val="22"/>
                <w:highlight w:val="none"/>
              </w:rPr>
            </w:pPr>
            <w:r>
              <w:rPr>
                <w:kern w:val="0"/>
                <w:sz w:val="22"/>
                <w:szCs w:val="22"/>
                <w:highlight w:val="none"/>
              </w:rPr>
              <w:t>20分</w:t>
            </w:r>
          </w:p>
        </w:tc>
        <w:tc>
          <w:tcPr>
            <w:tcW w:w="656" w:type="pct"/>
            <w:vMerge w:val="restart"/>
            <w:shd w:val="clear" w:color="auto" w:fill="FFFFFF"/>
            <w:vAlign w:val="center"/>
          </w:tcPr>
          <w:p w14:paraId="3B41FCC9">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798" w:type="pct"/>
            <w:shd w:val="clear" w:color="auto" w:fill="FFFFFF"/>
            <w:vAlign w:val="center"/>
          </w:tcPr>
          <w:p w14:paraId="2E097104">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421" w:type="pct"/>
            <w:shd w:val="clear" w:color="000000" w:fill="FFFFFF"/>
            <w:vAlign w:val="center"/>
          </w:tcPr>
          <w:p w14:paraId="319D14D9">
            <w:pPr>
              <w:widowControl/>
              <w:spacing w:line="0" w:lineRule="atLeast"/>
              <w:jc w:val="center"/>
              <w:rPr>
                <w:color w:val="000000"/>
                <w:kern w:val="0"/>
                <w:sz w:val="22"/>
                <w:szCs w:val="22"/>
                <w:highlight w:val="none"/>
              </w:rPr>
            </w:pPr>
            <w:r>
              <w:rPr>
                <w:color w:val="000000"/>
                <w:kern w:val="0"/>
                <w:sz w:val="22"/>
                <w:szCs w:val="22"/>
                <w:highlight w:val="none"/>
              </w:rPr>
              <w:t>4</w:t>
            </w:r>
          </w:p>
        </w:tc>
        <w:tc>
          <w:tcPr>
            <w:tcW w:w="643" w:type="pct"/>
            <w:shd w:val="clear" w:color="000000" w:fill="FFFFFF"/>
            <w:vAlign w:val="center"/>
          </w:tcPr>
          <w:p w14:paraId="192FD280">
            <w:pPr>
              <w:widowControl/>
              <w:spacing w:line="0" w:lineRule="atLeast"/>
              <w:jc w:val="center"/>
              <w:rPr>
                <w:color w:val="000000"/>
                <w:kern w:val="0"/>
                <w:sz w:val="22"/>
                <w:szCs w:val="22"/>
                <w:highlight w:val="none"/>
              </w:rPr>
            </w:pPr>
            <w:r>
              <w:rPr>
                <w:color w:val="000000"/>
                <w:kern w:val="0"/>
                <w:sz w:val="22"/>
                <w:szCs w:val="22"/>
                <w:highlight w:val="none"/>
              </w:rPr>
              <w:t>100%</w:t>
            </w:r>
          </w:p>
        </w:tc>
        <w:tc>
          <w:tcPr>
            <w:tcW w:w="586" w:type="pct"/>
            <w:shd w:val="clear" w:color="000000" w:fill="FFFFFF"/>
            <w:vAlign w:val="center"/>
          </w:tcPr>
          <w:p w14:paraId="3A1C76C1">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640" w:type="pct"/>
            <w:shd w:val="clear" w:color="000000" w:fill="FFFFFF"/>
            <w:vAlign w:val="center"/>
          </w:tcPr>
          <w:p w14:paraId="23F2DD6B">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482" w:type="pct"/>
            <w:shd w:val="clear" w:color="000000" w:fill="FFFFFF"/>
            <w:vAlign w:val="center"/>
          </w:tcPr>
          <w:p w14:paraId="46B22D6A">
            <w:pPr>
              <w:widowControl/>
              <w:spacing w:line="0" w:lineRule="atLeast"/>
              <w:jc w:val="center"/>
              <w:rPr>
                <w:color w:val="000000"/>
                <w:kern w:val="0"/>
                <w:sz w:val="22"/>
                <w:szCs w:val="22"/>
                <w:highlight w:val="none"/>
              </w:rPr>
            </w:pPr>
            <w:r>
              <w:rPr>
                <w:color w:val="000000"/>
                <w:kern w:val="0"/>
                <w:sz w:val="22"/>
                <w:szCs w:val="22"/>
                <w:highlight w:val="none"/>
              </w:rPr>
              <w:t>4</w:t>
            </w:r>
          </w:p>
        </w:tc>
      </w:tr>
      <w:tr w14:paraId="64B935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376" w:type="pct"/>
            <w:vMerge w:val="continue"/>
            <w:shd w:val="clear" w:color="auto" w:fill="FFFFFF"/>
            <w:vAlign w:val="center"/>
          </w:tcPr>
          <w:p w14:paraId="7CDFFA8C">
            <w:pPr>
              <w:spacing w:line="0" w:lineRule="atLeast"/>
              <w:jc w:val="center"/>
              <w:rPr>
                <w:color w:val="000000"/>
                <w:kern w:val="0"/>
                <w:sz w:val="22"/>
                <w:szCs w:val="22"/>
                <w:highlight w:val="none"/>
              </w:rPr>
            </w:pPr>
          </w:p>
        </w:tc>
        <w:tc>
          <w:tcPr>
            <w:tcW w:w="394" w:type="pct"/>
            <w:vMerge w:val="continue"/>
            <w:shd w:val="clear" w:color="auto" w:fill="FFFFFF"/>
            <w:vAlign w:val="center"/>
          </w:tcPr>
          <w:p w14:paraId="2B8092B3">
            <w:pPr>
              <w:spacing w:line="0" w:lineRule="atLeast"/>
              <w:jc w:val="center"/>
              <w:rPr>
                <w:color w:val="000000"/>
                <w:kern w:val="0"/>
                <w:sz w:val="22"/>
                <w:szCs w:val="22"/>
                <w:highlight w:val="none"/>
              </w:rPr>
            </w:pPr>
          </w:p>
        </w:tc>
        <w:tc>
          <w:tcPr>
            <w:tcW w:w="656" w:type="pct"/>
            <w:vMerge w:val="continue"/>
            <w:shd w:val="clear" w:color="auto" w:fill="FFFFFF"/>
            <w:vAlign w:val="center"/>
          </w:tcPr>
          <w:p w14:paraId="02F01311">
            <w:pPr>
              <w:spacing w:line="0" w:lineRule="atLeast"/>
              <w:jc w:val="center"/>
              <w:rPr>
                <w:color w:val="000000"/>
                <w:kern w:val="0"/>
                <w:sz w:val="22"/>
                <w:szCs w:val="22"/>
                <w:highlight w:val="none"/>
              </w:rPr>
            </w:pPr>
          </w:p>
        </w:tc>
        <w:tc>
          <w:tcPr>
            <w:tcW w:w="798" w:type="pct"/>
            <w:shd w:val="clear" w:color="auto" w:fill="FFFFFF"/>
            <w:vAlign w:val="center"/>
          </w:tcPr>
          <w:p w14:paraId="21A8110D">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421" w:type="pct"/>
            <w:shd w:val="clear" w:color="auto" w:fill="FFFFFF"/>
            <w:vAlign w:val="center"/>
          </w:tcPr>
          <w:p w14:paraId="5FF19DC3">
            <w:pPr>
              <w:widowControl/>
              <w:spacing w:line="0" w:lineRule="atLeast"/>
              <w:jc w:val="center"/>
              <w:rPr>
                <w:color w:val="000000"/>
                <w:kern w:val="0"/>
                <w:sz w:val="22"/>
                <w:szCs w:val="22"/>
                <w:highlight w:val="none"/>
              </w:rPr>
            </w:pPr>
            <w:r>
              <w:rPr>
                <w:color w:val="000000"/>
                <w:kern w:val="0"/>
                <w:sz w:val="22"/>
                <w:szCs w:val="22"/>
                <w:highlight w:val="none"/>
              </w:rPr>
              <w:t>4</w:t>
            </w:r>
          </w:p>
        </w:tc>
        <w:tc>
          <w:tcPr>
            <w:tcW w:w="643" w:type="pct"/>
            <w:shd w:val="clear" w:color="auto" w:fill="FFFFFF"/>
            <w:vAlign w:val="center"/>
          </w:tcPr>
          <w:p w14:paraId="151CCA76">
            <w:pPr>
              <w:widowControl/>
              <w:spacing w:line="0" w:lineRule="atLeast"/>
              <w:jc w:val="center"/>
              <w:rPr>
                <w:color w:val="000000"/>
                <w:kern w:val="0"/>
                <w:sz w:val="22"/>
                <w:szCs w:val="22"/>
                <w:highlight w:val="none"/>
              </w:rPr>
            </w:pPr>
            <w:r>
              <w:rPr>
                <w:color w:val="000000"/>
                <w:kern w:val="0"/>
                <w:sz w:val="22"/>
                <w:szCs w:val="22"/>
                <w:highlight w:val="none"/>
              </w:rPr>
              <w:t>100%</w:t>
            </w:r>
          </w:p>
        </w:tc>
        <w:tc>
          <w:tcPr>
            <w:tcW w:w="586" w:type="pct"/>
            <w:shd w:val="clear" w:color="auto" w:fill="FFFFFF"/>
            <w:vAlign w:val="center"/>
          </w:tcPr>
          <w:p w14:paraId="707A1BCF">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640" w:type="pct"/>
            <w:shd w:val="clear" w:color="auto" w:fill="FFFFFF"/>
            <w:vAlign w:val="center"/>
          </w:tcPr>
          <w:p w14:paraId="03B00EC3">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482" w:type="pct"/>
            <w:shd w:val="clear" w:color="auto" w:fill="FFFFFF"/>
            <w:vAlign w:val="center"/>
          </w:tcPr>
          <w:p w14:paraId="1CFB1BA6">
            <w:pPr>
              <w:widowControl/>
              <w:spacing w:line="0" w:lineRule="atLeast"/>
              <w:jc w:val="center"/>
              <w:rPr>
                <w:color w:val="000000"/>
                <w:kern w:val="0"/>
                <w:sz w:val="22"/>
                <w:szCs w:val="22"/>
                <w:highlight w:val="none"/>
              </w:rPr>
            </w:pPr>
            <w:r>
              <w:rPr>
                <w:color w:val="000000"/>
                <w:kern w:val="0"/>
                <w:sz w:val="22"/>
                <w:szCs w:val="22"/>
                <w:highlight w:val="none"/>
              </w:rPr>
              <w:t>4</w:t>
            </w:r>
          </w:p>
        </w:tc>
      </w:tr>
      <w:tr w14:paraId="6377A4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376" w:type="pct"/>
            <w:vMerge w:val="continue"/>
            <w:shd w:val="clear" w:color="auto" w:fill="FFFFFF"/>
            <w:vAlign w:val="center"/>
          </w:tcPr>
          <w:p w14:paraId="126196E4">
            <w:pPr>
              <w:spacing w:line="0" w:lineRule="atLeast"/>
              <w:jc w:val="center"/>
              <w:rPr>
                <w:color w:val="000000"/>
                <w:kern w:val="0"/>
                <w:sz w:val="22"/>
                <w:szCs w:val="22"/>
                <w:highlight w:val="none"/>
              </w:rPr>
            </w:pPr>
          </w:p>
        </w:tc>
        <w:tc>
          <w:tcPr>
            <w:tcW w:w="394" w:type="pct"/>
            <w:vMerge w:val="continue"/>
            <w:shd w:val="clear" w:color="auto" w:fill="FFFFFF"/>
            <w:vAlign w:val="center"/>
          </w:tcPr>
          <w:p w14:paraId="69AF82AE">
            <w:pPr>
              <w:widowControl/>
              <w:spacing w:line="0" w:lineRule="atLeast"/>
              <w:jc w:val="center"/>
              <w:rPr>
                <w:color w:val="000000"/>
                <w:kern w:val="0"/>
                <w:sz w:val="22"/>
                <w:szCs w:val="22"/>
                <w:highlight w:val="none"/>
              </w:rPr>
            </w:pPr>
          </w:p>
        </w:tc>
        <w:tc>
          <w:tcPr>
            <w:tcW w:w="656" w:type="pct"/>
            <w:shd w:val="clear" w:color="auto" w:fill="FFFFFF"/>
            <w:vAlign w:val="center"/>
          </w:tcPr>
          <w:p w14:paraId="42669169">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798" w:type="pct"/>
            <w:shd w:val="clear" w:color="auto" w:fill="FFFFFF"/>
            <w:vAlign w:val="center"/>
          </w:tcPr>
          <w:p w14:paraId="3BF1DCFF">
            <w:pPr>
              <w:widowControl/>
              <w:spacing w:line="0" w:lineRule="atLeast"/>
              <w:jc w:val="center"/>
              <w:rPr>
                <w:color w:val="000000"/>
                <w:kern w:val="0"/>
                <w:sz w:val="22"/>
                <w:szCs w:val="22"/>
                <w:highlight w:val="none"/>
              </w:rPr>
            </w:pPr>
            <w:r>
              <w:rPr>
                <w:color w:val="000000"/>
                <w:kern w:val="0"/>
                <w:sz w:val="22"/>
                <w:szCs w:val="22"/>
                <w:highlight w:val="none"/>
              </w:rPr>
              <w:t>资金使用</w:t>
            </w:r>
          </w:p>
          <w:p w14:paraId="2BE931B8">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421" w:type="pct"/>
            <w:shd w:val="clear" w:color="000000" w:fill="FFFFFF"/>
            <w:vAlign w:val="center"/>
          </w:tcPr>
          <w:p w14:paraId="26E4177D">
            <w:pPr>
              <w:widowControl/>
              <w:spacing w:line="0" w:lineRule="atLeast"/>
              <w:jc w:val="center"/>
              <w:rPr>
                <w:color w:val="000000"/>
                <w:kern w:val="0"/>
                <w:sz w:val="22"/>
                <w:szCs w:val="22"/>
                <w:highlight w:val="none"/>
              </w:rPr>
            </w:pPr>
            <w:r>
              <w:rPr>
                <w:color w:val="000000"/>
                <w:kern w:val="0"/>
                <w:sz w:val="22"/>
                <w:szCs w:val="22"/>
                <w:highlight w:val="none"/>
              </w:rPr>
              <w:t>4</w:t>
            </w:r>
          </w:p>
        </w:tc>
        <w:tc>
          <w:tcPr>
            <w:tcW w:w="643" w:type="pct"/>
            <w:shd w:val="clear" w:color="000000" w:fill="FFFFFF"/>
            <w:vAlign w:val="center"/>
          </w:tcPr>
          <w:p w14:paraId="7E8705C4">
            <w:pPr>
              <w:widowControl/>
              <w:spacing w:line="0" w:lineRule="atLeast"/>
              <w:jc w:val="center"/>
              <w:rPr>
                <w:color w:val="000000"/>
                <w:kern w:val="0"/>
                <w:sz w:val="22"/>
                <w:szCs w:val="22"/>
                <w:highlight w:val="none"/>
              </w:rPr>
            </w:pPr>
            <w:r>
              <w:rPr>
                <w:color w:val="000000"/>
                <w:kern w:val="0"/>
                <w:sz w:val="22"/>
                <w:szCs w:val="22"/>
                <w:highlight w:val="none"/>
              </w:rPr>
              <w:t>合格</w:t>
            </w:r>
          </w:p>
        </w:tc>
        <w:tc>
          <w:tcPr>
            <w:tcW w:w="586" w:type="pct"/>
            <w:shd w:val="clear" w:color="000000" w:fill="FFFFFF"/>
            <w:vAlign w:val="center"/>
          </w:tcPr>
          <w:p w14:paraId="3FA66B48">
            <w:pPr>
              <w:widowControl/>
              <w:spacing w:line="0" w:lineRule="atLeast"/>
              <w:jc w:val="center"/>
              <w:rPr>
                <w:color w:val="000000"/>
                <w:kern w:val="0"/>
                <w:sz w:val="22"/>
                <w:szCs w:val="22"/>
                <w:highlight w:val="none"/>
              </w:rPr>
            </w:pPr>
            <w:r>
              <w:rPr>
                <w:color w:val="000000"/>
                <w:kern w:val="0"/>
                <w:sz w:val="22"/>
                <w:szCs w:val="22"/>
                <w:highlight w:val="none"/>
              </w:rPr>
              <w:t>合格</w:t>
            </w:r>
          </w:p>
        </w:tc>
        <w:tc>
          <w:tcPr>
            <w:tcW w:w="640" w:type="pct"/>
            <w:shd w:val="clear" w:color="000000" w:fill="FFFFFF"/>
            <w:vAlign w:val="center"/>
          </w:tcPr>
          <w:p w14:paraId="44EA56AC">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482" w:type="pct"/>
            <w:shd w:val="clear" w:color="000000" w:fill="FFFFFF"/>
            <w:vAlign w:val="center"/>
          </w:tcPr>
          <w:p w14:paraId="38DE67FE">
            <w:pPr>
              <w:widowControl/>
              <w:spacing w:line="0" w:lineRule="atLeast"/>
              <w:jc w:val="center"/>
              <w:rPr>
                <w:color w:val="000000"/>
                <w:kern w:val="0"/>
                <w:sz w:val="22"/>
                <w:szCs w:val="22"/>
                <w:highlight w:val="none"/>
              </w:rPr>
            </w:pPr>
            <w:r>
              <w:rPr>
                <w:color w:val="000000"/>
                <w:kern w:val="0"/>
                <w:sz w:val="22"/>
                <w:szCs w:val="22"/>
                <w:highlight w:val="none"/>
              </w:rPr>
              <w:t>4</w:t>
            </w:r>
          </w:p>
        </w:tc>
      </w:tr>
      <w:tr w14:paraId="4C92D4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376" w:type="pct"/>
            <w:vMerge w:val="continue"/>
            <w:shd w:val="clear" w:color="auto" w:fill="FFFFFF"/>
            <w:vAlign w:val="center"/>
          </w:tcPr>
          <w:p w14:paraId="27339D69">
            <w:pPr>
              <w:spacing w:line="0" w:lineRule="atLeast"/>
              <w:jc w:val="center"/>
              <w:rPr>
                <w:color w:val="000000"/>
                <w:kern w:val="0"/>
                <w:sz w:val="22"/>
                <w:szCs w:val="22"/>
                <w:highlight w:val="none"/>
              </w:rPr>
            </w:pPr>
          </w:p>
        </w:tc>
        <w:tc>
          <w:tcPr>
            <w:tcW w:w="394" w:type="pct"/>
            <w:vMerge w:val="continue"/>
            <w:shd w:val="clear" w:color="auto" w:fill="FFFFFF"/>
            <w:vAlign w:val="center"/>
          </w:tcPr>
          <w:p w14:paraId="35019483">
            <w:pPr>
              <w:spacing w:line="0" w:lineRule="atLeast"/>
              <w:jc w:val="center"/>
              <w:rPr>
                <w:color w:val="000000"/>
                <w:kern w:val="0"/>
                <w:sz w:val="22"/>
                <w:szCs w:val="22"/>
                <w:highlight w:val="none"/>
              </w:rPr>
            </w:pPr>
          </w:p>
        </w:tc>
        <w:tc>
          <w:tcPr>
            <w:tcW w:w="656" w:type="pct"/>
            <w:vMerge w:val="restart"/>
            <w:shd w:val="clear" w:color="auto" w:fill="FFFFFF"/>
            <w:vAlign w:val="center"/>
          </w:tcPr>
          <w:p w14:paraId="0CAC5E83">
            <w:pPr>
              <w:widowControl/>
              <w:spacing w:line="0" w:lineRule="atLeast"/>
              <w:jc w:val="center"/>
              <w:rPr>
                <w:color w:val="000000"/>
                <w:kern w:val="0"/>
                <w:sz w:val="22"/>
                <w:szCs w:val="22"/>
                <w:highlight w:val="none"/>
              </w:rPr>
            </w:pPr>
            <w:r>
              <w:rPr>
                <w:color w:val="000000"/>
                <w:kern w:val="0"/>
                <w:sz w:val="22"/>
                <w:szCs w:val="22"/>
                <w:highlight w:val="none"/>
              </w:rPr>
              <w:t>组织实施</w:t>
            </w:r>
          </w:p>
        </w:tc>
        <w:tc>
          <w:tcPr>
            <w:tcW w:w="798" w:type="pct"/>
            <w:shd w:val="clear" w:color="auto" w:fill="FFFFFF"/>
            <w:vAlign w:val="center"/>
          </w:tcPr>
          <w:p w14:paraId="14E5F4CC">
            <w:pPr>
              <w:widowControl/>
              <w:spacing w:line="0" w:lineRule="atLeast"/>
              <w:jc w:val="center"/>
              <w:rPr>
                <w:color w:val="000000"/>
                <w:kern w:val="0"/>
                <w:sz w:val="22"/>
                <w:szCs w:val="22"/>
                <w:highlight w:val="none"/>
              </w:rPr>
            </w:pPr>
            <w:r>
              <w:rPr>
                <w:color w:val="000000"/>
                <w:kern w:val="0"/>
                <w:sz w:val="22"/>
                <w:szCs w:val="22"/>
                <w:highlight w:val="none"/>
              </w:rPr>
              <w:t>管理制度</w:t>
            </w:r>
          </w:p>
          <w:p w14:paraId="2DCEAEC0">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421" w:type="pct"/>
            <w:shd w:val="clear" w:color="000000" w:fill="FFFFFF"/>
            <w:vAlign w:val="center"/>
          </w:tcPr>
          <w:p w14:paraId="3C73C003">
            <w:pPr>
              <w:widowControl/>
              <w:spacing w:line="0" w:lineRule="atLeast"/>
              <w:jc w:val="center"/>
              <w:rPr>
                <w:color w:val="000000"/>
                <w:kern w:val="0"/>
                <w:sz w:val="22"/>
                <w:szCs w:val="22"/>
                <w:highlight w:val="none"/>
              </w:rPr>
            </w:pPr>
            <w:r>
              <w:rPr>
                <w:color w:val="000000"/>
                <w:kern w:val="0"/>
                <w:sz w:val="22"/>
                <w:szCs w:val="22"/>
                <w:highlight w:val="none"/>
              </w:rPr>
              <w:t>4</w:t>
            </w:r>
          </w:p>
        </w:tc>
        <w:tc>
          <w:tcPr>
            <w:tcW w:w="643" w:type="pct"/>
            <w:shd w:val="clear" w:color="000000" w:fill="FFFFFF"/>
            <w:vAlign w:val="center"/>
          </w:tcPr>
          <w:p w14:paraId="56357EAE">
            <w:pPr>
              <w:widowControl/>
              <w:spacing w:line="0" w:lineRule="atLeast"/>
              <w:jc w:val="center"/>
              <w:rPr>
                <w:color w:val="000000"/>
                <w:kern w:val="0"/>
                <w:sz w:val="22"/>
                <w:szCs w:val="22"/>
                <w:highlight w:val="none"/>
              </w:rPr>
            </w:pPr>
            <w:r>
              <w:rPr>
                <w:color w:val="000000"/>
                <w:kern w:val="0"/>
                <w:sz w:val="22"/>
                <w:szCs w:val="22"/>
                <w:highlight w:val="none"/>
              </w:rPr>
              <w:t>健全</w:t>
            </w:r>
          </w:p>
        </w:tc>
        <w:tc>
          <w:tcPr>
            <w:tcW w:w="586" w:type="pct"/>
            <w:shd w:val="clear" w:color="000000" w:fill="FFFFFF"/>
            <w:vAlign w:val="center"/>
          </w:tcPr>
          <w:p w14:paraId="26010A67">
            <w:pPr>
              <w:widowControl/>
              <w:spacing w:line="0" w:lineRule="atLeast"/>
              <w:jc w:val="center"/>
              <w:rPr>
                <w:color w:val="000000"/>
                <w:kern w:val="0"/>
                <w:sz w:val="22"/>
                <w:szCs w:val="22"/>
                <w:highlight w:val="none"/>
              </w:rPr>
            </w:pPr>
            <w:r>
              <w:rPr>
                <w:color w:val="000000"/>
                <w:kern w:val="0"/>
                <w:sz w:val="22"/>
                <w:szCs w:val="22"/>
                <w:highlight w:val="none"/>
              </w:rPr>
              <w:t>健全</w:t>
            </w:r>
          </w:p>
        </w:tc>
        <w:tc>
          <w:tcPr>
            <w:tcW w:w="640" w:type="pct"/>
            <w:shd w:val="clear" w:color="000000" w:fill="FFFFFF"/>
            <w:vAlign w:val="center"/>
          </w:tcPr>
          <w:p w14:paraId="3D14E1CA">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482" w:type="pct"/>
            <w:shd w:val="clear" w:color="000000" w:fill="FFFFFF"/>
            <w:vAlign w:val="center"/>
          </w:tcPr>
          <w:p w14:paraId="32F1EA7C">
            <w:pPr>
              <w:widowControl/>
              <w:spacing w:line="0" w:lineRule="atLeast"/>
              <w:jc w:val="center"/>
              <w:rPr>
                <w:color w:val="000000"/>
                <w:kern w:val="0"/>
                <w:sz w:val="22"/>
                <w:szCs w:val="22"/>
                <w:highlight w:val="none"/>
              </w:rPr>
            </w:pPr>
            <w:r>
              <w:rPr>
                <w:color w:val="000000"/>
                <w:kern w:val="0"/>
                <w:sz w:val="22"/>
                <w:szCs w:val="22"/>
                <w:highlight w:val="none"/>
              </w:rPr>
              <w:t>4</w:t>
            </w:r>
          </w:p>
        </w:tc>
      </w:tr>
      <w:tr w14:paraId="483C37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376" w:type="pct"/>
            <w:vMerge w:val="continue"/>
            <w:shd w:val="clear" w:color="auto" w:fill="FFFFFF"/>
            <w:vAlign w:val="center"/>
          </w:tcPr>
          <w:p w14:paraId="7A7CEEDC">
            <w:pPr>
              <w:widowControl/>
              <w:spacing w:line="0" w:lineRule="atLeast"/>
              <w:jc w:val="center"/>
              <w:rPr>
                <w:color w:val="000000"/>
                <w:kern w:val="0"/>
                <w:sz w:val="22"/>
                <w:szCs w:val="22"/>
                <w:highlight w:val="none"/>
              </w:rPr>
            </w:pPr>
          </w:p>
        </w:tc>
        <w:tc>
          <w:tcPr>
            <w:tcW w:w="394" w:type="pct"/>
            <w:vMerge w:val="continue"/>
            <w:shd w:val="clear" w:color="auto" w:fill="FFFFFF"/>
            <w:vAlign w:val="center"/>
          </w:tcPr>
          <w:p w14:paraId="728526F5">
            <w:pPr>
              <w:widowControl/>
              <w:spacing w:line="0" w:lineRule="atLeast"/>
              <w:jc w:val="center"/>
              <w:rPr>
                <w:color w:val="000000"/>
                <w:kern w:val="0"/>
                <w:sz w:val="22"/>
                <w:szCs w:val="22"/>
                <w:highlight w:val="none"/>
              </w:rPr>
            </w:pPr>
          </w:p>
        </w:tc>
        <w:tc>
          <w:tcPr>
            <w:tcW w:w="656" w:type="pct"/>
            <w:vMerge w:val="continue"/>
            <w:shd w:val="clear" w:color="auto" w:fill="FFFFFF"/>
            <w:vAlign w:val="center"/>
          </w:tcPr>
          <w:p w14:paraId="25659843">
            <w:pPr>
              <w:widowControl/>
              <w:spacing w:line="0" w:lineRule="atLeast"/>
              <w:jc w:val="center"/>
              <w:rPr>
                <w:color w:val="000000"/>
                <w:kern w:val="0"/>
                <w:sz w:val="22"/>
                <w:szCs w:val="22"/>
                <w:highlight w:val="none"/>
              </w:rPr>
            </w:pPr>
          </w:p>
        </w:tc>
        <w:tc>
          <w:tcPr>
            <w:tcW w:w="798" w:type="pct"/>
            <w:shd w:val="clear" w:color="auto" w:fill="FFFFFF"/>
            <w:vAlign w:val="center"/>
          </w:tcPr>
          <w:p w14:paraId="675B4C5D">
            <w:pPr>
              <w:widowControl/>
              <w:spacing w:line="0" w:lineRule="atLeast"/>
              <w:jc w:val="center"/>
              <w:rPr>
                <w:color w:val="000000"/>
                <w:kern w:val="0"/>
                <w:sz w:val="22"/>
                <w:szCs w:val="22"/>
                <w:highlight w:val="none"/>
              </w:rPr>
            </w:pPr>
            <w:r>
              <w:rPr>
                <w:color w:val="000000"/>
                <w:kern w:val="0"/>
                <w:sz w:val="22"/>
                <w:szCs w:val="22"/>
                <w:highlight w:val="none"/>
              </w:rPr>
              <w:t>制度执行</w:t>
            </w:r>
          </w:p>
          <w:p w14:paraId="634FBC10">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421" w:type="pct"/>
            <w:shd w:val="clear" w:color="000000" w:fill="FFFFFF"/>
            <w:vAlign w:val="center"/>
          </w:tcPr>
          <w:p w14:paraId="122C7188">
            <w:pPr>
              <w:widowControl/>
              <w:spacing w:line="0" w:lineRule="atLeast"/>
              <w:jc w:val="center"/>
              <w:rPr>
                <w:color w:val="000000"/>
                <w:kern w:val="0"/>
                <w:sz w:val="22"/>
                <w:szCs w:val="22"/>
                <w:highlight w:val="none"/>
              </w:rPr>
            </w:pPr>
            <w:r>
              <w:rPr>
                <w:color w:val="000000"/>
                <w:kern w:val="0"/>
                <w:sz w:val="22"/>
                <w:szCs w:val="22"/>
                <w:highlight w:val="none"/>
              </w:rPr>
              <w:t>4</w:t>
            </w:r>
          </w:p>
        </w:tc>
        <w:tc>
          <w:tcPr>
            <w:tcW w:w="643" w:type="pct"/>
            <w:shd w:val="clear" w:color="000000" w:fill="FFFFFF"/>
            <w:vAlign w:val="center"/>
          </w:tcPr>
          <w:p w14:paraId="204DE711">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586" w:type="pct"/>
            <w:shd w:val="clear" w:color="000000" w:fill="FFFFFF"/>
            <w:vAlign w:val="center"/>
          </w:tcPr>
          <w:p w14:paraId="18E14177">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640" w:type="pct"/>
            <w:shd w:val="clear" w:color="000000" w:fill="FFFFFF"/>
            <w:vAlign w:val="center"/>
          </w:tcPr>
          <w:p w14:paraId="636C2FE9">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482" w:type="pct"/>
            <w:shd w:val="clear" w:color="000000" w:fill="FFFFFF"/>
            <w:vAlign w:val="center"/>
          </w:tcPr>
          <w:p w14:paraId="35075E95">
            <w:pPr>
              <w:widowControl/>
              <w:spacing w:line="0" w:lineRule="atLeast"/>
              <w:jc w:val="center"/>
              <w:rPr>
                <w:color w:val="000000"/>
                <w:kern w:val="0"/>
                <w:sz w:val="22"/>
                <w:szCs w:val="22"/>
                <w:highlight w:val="none"/>
              </w:rPr>
            </w:pPr>
            <w:r>
              <w:rPr>
                <w:color w:val="000000"/>
                <w:kern w:val="0"/>
                <w:sz w:val="22"/>
                <w:szCs w:val="22"/>
                <w:highlight w:val="none"/>
              </w:rPr>
              <w:t>4</w:t>
            </w:r>
          </w:p>
        </w:tc>
      </w:tr>
      <w:tr w14:paraId="563D2F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376" w:type="pct"/>
            <w:vMerge w:val="restart"/>
            <w:shd w:val="clear" w:color="auto" w:fill="FFFFFF"/>
            <w:vAlign w:val="center"/>
          </w:tcPr>
          <w:p w14:paraId="507AB4D8">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394" w:type="pct"/>
            <w:vMerge w:val="restart"/>
            <w:shd w:val="clear" w:color="auto" w:fill="FFFFFF"/>
            <w:vAlign w:val="center"/>
          </w:tcPr>
          <w:p w14:paraId="0728835E">
            <w:pPr>
              <w:widowControl/>
              <w:spacing w:line="0" w:lineRule="atLeast"/>
              <w:jc w:val="center"/>
              <w:rPr>
                <w:color w:val="000000"/>
                <w:kern w:val="0"/>
                <w:sz w:val="22"/>
                <w:szCs w:val="22"/>
                <w:highlight w:val="none"/>
              </w:rPr>
            </w:pPr>
            <w:r>
              <w:rPr>
                <w:kern w:val="0"/>
                <w:sz w:val="22"/>
                <w:szCs w:val="22"/>
                <w:highlight w:val="none"/>
              </w:rPr>
              <w:t>40分</w:t>
            </w:r>
          </w:p>
        </w:tc>
        <w:tc>
          <w:tcPr>
            <w:tcW w:w="656" w:type="pct"/>
            <w:shd w:val="clear" w:color="auto" w:fill="FFFFFF"/>
            <w:vAlign w:val="center"/>
          </w:tcPr>
          <w:p w14:paraId="2DB9AE9F">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798" w:type="pct"/>
            <w:shd w:val="clear" w:color="auto" w:fill="FFFFFF"/>
            <w:vAlign w:val="center"/>
          </w:tcPr>
          <w:p w14:paraId="7F28B154">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421" w:type="pct"/>
            <w:shd w:val="clear" w:color="000000" w:fill="FFFFFF"/>
            <w:vAlign w:val="center"/>
          </w:tcPr>
          <w:p w14:paraId="7C1F2391">
            <w:pPr>
              <w:widowControl/>
              <w:spacing w:line="0" w:lineRule="atLeast"/>
              <w:jc w:val="center"/>
              <w:rPr>
                <w:color w:val="000000"/>
                <w:kern w:val="0"/>
                <w:sz w:val="22"/>
                <w:szCs w:val="22"/>
                <w:highlight w:val="none"/>
              </w:rPr>
            </w:pPr>
            <w:r>
              <w:rPr>
                <w:color w:val="000000"/>
                <w:kern w:val="0"/>
                <w:sz w:val="22"/>
                <w:szCs w:val="22"/>
                <w:highlight w:val="none"/>
              </w:rPr>
              <w:t>10</w:t>
            </w:r>
          </w:p>
        </w:tc>
        <w:tc>
          <w:tcPr>
            <w:tcW w:w="643" w:type="pct"/>
            <w:shd w:val="clear" w:color="000000" w:fill="FFFFFF"/>
            <w:vAlign w:val="center"/>
          </w:tcPr>
          <w:p w14:paraId="73210392">
            <w:pPr>
              <w:widowControl/>
              <w:spacing w:line="0" w:lineRule="atLeast"/>
              <w:jc w:val="center"/>
              <w:rPr>
                <w:color w:val="000000"/>
                <w:kern w:val="0"/>
                <w:sz w:val="22"/>
                <w:szCs w:val="22"/>
                <w:highlight w:val="none"/>
              </w:rPr>
            </w:pPr>
            <w:r>
              <w:rPr>
                <w:color w:val="000000"/>
                <w:kern w:val="0"/>
                <w:sz w:val="22"/>
                <w:szCs w:val="22"/>
                <w:highlight w:val="none"/>
              </w:rPr>
              <w:t>100%</w:t>
            </w:r>
          </w:p>
        </w:tc>
        <w:tc>
          <w:tcPr>
            <w:tcW w:w="586" w:type="pct"/>
            <w:shd w:val="clear" w:color="000000" w:fill="FFFFFF"/>
            <w:vAlign w:val="center"/>
          </w:tcPr>
          <w:p w14:paraId="6ABB6970">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640" w:type="pct"/>
            <w:shd w:val="clear" w:color="000000" w:fill="FFFFFF"/>
            <w:vAlign w:val="center"/>
          </w:tcPr>
          <w:p w14:paraId="5C83F17E">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482" w:type="pct"/>
            <w:shd w:val="clear" w:color="000000" w:fill="FFFFFF"/>
            <w:vAlign w:val="center"/>
          </w:tcPr>
          <w:p w14:paraId="06E76D71">
            <w:pPr>
              <w:widowControl/>
              <w:spacing w:line="0" w:lineRule="atLeast"/>
              <w:jc w:val="center"/>
              <w:rPr>
                <w:color w:val="000000"/>
                <w:kern w:val="0"/>
                <w:sz w:val="22"/>
                <w:szCs w:val="22"/>
                <w:highlight w:val="none"/>
              </w:rPr>
            </w:pPr>
            <w:r>
              <w:rPr>
                <w:color w:val="000000"/>
                <w:kern w:val="0"/>
                <w:sz w:val="22"/>
                <w:szCs w:val="22"/>
                <w:highlight w:val="none"/>
              </w:rPr>
              <w:t>10</w:t>
            </w:r>
          </w:p>
        </w:tc>
      </w:tr>
      <w:tr w14:paraId="399A2D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376" w:type="pct"/>
            <w:vMerge w:val="continue"/>
            <w:shd w:val="clear" w:color="auto" w:fill="FFFFFF"/>
            <w:vAlign w:val="center"/>
          </w:tcPr>
          <w:p w14:paraId="09649DBC">
            <w:pPr>
              <w:widowControl/>
              <w:spacing w:line="0" w:lineRule="atLeast"/>
              <w:jc w:val="center"/>
              <w:rPr>
                <w:color w:val="000000"/>
                <w:kern w:val="0"/>
                <w:sz w:val="22"/>
                <w:szCs w:val="22"/>
                <w:highlight w:val="none"/>
              </w:rPr>
            </w:pPr>
          </w:p>
        </w:tc>
        <w:tc>
          <w:tcPr>
            <w:tcW w:w="394" w:type="pct"/>
            <w:vMerge w:val="continue"/>
            <w:shd w:val="clear" w:color="auto" w:fill="FFFFFF"/>
            <w:vAlign w:val="center"/>
          </w:tcPr>
          <w:p w14:paraId="44986E43">
            <w:pPr>
              <w:widowControl/>
              <w:spacing w:line="0" w:lineRule="atLeast"/>
              <w:jc w:val="center"/>
              <w:rPr>
                <w:color w:val="000000"/>
                <w:kern w:val="0"/>
                <w:sz w:val="22"/>
                <w:szCs w:val="22"/>
                <w:highlight w:val="none"/>
              </w:rPr>
            </w:pPr>
          </w:p>
        </w:tc>
        <w:tc>
          <w:tcPr>
            <w:tcW w:w="656" w:type="pct"/>
            <w:shd w:val="clear" w:color="auto" w:fill="FFFFFF"/>
            <w:vAlign w:val="center"/>
          </w:tcPr>
          <w:p w14:paraId="2E4C92EE">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798" w:type="pct"/>
            <w:shd w:val="clear" w:color="auto" w:fill="FFFFFF"/>
            <w:vAlign w:val="center"/>
          </w:tcPr>
          <w:p w14:paraId="0FE7B0E6">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421" w:type="pct"/>
            <w:shd w:val="clear" w:color="000000" w:fill="FFFFFF"/>
            <w:vAlign w:val="center"/>
          </w:tcPr>
          <w:p w14:paraId="783EB129">
            <w:pPr>
              <w:widowControl/>
              <w:spacing w:line="0" w:lineRule="atLeast"/>
              <w:jc w:val="center"/>
              <w:rPr>
                <w:color w:val="000000"/>
                <w:kern w:val="0"/>
                <w:sz w:val="22"/>
                <w:szCs w:val="22"/>
                <w:highlight w:val="none"/>
              </w:rPr>
            </w:pPr>
            <w:r>
              <w:rPr>
                <w:color w:val="000000"/>
                <w:kern w:val="0"/>
                <w:sz w:val="22"/>
                <w:szCs w:val="22"/>
                <w:highlight w:val="none"/>
              </w:rPr>
              <w:t>10</w:t>
            </w:r>
          </w:p>
        </w:tc>
        <w:tc>
          <w:tcPr>
            <w:tcW w:w="643" w:type="pct"/>
            <w:shd w:val="clear" w:color="000000" w:fill="FFFFFF"/>
            <w:vAlign w:val="center"/>
          </w:tcPr>
          <w:p w14:paraId="7F06B2B9">
            <w:pPr>
              <w:widowControl/>
              <w:spacing w:line="0" w:lineRule="atLeast"/>
              <w:jc w:val="center"/>
              <w:rPr>
                <w:color w:val="000000"/>
                <w:kern w:val="0"/>
                <w:sz w:val="22"/>
                <w:szCs w:val="22"/>
                <w:highlight w:val="none"/>
              </w:rPr>
            </w:pPr>
            <w:r>
              <w:rPr>
                <w:color w:val="000000"/>
                <w:kern w:val="0"/>
                <w:sz w:val="22"/>
                <w:szCs w:val="22"/>
                <w:highlight w:val="none"/>
              </w:rPr>
              <w:t>100%</w:t>
            </w:r>
          </w:p>
        </w:tc>
        <w:tc>
          <w:tcPr>
            <w:tcW w:w="586" w:type="pct"/>
            <w:shd w:val="clear" w:color="000000" w:fill="FFFFFF"/>
            <w:vAlign w:val="center"/>
          </w:tcPr>
          <w:p w14:paraId="5E5DFB44">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640" w:type="pct"/>
            <w:shd w:val="clear" w:color="000000" w:fill="FFFFFF"/>
            <w:vAlign w:val="center"/>
          </w:tcPr>
          <w:p w14:paraId="495636C4">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482" w:type="pct"/>
            <w:shd w:val="clear" w:color="000000" w:fill="FFFFFF"/>
            <w:vAlign w:val="center"/>
          </w:tcPr>
          <w:p w14:paraId="4D1F947D">
            <w:pPr>
              <w:widowControl/>
              <w:spacing w:line="0" w:lineRule="atLeast"/>
              <w:jc w:val="center"/>
              <w:rPr>
                <w:color w:val="000000"/>
                <w:kern w:val="0"/>
                <w:sz w:val="22"/>
                <w:szCs w:val="22"/>
                <w:highlight w:val="none"/>
              </w:rPr>
            </w:pPr>
            <w:r>
              <w:rPr>
                <w:color w:val="000000"/>
                <w:kern w:val="0"/>
                <w:sz w:val="22"/>
                <w:szCs w:val="22"/>
                <w:highlight w:val="none"/>
              </w:rPr>
              <w:t>10</w:t>
            </w:r>
          </w:p>
        </w:tc>
      </w:tr>
      <w:tr w14:paraId="62D1D3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376" w:type="pct"/>
            <w:vMerge w:val="continue"/>
            <w:shd w:val="clear" w:color="auto" w:fill="FFFFFF"/>
            <w:vAlign w:val="center"/>
          </w:tcPr>
          <w:p w14:paraId="422A2285">
            <w:pPr>
              <w:spacing w:line="0" w:lineRule="atLeast"/>
              <w:jc w:val="center"/>
              <w:rPr>
                <w:color w:val="000000"/>
                <w:kern w:val="0"/>
                <w:sz w:val="22"/>
                <w:szCs w:val="22"/>
                <w:highlight w:val="none"/>
              </w:rPr>
            </w:pPr>
          </w:p>
        </w:tc>
        <w:tc>
          <w:tcPr>
            <w:tcW w:w="394" w:type="pct"/>
            <w:vMerge w:val="continue"/>
            <w:shd w:val="clear" w:color="auto" w:fill="FFFFFF"/>
            <w:vAlign w:val="center"/>
          </w:tcPr>
          <w:p w14:paraId="48224CC6">
            <w:pPr>
              <w:spacing w:line="0" w:lineRule="atLeast"/>
              <w:jc w:val="center"/>
              <w:rPr>
                <w:color w:val="000000"/>
                <w:kern w:val="0"/>
                <w:sz w:val="22"/>
                <w:szCs w:val="22"/>
                <w:highlight w:val="none"/>
              </w:rPr>
            </w:pPr>
          </w:p>
        </w:tc>
        <w:tc>
          <w:tcPr>
            <w:tcW w:w="656" w:type="pct"/>
            <w:shd w:val="clear" w:color="auto" w:fill="FFFFFF"/>
            <w:vAlign w:val="center"/>
          </w:tcPr>
          <w:p w14:paraId="3DC1B069">
            <w:pPr>
              <w:spacing w:line="0" w:lineRule="atLeast"/>
              <w:jc w:val="center"/>
              <w:rPr>
                <w:color w:val="000000"/>
                <w:kern w:val="0"/>
                <w:sz w:val="22"/>
                <w:szCs w:val="22"/>
                <w:highlight w:val="none"/>
              </w:rPr>
            </w:pPr>
            <w:r>
              <w:rPr>
                <w:color w:val="000000"/>
                <w:kern w:val="0"/>
                <w:sz w:val="22"/>
                <w:szCs w:val="22"/>
                <w:highlight w:val="none"/>
              </w:rPr>
              <w:t>产出时效</w:t>
            </w:r>
          </w:p>
        </w:tc>
        <w:tc>
          <w:tcPr>
            <w:tcW w:w="798" w:type="pct"/>
            <w:shd w:val="clear" w:color="auto" w:fill="FFFFFF"/>
            <w:vAlign w:val="center"/>
          </w:tcPr>
          <w:p w14:paraId="7B26280F">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421" w:type="pct"/>
            <w:shd w:val="clear" w:color="000000" w:fill="FFFFFF"/>
            <w:vAlign w:val="center"/>
          </w:tcPr>
          <w:p w14:paraId="796EB09F">
            <w:pPr>
              <w:widowControl/>
              <w:spacing w:line="0" w:lineRule="atLeast"/>
              <w:jc w:val="center"/>
              <w:rPr>
                <w:color w:val="000000"/>
                <w:kern w:val="0"/>
                <w:sz w:val="22"/>
                <w:szCs w:val="22"/>
                <w:highlight w:val="none"/>
              </w:rPr>
            </w:pPr>
            <w:r>
              <w:rPr>
                <w:color w:val="000000"/>
                <w:kern w:val="0"/>
                <w:sz w:val="22"/>
                <w:szCs w:val="22"/>
                <w:highlight w:val="none"/>
              </w:rPr>
              <w:t>10</w:t>
            </w:r>
          </w:p>
        </w:tc>
        <w:tc>
          <w:tcPr>
            <w:tcW w:w="643" w:type="pct"/>
            <w:shd w:val="clear" w:color="000000" w:fill="FFFFFF"/>
            <w:vAlign w:val="center"/>
          </w:tcPr>
          <w:p w14:paraId="0642EFF4">
            <w:pPr>
              <w:widowControl/>
              <w:spacing w:line="0" w:lineRule="atLeast"/>
              <w:jc w:val="center"/>
              <w:rPr>
                <w:color w:val="000000"/>
                <w:kern w:val="0"/>
                <w:sz w:val="22"/>
                <w:szCs w:val="22"/>
                <w:highlight w:val="none"/>
              </w:rPr>
            </w:pPr>
            <w:r>
              <w:rPr>
                <w:color w:val="000000"/>
                <w:kern w:val="0"/>
                <w:sz w:val="22"/>
                <w:szCs w:val="22"/>
                <w:highlight w:val="none"/>
              </w:rPr>
              <w:t>及时</w:t>
            </w:r>
          </w:p>
        </w:tc>
        <w:tc>
          <w:tcPr>
            <w:tcW w:w="586" w:type="pct"/>
            <w:shd w:val="clear" w:color="000000" w:fill="FFFFFF"/>
            <w:vAlign w:val="center"/>
          </w:tcPr>
          <w:p w14:paraId="24CBD738">
            <w:pPr>
              <w:widowControl/>
              <w:spacing w:line="0" w:lineRule="atLeast"/>
              <w:jc w:val="center"/>
              <w:rPr>
                <w:color w:val="000000"/>
                <w:kern w:val="0"/>
                <w:sz w:val="22"/>
                <w:szCs w:val="22"/>
                <w:highlight w:val="none"/>
              </w:rPr>
            </w:pPr>
            <w:r>
              <w:rPr>
                <w:color w:val="000000"/>
                <w:kern w:val="0"/>
                <w:sz w:val="22"/>
                <w:szCs w:val="22"/>
                <w:highlight w:val="none"/>
              </w:rPr>
              <w:t>及时</w:t>
            </w:r>
          </w:p>
        </w:tc>
        <w:tc>
          <w:tcPr>
            <w:tcW w:w="640" w:type="pct"/>
            <w:shd w:val="clear" w:color="000000" w:fill="FFFFFF"/>
            <w:vAlign w:val="center"/>
          </w:tcPr>
          <w:p w14:paraId="41160BE6">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482" w:type="pct"/>
            <w:shd w:val="clear" w:color="000000" w:fill="FFFFFF"/>
            <w:vAlign w:val="center"/>
          </w:tcPr>
          <w:p w14:paraId="2BC66D29">
            <w:pPr>
              <w:widowControl/>
              <w:spacing w:line="0" w:lineRule="atLeast"/>
              <w:jc w:val="center"/>
              <w:rPr>
                <w:color w:val="000000"/>
                <w:kern w:val="0"/>
                <w:sz w:val="22"/>
                <w:szCs w:val="22"/>
                <w:highlight w:val="none"/>
              </w:rPr>
            </w:pPr>
            <w:r>
              <w:rPr>
                <w:color w:val="000000"/>
                <w:kern w:val="0"/>
                <w:sz w:val="22"/>
                <w:szCs w:val="22"/>
                <w:highlight w:val="none"/>
              </w:rPr>
              <w:t>10</w:t>
            </w:r>
          </w:p>
        </w:tc>
      </w:tr>
      <w:tr w14:paraId="7BDE38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376" w:type="pct"/>
            <w:vMerge w:val="continue"/>
            <w:shd w:val="clear" w:color="auto" w:fill="FFFFFF"/>
            <w:vAlign w:val="center"/>
          </w:tcPr>
          <w:p w14:paraId="77517728">
            <w:pPr>
              <w:widowControl/>
              <w:spacing w:line="0" w:lineRule="atLeast"/>
              <w:jc w:val="center"/>
              <w:rPr>
                <w:color w:val="000000"/>
                <w:kern w:val="0"/>
                <w:sz w:val="22"/>
                <w:szCs w:val="22"/>
                <w:highlight w:val="none"/>
              </w:rPr>
            </w:pPr>
          </w:p>
        </w:tc>
        <w:tc>
          <w:tcPr>
            <w:tcW w:w="394" w:type="pct"/>
            <w:vMerge w:val="continue"/>
            <w:shd w:val="clear" w:color="auto" w:fill="FFFFFF"/>
            <w:vAlign w:val="center"/>
          </w:tcPr>
          <w:p w14:paraId="078D9F8D">
            <w:pPr>
              <w:widowControl/>
              <w:spacing w:line="0" w:lineRule="atLeast"/>
              <w:jc w:val="center"/>
              <w:rPr>
                <w:color w:val="000000"/>
                <w:kern w:val="0"/>
                <w:sz w:val="22"/>
                <w:szCs w:val="22"/>
                <w:highlight w:val="none"/>
              </w:rPr>
            </w:pPr>
          </w:p>
        </w:tc>
        <w:tc>
          <w:tcPr>
            <w:tcW w:w="656" w:type="pct"/>
            <w:shd w:val="clear" w:color="auto" w:fill="FFFFFF"/>
            <w:vAlign w:val="center"/>
          </w:tcPr>
          <w:p w14:paraId="6F96F837">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798" w:type="pct"/>
            <w:shd w:val="clear" w:color="auto" w:fill="FFFFFF"/>
            <w:vAlign w:val="center"/>
          </w:tcPr>
          <w:p w14:paraId="71D886F2">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421" w:type="pct"/>
            <w:shd w:val="clear" w:color="000000" w:fill="FFFFFF"/>
            <w:vAlign w:val="center"/>
          </w:tcPr>
          <w:p w14:paraId="34E96FB5">
            <w:pPr>
              <w:widowControl/>
              <w:spacing w:line="0" w:lineRule="atLeast"/>
              <w:jc w:val="center"/>
              <w:rPr>
                <w:color w:val="000000"/>
                <w:kern w:val="0"/>
                <w:sz w:val="22"/>
                <w:szCs w:val="22"/>
                <w:highlight w:val="none"/>
              </w:rPr>
            </w:pPr>
            <w:r>
              <w:rPr>
                <w:color w:val="000000"/>
                <w:kern w:val="0"/>
                <w:sz w:val="22"/>
                <w:szCs w:val="22"/>
                <w:highlight w:val="none"/>
              </w:rPr>
              <w:t>10</w:t>
            </w:r>
          </w:p>
        </w:tc>
        <w:tc>
          <w:tcPr>
            <w:tcW w:w="643" w:type="pct"/>
            <w:shd w:val="clear" w:color="000000" w:fill="FFFFFF"/>
            <w:vAlign w:val="center"/>
          </w:tcPr>
          <w:p w14:paraId="1E1667E0">
            <w:pPr>
              <w:widowControl/>
              <w:spacing w:line="0" w:lineRule="atLeast"/>
              <w:jc w:val="center"/>
              <w:rPr>
                <w:color w:val="000000"/>
                <w:kern w:val="0"/>
                <w:sz w:val="22"/>
                <w:szCs w:val="22"/>
                <w:highlight w:val="none"/>
              </w:rPr>
            </w:pPr>
            <w:r>
              <w:rPr>
                <w:color w:val="000000"/>
                <w:kern w:val="0"/>
                <w:sz w:val="22"/>
                <w:szCs w:val="22"/>
                <w:highlight w:val="none"/>
              </w:rPr>
              <w:t>100%</w:t>
            </w:r>
          </w:p>
        </w:tc>
        <w:tc>
          <w:tcPr>
            <w:tcW w:w="586" w:type="pct"/>
            <w:shd w:val="clear" w:color="000000" w:fill="FFFFFF"/>
            <w:vAlign w:val="center"/>
          </w:tcPr>
          <w:p w14:paraId="3038604B">
            <w:pPr>
              <w:widowControl/>
              <w:spacing w:line="0" w:lineRule="atLeast"/>
              <w:jc w:val="center"/>
              <w:rPr>
                <w:color w:val="000000"/>
                <w:kern w:val="0"/>
                <w:sz w:val="22"/>
                <w:szCs w:val="22"/>
                <w:highlight w:val="none"/>
              </w:rPr>
            </w:pPr>
            <w:r>
              <w:rPr>
                <w:rFonts w:hint="eastAsia"/>
                <w:color w:val="000000"/>
                <w:kern w:val="0"/>
                <w:sz w:val="22"/>
                <w:szCs w:val="22"/>
                <w:highlight w:val="none"/>
              </w:rPr>
              <w:t>100</w:t>
            </w:r>
            <w:r>
              <w:rPr>
                <w:color w:val="000000"/>
                <w:kern w:val="0"/>
                <w:sz w:val="22"/>
                <w:szCs w:val="22"/>
                <w:highlight w:val="none"/>
              </w:rPr>
              <w:t>%</w:t>
            </w:r>
          </w:p>
        </w:tc>
        <w:tc>
          <w:tcPr>
            <w:tcW w:w="640" w:type="pct"/>
            <w:shd w:val="clear" w:color="000000" w:fill="FFFFFF"/>
            <w:vAlign w:val="center"/>
          </w:tcPr>
          <w:p w14:paraId="01559386">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482" w:type="pct"/>
            <w:shd w:val="clear" w:color="000000" w:fill="FFFFFF"/>
            <w:vAlign w:val="center"/>
          </w:tcPr>
          <w:p w14:paraId="06BC59A9">
            <w:pPr>
              <w:widowControl/>
              <w:spacing w:line="0" w:lineRule="atLeast"/>
              <w:jc w:val="center"/>
              <w:rPr>
                <w:color w:val="000000"/>
                <w:kern w:val="0"/>
                <w:sz w:val="22"/>
                <w:szCs w:val="22"/>
                <w:highlight w:val="none"/>
              </w:rPr>
            </w:pPr>
            <w:r>
              <w:rPr>
                <w:color w:val="000000"/>
                <w:kern w:val="0"/>
                <w:sz w:val="22"/>
                <w:szCs w:val="22"/>
                <w:highlight w:val="none"/>
              </w:rPr>
              <w:t>10</w:t>
            </w:r>
          </w:p>
        </w:tc>
      </w:tr>
      <w:tr w14:paraId="71BD99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376" w:type="pct"/>
            <w:vMerge w:val="restart"/>
            <w:shd w:val="clear" w:color="auto" w:fill="FFFFFF"/>
            <w:vAlign w:val="center"/>
          </w:tcPr>
          <w:p w14:paraId="13EEC241">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394" w:type="pct"/>
            <w:vMerge w:val="restart"/>
            <w:shd w:val="clear" w:color="auto" w:fill="FFFFFF"/>
            <w:vAlign w:val="center"/>
          </w:tcPr>
          <w:p w14:paraId="35E680D3">
            <w:pPr>
              <w:widowControl/>
              <w:spacing w:line="0" w:lineRule="atLeast"/>
              <w:jc w:val="center"/>
              <w:rPr>
                <w:color w:val="000000"/>
                <w:kern w:val="0"/>
                <w:sz w:val="22"/>
                <w:szCs w:val="22"/>
                <w:highlight w:val="none"/>
              </w:rPr>
            </w:pPr>
            <w:r>
              <w:rPr>
                <w:color w:val="000000"/>
                <w:kern w:val="0"/>
                <w:sz w:val="22"/>
                <w:szCs w:val="22"/>
                <w:highlight w:val="none"/>
              </w:rPr>
              <w:t>20分</w:t>
            </w:r>
          </w:p>
        </w:tc>
        <w:tc>
          <w:tcPr>
            <w:tcW w:w="656" w:type="pct"/>
            <w:vMerge w:val="restart"/>
            <w:shd w:val="clear" w:color="auto" w:fill="FFFFFF"/>
            <w:vAlign w:val="center"/>
          </w:tcPr>
          <w:p w14:paraId="350D9488">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798" w:type="pct"/>
            <w:shd w:val="clear" w:color="auto" w:fill="FFFFFF"/>
            <w:vAlign w:val="center"/>
          </w:tcPr>
          <w:p w14:paraId="02AEF23D">
            <w:pPr>
              <w:widowControl/>
              <w:spacing w:line="0" w:lineRule="atLeast"/>
              <w:jc w:val="center"/>
              <w:rPr>
                <w:color w:val="000000"/>
                <w:kern w:val="0"/>
                <w:sz w:val="22"/>
                <w:szCs w:val="22"/>
                <w:highlight w:val="none"/>
              </w:rPr>
            </w:pPr>
            <w:r>
              <w:rPr>
                <w:color w:val="000000"/>
                <w:kern w:val="0"/>
                <w:sz w:val="22"/>
                <w:szCs w:val="22"/>
                <w:highlight w:val="none"/>
              </w:rPr>
              <w:t>实施效益</w:t>
            </w:r>
          </w:p>
          <w:p w14:paraId="03871269">
            <w:pPr>
              <w:widowControl/>
              <w:spacing w:line="0" w:lineRule="atLeast"/>
              <w:jc w:val="center"/>
              <w:rPr>
                <w:color w:val="000000"/>
                <w:kern w:val="0"/>
                <w:sz w:val="22"/>
                <w:szCs w:val="22"/>
                <w:highlight w:val="none"/>
              </w:rPr>
            </w:pPr>
            <w:r>
              <w:rPr>
                <w:color w:val="000000"/>
                <w:kern w:val="0"/>
                <w:sz w:val="22"/>
                <w:szCs w:val="22"/>
                <w:highlight w:val="none"/>
              </w:rPr>
              <w:t>（社会效益、经济效益、可持续效益）</w:t>
            </w:r>
          </w:p>
        </w:tc>
        <w:tc>
          <w:tcPr>
            <w:tcW w:w="421" w:type="pct"/>
            <w:shd w:val="clear" w:color="auto" w:fill="FFFFFF"/>
            <w:vAlign w:val="center"/>
          </w:tcPr>
          <w:p w14:paraId="3FE82CA2">
            <w:pPr>
              <w:widowControl/>
              <w:spacing w:line="0" w:lineRule="atLeast"/>
              <w:jc w:val="center"/>
              <w:rPr>
                <w:color w:val="000000"/>
                <w:kern w:val="0"/>
                <w:sz w:val="22"/>
                <w:szCs w:val="22"/>
                <w:highlight w:val="none"/>
              </w:rPr>
            </w:pPr>
            <w:r>
              <w:rPr>
                <w:color w:val="000000"/>
                <w:kern w:val="0"/>
                <w:sz w:val="22"/>
                <w:szCs w:val="22"/>
                <w:highlight w:val="none"/>
              </w:rPr>
              <w:t>10</w:t>
            </w:r>
          </w:p>
        </w:tc>
        <w:tc>
          <w:tcPr>
            <w:tcW w:w="643" w:type="pct"/>
            <w:shd w:val="clear" w:color="auto" w:fill="FFFFFF"/>
            <w:vAlign w:val="center"/>
          </w:tcPr>
          <w:p w14:paraId="5BB7F796">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586" w:type="pct"/>
            <w:shd w:val="clear" w:color="auto" w:fill="FFFFFF"/>
            <w:vAlign w:val="center"/>
          </w:tcPr>
          <w:p w14:paraId="208FD888">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未竣工</w:t>
            </w:r>
          </w:p>
        </w:tc>
        <w:tc>
          <w:tcPr>
            <w:tcW w:w="640" w:type="pct"/>
            <w:shd w:val="clear" w:color="auto" w:fill="FFFFFF"/>
            <w:vAlign w:val="center"/>
          </w:tcPr>
          <w:p w14:paraId="79CE5C1E">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0%</w:t>
            </w:r>
          </w:p>
        </w:tc>
        <w:tc>
          <w:tcPr>
            <w:tcW w:w="482" w:type="pct"/>
            <w:shd w:val="clear" w:color="auto" w:fill="FFFFFF"/>
            <w:vAlign w:val="center"/>
          </w:tcPr>
          <w:p w14:paraId="07681526">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0</w:t>
            </w:r>
          </w:p>
        </w:tc>
      </w:tr>
      <w:tr w14:paraId="3F13C3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376" w:type="pct"/>
            <w:vMerge w:val="continue"/>
            <w:shd w:val="clear" w:color="auto" w:fill="FFFFFF"/>
            <w:vAlign w:val="center"/>
          </w:tcPr>
          <w:p w14:paraId="284ECF4A">
            <w:pPr>
              <w:widowControl/>
              <w:spacing w:line="0" w:lineRule="atLeast"/>
              <w:jc w:val="center"/>
              <w:rPr>
                <w:color w:val="000000"/>
                <w:kern w:val="0"/>
                <w:sz w:val="22"/>
                <w:szCs w:val="22"/>
                <w:highlight w:val="none"/>
              </w:rPr>
            </w:pPr>
          </w:p>
        </w:tc>
        <w:tc>
          <w:tcPr>
            <w:tcW w:w="394" w:type="pct"/>
            <w:vMerge w:val="continue"/>
            <w:shd w:val="clear" w:color="auto" w:fill="FFFFFF"/>
            <w:vAlign w:val="center"/>
          </w:tcPr>
          <w:p w14:paraId="1E77D650">
            <w:pPr>
              <w:widowControl/>
              <w:spacing w:line="0" w:lineRule="atLeast"/>
              <w:jc w:val="center"/>
              <w:rPr>
                <w:color w:val="000000"/>
                <w:kern w:val="0"/>
                <w:sz w:val="22"/>
                <w:szCs w:val="22"/>
                <w:highlight w:val="none"/>
              </w:rPr>
            </w:pPr>
          </w:p>
        </w:tc>
        <w:tc>
          <w:tcPr>
            <w:tcW w:w="656" w:type="pct"/>
            <w:vMerge w:val="continue"/>
            <w:shd w:val="clear" w:color="auto" w:fill="FFFFFF"/>
            <w:vAlign w:val="center"/>
          </w:tcPr>
          <w:p w14:paraId="5F635F03">
            <w:pPr>
              <w:widowControl/>
              <w:spacing w:line="0" w:lineRule="atLeast"/>
              <w:jc w:val="center"/>
              <w:rPr>
                <w:color w:val="000000"/>
                <w:kern w:val="0"/>
                <w:sz w:val="22"/>
                <w:szCs w:val="22"/>
                <w:highlight w:val="none"/>
              </w:rPr>
            </w:pPr>
          </w:p>
        </w:tc>
        <w:tc>
          <w:tcPr>
            <w:tcW w:w="798" w:type="pct"/>
            <w:shd w:val="clear" w:color="auto" w:fill="FFFFFF"/>
            <w:vAlign w:val="center"/>
          </w:tcPr>
          <w:p w14:paraId="0B76893C">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421" w:type="pct"/>
            <w:shd w:val="clear" w:color="000000" w:fill="FFFFFF"/>
            <w:vAlign w:val="center"/>
          </w:tcPr>
          <w:p w14:paraId="710B80BE">
            <w:pPr>
              <w:widowControl/>
              <w:spacing w:line="0" w:lineRule="atLeast"/>
              <w:jc w:val="center"/>
              <w:rPr>
                <w:color w:val="000000"/>
                <w:kern w:val="0"/>
                <w:sz w:val="22"/>
                <w:szCs w:val="22"/>
                <w:highlight w:val="none"/>
              </w:rPr>
            </w:pPr>
            <w:r>
              <w:rPr>
                <w:color w:val="000000"/>
                <w:kern w:val="0"/>
                <w:sz w:val="22"/>
                <w:szCs w:val="22"/>
                <w:highlight w:val="none"/>
              </w:rPr>
              <w:t>10</w:t>
            </w:r>
          </w:p>
        </w:tc>
        <w:tc>
          <w:tcPr>
            <w:tcW w:w="643" w:type="pct"/>
            <w:shd w:val="clear" w:color="000000" w:fill="FFFFFF"/>
            <w:vAlign w:val="center"/>
          </w:tcPr>
          <w:p w14:paraId="452323C0">
            <w:pPr>
              <w:widowControl/>
              <w:spacing w:line="0" w:lineRule="atLeast"/>
              <w:jc w:val="center"/>
              <w:rPr>
                <w:color w:val="000000"/>
                <w:kern w:val="0"/>
                <w:sz w:val="22"/>
                <w:szCs w:val="22"/>
                <w:highlight w:val="none"/>
              </w:rPr>
            </w:pPr>
            <w:r>
              <w:rPr>
                <w:color w:val="000000"/>
                <w:kern w:val="0"/>
                <w:sz w:val="22"/>
                <w:szCs w:val="22"/>
                <w:highlight w:val="none"/>
              </w:rPr>
              <w:t>≥</w:t>
            </w:r>
            <w:r>
              <w:rPr>
                <w:rFonts w:hint="eastAsia"/>
                <w:color w:val="000000"/>
                <w:kern w:val="0"/>
                <w:sz w:val="22"/>
                <w:szCs w:val="22"/>
                <w:highlight w:val="none"/>
                <w:lang w:val="en-US" w:eastAsia="zh-CN"/>
              </w:rPr>
              <w:t>90</w:t>
            </w:r>
            <w:r>
              <w:rPr>
                <w:color w:val="000000"/>
                <w:kern w:val="0"/>
                <w:sz w:val="22"/>
                <w:szCs w:val="22"/>
                <w:highlight w:val="none"/>
              </w:rPr>
              <w:t>%</w:t>
            </w:r>
          </w:p>
        </w:tc>
        <w:tc>
          <w:tcPr>
            <w:tcW w:w="586" w:type="pct"/>
            <w:shd w:val="clear" w:color="000000" w:fill="FFFFFF"/>
            <w:vAlign w:val="center"/>
          </w:tcPr>
          <w:p w14:paraId="2489AE05">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0</w:t>
            </w:r>
            <w:r>
              <w:rPr>
                <w:color w:val="000000"/>
                <w:kern w:val="0"/>
                <w:sz w:val="22"/>
                <w:szCs w:val="22"/>
                <w:highlight w:val="none"/>
              </w:rPr>
              <w:t>%</w:t>
            </w:r>
          </w:p>
        </w:tc>
        <w:tc>
          <w:tcPr>
            <w:tcW w:w="640" w:type="pct"/>
            <w:shd w:val="clear" w:color="000000" w:fill="FFFFFF"/>
            <w:vAlign w:val="center"/>
          </w:tcPr>
          <w:p w14:paraId="7E77E283">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0%</w:t>
            </w:r>
          </w:p>
        </w:tc>
        <w:tc>
          <w:tcPr>
            <w:tcW w:w="482" w:type="pct"/>
            <w:shd w:val="clear" w:color="000000" w:fill="FFFFFF"/>
            <w:vAlign w:val="center"/>
          </w:tcPr>
          <w:p w14:paraId="0EF69F42">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0</w:t>
            </w:r>
          </w:p>
        </w:tc>
      </w:tr>
      <w:tr w14:paraId="7FFF01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2226" w:type="pct"/>
            <w:gridSpan w:val="4"/>
            <w:shd w:val="clear" w:color="auto" w:fill="FFFFFF"/>
            <w:vAlign w:val="center"/>
          </w:tcPr>
          <w:p w14:paraId="0F434E9F">
            <w:pPr>
              <w:widowControl/>
              <w:spacing w:line="0" w:lineRule="atLeast"/>
              <w:jc w:val="center"/>
              <w:rPr>
                <w:rFonts w:hint="eastAsia"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合计</w:t>
            </w:r>
          </w:p>
        </w:tc>
        <w:tc>
          <w:tcPr>
            <w:tcW w:w="421" w:type="pct"/>
            <w:shd w:val="clear" w:color="000000" w:fill="FFFFFF"/>
            <w:vAlign w:val="center"/>
          </w:tcPr>
          <w:p w14:paraId="74DB76CB">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100</w:t>
            </w:r>
          </w:p>
        </w:tc>
        <w:tc>
          <w:tcPr>
            <w:tcW w:w="643" w:type="pct"/>
            <w:shd w:val="clear" w:color="000000" w:fill="FFFFFF"/>
            <w:vAlign w:val="center"/>
          </w:tcPr>
          <w:p w14:paraId="72E41085">
            <w:pPr>
              <w:widowControl/>
              <w:spacing w:line="0" w:lineRule="atLeast"/>
              <w:jc w:val="center"/>
              <w:rPr>
                <w:rFonts w:hint="eastAsia"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w:t>
            </w:r>
          </w:p>
        </w:tc>
        <w:tc>
          <w:tcPr>
            <w:tcW w:w="586" w:type="pct"/>
            <w:shd w:val="clear" w:color="000000" w:fill="FFFFFF"/>
            <w:vAlign w:val="center"/>
          </w:tcPr>
          <w:p w14:paraId="45064529">
            <w:pPr>
              <w:widowControl/>
              <w:spacing w:line="0" w:lineRule="atLeast"/>
              <w:jc w:val="center"/>
              <w:rPr>
                <w:rFonts w:hint="default"/>
                <w:b/>
                <w:bCs/>
                <w:color w:val="000000"/>
                <w:kern w:val="0"/>
                <w:sz w:val="22"/>
                <w:szCs w:val="22"/>
                <w:highlight w:val="none"/>
                <w:lang w:val="en-US" w:eastAsia="zh-CN"/>
              </w:rPr>
            </w:pPr>
            <w:r>
              <w:rPr>
                <w:rFonts w:hint="eastAsia"/>
                <w:b/>
                <w:bCs/>
                <w:color w:val="000000"/>
                <w:kern w:val="0"/>
                <w:sz w:val="22"/>
                <w:szCs w:val="22"/>
                <w:highlight w:val="none"/>
                <w:lang w:val="en-US" w:eastAsia="zh-CN"/>
              </w:rPr>
              <w:t>-</w:t>
            </w:r>
          </w:p>
        </w:tc>
        <w:tc>
          <w:tcPr>
            <w:tcW w:w="640" w:type="pct"/>
            <w:shd w:val="clear" w:color="000000" w:fill="FFFFFF"/>
            <w:vAlign w:val="center"/>
          </w:tcPr>
          <w:p w14:paraId="655C0154">
            <w:pPr>
              <w:widowControl/>
              <w:spacing w:line="0" w:lineRule="atLeast"/>
              <w:jc w:val="center"/>
              <w:rPr>
                <w:rFonts w:hint="default"/>
                <w:b/>
                <w:bCs/>
                <w:color w:val="000000"/>
                <w:kern w:val="0"/>
                <w:sz w:val="22"/>
                <w:szCs w:val="22"/>
                <w:highlight w:val="none"/>
                <w:lang w:val="en-US" w:eastAsia="zh-CN"/>
              </w:rPr>
            </w:pPr>
            <w:r>
              <w:rPr>
                <w:rFonts w:hint="eastAsia"/>
                <w:b/>
                <w:bCs/>
                <w:color w:val="000000"/>
                <w:kern w:val="0"/>
                <w:sz w:val="22"/>
                <w:szCs w:val="22"/>
                <w:highlight w:val="none"/>
                <w:lang w:val="en-US" w:eastAsia="zh-CN"/>
              </w:rPr>
              <w:t>-</w:t>
            </w:r>
          </w:p>
        </w:tc>
        <w:tc>
          <w:tcPr>
            <w:tcW w:w="482" w:type="pct"/>
            <w:shd w:val="clear" w:color="000000" w:fill="FFFFFF"/>
            <w:vAlign w:val="center"/>
          </w:tcPr>
          <w:p w14:paraId="7DF6B424">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80</w:t>
            </w:r>
          </w:p>
        </w:tc>
      </w:tr>
    </w:tbl>
    <w:p w14:paraId="233958D0">
      <w:pPr>
        <w:pageBreakBefore w:val="0"/>
        <w:kinsoku/>
        <w:wordWrap/>
        <w:overflowPunct/>
        <w:topLinePunct w:val="0"/>
        <w:autoSpaceDE/>
        <w:autoSpaceDN/>
        <w:bidi w:val="0"/>
        <w:adjustRightInd/>
        <w:spacing w:line="560" w:lineRule="exact"/>
        <w:ind w:firstLine="640" w:firstLineChars="200"/>
        <w:textAlignment w:val="auto"/>
        <w:rPr>
          <w:rFonts w:eastAsia="黑体"/>
          <w:sz w:val="32"/>
          <w:szCs w:val="32"/>
          <w:highlight w:val="none"/>
        </w:rPr>
      </w:pPr>
      <w:r>
        <w:rPr>
          <w:rFonts w:eastAsia="黑体"/>
          <w:sz w:val="32"/>
          <w:szCs w:val="32"/>
          <w:highlight w:val="none"/>
        </w:rPr>
        <w:t>四、绩效评价指标分析</w:t>
      </w:r>
    </w:p>
    <w:p w14:paraId="752A740C">
      <w:pPr>
        <w:pStyle w:val="10"/>
        <w:pageBreakBefore w:val="0"/>
        <w:kinsoku/>
        <w:wordWrap/>
        <w:overflowPunct/>
        <w:topLinePunct w:val="0"/>
        <w:autoSpaceDE/>
        <w:autoSpaceDN/>
        <w:bidi w:val="0"/>
        <w:adjustRightInd/>
        <w:spacing w:before="0" w:after="0" w:line="560" w:lineRule="exact"/>
        <w:ind w:firstLine="643" w:firstLineChars="200"/>
        <w:jc w:val="both"/>
        <w:textAlignment w:val="auto"/>
        <w:rPr>
          <w:rFonts w:ascii="Times New Roman" w:hAnsi="Times New Roman" w:eastAsia="楷体_GB2312"/>
          <w:highlight w:val="none"/>
        </w:rPr>
      </w:pPr>
      <w:r>
        <w:rPr>
          <w:rFonts w:ascii="Times New Roman" w:hAnsi="Times New Roman" w:eastAsia="楷体_GB2312"/>
          <w:highlight w:val="none"/>
        </w:rPr>
        <w:t>（一）项目决策情况</w:t>
      </w:r>
    </w:p>
    <w:p w14:paraId="500042C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1、立项依据充分性</w:t>
      </w:r>
    </w:p>
    <w:p w14:paraId="5F7D5F99">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eastAsia" w:eastAsia="仿宋_GB2312"/>
          <w:color w:val="auto"/>
          <w:sz w:val="32"/>
          <w:szCs w:val="32"/>
        </w:rPr>
        <w:t>项目立项符合国家法律法规、国民经济发展规划和相关政策</w:t>
      </w:r>
      <w:r>
        <w:rPr>
          <w:rFonts w:hint="eastAsia" w:eastAsia="仿宋_GB2312"/>
          <w:color w:val="auto"/>
          <w:sz w:val="32"/>
          <w:szCs w:val="32"/>
          <w:lang w:eastAsia="zh-CN"/>
        </w:rPr>
        <w:t>，</w:t>
      </w:r>
      <w:r>
        <w:rPr>
          <w:rFonts w:hint="eastAsia" w:eastAsia="仿宋_GB2312"/>
          <w:color w:val="auto"/>
          <w:sz w:val="32"/>
          <w:szCs w:val="32"/>
        </w:rPr>
        <w:t>项目立项符合行业发展规划和政策要求</w:t>
      </w:r>
      <w:r>
        <w:rPr>
          <w:rFonts w:hint="eastAsia" w:eastAsia="仿宋_GB2312"/>
          <w:color w:val="auto"/>
          <w:sz w:val="32"/>
          <w:szCs w:val="32"/>
          <w:lang w:eastAsia="zh-CN"/>
        </w:rPr>
        <w:t>。</w:t>
      </w:r>
      <w:r>
        <w:rPr>
          <w:rFonts w:hint="default" w:ascii="Times New Roman" w:hAnsi="Times New Roman" w:eastAsia="仿宋_GB2312" w:cs="Times New Roman"/>
          <w:color w:val="000000"/>
          <w:kern w:val="0"/>
          <w:sz w:val="32"/>
          <w:szCs w:val="32"/>
          <w:lang w:val="en-US" w:eastAsia="zh-CN" w:bidi="ar"/>
        </w:rPr>
        <w:t>《中华人民共和国国民经济和社会发展第十四个五年规划和 2035 年远景目标纲要》中指出：“把保障人民健康放在优先发展的战略位置，坚持预防为主的方针，深入实施健康中国行动，完善国民健康促进政策，织牢国家公共卫生防护网，为人民提供全方位全生命期健康服务。”《规划》指出：改革疾病预防控制体系，强化监测预警、风险评估、检验检测、应急处置等职能。建立稳定的公共卫生事业投入机制，改善疾控基础条件，强化基层公共卫生体系。落实医疗机构公共卫生责任，创新医防协同机制。完善突发公共卫生事件监测预警处置机制，加强实验室检测网络建设，健全医疗救治、科技支撑、物资保障体系，提高应对突发公共卫生事件能力。完善心理健康和精神卫生服务体系。</w:t>
      </w:r>
      <w:r>
        <w:rPr>
          <w:rFonts w:hint="eastAsia" w:eastAsia="仿宋_GB2312"/>
          <w:color w:val="auto"/>
          <w:sz w:val="32"/>
          <w:szCs w:val="32"/>
        </w:rPr>
        <w:t>项目立项与部门职责范围相符，属于部门履职所需；项目属于公共财政支持范围，符合中央、地方事权支出责任划分原则；项目</w:t>
      </w:r>
      <w:r>
        <w:rPr>
          <w:rFonts w:hint="eastAsia" w:eastAsia="仿宋_GB2312"/>
          <w:color w:val="auto"/>
          <w:sz w:val="32"/>
          <w:szCs w:val="32"/>
          <w:lang w:eastAsia="zh-CN"/>
        </w:rPr>
        <w:t>未</w:t>
      </w:r>
      <w:r>
        <w:rPr>
          <w:rFonts w:hint="eastAsia" w:eastAsia="仿宋_GB2312"/>
          <w:color w:val="auto"/>
          <w:sz w:val="32"/>
          <w:szCs w:val="32"/>
        </w:rPr>
        <w:t>与相关部门同类项目或部门内部相关项目重复。</w:t>
      </w:r>
    </w:p>
    <w:p w14:paraId="349E93E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2、立项程序规范性</w:t>
      </w:r>
    </w:p>
    <w:p w14:paraId="5CAA25ED">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000000"/>
          <w:kern w:val="0"/>
          <w:sz w:val="32"/>
          <w:szCs w:val="32"/>
          <w:lang w:val="en-US" w:eastAsia="zh-CN" w:bidi="ar"/>
        </w:rPr>
      </w:pPr>
      <w:r>
        <w:rPr>
          <w:rFonts w:hint="default" w:ascii="Times New Roman" w:hAnsi="Times New Roman" w:eastAsia="仿宋_GB2312" w:cs="Times New Roman"/>
          <w:color w:val="000000"/>
          <w:kern w:val="0"/>
          <w:sz w:val="32"/>
          <w:szCs w:val="32"/>
          <w:lang w:val="en-US" w:eastAsia="zh-CN" w:bidi="ar"/>
        </w:rPr>
        <w:t>根据《加快地方政府专项债券发行使用有关工作的通知》（财预〔2020〕94 号）中提到，专项债券资金重点用于国务院常务会议确定的交通基础设施、能源项目、农林水利、生态环保项目、民生服务、冷链物流设施、市政和产业园区基础设施等七大领域。本项目类别属于政府专项债券支持的领域之一，债券发行主体，申请资金</w:t>
      </w:r>
      <w:r>
        <w:rPr>
          <w:rFonts w:hint="eastAsia" w:eastAsia="仿宋_GB2312" w:cs="Times New Roman"/>
          <w:color w:val="000000"/>
          <w:kern w:val="0"/>
          <w:sz w:val="32"/>
          <w:szCs w:val="32"/>
          <w:lang w:val="en-US" w:eastAsia="zh-CN" w:bidi="ar"/>
        </w:rPr>
        <w:t>规模</w:t>
      </w:r>
      <w:r>
        <w:rPr>
          <w:rFonts w:hint="default" w:ascii="Times New Roman" w:hAnsi="Times New Roman" w:eastAsia="仿宋_GB2312" w:cs="Times New Roman"/>
          <w:color w:val="000000"/>
          <w:kern w:val="0"/>
          <w:sz w:val="32"/>
          <w:szCs w:val="32"/>
          <w:lang w:val="en-US" w:eastAsia="zh-CN" w:bidi="ar"/>
        </w:rPr>
        <w:t>符合政策要求。项目资金来源为专项债券资金、财政资金，两种资金来源都符合国家相关法规政策要求，资金来源合规。项目按照规定的程序申请设立；审批文件、材料符合相关要求；事前已经过必要的可行性研究、专家论证、风险评估、绩效评估、集体决策。</w:t>
      </w:r>
    </w:p>
    <w:p w14:paraId="3A0448A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3、绩效目标合理性</w:t>
      </w:r>
    </w:p>
    <w:p w14:paraId="0CDB6F66">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自治区卫生健康委所属单位2023年地方政府债券资金（第二批）项目设立了项目绩效目标，与新建综合门急诊，综合外科住院和综合内科住院，总建筑面积为116160㎡，具有相关性，项目的预期产出效益和效果也均能符合正常的业绩水平，并且与预算确定的项目投资额或资金量相匹配。</w:t>
      </w:r>
    </w:p>
    <w:p w14:paraId="580BE93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4、绩效指标明确性</w:t>
      </w:r>
    </w:p>
    <w:p w14:paraId="389F1491">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rPr>
      </w:pPr>
      <w:bookmarkStart w:id="5" w:name="_Hlk68699917"/>
      <w:r>
        <w:rPr>
          <w:rFonts w:hint="default" w:ascii="Times New Roman" w:hAnsi="Times New Roman" w:eastAsia="仿宋_GB2312" w:cs="Times New Roman"/>
          <w:color w:val="auto"/>
          <w:sz w:val="32"/>
          <w:szCs w:val="32"/>
          <w:highlight w:val="none"/>
        </w:rPr>
        <w:t>自治区卫生健康委所属单位2023年地方政府债券资金（第二批）项目将项目绩效目标细化分解为具体的绩效指标，一级指标共</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条，二级指标共</w:t>
      </w:r>
      <w:r>
        <w:rPr>
          <w:rFonts w:hint="default" w:ascii="Times New Roman" w:hAnsi="Times New Roman"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条，三级指标共</w:t>
      </w:r>
      <w:r>
        <w:rPr>
          <w:rFonts w:hint="default" w:ascii="Times New Roman" w:hAnsi="Times New Roman"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条，其中量化指标条数共</w:t>
      </w:r>
      <w:r>
        <w:rPr>
          <w:rFonts w:hint="default" w:ascii="Times New Roman" w:hAnsi="Times New Roman"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条，所有绩效指标均通过清晰、可衡量的指标值予以体现，并且做到了与项目目标任务数或计划数相对应。</w:t>
      </w:r>
      <w:bookmarkEnd w:id="5"/>
    </w:p>
    <w:p w14:paraId="63EC001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5、预算编制科学性</w:t>
      </w:r>
    </w:p>
    <w:p w14:paraId="534CEC6F">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FF0000"/>
          <w:sz w:val="32"/>
          <w:szCs w:val="32"/>
          <w:highlight w:val="none"/>
        </w:rPr>
      </w:pPr>
      <w:r>
        <w:rPr>
          <w:rFonts w:hint="eastAsia" w:eastAsia="仿宋_GB2312"/>
          <w:color w:val="auto"/>
          <w:sz w:val="32"/>
          <w:szCs w:val="32"/>
        </w:rPr>
        <w:t>预算编制经过科学论证；预算内容与项目内容匹配；预算额度测算依据充分，按照标准编制；预算确定的项目投资额或资金量与工作任务相匹配。</w:t>
      </w:r>
    </w:p>
    <w:p w14:paraId="139B2F9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6、资金分配合理性</w:t>
      </w:r>
    </w:p>
    <w:p w14:paraId="32768B2D">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kern w:val="0"/>
          <w:sz w:val="32"/>
          <w:szCs w:val="32"/>
          <w:lang w:val="en-US" w:eastAsia="zh-CN" w:bidi="ar"/>
        </w:rPr>
        <w:t>本项目对债券资金的需求在合理范围内。本次申请的债券资金需求与项目绩效目标相匹配，</w:t>
      </w: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r>
        <w:rPr>
          <w:rFonts w:hint="default" w:ascii="Times New Roman" w:hAnsi="Times New Roman" w:eastAsia="仿宋_GB2312" w:cs="Times New Roman"/>
          <w:color w:val="000000"/>
          <w:kern w:val="0"/>
          <w:sz w:val="32"/>
          <w:szCs w:val="32"/>
          <w:lang w:val="en-US" w:eastAsia="zh-CN" w:bidi="ar"/>
        </w:rPr>
        <w:t>项目建设资金、成本费用均细化编制，资金需求明确。项目拟申请的地方政府专项债券额度符合《国务院关于加强固定资产投资项目资本金管理的通知》（国发〔2019〕26 号）的要求。本项目申请发行的专项债券的本息计划以项目收入偿还，在风险可控的前提下，按照地方相关法律法规限额内适度举债，保障重点领域合理融资需求。</w:t>
      </w:r>
    </w:p>
    <w:p w14:paraId="602F7826">
      <w:pPr>
        <w:pStyle w:val="10"/>
        <w:pageBreakBefore w:val="0"/>
        <w:numPr>
          <w:ilvl w:val="0"/>
          <w:numId w:val="6"/>
        </w:numPr>
        <w:kinsoku/>
        <w:wordWrap/>
        <w:overflowPunct/>
        <w:topLinePunct w:val="0"/>
        <w:autoSpaceDE/>
        <w:autoSpaceDN/>
        <w:bidi w:val="0"/>
        <w:adjustRightInd/>
        <w:spacing w:before="0" w:after="0" w:line="560" w:lineRule="exact"/>
        <w:ind w:firstLine="643" w:firstLineChars="200"/>
        <w:jc w:val="both"/>
        <w:textAlignment w:val="auto"/>
        <w:rPr>
          <w:rFonts w:ascii="楷体" w:hAnsi="楷体" w:eastAsia="楷体" w:cs="楷体"/>
          <w:highlight w:val="none"/>
        </w:rPr>
      </w:pPr>
      <w:r>
        <w:rPr>
          <w:rFonts w:hint="eastAsia" w:ascii="楷体" w:hAnsi="楷体" w:eastAsia="楷体" w:cs="楷体"/>
          <w:highlight w:val="none"/>
        </w:rPr>
        <w:t>项目过程情况</w:t>
      </w:r>
    </w:p>
    <w:p w14:paraId="12C7D59C">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1、资金到位率：</w:t>
      </w:r>
    </w:p>
    <w:p w14:paraId="70480FD7">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预算资金</w:t>
      </w:r>
      <w:r>
        <w:rPr>
          <w:rFonts w:hint="default" w:ascii="Times New Roman" w:hAnsi="Times New Roman" w:eastAsia="仿宋_GB2312" w:cs="Times New Roman"/>
          <w:color w:val="auto"/>
          <w:sz w:val="32"/>
          <w:szCs w:val="32"/>
          <w:highlight w:val="none"/>
          <w:lang w:val="en-US" w:eastAsia="zh-CN"/>
        </w:rPr>
        <w:t>8000</w:t>
      </w:r>
      <w:r>
        <w:rPr>
          <w:rFonts w:hint="default" w:ascii="Times New Roman" w:hAnsi="Times New Roman" w:eastAsia="仿宋_GB2312" w:cs="Times New Roman"/>
          <w:color w:val="auto"/>
          <w:sz w:val="32"/>
          <w:szCs w:val="32"/>
          <w:highlight w:val="none"/>
        </w:rPr>
        <w:t>万元，实际到位资金</w:t>
      </w:r>
      <w:r>
        <w:rPr>
          <w:rFonts w:hint="default" w:ascii="Times New Roman" w:hAnsi="Times New Roman" w:eastAsia="仿宋_GB2312" w:cs="Times New Roman"/>
          <w:color w:val="auto"/>
          <w:sz w:val="32"/>
          <w:szCs w:val="32"/>
          <w:highlight w:val="none"/>
          <w:lang w:val="en-US" w:eastAsia="zh-CN"/>
        </w:rPr>
        <w:t>8000</w:t>
      </w:r>
      <w:r>
        <w:rPr>
          <w:rFonts w:hint="default" w:ascii="Times New Roman" w:hAnsi="Times New Roman" w:eastAsia="仿宋_GB2312" w:cs="Times New Roman"/>
          <w:color w:val="auto"/>
          <w:sz w:val="32"/>
          <w:szCs w:val="32"/>
          <w:highlight w:val="none"/>
        </w:rPr>
        <w:t>万元，资金到位率</w:t>
      </w:r>
      <w:r>
        <w:rPr>
          <w:rFonts w:hint="default"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p>
    <w:p w14:paraId="09A2EE0F">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2、预算执行率</w:t>
      </w:r>
    </w:p>
    <w:p w14:paraId="5ED98C2B">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年初预算数</w:t>
      </w:r>
      <w:r>
        <w:rPr>
          <w:rFonts w:hint="default" w:ascii="Times New Roman" w:hAnsi="Times New Roman" w:eastAsia="仿宋_GB2312" w:cs="Times New Roman"/>
          <w:color w:val="auto"/>
          <w:sz w:val="32"/>
          <w:szCs w:val="32"/>
          <w:highlight w:val="none"/>
          <w:lang w:val="en-US" w:eastAsia="zh-CN"/>
        </w:rPr>
        <w:t>8000</w:t>
      </w:r>
      <w:r>
        <w:rPr>
          <w:rFonts w:hint="default" w:ascii="Times New Roman" w:hAnsi="Times New Roman" w:eastAsia="仿宋_GB2312" w:cs="Times New Roman"/>
          <w:color w:val="auto"/>
          <w:sz w:val="32"/>
          <w:szCs w:val="32"/>
          <w:highlight w:val="none"/>
        </w:rPr>
        <w:t>万元，全年预算数</w:t>
      </w:r>
      <w:r>
        <w:rPr>
          <w:rFonts w:hint="default" w:ascii="Times New Roman" w:hAnsi="Times New Roman" w:eastAsia="仿宋_GB2312" w:cs="Times New Roman"/>
          <w:color w:val="auto"/>
          <w:sz w:val="32"/>
          <w:szCs w:val="32"/>
          <w:highlight w:val="none"/>
          <w:lang w:val="en-US" w:eastAsia="zh-CN"/>
        </w:rPr>
        <w:t>8000</w:t>
      </w:r>
      <w:r>
        <w:rPr>
          <w:rFonts w:hint="default" w:ascii="Times New Roman" w:hAnsi="Times New Roman" w:eastAsia="仿宋_GB2312" w:cs="Times New Roman"/>
          <w:color w:val="auto"/>
          <w:sz w:val="32"/>
          <w:szCs w:val="32"/>
          <w:highlight w:val="none"/>
        </w:rPr>
        <w:t>万元，全年执行数</w:t>
      </w:r>
      <w:r>
        <w:rPr>
          <w:rFonts w:hint="default" w:ascii="Times New Roman" w:hAnsi="Times New Roman" w:eastAsia="仿宋_GB2312" w:cs="Times New Roman"/>
          <w:color w:val="auto"/>
          <w:sz w:val="32"/>
          <w:szCs w:val="32"/>
          <w:highlight w:val="none"/>
          <w:lang w:val="en-US" w:eastAsia="zh-CN"/>
        </w:rPr>
        <w:t>8000</w:t>
      </w:r>
      <w:r>
        <w:rPr>
          <w:rFonts w:hint="default" w:ascii="Times New Roman" w:hAnsi="Times New Roman" w:eastAsia="仿宋_GB2312" w:cs="Times New Roman"/>
          <w:color w:val="auto"/>
          <w:sz w:val="32"/>
          <w:szCs w:val="32"/>
          <w:highlight w:val="none"/>
        </w:rPr>
        <w:t>万元，预算执行率为</w:t>
      </w:r>
      <w:r>
        <w:rPr>
          <w:rFonts w:hint="default"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14:paraId="13CC553B">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3、资金使用合规性</w:t>
      </w:r>
    </w:p>
    <w:p w14:paraId="26B3E751">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自治区安排新疆医科大学第八附属医院</w:t>
      </w:r>
      <w:r>
        <w:rPr>
          <w:rFonts w:hint="default" w:ascii="Times New Roman" w:hAnsi="Times New Roman" w:eastAsia="仿宋_GB2312" w:cs="Times New Roman"/>
          <w:color w:val="auto"/>
          <w:sz w:val="32"/>
          <w:szCs w:val="32"/>
          <w:highlight w:val="none"/>
          <w:lang w:eastAsia="zh-CN"/>
        </w:rPr>
        <w:t>专项债券政府性基金预算</w:t>
      </w:r>
      <w:r>
        <w:rPr>
          <w:rFonts w:hint="eastAsia" w:eastAsia="仿宋_GB2312" w:cs="Times New Roman"/>
          <w:color w:val="auto"/>
          <w:sz w:val="32"/>
          <w:szCs w:val="32"/>
          <w:highlight w:val="none"/>
          <w:lang w:val="en-US" w:eastAsia="zh-CN"/>
        </w:rPr>
        <w:t>项</w:t>
      </w:r>
      <w:r>
        <w:rPr>
          <w:rFonts w:hint="default" w:ascii="Times New Roman" w:hAnsi="Times New Roman" w:eastAsia="仿宋_GB2312" w:cs="Times New Roman"/>
          <w:color w:val="auto"/>
          <w:sz w:val="32"/>
          <w:szCs w:val="32"/>
          <w:highlight w:val="none"/>
        </w:rPr>
        <w:t>目拨款</w:t>
      </w:r>
      <w:r>
        <w:rPr>
          <w:rFonts w:hint="default" w:ascii="Times New Roman" w:hAnsi="Times New Roman" w:eastAsia="仿宋_GB2312" w:cs="Times New Roman"/>
          <w:color w:val="auto"/>
          <w:sz w:val="32"/>
          <w:szCs w:val="32"/>
          <w:highlight w:val="none"/>
          <w:lang w:val="en-US" w:eastAsia="zh-CN"/>
        </w:rPr>
        <w:t>8000</w:t>
      </w:r>
      <w:r>
        <w:rPr>
          <w:rFonts w:hint="default" w:ascii="Times New Roman" w:hAnsi="Times New Roman" w:eastAsia="仿宋_GB2312" w:cs="Times New Roman"/>
          <w:color w:val="auto"/>
          <w:sz w:val="32"/>
          <w:szCs w:val="32"/>
          <w:highlight w:val="none"/>
        </w:rPr>
        <w:t>万元。项目单位要严格资金管理，建立项目经费管理机制，有效利用项目资金，做到专款专用</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项目资金于2023年12月执行完毕。每季度末要达到序时进度，进行支付进度监控。资金使用符合该项目的立项批复。资金不存在截留、挤占、挪用、虚列支出等情况。</w:t>
      </w:r>
    </w:p>
    <w:p w14:paraId="7778ABB9">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4、管理制度健全性</w:t>
      </w:r>
    </w:p>
    <w:p w14:paraId="583C2F69">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kern w:val="0"/>
          <w:sz w:val="32"/>
          <w:szCs w:val="32"/>
          <w:lang w:val="en-US" w:eastAsia="zh-CN" w:bidi="ar"/>
        </w:rPr>
        <w:t>根据《财政部发展改革委人民银行银监会关于贯彻国务院关于加强地方政府融资平台公司管理有关问题的通知相关事项的通知》</w:t>
      </w:r>
      <w:r>
        <w:rPr>
          <w:rFonts w:hint="eastAsia" w:eastAsia="仿宋_GB2312" w:cs="Times New Roman"/>
          <w:color w:val="000000"/>
          <w:kern w:val="0"/>
          <w:sz w:val="32"/>
          <w:szCs w:val="32"/>
          <w:lang w:val="en-US" w:eastAsia="zh-CN" w:bidi="ar"/>
        </w:rPr>
        <w:t>（</w:t>
      </w:r>
      <w:r>
        <w:rPr>
          <w:rFonts w:hint="default" w:ascii="Times New Roman" w:hAnsi="Times New Roman" w:eastAsia="仿宋_GB2312" w:cs="Times New Roman"/>
          <w:color w:val="000000"/>
          <w:kern w:val="0"/>
          <w:sz w:val="32"/>
          <w:szCs w:val="32"/>
          <w:lang w:val="en-US" w:eastAsia="zh-CN" w:bidi="ar"/>
        </w:rPr>
        <w:t>财预</w:t>
      </w:r>
      <w:r>
        <w:rPr>
          <w:rFonts w:hint="eastAsia" w:ascii="方正仿宋_GBK" w:hAnsi="方正仿宋_GBK" w:eastAsia="方正仿宋_GBK" w:cs="方正仿宋_GBK"/>
          <w:color w:val="000000"/>
          <w:kern w:val="0"/>
          <w:sz w:val="32"/>
          <w:szCs w:val="32"/>
          <w:lang w:val="en-US" w:eastAsia="zh-CN" w:bidi="ar"/>
        </w:rPr>
        <w:t>〔</w:t>
      </w:r>
      <w:r>
        <w:rPr>
          <w:rFonts w:hint="default" w:ascii="Times New Roman" w:hAnsi="Times New Roman" w:eastAsia="仿宋_GB2312" w:cs="Times New Roman"/>
          <w:color w:val="000000"/>
          <w:kern w:val="0"/>
          <w:sz w:val="32"/>
          <w:szCs w:val="32"/>
          <w:lang w:val="en-US" w:eastAsia="zh-CN" w:bidi="ar"/>
        </w:rPr>
        <w:t>2010〕412 号</w:t>
      </w:r>
      <w:r>
        <w:rPr>
          <w:rFonts w:hint="eastAsia" w:eastAsia="仿宋_GB2312" w:cs="Times New Roman"/>
          <w:color w:val="000000"/>
          <w:kern w:val="0"/>
          <w:sz w:val="32"/>
          <w:szCs w:val="32"/>
          <w:lang w:val="en-US" w:eastAsia="zh-CN" w:bidi="ar"/>
        </w:rPr>
        <w:t>）</w:t>
      </w:r>
      <w:r>
        <w:rPr>
          <w:rFonts w:hint="default" w:ascii="Times New Roman" w:hAnsi="Times New Roman" w:eastAsia="仿宋_GB2312" w:cs="Times New Roman"/>
          <w:color w:val="000000"/>
          <w:kern w:val="0"/>
          <w:sz w:val="32"/>
          <w:szCs w:val="32"/>
          <w:lang w:val="en-US" w:eastAsia="zh-CN" w:bidi="ar"/>
        </w:rPr>
        <w:t>规定，“公益性项目”是指为社会公共利益服务、不以盈利为目的，且不能或不宜通过市场化方式运作的政府投资项目，如市政道路、公共交 通等基础设施项目，以及公共卫生、基础科研、义务教育、保障性安居工程、供水、污水处理等基本建设项目。本项目具有很强的公益性，项目的建设对广大病患者有重要影响，能方便其就医和康复治疗。全面提高预防和救治能力，促进医防融合发展，构建整合型区县域卫生健康服务体系。</w:t>
      </w:r>
      <w:r>
        <w:rPr>
          <w:rFonts w:hint="eastAsia" w:eastAsia="仿宋_GB2312" w:cs="Times New Roman"/>
          <w:color w:val="000000"/>
          <w:kern w:val="0"/>
          <w:sz w:val="32"/>
          <w:szCs w:val="32"/>
          <w:lang w:val="en-US" w:eastAsia="zh-CN" w:bidi="ar"/>
        </w:rPr>
        <w:t>我单位</w:t>
      </w:r>
      <w:r>
        <w:rPr>
          <w:rFonts w:hint="default" w:ascii="Times New Roman" w:hAnsi="Times New Roman" w:eastAsia="仿宋_GB2312" w:cs="Times New Roman"/>
          <w:color w:val="000000"/>
          <w:kern w:val="0"/>
          <w:sz w:val="32"/>
          <w:szCs w:val="32"/>
          <w:lang w:val="en-US" w:eastAsia="zh-CN" w:bidi="ar"/>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1A68C20F">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5、制度执行有效性</w:t>
      </w:r>
    </w:p>
    <w:p w14:paraId="3E985561">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项目单位严格资金管理，建立项目经费管理机制，有效利用项目资金，做到专款专用。对资金使用的合法合规性进行监督，每季度末要达到序时进度，进行支付进度监控</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年末对资金使用效果进行评价。项目管理、实施人员落实到位，有效按照计划执行。项目执行情况等资料齐全，项目相关手续完备，及时进行归档。</w:t>
      </w:r>
    </w:p>
    <w:p w14:paraId="78F87437">
      <w:pPr>
        <w:pStyle w:val="11"/>
        <w:pageBreakBefore w:val="0"/>
        <w:numPr>
          <w:ilvl w:val="0"/>
          <w:numId w:val="6"/>
        </w:numPr>
        <w:kinsoku/>
        <w:wordWrap/>
        <w:overflowPunct/>
        <w:topLinePunct w:val="0"/>
        <w:autoSpaceDE/>
        <w:autoSpaceDN/>
        <w:bidi w:val="0"/>
        <w:adjustRightInd/>
        <w:spacing w:line="560" w:lineRule="exact"/>
        <w:ind w:firstLine="640"/>
        <w:textAlignment w:val="auto"/>
        <w:rPr>
          <w:rFonts w:eastAsia="楷体_GB2312"/>
          <w:b/>
          <w:bCs/>
          <w:sz w:val="32"/>
          <w:szCs w:val="32"/>
          <w:highlight w:val="none"/>
        </w:rPr>
      </w:pPr>
      <w:r>
        <w:rPr>
          <w:rFonts w:eastAsia="楷体_GB2312"/>
          <w:b/>
          <w:bCs/>
          <w:sz w:val="32"/>
          <w:szCs w:val="32"/>
          <w:highlight w:val="none"/>
        </w:rPr>
        <w:t>项目产出</w:t>
      </w:r>
    </w:p>
    <w:p w14:paraId="5036B5AB">
      <w:pPr>
        <w:pageBreakBefore w:val="0"/>
        <w:kinsoku/>
        <w:wordWrap/>
        <w:overflowPunct/>
        <w:topLinePunct w:val="0"/>
        <w:autoSpaceDE/>
        <w:autoSpaceDN/>
        <w:bidi w:val="0"/>
        <w:adjustRightInd/>
        <w:snapToGrid w:val="0"/>
        <w:spacing w:line="560" w:lineRule="exact"/>
        <w:ind w:firstLine="627" w:firstLineChars="200"/>
        <w:textAlignment w:val="auto"/>
        <w:rPr>
          <w:rStyle w:val="15"/>
          <w:rFonts w:eastAsia="仿宋_GB2312"/>
          <w:bCs w:val="0"/>
          <w:spacing w:val="-4"/>
          <w:sz w:val="32"/>
          <w:szCs w:val="32"/>
          <w:highlight w:val="none"/>
        </w:rPr>
      </w:pPr>
      <w:r>
        <w:rPr>
          <w:rStyle w:val="15"/>
          <w:rFonts w:eastAsia="仿宋_GB2312"/>
          <w:bCs w:val="0"/>
          <w:spacing w:val="-4"/>
          <w:sz w:val="32"/>
          <w:szCs w:val="32"/>
          <w:highlight w:val="none"/>
        </w:rPr>
        <w:t>数量指标方面：</w:t>
      </w:r>
    </w:p>
    <w:p w14:paraId="37240889">
      <w:pPr>
        <w:pageBreakBefore w:val="0"/>
        <w:kinsoku/>
        <w:wordWrap/>
        <w:overflowPunct/>
        <w:topLinePunct w:val="0"/>
        <w:autoSpaceDE/>
        <w:autoSpaceDN/>
        <w:bidi w:val="0"/>
        <w:adjustRightInd/>
        <w:snapToGrid w:val="0"/>
        <w:spacing w:line="560" w:lineRule="exact"/>
        <w:ind w:firstLine="624" w:firstLineChars="200"/>
        <w:textAlignment w:val="auto"/>
        <w:rPr>
          <w:rStyle w:val="15"/>
          <w:rFonts w:eastAsia="仿宋_GB2312"/>
          <w:b w:val="0"/>
          <w:spacing w:val="-4"/>
          <w:sz w:val="32"/>
          <w:szCs w:val="32"/>
          <w:highlight w:val="none"/>
        </w:rPr>
      </w:pPr>
      <w:r>
        <w:rPr>
          <w:rStyle w:val="15"/>
          <w:rFonts w:eastAsia="仿宋_GB2312"/>
          <w:b w:val="0"/>
          <w:spacing w:val="-4"/>
          <w:sz w:val="32"/>
          <w:szCs w:val="32"/>
          <w:highlight w:val="none"/>
        </w:rPr>
        <w:t>指标1：</w:t>
      </w:r>
      <w:r>
        <w:rPr>
          <w:rStyle w:val="15"/>
          <w:rFonts w:hint="eastAsia" w:eastAsia="仿宋_GB2312"/>
          <w:b w:val="0"/>
          <w:spacing w:val="-4"/>
          <w:sz w:val="32"/>
          <w:szCs w:val="32"/>
          <w:highlight w:val="none"/>
        </w:rPr>
        <w:t>总建筑面积</w:t>
      </w:r>
      <w:r>
        <w:rPr>
          <w:rStyle w:val="15"/>
          <w:rFonts w:eastAsia="仿宋_GB2312"/>
          <w:b w:val="0"/>
          <w:spacing w:val="-4"/>
          <w:sz w:val="32"/>
          <w:szCs w:val="32"/>
          <w:highlight w:val="none"/>
        </w:rPr>
        <w:t>，指标值：</w:t>
      </w:r>
      <w:r>
        <w:rPr>
          <w:rStyle w:val="15"/>
          <w:rFonts w:hint="eastAsia" w:eastAsia="仿宋_GB2312"/>
          <w:b w:val="0"/>
          <w:spacing w:val="-4"/>
          <w:sz w:val="32"/>
          <w:szCs w:val="32"/>
          <w:highlight w:val="none"/>
        </w:rPr>
        <w:t>=114585平方米</w:t>
      </w:r>
      <w:r>
        <w:rPr>
          <w:rStyle w:val="15"/>
          <w:rFonts w:eastAsia="仿宋_GB2312"/>
          <w:b w:val="0"/>
          <w:spacing w:val="-4"/>
          <w:sz w:val="32"/>
          <w:szCs w:val="32"/>
          <w:highlight w:val="none"/>
        </w:rPr>
        <w:t>，实际完成值：</w:t>
      </w:r>
      <w:r>
        <w:rPr>
          <w:rStyle w:val="15"/>
          <w:rFonts w:hint="eastAsia" w:eastAsia="仿宋_GB2312"/>
          <w:b w:val="0"/>
          <w:spacing w:val="-4"/>
          <w:sz w:val="32"/>
          <w:szCs w:val="32"/>
          <w:highlight w:val="none"/>
        </w:rPr>
        <w:t>=114585平方米</w:t>
      </w:r>
      <w:r>
        <w:rPr>
          <w:rStyle w:val="15"/>
          <w:rFonts w:eastAsia="仿宋_GB2312"/>
          <w:b w:val="0"/>
          <w:spacing w:val="-4"/>
          <w:sz w:val="32"/>
          <w:szCs w:val="32"/>
          <w:highlight w:val="none"/>
        </w:rPr>
        <w:t>，指标完成率</w:t>
      </w:r>
      <w:r>
        <w:rPr>
          <w:rStyle w:val="15"/>
          <w:rFonts w:hint="eastAsia" w:eastAsia="仿宋_GB2312"/>
          <w:b w:val="0"/>
          <w:spacing w:val="-4"/>
          <w:sz w:val="32"/>
          <w:szCs w:val="32"/>
          <w:highlight w:val="none"/>
          <w:lang w:val="en-US" w:eastAsia="zh-CN"/>
        </w:rPr>
        <w:t>100</w:t>
      </w:r>
      <w:r>
        <w:rPr>
          <w:rStyle w:val="15"/>
          <w:rFonts w:eastAsia="仿宋_GB2312"/>
          <w:b w:val="0"/>
          <w:spacing w:val="-4"/>
          <w:sz w:val="32"/>
          <w:szCs w:val="32"/>
          <w:highlight w:val="none"/>
        </w:rPr>
        <w:t>%</w:t>
      </w:r>
      <w:r>
        <w:rPr>
          <w:rStyle w:val="15"/>
          <w:rFonts w:hint="eastAsia" w:eastAsia="仿宋_GB2312"/>
          <w:b w:val="0"/>
          <w:spacing w:val="-4"/>
          <w:sz w:val="32"/>
          <w:szCs w:val="32"/>
          <w:highlight w:val="none"/>
        </w:rPr>
        <w:t>，</w:t>
      </w:r>
      <w:r>
        <w:rPr>
          <w:rStyle w:val="15"/>
          <w:rFonts w:hint="eastAsia" w:eastAsia="仿宋_GB2312"/>
          <w:b w:val="0"/>
          <w:spacing w:val="-4"/>
          <w:sz w:val="32"/>
          <w:szCs w:val="32"/>
          <w:highlight w:val="none"/>
          <w:lang w:eastAsia="zh-Hans"/>
        </w:rPr>
        <w:t>偏差原因：</w:t>
      </w:r>
      <w:r>
        <w:rPr>
          <w:rStyle w:val="15"/>
          <w:rFonts w:hint="eastAsia" w:eastAsia="仿宋_GB2312"/>
          <w:b w:val="0"/>
          <w:spacing w:val="-4"/>
          <w:sz w:val="32"/>
          <w:szCs w:val="32"/>
          <w:highlight w:val="none"/>
          <w:lang w:eastAsia="zh-CN"/>
        </w:rPr>
        <w:t>无</w:t>
      </w:r>
      <w:r>
        <w:rPr>
          <w:rStyle w:val="15"/>
          <w:rFonts w:hint="eastAsia" w:eastAsia="仿宋_GB2312"/>
          <w:b w:val="0"/>
          <w:spacing w:val="-4"/>
          <w:sz w:val="32"/>
          <w:szCs w:val="32"/>
          <w:highlight w:val="none"/>
          <w:lang w:val="en-US" w:eastAsia="zh-CN"/>
        </w:rPr>
        <w:t>偏差</w:t>
      </w:r>
      <w:r>
        <w:rPr>
          <w:rStyle w:val="15"/>
          <w:rFonts w:eastAsia="仿宋_GB2312"/>
          <w:b w:val="0"/>
          <w:spacing w:val="-4"/>
          <w:sz w:val="32"/>
          <w:szCs w:val="32"/>
          <w:highlight w:val="none"/>
        </w:rPr>
        <w:t>；</w:t>
      </w:r>
    </w:p>
    <w:p w14:paraId="514EED81">
      <w:pPr>
        <w:pageBreakBefore w:val="0"/>
        <w:kinsoku/>
        <w:wordWrap/>
        <w:overflowPunct/>
        <w:topLinePunct w:val="0"/>
        <w:autoSpaceDE/>
        <w:autoSpaceDN/>
        <w:bidi w:val="0"/>
        <w:adjustRightInd/>
        <w:spacing w:line="560" w:lineRule="exact"/>
        <w:ind w:firstLine="643" w:firstLineChars="200"/>
        <w:textAlignment w:val="auto"/>
        <w:rPr>
          <w:rStyle w:val="17"/>
          <w:rFonts w:ascii="Times New Roman" w:hAnsi="Times New Roman" w:cs="Times New Roman"/>
          <w:b/>
          <w:bCs/>
          <w:color w:val="auto"/>
          <w:highlight w:val="none"/>
        </w:rPr>
      </w:pPr>
      <w:r>
        <w:rPr>
          <w:rStyle w:val="17"/>
          <w:rFonts w:ascii="Times New Roman" w:hAnsi="Times New Roman" w:cs="Times New Roman"/>
          <w:b/>
          <w:bCs/>
          <w:color w:val="auto"/>
          <w:highlight w:val="none"/>
        </w:rPr>
        <w:t>质量指标方面：</w:t>
      </w:r>
    </w:p>
    <w:p w14:paraId="3BE7D390">
      <w:pPr>
        <w:pageBreakBefore w:val="0"/>
        <w:kinsoku/>
        <w:wordWrap/>
        <w:overflowPunct/>
        <w:topLinePunct w:val="0"/>
        <w:autoSpaceDE/>
        <w:autoSpaceDN/>
        <w:bidi w:val="0"/>
        <w:adjustRightInd/>
        <w:snapToGrid w:val="0"/>
        <w:spacing w:line="560" w:lineRule="exact"/>
        <w:ind w:firstLine="624" w:firstLineChars="200"/>
        <w:textAlignment w:val="auto"/>
        <w:rPr>
          <w:rStyle w:val="15"/>
          <w:rFonts w:eastAsia="仿宋_GB2312"/>
          <w:b w:val="0"/>
          <w:spacing w:val="-4"/>
          <w:sz w:val="32"/>
          <w:szCs w:val="32"/>
          <w:highlight w:val="none"/>
        </w:rPr>
      </w:pPr>
      <w:r>
        <w:rPr>
          <w:rStyle w:val="15"/>
          <w:rFonts w:eastAsia="仿宋_GB2312"/>
          <w:b w:val="0"/>
          <w:spacing w:val="-4"/>
          <w:sz w:val="32"/>
          <w:szCs w:val="32"/>
          <w:highlight w:val="none"/>
        </w:rPr>
        <w:t>指标1：</w:t>
      </w:r>
      <w:r>
        <w:rPr>
          <w:rStyle w:val="15"/>
          <w:rFonts w:hint="eastAsia" w:eastAsia="仿宋_GB2312"/>
          <w:b w:val="0"/>
          <w:spacing w:val="-4"/>
          <w:sz w:val="32"/>
          <w:szCs w:val="32"/>
          <w:highlight w:val="none"/>
        </w:rPr>
        <w:t>竣工验收合格率</w:t>
      </w:r>
      <w:r>
        <w:rPr>
          <w:rStyle w:val="15"/>
          <w:rFonts w:eastAsia="仿宋_GB2312"/>
          <w:b w:val="0"/>
          <w:spacing w:val="-4"/>
          <w:sz w:val="32"/>
          <w:szCs w:val="32"/>
          <w:highlight w:val="none"/>
        </w:rPr>
        <w:t>，指标值</w:t>
      </w:r>
      <w:r>
        <w:rPr>
          <w:rStyle w:val="15"/>
          <w:rFonts w:hint="eastAsia" w:eastAsia="仿宋_GB2312"/>
          <w:b w:val="0"/>
          <w:spacing w:val="-4"/>
          <w:sz w:val="32"/>
          <w:szCs w:val="32"/>
          <w:highlight w:val="none"/>
          <w:lang w:eastAsia="zh-CN"/>
        </w:rPr>
        <w:t>：</w:t>
      </w:r>
      <w:r>
        <w:rPr>
          <w:rStyle w:val="15"/>
          <w:rFonts w:hint="eastAsia" w:eastAsia="仿宋_GB2312"/>
          <w:b w:val="0"/>
          <w:spacing w:val="-4"/>
          <w:sz w:val="32"/>
          <w:szCs w:val="32"/>
          <w:highlight w:val="none"/>
        </w:rPr>
        <w:t>95%</w:t>
      </w:r>
      <w:r>
        <w:rPr>
          <w:rStyle w:val="15"/>
          <w:rFonts w:eastAsia="仿宋_GB2312"/>
          <w:b w:val="0"/>
          <w:spacing w:val="-4"/>
          <w:sz w:val="32"/>
          <w:szCs w:val="32"/>
          <w:highlight w:val="none"/>
        </w:rPr>
        <w:t>，实际完成值：</w:t>
      </w:r>
      <w:r>
        <w:rPr>
          <w:rStyle w:val="15"/>
          <w:rFonts w:hint="eastAsia" w:eastAsia="仿宋_GB2312"/>
          <w:b w:val="0"/>
          <w:spacing w:val="-4"/>
          <w:sz w:val="32"/>
          <w:szCs w:val="32"/>
          <w:highlight w:val="none"/>
          <w:lang w:val="en-US" w:eastAsia="zh-CN"/>
        </w:rPr>
        <w:t>95%</w:t>
      </w:r>
      <w:r>
        <w:rPr>
          <w:rStyle w:val="15"/>
          <w:rFonts w:eastAsia="仿宋_GB2312"/>
          <w:b w:val="0"/>
          <w:spacing w:val="-4"/>
          <w:sz w:val="32"/>
          <w:szCs w:val="32"/>
          <w:highlight w:val="none"/>
        </w:rPr>
        <w:t>，指标完成率</w:t>
      </w:r>
      <w:r>
        <w:rPr>
          <w:rStyle w:val="15"/>
          <w:rFonts w:hint="eastAsia" w:eastAsia="仿宋_GB2312"/>
          <w:b w:val="0"/>
          <w:spacing w:val="-4"/>
          <w:sz w:val="32"/>
          <w:szCs w:val="32"/>
          <w:highlight w:val="none"/>
          <w:lang w:val="en-US" w:eastAsia="zh-CN"/>
        </w:rPr>
        <w:t>100</w:t>
      </w:r>
      <w:r>
        <w:rPr>
          <w:rStyle w:val="15"/>
          <w:rFonts w:eastAsia="仿宋_GB2312"/>
          <w:b w:val="0"/>
          <w:spacing w:val="-4"/>
          <w:sz w:val="32"/>
          <w:szCs w:val="32"/>
          <w:highlight w:val="none"/>
        </w:rPr>
        <w:t>%</w:t>
      </w:r>
      <w:r>
        <w:rPr>
          <w:rStyle w:val="15"/>
          <w:rFonts w:hint="eastAsia" w:eastAsia="仿宋_GB2312"/>
          <w:b w:val="0"/>
          <w:spacing w:val="-4"/>
          <w:sz w:val="32"/>
          <w:szCs w:val="32"/>
          <w:highlight w:val="none"/>
        </w:rPr>
        <w:t>，</w:t>
      </w:r>
      <w:r>
        <w:rPr>
          <w:rStyle w:val="15"/>
          <w:rFonts w:hint="eastAsia" w:eastAsia="仿宋_GB2312"/>
          <w:b w:val="0"/>
          <w:spacing w:val="-4"/>
          <w:sz w:val="32"/>
          <w:szCs w:val="32"/>
          <w:highlight w:val="none"/>
          <w:lang w:eastAsia="zh-Hans"/>
        </w:rPr>
        <w:t>偏差原因：</w:t>
      </w:r>
      <w:r>
        <w:rPr>
          <w:rStyle w:val="15"/>
          <w:rFonts w:hint="eastAsia" w:eastAsia="仿宋_GB2312"/>
          <w:b w:val="0"/>
          <w:spacing w:val="-4"/>
          <w:sz w:val="32"/>
          <w:szCs w:val="32"/>
          <w:highlight w:val="none"/>
          <w:lang w:eastAsia="zh-CN"/>
        </w:rPr>
        <w:t>无</w:t>
      </w:r>
      <w:r>
        <w:rPr>
          <w:rStyle w:val="15"/>
          <w:rFonts w:hint="eastAsia" w:eastAsia="仿宋_GB2312"/>
          <w:b w:val="0"/>
          <w:spacing w:val="-4"/>
          <w:sz w:val="32"/>
          <w:szCs w:val="32"/>
          <w:highlight w:val="none"/>
          <w:lang w:val="en-US" w:eastAsia="zh-CN"/>
        </w:rPr>
        <w:t>偏差</w:t>
      </w:r>
      <w:r>
        <w:rPr>
          <w:rStyle w:val="15"/>
          <w:rFonts w:eastAsia="仿宋_GB2312"/>
          <w:b w:val="0"/>
          <w:spacing w:val="-4"/>
          <w:sz w:val="32"/>
          <w:szCs w:val="32"/>
          <w:highlight w:val="none"/>
        </w:rPr>
        <w:t>；</w:t>
      </w:r>
    </w:p>
    <w:p w14:paraId="63FE111F">
      <w:pPr>
        <w:pageBreakBefore w:val="0"/>
        <w:kinsoku/>
        <w:wordWrap/>
        <w:overflowPunct/>
        <w:topLinePunct w:val="0"/>
        <w:autoSpaceDE/>
        <w:autoSpaceDN/>
        <w:bidi w:val="0"/>
        <w:adjustRightInd/>
        <w:spacing w:line="560" w:lineRule="exact"/>
        <w:ind w:firstLine="643" w:firstLineChars="200"/>
        <w:textAlignment w:val="auto"/>
        <w:rPr>
          <w:rStyle w:val="17"/>
          <w:rFonts w:ascii="Times New Roman" w:hAnsi="Times New Roman" w:cs="Times New Roman"/>
          <w:b/>
          <w:bCs/>
          <w:color w:val="auto"/>
          <w:highlight w:val="none"/>
        </w:rPr>
      </w:pPr>
      <w:r>
        <w:rPr>
          <w:rStyle w:val="17"/>
          <w:rFonts w:ascii="Times New Roman" w:hAnsi="Times New Roman" w:cs="Times New Roman"/>
          <w:b/>
          <w:bCs/>
          <w:color w:val="auto"/>
          <w:highlight w:val="none"/>
        </w:rPr>
        <w:t>时效指标方面：</w:t>
      </w:r>
    </w:p>
    <w:p w14:paraId="251186AF">
      <w:pPr>
        <w:pageBreakBefore w:val="0"/>
        <w:kinsoku/>
        <w:wordWrap/>
        <w:overflowPunct/>
        <w:topLinePunct w:val="0"/>
        <w:autoSpaceDE/>
        <w:autoSpaceDN/>
        <w:bidi w:val="0"/>
        <w:adjustRightInd/>
        <w:snapToGrid w:val="0"/>
        <w:spacing w:line="560" w:lineRule="exact"/>
        <w:ind w:firstLine="624" w:firstLineChars="200"/>
        <w:textAlignment w:val="auto"/>
        <w:rPr>
          <w:rStyle w:val="15"/>
          <w:rFonts w:eastAsia="仿宋_GB2312"/>
          <w:b w:val="0"/>
          <w:spacing w:val="-4"/>
          <w:sz w:val="32"/>
          <w:szCs w:val="32"/>
          <w:highlight w:val="none"/>
        </w:rPr>
      </w:pPr>
      <w:r>
        <w:rPr>
          <w:rStyle w:val="15"/>
          <w:rFonts w:eastAsia="仿宋_GB2312"/>
          <w:b w:val="0"/>
          <w:spacing w:val="-4"/>
          <w:sz w:val="32"/>
          <w:szCs w:val="32"/>
          <w:highlight w:val="none"/>
        </w:rPr>
        <w:t>指标1：</w:t>
      </w:r>
      <w:r>
        <w:rPr>
          <w:rStyle w:val="15"/>
          <w:rFonts w:hint="eastAsia" w:eastAsia="仿宋_GB2312"/>
          <w:b w:val="0"/>
          <w:spacing w:val="-4"/>
          <w:sz w:val="32"/>
          <w:szCs w:val="32"/>
          <w:highlight w:val="none"/>
        </w:rPr>
        <w:t>按计划开工率</w:t>
      </w:r>
      <w:r>
        <w:rPr>
          <w:rStyle w:val="15"/>
          <w:rFonts w:eastAsia="仿宋_GB2312"/>
          <w:b w:val="0"/>
          <w:spacing w:val="-4"/>
          <w:sz w:val="32"/>
          <w:szCs w:val="32"/>
          <w:highlight w:val="none"/>
        </w:rPr>
        <w:t>，指标值：</w:t>
      </w:r>
      <w:r>
        <w:rPr>
          <w:rStyle w:val="15"/>
          <w:rFonts w:hint="eastAsia" w:eastAsia="仿宋_GB2312"/>
          <w:b w:val="0"/>
          <w:spacing w:val="-4"/>
          <w:sz w:val="32"/>
          <w:szCs w:val="32"/>
          <w:highlight w:val="none"/>
        </w:rPr>
        <w:t>=100%</w:t>
      </w:r>
      <w:r>
        <w:rPr>
          <w:rStyle w:val="15"/>
          <w:rFonts w:eastAsia="仿宋_GB2312"/>
          <w:b w:val="0"/>
          <w:spacing w:val="-4"/>
          <w:sz w:val="32"/>
          <w:szCs w:val="32"/>
          <w:highlight w:val="none"/>
        </w:rPr>
        <w:t>，实际完成值：</w:t>
      </w:r>
      <w:r>
        <w:rPr>
          <w:rStyle w:val="15"/>
          <w:rFonts w:hint="eastAsia" w:eastAsia="仿宋_GB2312"/>
          <w:b w:val="0"/>
          <w:spacing w:val="-4"/>
          <w:sz w:val="32"/>
          <w:szCs w:val="32"/>
          <w:highlight w:val="none"/>
          <w:lang w:val="en-US" w:eastAsia="zh-CN"/>
        </w:rPr>
        <w:t>100%</w:t>
      </w:r>
      <w:r>
        <w:rPr>
          <w:rStyle w:val="15"/>
          <w:rFonts w:eastAsia="仿宋_GB2312"/>
          <w:b w:val="0"/>
          <w:spacing w:val="-4"/>
          <w:sz w:val="32"/>
          <w:szCs w:val="32"/>
          <w:highlight w:val="none"/>
        </w:rPr>
        <w:t>，指标完成率</w:t>
      </w:r>
      <w:r>
        <w:rPr>
          <w:rStyle w:val="15"/>
          <w:rFonts w:hint="eastAsia" w:eastAsia="仿宋_GB2312"/>
          <w:b w:val="0"/>
          <w:spacing w:val="-4"/>
          <w:sz w:val="32"/>
          <w:szCs w:val="32"/>
          <w:highlight w:val="none"/>
          <w:lang w:val="en-US" w:eastAsia="zh-CN"/>
        </w:rPr>
        <w:t>100</w:t>
      </w:r>
      <w:r>
        <w:rPr>
          <w:rStyle w:val="15"/>
          <w:rFonts w:eastAsia="仿宋_GB2312"/>
          <w:b w:val="0"/>
          <w:spacing w:val="-4"/>
          <w:sz w:val="32"/>
          <w:szCs w:val="32"/>
          <w:highlight w:val="none"/>
        </w:rPr>
        <w:t>%</w:t>
      </w:r>
      <w:r>
        <w:rPr>
          <w:rStyle w:val="15"/>
          <w:rFonts w:hint="eastAsia" w:eastAsia="仿宋_GB2312"/>
          <w:b w:val="0"/>
          <w:spacing w:val="-4"/>
          <w:sz w:val="32"/>
          <w:szCs w:val="32"/>
          <w:highlight w:val="none"/>
        </w:rPr>
        <w:t>，</w:t>
      </w:r>
      <w:r>
        <w:rPr>
          <w:rStyle w:val="15"/>
          <w:rFonts w:hint="eastAsia" w:eastAsia="仿宋_GB2312"/>
          <w:b w:val="0"/>
          <w:spacing w:val="-4"/>
          <w:sz w:val="32"/>
          <w:szCs w:val="32"/>
          <w:highlight w:val="none"/>
          <w:lang w:eastAsia="zh-Hans"/>
        </w:rPr>
        <w:t>偏差原因：</w:t>
      </w:r>
      <w:r>
        <w:rPr>
          <w:rStyle w:val="15"/>
          <w:rFonts w:hint="eastAsia" w:eastAsia="仿宋_GB2312"/>
          <w:b w:val="0"/>
          <w:spacing w:val="-4"/>
          <w:sz w:val="32"/>
          <w:szCs w:val="32"/>
          <w:highlight w:val="none"/>
          <w:lang w:eastAsia="zh-CN"/>
        </w:rPr>
        <w:t>无</w:t>
      </w:r>
      <w:r>
        <w:rPr>
          <w:rStyle w:val="15"/>
          <w:rFonts w:hint="eastAsia" w:eastAsia="仿宋_GB2312"/>
          <w:b w:val="0"/>
          <w:spacing w:val="-4"/>
          <w:sz w:val="32"/>
          <w:szCs w:val="32"/>
          <w:highlight w:val="none"/>
          <w:lang w:val="en-US" w:eastAsia="zh-CN"/>
        </w:rPr>
        <w:t>偏差</w:t>
      </w:r>
      <w:r>
        <w:rPr>
          <w:rStyle w:val="15"/>
          <w:rFonts w:eastAsia="仿宋_GB2312"/>
          <w:b w:val="0"/>
          <w:spacing w:val="-4"/>
          <w:sz w:val="32"/>
          <w:szCs w:val="32"/>
          <w:highlight w:val="none"/>
        </w:rPr>
        <w:t>；</w:t>
      </w:r>
    </w:p>
    <w:p w14:paraId="518069D5">
      <w:pPr>
        <w:pageBreakBefore w:val="0"/>
        <w:kinsoku/>
        <w:wordWrap/>
        <w:overflowPunct/>
        <w:topLinePunct w:val="0"/>
        <w:autoSpaceDE/>
        <w:autoSpaceDN/>
        <w:bidi w:val="0"/>
        <w:adjustRightInd/>
        <w:snapToGrid w:val="0"/>
        <w:spacing w:line="560" w:lineRule="exact"/>
        <w:ind w:firstLine="624" w:firstLineChars="200"/>
        <w:textAlignment w:val="auto"/>
        <w:rPr>
          <w:rStyle w:val="15"/>
          <w:rFonts w:ascii="Times New Roman" w:hAnsi="Times New Roman" w:eastAsia="仿宋_GB2312" w:cs="Times New Roman"/>
          <w:b w:val="0"/>
          <w:spacing w:val="-4"/>
          <w:sz w:val="32"/>
          <w:szCs w:val="32"/>
          <w:highlight w:val="none"/>
        </w:rPr>
      </w:pPr>
      <w:r>
        <w:rPr>
          <w:rStyle w:val="15"/>
          <w:rFonts w:ascii="Times New Roman" w:hAnsi="Times New Roman" w:eastAsia="仿宋_GB2312" w:cs="Times New Roman"/>
          <w:b w:val="0"/>
          <w:spacing w:val="-4"/>
          <w:sz w:val="32"/>
          <w:szCs w:val="32"/>
          <w:highlight w:val="none"/>
        </w:rPr>
        <w:t>指标</w:t>
      </w:r>
      <w:r>
        <w:rPr>
          <w:rStyle w:val="15"/>
          <w:rFonts w:hint="eastAsia" w:ascii="Times New Roman" w:hAnsi="Times New Roman" w:eastAsia="仿宋_GB2312" w:cs="Times New Roman"/>
          <w:b w:val="0"/>
          <w:spacing w:val="-4"/>
          <w:sz w:val="32"/>
          <w:szCs w:val="32"/>
          <w:highlight w:val="none"/>
          <w:lang w:val="en-US" w:eastAsia="zh-CN"/>
        </w:rPr>
        <w:t>2</w:t>
      </w:r>
      <w:r>
        <w:rPr>
          <w:rStyle w:val="15"/>
          <w:rFonts w:ascii="Times New Roman" w:hAnsi="Times New Roman" w:eastAsia="仿宋_GB2312" w:cs="Times New Roman"/>
          <w:b w:val="0"/>
          <w:spacing w:val="-4"/>
          <w:sz w:val="32"/>
          <w:szCs w:val="32"/>
          <w:highlight w:val="none"/>
        </w:rPr>
        <w:t>：</w:t>
      </w:r>
      <w:r>
        <w:rPr>
          <w:rStyle w:val="15"/>
          <w:rFonts w:hint="eastAsia" w:ascii="Times New Roman" w:hAnsi="Times New Roman" w:eastAsia="仿宋_GB2312" w:cs="Times New Roman"/>
          <w:b w:val="0"/>
          <w:spacing w:val="-4"/>
          <w:sz w:val="32"/>
          <w:szCs w:val="32"/>
          <w:highlight w:val="none"/>
        </w:rPr>
        <w:t>按计划完工率</w:t>
      </w:r>
      <w:r>
        <w:rPr>
          <w:rStyle w:val="15"/>
          <w:rFonts w:ascii="Times New Roman" w:hAnsi="Times New Roman" w:eastAsia="仿宋_GB2312" w:cs="Times New Roman"/>
          <w:b w:val="0"/>
          <w:spacing w:val="-4"/>
          <w:sz w:val="32"/>
          <w:szCs w:val="32"/>
          <w:highlight w:val="none"/>
        </w:rPr>
        <w:t>，指标值：</w:t>
      </w:r>
      <w:r>
        <w:rPr>
          <w:rStyle w:val="15"/>
          <w:rFonts w:hint="eastAsia" w:ascii="Times New Roman" w:hAnsi="Times New Roman" w:eastAsia="仿宋_GB2312" w:cs="Times New Roman"/>
          <w:b w:val="0"/>
          <w:spacing w:val="-4"/>
          <w:sz w:val="32"/>
          <w:szCs w:val="32"/>
          <w:highlight w:val="none"/>
        </w:rPr>
        <w:t>=100%</w:t>
      </w:r>
      <w:r>
        <w:rPr>
          <w:rStyle w:val="15"/>
          <w:rFonts w:ascii="Times New Roman" w:hAnsi="Times New Roman" w:eastAsia="仿宋_GB2312" w:cs="Times New Roman"/>
          <w:b w:val="0"/>
          <w:spacing w:val="-4"/>
          <w:sz w:val="32"/>
          <w:szCs w:val="32"/>
          <w:highlight w:val="none"/>
        </w:rPr>
        <w:t>，实际完成值：</w:t>
      </w:r>
      <w:r>
        <w:rPr>
          <w:rStyle w:val="15"/>
          <w:rFonts w:hint="eastAsia" w:ascii="Times New Roman" w:hAnsi="Times New Roman" w:eastAsia="仿宋_GB2312" w:cs="Times New Roman"/>
          <w:b w:val="0"/>
          <w:spacing w:val="-4"/>
          <w:sz w:val="32"/>
          <w:szCs w:val="32"/>
          <w:highlight w:val="none"/>
          <w:lang w:val="en-US" w:eastAsia="zh-CN"/>
        </w:rPr>
        <w:t>100%</w:t>
      </w:r>
      <w:r>
        <w:rPr>
          <w:rStyle w:val="15"/>
          <w:rFonts w:ascii="Times New Roman" w:hAnsi="Times New Roman" w:eastAsia="仿宋_GB2312" w:cs="Times New Roman"/>
          <w:b w:val="0"/>
          <w:spacing w:val="-4"/>
          <w:sz w:val="32"/>
          <w:szCs w:val="32"/>
          <w:highlight w:val="none"/>
        </w:rPr>
        <w:t>，指标完成率</w:t>
      </w:r>
      <w:r>
        <w:rPr>
          <w:rStyle w:val="15"/>
          <w:rFonts w:hint="eastAsia" w:ascii="Times New Roman" w:hAnsi="Times New Roman" w:eastAsia="仿宋_GB2312" w:cs="Times New Roman"/>
          <w:b w:val="0"/>
          <w:spacing w:val="-4"/>
          <w:sz w:val="32"/>
          <w:szCs w:val="32"/>
          <w:highlight w:val="none"/>
          <w:lang w:val="en-US" w:eastAsia="zh-CN"/>
        </w:rPr>
        <w:t>100</w:t>
      </w:r>
      <w:r>
        <w:rPr>
          <w:rStyle w:val="15"/>
          <w:rFonts w:ascii="Times New Roman" w:hAnsi="Times New Roman" w:eastAsia="仿宋_GB2312" w:cs="Times New Roman"/>
          <w:b w:val="0"/>
          <w:spacing w:val="-4"/>
          <w:sz w:val="32"/>
          <w:szCs w:val="32"/>
          <w:highlight w:val="none"/>
        </w:rPr>
        <w:t>%</w:t>
      </w:r>
      <w:r>
        <w:rPr>
          <w:rStyle w:val="15"/>
          <w:rFonts w:hint="eastAsia" w:ascii="Times New Roman" w:hAnsi="Times New Roman" w:eastAsia="仿宋_GB2312" w:cs="Times New Roman"/>
          <w:b w:val="0"/>
          <w:spacing w:val="-4"/>
          <w:sz w:val="32"/>
          <w:szCs w:val="32"/>
          <w:highlight w:val="none"/>
        </w:rPr>
        <w:t>，</w:t>
      </w:r>
      <w:r>
        <w:rPr>
          <w:rStyle w:val="15"/>
          <w:rFonts w:hint="eastAsia" w:ascii="Times New Roman" w:hAnsi="Times New Roman" w:eastAsia="仿宋_GB2312" w:cs="Times New Roman"/>
          <w:b w:val="0"/>
          <w:spacing w:val="-4"/>
          <w:sz w:val="32"/>
          <w:szCs w:val="32"/>
          <w:highlight w:val="none"/>
          <w:lang w:eastAsia="zh-Hans"/>
        </w:rPr>
        <w:t>偏差原因：</w:t>
      </w:r>
      <w:r>
        <w:rPr>
          <w:rStyle w:val="15"/>
          <w:rFonts w:hint="eastAsia" w:ascii="Times New Roman" w:hAnsi="Times New Roman" w:eastAsia="仿宋_GB2312" w:cs="Times New Roman"/>
          <w:b w:val="0"/>
          <w:spacing w:val="-4"/>
          <w:sz w:val="32"/>
          <w:szCs w:val="32"/>
          <w:highlight w:val="none"/>
          <w:lang w:eastAsia="zh-CN"/>
        </w:rPr>
        <w:t>无</w:t>
      </w:r>
      <w:r>
        <w:rPr>
          <w:rStyle w:val="15"/>
          <w:rFonts w:hint="eastAsia" w:ascii="Times New Roman" w:hAnsi="Times New Roman" w:eastAsia="仿宋_GB2312" w:cs="Times New Roman"/>
          <w:b w:val="0"/>
          <w:spacing w:val="-4"/>
          <w:sz w:val="32"/>
          <w:szCs w:val="32"/>
          <w:highlight w:val="none"/>
          <w:lang w:val="en-US" w:eastAsia="zh-CN"/>
        </w:rPr>
        <w:t>偏差</w:t>
      </w:r>
      <w:r>
        <w:rPr>
          <w:rStyle w:val="15"/>
          <w:rFonts w:ascii="Times New Roman" w:hAnsi="Times New Roman" w:eastAsia="仿宋_GB2312" w:cs="Times New Roman"/>
          <w:b w:val="0"/>
          <w:spacing w:val="-4"/>
          <w:sz w:val="32"/>
          <w:szCs w:val="32"/>
          <w:highlight w:val="none"/>
        </w:rPr>
        <w:t>；</w:t>
      </w:r>
    </w:p>
    <w:p w14:paraId="713B8C5E">
      <w:pPr>
        <w:pStyle w:val="10"/>
        <w:pageBreakBefore w:val="0"/>
        <w:kinsoku/>
        <w:wordWrap/>
        <w:overflowPunct/>
        <w:topLinePunct w:val="0"/>
        <w:autoSpaceDE/>
        <w:autoSpaceDN/>
        <w:bidi w:val="0"/>
        <w:adjustRightInd/>
        <w:spacing w:before="0" w:after="0" w:line="560" w:lineRule="exact"/>
        <w:ind w:firstLine="643" w:firstLineChars="200"/>
        <w:jc w:val="both"/>
        <w:textAlignment w:val="auto"/>
        <w:rPr>
          <w:rStyle w:val="17"/>
          <w:rFonts w:ascii="Times New Roman" w:hAnsi="Times New Roman" w:cs="Times New Roman"/>
          <w:color w:val="auto"/>
          <w:highlight w:val="none"/>
        </w:rPr>
      </w:pPr>
      <w:r>
        <w:rPr>
          <w:rStyle w:val="17"/>
          <w:rFonts w:ascii="Times New Roman" w:hAnsi="Times New Roman" w:cs="Times New Roman"/>
          <w:color w:val="auto"/>
          <w:highlight w:val="none"/>
        </w:rPr>
        <w:t>成本指标方面：</w:t>
      </w:r>
    </w:p>
    <w:p w14:paraId="45623E14">
      <w:pPr>
        <w:pageBreakBefore w:val="0"/>
        <w:kinsoku/>
        <w:wordWrap/>
        <w:overflowPunct/>
        <w:topLinePunct w:val="0"/>
        <w:autoSpaceDE/>
        <w:autoSpaceDN/>
        <w:bidi w:val="0"/>
        <w:adjustRightInd/>
        <w:snapToGrid w:val="0"/>
        <w:spacing w:line="560" w:lineRule="exact"/>
        <w:ind w:firstLine="624" w:firstLineChars="200"/>
        <w:textAlignment w:val="auto"/>
        <w:rPr>
          <w:rStyle w:val="15"/>
          <w:rFonts w:eastAsia="仿宋_GB2312"/>
          <w:b w:val="0"/>
          <w:spacing w:val="-4"/>
          <w:sz w:val="32"/>
          <w:szCs w:val="32"/>
          <w:highlight w:val="none"/>
        </w:rPr>
      </w:pPr>
      <w:r>
        <w:rPr>
          <w:rStyle w:val="15"/>
          <w:rFonts w:eastAsia="仿宋_GB2312"/>
          <w:b w:val="0"/>
          <w:spacing w:val="-4"/>
          <w:sz w:val="32"/>
          <w:szCs w:val="32"/>
          <w:highlight w:val="none"/>
        </w:rPr>
        <w:t>指标1：</w:t>
      </w:r>
      <w:r>
        <w:rPr>
          <w:rStyle w:val="15"/>
          <w:rFonts w:hint="eastAsia" w:eastAsia="仿宋_GB2312"/>
          <w:b w:val="0"/>
          <w:spacing w:val="-4"/>
          <w:sz w:val="32"/>
          <w:szCs w:val="32"/>
          <w:highlight w:val="none"/>
        </w:rPr>
        <w:t>预算成本控制率</w:t>
      </w:r>
      <w:r>
        <w:rPr>
          <w:rStyle w:val="15"/>
          <w:rFonts w:eastAsia="仿宋_GB2312"/>
          <w:b w:val="0"/>
          <w:spacing w:val="-4"/>
          <w:sz w:val="32"/>
          <w:szCs w:val="32"/>
          <w:highlight w:val="none"/>
        </w:rPr>
        <w:t>，指标值：</w:t>
      </w:r>
      <w:r>
        <w:rPr>
          <w:rStyle w:val="15"/>
          <w:rFonts w:hint="eastAsia" w:eastAsia="仿宋_GB2312"/>
          <w:b w:val="0"/>
          <w:spacing w:val="-4"/>
          <w:sz w:val="32"/>
          <w:szCs w:val="32"/>
          <w:highlight w:val="none"/>
          <w:lang w:eastAsia="zh-CN"/>
        </w:rPr>
        <w:t>〈</w:t>
      </w:r>
      <w:r>
        <w:rPr>
          <w:rStyle w:val="15"/>
          <w:rFonts w:hint="eastAsia" w:eastAsia="仿宋_GB2312"/>
          <w:b w:val="0"/>
          <w:spacing w:val="-4"/>
          <w:sz w:val="32"/>
          <w:szCs w:val="32"/>
          <w:highlight w:val="none"/>
        </w:rPr>
        <w:t>=100%</w:t>
      </w:r>
      <w:r>
        <w:rPr>
          <w:rStyle w:val="15"/>
          <w:rFonts w:eastAsia="仿宋_GB2312"/>
          <w:b w:val="0"/>
          <w:spacing w:val="-4"/>
          <w:sz w:val="32"/>
          <w:szCs w:val="32"/>
          <w:highlight w:val="none"/>
        </w:rPr>
        <w:t>，实际完成值：</w:t>
      </w:r>
      <w:r>
        <w:rPr>
          <w:rStyle w:val="15"/>
          <w:rFonts w:hint="eastAsia" w:eastAsia="仿宋_GB2312"/>
          <w:b w:val="0"/>
          <w:spacing w:val="-4"/>
          <w:sz w:val="32"/>
          <w:szCs w:val="32"/>
          <w:highlight w:val="none"/>
          <w:lang w:val="en-US" w:eastAsia="zh-CN"/>
        </w:rPr>
        <w:t>100%</w:t>
      </w:r>
      <w:r>
        <w:rPr>
          <w:rStyle w:val="15"/>
          <w:rFonts w:eastAsia="仿宋_GB2312"/>
          <w:b w:val="0"/>
          <w:spacing w:val="-4"/>
          <w:sz w:val="32"/>
          <w:szCs w:val="32"/>
          <w:highlight w:val="none"/>
        </w:rPr>
        <w:t>，指标完成率</w:t>
      </w:r>
      <w:r>
        <w:rPr>
          <w:rStyle w:val="15"/>
          <w:rFonts w:hint="eastAsia" w:eastAsia="仿宋_GB2312"/>
          <w:b w:val="0"/>
          <w:spacing w:val="-4"/>
          <w:sz w:val="32"/>
          <w:szCs w:val="32"/>
          <w:highlight w:val="none"/>
          <w:lang w:val="en-US" w:eastAsia="zh-CN"/>
        </w:rPr>
        <w:t>100</w:t>
      </w:r>
      <w:r>
        <w:rPr>
          <w:rStyle w:val="15"/>
          <w:rFonts w:eastAsia="仿宋_GB2312"/>
          <w:b w:val="0"/>
          <w:spacing w:val="-4"/>
          <w:sz w:val="32"/>
          <w:szCs w:val="32"/>
          <w:highlight w:val="none"/>
        </w:rPr>
        <w:t>%</w:t>
      </w:r>
      <w:r>
        <w:rPr>
          <w:rStyle w:val="15"/>
          <w:rFonts w:hint="eastAsia" w:eastAsia="仿宋_GB2312"/>
          <w:b w:val="0"/>
          <w:spacing w:val="-4"/>
          <w:sz w:val="32"/>
          <w:szCs w:val="32"/>
          <w:highlight w:val="none"/>
        </w:rPr>
        <w:t>，</w:t>
      </w:r>
      <w:r>
        <w:rPr>
          <w:rStyle w:val="15"/>
          <w:rFonts w:hint="eastAsia" w:eastAsia="仿宋_GB2312"/>
          <w:b w:val="0"/>
          <w:spacing w:val="-4"/>
          <w:sz w:val="32"/>
          <w:szCs w:val="32"/>
          <w:highlight w:val="none"/>
          <w:lang w:eastAsia="zh-Hans"/>
        </w:rPr>
        <w:t>偏差原因：</w:t>
      </w:r>
      <w:r>
        <w:rPr>
          <w:rStyle w:val="15"/>
          <w:rFonts w:hint="eastAsia" w:eastAsia="仿宋_GB2312"/>
          <w:b w:val="0"/>
          <w:spacing w:val="-4"/>
          <w:sz w:val="32"/>
          <w:szCs w:val="32"/>
          <w:highlight w:val="none"/>
          <w:lang w:eastAsia="zh-CN"/>
        </w:rPr>
        <w:t>无</w:t>
      </w:r>
      <w:r>
        <w:rPr>
          <w:rStyle w:val="15"/>
          <w:rFonts w:hint="eastAsia" w:eastAsia="仿宋_GB2312"/>
          <w:b w:val="0"/>
          <w:spacing w:val="-4"/>
          <w:sz w:val="32"/>
          <w:szCs w:val="32"/>
          <w:highlight w:val="none"/>
          <w:lang w:val="en-US" w:eastAsia="zh-CN"/>
        </w:rPr>
        <w:t>偏差</w:t>
      </w:r>
      <w:r>
        <w:rPr>
          <w:rStyle w:val="15"/>
          <w:rFonts w:eastAsia="仿宋_GB2312"/>
          <w:b w:val="0"/>
          <w:spacing w:val="-4"/>
          <w:sz w:val="32"/>
          <w:szCs w:val="32"/>
          <w:highlight w:val="none"/>
        </w:rPr>
        <w:t>；</w:t>
      </w:r>
    </w:p>
    <w:p w14:paraId="6160F1F0">
      <w:pPr>
        <w:pStyle w:val="11"/>
        <w:pageBreakBefore w:val="0"/>
        <w:numPr>
          <w:ilvl w:val="0"/>
          <w:numId w:val="6"/>
        </w:numPr>
        <w:kinsoku/>
        <w:wordWrap/>
        <w:overflowPunct/>
        <w:topLinePunct w:val="0"/>
        <w:autoSpaceDE/>
        <w:autoSpaceDN/>
        <w:bidi w:val="0"/>
        <w:adjustRightInd/>
        <w:spacing w:line="560" w:lineRule="exact"/>
        <w:ind w:firstLine="640"/>
        <w:textAlignment w:val="auto"/>
        <w:rPr>
          <w:rFonts w:eastAsia="楷体_GB2312"/>
          <w:b/>
          <w:bCs/>
          <w:sz w:val="32"/>
          <w:szCs w:val="32"/>
          <w:highlight w:val="none"/>
        </w:rPr>
      </w:pPr>
      <w:r>
        <w:rPr>
          <w:rFonts w:eastAsia="楷体_GB2312"/>
          <w:b/>
          <w:bCs/>
          <w:sz w:val="32"/>
          <w:szCs w:val="32"/>
          <w:highlight w:val="none"/>
        </w:rPr>
        <w:t>效益情况</w:t>
      </w:r>
    </w:p>
    <w:p w14:paraId="00D965D9">
      <w:pPr>
        <w:pageBreakBefore w:val="0"/>
        <w:kinsoku/>
        <w:wordWrap/>
        <w:overflowPunct/>
        <w:topLinePunct w:val="0"/>
        <w:autoSpaceDE/>
        <w:autoSpaceDN/>
        <w:bidi w:val="0"/>
        <w:adjustRightInd/>
        <w:spacing w:line="560" w:lineRule="exact"/>
        <w:ind w:firstLine="643" w:firstLineChars="200"/>
        <w:textAlignment w:val="auto"/>
        <w:rPr>
          <w:rStyle w:val="17"/>
          <w:rFonts w:cs="Times New Roman"/>
          <w:b/>
          <w:bCs/>
          <w:color w:val="auto"/>
          <w:highlight w:val="none"/>
          <w:lang w:eastAsia="zh-Hans"/>
        </w:rPr>
      </w:pPr>
      <w:r>
        <w:rPr>
          <w:rStyle w:val="17"/>
          <w:rFonts w:hint="eastAsia" w:cs="Times New Roman"/>
          <w:b/>
          <w:bCs/>
          <w:color w:val="auto"/>
          <w:highlight w:val="none"/>
          <w:lang w:eastAsia="zh-Hans"/>
        </w:rPr>
        <w:t>经济效益指标方面：</w:t>
      </w:r>
    </w:p>
    <w:p w14:paraId="5142398F">
      <w:pPr>
        <w:pageBreakBefore w:val="0"/>
        <w:kinsoku/>
        <w:wordWrap/>
        <w:overflowPunct/>
        <w:topLinePunct w:val="0"/>
        <w:autoSpaceDE/>
        <w:autoSpaceDN/>
        <w:bidi w:val="0"/>
        <w:adjustRightInd/>
        <w:spacing w:line="560" w:lineRule="exact"/>
        <w:ind w:firstLine="640" w:firstLineChars="200"/>
        <w:textAlignment w:val="auto"/>
        <w:rPr>
          <w:rStyle w:val="17"/>
          <w:rFonts w:hint="eastAsia" w:ascii="Times New Roman" w:hAnsi="Times New Roman" w:eastAsia="仿宋_GB2312" w:cs="Times New Roman"/>
          <w:color w:val="auto"/>
          <w:highlight w:val="none"/>
          <w:lang w:eastAsia="zh-CN"/>
        </w:rPr>
      </w:pPr>
      <w:r>
        <w:rPr>
          <w:rStyle w:val="17"/>
          <w:rFonts w:ascii="Times New Roman" w:hAnsi="Times New Roman" w:cs="Times New Roman"/>
          <w:color w:val="auto"/>
          <w:highlight w:val="none"/>
        </w:rPr>
        <w:t>指标1：</w:t>
      </w:r>
      <w:r>
        <w:rPr>
          <w:rStyle w:val="17"/>
          <w:rFonts w:hint="eastAsia" w:ascii="Times New Roman" w:hAnsi="Times New Roman" w:cs="Times New Roman"/>
          <w:color w:val="auto"/>
          <w:highlight w:val="none"/>
        </w:rPr>
        <w:t>年服务人数</w:t>
      </w:r>
      <w:r>
        <w:rPr>
          <w:rStyle w:val="17"/>
          <w:rFonts w:ascii="Times New Roman" w:hAnsi="Times New Roman" w:cs="Times New Roman"/>
          <w:color w:val="auto"/>
          <w:highlight w:val="none"/>
        </w:rPr>
        <w:t>，指标值：</w:t>
      </w:r>
      <w:r>
        <w:rPr>
          <w:rStyle w:val="17"/>
          <w:rFonts w:hint="eastAsia" w:ascii="Times New Roman" w:hAnsi="Times New Roman" w:cs="Times New Roman"/>
          <w:color w:val="auto"/>
          <w:highlight w:val="none"/>
        </w:rPr>
        <w:t>明显增加</w:t>
      </w:r>
      <w:r>
        <w:rPr>
          <w:rStyle w:val="17"/>
          <w:rFonts w:ascii="Times New Roman" w:hAnsi="Times New Roman" w:cs="Times New Roman"/>
          <w:color w:val="auto"/>
          <w:highlight w:val="none"/>
        </w:rPr>
        <w:t>，实际完成值：</w:t>
      </w:r>
      <w:r>
        <w:rPr>
          <w:rStyle w:val="17"/>
          <w:rFonts w:hint="eastAsia" w:eastAsia="仿宋_GB2312" w:cs="Times New Roman"/>
          <w:color w:val="auto"/>
          <w:highlight w:val="none"/>
          <w:lang w:eastAsia="zh-CN"/>
        </w:rPr>
        <w:t>未竣工</w:t>
      </w:r>
      <w:r>
        <w:rPr>
          <w:rStyle w:val="17"/>
          <w:rFonts w:ascii="Times New Roman" w:hAnsi="Times New Roman" w:cs="Times New Roman"/>
          <w:color w:val="auto"/>
          <w:highlight w:val="none"/>
        </w:rPr>
        <w:t>，指标完成率</w:t>
      </w:r>
      <w:r>
        <w:rPr>
          <w:rStyle w:val="17"/>
          <w:rFonts w:hint="eastAsia" w:eastAsia="仿宋_GB2312" w:cs="Times New Roman"/>
          <w:color w:val="auto"/>
          <w:highlight w:val="none"/>
          <w:lang w:val="en-US" w:eastAsia="zh-CN"/>
        </w:rPr>
        <w:t>0</w:t>
      </w:r>
      <w:r>
        <w:rPr>
          <w:rStyle w:val="17"/>
          <w:rFonts w:ascii="Times New Roman" w:hAnsi="Times New Roman" w:cs="Times New Roman"/>
          <w:color w:val="auto"/>
          <w:highlight w:val="none"/>
        </w:rPr>
        <w:t>%</w:t>
      </w:r>
      <w:r>
        <w:rPr>
          <w:rStyle w:val="15"/>
          <w:rFonts w:hint="eastAsia" w:eastAsia="仿宋_GB2312"/>
          <w:b w:val="0"/>
          <w:spacing w:val="-4"/>
          <w:sz w:val="32"/>
          <w:szCs w:val="32"/>
          <w:highlight w:val="none"/>
        </w:rPr>
        <w:t>，</w:t>
      </w:r>
      <w:r>
        <w:rPr>
          <w:rStyle w:val="15"/>
          <w:rFonts w:hint="eastAsia" w:eastAsia="仿宋_GB2312"/>
          <w:b w:val="0"/>
          <w:spacing w:val="-4"/>
          <w:sz w:val="32"/>
          <w:szCs w:val="32"/>
          <w:highlight w:val="none"/>
          <w:lang w:eastAsia="zh-Hans"/>
        </w:rPr>
        <w:t>偏差原因：由于我单位为新冠肺炎定点医院，2021年</w:t>
      </w:r>
      <w:r>
        <w:rPr>
          <w:rStyle w:val="15"/>
          <w:rFonts w:hint="eastAsia" w:eastAsia="仿宋_GB2312"/>
          <w:b w:val="0"/>
          <w:spacing w:val="-4"/>
          <w:sz w:val="32"/>
          <w:szCs w:val="32"/>
          <w:highlight w:val="none"/>
          <w:lang w:eastAsia="zh-CN"/>
        </w:rPr>
        <w:t>—2022年</w:t>
      </w:r>
      <w:r>
        <w:rPr>
          <w:rStyle w:val="15"/>
          <w:rFonts w:hint="eastAsia" w:eastAsia="仿宋_GB2312"/>
          <w:b w:val="0"/>
          <w:spacing w:val="-4"/>
          <w:sz w:val="32"/>
          <w:szCs w:val="32"/>
          <w:highlight w:val="none"/>
          <w:lang w:eastAsia="zh-Hans"/>
        </w:rPr>
        <w:t>为封闭状态，导致工程工期延长，后期将按照计划标准加快完工进度，同时对指标进</w:t>
      </w:r>
      <w:r>
        <w:rPr>
          <w:rStyle w:val="15"/>
          <w:rFonts w:hint="eastAsia" w:eastAsia="仿宋_GB2312"/>
          <w:b w:val="0"/>
          <w:spacing w:val="-4"/>
          <w:sz w:val="32"/>
          <w:szCs w:val="32"/>
          <w:highlight w:val="none"/>
          <w:lang w:eastAsia="zh-CN"/>
        </w:rPr>
        <w:t>行</w:t>
      </w:r>
      <w:r>
        <w:rPr>
          <w:rStyle w:val="15"/>
          <w:rFonts w:hint="eastAsia" w:eastAsia="仿宋_GB2312"/>
          <w:b w:val="0"/>
          <w:spacing w:val="-4"/>
          <w:sz w:val="32"/>
          <w:szCs w:val="32"/>
          <w:highlight w:val="none"/>
          <w:lang w:eastAsia="zh-Hans"/>
        </w:rPr>
        <w:t>科学选择，加强对绩效评估的认识</w:t>
      </w:r>
      <w:r>
        <w:rPr>
          <w:rStyle w:val="15"/>
          <w:rFonts w:hint="eastAsia" w:eastAsia="仿宋_GB2312"/>
          <w:b w:val="0"/>
          <w:spacing w:val="-4"/>
          <w:sz w:val="32"/>
          <w:szCs w:val="32"/>
          <w:highlight w:val="none"/>
          <w:lang w:eastAsia="zh-CN"/>
        </w:rPr>
        <w:t>。</w:t>
      </w:r>
    </w:p>
    <w:p w14:paraId="07879FF3">
      <w:pPr>
        <w:pageBreakBefore w:val="0"/>
        <w:kinsoku/>
        <w:wordWrap/>
        <w:overflowPunct/>
        <w:topLinePunct w:val="0"/>
        <w:autoSpaceDE/>
        <w:autoSpaceDN/>
        <w:bidi w:val="0"/>
        <w:adjustRightInd/>
        <w:spacing w:line="560" w:lineRule="exact"/>
        <w:ind w:firstLine="643" w:firstLineChars="200"/>
        <w:textAlignment w:val="auto"/>
        <w:rPr>
          <w:rStyle w:val="17"/>
          <w:rFonts w:ascii="Times New Roman" w:hAnsi="Times New Roman" w:cs="Times New Roman"/>
          <w:b/>
          <w:bCs/>
          <w:color w:val="auto"/>
          <w:highlight w:val="none"/>
        </w:rPr>
      </w:pPr>
      <w:r>
        <w:rPr>
          <w:rStyle w:val="17"/>
          <w:rFonts w:ascii="Times New Roman" w:hAnsi="Times New Roman" w:cs="Times New Roman"/>
          <w:b/>
          <w:bCs/>
          <w:color w:val="auto"/>
          <w:highlight w:val="none"/>
        </w:rPr>
        <w:t>社会效益指标方面：</w:t>
      </w:r>
    </w:p>
    <w:p w14:paraId="15C1C398">
      <w:pPr>
        <w:pageBreakBefore w:val="0"/>
        <w:kinsoku/>
        <w:wordWrap/>
        <w:overflowPunct/>
        <w:topLinePunct w:val="0"/>
        <w:autoSpaceDE/>
        <w:autoSpaceDN/>
        <w:bidi w:val="0"/>
        <w:adjustRightInd/>
        <w:spacing w:line="560" w:lineRule="exact"/>
        <w:ind w:firstLine="640" w:firstLineChars="200"/>
        <w:textAlignment w:val="auto"/>
        <w:rPr>
          <w:rStyle w:val="17"/>
          <w:rFonts w:ascii="Times New Roman" w:hAnsi="Times New Roman" w:cs="Times New Roman"/>
          <w:color w:val="auto"/>
          <w:highlight w:val="none"/>
        </w:rPr>
      </w:pPr>
      <w:r>
        <w:rPr>
          <w:rStyle w:val="17"/>
          <w:rFonts w:ascii="Times New Roman" w:hAnsi="Times New Roman" w:cs="Times New Roman"/>
          <w:color w:val="auto"/>
          <w:highlight w:val="none"/>
        </w:rPr>
        <w:t>指标1：</w:t>
      </w:r>
      <w:r>
        <w:rPr>
          <w:rStyle w:val="17"/>
          <w:rFonts w:hint="eastAsia" w:ascii="Times New Roman" w:hAnsi="Times New Roman" w:cs="Times New Roman"/>
          <w:color w:val="auto"/>
          <w:highlight w:val="none"/>
        </w:rPr>
        <w:t>提供就业岗位</w:t>
      </w:r>
      <w:r>
        <w:rPr>
          <w:rStyle w:val="17"/>
          <w:rFonts w:ascii="Times New Roman" w:hAnsi="Times New Roman" w:cs="Times New Roman"/>
          <w:color w:val="auto"/>
          <w:highlight w:val="none"/>
        </w:rPr>
        <w:t>，指标值</w:t>
      </w:r>
      <w:r>
        <w:rPr>
          <w:rStyle w:val="17"/>
          <w:rFonts w:hint="eastAsia" w:eastAsia="仿宋_GB2312" w:cs="Times New Roman"/>
          <w:color w:val="auto"/>
          <w:highlight w:val="none"/>
          <w:lang w:eastAsia="zh-CN"/>
        </w:rPr>
        <w:t>：</w:t>
      </w:r>
      <w:r>
        <w:rPr>
          <w:rStyle w:val="17"/>
          <w:rFonts w:hint="eastAsia" w:ascii="Times New Roman" w:hAnsi="Times New Roman" w:cs="Times New Roman"/>
          <w:color w:val="auto"/>
          <w:highlight w:val="none"/>
        </w:rPr>
        <w:t>20个</w:t>
      </w:r>
      <w:r>
        <w:rPr>
          <w:rStyle w:val="17"/>
          <w:rFonts w:ascii="Times New Roman" w:hAnsi="Times New Roman" w:cs="Times New Roman"/>
          <w:color w:val="auto"/>
          <w:highlight w:val="none"/>
        </w:rPr>
        <w:t>，实际完成值：</w:t>
      </w:r>
      <w:r>
        <w:rPr>
          <w:rStyle w:val="17"/>
          <w:rFonts w:hint="eastAsia" w:eastAsia="仿宋_GB2312" w:cs="Times New Roman"/>
          <w:color w:val="auto"/>
          <w:highlight w:val="none"/>
          <w:lang w:val="en-US" w:eastAsia="zh-CN"/>
        </w:rPr>
        <w:t>0个</w:t>
      </w:r>
      <w:r>
        <w:rPr>
          <w:rStyle w:val="17"/>
          <w:rFonts w:ascii="Times New Roman" w:hAnsi="Times New Roman" w:cs="Times New Roman"/>
          <w:color w:val="auto"/>
          <w:highlight w:val="none"/>
        </w:rPr>
        <w:t>，指标完成率</w:t>
      </w:r>
      <w:r>
        <w:rPr>
          <w:rStyle w:val="17"/>
          <w:rFonts w:hint="eastAsia" w:eastAsia="仿宋_GB2312" w:cs="Times New Roman"/>
          <w:color w:val="auto"/>
          <w:highlight w:val="none"/>
          <w:lang w:val="en-US" w:eastAsia="zh-CN"/>
        </w:rPr>
        <w:t>0</w:t>
      </w:r>
      <w:r>
        <w:rPr>
          <w:rStyle w:val="17"/>
          <w:rFonts w:ascii="Times New Roman" w:hAnsi="Times New Roman" w:cs="Times New Roman"/>
          <w:color w:val="auto"/>
          <w:highlight w:val="none"/>
        </w:rPr>
        <w:t>%</w:t>
      </w:r>
      <w:r>
        <w:rPr>
          <w:rStyle w:val="15"/>
          <w:rFonts w:hint="eastAsia" w:eastAsia="仿宋_GB2312"/>
          <w:b w:val="0"/>
          <w:spacing w:val="-4"/>
          <w:sz w:val="32"/>
          <w:szCs w:val="32"/>
          <w:highlight w:val="none"/>
        </w:rPr>
        <w:t>，</w:t>
      </w:r>
      <w:r>
        <w:rPr>
          <w:rStyle w:val="15"/>
          <w:rFonts w:hint="eastAsia" w:eastAsia="仿宋_GB2312"/>
          <w:b w:val="0"/>
          <w:spacing w:val="-4"/>
          <w:sz w:val="32"/>
          <w:szCs w:val="32"/>
          <w:highlight w:val="none"/>
          <w:lang w:eastAsia="zh-Hans"/>
        </w:rPr>
        <w:t>偏差原因：由于我单位为新冠肺炎定点医院，2021年</w:t>
      </w:r>
      <w:r>
        <w:rPr>
          <w:rStyle w:val="15"/>
          <w:rFonts w:hint="eastAsia" w:eastAsia="仿宋_GB2312"/>
          <w:b w:val="0"/>
          <w:spacing w:val="-4"/>
          <w:sz w:val="32"/>
          <w:szCs w:val="32"/>
          <w:highlight w:val="none"/>
          <w:lang w:eastAsia="zh-CN"/>
        </w:rPr>
        <w:t>—2022年</w:t>
      </w:r>
      <w:r>
        <w:rPr>
          <w:rStyle w:val="15"/>
          <w:rFonts w:hint="eastAsia" w:eastAsia="仿宋_GB2312"/>
          <w:b w:val="0"/>
          <w:spacing w:val="-4"/>
          <w:sz w:val="32"/>
          <w:szCs w:val="32"/>
          <w:highlight w:val="none"/>
          <w:lang w:eastAsia="zh-Hans"/>
        </w:rPr>
        <w:t>为封闭状态，导致工程工期延长，后期将按照计划标准</w:t>
      </w:r>
      <w:r>
        <w:rPr>
          <w:rStyle w:val="15"/>
          <w:rFonts w:hint="eastAsia" w:eastAsia="仿宋_GB2312"/>
          <w:b w:val="0"/>
          <w:spacing w:val="-4"/>
          <w:sz w:val="32"/>
          <w:szCs w:val="32"/>
          <w:highlight w:val="none"/>
          <w:lang w:eastAsia="zh-CN"/>
        </w:rPr>
        <w:t>加快</w:t>
      </w:r>
      <w:r>
        <w:rPr>
          <w:rStyle w:val="15"/>
          <w:rFonts w:hint="eastAsia" w:eastAsia="仿宋_GB2312"/>
          <w:b w:val="0"/>
          <w:spacing w:val="-4"/>
          <w:sz w:val="32"/>
          <w:szCs w:val="32"/>
          <w:highlight w:val="none"/>
          <w:lang w:eastAsia="zh-Hans"/>
        </w:rPr>
        <w:t>完工进度，同时对指标进</w:t>
      </w:r>
      <w:r>
        <w:rPr>
          <w:rStyle w:val="15"/>
          <w:rFonts w:hint="eastAsia" w:eastAsia="仿宋_GB2312"/>
          <w:b w:val="0"/>
          <w:spacing w:val="-4"/>
          <w:sz w:val="32"/>
          <w:szCs w:val="32"/>
          <w:highlight w:val="none"/>
          <w:lang w:eastAsia="zh-CN"/>
        </w:rPr>
        <w:t>行</w:t>
      </w:r>
      <w:r>
        <w:rPr>
          <w:rStyle w:val="15"/>
          <w:rFonts w:hint="eastAsia" w:eastAsia="仿宋_GB2312"/>
          <w:b w:val="0"/>
          <w:spacing w:val="-4"/>
          <w:sz w:val="32"/>
          <w:szCs w:val="32"/>
          <w:highlight w:val="none"/>
          <w:lang w:eastAsia="zh-Hans"/>
        </w:rPr>
        <w:t>科学选择，加强对绩效评估的认识</w:t>
      </w:r>
      <w:r>
        <w:rPr>
          <w:rStyle w:val="17"/>
          <w:rFonts w:ascii="Times New Roman" w:hAnsi="Times New Roman" w:cs="Times New Roman"/>
          <w:color w:val="auto"/>
          <w:highlight w:val="none"/>
        </w:rPr>
        <w:t>；</w:t>
      </w:r>
    </w:p>
    <w:p w14:paraId="7A3D38D4">
      <w:pPr>
        <w:pageBreakBefore w:val="0"/>
        <w:kinsoku/>
        <w:wordWrap/>
        <w:overflowPunct/>
        <w:topLinePunct w:val="0"/>
        <w:autoSpaceDE/>
        <w:autoSpaceDN/>
        <w:bidi w:val="0"/>
        <w:adjustRightInd/>
        <w:spacing w:line="560" w:lineRule="exact"/>
        <w:ind w:firstLine="640" w:firstLineChars="200"/>
        <w:textAlignment w:val="auto"/>
        <w:rPr>
          <w:rStyle w:val="17"/>
          <w:rFonts w:hint="eastAsia" w:ascii="Times New Roman" w:hAnsi="Times New Roman" w:eastAsia="仿宋_GB2312" w:cs="Times New Roman"/>
          <w:color w:val="auto"/>
          <w:highlight w:val="none"/>
          <w:lang w:eastAsia="zh-CN"/>
        </w:rPr>
      </w:pPr>
      <w:r>
        <w:rPr>
          <w:rStyle w:val="17"/>
          <w:rFonts w:ascii="Times New Roman" w:hAnsi="Times New Roman" w:cs="Times New Roman"/>
          <w:color w:val="auto"/>
          <w:highlight w:val="none"/>
        </w:rPr>
        <w:t>指标</w:t>
      </w:r>
      <w:r>
        <w:rPr>
          <w:rStyle w:val="17"/>
          <w:rFonts w:hint="eastAsia" w:eastAsia="仿宋_GB2312" w:cs="Times New Roman"/>
          <w:color w:val="auto"/>
          <w:highlight w:val="none"/>
          <w:lang w:val="en-US" w:eastAsia="zh-CN"/>
        </w:rPr>
        <w:t>2</w:t>
      </w:r>
      <w:r>
        <w:rPr>
          <w:rStyle w:val="17"/>
          <w:rFonts w:ascii="Times New Roman" w:hAnsi="Times New Roman" w:cs="Times New Roman"/>
          <w:color w:val="auto"/>
          <w:highlight w:val="none"/>
        </w:rPr>
        <w:t>：</w:t>
      </w:r>
      <w:r>
        <w:rPr>
          <w:rStyle w:val="17"/>
          <w:rFonts w:hint="eastAsia" w:ascii="Times New Roman" w:hAnsi="Times New Roman" w:cs="Times New Roman"/>
          <w:color w:val="auto"/>
          <w:highlight w:val="none"/>
        </w:rPr>
        <w:t>改善医疗条件</w:t>
      </w:r>
      <w:r>
        <w:rPr>
          <w:rStyle w:val="17"/>
          <w:rFonts w:ascii="Times New Roman" w:hAnsi="Times New Roman" w:cs="Times New Roman"/>
          <w:color w:val="auto"/>
          <w:highlight w:val="none"/>
        </w:rPr>
        <w:t>，指标值：</w:t>
      </w:r>
      <w:r>
        <w:rPr>
          <w:rStyle w:val="17"/>
          <w:rFonts w:hint="eastAsia" w:ascii="Times New Roman" w:hAnsi="Times New Roman" w:cs="Times New Roman"/>
          <w:color w:val="auto"/>
          <w:highlight w:val="none"/>
        </w:rPr>
        <w:t>明显改善</w:t>
      </w:r>
      <w:r>
        <w:rPr>
          <w:rStyle w:val="17"/>
          <w:rFonts w:ascii="Times New Roman" w:hAnsi="Times New Roman" w:cs="Times New Roman"/>
          <w:color w:val="auto"/>
          <w:highlight w:val="none"/>
        </w:rPr>
        <w:t>，实际完成值：</w:t>
      </w:r>
      <w:r>
        <w:rPr>
          <w:rStyle w:val="17"/>
          <w:rFonts w:hint="eastAsia" w:eastAsia="仿宋_GB2312" w:cs="Times New Roman"/>
          <w:color w:val="auto"/>
          <w:highlight w:val="none"/>
          <w:lang w:val="en-US" w:eastAsia="zh-CN"/>
        </w:rPr>
        <w:t>未竣工</w:t>
      </w:r>
      <w:r>
        <w:rPr>
          <w:rStyle w:val="17"/>
          <w:rFonts w:ascii="Times New Roman" w:hAnsi="Times New Roman" w:cs="Times New Roman"/>
          <w:color w:val="auto"/>
          <w:highlight w:val="none"/>
        </w:rPr>
        <w:t>，指标完成率</w:t>
      </w:r>
      <w:r>
        <w:rPr>
          <w:rStyle w:val="17"/>
          <w:rFonts w:hint="eastAsia" w:eastAsia="仿宋_GB2312" w:cs="Times New Roman"/>
          <w:color w:val="auto"/>
          <w:highlight w:val="none"/>
          <w:lang w:val="en-US" w:eastAsia="zh-CN"/>
        </w:rPr>
        <w:t>0</w:t>
      </w:r>
      <w:r>
        <w:rPr>
          <w:rStyle w:val="17"/>
          <w:rFonts w:ascii="Times New Roman" w:hAnsi="Times New Roman" w:cs="Times New Roman"/>
          <w:color w:val="auto"/>
          <w:highlight w:val="none"/>
        </w:rPr>
        <w:t>%</w:t>
      </w:r>
      <w:r>
        <w:rPr>
          <w:rStyle w:val="15"/>
          <w:rFonts w:hint="eastAsia" w:eastAsia="仿宋_GB2312"/>
          <w:b w:val="0"/>
          <w:spacing w:val="-4"/>
          <w:sz w:val="32"/>
          <w:szCs w:val="32"/>
          <w:highlight w:val="none"/>
        </w:rPr>
        <w:t>，</w:t>
      </w:r>
      <w:r>
        <w:rPr>
          <w:rStyle w:val="15"/>
          <w:rFonts w:hint="eastAsia" w:eastAsia="仿宋_GB2312"/>
          <w:b w:val="0"/>
          <w:spacing w:val="-4"/>
          <w:sz w:val="32"/>
          <w:szCs w:val="32"/>
          <w:highlight w:val="none"/>
          <w:lang w:eastAsia="zh-Hans"/>
        </w:rPr>
        <w:t>偏差原因：由于我单位为新冠肺炎定点医院，2021年</w:t>
      </w:r>
      <w:r>
        <w:rPr>
          <w:rStyle w:val="15"/>
          <w:rFonts w:hint="eastAsia" w:eastAsia="仿宋_GB2312"/>
          <w:b w:val="0"/>
          <w:spacing w:val="-4"/>
          <w:sz w:val="32"/>
          <w:szCs w:val="32"/>
          <w:highlight w:val="none"/>
          <w:lang w:eastAsia="zh-CN"/>
        </w:rPr>
        <w:t>—2022年</w:t>
      </w:r>
      <w:r>
        <w:rPr>
          <w:rStyle w:val="15"/>
          <w:rFonts w:hint="eastAsia" w:eastAsia="仿宋_GB2312"/>
          <w:b w:val="0"/>
          <w:spacing w:val="-4"/>
          <w:sz w:val="32"/>
          <w:szCs w:val="32"/>
          <w:highlight w:val="none"/>
          <w:lang w:eastAsia="zh-Hans"/>
        </w:rPr>
        <w:t>为封闭状态，导致工程工期延长，后期将按照计划标准</w:t>
      </w:r>
      <w:r>
        <w:rPr>
          <w:rStyle w:val="15"/>
          <w:rFonts w:hint="eastAsia" w:eastAsia="仿宋_GB2312"/>
          <w:b w:val="0"/>
          <w:spacing w:val="-4"/>
          <w:sz w:val="32"/>
          <w:szCs w:val="32"/>
          <w:highlight w:val="none"/>
          <w:lang w:eastAsia="zh-CN"/>
        </w:rPr>
        <w:t>加快</w:t>
      </w:r>
      <w:r>
        <w:rPr>
          <w:rStyle w:val="15"/>
          <w:rFonts w:hint="eastAsia" w:eastAsia="仿宋_GB2312"/>
          <w:b w:val="0"/>
          <w:spacing w:val="-4"/>
          <w:sz w:val="32"/>
          <w:szCs w:val="32"/>
          <w:highlight w:val="none"/>
          <w:lang w:eastAsia="zh-Hans"/>
        </w:rPr>
        <w:t>完工进度，同时对指标进</w:t>
      </w:r>
      <w:r>
        <w:rPr>
          <w:rStyle w:val="15"/>
          <w:rFonts w:hint="eastAsia" w:eastAsia="仿宋_GB2312"/>
          <w:b w:val="0"/>
          <w:spacing w:val="-4"/>
          <w:sz w:val="32"/>
          <w:szCs w:val="32"/>
          <w:highlight w:val="none"/>
          <w:lang w:eastAsia="zh-CN"/>
        </w:rPr>
        <w:t>行</w:t>
      </w:r>
      <w:r>
        <w:rPr>
          <w:rStyle w:val="15"/>
          <w:rFonts w:hint="eastAsia" w:eastAsia="仿宋_GB2312"/>
          <w:b w:val="0"/>
          <w:spacing w:val="-4"/>
          <w:sz w:val="32"/>
          <w:szCs w:val="32"/>
          <w:highlight w:val="none"/>
          <w:lang w:eastAsia="zh-Hans"/>
        </w:rPr>
        <w:t>科学选择，加强对绩效评估的认识</w:t>
      </w:r>
      <w:r>
        <w:rPr>
          <w:rStyle w:val="15"/>
          <w:rFonts w:hint="eastAsia" w:eastAsia="仿宋_GB2312"/>
          <w:b w:val="0"/>
          <w:spacing w:val="-4"/>
          <w:sz w:val="32"/>
          <w:szCs w:val="32"/>
          <w:highlight w:val="none"/>
          <w:lang w:eastAsia="zh-CN"/>
        </w:rPr>
        <w:t>。</w:t>
      </w:r>
    </w:p>
    <w:p w14:paraId="73C6F856">
      <w:pPr>
        <w:pageBreakBefore w:val="0"/>
        <w:kinsoku/>
        <w:wordWrap/>
        <w:overflowPunct/>
        <w:topLinePunct w:val="0"/>
        <w:autoSpaceDE/>
        <w:autoSpaceDN/>
        <w:bidi w:val="0"/>
        <w:adjustRightInd/>
        <w:spacing w:line="560" w:lineRule="exact"/>
        <w:ind w:firstLine="643" w:firstLineChars="200"/>
        <w:textAlignment w:val="auto"/>
        <w:rPr>
          <w:rStyle w:val="17"/>
          <w:rFonts w:ascii="Times New Roman" w:hAnsi="Times New Roman" w:cs="Times New Roman"/>
          <w:b/>
          <w:bCs/>
          <w:color w:val="auto"/>
          <w:highlight w:val="none"/>
        </w:rPr>
      </w:pPr>
      <w:r>
        <w:rPr>
          <w:rStyle w:val="17"/>
          <w:rFonts w:ascii="Times New Roman" w:hAnsi="Times New Roman" w:cs="Times New Roman"/>
          <w:b/>
          <w:bCs/>
          <w:color w:val="auto"/>
          <w:highlight w:val="none"/>
        </w:rPr>
        <w:t>满意度指标方面：</w:t>
      </w:r>
    </w:p>
    <w:p w14:paraId="728E8CC1">
      <w:pPr>
        <w:pageBreakBefore w:val="0"/>
        <w:kinsoku/>
        <w:wordWrap/>
        <w:overflowPunct/>
        <w:topLinePunct w:val="0"/>
        <w:autoSpaceDE/>
        <w:autoSpaceDN/>
        <w:bidi w:val="0"/>
        <w:adjustRightInd/>
        <w:snapToGrid w:val="0"/>
        <w:spacing w:line="560" w:lineRule="exact"/>
        <w:ind w:firstLine="624" w:firstLineChars="200"/>
        <w:textAlignment w:val="auto"/>
        <w:rPr>
          <w:rStyle w:val="15"/>
          <w:rFonts w:hint="eastAsia" w:eastAsia="仿宋_GB2312"/>
          <w:b w:val="0"/>
          <w:spacing w:val="-4"/>
          <w:sz w:val="32"/>
          <w:szCs w:val="32"/>
          <w:highlight w:val="none"/>
          <w:lang w:eastAsia="zh-CN"/>
        </w:rPr>
      </w:pPr>
      <w:r>
        <w:rPr>
          <w:rStyle w:val="15"/>
          <w:rFonts w:eastAsia="仿宋_GB2312"/>
          <w:b w:val="0"/>
          <w:spacing w:val="-4"/>
          <w:sz w:val="32"/>
          <w:szCs w:val="32"/>
          <w:highlight w:val="none"/>
        </w:rPr>
        <w:t>指标1：</w:t>
      </w:r>
      <w:r>
        <w:rPr>
          <w:rStyle w:val="15"/>
          <w:rFonts w:hint="eastAsia" w:eastAsia="仿宋_GB2312"/>
          <w:b w:val="0"/>
          <w:spacing w:val="-4"/>
          <w:sz w:val="32"/>
          <w:szCs w:val="32"/>
          <w:highlight w:val="none"/>
        </w:rPr>
        <w:t>受益群众满意度</w:t>
      </w:r>
      <w:r>
        <w:rPr>
          <w:rStyle w:val="15"/>
          <w:rFonts w:eastAsia="仿宋_GB2312"/>
          <w:b w:val="0"/>
          <w:spacing w:val="-4"/>
          <w:sz w:val="32"/>
          <w:szCs w:val="32"/>
          <w:highlight w:val="none"/>
        </w:rPr>
        <w:t>，指标值</w:t>
      </w:r>
      <w:r>
        <w:rPr>
          <w:rStyle w:val="15"/>
          <w:rFonts w:hint="eastAsia" w:eastAsia="仿宋_GB2312"/>
          <w:b w:val="0"/>
          <w:spacing w:val="-4"/>
          <w:sz w:val="32"/>
          <w:szCs w:val="32"/>
          <w:highlight w:val="none"/>
          <w:lang w:eastAsia="zh-CN"/>
        </w:rPr>
        <w:t>：</w:t>
      </w:r>
      <w:r>
        <w:rPr>
          <w:rStyle w:val="15"/>
          <w:rFonts w:hint="eastAsia" w:eastAsia="仿宋_GB2312"/>
          <w:b w:val="0"/>
          <w:spacing w:val="-4"/>
          <w:sz w:val="32"/>
          <w:szCs w:val="32"/>
          <w:highlight w:val="none"/>
        </w:rPr>
        <w:t>=90%</w:t>
      </w:r>
      <w:r>
        <w:rPr>
          <w:rStyle w:val="15"/>
          <w:rFonts w:eastAsia="仿宋_GB2312"/>
          <w:b w:val="0"/>
          <w:spacing w:val="-4"/>
          <w:sz w:val="32"/>
          <w:szCs w:val="32"/>
          <w:highlight w:val="none"/>
        </w:rPr>
        <w:t>，实际完成值：</w:t>
      </w:r>
      <w:r>
        <w:rPr>
          <w:rStyle w:val="15"/>
          <w:rFonts w:hint="eastAsia" w:eastAsia="仿宋_GB2312"/>
          <w:b w:val="0"/>
          <w:spacing w:val="-4"/>
          <w:sz w:val="32"/>
          <w:szCs w:val="32"/>
          <w:highlight w:val="none"/>
          <w:lang w:val="en-US" w:eastAsia="zh-CN"/>
        </w:rPr>
        <w:t>0%</w:t>
      </w:r>
      <w:r>
        <w:rPr>
          <w:rStyle w:val="15"/>
          <w:rFonts w:eastAsia="仿宋_GB2312"/>
          <w:b w:val="0"/>
          <w:spacing w:val="-4"/>
          <w:sz w:val="32"/>
          <w:szCs w:val="32"/>
          <w:highlight w:val="none"/>
        </w:rPr>
        <w:t xml:space="preserve"> ，指标完成率</w:t>
      </w:r>
      <w:r>
        <w:rPr>
          <w:rStyle w:val="15"/>
          <w:rFonts w:hint="eastAsia" w:eastAsia="仿宋_GB2312"/>
          <w:b w:val="0"/>
          <w:spacing w:val="-4"/>
          <w:sz w:val="32"/>
          <w:szCs w:val="32"/>
          <w:highlight w:val="none"/>
          <w:lang w:val="en-US" w:eastAsia="zh-CN"/>
        </w:rPr>
        <w:t>0</w:t>
      </w:r>
      <w:r>
        <w:rPr>
          <w:rStyle w:val="15"/>
          <w:rFonts w:eastAsia="仿宋_GB2312"/>
          <w:b w:val="0"/>
          <w:spacing w:val="-4"/>
          <w:sz w:val="32"/>
          <w:szCs w:val="32"/>
          <w:highlight w:val="none"/>
        </w:rPr>
        <w:t>%</w:t>
      </w:r>
      <w:r>
        <w:rPr>
          <w:rStyle w:val="15"/>
          <w:rFonts w:hint="eastAsia" w:eastAsia="仿宋_GB2312"/>
          <w:b w:val="0"/>
          <w:spacing w:val="-4"/>
          <w:sz w:val="32"/>
          <w:szCs w:val="32"/>
          <w:highlight w:val="none"/>
        </w:rPr>
        <w:t>，</w:t>
      </w:r>
      <w:r>
        <w:rPr>
          <w:rStyle w:val="15"/>
          <w:rFonts w:hint="eastAsia" w:eastAsia="仿宋_GB2312"/>
          <w:b w:val="0"/>
          <w:spacing w:val="-4"/>
          <w:sz w:val="32"/>
          <w:szCs w:val="32"/>
          <w:highlight w:val="none"/>
          <w:lang w:eastAsia="zh-Hans"/>
        </w:rPr>
        <w:t>偏差原因：由于我单位为新冠肺炎定点医院，2021年</w:t>
      </w:r>
      <w:r>
        <w:rPr>
          <w:rStyle w:val="15"/>
          <w:rFonts w:hint="eastAsia" w:eastAsia="仿宋_GB2312"/>
          <w:b w:val="0"/>
          <w:spacing w:val="-4"/>
          <w:sz w:val="32"/>
          <w:szCs w:val="32"/>
          <w:highlight w:val="none"/>
          <w:lang w:eastAsia="zh-CN"/>
        </w:rPr>
        <w:t>—2022年</w:t>
      </w:r>
      <w:r>
        <w:rPr>
          <w:rStyle w:val="15"/>
          <w:rFonts w:hint="eastAsia" w:eastAsia="仿宋_GB2312"/>
          <w:b w:val="0"/>
          <w:spacing w:val="-4"/>
          <w:sz w:val="32"/>
          <w:szCs w:val="32"/>
          <w:highlight w:val="none"/>
          <w:lang w:eastAsia="zh-Hans"/>
        </w:rPr>
        <w:t>为封闭状态，导致工程工期延长，后期将按照计划标准</w:t>
      </w:r>
      <w:r>
        <w:rPr>
          <w:rStyle w:val="15"/>
          <w:rFonts w:hint="eastAsia" w:eastAsia="仿宋_GB2312"/>
          <w:b w:val="0"/>
          <w:spacing w:val="-4"/>
          <w:sz w:val="32"/>
          <w:szCs w:val="32"/>
          <w:highlight w:val="none"/>
          <w:lang w:eastAsia="zh-CN"/>
        </w:rPr>
        <w:t>加快</w:t>
      </w:r>
      <w:r>
        <w:rPr>
          <w:rStyle w:val="15"/>
          <w:rFonts w:hint="eastAsia" w:eastAsia="仿宋_GB2312"/>
          <w:b w:val="0"/>
          <w:spacing w:val="-4"/>
          <w:sz w:val="32"/>
          <w:szCs w:val="32"/>
          <w:highlight w:val="none"/>
          <w:lang w:eastAsia="zh-Hans"/>
        </w:rPr>
        <w:t>完工进度，同时对指标进</w:t>
      </w:r>
      <w:r>
        <w:rPr>
          <w:rStyle w:val="15"/>
          <w:rFonts w:hint="eastAsia" w:eastAsia="仿宋_GB2312"/>
          <w:b w:val="0"/>
          <w:spacing w:val="-4"/>
          <w:sz w:val="32"/>
          <w:szCs w:val="32"/>
          <w:highlight w:val="none"/>
          <w:lang w:eastAsia="zh-CN"/>
        </w:rPr>
        <w:t>行</w:t>
      </w:r>
      <w:r>
        <w:rPr>
          <w:rStyle w:val="15"/>
          <w:rFonts w:hint="eastAsia" w:eastAsia="仿宋_GB2312"/>
          <w:b w:val="0"/>
          <w:spacing w:val="-4"/>
          <w:sz w:val="32"/>
          <w:szCs w:val="32"/>
          <w:highlight w:val="none"/>
          <w:lang w:eastAsia="zh-Hans"/>
        </w:rPr>
        <w:t>科学选择，加强对绩效评估的认识</w:t>
      </w:r>
      <w:r>
        <w:rPr>
          <w:rStyle w:val="15"/>
          <w:rFonts w:hint="eastAsia" w:eastAsia="仿宋_GB2312"/>
          <w:b w:val="0"/>
          <w:spacing w:val="-4"/>
          <w:sz w:val="32"/>
          <w:szCs w:val="32"/>
          <w:highlight w:val="none"/>
          <w:lang w:eastAsia="zh-CN"/>
        </w:rPr>
        <w:t>。</w:t>
      </w:r>
    </w:p>
    <w:p w14:paraId="52E7226B">
      <w:pPr>
        <w:pageBreakBefore w:val="0"/>
        <w:kinsoku/>
        <w:wordWrap/>
        <w:overflowPunct/>
        <w:topLinePunct w:val="0"/>
        <w:autoSpaceDE/>
        <w:autoSpaceDN/>
        <w:bidi w:val="0"/>
        <w:adjustRightInd/>
        <w:spacing w:line="560" w:lineRule="exact"/>
        <w:ind w:firstLine="640" w:firstLineChars="200"/>
        <w:textAlignment w:val="auto"/>
        <w:rPr>
          <w:rFonts w:eastAsia="黑体"/>
          <w:sz w:val="32"/>
          <w:szCs w:val="32"/>
          <w:highlight w:val="none"/>
          <w:lang w:eastAsia="zh-Hans"/>
        </w:rPr>
      </w:pPr>
      <w:r>
        <w:rPr>
          <w:rFonts w:eastAsia="黑体"/>
          <w:sz w:val="32"/>
          <w:szCs w:val="32"/>
          <w:highlight w:val="none"/>
        </w:rPr>
        <w:t>五、</w:t>
      </w:r>
      <w:r>
        <w:rPr>
          <w:rFonts w:hint="eastAsia" w:eastAsia="黑体"/>
          <w:sz w:val="32"/>
          <w:szCs w:val="32"/>
          <w:highlight w:val="none"/>
          <w:lang w:eastAsia="zh-Hans"/>
        </w:rPr>
        <w:t>预算执行进度与绩效指标总体完成率偏差</w:t>
      </w:r>
    </w:p>
    <w:p w14:paraId="7015CD32">
      <w:pPr>
        <w:pStyle w:val="18"/>
        <w:pageBreakBefore w:val="0"/>
        <w:kinsoku/>
        <w:wordWrap/>
        <w:overflowPunct/>
        <w:topLinePunct w:val="0"/>
        <w:autoSpaceDE/>
        <w:autoSpaceDN/>
        <w:bidi w:val="0"/>
        <w:adjustRightInd/>
        <w:spacing w:line="560" w:lineRule="exact"/>
        <w:ind w:firstLine="640"/>
        <w:textAlignment w:val="auto"/>
        <w:rPr>
          <w:rFonts w:eastAsia="方正仿宋_GBK" w:cs="方正仿宋_GBK"/>
          <w:sz w:val="32"/>
          <w:szCs w:val="32"/>
          <w:highlight w:val="none"/>
        </w:rPr>
      </w:pPr>
      <w:r>
        <w:rPr>
          <w:rFonts w:hint="eastAsia" w:eastAsia="方正仿宋_GBK" w:cs="方正仿宋_GBK"/>
          <w:sz w:val="32"/>
          <w:szCs w:val="32"/>
          <w:highlight w:val="none"/>
        </w:rPr>
        <w:t>自治区卫生健康委所属单位2023年地方政府债券资金（第二批）项目预算</w:t>
      </w:r>
      <w:r>
        <w:rPr>
          <w:rFonts w:hint="eastAsia" w:eastAsia="方正仿宋_GBK" w:cs="方正仿宋_GBK"/>
          <w:sz w:val="32"/>
          <w:szCs w:val="32"/>
          <w:highlight w:val="none"/>
          <w:lang w:val="en-US" w:eastAsia="zh-CN"/>
        </w:rPr>
        <w:t>8000</w:t>
      </w:r>
      <w:r>
        <w:rPr>
          <w:rFonts w:hint="eastAsia" w:eastAsia="方正仿宋_GBK" w:cs="方正仿宋_GBK"/>
          <w:sz w:val="32"/>
          <w:szCs w:val="32"/>
          <w:highlight w:val="none"/>
        </w:rPr>
        <w:t>万元，到位</w:t>
      </w:r>
      <w:r>
        <w:rPr>
          <w:rFonts w:hint="eastAsia" w:eastAsia="方正仿宋_GBK" w:cs="方正仿宋_GBK"/>
          <w:sz w:val="32"/>
          <w:szCs w:val="32"/>
          <w:highlight w:val="none"/>
          <w:lang w:val="en-US" w:eastAsia="zh-CN"/>
        </w:rPr>
        <w:t>8000</w:t>
      </w:r>
      <w:r>
        <w:rPr>
          <w:rFonts w:hint="eastAsia" w:eastAsia="方正仿宋_GBK" w:cs="方正仿宋_GBK"/>
          <w:sz w:val="32"/>
          <w:szCs w:val="32"/>
          <w:highlight w:val="none"/>
        </w:rPr>
        <w:t>万元，实际支出</w:t>
      </w:r>
      <w:r>
        <w:rPr>
          <w:rFonts w:hint="eastAsia" w:eastAsia="方正仿宋_GBK" w:cs="方正仿宋_GBK"/>
          <w:sz w:val="32"/>
          <w:szCs w:val="32"/>
          <w:highlight w:val="none"/>
          <w:lang w:val="en-US" w:eastAsia="zh-CN"/>
        </w:rPr>
        <w:t>8000</w:t>
      </w:r>
      <w:r>
        <w:rPr>
          <w:rFonts w:hint="eastAsia" w:eastAsia="方正仿宋_GBK" w:cs="方正仿宋_GBK"/>
          <w:sz w:val="32"/>
          <w:szCs w:val="32"/>
          <w:highlight w:val="none"/>
        </w:rPr>
        <w:t>万元，预算执行率为</w:t>
      </w:r>
      <w:r>
        <w:rPr>
          <w:rFonts w:hint="eastAsia" w:eastAsia="方正仿宋_GBK" w:cs="方正仿宋_GBK"/>
          <w:sz w:val="32"/>
          <w:szCs w:val="32"/>
          <w:highlight w:val="none"/>
          <w:lang w:val="en-US" w:eastAsia="zh-CN"/>
        </w:rPr>
        <w:t>100</w:t>
      </w:r>
      <w:r>
        <w:rPr>
          <w:rFonts w:hint="eastAsia" w:eastAsia="方正仿宋_GBK" w:cs="方正仿宋_GBK"/>
          <w:sz w:val="32"/>
          <w:szCs w:val="32"/>
          <w:highlight w:val="none"/>
        </w:rPr>
        <w:t>%，项目绩效指标总体完成率为</w:t>
      </w:r>
      <w:r>
        <w:rPr>
          <w:rFonts w:hint="eastAsia" w:eastAsia="方正仿宋_GBK" w:cs="方正仿宋_GBK"/>
          <w:sz w:val="32"/>
          <w:szCs w:val="32"/>
          <w:highlight w:val="none"/>
          <w:lang w:val="en-US" w:eastAsia="zh-CN"/>
        </w:rPr>
        <w:t>55.56</w:t>
      </w:r>
      <w:r>
        <w:rPr>
          <w:rFonts w:hint="eastAsia" w:eastAsia="方正仿宋_GBK" w:cs="方正仿宋_GBK"/>
          <w:sz w:val="32"/>
          <w:szCs w:val="32"/>
          <w:highlight w:val="none"/>
        </w:rPr>
        <w:t>%，</w:t>
      </w:r>
      <w:r>
        <w:rPr>
          <w:rFonts w:hint="eastAsia" w:eastAsia="方正仿宋_GBK" w:cs="方正仿宋_GBK"/>
          <w:sz w:val="32"/>
          <w:szCs w:val="32"/>
          <w:highlight w:val="none"/>
          <w:lang w:eastAsia="zh-Hans"/>
        </w:rPr>
        <w:t>总体</w:t>
      </w:r>
      <w:r>
        <w:rPr>
          <w:rFonts w:hint="eastAsia" w:eastAsia="方正仿宋_GBK" w:cs="方正仿宋_GBK"/>
          <w:sz w:val="32"/>
          <w:szCs w:val="32"/>
          <w:highlight w:val="none"/>
        </w:rPr>
        <w:t>偏差率为</w:t>
      </w:r>
      <w:r>
        <w:rPr>
          <w:rFonts w:hint="eastAsia" w:eastAsia="方正仿宋_GBK" w:cs="方正仿宋_GBK"/>
          <w:sz w:val="32"/>
          <w:szCs w:val="32"/>
          <w:highlight w:val="none"/>
          <w:lang w:val="en-US" w:eastAsia="zh-CN"/>
        </w:rPr>
        <w:t>44.44</w:t>
      </w:r>
      <w:r>
        <w:rPr>
          <w:rFonts w:hint="eastAsia" w:eastAsia="方正仿宋_GBK" w:cs="方正仿宋_GBK"/>
          <w:sz w:val="32"/>
          <w:szCs w:val="32"/>
          <w:highlight w:val="none"/>
        </w:rPr>
        <w:t>%</w:t>
      </w:r>
      <w:r>
        <w:rPr>
          <w:rFonts w:hint="eastAsia" w:eastAsia="方正仿宋_GBK" w:cs="方正仿宋_GBK"/>
          <w:sz w:val="32"/>
          <w:szCs w:val="32"/>
          <w:highlight w:val="none"/>
          <w:lang w:eastAsia="zh-CN"/>
        </w:rPr>
        <w:t>，</w:t>
      </w:r>
      <w:r>
        <w:rPr>
          <w:rFonts w:hint="eastAsia" w:eastAsia="方正仿宋_GBK" w:cs="方正仿宋_GBK"/>
          <w:sz w:val="32"/>
          <w:szCs w:val="32"/>
          <w:highlight w:val="none"/>
          <w:lang w:eastAsia="zh-Hans"/>
        </w:rPr>
        <w:t>偏差</w:t>
      </w:r>
      <w:r>
        <w:rPr>
          <w:rFonts w:hint="eastAsia" w:eastAsia="方正仿宋_GBK" w:cs="方正仿宋_GBK"/>
          <w:sz w:val="32"/>
          <w:szCs w:val="32"/>
          <w:highlight w:val="none"/>
        </w:rPr>
        <w:t>原因</w:t>
      </w:r>
      <w:r>
        <w:rPr>
          <w:rFonts w:hint="eastAsia" w:eastAsia="方正仿宋_GBK" w:cs="方正仿宋_GBK"/>
          <w:sz w:val="32"/>
          <w:szCs w:val="32"/>
          <w:highlight w:val="none"/>
          <w:lang w:eastAsia="zh-CN"/>
        </w:rPr>
        <w:t>：</w:t>
      </w:r>
      <w:r>
        <w:rPr>
          <w:rFonts w:hint="eastAsia" w:ascii="仿宋" w:hAnsi="仿宋" w:eastAsia="仿宋" w:cs="仿宋"/>
          <w:color w:val="auto"/>
          <w:kern w:val="0"/>
          <w:sz w:val="30"/>
          <w:szCs w:val="30"/>
          <w:lang w:val="en-US" w:eastAsia="zh-CN" w:bidi="ar"/>
        </w:rPr>
        <w:t>由于我单位为新冠肺炎定点医院，2021年—2022年为全封闭状态，工程一直处于停工状态，目前工程尚未竣工</w:t>
      </w:r>
      <w:r>
        <w:rPr>
          <w:rFonts w:hint="eastAsia" w:eastAsia="方正仿宋_GBK" w:cs="方正仿宋_GBK"/>
          <w:sz w:val="32"/>
          <w:szCs w:val="32"/>
          <w:highlight w:val="none"/>
        </w:rPr>
        <w:t>，</w:t>
      </w:r>
      <w:r>
        <w:rPr>
          <w:rFonts w:hint="eastAsia" w:eastAsia="方正仿宋_GBK" w:cs="方正仿宋_GBK"/>
          <w:sz w:val="32"/>
          <w:szCs w:val="32"/>
          <w:highlight w:val="none"/>
          <w:lang w:eastAsia="zh-Hans"/>
        </w:rPr>
        <w:t>改进</w:t>
      </w:r>
      <w:r>
        <w:rPr>
          <w:rFonts w:hint="eastAsia" w:eastAsia="方正仿宋_GBK" w:cs="方正仿宋_GBK"/>
          <w:sz w:val="32"/>
          <w:szCs w:val="32"/>
          <w:highlight w:val="none"/>
        </w:rPr>
        <w:t>措施</w:t>
      </w:r>
      <w:r>
        <w:rPr>
          <w:rFonts w:hint="eastAsia" w:eastAsia="方正仿宋_GBK" w:cs="方正仿宋_GBK"/>
          <w:sz w:val="32"/>
          <w:szCs w:val="32"/>
          <w:highlight w:val="none"/>
          <w:lang w:eastAsia="zh-CN"/>
        </w:rPr>
        <w:t>：</w:t>
      </w:r>
      <w:r>
        <w:rPr>
          <w:rFonts w:hint="eastAsia" w:ascii="仿宋" w:hAnsi="仿宋" w:eastAsia="仿宋" w:cs="仿宋"/>
          <w:color w:val="auto"/>
          <w:kern w:val="0"/>
          <w:sz w:val="30"/>
          <w:szCs w:val="30"/>
          <w:lang w:val="en-US" w:eastAsia="zh-CN" w:bidi="ar"/>
        </w:rPr>
        <w:t>后期将按照总施工进度计划加快完工进度，按期完成项目剩余工程建设，尽早投入使用。同时对指标进行科学选择，加强对绩效评估的认识。</w:t>
      </w:r>
      <w:r>
        <w:rPr>
          <w:rFonts w:hint="eastAsia" w:ascii="仿宋" w:hAnsi="仿宋" w:eastAsia="仿宋" w:cs="仿宋"/>
          <w:b w:val="0"/>
          <w:bCs w:val="0"/>
          <w:color w:val="auto"/>
          <w:sz w:val="32"/>
          <w:szCs w:val="32"/>
          <w:lang w:val="en-US" w:eastAsia="zh-CN"/>
        </w:rPr>
        <w:t>为规范参建各方质量管理行为，规范工程管理人员管理行为及职责，确保建设工程质量，提高质量管理水平，实现工程质量目标，提高资金使用效益</w:t>
      </w:r>
      <w:r>
        <w:rPr>
          <w:rFonts w:hint="eastAsia" w:eastAsia="方正仿宋_GBK" w:cs="方正仿宋_GBK"/>
          <w:sz w:val="32"/>
          <w:szCs w:val="32"/>
          <w:highlight w:val="none"/>
        </w:rPr>
        <w:t>。</w:t>
      </w:r>
    </w:p>
    <w:p w14:paraId="4AEDFD6F">
      <w:pPr>
        <w:pageBreakBefore w:val="0"/>
        <w:kinsoku/>
        <w:wordWrap/>
        <w:overflowPunct/>
        <w:topLinePunct w:val="0"/>
        <w:autoSpaceDE/>
        <w:autoSpaceDN/>
        <w:bidi w:val="0"/>
        <w:adjustRightInd/>
        <w:spacing w:line="560" w:lineRule="exact"/>
        <w:textAlignment w:val="auto"/>
        <w:rPr>
          <w:rStyle w:val="17"/>
          <w:rFonts w:ascii="Times New Roman" w:hAnsi="Times New Roman" w:cs="Times New Roman"/>
          <w:color w:val="auto"/>
          <w:highlight w:val="none"/>
        </w:rPr>
      </w:pPr>
      <w:r>
        <w:rPr>
          <w:rFonts w:hint="eastAsia" w:eastAsia="黑体"/>
          <w:sz w:val="32"/>
          <w:szCs w:val="32"/>
          <w:highlight w:val="none"/>
          <w:lang w:eastAsia="zh-Hans"/>
        </w:rPr>
        <w:t>六</w:t>
      </w:r>
      <w:r>
        <w:rPr>
          <w:rFonts w:eastAsia="黑体"/>
          <w:sz w:val="32"/>
          <w:szCs w:val="32"/>
          <w:highlight w:val="none"/>
        </w:rPr>
        <w:t>、主要经验及做法、存在的问题及原因分析</w:t>
      </w:r>
    </w:p>
    <w:p w14:paraId="1F7249CD">
      <w:pPr>
        <w:pageBreakBefore w:val="0"/>
        <w:kinsoku/>
        <w:wordWrap/>
        <w:overflowPunct/>
        <w:topLinePunct w:val="0"/>
        <w:autoSpaceDE/>
        <w:autoSpaceDN/>
        <w:bidi w:val="0"/>
        <w:adjustRightInd/>
        <w:spacing w:line="560" w:lineRule="exact"/>
        <w:ind w:firstLine="627" w:firstLineChars="200"/>
        <w:textAlignment w:val="auto"/>
        <w:rPr>
          <w:rFonts w:eastAsia="楷体"/>
          <w:b/>
          <w:spacing w:val="-4"/>
          <w:sz w:val="32"/>
          <w:szCs w:val="32"/>
          <w:highlight w:val="none"/>
        </w:rPr>
      </w:pPr>
      <w:r>
        <w:rPr>
          <w:rFonts w:eastAsia="楷体"/>
          <w:b/>
          <w:spacing w:val="-4"/>
          <w:sz w:val="32"/>
          <w:szCs w:val="32"/>
          <w:highlight w:val="none"/>
        </w:rPr>
        <w:t>（一）主要经验及做法</w:t>
      </w:r>
    </w:p>
    <w:p w14:paraId="0F5C000C">
      <w:pPr>
        <w:pageBreakBefore w:val="0"/>
        <w:kinsoku/>
        <w:wordWrap/>
        <w:overflowPunct/>
        <w:topLinePunct w:val="0"/>
        <w:autoSpaceDE/>
        <w:autoSpaceDN/>
        <w:bidi w:val="0"/>
        <w:adjustRightInd/>
        <w:spacing w:line="560" w:lineRule="exact"/>
        <w:ind w:firstLine="640" w:firstLineChars="200"/>
        <w:textAlignment w:val="auto"/>
        <w:rPr>
          <w:rFonts w:eastAsia="仿宋_GB2312"/>
          <w:sz w:val="32"/>
          <w:szCs w:val="32"/>
          <w:highlight w:val="none"/>
        </w:rPr>
      </w:pPr>
      <w:r>
        <w:rPr>
          <w:rFonts w:eastAsia="仿宋_GB2312"/>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00703C41">
      <w:pPr>
        <w:pStyle w:val="10"/>
        <w:pageBreakBefore w:val="0"/>
        <w:kinsoku/>
        <w:wordWrap/>
        <w:overflowPunct/>
        <w:topLinePunct w:val="0"/>
        <w:autoSpaceDE/>
        <w:autoSpaceDN/>
        <w:bidi w:val="0"/>
        <w:adjustRightInd/>
        <w:spacing w:before="0" w:after="0" w:line="560" w:lineRule="exact"/>
        <w:ind w:firstLine="640" w:firstLineChars="200"/>
        <w:jc w:val="left"/>
        <w:textAlignment w:val="auto"/>
        <w:rPr>
          <w:rFonts w:ascii="Times New Roman" w:hAnsi="Times New Roman" w:eastAsia="仿宋_GB2312"/>
          <w:b w:val="0"/>
          <w:bCs w:val="0"/>
          <w:kern w:val="2"/>
          <w:highlight w:val="none"/>
        </w:rPr>
      </w:pPr>
      <w:r>
        <w:rPr>
          <w:rFonts w:ascii="Times New Roman" w:hAnsi="Times New Roman" w:eastAsia="仿宋_GB2312"/>
          <w:b w:val="0"/>
          <w:bCs w:val="0"/>
          <w:kern w:val="2"/>
          <w:highlight w:val="none"/>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57ED9DED">
      <w:pPr>
        <w:keepNext/>
        <w:keepLines/>
        <w:pageBreakBefore w:val="0"/>
        <w:numPr>
          <w:ilvl w:val="0"/>
          <w:numId w:val="7"/>
        </w:numPr>
        <w:kinsoku/>
        <w:wordWrap/>
        <w:overflowPunct/>
        <w:topLinePunct w:val="0"/>
        <w:autoSpaceDE/>
        <w:autoSpaceDN/>
        <w:bidi w:val="0"/>
        <w:adjustRightInd/>
        <w:spacing w:line="560" w:lineRule="exact"/>
        <w:ind w:firstLine="643" w:firstLineChars="200"/>
        <w:textAlignment w:val="auto"/>
        <w:rPr>
          <w:rFonts w:eastAsia="楷体_GB2312"/>
          <w:b/>
          <w:bCs/>
          <w:sz w:val="32"/>
          <w:szCs w:val="32"/>
          <w:highlight w:val="none"/>
        </w:rPr>
      </w:pPr>
      <w:r>
        <w:rPr>
          <w:rFonts w:eastAsia="楷体_GB2312"/>
          <w:b/>
          <w:bCs/>
          <w:sz w:val="32"/>
          <w:szCs w:val="32"/>
          <w:highlight w:val="none"/>
        </w:rPr>
        <w:t>存在的问题及原因分析</w:t>
      </w:r>
    </w:p>
    <w:p w14:paraId="0C1689EB">
      <w:pPr>
        <w:pStyle w:val="10"/>
        <w:pageBreakBefore w:val="0"/>
        <w:kinsoku/>
        <w:wordWrap/>
        <w:overflowPunct/>
        <w:topLinePunct w:val="0"/>
        <w:autoSpaceDE/>
        <w:autoSpaceDN/>
        <w:bidi w:val="0"/>
        <w:adjustRightInd/>
        <w:spacing w:before="0" w:after="0" w:line="560" w:lineRule="exact"/>
        <w:ind w:firstLine="640" w:firstLineChars="200"/>
        <w:jc w:val="both"/>
        <w:textAlignment w:val="auto"/>
        <w:rPr>
          <w:rFonts w:ascii="Times New Roman" w:hAnsi="Times New Roman" w:eastAsia="仿宋_GB2312"/>
          <w:b w:val="0"/>
          <w:bCs w:val="0"/>
          <w:kern w:val="2"/>
          <w:highlight w:val="none"/>
        </w:rPr>
      </w:pPr>
      <w:r>
        <w:rPr>
          <w:rFonts w:hint="eastAsia" w:ascii="仿宋_GB2312" w:hAnsi="仿宋_GB2312" w:eastAsia="仿宋_GB2312" w:cs="仿宋_GB2312"/>
          <w:b w:val="0"/>
          <w:bCs w:val="0"/>
          <w:kern w:val="2"/>
          <w:sz w:val="32"/>
          <w:szCs w:val="28"/>
          <w:highlight w:val="none"/>
          <w:lang w:val="en-US" w:eastAsia="zh-Hans" w:bidi="ar-SA"/>
        </w:rPr>
        <w:t>本项目202</w:t>
      </w:r>
      <w:r>
        <w:rPr>
          <w:rFonts w:hint="eastAsia" w:ascii="仿宋_GB2312" w:hAnsi="仿宋_GB2312" w:eastAsia="仿宋_GB2312" w:cs="仿宋_GB2312"/>
          <w:b w:val="0"/>
          <w:bCs w:val="0"/>
          <w:kern w:val="2"/>
          <w:sz w:val="32"/>
          <w:szCs w:val="28"/>
          <w:highlight w:val="none"/>
          <w:lang w:val="en-US" w:eastAsia="zh-CN" w:bidi="ar-SA"/>
        </w:rPr>
        <w:t>3</w:t>
      </w:r>
      <w:r>
        <w:rPr>
          <w:rFonts w:hint="eastAsia" w:ascii="仿宋_GB2312" w:hAnsi="仿宋_GB2312" w:eastAsia="仿宋_GB2312" w:cs="仿宋_GB2312"/>
          <w:b w:val="0"/>
          <w:bCs w:val="0"/>
          <w:kern w:val="2"/>
          <w:sz w:val="32"/>
          <w:szCs w:val="28"/>
          <w:highlight w:val="none"/>
          <w:lang w:val="en-US" w:eastAsia="zh-Hans" w:bidi="ar-SA"/>
        </w:rPr>
        <w:t>年度</w:t>
      </w:r>
      <w:r>
        <w:rPr>
          <w:rFonts w:hint="eastAsia" w:ascii="仿宋_GB2312" w:hAnsi="仿宋_GB2312" w:eastAsia="仿宋_GB2312" w:cs="仿宋_GB2312"/>
          <w:b w:val="0"/>
          <w:bCs w:val="0"/>
          <w:kern w:val="2"/>
          <w:sz w:val="32"/>
          <w:szCs w:val="28"/>
          <w:highlight w:val="none"/>
          <w:lang w:val="en-US" w:eastAsia="zh-CN" w:bidi="ar-SA"/>
        </w:rPr>
        <w:t>由于我单位为新冠肺炎定点医院，2021年—2022年为全封闭状态，工程一直处于停工状态，目前工程尚未竣工，导致该项目经济效益指标、社会效益指标无法体现。在施工过程中由于专业知识不扎实，不能及时发现存在的问题，</w:t>
      </w:r>
      <w:r>
        <w:rPr>
          <w:rFonts w:hint="eastAsia" w:ascii="仿宋" w:hAnsi="仿宋" w:eastAsia="仿宋" w:cs="仿宋"/>
          <w:b w:val="0"/>
          <w:bCs w:val="0"/>
          <w:color w:val="auto"/>
          <w:kern w:val="0"/>
          <w:sz w:val="30"/>
          <w:szCs w:val="30"/>
          <w:highlight w:val="none"/>
          <w:u w:val="none"/>
          <w:lang w:val="en-US" w:eastAsia="zh-CN" w:bidi="ar"/>
        </w:rPr>
        <w:t>确定解决问题的措施，排除障碍，从而影响项目成效。</w:t>
      </w:r>
    </w:p>
    <w:p w14:paraId="0ED7E5A7">
      <w:pPr>
        <w:pageBreakBefore w:val="0"/>
        <w:kinsoku/>
        <w:wordWrap/>
        <w:overflowPunct/>
        <w:topLinePunct w:val="0"/>
        <w:autoSpaceDE/>
        <w:autoSpaceDN/>
        <w:bidi w:val="0"/>
        <w:adjustRightInd/>
        <w:spacing w:line="560" w:lineRule="exact"/>
        <w:ind w:firstLine="640" w:firstLineChars="200"/>
        <w:textAlignment w:val="auto"/>
        <w:rPr>
          <w:rFonts w:eastAsia="黑体"/>
          <w:sz w:val="32"/>
          <w:szCs w:val="32"/>
          <w:highlight w:val="none"/>
        </w:rPr>
      </w:pPr>
      <w:r>
        <w:rPr>
          <w:rFonts w:hint="eastAsia" w:eastAsia="黑体"/>
          <w:sz w:val="32"/>
          <w:szCs w:val="32"/>
          <w:highlight w:val="none"/>
          <w:lang w:eastAsia="zh-Hans"/>
        </w:rPr>
        <w:t>七、</w:t>
      </w:r>
      <w:r>
        <w:rPr>
          <w:rFonts w:eastAsia="黑体"/>
          <w:sz w:val="32"/>
          <w:szCs w:val="32"/>
          <w:highlight w:val="none"/>
        </w:rPr>
        <w:t>有关建议</w:t>
      </w:r>
    </w:p>
    <w:p w14:paraId="668B2070">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后期将按照总施工进度计划加快完工进度，按期完成项目剩余工程建设，尽早投入使用。同时对指标进</w:t>
      </w:r>
      <w:r>
        <w:rPr>
          <w:rFonts w:hint="eastAsia" w:ascii="仿宋_GB2312" w:hAnsi="仿宋_GB2312" w:eastAsia="仿宋_GB2312" w:cs="仿宋_GB2312"/>
          <w:sz w:val="32"/>
          <w:szCs w:val="28"/>
          <w:highlight w:val="none"/>
          <w:lang w:eastAsia="zh-CN"/>
        </w:rPr>
        <w:t>行</w:t>
      </w:r>
      <w:r>
        <w:rPr>
          <w:rFonts w:hint="eastAsia" w:ascii="仿宋_GB2312" w:hAnsi="仿宋_GB2312" w:eastAsia="仿宋_GB2312" w:cs="仿宋_GB2312"/>
          <w:sz w:val="32"/>
          <w:szCs w:val="28"/>
          <w:highlight w:val="none"/>
        </w:rPr>
        <w:t>科学选择，加强对绩效评估的认识。为规范参建各方质量管理行为，规范工程管理人员管理行为及职责，确保建设工程质量，提高质量管理水平，实现工程质量目标，提高资金使用效益。</w:t>
      </w:r>
    </w:p>
    <w:p w14:paraId="6FE53E09">
      <w:pPr>
        <w:pageBreakBefore w:val="0"/>
        <w:kinsoku/>
        <w:wordWrap/>
        <w:overflowPunct/>
        <w:topLinePunct w:val="0"/>
        <w:autoSpaceDE/>
        <w:autoSpaceDN/>
        <w:bidi w:val="0"/>
        <w:adjustRightInd/>
        <w:spacing w:line="560" w:lineRule="exact"/>
        <w:ind w:firstLine="640" w:firstLineChars="200"/>
        <w:textAlignment w:val="auto"/>
        <w:rPr>
          <w:rFonts w:eastAsia="黑体"/>
          <w:sz w:val="32"/>
          <w:szCs w:val="32"/>
          <w:highlight w:val="none"/>
        </w:rPr>
      </w:pPr>
      <w:r>
        <w:rPr>
          <w:rFonts w:hint="eastAsia" w:eastAsia="黑体"/>
          <w:sz w:val="32"/>
          <w:szCs w:val="32"/>
          <w:highlight w:val="none"/>
          <w:lang w:eastAsia="zh-Hans"/>
        </w:rPr>
        <w:t>八、</w:t>
      </w:r>
      <w:r>
        <w:rPr>
          <w:rFonts w:eastAsia="黑体"/>
          <w:sz w:val="32"/>
          <w:szCs w:val="32"/>
          <w:highlight w:val="none"/>
        </w:rPr>
        <w:t>其他需要说</w:t>
      </w:r>
      <w:bookmarkStart w:id="6" w:name="page8"/>
      <w:bookmarkEnd w:id="6"/>
      <w:r>
        <w:rPr>
          <w:rFonts w:eastAsia="黑体"/>
          <w:sz w:val="32"/>
          <w:szCs w:val="32"/>
          <w:highlight w:val="none"/>
        </w:rPr>
        <w:t>明的问题</w:t>
      </w:r>
    </w:p>
    <w:p w14:paraId="5488E35E">
      <w:pPr>
        <w:pStyle w:val="12"/>
        <w:pageBreakBefore w:val="0"/>
        <w:kinsoku/>
        <w:wordWrap/>
        <w:overflowPunct/>
        <w:topLinePunct w:val="0"/>
        <w:autoSpaceDE/>
        <w:autoSpaceDN/>
        <w:bidi w:val="0"/>
        <w:adjustRightInd/>
        <w:spacing w:after="0" w:line="560" w:lineRule="exact"/>
        <w:ind w:left="0" w:leftChars="0" w:firstLine="64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Hans"/>
        </w:rPr>
        <w:t>本项目无其他需说明的问题。</w:t>
      </w:r>
    </w:p>
    <w:p w14:paraId="31016857">
      <w:pPr>
        <w:pStyle w:val="12"/>
        <w:pageBreakBefore w:val="0"/>
        <w:kinsoku/>
        <w:wordWrap/>
        <w:overflowPunct/>
        <w:topLinePunct w:val="0"/>
        <w:autoSpaceDE/>
        <w:autoSpaceDN/>
        <w:bidi w:val="0"/>
        <w:adjustRightInd/>
        <w:spacing w:after="0" w:line="560" w:lineRule="exact"/>
        <w:ind w:left="0" w:leftChars="0" w:firstLine="640"/>
        <w:textAlignment w:val="auto"/>
        <w:rPr>
          <w:rFonts w:ascii="仿宋_GB2312" w:hAnsi="仿宋_GB2312" w:eastAsia="仿宋_GB2312" w:cs="仿宋_GB2312"/>
          <w:sz w:val="32"/>
          <w:szCs w:val="32"/>
          <w:highlight w:val="none"/>
        </w:rPr>
      </w:pPr>
    </w:p>
    <w:p w14:paraId="46ED961D">
      <w:pPr>
        <w:pStyle w:val="12"/>
        <w:pageBreakBefore w:val="0"/>
        <w:kinsoku/>
        <w:wordWrap/>
        <w:overflowPunct/>
        <w:topLinePunct w:val="0"/>
        <w:autoSpaceDE/>
        <w:autoSpaceDN/>
        <w:bidi w:val="0"/>
        <w:adjustRightInd/>
        <w:spacing w:after="0" w:line="560" w:lineRule="exact"/>
        <w:ind w:left="0" w:leftChars="0" w:firstLine="640"/>
        <w:textAlignment w:val="auto"/>
        <w:rPr>
          <w:rFonts w:ascii="仿宋_GB2312" w:hAnsi="仿宋_GB2312" w:eastAsia="仿宋_GB2312" w:cs="仿宋_GB2312"/>
          <w:sz w:val="32"/>
          <w:szCs w:val="32"/>
          <w:highlight w:val="none"/>
        </w:rPr>
      </w:pPr>
    </w:p>
    <w:p w14:paraId="1D079B9B">
      <w:pPr>
        <w:pStyle w:val="12"/>
        <w:pageBreakBefore w:val="0"/>
        <w:kinsoku/>
        <w:wordWrap/>
        <w:overflowPunct/>
        <w:topLinePunct w:val="0"/>
        <w:autoSpaceDE/>
        <w:autoSpaceDN/>
        <w:bidi w:val="0"/>
        <w:adjustRightInd/>
        <w:spacing w:after="0" w:line="560" w:lineRule="exact"/>
        <w:ind w:left="0" w:leftChars="0" w:firstLine="0" w:firstLineChars="0"/>
        <w:textAlignment w:val="auto"/>
        <w:rPr>
          <w:rFonts w:ascii="仿宋_GB2312" w:hAnsi="仿宋_GB2312" w:eastAsia="仿宋_GB2312" w:cs="仿宋_GB2312"/>
          <w:sz w:val="32"/>
          <w:szCs w:val="32"/>
          <w:highlight w:val="none"/>
        </w:rPr>
        <w:sectPr>
          <w:footerReference r:id="rId3" w:type="default"/>
          <w:pgSz w:w="11906" w:h="16838"/>
          <w:pgMar w:top="1440" w:right="1558" w:bottom="1440" w:left="1800" w:header="851" w:footer="992" w:gutter="0"/>
          <w:cols w:space="425" w:num="1"/>
          <w:docGrid w:type="lines" w:linePitch="312" w:charSpace="0"/>
        </w:sectPr>
      </w:pPr>
      <w:bookmarkStart w:id="7" w:name="_GoBack"/>
      <w:bookmarkEnd w:id="7"/>
    </w:p>
    <w:tbl>
      <w:tblPr>
        <w:tblStyle w:val="1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90"/>
        <w:gridCol w:w="590"/>
        <w:gridCol w:w="590"/>
        <w:gridCol w:w="1327"/>
        <w:gridCol w:w="935"/>
        <w:gridCol w:w="935"/>
        <w:gridCol w:w="952"/>
        <w:gridCol w:w="935"/>
        <w:gridCol w:w="941"/>
        <w:gridCol w:w="935"/>
        <w:gridCol w:w="941"/>
        <w:gridCol w:w="1125"/>
        <w:gridCol w:w="1007"/>
        <w:gridCol w:w="2371"/>
      </w:tblGrid>
      <w:tr w14:paraId="3DD5B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5000" w:type="pct"/>
            <w:gridSpan w:val="14"/>
            <w:tcBorders>
              <w:top w:val="nil"/>
              <w:left w:val="nil"/>
              <w:bottom w:val="nil"/>
              <w:right w:val="nil"/>
            </w:tcBorders>
            <w:shd w:val="clear" w:color="auto" w:fill="auto"/>
            <w:vAlign w:val="center"/>
          </w:tcPr>
          <w:p w14:paraId="414D71A8">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58A5C9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7DF5E8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2023年度</w:t>
            </w:r>
            <w:r>
              <w:rPr>
                <w:rFonts w:hint="eastAsia" w:ascii="宋体" w:hAnsi="宋体" w:cs="宋体"/>
                <w:i w:val="0"/>
                <w:iCs w:val="0"/>
                <w:color w:val="000000"/>
                <w:kern w:val="0"/>
                <w:sz w:val="22"/>
                <w:szCs w:val="22"/>
                <w:u w:val="none"/>
                <w:lang w:val="en-US" w:eastAsia="zh-CN" w:bidi="ar"/>
              </w:rPr>
              <w:t>）</w:t>
            </w:r>
          </w:p>
        </w:tc>
      </w:tr>
      <w:tr w14:paraId="692A5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A904D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3"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A3E78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自治区卫生健康委所属单位2023年地方政府债券资金（第二批）</w:t>
            </w:r>
          </w:p>
        </w:tc>
      </w:tr>
      <w:tr w14:paraId="5BB7F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FF7D0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67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B8575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新疆维吾尔自治区第六人民医院</w:t>
            </w:r>
          </w:p>
        </w:tc>
        <w:tc>
          <w:tcPr>
            <w:tcW w:w="6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21530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E5BF3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新疆维吾尔自治区第六人民医院</w:t>
            </w:r>
          </w:p>
        </w:tc>
      </w:tr>
      <w:tr w14:paraId="2D8E7E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1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43781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6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50ABC2">
            <w:pPr>
              <w:jc w:val="center"/>
              <w:rPr>
                <w:rFonts w:hint="eastAsia" w:ascii="宋体" w:hAnsi="宋体" w:eastAsia="宋体" w:cs="宋体"/>
                <w:b/>
                <w:bCs/>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CA87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C8F07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65B87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632E5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C9A99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B423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0E70A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EB06C8">
            <w:pPr>
              <w:jc w:val="center"/>
              <w:rPr>
                <w:rFonts w:hint="eastAsia" w:ascii="宋体" w:hAnsi="宋体" w:eastAsia="宋体" w:cs="宋体"/>
                <w:b/>
                <w:bCs/>
                <w:i w:val="0"/>
                <w:iCs w:val="0"/>
                <w:color w:val="000000"/>
                <w:sz w:val="18"/>
                <w:szCs w:val="18"/>
                <w:u w:val="none"/>
              </w:rPr>
            </w:pPr>
          </w:p>
        </w:tc>
        <w:tc>
          <w:tcPr>
            <w:tcW w:w="6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66BF6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8E1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8000.00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8FF2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8000</w:t>
            </w:r>
          </w:p>
        </w:tc>
        <w:tc>
          <w:tcPr>
            <w:tcW w:w="6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7EDE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8000.00</w:t>
            </w:r>
          </w:p>
        </w:tc>
        <w:tc>
          <w:tcPr>
            <w:tcW w:w="6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A6ED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9BB8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EC5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10.00分</w:t>
            </w:r>
          </w:p>
        </w:tc>
      </w:tr>
      <w:tr w14:paraId="417D6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633511">
            <w:pPr>
              <w:jc w:val="center"/>
              <w:rPr>
                <w:rFonts w:hint="eastAsia" w:ascii="宋体" w:hAnsi="宋体" w:eastAsia="宋体" w:cs="宋体"/>
                <w:b/>
                <w:bCs/>
                <w:i w:val="0"/>
                <w:iCs w:val="0"/>
                <w:color w:val="000000"/>
                <w:sz w:val="18"/>
                <w:szCs w:val="18"/>
                <w:u w:val="none"/>
              </w:rPr>
            </w:pPr>
          </w:p>
        </w:tc>
        <w:tc>
          <w:tcPr>
            <w:tcW w:w="6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85B28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A86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A34E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8000</w:t>
            </w:r>
          </w:p>
        </w:tc>
        <w:tc>
          <w:tcPr>
            <w:tcW w:w="6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992A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8000</w:t>
            </w:r>
          </w:p>
        </w:tc>
        <w:tc>
          <w:tcPr>
            <w:tcW w:w="6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9C77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8321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5BD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2B498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DAFC55">
            <w:pPr>
              <w:jc w:val="center"/>
              <w:rPr>
                <w:rFonts w:hint="eastAsia" w:ascii="宋体" w:hAnsi="宋体" w:eastAsia="宋体" w:cs="宋体"/>
                <w:b/>
                <w:bCs/>
                <w:i w:val="0"/>
                <w:iCs w:val="0"/>
                <w:color w:val="000000"/>
                <w:sz w:val="18"/>
                <w:szCs w:val="18"/>
                <w:u w:val="none"/>
              </w:rPr>
            </w:pPr>
          </w:p>
        </w:tc>
        <w:tc>
          <w:tcPr>
            <w:tcW w:w="6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A6AAE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874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F60E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011625">
            <w:pPr>
              <w:jc w:val="center"/>
              <w:rPr>
                <w:rFonts w:hint="eastAsia" w:ascii="宋体" w:hAnsi="宋体" w:eastAsia="宋体" w:cs="宋体"/>
                <w:i w:val="0"/>
                <w:iCs w:val="0"/>
                <w:color w:val="000000"/>
                <w:sz w:val="18"/>
                <w:szCs w:val="18"/>
                <w:u w:val="none"/>
              </w:rPr>
            </w:pPr>
          </w:p>
        </w:tc>
        <w:tc>
          <w:tcPr>
            <w:tcW w:w="6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F0E6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481E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C6C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4DB817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D722F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88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6002C4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91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348CA0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06706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04BEED">
            <w:pPr>
              <w:jc w:val="center"/>
              <w:rPr>
                <w:rFonts w:hint="eastAsia" w:ascii="宋体" w:hAnsi="宋体" w:eastAsia="宋体" w:cs="宋体"/>
                <w:b/>
                <w:bCs/>
                <w:i w:val="0"/>
                <w:iCs w:val="0"/>
                <w:color w:val="000000"/>
                <w:sz w:val="18"/>
                <w:szCs w:val="18"/>
                <w:u w:val="none"/>
              </w:rPr>
            </w:pPr>
          </w:p>
        </w:tc>
        <w:tc>
          <w:tcPr>
            <w:tcW w:w="188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3585B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完成综合门急诊楼，综合内外科住院楼的室内防水工程，地下室油漆及涂料工程，外立面幕墙工程，门窗工程，屋面工程，不包括精装修工程。</w:t>
            </w:r>
          </w:p>
        </w:tc>
        <w:tc>
          <w:tcPr>
            <w:tcW w:w="291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D1EA0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2023年实际完成：综合门急诊楼，综合内外科住院楼的室内防水工程，地下室油漆及涂料工程，外立面幕墙工程，门窗工程，屋面工程，不包括精装修工程。</w:t>
            </w:r>
          </w:p>
        </w:tc>
      </w:tr>
      <w:tr w14:paraId="6471A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909452">
            <w:pPr>
              <w:jc w:val="center"/>
              <w:rPr>
                <w:rFonts w:hint="eastAsia" w:ascii="宋体" w:hAnsi="宋体" w:eastAsia="宋体" w:cs="宋体"/>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3F7A1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2421D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B8892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3DC13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4AC82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FC7A9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16EA5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C1AB5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5A705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26CF2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BB85A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CBE3D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2D5A1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1B8A2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400F9C">
            <w:pPr>
              <w:jc w:val="center"/>
              <w:rPr>
                <w:rFonts w:hint="eastAsia" w:ascii="宋体" w:hAnsi="宋体" w:eastAsia="宋体" w:cs="宋体"/>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B7388F">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A5C466">
            <w:pPr>
              <w:jc w:val="center"/>
              <w:rPr>
                <w:rFonts w:hint="eastAsia" w:ascii="宋体" w:hAnsi="宋体" w:eastAsia="宋体" w:cs="宋体"/>
                <w:b/>
                <w:bCs/>
                <w:i w:val="0"/>
                <w:iCs w:val="0"/>
                <w:color w:val="000000"/>
                <w:sz w:val="18"/>
                <w:szCs w:val="18"/>
                <w:u w:val="none"/>
              </w:rPr>
            </w:pPr>
          </w:p>
        </w:tc>
        <w:tc>
          <w:tcPr>
            <w:tcW w:w="4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421E5C">
            <w:pPr>
              <w:jc w:val="center"/>
              <w:rPr>
                <w:rFonts w:hint="eastAsia" w:ascii="宋体" w:hAnsi="宋体" w:eastAsia="宋体" w:cs="宋体"/>
                <w:b/>
                <w:bCs/>
                <w:i w:val="0"/>
                <w:iCs w:val="0"/>
                <w:color w:val="000000"/>
                <w:sz w:val="18"/>
                <w:szCs w:val="18"/>
                <w:u w:val="none"/>
              </w:rPr>
            </w:pPr>
          </w:p>
        </w:tc>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0C5D4F">
            <w:pPr>
              <w:jc w:val="center"/>
              <w:rPr>
                <w:rFonts w:hint="eastAsia" w:ascii="宋体" w:hAnsi="宋体" w:eastAsia="宋体" w:cs="宋体"/>
                <w:b/>
                <w:bCs/>
                <w:i w:val="0"/>
                <w:iCs w:val="0"/>
                <w:color w:val="000000"/>
                <w:sz w:val="18"/>
                <w:szCs w:val="18"/>
                <w:u w:val="none"/>
              </w:rPr>
            </w:pPr>
          </w:p>
        </w:tc>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4C7E7A">
            <w:pPr>
              <w:jc w:val="center"/>
              <w:rPr>
                <w:rFonts w:hint="eastAsia" w:ascii="宋体" w:hAnsi="宋体" w:eastAsia="宋体" w:cs="宋体"/>
                <w:b/>
                <w:bCs/>
                <w:i w:val="0"/>
                <w:iCs w:val="0"/>
                <w:color w:val="000000"/>
                <w:sz w:val="18"/>
                <w:szCs w:val="18"/>
                <w:u w:val="none"/>
              </w:rPr>
            </w:pPr>
          </w:p>
        </w:tc>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6D90AF">
            <w:pPr>
              <w:jc w:val="center"/>
              <w:rPr>
                <w:rFonts w:hint="eastAsia" w:ascii="宋体" w:hAnsi="宋体" w:eastAsia="宋体" w:cs="宋体"/>
                <w:b/>
                <w:bCs/>
                <w:i w:val="0"/>
                <w:iCs w:val="0"/>
                <w:color w:val="000000"/>
                <w:sz w:val="18"/>
                <w:szCs w:val="18"/>
                <w:u w:val="none"/>
              </w:rPr>
            </w:pPr>
          </w:p>
        </w:tc>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AA9368">
            <w:pPr>
              <w:jc w:val="center"/>
              <w:rPr>
                <w:rFonts w:hint="eastAsia" w:ascii="宋体" w:hAnsi="宋体" w:eastAsia="宋体" w:cs="宋体"/>
                <w:b/>
                <w:bCs/>
                <w:i w:val="0"/>
                <w:iCs w:val="0"/>
                <w:color w:val="000000"/>
                <w:sz w:val="18"/>
                <w:szCs w:val="18"/>
                <w:u w:val="none"/>
              </w:rPr>
            </w:pPr>
          </w:p>
        </w:tc>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CF8FBA">
            <w:pPr>
              <w:jc w:val="center"/>
              <w:rPr>
                <w:rFonts w:hint="eastAsia" w:ascii="宋体" w:hAnsi="宋体" w:eastAsia="宋体" w:cs="宋体"/>
                <w:b/>
                <w:bCs/>
                <w:i w:val="0"/>
                <w:iCs w:val="0"/>
                <w:color w:val="000000"/>
                <w:sz w:val="18"/>
                <w:szCs w:val="18"/>
                <w:u w:val="none"/>
              </w:rPr>
            </w:pPr>
          </w:p>
        </w:tc>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70EA35">
            <w:pPr>
              <w:jc w:val="center"/>
              <w:rPr>
                <w:rFonts w:hint="eastAsia" w:ascii="宋体" w:hAnsi="宋体" w:eastAsia="宋体" w:cs="宋体"/>
                <w:b/>
                <w:bCs/>
                <w:i w:val="0"/>
                <w:iCs w:val="0"/>
                <w:color w:val="000000"/>
                <w:sz w:val="18"/>
                <w:szCs w:val="18"/>
                <w:u w:val="none"/>
              </w:rPr>
            </w:pPr>
          </w:p>
        </w:tc>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EF0AD7">
            <w:pPr>
              <w:jc w:val="center"/>
              <w:rPr>
                <w:rFonts w:hint="eastAsia" w:ascii="宋体" w:hAnsi="宋体" w:eastAsia="宋体" w:cs="宋体"/>
                <w:b/>
                <w:bCs/>
                <w:i w:val="0"/>
                <w:iCs w:val="0"/>
                <w:color w:val="000000"/>
                <w:sz w:val="18"/>
                <w:szCs w:val="18"/>
                <w:u w:val="none"/>
              </w:rPr>
            </w:pPr>
          </w:p>
        </w:tc>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B0469E">
            <w:pPr>
              <w:jc w:val="center"/>
              <w:rPr>
                <w:rFonts w:hint="eastAsia" w:ascii="宋体" w:hAnsi="宋体" w:eastAsia="宋体" w:cs="宋体"/>
                <w:b/>
                <w:bCs/>
                <w:i w:val="0"/>
                <w:iCs w:val="0"/>
                <w:color w:val="000000"/>
                <w:sz w:val="18"/>
                <w:szCs w:val="18"/>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96F7D">
            <w:pPr>
              <w:jc w:val="center"/>
              <w:rPr>
                <w:rFonts w:hint="eastAsia" w:ascii="宋体" w:hAnsi="宋体" w:eastAsia="宋体" w:cs="宋体"/>
                <w:b/>
                <w:bCs/>
                <w:i w:val="0"/>
                <w:iCs w:val="0"/>
                <w:color w:val="000000"/>
                <w:sz w:val="18"/>
                <w:szCs w:val="18"/>
                <w:u w:val="none"/>
              </w:rPr>
            </w:pPr>
          </w:p>
        </w:tc>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3B0CF3">
            <w:pPr>
              <w:jc w:val="center"/>
              <w:rPr>
                <w:rFonts w:hint="eastAsia" w:ascii="宋体" w:hAnsi="宋体" w:eastAsia="宋体" w:cs="宋体"/>
                <w:b/>
                <w:bCs/>
                <w:i w:val="0"/>
                <w:iCs w:val="0"/>
                <w:color w:val="000000"/>
                <w:sz w:val="18"/>
                <w:szCs w:val="18"/>
                <w:u w:val="none"/>
              </w:rPr>
            </w:pPr>
          </w:p>
        </w:tc>
      </w:tr>
      <w:tr w14:paraId="4F49D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C4620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74AB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D78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E1E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总建筑面积</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494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EE0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=114585平方米</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FF9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=114585平方米</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D4C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2A4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25C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03E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上年未设置此指标</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D81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431E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8A5D7">
            <w:pPr>
              <w:jc w:val="center"/>
              <w:rPr>
                <w:rFonts w:hint="eastAsia" w:ascii="宋体" w:hAnsi="宋体" w:eastAsia="宋体" w:cs="宋体"/>
                <w:i w:val="0"/>
                <w:iCs w:val="0"/>
                <w:color w:val="000000"/>
                <w:sz w:val="18"/>
                <w:szCs w:val="18"/>
                <w:u w:val="none"/>
              </w:rPr>
            </w:pPr>
          </w:p>
        </w:tc>
      </w:tr>
      <w:tr w14:paraId="559D2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4A31E2">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79DCCF">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16B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C43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竣工验收合格率</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124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CAC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942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959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8F2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A24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78B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上年未设置此指标</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C23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1E9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F1D5C">
            <w:pPr>
              <w:jc w:val="center"/>
              <w:rPr>
                <w:rFonts w:hint="eastAsia" w:ascii="宋体" w:hAnsi="宋体" w:eastAsia="宋体" w:cs="宋体"/>
                <w:i w:val="0"/>
                <w:iCs w:val="0"/>
                <w:color w:val="000000"/>
                <w:sz w:val="18"/>
                <w:szCs w:val="18"/>
                <w:u w:val="none"/>
              </w:rPr>
            </w:pPr>
          </w:p>
        </w:tc>
      </w:tr>
      <w:tr w14:paraId="48ED6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1B8DB2">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5AE356">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CFA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485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按计划开工率</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33D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649C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E0E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8E1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19B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F2C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948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上年未设置此指标</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33B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D49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0E53C">
            <w:pPr>
              <w:jc w:val="center"/>
              <w:rPr>
                <w:rFonts w:hint="eastAsia" w:ascii="宋体" w:hAnsi="宋体" w:eastAsia="宋体" w:cs="宋体"/>
                <w:i w:val="0"/>
                <w:iCs w:val="0"/>
                <w:color w:val="000000"/>
                <w:sz w:val="18"/>
                <w:szCs w:val="18"/>
                <w:u w:val="none"/>
              </w:rPr>
            </w:pPr>
          </w:p>
        </w:tc>
      </w:tr>
      <w:tr w14:paraId="79107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72016F">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60FBC1">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EC7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2B6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按计划完工率</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078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BB9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411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599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A79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9F2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C6E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上年未设置此指标</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7EC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CCD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9F4E2">
            <w:pPr>
              <w:jc w:val="center"/>
              <w:rPr>
                <w:rFonts w:hint="eastAsia" w:ascii="宋体" w:hAnsi="宋体" w:eastAsia="宋体" w:cs="宋体"/>
                <w:i w:val="0"/>
                <w:iCs w:val="0"/>
                <w:color w:val="000000"/>
                <w:sz w:val="18"/>
                <w:szCs w:val="18"/>
                <w:u w:val="none"/>
              </w:rPr>
            </w:pPr>
          </w:p>
        </w:tc>
      </w:tr>
      <w:tr w14:paraId="1A00D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65F62A">
            <w:pPr>
              <w:jc w:val="center"/>
              <w:rPr>
                <w:rFonts w:hint="eastAsia" w:ascii="宋体" w:hAnsi="宋体" w:eastAsia="宋体" w:cs="宋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D9D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B15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7EF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预算成本控制率</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BAE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CB8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&lt;=100%</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224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ACB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B76B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7D4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A1B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上年未设置此指标</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A25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0C5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83F56">
            <w:pPr>
              <w:jc w:val="center"/>
              <w:rPr>
                <w:rFonts w:hint="eastAsia" w:ascii="宋体" w:hAnsi="宋体" w:eastAsia="宋体" w:cs="宋体"/>
                <w:i w:val="0"/>
                <w:iCs w:val="0"/>
                <w:color w:val="000000"/>
                <w:sz w:val="18"/>
                <w:szCs w:val="18"/>
                <w:u w:val="none"/>
              </w:rPr>
            </w:pPr>
          </w:p>
        </w:tc>
      </w:tr>
      <w:tr w14:paraId="456F4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C16E7E">
            <w:pPr>
              <w:jc w:val="center"/>
              <w:rPr>
                <w:rFonts w:hint="eastAsia" w:ascii="宋体" w:hAnsi="宋体" w:eastAsia="宋体" w:cs="宋体"/>
                <w:b/>
                <w:bCs/>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2151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EEC9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EF9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年服务人数</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C12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023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明显增加</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031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未竣工</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4CB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35E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D1E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D09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上年未设置此指标</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CFD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51D4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9C6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由于我单位为新冠肺炎定点医院，2021年</w:t>
            </w:r>
            <w:r>
              <w:rPr>
                <w:rFonts w:hint="eastAsia" w:ascii="宋体" w:hAnsi="宋体" w:cs="宋体"/>
                <w:i w:val="0"/>
                <w:iCs w:val="0"/>
                <w:color w:val="000000"/>
                <w:kern w:val="0"/>
                <w:sz w:val="18"/>
                <w:szCs w:val="18"/>
                <w:u w:val="none"/>
                <w:lang w:val="en-US" w:eastAsia="zh-CN" w:bidi="ar"/>
              </w:rPr>
              <w:t>—2022年</w:t>
            </w:r>
            <w:r>
              <w:rPr>
                <w:rFonts w:hint="eastAsia" w:ascii="宋体" w:hAnsi="宋体" w:eastAsia="宋体" w:cs="宋体"/>
                <w:i w:val="0"/>
                <w:iCs w:val="0"/>
                <w:color w:val="000000"/>
                <w:kern w:val="0"/>
                <w:sz w:val="18"/>
                <w:szCs w:val="18"/>
                <w:u w:val="none"/>
                <w:lang w:val="en-US" w:eastAsia="zh-CN" w:bidi="ar"/>
              </w:rPr>
              <w:t>为封闭状态，导致工程工期延长，后期将按照计划标准</w:t>
            </w:r>
            <w:r>
              <w:rPr>
                <w:rFonts w:hint="eastAsia" w:ascii="宋体" w:hAnsi="宋体" w:cs="宋体"/>
                <w:i w:val="0"/>
                <w:iCs w:val="0"/>
                <w:color w:val="000000"/>
                <w:kern w:val="0"/>
                <w:sz w:val="18"/>
                <w:szCs w:val="18"/>
                <w:u w:val="none"/>
                <w:lang w:val="en-US" w:eastAsia="zh-CN" w:bidi="ar"/>
              </w:rPr>
              <w:t>加快</w:t>
            </w:r>
            <w:r>
              <w:rPr>
                <w:rFonts w:hint="eastAsia" w:ascii="宋体" w:hAnsi="宋体" w:eastAsia="宋体" w:cs="宋体"/>
                <w:i w:val="0"/>
                <w:iCs w:val="0"/>
                <w:color w:val="000000"/>
                <w:kern w:val="0"/>
                <w:sz w:val="18"/>
                <w:szCs w:val="18"/>
                <w:u w:val="none"/>
                <w:lang w:val="en-US" w:eastAsia="zh-CN" w:bidi="ar"/>
              </w:rPr>
              <w:t>完工进度，同时对指标进</w:t>
            </w:r>
            <w:r>
              <w:rPr>
                <w:rFonts w:hint="eastAsia" w:ascii="宋体" w:hAnsi="宋体" w:cs="宋体"/>
                <w:i w:val="0"/>
                <w:iCs w:val="0"/>
                <w:color w:val="000000"/>
                <w:kern w:val="0"/>
                <w:sz w:val="18"/>
                <w:szCs w:val="18"/>
                <w:u w:val="none"/>
                <w:lang w:val="en-US" w:eastAsia="zh-CN" w:bidi="ar"/>
              </w:rPr>
              <w:t>行</w:t>
            </w:r>
            <w:r>
              <w:rPr>
                <w:rFonts w:hint="eastAsia" w:ascii="宋体" w:hAnsi="宋体" w:eastAsia="宋体" w:cs="宋体"/>
                <w:i w:val="0"/>
                <w:iCs w:val="0"/>
                <w:color w:val="000000"/>
                <w:kern w:val="0"/>
                <w:sz w:val="18"/>
                <w:szCs w:val="18"/>
                <w:u w:val="none"/>
                <w:lang w:val="en-US" w:eastAsia="zh-CN" w:bidi="ar"/>
              </w:rPr>
              <w:t>科学选择，加强对绩效评估的认识</w:t>
            </w:r>
          </w:p>
        </w:tc>
      </w:tr>
      <w:tr w14:paraId="76158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BE55F4">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483549">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65C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1DA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提供就业岗位</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5AC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405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&gt;20个</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AE4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=0个</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5D7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2E5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0C5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ED6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上年未设置此指标</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66E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375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725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由于我单位为新冠肺炎定点医院，2021年</w:t>
            </w:r>
            <w:r>
              <w:rPr>
                <w:rFonts w:hint="eastAsia" w:ascii="宋体" w:hAnsi="宋体" w:cs="宋体"/>
                <w:i w:val="0"/>
                <w:iCs w:val="0"/>
                <w:color w:val="000000"/>
                <w:kern w:val="0"/>
                <w:sz w:val="18"/>
                <w:szCs w:val="18"/>
                <w:u w:val="none"/>
                <w:lang w:val="en-US" w:eastAsia="zh-CN" w:bidi="ar"/>
              </w:rPr>
              <w:t>—2022年</w:t>
            </w:r>
            <w:r>
              <w:rPr>
                <w:rFonts w:hint="eastAsia" w:ascii="宋体" w:hAnsi="宋体" w:eastAsia="宋体" w:cs="宋体"/>
                <w:i w:val="0"/>
                <w:iCs w:val="0"/>
                <w:color w:val="000000"/>
                <w:kern w:val="0"/>
                <w:sz w:val="18"/>
                <w:szCs w:val="18"/>
                <w:u w:val="none"/>
                <w:lang w:val="en-US" w:eastAsia="zh-CN" w:bidi="ar"/>
              </w:rPr>
              <w:t>为封闭状态，导致工程工期延长，后期将按照计划标准</w:t>
            </w:r>
            <w:r>
              <w:rPr>
                <w:rFonts w:hint="eastAsia" w:ascii="宋体" w:hAnsi="宋体" w:cs="宋体"/>
                <w:i w:val="0"/>
                <w:iCs w:val="0"/>
                <w:color w:val="000000"/>
                <w:kern w:val="0"/>
                <w:sz w:val="18"/>
                <w:szCs w:val="18"/>
                <w:u w:val="none"/>
                <w:lang w:val="en-US" w:eastAsia="zh-CN" w:bidi="ar"/>
              </w:rPr>
              <w:t>加快</w:t>
            </w:r>
            <w:r>
              <w:rPr>
                <w:rFonts w:hint="eastAsia" w:ascii="宋体" w:hAnsi="宋体" w:eastAsia="宋体" w:cs="宋体"/>
                <w:i w:val="0"/>
                <w:iCs w:val="0"/>
                <w:color w:val="000000"/>
                <w:kern w:val="0"/>
                <w:sz w:val="18"/>
                <w:szCs w:val="18"/>
                <w:u w:val="none"/>
                <w:lang w:val="en-US" w:eastAsia="zh-CN" w:bidi="ar"/>
              </w:rPr>
              <w:t>完工进度，同时对指标进</w:t>
            </w:r>
            <w:r>
              <w:rPr>
                <w:rFonts w:hint="eastAsia" w:ascii="宋体" w:hAnsi="宋体" w:cs="宋体"/>
                <w:i w:val="0"/>
                <w:iCs w:val="0"/>
                <w:color w:val="000000"/>
                <w:kern w:val="0"/>
                <w:sz w:val="18"/>
                <w:szCs w:val="18"/>
                <w:u w:val="none"/>
                <w:lang w:val="en-US" w:eastAsia="zh-CN" w:bidi="ar"/>
              </w:rPr>
              <w:t>行</w:t>
            </w:r>
            <w:r>
              <w:rPr>
                <w:rFonts w:hint="eastAsia" w:ascii="宋体" w:hAnsi="宋体" w:eastAsia="宋体" w:cs="宋体"/>
                <w:i w:val="0"/>
                <w:iCs w:val="0"/>
                <w:color w:val="000000"/>
                <w:kern w:val="0"/>
                <w:sz w:val="18"/>
                <w:szCs w:val="18"/>
                <w:u w:val="none"/>
                <w:lang w:val="en-US" w:eastAsia="zh-CN" w:bidi="ar"/>
              </w:rPr>
              <w:t>科学选择，加强对绩效评估的认识</w:t>
            </w:r>
          </w:p>
        </w:tc>
      </w:tr>
      <w:tr w14:paraId="6E1F8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2696EC">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60DEDD">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26A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A40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改善医疗条件</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5D0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F46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明显改善</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7F5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未竣工</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C96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F34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10F5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D66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上年未设置此指标</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35E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39B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4BD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由于我单位为新冠肺炎定点医院，2021年</w:t>
            </w:r>
            <w:r>
              <w:rPr>
                <w:rFonts w:hint="eastAsia" w:ascii="宋体" w:hAnsi="宋体" w:cs="宋体"/>
                <w:i w:val="0"/>
                <w:iCs w:val="0"/>
                <w:color w:val="000000"/>
                <w:kern w:val="0"/>
                <w:sz w:val="18"/>
                <w:szCs w:val="18"/>
                <w:u w:val="none"/>
                <w:lang w:val="en-US" w:eastAsia="zh-CN" w:bidi="ar"/>
              </w:rPr>
              <w:t>—2022年</w:t>
            </w:r>
            <w:r>
              <w:rPr>
                <w:rFonts w:hint="eastAsia" w:ascii="宋体" w:hAnsi="宋体" w:eastAsia="宋体" w:cs="宋体"/>
                <w:i w:val="0"/>
                <w:iCs w:val="0"/>
                <w:color w:val="000000"/>
                <w:kern w:val="0"/>
                <w:sz w:val="18"/>
                <w:szCs w:val="18"/>
                <w:u w:val="none"/>
                <w:lang w:val="en-US" w:eastAsia="zh-CN" w:bidi="ar"/>
              </w:rPr>
              <w:t>为封闭状态，导致工程工期延长，后期将按照计划标准</w:t>
            </w:r>
            <w:r>
              <w:rPr>
                <w:rFonts w:hint="eastAsia" w:ascii="宋体" w:hAnsi="宋体" w:cs="宋体"/>
                <w:i w:val="0"/>
                <w:iCs w:val="0"/>
                <w:color w:val="000000"/>
                <w:kern w:val="0"/>
                <w:sz w:val="18"/>
                <w:szCs w:val="18"/>
                <w:u w:val="none"/>
                <w:lang w:val="en-US" w:eastAsia="zh-CN" w:bidi="ar"/>
              </w:rPr>
              <w:t>加快</w:t>
            </w:r>
            <w:r>
              <w:rPr>
                <w:rFonts w:hint="eastAsia" w:ascii="宋体" w:hAnsi="宋体" w:eastAsia="宋体" w:cs="宋体"/>
                <w:i w:val="0"/>
                <w:iCs w:val="0"/>
                <w:color w:val="000000"/>
                <w:kern w:val="0"/>
                <w:sz w:val="18"/>
                <w:szCs w:val="18"/>
                <w:u w:val="none"/>
                <w:lang w:val="en-US" w:eastAsia="zh-CN" w:bidi="ar"/>
              </w:rPr>
              <w:t>完工进度，同时对指标进</w:t>
            </w:r>
            <w:r>
              <w:rPr>
                <w:rFonts w:hint="eastAsia" w:ascii="宋体" w:hAnsi="宋体" w:cs="宋体"/>
                <w:i w:val="0"/>
                <w:iCs w:val="0"/>
                <w:color w:val="000000"/>
                <w:kern w:val="0"/>
                <w:sz w:val="18"/>
                <w:szCs w:val="18"/>
                <w:u w:val="none"/>
                <w:lang w:val="en-US" w:eastAsia="zh-CN" w:bidi="ar"/>
              </w:rPr>
              <w:t>行</w:t>
            </w:r>
            <w:r>
              <w:rPr>
                <w:rFonts w:hint="eastAsia" w:ascii="宋体" w:hAnsi="宋体" w:eastAsia="宋体" w:cs="宋体"/>
                <w:i w:val="0"/>
                <w:iCs w:val="0"/>
                <w:color w:val="000000"/>
                <w:kern w:val="0"/>
                <w:sz w:val="18"/>
                <w:szCs w:val="18"/>
                <w:u w:val="none"/>
                <w:lang w:val="en-US" w:eastAsia="zh-CN" w:bidi="ar"/>
              </w:rPr>
              <w:t>科学选择，加强对绩效评估的认识</w:t>
            </w:r>
          </w:p>
        </w:tc>
      </w:tr>
      <w:tr w14:paraId="35697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E7E2C5">
            <w:pPr>
              <w:jc w:val="center"/>
              <w:rPr>
                <w:rFonts w:hint="eastAsia" w:ascii="宋体" w:hAnsi="宋体" w:eastAsia="宋体" w:cs="宋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A7E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290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1F52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受益群众满意度</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181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FC9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8F1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EF3A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462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8C0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95B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上年未设置此指标</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882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7AE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6F1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由于我单位为新冠肺炎定点医院，2021年</w:t>
            </w:r>
            <w:r>
              <w:rPr>
                <w:rFonts w:hint="eastAsia" w:ascii="宋体" w:hAnsi="宋体" w:cs="宋体"/>
                <w:i w:val="0"/>
                <w:iCs w:val="0"/>
                <w:color w:val="000000"/>
                <w:kern w:val="0"/>
                <w:sz w:val="18"/>
                <w:szCs w:val="18"/>
                <w:u w:val="none"/>
                <w:lang w:val="en-US" w:eastAsia="zh-CN" w:bidi="ar"/>
              </w:rPr>
              <w:t>—2022年</w:t>
            </w:r>
            <w:r>
              <w:rPr>
                <w:rFonts w:hint="eastAsia" w:ascii="宋体" w:hAnsi="宋体" w:eastAsia="宋体" w:cs="宋体"/>
                <w:i w:val="0"/>
                <w:iCs w:val="0"/>
                <w:color w:val="000000"/>
                <w:kern w:val="0"/>
                <w:sz w:val="18"/>
                <w:szCs w:val="18"/>
                <w:u w:val="none"/>
                <w:lang w:val="en-US" w:eastAsia="zh-CN" w:bidi="ar"/>
              </w:rPr>
              <w:t>为封闭状态，导致工程工期延长，后期将按照计划标准</w:t>
            </w:r>
            <w:r>
              <w:rPr>
                <w:rFonts w:hint="eastAsia" w:ascii="宋体" w:hAnsi="宋体" w:cs="宋体"/>
                <w:i w:val="0"/>
                <w:iCs w:val="0"/>
                <w:color w:val="000000"/>
                <w:kern w:val="0"/>
                <w:sz w:val="18"/>
                <w:szCs w:val="18"/>
                <w:u w:val="none"/>
                <w:lang w:val="en-US" w:eastAsia="zh-CN" w:bidi="ar"/>
              </w:rPr>
              <w:t>加快</w:t>
            </w:r>
            <w:r>
              <w:rPr>
                <w:rFonts w:hint="eastAsia" w:ascii="宋体" w:hAnsi="宋体" w:eastAsia="宋体" w:cs="宋体"/>
                <w:i w:val="0"/>
                <w:iCs w:val="0"/>
                <w:color w:val="000000"/>
                <w:kern w:val="0"/>
                <w:sz w:val="18"/>
                <w:szCs w:val="18"/>
                <w:u w:val="none"/>
                <w:lang w:val="en-US" w:eastAsia="zh-CN" w:bidi="ar"/>
              </w:rPr>
              <w:t>完工进度，同时对指标进</w:t>
            </w:r>
            <w:r>
              <w:rPr>
                <w:rFonts w:hint="eastAsia" w:ascii="宋体" w:hAnsi="宋体" w:cs="宋体"/>
                <w:i w:val="0"/>
                <w:iCs w:val="0"/>
                <w:color w:val="000000"/>
                <w:kern w:val="0"/>
                <w:sz w:val="18"/>
                <w:szCs w:val="18"/>
                <w:u w:val="none"/>
                <w:lang w:val="en-US" w:eastAsia="zh-CN" w:bidi="ar"/>
              </w:rPr>
              <w:t>行</w:t>
            </w:r>
            <w:r>
              <w:rPr>
                <w:rFonts w:hint="eastAsia" w:ascii="宋体" w:hAnsi="宋体" w:eastAsia="宋体" w:cs="宋体"/>
                <w:i w:val="0"/>
                <w:iCs w:val="0"/>
                <w:color w:val="000000"/>
                <w:kern w:val="0"/>
                <w:sz w:val="18"/>
                <w:szCs w:val="18"/>
                <w:u w:val="none"/>
                <w:lang w:val="en-US" w:eastAsia="zh-CN" w:bidi="ar"/>
              </w:rPr>
              <w:t>科学选择，加强对绩效评估的认识</w:t>
            </w:r>
          </w:p>
        </w:tc>
      </w:tr>
      <w:tr w14:paraId="0F1DB0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092" w:type="pct"/>
            <w:gridSpan w:val="4"/>
            <w:tcBorders>
              <w:top w:val="single" w:color="000000" w:sz="4" w:space="0"/>
              <w:left w:val="single" w:color="000000" w:sz="4" w:space="0"/>
              <w:bottom w:val="single" w:color="000000" w:sz="4" w:space="0"/>
              <w:right w:val="nil"/>
            </w:tcBorders>
            <w:shd w:val="clear" w:color="auto" w:fill="auto"/>
            <w:vAlign w:val="center"/>
          </w:tcPr>
          <w:p w14:paraId="207C3EB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E10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0" w:type="pct"/>
            <w:tcBorders>
              <w:top w:val="single" w:color="000000" w:sz="4" w:space="0"/>
              <w:left w:val="nil"/>
              <w:bottom w:val="single" w:color="000000" w:sz="4" w:space="0"/>
              <w:right w:val="single" w:color="000000" w:sz="4" w:space="0"/>
            </w:tcBorders>
            <w:shd w:val="clear" w:color="auto" w:fill="auto"/>
            <w:vAlign w:val="center"/>
          </w:tcPr>
          <w:p w14:paraId="16E82759">
            <w:pPr>
              <w:rPr>
                <w:rFonts w:hint="eastAsia" w:ascii="宋体" w:hAnsi="宋体" w:eastAsia="宋体" w:cs="宋体"/>
                <w:b/>
                <w:bCs/>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0196E">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E632D">
            <w:pPr>
              <w:jc w:val="center"/>
              <w:rPr>
                <w:rFonts w:hint="eastAsia" w:ascii="宋体" w:hAnsi="宋体" w:eastAsia="宋体" w:cs="宋体"/>
                <w:i w:val="0"/>
                <w:iCs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E13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70.00分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AC0DA">
            <w:pPr>
              <w:rPr>
                <w:rFonts w:hint="eastAsia" w:ascii="宋体" w:hAnsi="宋体" w:eastAsia="宋体" w:cs="宋体"/>
                <w:i w:val="0"/>
                <w:iCs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766B5">
            <w:pPr>
              <w:rPr>
                <w:rFonts w:hint="eastAsia" w:ascii="宋体" w:hAnsi="宋体" w:eastAsia="宋体" w:cs="宋体"/>
                <w:i w:val="0"/>
                <w:iCs w:val="0"/>
                <w:color w:val="000000"/>
                <w:sz w:val="18"/>
                <w:szCs w:val="18"/>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0072E">
            <w:pP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C9089">
            <w:pPr>
              <w:rPr>
                <w:rFonts w:hint="eastAsia" w:ascii="宋体" w:hAnsi="宋体" w:eastAsia="宋体" w:cs="宋体"/>
                <w:i w:val="0"/>
                <w:iCs w:val="0"/>
                <w:color w:val="000000"/>
                <w:sz w:val="18"/>
                <w:szCs w:val="18"/>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679D6">
            <w:pPr>
              <w:rPr>
                <w:rFonts w:hint="eastAsia" w:ascii="宋体" w:hAnsi="宋体" w:eastAsia="宋体" w:cs="宋体"/>
                <w:i w:val="0"/>
                <w:iCs w:val="0"/>
                <w:color w:val="000000"/>
                <w:sz w:val="18"/>
                <w:szCs w:val="18"/>
                <w:u w:val="none"/>
              </w:rPr>
            </w:pPr>
          </w:p>
        </w:tc>
      </w:tr>
    </w:tbl>
    <w:p w14:paraId="03A31D0A">
      <w:pPr>
        <w:pStyle w:val="12"/>
        <w:spacing w:after="0" w:line="560" w:lineRule="exact"/>
        <w:ind w:left="0" w:leftChars="0" w:firstLine="0" w:firstLineChars="0"/>
        <w:rPr>
          <w:rFonts w:ascii="仿宋_GB2312" w:hAnsi="仿宋_GB2312" w:eastAsia="仿宋_GB2312" w:cs="仿宋_GB2312"/>
          <w:sz w:val="32"/>
          <w:szCs w:val="32"/>
          <w:highlight w:val="none"/>
        </w:rPr>
      </w:pPr>
    </w:p>
    <w:p w14:paraId="155A117E">
      <w:pPr>
        <w:pStyle w:val="10"/>
        <w:jc w:val="both"/>
        <w:rPr>
          <w:rFonts w:ascii="Times New Roman" w:hAnsi="Times New Roman" w:eastAsia="黑体"/>
          <w:b w:val="0"/>
          <w:bCs w:val="0"/>
          <w:highlight w:val="none"/>
        </w:rPr>
      </w:pPr>
    </w:p>
    <w:p w14:paraId="007F3DB0">
      <w:pPr>
        <w:pStyle w:val="10"/>
        <w:rPr>
          <w:rFonts w:ascii="Times New Roman" w:hAnsi="Times New Roman" w:eastAsia="黑体"/>
          <w:b w:val="0"/>
          <w:bCs w:val="0"/>
          <w:highlight w:val="none"/>
        </w:rPr>
      </w:pPr>
    </w:p>
    <w:p w14:paraId="0D44F280">
      <w:pPr>
        <w:pStyle w:val="10"/>
        <w:jc w:val="both"/>
        <w:rPr>
          <w:rFonts w:ascii="Times New Roman" w:hAnsi="Times New Roman"/>
          <w:highlight w:val="none"/>
        </w:rPr>
        <w:sectPr>
          <w:pgSz w:w="16838" w:h="11906" w:orient="landscape"/>
          <w:pgMar w:top="1800" w:right="1440" w:bottom="1558" w:left="1440" w:header="851" w:footer="992" w:gutter="0"/>
          <w:cols w:space="425" w:num="1"/>
          <w:docGrid w:type="lines" w:linePitch="312" w:charSpace="0"/>
        </w:sectPr>
      </w:pPr>
    </w:p>
    <w:p w14:paraId="414BC23A">
      <w:pPr>
        <w:spacing w:line="600" w:lineRule="exact"/>
        <w:rPr>
          <w:bCs/>
          <w:sz w:val="32"/>
          <w:szCs w:val="32"/>
          <w:highlight w:val="none"/>
        </w:rPr>
      </w:pPr>
      <w:r>
        <w:rPr>
          <w:bCs/>
          <w:sz w:val="32"/>
          <w:szCs w:val="32"/>
          <w:highlight w:val="none"/>
        </w:rPr>
        <w:t>附件1</w:t>
      </w:r>
    </w:p>
    <w:p w14:paraId="4AF118D3">
      <w:pPr>
        <w:jc w:val="center"/>
      </w:pPr>
      <w:r>
        <w:rPr>
          <w:rFonts w:hint="eastAsia" w:ascii="Times New Roman" w:hAnsi="Times New Roman" w:eastAsia="宋体" w:cs="Times New Roman"/>
          <w:b/>
          <w:bCs/>
          <w:sz w:val="28"/>
          <w:szCs w:val="40"/>
        </w:rPr>
        <w:t>自治区卫生健康委所属单位2023年地方政府债券资金（第二批）</w:t>
      </w:r>
      <w:r>
        <w:rPr>
          <w:rFonts w:hint="eastAsia"/>
          <w:b/>
          <w:bCs/>
          <w:sz w:val="28"/>
          <w:szCs w:val="40"/>
        </w:rPr>
        <w:t>绩效评价指标体系综合评分表</w:t>
      </w:r>
    </w:p>
    <w:tbl>
      <w:tblPr>
        <w:tblStyle w:val="13"/>
        <w:tblW w:w="4996"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923"/>
        <w:gridCol w:w="853"/>
        <w:gridCol w:w="975"/>
        <w:gridCol w:w="2627"/>
        <w:gridCol w:w="6552"/>
        <w:gridCol w:w="1170"/>
        <w:gridCol w:w="1063"/>
      </w:tblGrid>
      <w:tr w14:paraId="71AD72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26" w:type="pct"/>
            <w:shd w:val="clear" w:color="auto" w:fill="FFFFFF"/>
            <w:vAlign w:val="center"/>
          </w:tcPr>
          <w:p w14:paraId="0175242B">
            <w:pPr>
              <w:widowControl/>
              <w:spacing w:line="0" w:lineRule="atLeast"/>
              <w:jc w:val="center"/>
              <w:rPr>
                <w:b/>
                <w:bCs/>
                <w:color w:val="000000"/>
                <w:kern w:val="0"/>
                <w:sz w:val="22"/>
                <w:szCs w:val="22"/>
                <w:highlight w:val="none"/>
              </w:rPr>
            </w:pPr>
            <w:r>
              <w:rPr>
                <w:b/>
                <w:bCs/>
                <w:color w:val="000000"/>
                <w:kern w:val="0"/>
                <w:sz w:val="22"/>
                <w:szCs w:val="22"/>
                <w:highlight w:val="none"/>
              </w:rPr>
              <w:t>一级指标</w:t>
            </w:r>
          </w:p>
        </w:tc>
        <w:tc>
          <w:tcPr>
            <w:tcW w:w="301" w:type="pct"/>
            <w:shd w:val="clear" w:color="auto" w:fill="FFFFFF"/>
            <w:vAlign w:val="center"/>
          </w:tcPr>
          <w:p w14:paraId="53BF7605">
            <w:pPr>
              <w:widowControl/>
              <w:spacing w:line="0" w:lineRule="atLeast"/>
              <w:jc w:val="center"/>
              <w:rPr>
                <w:b/>
                <w:bCs/>
                <w:color w:val="000000"/>
                <w:kern w:val="0"/>
                <w:sz w:val="22"/>
                <w:szCs w:val="22"/>
                <w:highlight w:val="none"/>
              </w:rPr>
            </w:pPr>
            <w:r>
              <w:rPr>
                <w:b/>
                <w:bCs/>
                <w:color w:val="000000"/>
                <w:kern w:val="0"/>
                <w:sz w:val="22"/>
                <w:szCs w:val="22"/>
                <w:highlight w:val="none"/>
              </w:rPr>
              <w:t>二级指标</w:t>
            </w:r>
          </w:p>
        </w:tc>
        <w:tc>
          <w:tcPr>
            <w:tcW w:w="344" w:type="pct"/>
            <w:shd w:val="clear" w:color="auto" w:fill="FFFFFF"/>
            <w:vAlign w:val="center"/>
          </w:tcPr>
          <w:p w14:paraId="7F3A8A72">
            <w:pPr>
              <w:widowControl/>
              <w:spacing w:line="0" w:lineRule="atLeast"/>
              <w:jc w:val="center"/>
              <w:rPr>
                <w:b/>
                <w:bCs/>
                <w:color w:val="000000"/>
                <w:kern w:val="0"/>
                <w:sz w:val="22"/>
                <w:szCs w:val="22"/>
                <w:highlight w:val="none"/>
              </w:rPr>
            </w:pPr>
            <w:r>
              <w:rPr>
                <w:b/>
                <w:bCs/>
                <w:color w:val="000000"/>
                <w:kern w:val="0"/>
                <w:sz w:val="22"/>
                <w:szCs w:val="22"/>
                <w:highlight w:val="none"/>
              </w:rPr>
              <w:t>三级指标</w:t>
            </w:r>
          </w:p>
        </w:tc>
        <w:tc>
          <w:tcPr>
            <w:tcW w:w="927" w:type="pct"/>
            <w:shd w:val="clear" w:color="auto" w:fill="FFFFFF"/>
            <w:vAlign w:val="center"/>
          </w:tcPr>
          <w:p w14:paraId="68E04F6F">
            <w:pPr>
              <w:widowControl/>
              <w:spacing w:line="0" w:lineRule="atLeast"/>
              <w:jc w:val="center"/>
              <w:rPr>
                <w:b/>
                <w:bCs/>
                <w:color w:val="000000"/>
                <w:kern w:val="0"/>
                <w:sz w:val="22"/>
                <w:szCs w:val="22"/>
                <w:highlight w:val="none"/>
              </w:rPr>
            </w:pPr>
            <w:r>
              <w:rPr>
                <w:b/>
                <w:bCs/>
                <w:color w:val="000000"/>
                <w:kern w:val="0"/>
                <w:sz w:val="22"/>
                <w:szCs w:val="22"/>
                <w:highlight w:val="none"/>
              </w:rPr>
              <w:t>指标解释</w:t>
            </w:r>
          </w:p>
        </w:tc>
        <w:tc>
          <w:tcPr>
            <w:tcW w:w="2310" w:type="pct"/>
            <w:shd w:val="clear" w:color="auto" w:fill="FFFFFF"/>
            <w:vAlign w:val="center"/>
          </w:tcPr>
          <w:p w14:paraId="4647EBB6">
            <w:pPr>
              <w:widowControl/>
              <w:spacing w:line="0" w:lineRule="atLeast"/>
              <w:jc w:val="center"/>
              <w:rPr>
                <w:b/>
                <w:bCs/>
                <w:color w:val="000000"/>
                <w:kern w:val="0"/>
                <w:sz w:val="22"/>
                <w:szCs w:val="22"/>
                <w:highlight w:val="none"/>
              </w:rPr>
            </w:pPr>
            <w:r>
              <w:rPr>
                <w:b/>
                <w:bCs/>
                <w:color w:val="000000"/>
                <w:kern w:val="0"/>
                <w:sz w:val="22"/>
                <w:szCs w:val="22"/>
                <w:highlight w:val="none"/>
              </w:rPr>
              <w:t>指标说明</w:t>
            </w:r>
          </w:p>
        </w:tc>
        <w:tc>
          <w:tcPr>
            <w:tcW w:w="413" w:type="pct"/>
            <w:shd w:val="clear" w:color="auto" w:fill="FFFFFF"/>
            <w:vAlign w:val="center"/>
          </w:tcPr>
          <w:p w14:paraId="2C59631E">
            <w:pPr>
              <w:widowControl/>
              <w:spacing w:line="0" w:lineRule="atLeast"/>
              <w:jc w:val="center"/>
              <w:rPr>
                <w:b/>
                <w:bCs/>
                <w:color w:val="000000"/>
                <w:kern w:val="0"/>
                <w:sz w:val="22"/>
                <w:szCs w:val="22"/>
                <w:highlight w:val="none"/>
              </w:rPr>
            </w:pPr>
            <w:r>
              <w:rPr>
                <w:b/>
                <w:bCs/>
                <w:color w:val="000000"/>
                <w:kern w:val="0"/>
                <w:sz w:val="22"/>
                <w:szCs w:val="22"/>
                <w:highlight w:val="none"/>
              </w:rPr>
              <w:t>权重</w:t>
            </w:r>
          </w:p>
        </w:tc>
        <w:tc>
          <w:tcPr>
            <w:tcW w:w="375" w:type="pct"/>
            <w:shd w:val="clear" w:color="auto" w:fill="FFFFFF"/>
            <w:vAlign w:val="center"/>
          </w:tcPr>
          <w:p w14:paraId="6C8980E2">
            <w:pPr>
              <w:widowControl/>
              <w:spacing w:line="0" w:lineRule="atLeast"/>
              <w:jc w:val="center"/>
              <w:rPr>
                <w:b/>
                <w:bCs/>
                <w:color w:val="000000"/>
                <w:kern w:val="0"/>
                <w:sz w:val="22"/>
                <w:szCs w:val="22"/>
                <w:highlight w:val="none"/>
              </w:rPr>
            </w:pPr>
            <w:r>
              <w:rPr>
                <w:b/>
                <w:bCs/>
                <w:color w:val="000000"/>
                <w:kern w:val="0"/>
                <w:sz w:val="22"/>
                <w:szCs w:val="22"/>
                <w:highlight w:val="none"/>
              </w:rPr>
              <w:t>得分</w:t>
            </w:r>
          </w:p>
        </w:tc>
      </w:tr>
      <w:tr w14:paraId="2E01E4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26" w:type="pct"/>
            <w:vMerge w:val="restart"/>
            <w:shd w:val="clear" w:color="auto" w:fill="FFFFFF"/>
            <w:vAlign w:val="center"/>
          </w:tcPr>
          <w:p w14:paraId="682499ED">
            <w:pPr>
              <w:widowControl/>
              <w:spacing w:line="0" w:lineRule="atLeast"/>
              <w:jc w:val="center"/>
              <w:rPr>
                <w:color w:val="000000"/>
                <w:kern w:val="0"/>
                <w:sz w:val="22"/>
                <w:szCs w:val="22"/>
                <w:highlight w:val="none"/>
              </w:rPr>
            </w:pPr>
            <w:r>
              <w:rPr>
                <w:color w:val="000000"/>
                <w:kern w:val="0"/>
                <w:sz w:val="22"/>
                <w:szCs w:val="22"/>
                <w:highlight w:val="none"/>
              </w:rPr>
              <w:t>决策　</w:t>
            </w:r>
          </w:p>
          <w:p w14:paraId="05651623">
            <w:pPr>
              <w:widowControl/>
              <w:spacing w:line="0" w:lineRule="atLeast"/>
              <w:jc w:val="center"/>
              <w:rPr>
                <w:color w:val="000000"/>
                <w:kern w:val="0"/>
                <w:sz w:val="22"/>
                <w:szCs w:val="22"/>
                <w:highlight w:val="none"/>
              </w:rPr>
            </w:pPr>
            <w:r>
              <w:rPr>
                <w:color w:val="000000"/>
                <w:kern w:val="0"/>
                <w:sz w:val="22"/>
                <w:szCs w:val="22"/>
                <w:highlight w:val="none"/>
              </w:rPr>
              <w:t>　</w:t>
            </w:r>
          </w:p>
          <w:p w14:paraId="25239390">
            <w:pPr>
              <w:spacing w:line="0" w:lineRule="atLeast"/>
              <w:jc w:val="center"/>
              <w:rPr>
                <w:color w:val="000000"/>
                <w:kern w:val="0"/>
                <w:sz w:val="22"/>
                <w:szCs w:val="22"/>
                <w:highlight w:val="none"/>
              </w:rPr>
            </w:pPr>
            <w:r>
              <w:rPr>
                <w:color w:val="000000"/>
                <w:kern w:val="0"/>
                <w:sz w:val="22"/>
                <w:szCs w:val="22"/>
                <w:highlight w:val="none"/>
              </w:rPr>
              <w:t>　</w:t>
            </w:r>
          </w:p>
        </w:tc>
        <w:tc>
          <w:tcPr>
            <w:tcW w:w="301" w:type="pct"/>
            <w:vMerge w:val="restart"/>
            <w:shd w:val="clear" w:color="auto" w:fill="FFFFFF"/>
            <w:vAlign w:val="center"/>
          </w:tcPr>
          <w:p w14:paraId="24E5F69F">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344" w:type="pct"/>
            <w:shd w:val="clear" w:color="auto" w:fill="FFFFFF"/>
            <w:vAlign w:val="center"/>
          </w:tcPr>
          <w:p w14:paraId="672FA314">
            <w:pPr>
              <w:widowControl/>
              <w:spacing w:line="0" w:lineRule="atLeast"/>
              <w:jc w:val="center"/>
              <w:rPr>
                <w:color w:val="000000"/>
                <w:kern w:val="0"/>
                <w:sz w:val="22"/>
                <w:szCs w:val="22"/>
                <w:highlight w:val="none"/>
              </w:rPr>
            </w:pPr>
            <w:r>
              <w:rPr>
                <w:color w:val="000000"/>
                <w:kern w:val="0"/>
                <w:sz w:val="22"/>
                <w:szCs w:val="22"/>
                <w:highlight w:val="none"/>
              </w:rPr>
              <w:t>立项依据</w:t>
            </w:r>
          </w:p>
          <w:p w14:paraId="12ED2E95">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927" w:type="pct"/>
            <w:shd w:val="clear" w:color="auto" w:fill="FFFFFF"/>
            <w:vAlign w:val="center"/>
          </w:tcPr>
          <w:p w14:paraId="752E0717">
            <w:pPr>
              <w:widowControl/>
              <w:spacing w:line="0" w:lineRule="atLeast"/>
              <w:rPr>
                <w:color w:val="000000"/>
                <w:kern w:val="0"/>
                <w:sz w:val="22"/>
                <w:szCs w:val="22"/>
                <w:highlight w:val="none"/>
              </w:rPr>
            </w:pPr>
            <w:r>
              <w:rPr>
                <w:color w:val="000000"/>
                <w:kern w:val="0"/>
                <w:sz w:val="22"/>
                <w:szCs w:val="22"/>
                <w:highlight w:val="none"/>
              </w:rPr>
              <w:t>项目立项是否符合法律法规、相关政策、发展规划以及部门职责，用以反映和考核项目立项依据情况。</w:t>
            </w:r>
          </w:p>
        </w:tc>
        <w:tc>
          <w:tcPr>
            <w:tcW w:w="2310" w:type="pct"/>
            <w:shd w:val="clear" w:color="auto" w:fill="FFFFFF"/>
            <w:vAlign w:val="center"/>
          </w:tcPr>
          <w:p w14:paraId="09D2FF1C">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①项目立项是否符合国家法律法规、国民经济发展规划和相关政策；</w:t>
            </w:r>
            <w:r>
              <w:rPr>
                <w:color w:val="000000"/>
                <w:kern w:val="0"/>
                <w:sz w:val="22"/>
                <w:szCs w:val="22"/>
                <w:highlight w:val="none"/>
              </w:rPr>
              <w:br w:type="textWrapping"/>
            </w:r>
            <w:r>
              <w:rPr>
                <w:color w:val="000000"/>
                <w:kern w:val="0"/>
                <w:sz w:val="22"/>
                <w:szCs w:val="22"/>
                <w:highlight w:val="none"/>
              </w:rPr>
              <w:t>②项目立项是否符合行业发展规划和政策要求；</w:t>
            </w:r>
            <w:r>
              <w:rPr>
                <w:color w:val="000000"/>
                <w:kern w:val="0"/>
                <w:sz w:val="22"/>
                <w:szCs w:val="22"/>
                <w:highlight w:val="none"/>
              </w:rPr>
              <w:br w:type="textWrapping"/>
            </w:r>
            <w:r>
              <w:rPr>
                <w:color w:val="000000"/>
                <w:kern w:val="0"/>
                <w:sz w:val="22"/>
                <w:szCs w:val="22"/>
                <w:highlight w:val="none"/>
              </w:rPr>
              <w:t>③项目立项是否与部门职责范围相符，属于部门履职所需；</w:t>
            </w:r>
            <w:r>
              <w:rPr>
                <w:color w:val="000000"/>
                <w:kern w:val="0"/>
                <w:sz w:val="22"/>
                <w:szCs w:val="22"/>
                <w:highlight w:val="none"/>
              </w:rPr>
              <w:br w:type="textWrapping"/>
            </w:r>
            <w:r>
              <w:rPr>
                <w:color w:val="000000"/>
                <w:kern w:val="0"/>
                <w:sz w:val="22"/>
                <w:szCs w:val="22"/>
                <w:highlight w:val="none"/>
              </w:rPr>
              <w:t>④项目是否属于公共财政支持范围，是否符合中央、地方事权支出责任划分原则；</w:t>
            </w:r>
            <w:r>
              <w:rPr>
                <w:color w:val="000000"/>
                <w:kern w:val="0"/>
                <w:sz w:val="22"/>
                <w:szCs w:val="22"/>
                <w:highlight w:val="none"/>
              </w:rPr>
              <w:br w:type="textWrapping"/>
            </w:r>
            <w:r>
              <w:rPr>
                <w:color w:val="000000"/>
                <w:kern w:val="0"/>
                <w:sz w:val="22"/>
                <w:szCs w:val="22"/>
                <w:highlight w:val="none"/>
              </w:rPr>
              <w:t>⑤项目是否与相关部门同类项目或部门内部相关项目重复。</w:t>
            </w:r>
          </w:p>
        </w:tc>
        <w:tc>
          <w:tcPr>
            <w:tcW w:w="413" w:type="pct"/>
            <w:shd w:val="clear" w:color="auto" w:fill="FFFFFF"/>
            <w:vAlign w:val="center"/>
          </w:tcPr>
          <w:p w14:paraId="3DA6E79A">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375" w:type="pct"/>
            <w:shd w:val="clear" w:color="auto" w:fill="FFFFFF"/>
            <w:vAlign w:val="center"/>
          </w:tcPr>
          <w:p w14:paraId="25066619">
            <w:pPr>
              <w:widowControl/>
              <w:spacing w:line="0" w:lineRule="atLeast"/>
              <w:jc w:val="center"/>
              <w:rPr>
                <w:b/>
                <w:bCs/>
                <w:color w:val="000000"/>
                <w:kern w:val="0"/>
                <w:sz w:val="22"/>
                <w:szCs w:val="22"/>
                <w:highlight w:val="none"/>
              </w:rPr>
            </w:pPr>
            <w:r>
              <w:rPr>
                <w:b/>
                <w:bCs/>
                <w:color w:val="000000"/>
                <w:kern w:val="0"/>
                <w:sz w:val="22"/>
                <w:szCs w:val="22"/>
                <w:highlight w:val="none"/>
              </w:rPr>
              <w:t>3</w:t>
            </w:r>
          </w:p>
        </w:tc>
      </w:tr>
      <w:tr w14:paraId="497D5C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26" w:type="pct"/>
            <w:vMerge w:val="continue"/>
            <w:shd w:val="clear" w:color="auto" w:fill="FFFFFF"/>
            <w:vAlign w:val="center"/>
          </w:tcPr>
          <w:p w14:paraId="77D20F95">
            <w:pPr>
              <w:spacing w:line="0" w:lineRule="atLeast"/>
              <w:jc w:val="center"/>
              <w:rPr>
                <w:color w:val="000000"/>
                <w:kern w:val="0"/>
                <w:sz w:val="22"/>
                <w:szCs w:val="22"/>
                <w:highlight w:val="none"/>
              </w:rPr>
            </w:pPr>
          </w:p>
        </w:tc>
        <w:tc>
          <w:tcPr>
            <w:tcW w:w="301" w:type="pct"/>
            <w:vMerge w:val="continue"/>
            <w:shd w:val="clear" w:color="auto" w:fill="FFFFFF"/>
            <w:vAlign w:val="center"/>
          </w:tcPr>
          <w:p w14:paraId="3E31437E">
            <w:pPr>
              <w:widowControl/>
              <w:spacing w:line="0" w:lineRule="atLeast"/>
              <w:jc w:val="center"/>
              <w:rPr>
                <w:color w:val="000000"/>
                <w:kern w:val="0"/>
                <w:sz w:val="22"/>
                <w:szCs w:val="22"/>
                <w:highlight w:val="none"/>
              </w:rPr>
            </w:pPr>
          </w:p>
        </w:tc>
        <w:tc>
          <w:tcPr>
            <w:tcW w:w="344" w:type="pct"/>
            <w:shd w:val="clear" w:color="auto" w:fill="FFFFFF"/>
            <w:vAlign w:val="center"/>
          </w:tcPr>
          <w:p w14:paraId="385C520D">
            <w:pPr>
              <w:widowControl/>
              <w:spacing w:line="0" w:lineRule="atLeast"/>
              <w:jc w:val="center"/>
              <w:rPr>
                <w:color w:val="000000"/>
                <w:kern w:val="0"/>
                <w:sz w:val="22"/>
                <w:szCs w:val="22"/>
                <w:highlight w:val="none"/>
              </w:rPr>
            </w:pPr>
            <w:r>
              <w:rPr>
                <w:color w:val="000000"/>
                <w:kern w:val="0"/>
                <w:sz w:val="22"/>
                <w:szCs w:val="22"/>
                <w:highlight w:val="none"/>
              </w:rPr>
              <w:t>立项程序</w:t>
            </w:r>
          </w:p>
          <w:p w14:paraId="3A7F2B46">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927" w:type="pct"/>
            <w:shd w:val="clear" w:color="auto" w:fill="FFFFFF"/>
            <w:vAlign w:val="center"/>
          </w:tcPr>
          <w:p w14:paraId="5741AD3D">
            <w:pPr>
              <w:widowControl/>
              <w:spacing w:line="0" w:lineRule="atLeast"/>
              <w:rPr>
                <w:color w:val="000000"/>
                <w:kern w:val="0"/>
                <w:sz w:val="22"/>
                <w:szCs w:val="22"/>
                <w:highlight w:val="none"/>
              </w:rPr>
            </w:pPr>
            <w:r>
              <w:rPr>
                <w:color w:val="000000"/>
                <w:kern w:val="0"/>
                <w:sz w:val="22"/>
                <w:szCs w:val="22"/>
                <w:highlight w:val="none"/>
              </w:rPr>
              <w:t>项目申请、设立过程是否符合相关要求，用以反映和考核项目立项的规范情况。</w:t>
            </w:r>
          </w:p>
        </w:tc>
        <w:tc>
          <w:tcPr>
            <w:tcW w:w="2310" w:type="pct"/>
            <w:shd w:val="clear" w:color="auto" w:fill="FFFFFF"/>
            <w:vAlign w:val="center"/>
          </w:tcPr>
          <w:p w14:paraId="171DEFCF">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①项目是否按照规定的程序申请设立；</w:t>
            </w:r>
            <w:r>
              <w:rPr>
                <w:color w:val="000000"/>
                <w:kern w:val="0"/>
                <w:sz w:val="22"/>
                <w:szCs w:val="22"/>
                <w:highlight w:val="none"/>
              </w:rPr>
              <w:br w:type="textWrapping"/>
            </w:r>
            <w:r>
              <w:rPr>
                <w:color w:val="000000"/>
                <w:kern w:val="0"/>
                <w:sz w:val="22"/>
                <w:szCs w:val="22"/>
                <w:highlight w:val="none"/>
              </w:rPr>
              <w:t>②审批文件、材料是否符合相关要求；</w:t>
            </w:r>
            <w:r>
              <w:rPr>
                <w:color w:val="000000"/>
                <w:kern w:val="0"/>
                <w:sz w:val="22"/>
                <w:szCs w:val="22"/>
                <w:highlight w:val="none"/>
              </w:rPr>
              <w:br w:type="textWrapping"/>
            </w:r>
            <w:r>
              <w:rPr>
                <w:color w:val="000000"/>
                <w:kern w:val="0"/>
                <w:sz w:val="22"/>
                <w:szCs w:val="22"/>
                <w:highlight w:val="none"/>
              </w:rPr>
              <w:t>③事前是否已经过必要的可行性研究、专家论证、风险评估、绩效评估、集体决策。</w:t>
            </w:r>
          </w:p>
        </w:tc>
        <w:tc>
          <w:tcPr>
            <w:tcW w:w="413" w:type="pct"/>
            <w:shd w:val="clear" w:color="auto" w:fill="FFFFFF"/>
            <w:vAlign w:val="center"/>
          </w:tcPr>
          <w:p w14:paraId="1AB4FC71">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375" w:type="pct"/>
            <w:shd w:val="clear" w:color="auto" w:fill="FFFFFF"/>
            <w:vAlign w:val="center"/>
          </w:tcPr>
          <w:p w14:paraId="2ECE215E">
            <w:pPr>
              <w:widowControl/>
              <w:spacing w:line="0" w:lineRule="atLeast"/>
              <w:jc w:val="center"/>
              <w:rPr>
                <w:b/>
                <w:bCs/>
                <w:color w:val="000000"/>
                <w:kern w:val="0"/>
                <w:sz w:val="22"/>
                <w:szCs w:val="22"/>
                <w:highlight w:val="none"/>
              </w:rPr>
            </w:pPr>
            <w:r>
              <w:rPr>
                <w:b/>
                <w:bCs/>
                <w:color w:val="000000"/>
                <w:kern w:val="0"/>
                <w:sz w:val="22"/>
                <w:szCs w:val="22"/>
                <w:highlight w:val="none"/>
              </w:rPr>
              <w:t>3</w:t>
            </w:r>
          </w:p>
        </w:tc>
      </w:tr>
      <w:tr w14:paraId="0EE135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26" w:type="pct"/>
            <w:vMerge w:val="continue"/>
            <w:shd w:val="clear" w:color="auto" w:fill="FFFFFF"/>
            <w:vAlign w:val="center"/>
          </w:tcPr>
          <w:p w14:paraId="7B8A91CE">
            <w:pPr>
              <w:spacing w:line="0" w:lineRule="atLeast"/>
              <w:jc w:val="center"/>
              <w:rPr>
                <w:color w:val="000000"/>
                <w:kern w:val="0"/>
                <w:sz w:val="22"/>
                <w:szCs w:val="22"/>
                <w:highlight w:val="none"/>
              </w:rPr>
            </w:pPr>
          </w:p>
        </w:tc>
        <w:tc>
          <w:tcPr>
            <w:tcW w:w="301" w:type="pct"/>
            <w:shd w:val="clear" w:color="auto" w:fill="FFFFFF"/>
            <w:vAlign w:val="center"/>
          </w:tcPr>
          <w:p w14:paraId="4C890354">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344" w:type="pct"/>
            <w:shd w:val="clear" w:color="auto" w:fill="FFFFFF"/>
            <w:vAlign w:val="center"/>
          </w:tcPr>
          <w:p w14:paraId="6AE02EAA">
            <w:pPr>
              <w:widowControl/>
              <w:spacing w:line="0" w:lineRule="atLeast"/>
              <w:jc w:val="center"/>
              <w:rPr>
                <w:color w:val="000000"/>
                <w:kern w:val="0"/>
                <w:sz w:val="22"/>
                <w:szCs w:val="22"/>
                <w:highlight w:val="none"/>
              </w:rPr>
            </w:pPr>
            <w:r>
              <w:rPr>
                <w:color w:val="000000"/>
                <w:kern w:val="0"/>
                <w:sz w:val="22"/>
                <w:szCs w:val="22"/>
                <w:highlight w:val="none"/>
              </w:rPr>
              <w:t>绩效目标</w:t>
            </w:r>
          </w:p>
          <w:p w14:paraId="23ED1A67">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927" w:type="pct"/>
            <w:shd w:val="clear" w:color="000000" w:fill="FFFFFF"/>
            <w:vAlign w:val="center"/>
          </w:tcPr>
          <w:p w14:paraId="136C1A9F">
            <w:pPr>
              <w:widowControl/>
              <w:spacing w:line="0" w:lineRule="atLeast"/>
              <w:rPr>
                <w:color w:val="000000"/>
                <w:kern w:val="0"/>
                <w:sz w:val="22"/>
                <w:szCs w:val="22"/>
                <w:highlight w:val="none"/>
              </w:rPr>
            </w:pPr>
            <w:r>
              <w:rPr>
                <w:color w:val="000000"/>
                <w:kern w:val="0"/>
                <w:sz w:val="22"/>
                <w:szCs w:val="22"/>
                <w:highlight w:val="none"/>
              </w:rPr>
              <w:t>项目所设定的绩效目标是否依据充分，是否符合客观实际，用以反映和考核项目绩效目标与项目实施的相符情况。</w:t>
            </w:r>
          </w:p>
        </w:tc>
        <w:tc>
          <w:tcPr>
            <w:tcW w:w="2310" w:type="pct"/>
            <w:shd w:val="clear" w:color="000000" w:fill="FFFFFF"/>
            <w:vAlign w:val="center"/>
          </w:tcPr>
          <w:p w14:paraId="3EF441B0">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（如未设定预算绩效目标，也可考核其他工作任务目标）</w:t>
            </w:r>
            <w:r>
              <w:rPr>
                <w:color w:val="000000"/>
                <w:kern w:val="0"/>
                <w:sz w:val="22"/>
                <w:szCs w:val="22"/>
                <w:highlight w:val="none"/>
              </w:rPr>
              <w:br w:type="textWrapping"/>
            </w:r>
            <w:r>
              <w:rPr>
                <w:color w:val="000000"/>
                <w:kern w:val="0"/>
                <w:sz w:val="22"/>
                <w:szCs w:val="22"/>
                <w:highlight w:val="none"/>
              </w:rPr>
              <w:t>①项目是否有绩效目标；</w:t>
            </w:r>
            <w:r>
              <w:rPr>
                <w:color w:val="000000"/>
                <w:kern w:val="0"/>
                <w:sz w:val="22"/>
                <w:szCs w:val="22"/>
                <w:highlight w:val="none"/>
              </w:rPr>
              <w:br w:type="textWrapping"/>
            </w:r>
            <w:r>
              <w:rPr>
                <w:color w:val="000000"/>
                <w:kern w:val="0"/>
                <w:sz w:val="22"/>
                <w:szCs w:val="22"/>
                <w:highlight w:val="none"/>
              </w:rPr>
              <w:t>②项目绩效目标与实际工作内容是否具有相关性；</w:t>
            </w:r>
            <w:r>
              <w:rPr>
                <w:color w:val="000000"/>
                <w:kern w:val="0"/>
                <w:sz w:val="22"/>
                <w:szCs w:val="22"/>
                <w:highlight w:val="none"/>
              </w:rPr>
              <w:br w:type="textWrapping"/>
            </w:r>
            <w:r>
              <w:rPr>
                <w:color w:val="000000"/>
                <w:kern w:val="0"/>
                <w:sz w:val="22"/>
                <w:szCs w:val="22"/>
                <w:highlight w:val="none"/>
              </w:rPr>
              <w:t>③项目预期产出效益和效果是否符合正常的业绩水平；</w:t>
            </w:r>
          </w:p>
          <w:p w14:paraId="6586932D">
            <w:pPr>
              <w:widowControl/>
              <w:spacing w:line="0" w:lineRule="atLeast"/>
              <w:jc w:val="left"/>
              <w:rPr>
                <w:color w:val="000000"/>
                <w:kern w:val="0"/>
                <w:sz w:val="22"/>
                <w:szCs w:val="22"/>
                <w:highlight w:val="none"/>
              </w:rPr>
            </w:pPr>
            <w:r>
              <w:rPr>
                <w:color w:val="000000"/>
                <w:kern w:val="0"/>
                <w:sz w:val="22"/>
                <w:szCs w:val="22"/>
                <w:highlight w:val="none"/>
              </w:rPr>
              <w:t>④是否与预算确定的项目投资额或资金量相匹配。</w:t>
            </w:r>
          </w:p>
        </w:tc>
        <w:tc>
          <w:tcPr>
            <w:tcW w:w="413" w:type="pct"/>
            <w:shd w:val="clear" w:color="000000" w:fill="FFFFFF"/>
            <w:vAlign w:val="center"/>
          </w:tcPr>
          <w:p w14:paraId="0EAC8FE2">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375" w:type="pct"/>
            <w:shd w:val="clear" w:color="000000" w:fill="FFFFFF"/>
            <w:vAlign w:val="center"/>
          </w:tcPr>
          <w:p w14:paraId="43FC37A4">
            <w:pPr>
              <w:widowControl/>
              <w:spacing w:line="0" w:lineRule="atLeast"/>
              <w:jc w:val="center"/>
              <w:rPr>
                <w:b/>
                <w:bCs/>
                <w:color w:val="000000"/>
                <w:kern w:val="0"/>
                <w:sz w:val="22"/>
                <w:szCs w:val="22"/>
                <w:highlight w:val="none"/>
              </w:rPr>
            </w:pPr>
            <w:r>
              <w:rPr>
                <w:b/>
                <w:bCs/>
                <w:color w:val="000000"/>
                <w:kern w:val="0"/>
                <w:sz w:val="22"/>
                <w:szCs w:val="22"/>
                <w:highlight w:val="none"/>
              </w:rPr>
              <w:t>3</w:t>
            </w:r>
          </w:p>
        </w:tc>
      </w:tr>
      <w:tr w14:paraId="4D4E2F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26" w:type="pct"/>
            <w:vMerge w:val="restart"/>
            <w:shd w:val="clear" w:color="auto" w:fill="FFFFFF"/>
            <w:vAlign w:val="center"/>
          </w:tcPr>
          <w:p w14:paraId="04EEAA18">
            <w:pPr>
              <w:widowControl/>
              <w:spacing w:line="0" w:lineRule="atLeast"/>
              <w:jc w:val="center"/>
              <w:rPr>
                <w:color w:val="000000"/>
                <w:kern w:val="0"/>
                <w:sz w:val="22"/>
                <w:szCs w:val="22"/>
                <w:highlight w:val="none"/>
              </w:rPr>
            </w:pPr>
            <w:r>
              <w:rPr>
                <w:color w:val="000000"/>
                <w:kern w:val="0"/>
                <w:sz w:val="22"/>
                <w:szCs w:val="22"/>
                <w:highlight w:val="none"/>
              </w:rPr>
              <w:t>决策　</w:t>
            </w:r>
          </w:p>
        </w:tc>
        <w:tc>
          <w:tcPr>
            <w:tcW w:w="301" w:type="pct"/>
            <w:shd w:val="clear" w:color="auto" w:fill="FFFFFF"/>
            <w:vAlign w:val="center"/>
          </w:tcPr>
          <w:p w14:paraId="11CD9BAE">
            <w:pPr>
              <w:widowControl/>
              <w:spacing w:line="0" w:lineRule="atLeast"/>
              <w:jc w:val="center"/>
              <w:rPr>
                <w:color w:val="000000"/>
                <w:kern w:val="0"/>
                <w:sz w:val="22"/>
                <w:szCs w:val="22"/>
                <w:highlight w:val="none"/>
              </w:rPr>
            </w:pPr>
            <w:r>
              <w:rPr>
                <w:color w:val="000000"/>
                <w:kern w:val="0"/>
                <w:sz w:val="22"/>
                <w:szCs w:val="22"/>
                <w:highlight w:val="none"/>
              </w:rPr>
              <w:t>绩效目标</w:t>
            </w:r>
          </w:p>
        </w:tc>
        <w:tc>
          <w:tcPr>
            <w:tcW w:w="344" w:type="pct"/>
            <w:shd w:val="clear" w:color="auto" w:fill="FFFFFF"/>
            <w:vAlign w:val="center"/>
          </w:tcPr>
          <w:p w14:paraId="7B190FB4">
            <w:pPr>
              <w:widowControl/>
              <w:spacing w:line="0" w:lineRule="atLeast"/>
              <w:jc w:val="center"/>
              <w:rPr>
                <w:color w:val="000000"/>
                <w:kern w:val="0"/>
                <w:sz w:val="22"/>
                <w:szCs w:val="22"/>
                <w:highlight w:val="none"/>
              </w:rPr>
            </w:pPr>
            <w:r>
              <w:rPr>
                <w:color w:val="000000"/>
                <w:kern w:val="0"/>
                <w:sz w:val="22"/>
                <w:szCs w:val="22"/>
                <w:highlight w:val="none"/>
              </w:rPr>
              <w:t>绩效指标</w:t>
            </w:r>
          </w:p>
          <w:p w14:paraId="6F20725F">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927" w:type="pct"/>
            <w:shd w:val="clear" w:color="000000" w:fill="FFFFFF"/>
            <w:vAlign w:val="center"/>
          </w:tcPr>
          <w:p w14:paraId="7E781C0D">
            <w:pPr>
              <w:widowControl/>
              <w:spacing w:line="0" w:lineRule="atLeast"/>
              <w:rPr>
                <w:color w:val="000000"/>
                <w:kern w:val="0"/>
                <w:sz w:val="22"/>
                <w:szCs w:val="22"/>
                <w:highlight w:val="none"/>
              </w:rPr>
            </w:pPr>
            <w:r>
              <w:rPr>
                <w:color w:val="000000"/>
                <w:kern w:val="0"/>
                <w:sz w:val="22"/>
                <w:szCs w:val="22"/>
                <w:highlight w:val="none"/>
              </w:rPr>
              <w:t>依据绩效目标设定的绩效指标是否清晰、细化、可衡量等，用以反映和考核项目绩效目标的明细化情况。</w:t>
            </w:r>
          </w:p>
        </w:tc>
        <w:tc>
          <w:tcPr>
            <w:tcW w:w="2310" w:type="pct"/>
            <w:shd w:val="clear" w:color="000000" w:fill="FFFFFF"/>
            <w:vAlign w:val="center"/>
          </w:tcPr>
          <w:p w14:paraId="63062CEB">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①是否将项目绩效目标细化分解为具体的绩效指标；</w:t>
            </w:r>
            <w:r>
              <w:rPr>
                <w:color w:val="000000"/>
                <w:kern w:val="0"/>
                <w:sz w:val="22"/>
                <w:szCs w:val="22"/>
                <w:highlight w:val="none"/>
              </w:rPr>
              <w:br w:type="textWrapping"/>
            </w:r>
            <w:r>
              <w:rPr>
                <w:color w:val="000000"/>
                <w:kern w:val="0"/>
                <w:sz w:val="22"/>
                <w:szCs w:val="22"/>
                <w:highlight w:val="none"/>
              </w:rPr>
              <w:t>②是否通过清晰、可衡量的指标值予以体现；</w:t>
            </w:r>
            <w:r>
              <w:rPr>
                <w:color w:val="000000"/>
                <w:kern w:val="0"/>
                <w:sz w:val="22"/>
                <w:szCs w:val="22"/>
                <w:highlight w:val="none"/>
              </w:rPr>
              <w:br w:type="textWrapping"/>
            </w:r>
            <w:r>
              <w:rPr>
                <w:color w:val="000000"/>
                <w:kern w:val="0"/>
                <w:sz w:val="22"/>
                <w:szCs w:val="22"/>
                <w:highlight w:val="none"/>
              </w:rPr>
              <w:t>③是否与项目目标任务数或计划数相对应。</w:t>
            </w:r>
            <w:r>
              <w:rPr>
                <w:color w:val="000000"/>
                <w:kern w:val="0"/>
                <w:sz w:val="22"/>
                <w:szCs w:val="22"/>
                <w:highlight w:val="none"/>
              </w:rPr>
              <w:br w:type="textWrapping"/>
            </w:r>
          </w:p>
        </w:tc>
        <w:tc>
          <w:tcPr>
            <w:tcW w:w="413" w:type="pct"/>
            <w:shd w:val="clear" w:color="000000" w:fill="FFFFFF"/>
            <w:vAlign w:val="center"/>
          </w:tcPr>
          <w:p w14:paraId="3B007249">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375" w:type="pct"/>
            <w:shd w:val="clear" w:color="000000" w:fill="FFFFFF"/>
            <w:vAlign w:val="center"/>
          </w:tcPr>
          <w:p w14:paraId="0A80D9C7">
            <w:pPr>
              <w:widowControl/>
              <w:spacing w:line="0" w:lineRule="atLeast"/>
              <w:jc w:val="center"/>
              <w:rPr>
                <w:b/>
                <w:bCs/>
                <w:color w:val="000000"/>
                <w:kern w:val="0"/>
                <w:sz w:val="22"/>
                <w:szCs w:val="22"/>
                <w:highlight w:val="none"/>
              </w:rPr>
            </w:pPr>
            <w:r>
              <w:rPr>
                <w:b/>
                <w:bCs/>
                <w:color w:val="000000"/>
                <w:kern w:val="0"/>
                <w:sz w:val="22"/>
                <w:szCs w:val="22"/>
                <w:highlight w:val="none"/>
              </w:rPr>
              <w:t>3</w:t>
            </w:r>
          </w:p>
        </w:tc>
      </w:tr>
      <w:tr w14:paraId="0C2C7B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26" w:type="pct"/>
            <w:vMerge w:val="continue"/>
            <w:shd w:val="clear" w:color="auto" w:fill="FFFFFF"/>
            <w:vAlign w:val="center"/>
          </w:tcPr>
          <w:p w14:paraId="39A47853">
            <w:pPr>
              <w:spacing w:line="0" w:lineRule="atLeast"/>
              <w:jc w:val="center"/>
              <w:rPr>
                <w:color w:val="000000"/>
                <w:kern w:val="0"/>
                <w:sz w:val="22"/>
                <w:szCs w:val="22"/>
                <w:highlight w:val="none"/>
              </w:rPr>
            </w:pPr>
          </w:p>
        </w:tc>
        <w:tc>
          <w:tcPr>
            <w:tcW w:w="301" w:type="pct"/>
            <w:vMerge w:val="restart"/>
            <w:shd w:val="clear" w:color="auto" w:fill="FFFFFF"/>
            <w:vAlign w:val="center"/>
          </w:tcPr>
          <w:p w14:paraId="1E7B9F22">
            <w:pPr>
              <w:widowControl/>
              <w:spacing w:line="0" w:lineRule="atLeast"/>
              <w:jc w:val="center"/>
              <w:rPr>
                <w:color w:val="000000"/>
                <w:kern w:val="0"/>
                <w:sz w:val="22"/>
                <w:szCs w:val="22"/>
                <w:highlight w:val="none"/>
              </w:rPr>
            </w:pPr>
            <w:r>
              <w:rPr>
                <w:color w:val="000000"/>
                <w:kern w:val="0"/>
                <w:sz w:val="22"/>
                <w:szCs w:val="22"/>
                <w:highlight w:val="none"/>
              </w:rPr>
              <w:t>资金投入</w:t>
            </w:r>
          </w:p>
          <w:p w14:paraId="1D82BAEF">
            <w:pPr>
              <w:spacing w:line="0" w:lineRule="atLeast"/>
              <w:jc w:val="center"/>
              <w:rPr>
                <w:color w:val="000000"/>
                <w:kern w:val="0"/>
                <w:sz w:val="22"/>
                <w:szCs w:val="22"/>
                <w:highlight w:val="none"/>
              </w:rPr>
            </w:pPr>
            <w:r>
              <w:rPr>
                <w:color w:val="000000"/>
                <w:kern w:val="0"/>
                <w:sz w:val="22"/>
                <w:szCs w:val="22"/>
                <w:highlight w:val="none"/>
              </w:rPr>
              <w:t>　</w:t>
            </w:r>
          </w:p>
        </w:tc>
        <w:tc>
          <w:tcPr>
            <w:tcW w:w="344" w:type="pct"/>
            <w:shd w:val="clear" w:color="auto" w:fill="FFFFFF"/>
            <w:vAlign w:val="center"/>
          </w:tcPr>
          <w:p w14:paraId="4670E5AB">
            <w:pPr>
              <w:widowControl/>
              <w:spacing w:line="0" w:lineRule="atLeast"/>
              <w:jc w:val="center"/>
              <w:rPr>
                <w:color w:val="000000"/>
                <w:kern w:val="0"/>
                <w:sz w:val="22"/>
                <w:szCs w:val="22"/>
                <w:highlight w:val="none"/>
              </w:rPr>
            </w:pPr>
            <w:r>
              <w:rPr>
                <w:color w:val="000000"/>
                <w:kern w:val="0"/>
                <w:sz w:val="22"/>
                <w:szCs w:val="22"/>
                <w:highlight w:val="none"/>
              </w:rPr>
              <w:t>预算编制</w:t>
            </w:r>
          </w:p>
          <w:p w14:paraId="2B4B532E">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927" w:type="pct"/>
            <w:shd w:val="clear" w:color="auto" w:fill="FFFFFF"/>
            <w:vAlign w:val="center"/>
          </w:tcPr>
          <w:p w14:paraId="01732FF1">
            <w:pPr>
              <w:widowControl/>
              <w:spacing w:line="0" w:lineRule="atLeast"/>
              <w:rPr>
                <w:color w:val="000000"/>
                <w:kern w:val="0"/>
                <w:sz w:val="22"/>
                <w:szCs w:val="22"/>
                <w:highlight w:val="none"/>
              </w:rPr>
            </w:pPr>
            <w:r>
              <w:rPr>
                <w:color w:val="000000"/>
                <w:kern w:val="0"/>
                <w:sz w:val="22"/>
                <w:szCs w:val="22"/>
                <w:highlight w:val="none"/>
              </w:rPr>
              <w:t>项目预算编制是否经过科学论证、有明确标准，资金额度与年度目标是否相适应，用以反映和考核项目预算编制的科学性、合理性情况。</w:t>
            </w:r>
          </w:p>
        </w:tc>
        <w:tc>
          <w:tcPr>
            <w:tcW w:w="2310" w:type="pct"/>
            <w:shd w:val="clear" w:color="auto" w:fill="FFFFFF"/>
            <w:vAlign w:val="center"/>
          </w:tcPr>
          <w:p w14:paraId="66F7EBE6">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①预算编制是否经过科学论证；</w:t>
            </w:r>
            <w:r>
              <w:rPr>
                <w:color w:val="000000"/>
                <w:kern w:val="0"/>
                <w:sz w:val="22"/>
                <w:szCs w:val="22"/>
                <w:highlight w:val="none"/>
              </w:rPr>
              <w:br w:type="textWrapping"/>
            </w:r>
            <w:r>
              <w:rPr>
                <w:color w:val="000000"/>
                <w:kern w:val="0"/>
                <w:sz w:val="22"/>
                <w:szCs w:val="22"/>
                <w:highlight w:val="none"/>
              </w:rPr>
              <w:t>②预算内容与项目内容是否匹配；</w:t>
            </w:r>
            <w:r>
              <w:rPr>
                <w:color w:val="000000"/>
                <w:kern w:val="0"/>
                <w:sz w:val="22"/>
                <w:szCs w:val="22"/>
                <w:highlight w:val="none"/>
              </w:rPr>
              <w:br w:type="textWrapping"/>
            </w:r>
            <w:r>
              <w:rPr>
                <w:color w:val="000000"/>
                <w:kern w:val="0"/>
                <w:sz w:val="22"/>
                <w:szCs w:val="22"/>
                <w:highlight w:val="none"/>
              </w:rPr>
              <w:t>③预算额度测算依据是否充分，是否按照标准编制；</w:t>
            </w:r>
            <w:r>
              <w:rPr>
                <w:color w:val="000000"/>
                <w:kern w:val="0"/>
                <w:sz w:val="22"/>
                <w:szCs w:val="22"/>
                <w:highlight w:val="none"/>
              </w:rPr>
              <w:br w:type="textWrapping"/>
            </w:r>
            <w:r>
              <w:rPr>
                <w:color w:val="000000"/>
                <w:kern w:val="0"/>
                <w:sz w:val="22"/>
                <w:szCs w:val="22"/>
                <w:highlight w:val="none"/>
              </w:rPr>
              <w:t>④预算确定的项目投资额或资金量是否与工作任务相匹配。</w:t>
            </w:r>
          </w:p>
        </w:tc>
        <w:tc>
          <w:tcPr>
            <w:tcW w:w="413" w:type="pct"/>
            <w:shd w:val="clear" w:color="auto" w:fill="FFFFFF"/>
            <w:vAlign w:val="center"/>
          </w:tcPr>
          <w:p w14:paraId="08612312">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375" w:type="pct"/>
            <w:shd w:val="clear" w:color="auto" w:fill="FFFFFF"/>
            <w:vAlign w:val="center"/>
          </w:tcPr>
          <w:p w14:paraId="0AA1D9BA">
            <w:pPr>
              <w:widowControl/>
              <w:spacing w:line="0" w:lineRule="atLeast"/>
              <w:jc w:val="center"/>
              <w:rPr>
                <w:b/>
                <w:bCs/>
                <w:color w:val="000000"/>
                <w:kern w:val="0"/>
                <w:sz w:val="22"/>
                <w:szCs w:val="22"/>
                <w:highlight w:val="none"/>
              </w:rPr>
            </w:pPr>
            <w:r>
              <w:rPr>
                <w:b/>
                <w:bCs/>
                <w:color w:val="000000"/>
                <w:kern w:val="0"/>
                <w:sz w:val="22"/>
                <w:szCs w:val="22"/>
                <w:highlight w:val="none"/>
              </w:rPr>
              <w:t>4</w:t>
            </w:r>
          </w:p>
        </w:tc>
      </w:tr>
      <w:tr w14:paraId="3E41AE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26" w:type="pct"/>
            <w:vMerge w:val="continue"/>
            <w:shd w:val="clear" w:color="auto" w:fill="FFFFFF"/>
            <w:vAlign w:val="center"/>
          </w:tcPr>
          <w:p w14:paraId="02667F45">
            <w:pPr>
              <w:widowControl/>
              <w:spacing w:line="0" w:lineRule="atLeast"/>
              <w:jc w:val="center"/>
              <w:rPr>
                <w:color w:val="000000"/>
                <w:kern w:val="0"/>
                <w:sz w:val="22"/>
                <w:szCs w:val="22"/>
                <w:highlight w:val="none"/>
              </w:rPr>
            </w:pPr>
          </w:p>
        </w:tc>
        <w:tc>
          <w:tcPr>
            <w:tcW w:w="301" w:type="pct"/>
            <w:vMerge w:val="continue"/>
            <w:shd w:val="clear" w:color="auto" w:fill="FFFFFF"/>
            <w:vAlign w:val="center"/>
          </w:tcPr>
          <w:p w14:paraId="0FD4764C">
            <w:pPr>
              <w:widowControl/>
              <w:spacing w:line="0" w:lineRule="atLeast"/>
              <w:jc w:val="center"/>
              <w:rPr>
                <w:color w:val="000000"/>
                <w:kern w:val="0"/>
                <w:sz w:val="22"/>
                <w:szCs w:val="22"/>
                <w:highlight w:val="none"/>
              </w:rPr>
            </w:pPr>
          </w:p>
        </w:tc>
        <w:tc>
          <w:tcPr>
            <w:tcW w:w="344" w:type="pct"/>
            <w:shd w:val="clear" w:color="auto" w:fill="FFFFFF"/>
            <w:vAlign w:val="center"/>
          </w:tcPr>
          <w:p w14:paraId="1EEB981E">
            <w:pPr>
              <w:widowControl/>
              <w:spacing w:line="0" w:lineRule="atLeast"/>
              <w:jc w:val="center"/>
              <w:rPr>
                <w:color w:val="000000"/>
                <w:kern w:val="0"/>
                <w:sz w:val="22"/>
                <w:szCs w:val="22"/>
                <w:highlight w:val="none"/>
              </w:rPr>
            </w:pPr>
            <w:r>
              <w:rPr>
                <w:color w:val="000000"/>
                <w:kern w:val="0"/>
                <w:sz w:val="22"/>
                <w:szCs w:val="22"/>
                <w:highlight w:val="none"/>
              </w:rPr>
              <w:t>资金分配</w:t>
            </w:r>
          </w:p>
          <w:p w14:paraId="18E51DD5">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927" w:type="pct"/>
            <w:shd w:val="clear" w:color="auto" w:fill="FFFFFF"/>
            <w:vAlign w:val="center"/>
          </w:tcPr>
          <w:p w14:paraId="7EAF32A2">
            <w:pPr>
              <w:widowControl/>
              <w:spacing w:line="0" w:lineRule="atLeast"/>
              <w:rPr>
                <w:color w:val="000000"/>
                <w:kern w:val="0"/>
                <w:sz w:val="22"/>
                <w:szCs w:val="22"/>
                <w:highlight w:val="none"/>
              </w:rPr>
            </w:pPr>
            <w:r>
              <w:rPr>
                <w:color w:val="000000"/>
                <w:kern w:val="0"/>
                <w:sz w:val="22"/>
                <w:szCs w:val="22"/>
                <w:highlight w:val="none"/>
              </w:rPr>
              <w:t>项目预算资金分配是否有测算依据，与补助单位或地方实际是否相适应，用以反映和考核项目预算资金分配的科学性、合理性情况。</w:t>
            </w:r>
          </w:p>
        </w:tc>
        <w:tc>
          <w:tcPr>
            <w:tcW w:w="2310" w:type="pct"/>
            <w:shd w:val="clear" w:color="auto" w:fill="FFFFFF"/>
            <w:vAlign w:val="center"/>
          </w:tcPr>
          <w:p w14:paraId="6A94A480">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①预算资金分配依据是否充分；</w:t>
            </w:r>
            <w:r>
              <w:rPr>
                <w:color w:val="000000"/>
                <w:kern w:val="0"/>
                <w:sz w:val="22"/>
                <w:szCs w:val="22"/>
                <w:highlight w:val="none"/>
              </w:rPr>
              <w:br w:type="textWrapping"/>
            </w:r>
            <w:r>
              <w:rPr>
                <w:color w:val="000000"/>
                <w:kern w:val="0"/>
                <w:sz w:val="22"/>
                <w:szCs w:val="22"/>
                <w:highlight w:val="none"/>
              </w:rPr>
              <w:t>②资金分配额度是否合理，与项目单位或地方实际是否相适应。</w:t>
            </w:r>
          </w:p>
        </w:tc>
        <w:tc>
          <w:tcPr>
            <w:tcW w:w="413" w:type="pct"/>
            <w:shd w:val="clear" w:color="auto" w:fill="FFFFFF"/>
            <w:vAlign w:val="center"/>
          </w:tcPr>
          <w:p w14:paraId="0DD7F474">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375" w:type="pct"/>
            <w:shd w:val="clear" w:color="auto" w:fill="FFFFFF"/>
            <w:vAlign w:val="center"/>
          </w:tcPr>
          <w:p w14:paraId="53F7426B">
            <w:pPr>
              <w:widowControl/>
              <w:spacing w:line="0" w:lineRule="atLeast"/>
              <w:jc w:val="center"/>
              <w:rPr>
                <w:b/>
                <w:bCs/>
                <w:color w:val="000000"/>
                <w:kern w:val="0"/>
                <w:sz w:val="22"/>
                <w:szCs w:val="22"/>
                <w:highlight w:val="none"/>
              </w:rPr>
            </w:pPr>
            <w:r>
              <w:rPr>
                <w:b/>
                <w:bCs/>
                <w:color w:val="000000"/>
                <w:kern w:val="0"/>
                <w:sz w:val="22"/>
                <w:szCs w:val="22"/>
                <w:highlight w:val="none"/>
              </w:rPr>
              <w:t>4</w:t>
            </w:r>
          </w:p>
        </w:tc>
      </w:tr>
      <w:tr w14:paraId="11D7A6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26" w:type="pct"/>
            <w:vMerge w:val="restart"/>
            <w:shd w:val="clear" w:color="auto" w:fill="FFFFFF"/>
            <w:vAlign w:val="center"/>
          </w:tcPr>
          <w:p w14:paraId="49836ED7">
            <w:pPr>
              <w:spacing w:line="0" w:lineRule="atLeast"/>
              <w:jc w:val="center"/>
              <w:rPr>
                <w:color w:val="000000"/>
                <w:kern w:val="0"/>
                <w:sz w:val="22"/>
                <w:szCs w:val="22"/>
                <w:highlight w:val="none"/>
              </w:rPr>
            </w:pPr>
            <w:r>
              <w:rPr>
                <w:color w:val="000000"/>
                <w:kern w:val="0"/>
                <w:sz w:val="22"/>
                <w:szCs w:val="22"/>
                <w:highlight w:val="none"/>
              </w:rPr>
              <w:t>过程</w:t>
            </w:r>
          </w:p>
        </w:tc>
        <w:tc>
          <w:tcPr>
            <w:tcW w:w="301" w:type="pct"/>
            <w:vMerge w:val="restart"/>
            <w:shd w:val="clear" w:color="auto" w:fill="FFFFFF"/>
            <w:vAlign w:val="center"/>
          </w:tcPr>
          <w:p w14:paraId="331D5E7E">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344" w:type="pct"/>
            <w:shd w:val="clear" w:color="auto" w:fill="FFFFFF"/>
            <w:vAlign w:val="center"/>
          </w:tcPr>
          <w:p w14:paraId="7B85A464">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927" w:type="pct"/>
            <w:shd w:val="clear" w:color="000000" w:fill="FFFFFF"/>
            <w:vAlign w:val="center"/>
          </w:tcPr>
          <w:p w14:paraId="3FF831B1">
            <w:pPr>
              <w:widowControl/>
              <w:spacing w:line="0" w:lineRule="atLeast"/>
              <w:rPr>
                <w:color w:val="000000"/>
                <w:kern w:val="0"/>
                <w:sz w:val="22"/>
                <w:szCs w:val="22"/>
                <w:highlight w:val="none"/>
              </w:rPr>
            </w:pPr>
            <w:r>
              <w:rPr>
                <w:color w:val="000000"/>
                <w:kern w:val="0"/>
                <w:sz w:val="22"/>
                <w:szCs w:val="22"/>
                <w:highlight w:val="none"/>
              </w:rPr>
              <w:t>实际到位资金与预算资金的比率，用以反映和考核资金落实情况对项目实施的总体保障程度。</w:t>
            </w:r>
          </w:p>
        </w:tc>
        <w:tc>
          <w:tcPr>
            <w:tcW w:w="2310" w:type="pct"/>
            <w:shd w:val="clear" w:color="000000" w:fill="FFFFFF"/>
            <w:vAlign w:val="center"/>
          </w:tcPr>
          <w:p w14:paraId="05127775">
            <w:pPr>
              <w:widowControl/>
              <w:spacing w:line="0" w:lineRule="atLeast"/>
              <w:rPr>
                <w:color w:val="000000"/>
                <w:kern w:val="0"/>
                <w:sz w:val="22"/>
                <w:szCs w:val="22"/>
                <w:highlight w:val="none"/>
              </w:rPr>
            </w:pPr>
            <w:r>
              <w:rPr>
                <w:color w:val="000000"/>
                <w:kern w:val="0"/>
                <w:sz w:val="22"/>
                <w:szCs w:val="22"/>
                <w:highlight w:val="none"/>
              </w:rPr>
              <w:t>资金到位率=（实际到位资金/预算资金）×100%。</w:t>
            </w:r>
          </w:p>
          <w:p w14:paraId="290C2221">
            <w:pPr>
              <w:widowControl/>
              <w:spacing w:line="0" w:lineRule="atLeast"/>
              <w:rPr>
                <w:color w:val="000000"/>
                <w:kern w:val="0"/>
                <w:sz w:val="22"/>
                <w:szCs w:val="22"/>
                <w:highlight w:val="none"/>
              </w:rPr>
            </w:pPr>
            <w:r>
              <w:rPr>
                <w:color w:val="000000"/>
                <w:kern w:val="0"/>
                <w:sz w:val="22"/>
                <w:szCs w:val="22"/>
                <w:highlight w:val="none"/>
              </w:rPr>
              <w:t>实际到位资金：一定时期（本年度或项目期）内落实到具体项目的资金。</w:t>
            </w:r>
          </w:p>
          <w:p w14:paraId="4EB5A58E">
            <w:pPr>
              <w:widowControl/>
              <w:spacing w:line="0" w:lineRule="atLeast"/>
              <w:rPr>
                <w:color w:val="000000"/>
                <w:kern w:val="0"/>
                <w:sz w:val="22"/>
                <w:szCs w:val="22"/>
                <w:highlight w:val="none"/>
              </w:rPr>
            </w:pPr>
            <w:r>
              <w:rPr>
                <w:color w:val="000000"/>
                <w:kern w:val="0"/>
                <w:sz w:val="22"/>
                <w:szCs w:val="22"/>
                <w:highlight w:val="none"/>
              </w:rPr>
              <w:t>预算资金：一定时期（本年度或项目期）内预算安排到具体项目的资金。</w:t>
            </w:r>
          </w:p>
        </w:tc>
        <w:tc>
          <w:tcPr>
            <w:tcW w:w="413" w:type="pct"/>
            <w:shd w:val="clear" w:color="000000" w:fill="FFFFFF"/>
            <w:vAlign w:val="center"/>
          </w:tcPr>
          <w:p w14:paraId="598A3D46">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375" w:type="pct"/>
            <w:shd w:val="clear" w:color="000000" w:fill="FFFFFF"/>
            <w:vAlign w:val="center"/>
          </w:tcPr>
          <w:p w14:paraId="187A8DD8">
            <w:pPr>
              <w:widowControl/>
              <w:spacing w:line="0" w:lineRule="atLeast"/>
              <w:jc w:val="center"/>
              <w:rPr>
                <w:b/>
                <w:bCs/>
                <w:color w:val="000000"/>
                <w:kern w:val="0"/>
                <w:sz w:val="22"/>
                <w:szCs w:val="22"/>
                <w:highlight w:val="none"/>
              </w:rPr>
            </w:pPr>
            <w:r>
              <w:rPr>
                <w:b/>
                <w:bCs/>
                <w:color w:val="000000"/>
                <w:kern w:val="0"/>
                <w:sz w:val="22"/>
                <w:szCs w:val="22"/>
                <w:highlight w:val="none"/>
              </w:rPr>
              <w:t>4</w:t>
            </w:r>
          </w:p>
        </w:tc>
      </w:tr>
      <w:tr w14:paraId="1F2D31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26" w:type="pct"/>
            <w:vMerge w:val="continue"/>
            <w:shd w:val="clear" w:color="auto" w:fill="FFFFFF"/>
            <w:vAlign w:val="center"/>
          </w:tcPr>
          <w:p w14:paraId="30556060">
            <w:pPr>
              <w:spacing w:line="0" w:lineRule="atLeast"/>
              <w:jc w:val="center"/>
              <w:rPr>
                <w:color w:val="000000"/>
                <w:kern w:val="0"/>
                <w:sz w:val="22"/>
                <w:szCs w:val="22"/>
                <w:highlight w:val="none"/>
              </w:rPr>
            </w:pPr>
          </w:p>
        </w:tc>
        <w:tc>
          <w:tcPr>
            <w:tcW w:w="301" w:type="pct"/>
            <w:vMerge w:val="continue"/>
            <w:shd w:val="clear" w:color="auto" w:fill="FFFFFF"/>
            <w:vAlign w:val="center"/>
          </w:tcPr>
          <w:p w14:paraId="3E7FA2C9">
            <w:pPr>
              <w:spacing w:line="0" w:lineRule="atLeast"/>
              <w:jc w:val="center"/>
              <w:rPr>
                <w:color w:val="000000"/>
                <w:kern w:val="0"/>
                <w:sz w:val="22"/>
                <w:szCs w:val="22"/>
                <w:highlight w:val="none"/>
              </w:rPr>
            </w:pPr>
          </w:p>
        </w:tc>
        <w:tc>
          <w:tcPr>
            <w:tcW w:w="344" w:type="pct"/>
            <w:shd w:val="clear" w:color="auto" w:fill="FFFFFF"/>
            <w:vAlign w:val="center"/>
          </w:tcPr>
          <w:p w14:paraId="20A871CC">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927" w:type="pct"/>
            <w:shd w:val="clear" w:color="auto" w:fill="FFFFFF"/>
            <w:vAlign w:val="center"/>
          </w:tcPr>
          <w:p w14:paraId="5943A6D0">
            <w:pPr>
              <w:widowControl/>
              <w:spacing w:line="0" w:lineRule="atLeast"/>
              <w:rPr>
                <w:color w:val="000000"/>
                <w:kern w:val="0"/>
                <w:sz w:val="22"/>
                <w:szCs w:val="22"/>
                <w:highlight w:val="none"/>
              </w:rPr>
            </w:pPr>
            <w:r>
              <w:rPr>
                <w:color w:val="000000"/>
                <w:kern w:val="0"/>
                <w:sz w:val="22"/>
                <w:szCs w:val="22"/>
                <w:highlight w:val="none"/>
              </w:rPr>
              <w:t>项目预算资金是否按照计划执行，用以反映或考核项目预算执行情况。</w:t>
            </w:r>
          </w:p>
        </w:tc>
        <w:tc>
          <w:tcPr>
            <w:tcW w:w="2310" w:type="pct"/>
            <w:shd w:val="clear" w:color="auto" w:fill="FFFFFF"/>
            <w:vAlign w:val="center"/>
          </w:tcPr>
          <w:p w14:paraId="3AD2DCA7">
            <w:pPr>
              <w:widowControl/>
              <w:spacing w:line="0" w:lineRule="atLeast"/>
              <w:rPr>
                <w:color w:val="000000"/>
                <w:kern w:val="0"/>
                <w:sz w:val="22"/>
                <w:szCs w:val="22"/>
                <w:highlight w:val="none"/>
              </w:rPr>
            </w:pPr>
            <w:r>
              <w:rPr>
                <w:color w:val="000000"/>
                <w:kern w:val="0"/>
                <w:sz w:val="22"/>
                <w:szCs w:val="22"/>
                <w:highlight w:val="none"/>
              </w:rPr>
              <w:t>预算执行率=（实际支出资金/实际到位资金）×100%。</w:t>
            </w:r>
            <w:r>
              <w:rPr>
                <w:color w:val="000000"/>
                <w:kern w:val="0"/>
                <w:sz w:val="22"/>
                <w:szCs w:val="22"/>
                <w:highlight w:val="none"/>
              </w:rPr>
              <w:br w:type="textWrapping"/>
            </w:r>
            <w:r>
              <w:rPr>
                <w:color w:val="000000"/>
                <w:kern w:val="0"/>
                <w:sz w:val="22"/>
                <w:szCs w:val="22"/>
                <w:highlight w:val="none"/>
              </w:rPr>
              <w:t>实际支出资金：一定时期（本年度或项目期）内项目实际拨付的资金。</w:t>
            </w:r>
          </w:p>
        </w:tc>
        <w:tc>
          <w:tcPr>
            <w:tcW w:w="413" w:type="pct"/>
            <w:shd w:val="clear" w:color="auto" w:fill="FFFFFF"/>
            <w:vAlign w:val="center"/>
          </w:tcPr>
          <w:p w14:paraId="10CBD3B9">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375" w:type="pct"/>
            <w:shd w:val="clear" w:color="auto" w:fill="FFFFFF"/>
            <w:vAlign w:val="center"/>
          </w:tcPr>
          <w:p w14:paraId="60D69AFE">
            <w:pPr>
              <w:widowControl/>
              <w:spacing w:line="0" w:lineRule="atLeast"/>
              <w:jc w:val="center"/>
              <w:rPr>
                <w:b/>
                <w:bCs/>
                <w:color w:val="000000"/>
                <w:kern w:val="0"/>
                <w:sz w:val="22"/>
                <w:szCs w:val="22"/>
                <w:highlight w:val="none"/>
              </w:rPr>
            </w:pPr>
            <w:r>
              <w:rPr>
                <w:b/>
                <w:bCs/>
                <w:color w:val="000000"/>
                <w:kern w:val="0"/>
                <w:sz w:val="22"/>
                <w:szCs w:val="22"/>
                <w:highlight w:val="none"/>
              </w:rPr>
              <w:t>4</w:t>
            </w:r>
          </w:p>
        </w:tc>
      </w:tr>
      <w:tr w14:paraId="17AA6C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26" w:type="pct"/>
            <w:vMerge w:val="restart"/>
            <w:shd w:val="clear" w:color="auto" w:fill="FFFFFF"/>
            <w:vAlign w:val="center"/>
          </w:tcPr>
          <w:p w14:paraId="49B87A75">
            <w:pPr>
              <w:widowControl/>
              <w:spacing w:line="0" w:lineRule="atLeast"/>
              <w:jc w:val="center"/>
              <w:rPr>
                <w:color w:val="000000"/>
                <w:kern w:val="0"/>
                <w:sz w:val="22"/>
                <w:szCs w:val="22"/>
                <w:highlight w:val="none"/>
              </w:rPr>
            </w:pPr>
            <w:r>
              <w:rPr>
                <w:color w:val="000000"/>
                <w:kern w:val="0"/>
                <w:sz w:val="22"/>
                <w:szCs w:val="22"/>
                <w:highlight w:val="none"/>
              </w:rPr>
              <w:t>　</w:t>
            </w:r>
          </w:p>
          <w:p w14:paraId="391A68FD">
            <w:pPr>
              <w:spacing w:line="0" w:lineRule="atLeast"/>
              <w:jc w:val="center"/>
              <w:rPr>
                <w:color w:val="000000"/>
                <w:kern w:val="0"/>
                <w:sz w:val="22"/>
                <w:szCs w:val="22"/>
                <w:highlight w:val="none"/>
              </w:rPr>
            </w:pPr>
            <w:r>
              <w:rPr>
                <w:color w:val="000000"/>
                <w:kern w:val="0"/>
                <w:sz w:val="22"/>
                <w:szCs w:val="22"/>
                <w:highlight w:val="none"/>
              </w:rPr>
              <w:t>过程　</w:t>
            </w:r>
          </w:p>
        </w:tc>
        <w:tc>
          <w:tcPr>
            <w:tcW w:w="301" w:type="pct"/>
            <w:shd w:val="clear" w:color="auto" w:fill="FFFFFF"/>
            <w:vAlign w:val="center"/>
          </w:tcPr>
          <w:p w14:paraId="18C30E17">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344" w:type="pct"/>
            <w:shd w:val="clear" w:color="auto" w:fill="FFFFFF"/>
            <w:vAlign w:val="center"/>
          </w:tcPr>
          <w:p w14:paraId="10CFE6BF">
            <w:pPr>
              <w:widowControl/>
              <w:spacing w:line="0" w:lineRule="atLeast"/>
              <w:jc w:val="center"/>
              <w:rPr>
                <w:color w:val="000000"/>
                <w:kern w:val="0"/>
                <w:sz w:val="22"/>
                <w:szCs w:val="22"/>
                <w:highlight w:val="none"/>
              </w:rPr>
            </w:pPr>
            <w:r>
              <w:rPr>
                <w:color w:val="000000"/>
                <w:kern w:val="0"/>
                <w:sz w:val="22"/>
                <w:szCs w:val="22"/>
                <w:highlight w:val="none"/>
              </w:rPr>
              <w:t>资金使用</w:t>
            </w:r>
          </w:p>
          <w:p w14:paraId="004330F6">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927" w:type="pct"/>
            <w:shd w:val="clear" w:color="000000" w:fill="FFFFFF"/>
            <w:vAlign w:val="center"/>
          </w:tcPr>
          <w:p w14:paraId="0601734E">
            <w:pPr>
              <w:widowControl/>
              <w:spacing w:line="0" w:lineRule="atLeast"/>
              <w:rPr>
                <w:color w:val="000000"/>
                <w:kern w:val="0"/>
                <w:sz w:val="22"/>
                <w:szCs w:val="22"/>
                <w:highlight w:val="none"/>
              </w:rPr>
            </w:pPr>
            <w:r>
              <w:rPr>
                <w:color w:val="000000"/>
                <w:kern w:val="0"/>
                <w:sz w:val="22"/>
                <w:szCs w:val="22"/>
                <w:highlight w:val="none"/>
              </w:rPr>
              <w:t>项目资金使用是否符合相关的财务管理制度规定，用以反映和考核项目资金的规范运行情况。</w:t>
            </w:r>
          </w:p>
        </w:tc>
        <w:tc>
          <w:tcPr>
            <w:tcW w:w="2310" w:type="pct"/>
            <w:shd w:val="clear" w:color="000000" w:fill="FFFFFF"/>
            <w:vAlign w:val="center"/>
          </w:tcPr>
          <w:p w14:paraId="1D9E7404">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①是否符合国家财经法规和财务管理制度以及有关专项资金管理办法的规定；</w:t>
            </w:r>
            <w:r>
              <w:rPr>
                <w:color w:val="000000"/>
                <w:kern w:val="0"/>
                <w:sz w:val="22"/>
                <w:szCs w:val="22"/>
                <w:highlight w:val="none"/>
              </w:rPr>
              <w:br w:type="textWrapping"/>
            </w:r>
            <w:r>
              <w:rPr>
                <w:color w:val="000000"/>
                <w:kern w:val="0"/>
                <w:sz w:val="22"/>
                <w:szCs w:val="22"/>
                <w:highlight w:val="none"/>
              </w:rPr>
              <w:t>②资金的拨付是否有完整的审批程序和手续；</w:t>
            </w:r>
            <w:r>
              <w:rPr>
                <w:color w:val="000000"/>
                <w:kern w:val="0"/>
                <w:sz w:val="22"/>
                <w:szCs w:val="22"/>
                <w:highlight w:val="none"/>
              </w:rPr>
              <w:br w:type="textWrapping"/>
            </w:r>
            <w:r>
              <w:rPr>
                <w:color w:val="000000"/>
                <w:kern w:val="0"/>
                <w:sz w:val="22"/>
                <w:szCs w:val="22"/>
                <w:highlight w:val="none"/>
              </w:rPr>
              <w:t>③是否符合项目预算批复或合同规定的用途；</w:t>
            </w:r>
            <w:r>
              <w:rPr>
                <w:color w:val="000000"/>
                <w:kern w:val="0"/>
                <w:sz w:val="22"/>
                <w:szCs w:val="22"/>
                <w:highlight w:val="none"/>
              </w:rPr>
              <w:br w:type="textWrapping"/>
            </w:r>
            <w:r>
              <w:rPr>
                <w:color w:val="000000"/>
                <w:kern w:val="0"/>
                <w:sz w:val="22"/>
                <w:szCs w:val="22"/>
                <w:highlight w:val="none"/>
              </w:rPr>
              <w:t>④是否存在截留、挤占、挪用、虚列支出等情况。</w:t>
            </w:r>
          </w:p>
        </w:tc>
        <w:tc>
          <w:tcPr>
            <w:tcW w:w="413" w:type="pct"/>
            <w:shd w:val="clear" w:color="000000" w:fill="FFFFFF"/>
            <w:vAlign w:val="center"/>
          </w:tcPr>
          <w:p w14:paraId="76E89964">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375" w:type="pct"/>
            <w:shd w:val="clear" w:color="000000" w:fill="FFFFFF"/>
            <w:vAlign w:val="center"/>
          </w:tcPr>
          <w:p w14:paraId="47770838">
            <w:pPr>
              <w:widowControl/>
              <w:spacing w:line="0" w:lineRule="atLeast"/>
              <w:jc w:val="center"/>
              <w:rPr>
                <w:b/>
                <w:bCs/>
                <w:color w:val="000000"/>
                <w:kern w:val="0"/>
                <w:sz w:val="22"/>
                <w:szCs w:val="22"/>
                <w:highlight w:val="none"/>
              </w:rPr>
            </w:pPr>
            <w:r>
              <w:rPr>
                <w:b/>
                <w:bCs/>
                <w:color w:val="000000"/>
                <w:kern w:val="0"/>
                <w:sz w:val="22"/>
                <w:szCs w:val="22"/>
                <w:highlight w:val="none"/>
              </w:rPr>
              <w:t>4</w:t>
            </w:r>
          </w:p>
        </w:tc>
      </w:tr>
      <w:tr w14:paraId="4C4D71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26" w:type="pct"/>
            <w:vMerge w:val="continue"/>
            <w:shd w:val="clear" w:color="auto" w:fill="FFFFFF"/>
            <w:vAlign w:val="center"/>
          </w:tcPr>
          <w:p w14:paraId="5583649C">
            <w:pPr>
              <w:spacing w:line="0" w:lineRule="atLeast"/>
              <w:jc w:val="center"/>
              <w:rPr>
                <w:color w:val="000000"/>
                <w:kern w:val="0"/>
                <w:sz w:val="22"/>
                <w:szCs w:val="22"/>
                <w:highlight w:val="none"/>
              </w:rPr>
            </w:pPr>
          </w:p>
        </w:tc>
        <w:tc>
          <w:tcPr>
            <w:tcW w:w="301" w:type="pct"/>
            <w:vMerge w:val="restart"/>
            <w:shd w:val="clear" w:color="auto" w:fill="FFFFFF"/>
            <w:vAlign w:val="center"/>
          </w:tcPr>
          <w:p w14:paraId="16A1C781">
            <w:pPr>
              <w:widowControl/>
              <w:spacing w:line="0" w:lineRule="atLeast"/>
              <w:jc w:val="center"/>
              <w:rPr>
                <w:color w:val="000000"/>
                <w:kern w:val="0"/>
                <w:sz w:val="22"/>
                <w:szCs w:val="22"/>
                <w:highlight w:val="none"/>
              </w:rPr>
            </w:pPr>
            <w:r>
              <w:rPr>
                <w:color w:val="000000"/>
                <w:kern w:val="0"/>
                <w:sz w:val="22"/>
                <w:szCs w:val="22"/>
                <w:highlight w:val="none"/>
              </w:rPr>
              <w:t>组织实施</w:t>
            </w:r>
          </w:p>
          <w:p w14:paraId="4EDEE79A">
            <w:pPr>
              <w:spacing w:line="0" w:lineRule="atLeast"/>
              <w:jc w:val="center"/>
              <w:rPr>
                <w:color w:val="000000"/>
                <w:kern w:val="0"/>
                <w:sz w:val="22"/>
                <w:szCs w:val="22"/>
                <w:highlight w:val="none"/>
              </w:rPr>
            </w:pPr>
            <w:r>
              <w:rPr>
                <w:color w:val="000000"/>
                <w:kern w:val="0"/>
                <w:sz w:val="22"/>
                <w:szCs w:val="22"/>
                <w:highlight w:val="none"/>
              </w:rPr>
              <w:t>　</w:t>
            </w:r>
          </w:p>
        </w:tc>
        <w:tc>
          <w:tcPr>
            <w:tcW w:w="344" w:type="pct"/>
            <w:shd w:val="clear" w:color="auto" w:fill="FFFFFF"/>
            <w:vAlign w:val="center"/>
          </w:tcPr>
          <w:p w14:paraId="670083A4">
            <w:pPr>
              <w:widowControl/>
              <w:spacing w:line="0" w:lineRule="atLeast"/>
              <w:jc w:val="center"/>
              <w:rPr>
                <w:color w:val="000000"/>
                <w:kern w:val="0"/>
                <w:sz w:val="22"/>
                <w:szCs w:val="22"/>
                <w:highlight w:val="none"/>
              </w:rPr>
            </w:pPr>
            <w:r>
              <w:rPr>
                <w:color w:val="000000"/>
                <w:kern w:val="0"/>
                <w:sz w:val="22"/>
                <w:szCs w:val="22"/>
                <w:highlight w:val="none"/>
              </w:rPr>
              <w:t>管理制度</w:t>
            </w:r>
          </w:p>
          <w:p w14:paraId="2232993D">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927" w:type="pct"/>
            <w:shd w:val="clear" w:color="000000" w:fill="FFFFFF"/>
            <w:vAlign w:val="center"/>
          </w:tcPr>
          <w:p w14:paraId="39C06AB7">
            <w:pPr>
              <w:widowControl/>
              <w:spacing w:line="0" w:lineRule="atLeast"/>
              <w:rPr>
                <w:color w:val="000000"/>
                <w:kern w:val="0"/>
                <w:sz w:val="22"/>
                <w:szCs w:val="22"/>
                <w:highlight w:val="none"/>
              </w:rPr>
            </w:pPr>
            <w:r>
              <w:rPr>
                <w:color w:val="000000"/>
                <w:kern w:val="0"/>
                <w:sz w:val="22"/>
                <w:szCs w:val="22"/>
                <w:highlight w:val="none"/>
              </w:rPr>
              <w:t>项目实施单位的财务和业务管理制度是否健全，用以反映和考核财务和业务管理制度对项目顺利实施的保障情况。</w:t>
            </w:r>
          </w:p>
        </w:tc>
        <w:tc>
          <w:tcPr>
            <w:tcW w:w="2310" w:type="pct"/>
            <w:shd w:val="clear" w:color="000000" w:fill="FFFFFF"/>
            <w:vAlign w:val="center"/>
          </w:tcPr>
          <w:p w14:paraId="6AF5A4C8">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①是否已制定或具有相应的财务和业务管理制度；</w:t>
            </w:r>
            <w:r>
              <w:rPr>
                <w:color w:val="000000"/>
                <w:kern w:val="0"/>
                <w:sz w:val="22"/>
                <w:szCs w:val="22"/>
                <w:highlight w:val="none"/>
              </w:rPr>
              <w:br w:type="textWrapping"/>
            </w:r>
            <w:r>
              <w:rPr>
                <w:color w:val="000000"/>
                <w:kern w:val="0"/>
                <w:sz w:val="22"/>
                <w:szCs w:val="22"/>
                <w:highlight w:val="none"/>
              </w:rPr>
              <w:t>②财务和业务管理制度是否合法、合规、完整。</w:t>
            </w:r>
          </w:p>
        </w:tc>
        <w:tc>
          <w:tcPr>
            <w:tcW w:w="413" w:type="pct"/>
            <w:shd w:val="clear" w:color="000000" w:fill="FFFFFF"/>
            <w:vAlign w:val="center"/>
          </w:tcPr>
          <w:p w14:paraId="6C750749">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375" w:type="pct"/>
            <w:shd w:val="clear" w:color="000000" w:fill="FFFFFF"/>
            <w:vAlign w:val="center"/>
          </w:tcPr>
          <w:p w14:paraId="55385C6D">
            <w:pPr>
              <w:widowControl/>
              <w:spacing w:line="0" w:lineRule="atLeast"/>
              <w:jc w:val="center"/>
              <w:rPr>
                <w:b/>
                <w:bCs/>
                <w:color w:val="000000"/>
                <w:kern w:val="0"/>
                <w:sz w:val="22"/>
                <w:szCs w:val="22"/>
                <w:highlight w:val="none"/>
              </w:rPr>
            </w:pPr>
            <w:r>
              <w:rPr>
                <w:b/>
                <w:bCs/>
                <w:color w:val="000000"/>
                <w:kern w:val="0"/>
                <w:sz w:val="22"/>
                <w:szCs w:val="22"/>
                <w:highlight w:val="none"/>
              </w:rPr>
              <w:t>4</w:t>
            </w:r>
          </w:p>
        </w:tc>
      </w:tr>
      <w:tr w14:paraId="4E2058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26" w:type="pct"/>
            <w:vMerge w:val="continue"/>
            <w:shd w:val="clear" w:color="auto" w:fill="FFFFFF"/>
            <w:vAlign w:val="center"/>
          </w:tcPr>
          <w:p w14:paraId="3B3EBFF4">
            <w:pPr>
              <w:widowControl/>
              <w:spacing w:line="0" w:lineRule="atLeast"/>
              <w:jc w:val="center"/>
              <w:rPr>
                <w:color w:val="000000"/>
                <w:kern w:val="0"/>
                <w:sz w:val="22"/>
                <w:szCs w:val="22"/>
                <w:highlight w:val="none"/>
              </w:rPr>
            </w:pPr>
          </w:p>
        </w:tc>
        <w:tc>
          <w:tcPr>
            <w:tcW w:w="301" w:type="pct"/>
            <w:vMerge w:val="continue"/>
            <w:shd w:val="clear" w:color="auto" w:fill="FFFFFF"/>
            <w:vAlign w:val="center"/>
          </w:tcPr>
          <w:p w14:paraId="63B2C682">
            <w:pPr>
              <w:widowControl/>
              <w:spacing w:line="0" w:lineRule="atLeast"/>
              <w:jc w:val="center"/>
              <w:rPr>
                <w:color w:val="000000"/>
                <w:kern w:val="0"/>
                <w:sz w:val="22"/>
                <w:szCs w:val="22"/>
                <w:highlight w:val="none"/>
              </w:rPr>
            </w:pPr>
          </w:p>
        </w:tc>
        <w:tc>
          <w:tcPr>
            <w:tcW w:w="344" w:type="pct"/>
            <w:shd w:val="clear" w:color="auto" w:fill="FFFFFF"/>
            <w:vAlign w:val="center"/>
          </w:tcPr>
          <w:p w14:paraId="171AC034">
            <w:pPr>
              <w:widowControl/>
              <w:spacing w:line="0" w:lineRule="atLeast"/>
              <w:jc w:val="center"/>
              <w:rPr>
                <w:color w:val="000000"/>
                <w:kern w:val="0"/>
                <w:sz w:val="22"/>
                <w:szCs w:val="22"/>
                <w:highlight w:val="none"/>
              </w:rPr>
            </w:pPr>
            <w:r>
              <w:rPr>
                <w:color w:val="000000"/>
                <w:kern w:val="0"/>
                <w:sz w:val="22"/>
                <w:szCs w:val="22"/>
                <w:highlight w:val="none"/>
              </w:rPr>
              <w:t>制度执行</w:t>
            </w:r>
          </w:p>
          <w:p w14:paraId="6B428872">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927" w:type="pct"/>
            <w:shd w:val="clear" w:color="000000" w:fill="FFFFFF"/>
            <w:vAlign w:val="center"/>
          </w:tcPr>
          <w:p w14:paraId="735A8DDF">
            <w:pPr>
              <w:widowControl/>
              <w:spacing w:line="0" w:lineRule="atLeast"/>
              <w:rPr>
                <w:color w:val="000000"/>
                <w:kern w:val="0"/>
                <w:sz w:val="22"/>
                <w:szCs w:val="22"/>
                <w:highlight w:val="none"/>
              </w:rPr>
            </w:pPr>
            <w:r>
              <w:rPr>
                <w:color w:val="000000"/>
                <w:kern w:val="0"/>
                <w:sz w:val="22"/>
                <w:szCs w:val="22"/>
                <w:highlight w:val="none"/>
              </w:rPr>
              <w:t>项目实施是否符合相关管理规定，用以反映和考核相关管理制度的有效执行情况。</w:t>
            </w:r>
          </w:p>
        </w:tc>
        <w:tc>
          <w:tcPr>
            <w:tcW w:w="2310" w:type="pct"/>
            <w:shd w:val="clear" w:color="000000" w:fill="FFFFFF"/>
            <w:vAlign w:val="center"/>
          </w:tcPr>
          <w:p w14:paraId="70185795">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①是否遵守相关法律法规和相关管理规定；</w:t>
            </w:r>
            <w:r>
              <w:rPr>
                <w:color w:val="000000"/>
                <w:kern w:val="0"/>
                <w:sz w:val="22"/>
                <w:szCs w:val="22"/>
                <w:highlight w:val="none"/>
              </w:rPr>
              <w:br w:type="textWrapping"/>
            </w:r>
            <w:r>
              <w:rPr>
                <w:color w:val="000000"/>
                <w:kern w:val="0"/>
                <w:sz w:val="22"/>
                <w:szCs w:val="22"/>
                <w:highlight w:val="none"/>
              </w:rPr>
              <w:t>②项目调整及支出调整手续是否完备；</w:t>
            </w:r>
            <w:r>
              <w:rPr>
                <w:color w:val="000000"/>
                <w:kern w:val="0"/>
                <w:sz w:val="22"/>
                <w:szCs w:val="22"/>
                <w:highlight w:val="none"/>
              </w:rPr>
              <w:br w:type="textWrapping"/>
            </w:r>
            <w:r>
              <w:rPr>
                <w:color w:val="000000"/>
                <w:kern w:val="0"/>
                <w:sz w:val="22"/>
                <w:szCs w:val="22"/>
                <w:highlight w:val="none"/>
              </w:rPr>
              <w:t>③项目合同书、验收报告、技术鉴定等资料是否齐全并及时归档；</w:t>
            </w:r>
            <w:r>
              <w:rPr>
                <w:color w:val="000000"/>
                <w:kern w:val="0"/>
                <w:sz w:val="22"/>
                <w:szCs w:val="22"/>
                <w:highlight w:val="none"/>
              </w:rPr>
              <w:br w:type="textWrapping"/>
            </w:r>
            <w:r>
              <w:rPr>
                <w:color w:val="000000"/>
                <w:kern w:val="0"/>
                <w:sz w:val="22"/>
                <w:szCs w:val="22"/>
                <w:highlight w:val="none"/>
              </w:rPr>
              <w:t>④项目实施的人员条件、场地设备、信息支撑等是否落实到位。</w:t>
            </w:r>
          </w:p>
        </w:tc>
        <w:tc>
          <w:tcPr>
            <w:tcW w:w="413" w:type="pct"/>
            <w:shd w:val="clear" w:color="000000" w:fill="FFFFFF"/>
            <w:vAlign w:val="center"/>
          </w:tcPr>
          <w:p w14:paraId="6161CCCF">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375" w:type="pct"/>
            <w:shd w:val="clear" w:color="000000" w:fill="FFFFFF"/>
            <w:vAlign w:val="center"/>
          </w:tcPr>
          <w:p w14:paraId="07851C53">
            <w:pPr>
              <w:widowControl/>
              <w:spacing w:line="0" w:lineRule="atLeast"/>
              <w:jc w:val="center"/>
              <w:rPr>
                <w:b/>
                <w:bCs/>
                <w:color w:val="000000"/>
                <w:kern w:val="0"/>
                <w:sz w:val="22"/>
                <w:szCs w:val="22"/>
                <w:highlight w:val="none"/>
              </w:rPr>
            </w:pPr>
            <w:r>
              <w:rPr>
                <w:b/>
                <w:bCs/>
                <w:color w:val="000000"/>
                <w:kern w:val="0"/>
                <w:sz w:val="22"/>
                <w:szCs w:val="22"/>
                <w:highlight w:val="none"/>
              </w:rPr>
              <w:t>4</w:t>
            </w:r>
          </w:p>
        </w:tc>
      </w:tr>
      <w:tr w14:paraId="5981EA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26" w:type="pct"/>
            <w:shd w:val="clear" w:color="auto" w:fill="FFFFFF"/>
            <w:vAlign w:val="center"/>
          </w:tcPr>
          <w:p w14:paraId="0BA7C766">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301" w:type="pct"/>
            <w:shd w:val="clear" w:color="auto" w:fill="FFFFFF"/>
            <w:vAlign w:val="center"/>
          </w:tcPr>
          <w:p w14:paraId="0EF26FC6">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344" w:type="pct"/>
            <w:shd w:val="clear" w:color="auto" w:fill="FFFFFF"/>
            <w:vAlign w:val="center"/>
          </w:tcPr>
          <w:p w14:paraId="33797FAD">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927" w:type="pct"/>
            <w:shd w:val="clear" w:color="000000" w:fill="FFFFFF"/>
            <w:vAlign w:val="center"/>
          </w:tcPr>
          <w:p w14:paraId="5D71E4A1">
            <w:pPr>
              <w:widowControl/>
              <w:spacing w:line="0" w:lineRule="atLeast"/>
              <w:rPr>
                <w:color w:val="000000"/>
                <w:kern w:val="0"/>
                <w:sz w:val="22"/>
                <w:szCs w:val="22"/>
                <w:highlight w:val="none"/>
              </w:rPr>
            </w:pPr>
            <w:r>
              <w:rPr>
                <w:color w:val="000000"/>
                <w:kern w:val="0"/>
                <w:sz w:val="22"/>
                <w:szCs w:val="22"/>
                <w:highlight w:val="none"/>
              </w:rPr>
              <w:t>项目实施的实际产出数与计划产出数的比率，用以反映和考核项目产出数量目标的实现程度。</w:t>
            </w:r>
          </w:p>
        </w:tc>
        <w:tc>
          <w:tcPr>
            <w:tcW w:w="2310" w:type="pct"/>
            <w:shd w:val="clear" w:color="000000" w:fill="FFFFFF"/>
            <w:vAlign w:val="center"/>
          </w:tcPr>
          <w:p w14:paraId="3C389103">
            <w:pPr>
              <w:widowControl/>
              <w:spacing w:line="0" w:lineRule="atLeast"/>
              <w:rPr>
                <w:color w:val="000000"/>
                <w:kern w:val="0"/>
                <w:sz w:val="22"/>
                <w:szCs w:val="22"/>
                <w:highlight w:val="none"/>
              </w:rPr>
            </w:pPr>
            <w:r>
              <w:rPr>
                <w:color w:val="000000"/>
                <w:kern w:val="0"/>
                <w:sz w:val="22"/>
                <w:szCs w:val="22"/>
                <w:highlight w:val="none"/>
              </w:rPr>
              <w:t>实际完成率=（实际产出数/计划产出数）×100%。</w:t>
            </w:r>
            <w:r>
              <w:rPr>
                <w:color w:val="000000"/>
                <w:kern w:val="0"/>
                <w:sz w:val="22"/>
                <w:szCs w:val="22"/>
                <w:highlight w:val="none"/>
              </w:rPr>
              <w:br w:type="textWrapping"/>
            </w:r>
            <w:r>
              <w:rPr>
                <w:color w:val="000000"/>
                <w:kern w:val="0"/>
                <w:sz w:val="22"/>
                <w:szCs w:val="22"/>
                <w:highlight w:val="none"/>
              </w:rPr>
              <w:t>实际产出数：一定时期（本年度或项目期）内项目实际产出的产品或提供的服务数量。</w:t>
            </w:r>
            <w:r>
              <w:rPr>
                <w:color w:val="000000"/>
                <w:kern w:val="0"/>
                <w:sz w:val="22"/>
                <w:szCs w:val="22"/>
                <w:highlight w:val="none"/>
              </w:rPr>
              <w:br w:type="textWrapping"/>
            </w:r>
            <w:r>
              <w:rPr>
                <w:color w:val="000000"/>
                <w:kern w:val="0"/>
                <w:sz w:val="22"/>
                <w:szCs w:val="22"/>
                <w:highlight w:val="none"/>
              </w:rPr>
              <w:t>计划产出数：项目绩效目标确定的在一定时期（本年度或项目期）内计划产出的产品或提供的服务数量。</w:t>
            </w:r>
          </w:p>
        </w:tc>
        <w:tc>
          <w:tcPr>
            <w:tcW w:w="413" w:type="pct"/>
            <w:shd w:val="clear" w:color="000000" w:fill="FFFFFF"/>
            <w:vAlign w:val="center"/>
          </w:tcPr>
          <w:p w14:paraId="4772059B">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375" w:type="pct"/>
            <w:shd w:val="clear" w:color="000000" w:fill="FFFFFF"/>
            <w:vAlign w:val="center"/>
          </w:tcPr>
          <w:p w14:paraId="2065D7EC">
            <w:pPr>
              <w:widowControl/>
              <w:spacing w:line="0" w:lineRule="atLeast"/>
              <w:jc w:val="center"/>
              <w:rPr>
                <w:b/>
                <w:bCs/>
                <w:color w:val="000000"/>
                <w:kern w:val="0"/>
                <w:sz w:val="22"/>
                <w:szCs w:val="22"/>
                <w:highlight w:val="none"/>
              </w:rPr>
            </w:pPr>
            <w:r>
              <w:rPr>
                <w:b/>
                <w:bCs/>
                <w:color w:val="000000"/>
                <w:kern w:val="0"/>
                <w:sz w:val="22"/>
                <w:szCs w:val="22"/>
                <w:highlight w:val="none"/>
              </w:rPr>
              <w:t>10</w:t>
            </w:r>
          </w:p>
        </w:tc>
      </w:tr>
      <w:tr w14:paraId="790D3D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26" w:type="pct"/>
            <w:vMerge w:val="restart"/>
            <w:shd w:val="clear" w:color="auto" w:fill="FFFFFF"/>
            <w:vAlign w:val="center"/>
          </w:tcPr>
          <w:p w14:paraId="137F4CA2">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301" w:type="pct"/>
            <w:shd w:val="clear" w:color="auto" w:fill="FFFFFF"/>
            <w:vAlign w:val="center"/>
          </w:tcPr>
          <w:p w14:paraId="5F289EF4">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344" w:type="pct"/>
            <w:shd w:val="clear" w:color="auto" w:fill="FFFFFF"/>
            <w:vAlign w:val="center"/>
          </w:tcPr>
          <w:p w14:paraId="3368DCB4">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927" w:type="pct"/>
            <w:shd w:val="clear" w:color="000000" w:fill="FFFFFF"/>
            <w:vAlign w:val="center"/>
          </w:tcPr>
          <w:p w14:paraId="5D1E9A97">
            <w:pPr>
              <w:widowControl/>
              <w:spacing w:line="0" w:lineRule="atLeast"/>
              <w:rPr>
                <w:color w:val="000000"/>
                <w:kern w:val="0"/>
                <w:sz w:val="22"/>
                <w:szCs w:val="22"/>
                <w:highlight w:val="none"/>
              </w:rPr>
            </w:pPr>
            <w:r>
              <w:rPr>
                <w:color w:val="000000"/>
                <w:kern w:val="0"/>
                <w:sz w:val="22"/>
                <w:szCs w:val="22"/>
                <w:highlight w:val="none"/>
              </w:rPr>
              <w:t>项目完成的质量达标产出数与实际产出数的比率，用以反映和考核项目产出质量目标的实现程度。</w:t>
            </w:r>
          </w:p>
        </w:tc>
        <w:tc>
          <w:tcPr>
            <w:tcW w:w="2310" w:type="pct"/>
            <w:shd w:val="clear" w:color="000000" w:fill="FFFFFF"/>
            <w:vAlign w:val="center"/>
          </w:tcPr>
          <w:p w14:paraId="1B22098C">
            <w:pPr>
              <w:widowControl/>
              <w:spacing w:line="0" w:lineRule="atLeast"/>
              <w:rPr>
                <w:color w:val="000000"/>
                <w:kern w:val="0"/>
                <w:sz w:val="22"/>
                <w:szCs w:val="22"/>
                <w:highlight w:val="none"/>
              </w:rPr>
            </w:pPr>
            <w:r>
              <w:rPr>
                <w:color w:val="000000"/>
                <w:kern w:val="0"/>
                <w:sz w:val="22"/>
                <w:szCs w:val="22"/>
                <w:highlight w:val="none"/>
              </w:rPr>
              <w:t>质量达标率=（质量达标产出数/实际产出数）×100%。</w:t>
            </w:r>
          </w:p>
          <w:p w14:paraId="118BB09E">
            <w:pPr>
              <w:widowControl/>
              <w:spacing w:line="0" w:lineRule="atLeast"/>
              <w:rPr>
                <w:color w:val="000000"/>
                <w:kern w:val="0"/>
                <w:sz w:val="22"/>
                <w:szCs w:val="22"/>
                <w:highlight w:val="none"/>
              </w:rPr>
            </w:pPr>
            <w:r>
              <w:rPr>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413" w:type="pct"/>
            <w:shd w:val="clear" w:color="000000" w:fill="FFFFFF"/>
            <w:vAlign w:val="center"/>
          </w:tcPr>
          <w:p w14:paraId="3CE0B431">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375" w:type="pct"/>
            <w:shd w:val="clear" w:color="000000" w:fill="FFFFFF"/>
            <w:vAlign w:val="center"/>
          </w:tcPr>
          <w:p w14:paraId="3F6D14D9">
            <w:pPr>
              <w:widowControl/>
              <w:spacing w:line="0" w:lineRule="atLeast"/>
              <w:jc w:val="center"/>
              <w:rPr>
                <w:b/>
                <w:bCs/>
                <w:color w:val="000000"/>
                <w:kern w:val="0"/>
                <w:sz w:val="22"/>
                <w:szCs w:val="22"/>
                <w:highlight w:val="none"/>
              </w:rPr>
            </w:pPr>
            <w:r>
              <w:rPr>
                <w:b/>
                <w:bCs/>
                <w:color w:val="000000"/>
                <w:kern w:val="0"/>
                <w:sz w:val="22"/>
                <w:szCs w:val="22"/>
                <w:highlight w:val="none"/>
              </w:rPr>
              <w:t>10</w:t>
            </w:r>
          </w:p>
        </w:tc>
      </w:tr>
      <w:tr w14:paraId="77AD71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26" w:type="pct"/>
            <w:vMerge w:val="continue"/>
            <w:shd w:val="clear" w:color="auto" w:fill="FFFFFF"/>
            <w:vAlign w:val="center"/>
          </w:tcPr>
          <w:p w14:paraId="515F0BC6">
            <w:pPr>
              <w:spacing w:line="0" w:lineRule="atLeast"/>
              <w:jc w:val="center"/>
              <w:rPr>
                <w:color w:val="000000"/>
                <w:kern w:val="0"/>
                <w:sz w:val="22"/>
                <w:szCs w:val="22"/>
                <w:highlight w:val="none"/>
              </w:rPr>
            </w:pPr>
          </w:p>
        </w:tc>
        <w:tc>
          <w:tcPr>
            <w:tcW w:w="301" w:type="pct"/>
            <w:shd w:val="clear" w:color="auto" w:fill="FFFFFF"/>
            <w:vAlign w:val="center"/>
          </w:tcPr>
          <w:p w14:paraId="5F8EB4AB">
            <w:pPr>
              <w:spacing w:line="0" w:lineRule="atLeast"/>
              <w:jc w:val="center"/>
              <w:rPr>
                <w:color w:val="000000"/>
                <w:kern w:val="0"/>
                <w:sz w:val="22"/>
                <w:szCs w:val="22"/>
                <w:highlight w:val="none"/>
              </w:rPr>
            </w:pPr>
            <w:r>
              <w:rPr>
                <w:color w:val="000000"/>
                <w:kern w:val="0"/>
                <w:sz w:val="22"/>
                <w:szCs w:val="22"/>
                <w:highlight w:val="none"/>
              </w:rPr>
              <w:t>产出时效</w:t>
            </w:r>
          </w:p>
        </w:tc>
        <w:tc>
          <w:tcPr>
            <w:tcW w:w="344" w:type="pct"/>
            <w:shd w:val="clear" w:color="auto" w:fill="FFFFFF"/>
            <w:vAlign w:val="center"/>
          </w:tcPr>
          <w:p w14:paraId="63CA0D1E">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927" w:type="pct"/>
            <w:shd w:val="clear" w:color="000000" w:fill="FFFFFF"/>
            <w:vAlign w:val="center"/>
          </w:tcPr>
          <w:p w14:paraId="3665DEEF">
            <w:pPr>
              <w:widowControl/>
              <w:spacing w:line="0" w:lineRule="atLeast"/>
              <w:rPr>
                <w:color w:val="000000"/>
                <w:kern w:val="0"/>
                <w:sz w:val="22"/>
                <w:szCs w:val="22"/>
                <w:highlight w:val="none"/>
              </w:rPr>
            </w:pPr>
            <w:r>
              <w:rPr>
                <w:color w:val="000000"/>
                <w:kern w:val="0"/>
                <w:sz w:val="22"/>
                <w:szCs w:val="22"/>
                <w:highlight w:val="none"/>
              </w:rPr>
              <w:t>项目实际完成时间与计划完成时间的比较，用以反映和考核项目产出时效目标的实现程度。</w:t>
            </w:r>
          </w:p>
        </w:tc>
        <w:tc>
          <w:tcPr>
            <w:tcW w:w="2310" w:type="pct"/>
            <w:shd w:val="clear" w:color="000000" w:fill="FFFFFF"/>
            <w:vAlign w:val="center"/>
          </w:tcPr>
          <w:p w14:paraId="4D102E20">
            <w:pPr>
              <w:widowControl/>
              <w:spacing w:line="0" w:lineRule="atLeast"/>
              <w:rPr>
                <w:color w:val="000000"/>
                <w:kern w:val="0"/>
                <w:sz w:val="22"/>
                <w:szCs w:val="22"/>
                <w:highlight w:val="none"/>
              </w:rPr>
            </w:pPr>
            <w:r>
              <w:rPr>
                <w:color w:val="000000"/>
                <w:kern w:val="0"/>
                <w:sz w:val="22"/>
                <w:szCs w:val="22"/>
                <w:highlight w:val="none"/>
              </w:rPr>
              <w:t>实际完成时间：项目实施单位完成该项目实际所耗用的时间。</w:t>
            </w:r>
            <w:r>
              <w:rPr>
                <w:color w:val="000000"/>
                <w:kern w:val="0"/>
                <w:sz w:val="22"/>
                <w:szCs w:val="22"/>
                <w:highlight w:val="none"/>
              </w:rPr>
              <w:br w:type="textWrapping"/>
            </w:r>
            <w:r>
              <w:rPr>
                <w:color w:val="000000"/>
                <w:kern w:val="0"/>
                <w:sz w:val="22"/>
                <w:szCs w:val="22"/>
                <w:highlight w:val="none"/>
              </w:rPr>
              <w:t>计划完成时间：按照项目实施计划或相关规定完成该项目所需的时间。</w:t>
            </w:r>
          </w:p>
        </w:tc>
        <w:tc>
          <w:tcPr>
            <w:tcW w:w="413" w:type="pct"/>
            <w:shd w:val="clear" w:color="000000" w:fill="FFFFFF"/>
            <w:vAlign w:val="center"/>
          </w:tcPr>
          <w:p w14:paraId="2C4977DC">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375" w:type="pct"/>
            <w:shd w:val="clear" w:color="000000" w:fill="FFFFFF"/>
            <w:vAlign w:val="center"/>
          </w:tcPr>
          <w:p w14:paraId="7F8B17FD">
            <w:pPr>
              <w:widowControl/>
              <w:spacing w:line="0" w:lineRule="atLeast"/>
              <w:jc w:val="center"/>
              <w:rPr>
                <w:b/>
                <w:bCs/>
                <w:color w:val="000000"/>
                <w:kern w:val="0"/>
                <w:sz w:val="22"/>
                <w:szCs w:val="22"/>
                <w:highlight w:val="none"/>
              </w:rPr>
            </w:pPr>
            <w:r>
              <w:rPr>
                <w:b/>
                <w:bCs/>
                <w:color w:val="000000"/>
                <w:kern w:val="0"/>
                <w:sz w:val="22"/>
                <w:szCs w:val="22"/>
                <w:highlight w:val="none"/>
              </w:rPr>
              <w:t>10</w:t>
            </w:r>
          </w:p>
        </w:tc>
      </w:tr>
      <w:tr w14:paraId="703AE3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26" w:type="pct"/>
            <w:vMerge w:val="continue"/>
            <w:shd w:val="clear" w:color="auto" w:fill="FFFFFF"/>
            <w:vAlign w:val="center"/>
          </w:tcPr>
          <w:p w14:paraId="062433B3">
            <w:pPr>
              <w:widowControl/>
              <w:spacing w:line="0" w:lineRule="atLeast"/>
              <w:jc w:val="center"/>
              <w:rPr>
                <w:color w:val="000000"/>
                <w:kern w:val="0"/>
                <w:sz w:val="22"/>
                <w:szCs w:val="22"/>
                <w:highlight w:val="none"/>
              </w:rPr>
            </w:pPr>
          </w:p>
        </w:tc>
        <w:tc>
          <w:tcPr>
            <w:tcW w:w="301" w:type="pct"/>
            <w:shd w:val="clear" w:color="auto" w:fill="FFFFFF"/>
            <w:vAlign w:val="center"/>
          </w:tcPr>
          <w:p w14:paraId="603AE5E8">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344" w:type="pct"/>
            <w:shd w:val="clear" w:color="auto" w:fill="FFFFFF"/>
            <w:vAlign w:val="center"/>
          </w:tcPr>
          <w:p w14:paraId="054D6A87">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927" w:type="pct"/>
            <w:shd w:val="clear" w:color="000000" w:fill="FFFFFF"/>
            <w:vAlign w:val="center"/>
          </w:tcPr>
          <w:p w14:paraId="1605D40E">
            <w:pPr>
              <w:widowControl/>
              <w:spacing w:line="0" w:lineRule="atLeast"/>
              <w:rPr>
                <w:color w:val="000000"/>
                <w:kern w:val="0"/>
                <w:sz w:val="22"/>
                <w:szCs w:val="22"/>
                <w:highlight w:val="none"/>
              </w:rPr>
            </w:pPr>
            <w:r>
              <w:rPr>
                <w:color w:val="000000"/>
                <w:kern w:val="0"/>
                <w:sz w:val="22"/>
                <w:szCs w:val="22"/>
                <w:highlight w:val="none"/>
              </w:rPr>
              <w:t>完成项目计划工作目标的实际节约成本与计划成本的比率，用以反映和考核项目的成本节约程度。</w:t>
            </w:r>
          </w:p>
        </w:tc>
        <w:tc>
          <w:tcPr>
            <w:tcW w:w="2310" w:type="pct"/>
            <w:shd w:val="clear" w:color="000000" w:fill="FFFFFF"/>
            <w:vAlign w:val="center"/>
          </w:tcPr>
          <w:p w14:paraId="4BB9FC24">
            <w:pPr>
              <w:widowControl/>
              <w:spacing w:line="0" w:lineRule="atLeast"/>
              <w:rPr>
                <w:color w:val="000000"/>
                <w:kern w:val="0"/>
                <w:sz w:val="22"/>
                <w:szCs w:val="22"/>
                <w:highlight w:val="none"/>
              </w:rPr>
            </w:pPr>
            <w:r>
              <w:rPr>
                <w:color w:val="000000"/>
                <w:kern w:val="0"/>
                <w:sz w:val="22"/>
                <w:szCs w:val="22"/>
                <w:highlight w:val="none"/>
              </w:rPr>
              <w:br w:type="textWrapping"/>
            </w:r>
            <w:r>
              <w:rPr>
                <w:color w:val="000000"/>
                <w:kern w:val="0"/>
                <w:sz w:val="22"/>
                <w:szCs w:val="22"/>
                <w:highlight w:val="none"/>
              </w:rPr>
              <w:t>成本节约率=[（计划成本-实际成本）/计划成本]×100%。</w:t>
            </w:r>
            <w:r>
              <w:rPr>
                <w:color w:val="000000"/>
                <w:kern w:val="0"/>
                <w:sz w:val="22"/>
                <w:szCs w:val="22"/>
                <w:highlight w:val="none"/>
              </w:rPr>
              <w:br w:type="textWrapping"/>
            </w:r>
            <w:r>
              <w:rPr>
                <w:color w:val="000000"/>
                <w:kern w:val="0"/>
                <w:sz w:val="22"/>
                <w:szCs w:val="22"/>
                <w:highlight w:val="none"/>
              </w:rPr>
              <w:t>实际成本：项目实施单位如期、保质、保量完成既定工作目标实际所耗费的支出。</w:t>
            </w:r>
            <w:r>
              <w:rPr>
                <w:color w:val="000000"/>
                <w:kern w:val="0"/>
                <w:sz w:val="22"/>
                <w:szCs w:val="22"/>
                <w:highlight w:val="none"/>
              </w:rPr>
              <w:br w:type="textWrapping"/>
            </w:r>
            <w:r>
              <w:rPr>
                <w:color w:val="000000"/>
                <w:kern w:val="0"/>
                <w:sz w:val="22"/>
                <w:szCs w:val="22"/>
                <w:highlight w:val="none"/>
              </w:rPr>
              <w:t>计划成本：项目实施单位为完成工作目标计划安排的支出，一般以项目预算为参考。</w:t>
            </w:r>
          </w:p>
        </w:tc>
        <w:tc>
          <w:tcPr>
            <w:tcW w:w="413" w:type="pct"/>
            <w:shd w:val="clear" w:color="000000" w:fill="FFFFFF"/>
            <w:vAlign w:val="center"/>
          </w:tcPr>
          <w:p w14:paraId="5E010EC9">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375" w:type="pct"/>
            <w:shd w:val="clear" w:color="000000" w:fill="FFFFFF"/>
            <w:vAlign w:val="center"/>
          </w:tcPr>
          <w:p w14:paraId="734396BB">
            <w:pPr>
              <w:widowControl/>
              <w:spacing w:line="0" w:lineRule="atLeast"/>
              <w:jc w:val="center"/>
              <w:rPr>
                <w:b/>
                <w:bCs/>
                <w:color w:val="000000"/>
                <w:kern w:val="0"/>
                <w:sz w:val="22"/>
                <w:szCs w:val="22"/>
                <w:highlight w:val="none"/>
              </w:rPr>
            </w:pPr>
            <w:r>
              <w:rPr>
                <w:b/>
                <w:bCs/>
                <w:color w:val="000000"/>
                <w:kern w:val="0"/>
                <w:sz w:val="22"/>
                <w:szCs w:val="22"/>
                <w:highlight w:val="none"/>
              </w:rPr>
              <w:t>10</w:t>
            </w:r>
          </w:p>
        </w:tc>
      </w:tr>
      <w:tr w14:paraId="45D99E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26" w:type="pct"/>
            <w:vMerge w:val="restart"/>
            <w:shd w:val="clear" w:color="auto" w:fill="FFFFFF"/>
            <w:vAlign w:val="center"/>
          </w:tcPr>
          <w:p w14:paraId="5B3E2057">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301" w:type="pct"/>
            <w:vMerge w:val="restart"/>
            <w:shd w:val="clear" w:color="auto" w:fill="FFFFFF"/>
            <w:vAlign w:val="center"/>
          </w:tcPr>
          <w:p w14:paraId="71A99101">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344" w:type="pct"/>
            <w:shd w:val="clear" w:color="auto" w:fill="FFFFFF"/>
            <w:vAlign w:val="center"/>
          </w:tcPr>
          <w:p w14:paraId="43997482">
            <w:pPr>
              <w:widowControl/>
              <w:spacing w:line="0" w:lineRule="atLeast"/>
              <w:jc w:val="center"/>
              <w:rPr>
                <w:color w:val="000000"/>
                <w:kern w:val="0"/>
                <w:sz w:val="22"/>
                <w:szCs w:val="22"/>
                <w:highlight w:val="none"/>
              </w:rPr>
            </w:pPr>
            <w:r>
              <w:rPr>
                <w:color w:val="000000"/>
                <w:kern w:val="0"/>
                <w:sz w:val="22"/>
                <w:szCs w:val="22"/>
                <w:highlight w:val="none"/>
              </w:rPr>
              <w:t>实施效益</w:t>
            </w:r>
          </w:p>
        </w:tc>
        <w:tc>
          <w:tcPr>
            <w:tcW w:w="927" w:type="pct"/>
            <w:shd w:val="clear" w:color="auto" w:fill="FFFFFF"/>
            <w:vAlign w:val="center"/>
          </w:tcPr>
          <w:p w14:paraId="5745F909">
            <w:pPr>
              <w:widowControl/>
              <w:spacing w:line="0" w:lineRule="atLeast"/>
              <w:jc w:val="left"/>
              <w:rPr>
                <w:color w:val="000000"/>
                <w:kern w:val="0"/>
                <w:sz w:val="22"/>
                <w:szCs w:val="22"/>
                <w:highlight w:val="none"/>
              </w:rPr>
            </w:pPr>
            <w:r>
              <w:rPr>
                <w:color w:val="000000"/>
                <w:kern w:val="0"/>
                <w:sz w:val="22"/>
                <w:szCs w:val="22"/>
                <w:highlight w:val="none"/>
              </w:rPr>
              <w:t>项目实施所产生的效益。</w:t>
            </w:r>
          </w:p>
        </w:tc>
        <w:tc>
          <w:tcPr>
            <w:tcW w:w="2310" w:type="pct"/>
            <w:shd w:val="clear" w:color="auto" w:fill="FFFFFF"/>
            <w:vAlign w:val="center"/>
          </w:tcPr>
          <w:p w14:paraId="7FFE40F6">
            <w:pPr>
              <w:widowControl/>
              <w:spacing w:line="0" w:lineRule="atLeast"/>
              <w:rPr>
                <w:color w:val="000000"/>
                <w:kern w:val="0"/>
                <w:sz w:val="22"/>
                <w:szCs w:val="22"/>
                <w:highlight w:val="none"/>
              </w:rPr>
            </w:pPr>
            <w:r>
              <w:rPr>
                <w:color w:val="000000"/>
                <w:kern w:val="0"/>
                <w:sz w:val="22"/>
                <w:szCs w:val="22"/>
                <w:highlight w:val="none"/>
              </w:rPr>
              <w:t>项目实施所产生的社会效益、经济效益、生态效益、可持续影响等。可根据项目实际情况有选择地设置和细化。</w:t>
            </w:r>
          </w:p>
        </w:tc>
        <w:tc>
          <w:tcPr>
            <w:tcW w:w="413" w:type="pct"/>
            <w:shd w:val="clear" w:color="auto" w:fill="FFFFFF"/>
            <w:vAlign w:val="center"/>
          </w:tcPr>
          <w:p w14:paraId="4F19E368">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375" w:type="pct"/>
            <w:shd w:val="clear" w:color="auto" w:fill="FFFFFF"/>
            <w:vAlign w:val="center"/>
          </w:tcPr>
          <w:p w14:paraId="768FED1F">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0</w:t>
            </w:r>
          </w:p>
        </w:tc>
      </w:tr>
      <w:tr w14:paraId="1D648B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26" w:type="pct"/>
            <w:vMerge w:val="continue"/>
            <w:shd w:val="clear" w:color="auto" w:fill="FFFFFF"/>
            <w:vAlign w:val="center"/>
          </w:tcPr>
          <w:p w14:paraId="009FF638">
            <w:pPr>
              <w:widowControl/>
              <w:spacing w:line="0" w:lineRule="atLeast"/>
              <w:jc w:val="center"/>
              <w:rPr>
                <w:color w:val="000000"/>
                <w:kern w:val="0"/>
                <w:sz w:val="22"/>
                <w:szCs w:val="22"/>
                <w:highlight w:val="none"/>
              </w:rPr>
            </w:pPr>
          </w:p>
        </w:tc>
        <w:tc>
          <w:tcPr>
            <w:tcW w:w="301" w:type="pct"/>
            <w:vMerge w:val="continue"/>
            <w:shd w:val="clear" w:color="auto" w:fill="FFFFFF"/>
            <w:vAlign w:val="center"/>
          </w:tcPr>
          <w:p w14:paraId="3676D3A7">
            <w:pPr>
              <w:widowControl/>
              <w:spacing w:line="0" w:lineRule="atLeast"/>
              <w:jc w:val="center"/>
              <w:rPr>
                <w:color w:val="000000"/>
                <w:kern w:val="0"/>
                <w:sz w:val="22"/>
                <w:szCs w:val="22"/>
                <w:highlight w:val="none"/>
              </w:rPr>
            </w:pPr>
          </w:p>
        </w:tc>
        <w:tc>
          <w:tcPr>
            <w:tcW w:w="344" w:type="pct"/>
            <w:shd w:val="clear" w:color="auto" w:fill="FFFFFF"/>
            <w:vAlign w:val="center"/>
          </w:tcPr>
          <w:p w14:paraId="16AE9163">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927" w:type="pct"/>
            <w:shd w:val="clear" w:color="000000" w:fill="FFFFFF"/>
            <w:vAlign w:val="center"/>
          </w:tcPr>
          <w:p w14:paraId="3BF434B7">
            <w:pPr>
              <w:widowControl/>
              <w:spacing w:line="0" w:lineRule="atLeast"/>
              <w:rPr>
                <w:color w:val="000000"/>
                <w:kern w:val="0"/>
                <w:sz w:val="22"/>
                <w:szCs w:val="22"/>
                <w:highlight w:val="none"/>
              </w:rPr>
            </w:pPr>
            <w:r>
              <w:rPr>
                <w:color w:val="000000"/>
                <w:kern w:val="0"/>
                <w:sz w:val="22"/>
                <w:szCs w:val="22"/>
                <w:highlight w:val="none"/>
              </w:rPr>
              <w:t>社会公众或服务对象对项目实施效果的满意程度。</w:t>
            </w:r>
          </w:p>
        </w:tc>
        <w:tc>
          <w:tcPr>
            <w:tcW w:w="2310" w:type="pct"/>
            <w:shd w:val="clear" w:color="000000" w:fill="FFFFFF"/>
            <w:vAlign w:val="center"/>
          </w:tcPr>
          <w:p w14:paraId="6E9039F4">
            <w:pPr>
              <w:widowControl/>
              <w:spacing w:line="0" w:lineRule="atLeast"/>
              <w:rPr>
                <w:color w:val="000000"/>
                <w:kern w:val="0"/>
                <w:sz w:val="22"/>
                <w:szCs w:val="22"/>
                <w:highlight w:val="none"/>
              </w:rPr>
            </w:pPr>
            <w:r>
              <w:rPr>
                <w:color w:val="000000"/>
                <w:kern w:val="0"/>
                <w:sz w:val="22"/>
                <w:szCs w:val="22"/>
                <w:highlight w:val="none"/>
              </w:rPr>
              <w:t>社会公众或服务对象是指因该项目实施而受到影响的部门（单位）、群体或个人。一般采取社会调查的方式。</w:t>
            </w:r>
          </w:p>
        </w:tc>
        <w:tc>
          <w:tcPr>
            <w:tcW w:w="413" w:type="pct"/>
            <w:shd w:val="clear" w:color="000000" w:fill="FFFFFF"/>
            <w:vAlign w:val="center"/>
          </w:tcPr>
          <w:p w14:paraId="443F0C97">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375" w:type="pct"/>
            <w:shd w:val="clear" w:color="000000" w:fill="FFFFFF"/>
            <w:vAlign w:val="center"/>
          </w:tcPr>
          <w:p w14:paraId="017739C1">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0</w:t>
            </w:r>
          </w:p>
        </w:tc>
      </w:tr>
      <w:tr w14:paraId="22F3B2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04" w:hRule="atLeast"/>
          <w:jc w:val="center"/>
        </w:trPr>
        <w:tc>
          <w:tcPr>
            <w:tcW w:w="4210" w:type="pct"/>
            <w:gridSpan w:val="5"/>
            <w:shd w:val="clear" w:color="auto" w:fill="FFFFFF"/>
            <w:vAlign w:val="center"/>
          </w:tcPr>
          <w:p w14:paraId="209DDCE0">
            <w:pPr>
              <w:widowControl/>
              <w:spacing w:line="0" w:lineRule="atLeast"/>
              <w:jc w:val="center"/>
              <w:rPr>
                <w:rFonts w:hint="eastAsia" w:eastAsia="宋体"/>
                <w:color w:val="000000"/>
                <w:kern w:val="0"/>
                <w:sz w:val="22"/>
                <w:szCs w:val="22"/>
                <w:highlight w:val="none"/>
                <w:lang w:val="en-US" w:eastAsia="zh-CN"/>
              </w:rPr>
            </w:pPr>
            <w:r>
              <w:rPr>
                <w:rFonts w:hint="eastAsia"/>
                <w:b/>
                <w:bCs/>
                <w:color w:val="000000"/>
                <w:kern w:val="0"/>
                <w:sz w:val="22"/>
                <w:szCs w:val="22"/>
                <w:highlight w:val="none"/>
                <w:lang w:val="en-US" w:eastAsia="zh-CN"/>
              </w:rPr>
              <w:t>合计</w:t>
            </w:r>
          </w:p>
        </w:tc>
        <w:tc>
          <w:tcPr>
            <w:tcW w:w="413" w:type="pct"/>
            <w:shd w:val="clear" w:color="000000" w:fill="FFFFFF"/>
            <w:vAlign w:val="center"/>
          </w:tcPr>
          <w:p w14:paraId="692233AE">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100</w:t>
            </w:r>
          </w:p>
        </w:tc>
        <w:tc>
          <w:tcPr>
            <w:tcW w:w="375" w:type="pct"/>
            <w:shd w:val="clear" w:color="000000" w:fill="FFFFFF"/>
            <w:vAlign w:val="center"/>
          </w:tcPr>
          <w:p w14:paraId="791B5B8D">
            <w:pPr>
              <w:widowControl/>
              <w:spacing w:line="0" w:lineRule="atLeast"/>
              <w:jc w:val="center"/>
              <w:rPr>
                <w:rFonts w:hint="default"/>
                <w:b/>
                <w:bCs/>
                <w:color w:val="000000"/>
                <w:kern w:val="0"/>
                <w:sz w:val="22"/>
                <w:szCs w:val="22"/>
                <w:highlight w:val="none"/>
                <w:lang w:val="en-US" w:eastAsia="zh-CN"/>
              </w:rPr>
            </w:pPr>
            <w:r>
              <w:rPr>
                <w:rFonts w:hint="eastAsia"/>
                <w:b/>
                <w:bCs/>
                <w:color w:val="000000"/>
                <w:kern w:val="0"/>
                <w:sz w:val="22"/>
                <w:szCs w:val="22"/>
                <w:highlight w:val="none"/>
                <w:lang w:val="en-US" w:eastAsia="zh-CN"/>
              </w:rPr>
              <w:t>80</w:t>
            </w:r>
          </w:p>
        </w:tc>
      </w:tr>
    </w:tbl>
    <w:p w14:paraId="16DFED48">
      <w:pPr>
        <w:pStyle w:val="10"/>
        <w:rPr>
          <w:rFonts w:ascii="Times New Roman" w:hAnsi="Times New Roman"/>
          <w:highlight w:val="none"/>
        </w:rPr>
      </w:pPr>
    </w:p>
    <w:p w14:paraId="1E7B3903">
      <w:pPr>
        <w:spacing w:line="540" w:lineRule="exact"/>
        <w:ind w:firstLine="640"/>
        <w:rPr>
          <w:rStyle w:val="15"/>
          <w:rFonts w:eastAsia="黑体"/>
          <w:bCs w:val="0"/>
          <w:spacing w:val="-4"/>
          <w:sz w:val="32"/>
          <w:szCs w:val="32"/>
          <w:highlight w:val="none"/>
        </w:rPr>
      </w:pPr>
    </w:p>
    <w:p w14:paraId="56297E4E">
      <w:pPr>
        <w:spacing w:line="540" w:lineRule="exact"/>
        <w:ind w:firstLine="640"/>
        <w:rPr>
          <w:rStyle w:val="15"/>
          <w:rFonts w:eastAsia="黑体"/>
          <w:bCs w:val="0"/>
          <w:spacing w:val="-4"/>
          <w:sz w:val="32"/>
          <w:szCs w:val="32"/>
          <w:highlight w:val="none"/>
        </w:rPr>
      </w:pPr>
    </w:p>
    <w:p w14:paraId="1AA52824">
      <w:pPr>
        <w:spacing w:line="540" w:lineRule="exact"/>
        <w:rPr>
          <w:rStyle w:val="15"/>
          <w:rFonts w:eastAsia="仿宋"/>
          <w:b w:val="0"/>
          <w:spacing w:val="-4"/>
          <w:sz w:val="32"/>
          <w:szCs w:val="32"/>
          <w:highlight w:val="none"/>
        </w:rPr>
      </w:pPr>
    </w:p>
    <w:p w14:paraId="08E09DA7">
      <w:pPr>
        <w:rPr>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4839A38-5228-435A-8CEB-C4D58B3F960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4FCA3F69-F2C9-4AE1-8CD9-8D4C9C593F26}"/>
  </w:font>
  <w:font w:name="华文中宋">
    <w:panose1 w:val="02010600040101010101"/>
    <w:charset w:val="86"/>
    <w:family w:val="auto"/>
    <w:pitch w:val="default"/>
    <w:sig w:usb0="00000287" w:usb1="080F0000" w:usb2="00000000" w:usb3="00000000" w:csb0="0004009F" w:csb1="DFD70000"/>
    <w:embedRegular r:id="rId3" w:fontKey="{7AE55D9C-E528-4913-97BB-60F2C64C035B}"/>
  </w:font>
  <w:font w:name="方正小标宋_GBK">
    <w:panose1 w:val="02000000000000000000"/>
    <w:charset w:val="86"/>
    <w:family w:val="script"/>
    <w:pitch w:val="default"/>
    <w:sig w:usb0="A00002BF" w:usb1="38CF7CFA" w:usb2="00082016" w:usb3="00000000" w:csb0="00040001" w:csb1="00000000"/>
    <w:embedRegular r:id="rId4" w:fontKey="{D70BFA5B-B67B-46BD-B0DF-D3328E8EA86A}"/>
  </w:font>
  <w:font w:name="楷体_GB2312">
    <w:panose1 w:val="02010609030101010101"/>
    <w:charset w:val="86"/>
    <w:family w:val="auto"/>
    <w:pitch w:val="default"/>
    <w:sig w:usb0="00000001" w:usb1="080E0000" w:usb2="00000000" w:usb3="00000000" w:csb0="00040000" w:csb1="00000000"/>
    <w:embedRegular r:id="rId5" w:fontKey="{71A34403-9B2D-4C63-B970-F6BEEA0EE83B}"/>
  </w:font>
  <w:font w:name="楷体">
    <w:panose1 w:val="02010609060101010101"/>
    <w:charset w:val="86"/>
    <w:family w:val="modern"/>
    <w:pitch w:val="default"/>
    <w:sig w:usb0="800002BF" w:usb1="38CF7CFA" w:usb2="00000016" w:usb3="00000000" w:csb0="00040001" w:csb1="00000000"/>
    <w:embedRegular r:id="rId6" w:fontKey="{89C3013E-D7DA-4044-BB5D-A22361D813A6}"/>
  </w:font>
  <w:font w:name="方正仿宋_GBK">
    <w:panose1 w:val="02000000000000000000"/>
    <w:charset w:val="86"/>
    <w:family w:val="auto"/>
    <w:pitch w:val="default"/>
    <w:sig w:usb0="A00002BF" w:usb1="38CF7CFA" w:usb2="00082016" w:usb3="00000000" w:csb0="00040001" w:csb1="00000000"/>
    <w:embedRegular r:id="rId7" w:fontKey="{49DC68D0-CA07-4B24-BEBD-F0E22022D86D}"/>
  </w:font>
  <w:font w:name="仿宋">
    <w:panose1 w:val="02010609060101010101"/>
    <w:charset w:val="86"/>
    <w:family w:val="modern"/>
    <w:pitch w:val="default"/>
    <w:sig w:usb0="800002BF" w:usb1="38CF7CFA" w:usb2="00000016" w:usb3="00000000" w:csb0="00040001" w:csb1="00000000"/>
    <w:embedRegular r:id="rId8" w:fontKey="{B68BFCFE-E3E8-400F-B8E7-2570FEDEE50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A71E72C">
        <w:pPr>
          <w:pStyle w:val="8"/>
          <w:jc w:val="center"/>
        </w:pPr>
        <w:r>
          <w:fldChar w:fldCharType="begin"/>
        </w:r>
        <w:r>
          <w:instrText xml:space="preserve">PAGE   \* MERGEFORMAT</w:instrText>
        </w:r>
        <w:r>
          <w:fldChar w:fldCharType="separate"/>
        </w:r>
        <w:r>
          <w:rPr>
            <w:lang w:val="zh-CN"/>
          </w:rPr>
          <w:t>1</w:t>
        </w:r>
        <w:r>
          <w:fldChar w:fldCharType="end"/>
        </w:r>
      </w:p>
    </w:sdtContent>
  </w:sdt>
  <w:p w14:paraId="3D4518B6">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E83853AE"/>
    <w:multiLevelType w:val="singleLevel"/>
    <w:tmpl w:val="E83853AE"/>
    <w:lvl w:ilvl="0" w:tentative="0">
      <w:start w:val="2"/>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38F0C646"/>
    <w:multiLevelType w:val="singleLevel"/>
    <w:tmpl w:val="38F0C646"/>
    <w:lvl w:ilvl="0" w:tentative="0">
      <w:start w:val="1"/>
      <w:numFmt w:val="decimal"/>
      <w:suff w:val="nothing"/>
      <w:lvlText w:val="%1、"/>
      <w:lvlJc w:val="left"/>
    </w:lvl>
  </w:abstractNum>
  <w:abstractNum w:abstractNumId="6">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0"/>
  </w:num>
  <w:num w:numId="3">
    <w:abstractNumId w:val="4"/>
  </w:num>
  <w:num w:numId="4">
    <w:abstractNumId w:val="5"/>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FF6C4049"/>
    <w:rsid w:val="00095176"/>
    <w:rsid w:val="004712B7"/>
    <w:rsid w:val="00714727"/>
    <w:rsid w:val="00991ADF"/>
    <w:rsid w:val="00C36B5B"/>
    <w:rsid w:val="00FC7F82"/>
    <w:rsid w:val="00FD3DF8"/>
    <w:rsid w:val="01E67BC8"/>
    <w:rsid w:val="042B09C3"/>
    <w:rsid w:val="05A54A82"/>
    <w:rsid w:val="12156159"/>
    <w:rsid w:val="13B90F01"/>
    <w:rsid w:val="16BE10AF"/>
    <w:rsid w:val="1A0758B3"/>
    <w:rsid w:val="1AC942DE"/>
    <w:rsid w:val="1C671E73"/>
    <w:rsid w:val="221A1EFC"/>
    <w:rsid w:val="234B4839"/>
    <w:rsid w:val="255F1C17"/>
    <w:rsid w:val="29F37C02"/>
    <w:rsid w:val="2F57653D"/>
    <w:rsid w:val="395F2B56"/>
    <w:rsid w:val="3BECE841"/>
    <w:rsid w:val="3C5E4563"/>
    <w:rsid w:val="3FF7797D"/>
    <w:rsid w:val="40224064"/>
    <w:rsid w:val="41B82FBE"/>
    <w:rsid w:val="471D76D6"/>
    <w:rsid w:val="54CE554E"/>
    <w:rsid w:val="556233C2"/>
    <w:rsid w:val="59B61F2F"/>
    <w:rsid w:val="5BFF6039"/>
    <w:rsid w:val="5D76A616"/>
    <w:rsid w:val="5D7F20B9"/>
    <w:rsid w:val="5DAC7D0E"/>
    <w:rsid w:val="5FFE8511"/>
    <w:rsid w:val="5FFEACE2"/>
    <w:rsid w:val="643EE26D"/>
    <w:rsid w:val="68B27CEA"/>
    <w:rsid w:val="691A7C1B"/>
    <w:rsid w:val="6AB40E67"/>
    <w:rsid w:val="6FAF6C78"/>
    <w:rsid w:val="7317C656"/>
    <w:rsid w:val="77FD8BE9"/>
    <w:rsid w:val="79A9BD3F"/>
    <w:rsid w:val="7BFFFDD0"/>
    <w:rsid w:val="7D7A5F86"/>
    <w:rsid w:val="7F37BB4E"/>
    <w:rsid w:val="7F612285"/>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9"/>
    <w:pPr>
      <w:keepNext/>
      <w:keepLines/>
      <w:spacing w:before="260" w:after="260" w:line="416" w:lineRule="auto"/>
      <w:outlineLvl w:val="1"/>
    </w:pPr>
    <w:rPr>
      <w:rFonts w:ascii="Cambria" w:hAnsi="Cambria"/>
      <w:b/>
      <w:bCs/>
      <w:sz w:val="32"/>
      <w:szCs w:val="32"/>
    </w:rPr>
  </w:style>
  <w:style w:type="paragraph" w:styleId="4">
    <w:name w:val="heading 3"/>
    <w:basedOn w:val="1"/>
    <w:next w:val="1"/>
    <w:autoRedefine/>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szCs w:val="28"/>
    </w:rPr>
  </w:style>
  <w:style w:type="paragraph" w:styleId="5">
    <w:name w:val="annotation text"/>
    <w:basedOn w:val="1"/>
    <w:link w:val="21"/>
    <w:autoRedefine/>
    <w:qFormat/>
    <w:uiPriority w:val="99"/>
    <w:pPr>
      <w:jc w:val="left"/>
    </w:pPr>
  </w:style>
  <w:style w:type="paragraph" w:styleId="6">
    <w:name w:val="Body Text"/>
    <w:basedOn w:val="1"/>
    <w:autoRedefine/>
    <w:qFormat/>
    <w:uiPriority w:val="0"/>
    <w:pPr>
      <w:spacing w:after="120"/>
    </w:pPr>
  </w:style>
  <w:style w:type="paragraph" w:styleId="7">
    <w:name w:val="Body Text Indent"/>
    <w:basedOn w:val="1"/>
    <w:autoRedefine/>
    <w:qFormat/>
    <w:uiPriority w:val="0"/>
    <w:pPr>
      <w:spacing w:after="120"/>
      <w:ind w:left="420" w:leftChars="200"/>
    </w:pPr>
    <w:rPr>
      <w:rFonts w:ascii="Calibri" w:hAnsi="Calibri"/>
    </w:rPr>
  </w:style>
  <w:style w:type="paragraph" w:styleId="8">
    <w:name w:val="footer"/>
    <w:basedOn w:val="1"/>
    <w:autoRedefine/>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0"/>
    <w:autoRedefine/>
    <w:qFormat/>
    <w:uiPriority w:val="0"/>
    <w:pPr>
      <w:tabs>
        <w:tab w:val="center" w:pos="4153"/>
        <w:tab w:val="right" w:pos="8306"/>
      </w:tabs>
      <w:snapToGrid w:val="0"/>
      <w:jc w:val="center"/>
    </w:pPr>
    <w:rPr>
      <w:sz w:val="18"/>
      <w:szCs w:val="18"/>
    </w:rPr>
  </w:style>
  <w:style w:type="paragraph" w:styleId="10">
    <w:name w:val="Title"/>
    <w:basedOn w:val="1"/>
    <w:next w:val="1"/>
    <w:autoRedefine/>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Body Text First Indent"/>
    <w:basedOn w:val="6"/>
    <w:autoRedefine/>
    <w:qFormat/>
    <w:uiPriority w:val="0"/>
    <w:pPr>
      <w:spacing w:after="0"/>
      <w:ind w:firstLine="200" w:firstLineChars="200"/>
    </w:pPr>
  </w:style>
  <w:style w:type="paragraph" w:styleId="12">
    <w:name w:val="Body Text First Indent 2"/>
    <w:basedOn w:val="7"/>
    <w:autoRedefine/>
    <w:qFormat/>
    <w:uiPriority w:val="0"/>
    <w:pPr>
      <w:ind w:firstLine="420" w:firstLineChars="200"/>
    </w:pPr>
  </w:style>
  <w:style w:type="character" w:styleId="15">
    <w:name w:val="Strong"/>
    <w:basedOn w:val="14"/>
    <w:autoRedefine/>
    <w:qFormat/>
    <w:uiPriority w:val="0"/>
    <w:rPr>
      <w:b/>
      <w:bCs/>
    </w:rPr>
  </w:style>
  <w:style w:type="character" w:styleId="16">
    <w:name w:val="annotation reference"/>
    <w:basedOn w:val="14"/>
    <w:autoRedefine/>
    <w:qFormat/>
    <w:uiPriority w:val="99"/>
    <w:rPr>
      <w:sz w:val="21"/>
      <w:szCs w:val="21"/>
    </w:rPr>
  </w:style>
  <w:style w:type="character" w:customStyle="1" w:styleId="17">
    <w:name w:val="fontstyle01"/>
    <w:autoRedefine/>
    <w:qFormat/>
    <w:uiPriority w:val="0"/>
    <w:rPr>
      <w:rFonts w:ascii="仿宋_GB2312" w:hAnsi="仿宋_GB2312" w:eastAsia="仿宋_GB2312" w:cs="仿宋_GB2312"/>
      <w:color w:val="000000"/>
      <w:sz w:val="32"/>
      <w:szCs w:val="32"/>
    </w:rPr>
  </w:style>
  <w:style w:type="paragraph" w:customStyle="1" w:styleId="18">
    <w:name w:val="闻政-正文段落文字"/>
    <w:basedOn w:val="1"/>
    <w:autoRedefine/>
    <w:qFormat/>
    <w:uiPriority w:val="3"/>
    <w:pPr>
      <w:spacing w:line="500" w:lineRule="exact"/>
      <w:ind w:firstLine="200"/>
    </w:pPr>
    <w:rPr>
      <w:kern w:val="0"/>
      <w:szCs w:val="28"/>
    </w:rPr>
  </w:style>
  <w:style w:type="paragraph" w:customStyle="1" w:styleId="19">
    <w:name w:val="Revision"/>
    <w:autoRedefine/>
    <w:hidden/>
    <w:unhideWhenUsed/>
    <w:qFormat/>
    <w:uiPriority w:val="99"/>
    <w:rPr>
      <w:rFonts w:ascii="Times New Roman" w:hAnsi="Times New Roman" w:eastAsia="宋体" w:cs="Times New Roman"/>
      <w:kern w:val="2"/>
      <w:sz w:val="21"/>
      <w:szCs w:val="24"/>
      <w:lang w:val="en-US" w:eastAsia="zh-CN" w:bidi="ar-SA"/>
    </w:rPr>
  </w:style>
  <w:style w:type="character" w:customStyle="1" w:styleId="20">
    <w:name w:val="页眉 字符"/>
    <w:basedOn w:val="14"/>
    <w:link w:val="9"/>
    <w:autoRedefine/>
    <w:qFormat/>
    <w:uiPriority w:val="0"/>
    <w:rPr>
      <w:rFonts w:ascii="Times New Roman" w:hAnsi="Times New Roman" w:eastAsia="宋体" w:cs="Times New Roman"/>
      <w:kern w:val="2"/>
      <w:sz w:val="18"/>
      <w:szCs w:val="18"/>
    </w:rPr>
  </w:style>
  <w:style w:type="character" w:customStyle="1" w:styleId="21">
    <w:name w:val="批注文字 字符"/>
    <w:basedOn w:val="14"/>
    <w:link w:val="5"/>
    <w:autoRedefine/>
    <w:qFormat/>
    <w:uiPriority w:val="99"/>
    <w:rPr>
      <w:rFonts w:ascii="Times New Roman" w:hAnsi="Times New Roman" w:eastAsia="宋体" w:cs="Times New Roman"/>
      <w:kern w:val="2"/>
      <w:sz w:val="21"/>
      <w:szCs w:val="24"/>
    </w:rPr>
  </w:style>
  <w:style w:type="paragraph" w:styleId="22">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26</Pages>
  <Words>11385</Words>
  <Characters>11977</Characters>
  <Lines>63</Lines>
  <Paragraphs>17</Paragraphs>
  <TotalTime>2</TotalTime>
  <ScaleCrop>false</ScaleCrop>
  <LinksUpToDate>false</LinksUpToDate>
  <CharactersWithSpaces>12023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2023-03-08T05:13:00Z</dcterms:created>
  <dc:creator>审核人</dc:creator>
  <cp:lastModifiedBy>薛俊璇</cp:lastModifiedBy>
  <dcterms:modified xsi:type="dcterms:W3CDTF">2024-08-14T12:18:51Z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0CA58AF8364FF55815C8066417B177EA</vt:lpwstr>
  </property>
</Properties>
</file>