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66E70">
      <w:pPr>
        <w:spacing w:line="540" w:lineRule="exact"/>
        <w:jc w:val="center"/>
        <w:rPr>
          <w:rFonts w:eastAsia="华文中宋"/>
          <w:b/>
          <w:kern w:val="0"/>
          <w:sz w:val="52"/>
          <w:szCs w:val="52"/>
          <w:highlight w:val="none"/>
        </w:rPr>
      </w:pPr>
    </w:p>
    <w:p w14:paraId="5676D7E6">
      <w:pPr>
        <w:spacing w:line="540" w:lineRule="exact"/>
        <w:rPr>
          <w:rFonts w:eastAsia="华文中宋"/>
          <w:b/>
          <w:kern w:val="0"/>
          <w:sz w:val="52"/>
          <w:szCs w:val="52"/>
          <w:highlight w:val="none"/>
        </w:rPr>
      </w:pPr>
    </w:p>
    <w:p w14:paraId="47C9099B">
      <w:pPr>
        <w:spacing w:line="540" w:lineRule="exact"/>
        <w:jc w:val="center"/>
        <w:rPr>
          <w:rFonts w:eastAsia="华文中宋"/>
          <w:b/>
          <w:kern w:val="0"/>
          <w:sz w:val="52"/>
          <w:szCs w:val="52"/>
          <w:highlight w:val="none"/>
        </w:rPr>
      </w:pPr>
    </w:p>
    <w:p w14:paraId="2E4705C6">
      <w:pPr>
        <w:spacing w:line="540" w:lineRule="exact"/>
        <w:jc w:val="center"/>
        <w:rPr>
          <w:rFonts w:eastAsia="华文中宋"/>
          <w:b/>
          <w:kern w:val="0"/>
          <w:sz w:val="52"/>
          <w:szCs w:val="52"/>
          <w:highlight w:val="none"/>
        </w:rPr>
      </w:pPr>
    </w:p>
    <w:p w14:paraId="4886D699">
      <w:pPr>
        <w:spacing w:line="540" w:lineRule="exact"/>
        <w:jc w:val="center"/>
        <w:rPr>
          <w:rFonts w:eastAsia="方正小标宋_GBK"/>
          <w:kern w:val="0"/>
          <w:sz w:val="48"/>
          <w:szCs w:val="48"/>
          <w:highlight w:val="none"/>
        </w:rPr>
      </w:pPr>
      <w:r>
        <w:rPr>
          <w:rFonts w:hint="eastAsia" w:ascii="Times New Roman" w:hAnsi="Times New Roman" w:eastAsia="方正小标宋_GBK" w:cs="Times New Roman"/>
          <w:kern w:val="0"/>
          <w:sz w:val="48"/>
          <w:szCs w:val="48"/>
          <w:highlight w:val="none"/>
        </w:rPr>
        <w:t>自治区</w:t>
      </w:r>
      <w:r>
        <w:rPr>
          <w:rFonts w:hint="eastAsia" w:ascii="Times New Roman" w:hAnsi="Times New Roman" w:eastAsia="方正小标宋_GBK" w:cs="Times New Roman"/>
          <w:b w:val="0"/>
          <w:bCs w:val="0"/>
          <w:kern w:val="0"/>
          <w:sz w:val="48"/>
          <w:szCs w:val="48"/>
          <w:highlight w:val="none"/>
        </w:rPr>
        <w:t>卫生健康委所属单位2023年地方政府债券资金（第二批）</w:t>
      </w:r>
      <w:r>
        <w:rPr>
          <w:rFonts w:eastAsia="方正小标宋_GBK"/>
          <w:b w:val="0"/>
          <w:bCs w:val="0"/>
          <w:color w:val="auto"/>
          <w:kern w:val="0"/>
          <w:sz w:val="48"/>
          <w:szCs w:val="48"/>
          <w:highlight w:val="none"/>
          <w:u w:val="none"/>
        </w:rPr>
        <w:t>项目</w:t>
      </w:r>
      <w:r>
        <w:rPr>
          <w:rFonts w:eastAsia="方正小标宋_GBK"/>
          <w:kern w:val="0"/>
          <w:sz w:val="48"/>
          <w:szCs w:val="48"/>
          <w:highlight w:val="none"/>
        </w:rPr>
        <w:t>支出</w:t>
      </w:r>
    </w:p>
    <w:p w14:paraId="17FDFEAE">
      <w:pPr>
        <w:spacing w:line="540" w:lineRule="exact"/>
        <w:jc w:val="center"/>
        <w:rPr>
          <w:rFonts w:eastAsia="方正小标宋_GBK"/>
          <w:kern w:val="0"/>
          <w:sz w:val="48"/>
          <w:szCs w:val="48"/>
          <w:highlight w:val="none"/>
        </w:rPr>
      </w:pPr>
      <w:r>
        <w:rPr>
          <w:rFonts w:eastAsia="方正小标宋_GBK"/>
          <w:kern w:val="0"/>
          <w:sz w:val="48"/>
          <w:szCs w:val="48"/>
          <w:highlight w:val="none"/>
        </w:rPr>
        <w:t>绩效评价报告</w:t>
      </w:r>
    </w:p>
    <w:p w14:paraId="6342517E">
      <w:pPr>
        <w:spacing w:line="540" w:lineRule="exact"/>
        <w:jc w:val="center"/>
        <w:rPr>
          <w:rFonts w:eastAsia="华文中宋"/>
          <w:b/>
          <w:kern w:val="0"/>
          <w:sz w:val="52"/>
          <w:szCs w:val="52"/>
          <w:highlight w:val="none"/>
        </w:rPr>
      </w:pPr>
    </w:p>
    <w:p w14:paraId="5457561C">
      <w:pPr>
        <w:spacing w:line="540" w:lineRule="exact"/>
        <w:jc w:val="center"/>
        <w:rPr>
          <w:rFonts w:eastAsia="仿宋_GB2312"/>
          <w:kern w:val="0"/>
          <w:sz w:val="36"/>
          <w:szCs w:val="36"/>
          <w:highlight w:val="none"/>
        </w:rPr>
      </w:pPr>
      <w:r>
        <w:rPr>
          <w:rFonts w:eastAsia="仿宋_GB2312"/>
          <w:kern w:val="0"/>
          <w:sz w:val="36"/>
          <w:szCs w:val="36"/>
          <w:highlight w:val="none"/>
        </w:rPr>
        <w:t>（ 2023年度）</w:t>
      </w:r>
    </w:p>
    <w:p w14:paraId="1C1101C8">
      <w:pPr>
        <w:spacing w:line="540" w:lineRule="exact"/>
        <w:jc w:val="center"/>
        <w:rPr>
          <w:rFonts w:eastAsia="仿宋_GB2312"/>
          <w:kern w:val="0"/>
          <w:sz w:val="30"/>
          <w:szCs w:val="30"/>
          <w:highlight w:val="none"/>
        </w:rPr>
      </w:pPr>
    </w:p>
    <w:p w14:paraId="10A2D69B">
      <w:pPr>
        <w:spacing w:line="540" w:lineRule="exact"/>
        <w:jc w:val="center"/>
        <w:rPr>
          <w:rFonts w:eastAsia="仿宋_GB2312"/>
          <w:kern w:val="0"/>
          <w:sz w:val="30"/>
          <w:szCs w:val="30"/>
          <w:highlight w:val="none"/>
        </w:rPr>
      </w:pPr>
    </w:p>
    <w:p w14:paraId="5A330DDB">
      <w:pPr>
        <w:spacing w:line="540" w:lineRule="exact"/>
        <w:jc w:val="center"/>
        <w:rPr>
          <w:rFonts w:eastAsia="仿宋_GB2312"/>
          <w:kern w:val="0"/>
          <w:sz w:val="30"/>
          <w:szCs w:val="30"/>
          <w:highlight w:val="none"/>
        </w:rPr>
      </w:pPr>
    </w:p>
    <w:p w14:paraId="64EACD15">
      <w:pPr>
        <w:spacing w:line="540" w:lineRule="exact"/>
        <w:jc w:val="center"/>
        <w:rPr>
          <w:rFonts w:eastAsia="仿宋_GB2312"/>
          <w:kern w:val="0"/>
          <w:sz w:val="30"/>
          <w:szCs w:val="30"/>
          <w:highlight w:val="none"/>
        </w:rPr>
      </w:pPr>
    </w:p>
    <w:p w14:paraId="416102C0">
      <w:pPr>
        <w:spacing w:line="540" w:lineRule="exact"/>
        <w:rPr>
          <w:rFonts w:eastAsia="仿宋_GB2312"/>
          <w:kern w:val="0"/>
          <w:sz w:val="30"/>
          <w:szCs w:val="30"/>
          <w:highlight w:val="none"/>
        </w:rPr>
      </w:pPr>
    </w:p>
    <w:p w14:paraId="022D50B0">
      <w:pPr>
        <w:spacing w:line="700" w:lineRule="exact"/>
        <w:ind w:left="3236" w:leftChars="684" w:hanging="1800" w:hangingChars="500"/>
        <w:jc w:val="left"/>
        <w:rPr>
          <w:rFonts w:eastAsia="仿宋_GB2312"/>
          <w:kern w:val="0"/>
          <w:sz w:val="36"/>
          <w:szCs w:val="36"/>
          <w:highlight w:val="none"/>
        </w:rPr>
      </w:pPr>
      <w:r>
        <w:rPr>
          <w:rFonts w:eastAsia="仿宋_GB2312"/>
          <w:kern w:val="0"/>
          <w:sz w:val="36"/>
          <w:szCs w:val="36"/>
          <w:highlight w:val="none"/>
        </w:rPr>
        <w:t>项目名称：</w:t>
      </w:r>
      <w:r>
        <w:rPr>
          <w:rFonts w:hint="eastAsia" w:eastAsia="仿宋_GB2312"/>
          <w:kern w:val="0"/>
          <w:sz w:val="30"/>
          <w:szCs w:val="30"/>
          <w:highlight w:val="none"/>
        </w:rPr>
        <w:t>自治区卫生健康委所属单位2023年地方政府债券资金（第二批）</w:t>
      </w:r>
    </w:p>
    <w:p w14:paraId="3C567B97">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实施单位（公章）：</w:t>
      </w:r>
      <w:r>
        <w:rPr>
          <w:rFonts w:hint="eastAsia" w:eastAsia="仿宋_GB2312"/>
          <w:kern w:val="0"/>
          <w:sz w:val="32"/>
          <w:szCs w:val="32"/>
          <w:highlight w:val="none"/>
          <w:lang w:eastAsia="zh-CN"/>
        </w:rPr>
        <w:t>新疆医科大学第八附属医院</w:t>
      </w:r>
    </w:p>
    <w:p w14:paraId="7A0161D6">
      <w:pPr>
        <w:spacing w:line="700" w:lineRule="exact"/>
        <w:ind w:firstLine="1440" w:firstLineChars="400"/>
        <w:jc w:val="left"/>
        <w:rPr>
          <w:rFonts w:hint="eastAsia" w:eastAsia="仿宋_GB2312"/>
          <w:kern w:val="0"/>
          <w:sz w:val="36"/>
          <w:szCs w:val="36"/>
          <w:highlight w:val="none"/>
          <w:lang w:eastAsia="zh-CN"/>
        </w:rPr>
      </w:pPr>
      <w:r>
        <w:rPr>
          <w:rFonts w:eastAsia="仿宋_GB2312"/>
          <w:kern w:val="0"/>
          <w:sz w:val="36"/>
          <w:szCs w:val="36"/>
          <w:highlight w:val="none"/>
        </w:rPr>
        <w:t>主管部门（公章）：</w:t>
      </w:r>
      <w:r>
        <w:rPr>
          <w:rFonts w:hint="eastAsia" w:eastAsia="仿宋_GB2312"/>
          <w:kern w:val="0"/>
          <w:sz w:val="36"/>
          <w:szCs w:val="36"/>
          <w:highlight w:val="none"/>
          <w:lang w:eastAsia="zh-CN"/>
        </w:rPr>
        <w:t>自治区卫生健康委员会</w:t>
      </w:r>
    </w:p>
    <w:p w14:paraId="45BB7481">
      <w:pPr>
        <w:spacing w:line="700" w:lineRule="exact"/>
        <w:ind w:firstLine="1440" w:firstLineChars="400"/>
        <w:jc w:val="left"/>
        <w:rPr>
          <w:rFonts w:hint="eastAsia" w:eastAsia="仿宋_GB2312"/>
          <w:kern w:val="0"/>
          <w:sz w:val="36"/>
          <w:szCs w:val="36"/>
          <w:highlight w:val="none"/>
          <w:lang w:eastAsia="zh-CN"/>
        </w:rPr>
      </w:pPr>
      <w:r>
        <w:rPr>
          <w:rFonts w:eastAsia="仿宋_GB2312"/>
          <w:kern w:val="0"/>
          <w:sz w:val="36"/>
          <w:szCs w:val="36"/>
          <w:highlight w:val="none"/>
        </w:rPr>
        <w:t>项目负责人（签章）：</w:t>
      </w:r>
      <w:r>
        <w:rPr>
          <w:rFonts w:hint="eastAsia" w:eastAsia="仿宋_GB2312"/>
          <w:kern w:val="0"/>
          <w:sz w:val="36"/>
          <w:szCs w:val="36"/>
          <w:highlight w:val="none"/>
          <w:lang w:eastAsia="zh-CN"/>
        </w:rPr>
        <w:t>王刚</w:t>
      </w:r>
    </w:p>
    <w:p w14:paraId="04538B1C">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lang w:val="en-US" w:eastAsia="zh-CN"/>
        </w:rPr>
        <w:t>2024</w:t>
      </w:r>
      <w:r>
        <w:rPr>
          <w:rFonts w:eastAsia="仿宋_GB2312"/>
          <w:kern w:val="0"/>
          <w:sz w:val="36"/>
          <w:szCs w:val="36"/>
          <w:highlight w:val="none"/>
        </w:rPr>
        <w:t>年</w:t>
      </w:r>
      <w:r>
        <w:rPr>
          <w:rFonts w:hint="eastAsia" w:eastAsia="仿宋_GB2312"/>
          <w:kern w:val="0"/>
          <w:sz w:val="36"/>
          <w:szCs w:val="36"/>
          <w:highlight w:val="none"/>
          <w:lang w:val="en-US" w:eastAsia="zh-CN"/>
        </w:rPr>
        <w:t>4</w:t>
      </w:r>
      <w:r>
        <w:rPr>
          <w:rFonts w:eastAsia="仿宋_GB2312"/>
          <w:kern w:val="0"/>
          <w:sz w:val="36"/>
          <w:szCs w:val="36"/>
          <w:highlight w:val="none"/>
        </w:rPr>
        <w:t>月</w:t>
      </w:r>
      <w:r>
        <w:rPr>
          <w:rFonts w:hint="eastAsia" w:eastAsia="仿宋_GB2312"/>
          <w:kern w:val="0"/>
          <w:sz w:val="36"/>
          <w:szCs w:val="36"/>
          <w:highlight w:val="none"/>
          <w:lang w:val="en-US" w:eastAsia="zh-CN"/>
        </w:rPr>
        <w:t>7</w:t>
      </w:r>
      <w:r>
        <w:rPr>
          <w:rFonts w:eastAsia="仿宋_GB2312"/>
          <w:kern w:val="0"/>
          <w:sz w:val="36"/>
          <w:szCs w:val="36"/>
          <w:highlight w:val="none"/>
        </w:rPr>
        <w:t>日</w:t>
      </w:r>
    </w:p>
    <w:p w14:paraId="70FEED1F">
      <w:pPr>
        <w:spacing w:line="540" w:lineRule="exact"/>
        <w:jc w:val="center"/>
        <w:rPr>
          <w:rFonts w:eastAsia="仿宋_GB2312"/>
          <w:kern w:val="0"/>
          <w:sz w:val="30"/>
          <w:szCs w:val="30"/>
          <w:highlight w:val="none"/>
        </w:rPr>
      </w:pPr>
    </w:p>
    <w:p w14:paraId="6FAAC008">
      <w:pPr>
        <w:spacing w:line="540" w:lineRule="exact"/>
        <w:rPr>
          <w:rStyle w:val="14"/>
          <w:rFonts w:eastAsia="黑体"/>
          <w:b w:val="0"/>
          <w:spacing w:val="-4"/>
          <w:sz w:val="32"/>
          <w:szCs w:val="32"/>
          <w:highlight w:val="none"/>
        </w:rPr>
      </w:pPr>
    </w:p>
    <w:p w14:paraId="50E50ECB">
      <w:pPr>
        <w:spacing w:line="540" w:lineRule="exact"/>
        <w:ind w:firstLine="640"/>
        <w:rPr>
          <w:rStyle w:val="14"/>
          <w:rFonts w:eastAsia="黑体"/>
          <w:b w:val="0"/>
          <w:spacing w:val="-4"/>
          <w:sz w:val="32"/>
          <w:szCs w:val="32"/>
          <w:highlight w:val="none"/>
        </w:rPr>
      </w:pPr>
    </w:p>
    <w:p w14:paraId="27031309">
      <w:pPr>
        <w:spacing w:line="540" w:lineRule="exact"/>
        <w:rPr>
          <w:rStyle w:val="14"/>
          <w:rFonts w:eastAsia="黑体"/>
          <w:b w:val="0"/>
          <w:spacing w:val="-4"/>
          <w:sz w:val="32"/>
          <w:szCs w:val="32"/>
          <w:highlight w:val="none"/>
        </w:rPr>
      </w:pPr>
    </w:p>
    <w:p w14:paraId="594E6977">
      <w:pPr>
        <w:spacing w:line="560" w:lineRule="exact"/>
        <w:ind w:firstLine="640" w:firstLineChars="200"/>
        <w:rPr>
          <w:rFonts w:eastAsia="黑体"/>
          <w:bCs/>
          <w:sz w:val="32"/>
          <w:szCs w:val="32"/>
          <w:highlight w:val="none"/>
        </w:rPr>
      </w:pPr>
      <w:r>
        <w:rPr>
          <w:rFonts w:eastAsia="黑体"/>
          <w:bCs/>
          <w:sz w:val="32"/>
          <w:szCs w:val="32"/>
          <w:highlight w:val="none"/>
        </w:rPr>
        <w:t>一、基本情况</w:t>
      </w:r>
    </w:p>
    <w:p w14:paraId="6D49C05F">
      <w:pPr>
        <w:spacing w:line="560" w:lineRule="exact"/>
        <w:ind w:firstLine="643" w:firstLineChars="200"/>
        <w:rPr>
          <w:rFonts w:eastAsia="楷体_GB2312"/>
          <w:b/>
          <w:bCs/>
          <w:sz w:val="32"/>
          <w:szCs w:val="32"/>
          <w:highlight w:val="none"/>
        </w:rPr>
      </w:pPr>
      <w:r>
        <w:rPr>
          <w:rFonts w:eastAsia="楷体_GB2312"/>
          <w:b/>
          <w:bCs/>
          <w:sz w:val="32"/>
          <w:szCs w:val="32"/>
          <w:highlight w:val="none"/>
        </w:rPr>
        <w:t>（一）项目概况</w:t>
      </w:r>
    </w:p>
    <w:p w14:paraId="1C725A12">
      <w:pPr>
        <w:spacing w:line="560" w:lineRule="exact"/>
        <w:ind w:firstLine="643" w:firstLineChars="200"/>
        <w:rPr>
          <w:rFonts w:eastAsia="仿宋_GB2312"/>
          <w:b/>
          <w:bCs/>
          <w:sz w:val="32"/>
          <w:szCs w:val="32"/>
          <w:highlight w:val="none"/>
        </w:rPr>
      </w:pPr>
      <w:r>
        <w:rPr>
          <w:rFonts w:eastAsia="仿宋_GB2312"/>
          <w:b/>
          <w:bCs/>
          <w:sz w:val="32"/>
          <w:szCs w:val="32"/>
          <w:highlight w:val="none"/>
        </w:rPr>
        <w:t>1、项目背景</w:t>
      </w:r>
    </w:p>
    <w:p w14:paraId="4DE17EF7">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新疆医科大学第八附属医院作为自治区唯一一所传染病医院，长期以来致力于创新实践重大传染病防治体系的建设，积极推动了新疆在重大传染病领域学科人才培养、疾病防治等方面的发展，2016 年，我国传染病临床领域首个中科院院士专家工作站落户该医院。以新疆医科大学第八附属医院为核心，辐射下端 96 家县级传染病医院、综合医院感染科等。通过远程医疗会诊系统，向新疆各地州县基层医院及抗病毒治疗点提供传染病相关远程会诊、远程影像会诊、第三方会诊系统（如心电、病理等）整合、分级诊疗、双向转诊及远程预约、远程医学教育、信息发布与查询、统计分析等远程医学应用综合服务，满足各级医疗机构多方位远程医疗应用需要。新疆传染病远程医联体平台建设，有效借助心医国际学科建设优势，实现以新疆医科大学第八附属医院为核心的医联体远程网络覆盖全疆，进而从最基层第一时间搜集传染病患者信息，第一时间治疗，加强重大传染病和新发突发传染病预防控制，有效防止疫情扩散。新疆医科大学第八附属医院作为传染病专业医院，充分发挥其“传、帮、带”作用，临床、护理、药剂、放射、影像、检验、医院管理等专业，积极培养医疗人才。制定卫生应急预案管理制度、应急值守、队伍管理、物资管理、训练、演练、奖惩、响应、评估管理、例会等制度规范；开展各类医院常见或常年承担的突发传染病的收治、诊断、治疗、报告、人员防护、消毒隔离等内容的应急训练和不明原因肺炎、中东呼吸综合征、人感染 H7N9 禽流感以及其他突发传染病疫情的应急演练。</w:t>
      </w:r>
    </w:p>
    <w:p w14:paraId="2F67E177">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《加大力度推动社会领域公共服务补短板强弱项提质量，促进形成强大国内市场的行动方案》（2019 年 2 月 19日，国家发改委等十八部门联合发布）要求：提高医学应急救援和传染病防治能力。加强传染病医院建设，全面提升艾滋病、结核病等重大传染疾病防治能力</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 xml:space="preserve">按照《公共卫生防控救治能力建设方案》（发改社会〔2020〕0735 号）要求，新疆医科大学第八附属医院作为公共卫生服务体系的重要组成部分，在传染病防治中应发挥重要的作用，因此对传染病医院的医疗设施和应急技能提出了 </w:t>
      </w:r>
    </w:p>
    <w:p w14:paraId="3CA70ED8">
      <w:pPr>
        <w:keepNext w:val="0"/>
        <w:keepLines w:val="0"/>
        <w:widowControl/>
        <w:suppressLineNumbers w:val="0"/>
        <w:jc w:val="left"/>
        <w:rPr>
          <w:rStyle w:val="14"/>
          <w:rFonts w:hint="default" w:eastAsia="黑体"/>
          <w:bCs w:val="0"/>
          <w:spacing w:val="-4"/>
          <w:sz w:val="32"/>
          <w:szCs w:val="32"/>
          <w:highlight w:val="none"/>
          <w:lang w:val="en-US" w:eastAsia="zh-CN"/>
        </w:rPr>
      </w:pPr>
      <w:r>
        <w:rPr>
          <w:rFonts w:ascii="仿宋_GB2312" w:hAnsi="仿宋_GB2312" w:eastAsia="仿宋_GB2312" w:cs="仿宋_GB2312"/>
          <w:color w:val="000000"/>
          <w:kern w:val="0"/>
          <w:sz w:val="31"/>
          <w:szCs w:val="31"/>
          <w:lang w:val="en-US" w:eastAsia="zh-CN" w:bidi="ar"/>
        </w:rPr>
        <w:t>更高的要求。新疆医科大学第八附属医院依托现有诊疗条件，以“平战结合、分层分类、高效协作”为原则，构建分级分层分流的城市传染病救治网络，完善医院医疗救治流程，全面提升传染病危重症患者救治能力。因此，新疆医科大学第八附属医院提出新疆医科大学第八附属医院重大疫情防控救治基地配套辅助建设项目。</w:t>
      </w:r>
    </w:p>
    <w:p w14:paraId="4E29715D">
      <w:pPr>
        <w:pStyle w:val="2"/>
        <w:numPr>
          <w:ilvl w:val="0"/>
          <w:numId w:val="1"/>
        </w:numPr>
        <w:spacing w:before="0" w:after="0" w:line="56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p>
    <w:p w14:paraId="39ADDFCD">
      <w:pPr>
        <w:keepNext w:val="0"/>
        <w:keepLines w:val="0"/>
        <w:widowControl/>
        <w:suppressLineNumbers w:val="0"/>
        <w:ind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项目主要内容：</w:t>
      </w:r>
      <w:r>
        <w:rPr>
          <w:rFonts w:ascii="仿宋_GB2312" w:hAnsi="仿宋_GB2312" w:eastAsia="仿宋_GB2312" w:cs="仿宋_GB2312"/>
          <w:color w:val="000000"/>
          <w:kern w:val="0"/>
          <w:sz w:val="31"/>
          <w:szCs w:val="31"/>
          <w:lang w:val="en-US" w:eastAsia="zh-CN" w:bidi="ar"/>
        </w:rPr>
        <w:t>本项目总建设规模12810平方米，防控救治综合服务楼位于院内中部，医疗垃圾房位于院内东南角，污水处理站和垃圾收集站，位于院内东北角，门卫室分别位于北侧大门（综合门诊、出入院主入口）和西侧两处侧门（辅助供应出入口和消化病区主出入口）</w:t>
      </w:r>
    </w:p>
    <w:p w14:paraId="66B3FE4D">
      <w:pPr>
        <w:keepNext w:val="0"/>
        <w:keepLines w:val="0"/>
        <w:widowControl/>
        <w:suppressLineNumbers w:val="0"/>
        <w:ind w:firstLine="640" w:firstLineChars="200"/>
        <w:jc w:val="left"/>
        <w:rPr>
          <w:highlight w:val="none"/>
        </w:rPr>
      </w:pPr>
      <w:r>
        <w:rPr>
          <w:rFonts w:eastAsia="仿宋_GB2312"/>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03B1971E">
      <w:pPr>
        <w:spacing w:line="56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14:paraId="5DA5E5D8">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（1）资金投入情况</w:t>
      </w:r>
    </w:p>
    <w:p w14:paraId="4C363D3F">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该项目年初预算数3000万元，全年预算数3000万元，实际总投入3000万元，该项目资金已全部落实到位，资金来源为财政资金。</w:t>
      </w:r>
    </w:p>
    <w:p w14:paraId="6491BFF3">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（2）资金使用情况</w:t>
      </w:r>
    </w:p>
    <w:p w14:paraId="52F0998C">
      <w:pPr>
        <w:pStyle w:val="2"/>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cs="Times New Roman"/>
          <w:b w:val="0"/>
          <w:bCs w:val="0"/>
          <w:sz w:val="32"/>
          <w:szCs w:val="32"/>
          <w:highlight w:val="none"/>
          <w:lang w:val="en-US" w:eastAsia="zh-CN"/>
        </w:rPr>
        <w:t>该项目年初预算数3000万元，全年预算数3000万元，全年执行数3000万元，预算执行率为100%，主要用于：</w:t>
      </w:r>
      <w:r>
        <w:rPr>
          <w:rFonts w:ascii="Times New Roman" w:hAnsi="Times New Roman" w:eastAsia="仿宋_GB2312"/>
          <w:b w:val="0"/>
          <w:bCs w:val="0"/>
          <w:kern w:val="2"/>
          <w:highlight w:val="none"/>
        </w:rPr>
        <w:t>支付项目实施进程中的各项费用。</w:t>
      </w:r>
    </w:p>
    <w:p w14:paraId="3D6936B0">
      <w:pPr>
        <w:spacing w:line="56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14:paraId="75527386">
      <w:pPr>
        <w:spacing w:line="560" w:lineRule="exact"/>
        <w:ind w:firstLine="640" w:firstLineChars="200"/>
        <w:rPr>
          <w:rFonts w:eastAsia="仿宋_GB2312"/>
          <w:sz w:val="32"/>
          <w:szCs w:val="32"/>
          <w:highlight w:val="none"/>
        </w:rPr>
      </w:pPr>
      <w:r>
        <w:rPr>
          <w:rFonts w:eastAsia="仿宋_GB2312"/>
          <w:sz w:val="32"/>
          <w:szCs w:val="32"/>
          <w:highlight w:val="none"/>
        </w:rPr>
        <w:t>1、总体目标</w:t>
      </w:r>
    </w:p>
    <w:p w14:paraId="2564D7BB">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《公共卫生防控救治能力建设方案》（发改社会〔2020〕0735 号）要求：健全完善城市传染病救治网络。以“平战结合、分层分类、高效协作”为原则，构建分级分层分流的城市传染病救治网络，直辖市、省会城市、地级市要建有传染病医院或相对独立的综合性医院传染病区，实现100%达标，作为区域内重大疫情中西医结合诊治、医护人员训练的主体力量。扩大传染病集中收治容量，加强基础设施建设和设备升级，落实“三区两通道”设计要求，配置负压救护车、负压担架等必要设备，强化物资储备，适度预留应急场地和改造空间。</w:t>
      </w:r>
    </w:p>
    <w:p w14:paraId="56EB2E30">
      <w:pPr>
        <w:spacing w:line="560" w:lineRule="exact"/>
        <w:ind w:firstLine="640" w:firstLineChars="200"/>
        <w:rPr>
          <w:highlight w:val="none"/>
        </w:rPr>
      </w:pPr>
      <w:r>
        <w:rPr>
          <w:rFonts w:eastAsia="仿宋_GB2312"/>
          <w:sz w:val="32"/>
          <w:szCs w:val="32"/>
          <w:highlight w:val="none"/>
        </w:rPr>
        <w:t>2、阶段性目标</w:t>
      </w:r>
    </w:p>
    <w:p w14:paraId="646D4E37">
      <w:pPr>
        <w:spacing w:line="560" w:lineRule="exact"/>
        <w:ind w:firstLine="640" w:firstLineChars="200"/>
        <w:rPr>
          <w:rFonts w:eastAsia="仿宋_GB2312"/>
          <w:sz w:val="32"/>
          <w:szCs w:val="32"/>
          <w:highlight w:val="none"/>
        </w:rPr>
      </w:pPr>
      <w:r>
        <w:rPr>
          <w:rFonts w:eastAsia="仿宋_GB2312"/>
          <w:sz w:val="32"/>
          <w:szCs w:val="32"/>
          <w:highlight w:val="none"/>
        </w:rPr>
        <w:t>（1）前期准备：通过制定项目实施方案，经项目负责人审核通过后，有序开展后续工作。</w:t>
      </w:r>
    </w:p>
    <w:p w14:paraId="36216557">
      <w:pPr>
        <w:spacing w:line="560" w:lineRule="exact"/>
        <w:ind w:firstLine="640" w:firstLineChars="200"/>
        <w:rPr>
          <w:rFonts w:eastAsia="仿宋_GB2312"/>
          <w:sz w:val="32"/>
          <w:szCs w:val="32"/>
          <w:highlight w:val="none"/>
        </w:rPr>
      </w:pPr>
      <w:r>
        <w:rPr>
          <w:rFonts w:eastAsia="仿宋_GB2312"/>
          <w:sz w:val="32"/>
          <w:szCs w:val="32"/>
          <w:highlight w:val="none"/>
        </w:rPr>
        <w:t>（2）组织实施：资金一到位，立即根据项目要求实施项目。项目责任人按照项目实施方案要求逐一进行项目部署安排，提高项目质量及效率性。</w:t>
      </w:r>
    </w:p>
    <w:p w14:paraId="342D069A">
      <w:pPr>
        <w:spacing w:line="560" w:lineRule="exact"/>
        <w:ind w:firstLine="640" w:firstLineChars="200"/>
        <w:rPr>
          <w:rFonts w:eastAsia="黑体"/>
          <w:sz w:val="32"/>
          <w:szCs w:val="32"/>
          <w:highlight w:val="none"/>
        </w:rPr>
      </w:pPr>
      <w:r>
        <w:rPr>
          <w:rFonts w:eastAsia="黑体"/>
          <w:sz w:val="32"/>
          <w:szCs w:val="32"/>
          <w:highlight w:val="none"/>
        </w:rPr>
        <w:t>二、绩效评价工作开展情况</w:t>
      </w:r>
    </w:p>
    <w:p w14:paraId="34C2CC06">
      <w:pPr>
        <w:spacing w:line="56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14:paraId="69D6C399">
      <w:pPr>
        <w:pStyle w:val="17"/>
        <w:spacing w:line="560" w:lineRule="exact"/>
        <w:ind w:firstLine="640" w:firstLineChars="200"/>
        <w:rPr>
          <w:rFonts w:eastAsia="仿宋_GB2312"/>
          <w:kern w:val="2"/>
          <w:sz w:val="32"/>
          <w:szCs w:val="32"/>
          <w:highlight w:val="none"/>
        </w:rPr>
      </w:pPr>
      <w:r>
        <w:rPr>
          <w:rFonts w:eastAsia="仿宋_GB2312"/>
          <w:sz w:val="32"/>
          <w:szCs w:val="32"/>
          <w:highlight w:val="none"/>
        </w:rPr>
        <w:t>通过开展有效的财政支出绩效评价管理，</w:t>
      </w:r>
      <w:r>
        <w:rPr>
          <w:rFonts w:hint="eastAsia" w:eastAsia="仿宋_GB2312"/>
          <w:kern w:val="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w:t>
      </w:r>
      <w:r>
        <w:rPr>
          <w:rFonts w:eastAsia="仿宋_GB2312"/>
          <w:kern w:val="2"/>
          <w:sz w:val="32"/>
          <w:szCs w:val="32"/>
          <w:highlight w:val="none"/>
        </w:rPr>
        <w:t>改进预算管理、控制节约成本，</w:t>
      </w:r>
      <w:r>
        <w:rPr>
          <w:rFonts w:hint="eastAsia" w:eastAsia="仿宋_GB2312"/>
          <w:kern w:val="2"/>
          <w:sz w:val="32"/>
          <w:szCs w:val="32"/>
          <w:highlight w:val="none"/>
        </w:rPr>
        <w:t>优化资源配置、</w:t>
      </w:r>
      <w:r>
        <w:rPr>
          <w:rFonts w:eastAsia="仿宋_GB2312"/>
          <w:kern w:val="2"/>
          <w:sz w:val="32"/>
          <w:szCs w:val="32"/>
          <w:highlight w:val="none"/>
        </w:rPr>
        <w:t>提高预算资金使用效益的目的。</w:t>
      </w:r>
    </w:p>
    <w:p w14:paraId="5C2EC13D">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14:paraId="010EE6A4">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自治区卫生健康委所属单位2023年地方政府债券资金（第二批）项目所包含的全部项目内容。</w:t>
      </w:r>
    </w:p>
    <w:p w14:paraId="58B20BE5">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01FD87A3">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自治区卫生健康委所属单位2023年地方政府债券资金（第二批）项目的决策、过程、产出、效益等。</w:t>
      </w:r>
    </w:p>
    <w:p w14:paraId="1C9B15C9">
      <w:pPr>
        <w:spacing w:line="560" w:lineRule="exact"/>
        <w:ind w:firstLine="643" w:firstLineChars="200"/>
        <w:rPr>
          <w:highlight w:val="none"/>
        </w:rPr>
      </w:pPr>
      <w:r>
        <w:rPr>
          <w:rFonts w:eastAsia="楷体_GB2312"/>
          <w:b/>
          <w:bCs/>
          <w:sz w:val="32"/>
          <w:szCs w:val="32"/>
          <w:highlight w:val="none"/>
        </w:rPr>
        <w:t>（二）绩效评价原则、评价指标体系（详情见表1）、评价方法、评价标准。</w:t>
      </w:r>
    </w:p>
    <w:p w14:paraId="3380E66C">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14:paraId="6E52AA70">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14:paraId="680FA442">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w:t>
      </w:r>
      <w:r>
        <w:rPr>
          <w:rFonts w:hint="eastAsia" w:ascii="Times New Roman" w:hAnsi="Times New Roman" w:eastAsia="仿宋_GB2312"/>
          <w:b w:val="0"/>
          <w:bCs w:val="0"/>
          <w:highlight w:val="none"/>
          <w:lang w:eastAsia="zh-CN"/>
        </w:rPr>
        <w:t>地</w:t>
      </w:r>
      <w:r>
        <w:rPr>
          <w:rFonts w:ascii="Times New Roman" w:hAnsi="Times New Roman" w:eastAsia="仿宋_GB2312"/>
          <w:b w:val="0"/>
          <w:bCs w:val="0"/>
          <w:highlight w:val="none"/>
        </w:rPr>
        <w:t>反映。</w:t>
      </w:r>
    </w:p>
    <w:p w14:paraId="45405534">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3A72DBB2">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32031CE3">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36D2A99F">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14:paraId="1435EE27">
      <w:pPr>
        <w:spacing w:line="56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35272349">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14:paraId="7ECECEC7">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6E2B5B6D">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14:paraId="760BE506">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1A0F1C15">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14:paraId="62B95BB4">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6FBDBB40">
      <w:pPr>
        <w:pStyle w:val="2"/>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100分（含90分）对应的评分结果级别为优，80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90分（含80分）对应的评分结果级别为良，60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80分（含60分）对应的评分结果级别为中，60分以下对应的评分结果级别为差。</w:t>
      </w:r>
    </w:p>
    <w:p w14:paraId="1FD082EB">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14:paraId="56216DF3">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4944ECEE">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6A88300B">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E208D81">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14:paraId="7FA78255">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14:paraId="302BC9F6">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14:paraId="38423590">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4A765CB2">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14:paraId="6AAF2B3F">
      <w:pPr>
        <w:spacing w:line="560" w:lineRule="exact"/>
        <w:ind w:firstLine="640"/>
        <w:rPr>
          <w:rFonts w:eastAsia="方正仿宋_GBK" w:cs="方正仿宋_GBK"/>
          <w:color w:val="auto"/>
          <w:sz w:val="32"/>
          <w:szCs w:val="32"/>
          <w:highlight w:val="none"/>
        </w:rPr>
      </w:pPr>
      <w:r>
        <w:rPr>
          <w:rFonts w:hint="eastAsia" w:eastAsia="方正仿宋_GBK" w:cs="方正仿宋_GBK"/>
          <w:sz w:val="32"/>
          <w:szCs w:val="32"/>
          <w:highlight w:val="none"/>
        </w:rPr>
        <w:t>绩效评价标准通常包括计划标准、行业标准、历史</w:t>
      </w:r>
      <w:r>
        <w:rPr>
          <w:rFonts w:hint="eastAsia" w:eastAsia="方正仿宋_GBK" w:cs="方正仿宋_GBK"/>
          <w:color w:val="auto"/>
          <w:sz w:val="32"/>
          <w:szCs w:val="32"/>
          <w:highlight w:val="none"/>
        </w:rPr>
        <w:t>标准等，用于对绩效指标完成情况进行比较、分析、评价。本次评价主要采用了计划标准和行业标准。</w:t>
      </w:r>
    </w:p>
    <w:p w14:paraId="2361A67A">
      <w:pPr>
        <w:spacing w:line="560" w:lineRule="exact"/>
        <w:ind w:firstLine="640"/>
        <w:rPr>
          <w:rFonts w:eastAsia="方正仿宋_GBK" w:cs="方正仿宋_GBK"/>
          <w:sz w:val="32"/>
          <w:szCs w:val="32"/>
          <w:highlight w:val="none"/>
        </w:rPr>
      </w:pPr>
      <w:bookmarkStart w:id="0" w:name="_Toc31464"/>
      <w:bookmarkStart w:id="1" w:name="_Toc17882"/>
      <w:r>
        <w:rPr>
          <w:rFonts w:hint="eastAsia" w:eastAsia="方正仿宋_GBK" w:cs="方正仿宋_GBK"/>
          <w:b/>
          <w:bCs/>
          <w:sz w:val="32"/>
          <w:szCs w:val="32"/>
          <w:highlight w:val="none"/>
        </w:rPr>
        <w:t>计划标准：</w:t>
      </w:r>
      <w:r>
        <w:rPr>
          <w:rFonts w:hint="eastAsia" w:eastAsia="方正仿宋_GBK" w:cs="方正仿宋_GBK"/>
          <w:sz w:val="32"/>
          <w:szCs w:val="32"/>
          <w:highlight w:val="none"/>
        </w:rPr>
        <w:t>指以预先制定的目标、计划、预算、定额等作为评价标准。</w:t>
      </w:r>
      <w:bookmarkEnd w:id="0"/>
      <w:bookmarkEnd w:id="1"/>
    </w:p>
    <w:p w14:paraId="0702C612">
      <w:pPr>
        <w:spacing w:line="560" w:lineRule="exact"/>
        <w:ind w:firstLine="640"/>
        <w:rPr>
          <w:rFonts w:eastAsia="方正仿宋_GBK" w:cs="方正仿宋_GBK"/>
          <w:sz w:val="32"/>
          <w:szCs w:val="32"/>
          <w:highlight w:val="none"/>
        </w:rPr>
      </w:pPr>
      <w:bookmarkStart w:id="2" w:name="_Toc5633"/>
      <w:bookmarkStart w:id="3" w:name="_Toc2318"/>
      <w:r>
        <w:rPr>
          <w:rFonts w:hint="eastAsia" w:eastAsia="方正仿宋_GBK" w:cs="方正仿宋_GBK"/>
          <w:b/>
          <w:bCs/>
          <w:sz w:val="32"/>
          <w:szCs w:val="32"/>
          <w:highlight w:val="none"/>
        </w:rPr>
        <w:t>行业标准：</w:t>
      </w:r>
      <w:r>
        <w:rPr>
          <w:rFonts w:hint="eastAsia" w:eastAsia="方正仿宋_GBK" w:cs="方正仿宋_GBK"/>
          <w:sz w:val="32"/>
          <w:szCs w:val="32"/>
          <w:highlight w:val="none"/>
        </w:rPr>
        <w:t>指参照国家公布的行业指标数据制定的评价标准。</w:t>
      </w:r>
      <w:bookmarkEnd w:id="2"/>
      <w:bookmarkEnd w:id="3"/>
    </w:p>
    <w:p w14:paraId="54BF5894">
      <w:pPr>
        <w:pStyle w:val="2"/>
        <w:numPr>
          <w:ilvl w:val="0"/>
          <w:numId w:val="2"/>
        </w:numPr>
        <w:spacing w:before="0" w:after="0" w:line="560" w:lineRule="exact"/>
        <w:ind w:firstLine="711"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14:paraId="2CDDC5D0">
      <w:pPr>
        <w:numPr>
          <w:ilvl w:val="0"/>
          <w:numId w:val="3"/>
        </w:numPr>
        <w:spacing w:line="560" w:lineRule="exact"/>
        <w:ind w:firstLine="640" w:firstLineChars="200"/>
        <w:rPr>
          <w:rFonts w:eastAsia="仿宋_GB2312"/>
          <w:bCs/>
          <w:sz w:val="32"/>
          <w:szCs w:val="32"/>
          <w:highlight w:val="none"/>
        </w:rPr>
      </w:pP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79A6973E">
      <w:pPr>
        <w:numPr>
          <w:ilvl w:val="0"/>
          <w:numId w:val="3"/>
        </w:numPr>
        <w:spacing w:line="560" w:lineRule="exact"/>
        <w:ind w:firstLine="640" w:firstLineChars="200"/>
        <w:rPr>
          <w:rFonts w:eastAsia="仿宋_GB2312"/>
          <w:bCs/>
          <w:sz w:val="32"/>
          <w:szCs w:val="32"/>
          <w:highlight w:val="none"/>
        </w:rPr>
      </w:pP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200A7D92">
      <w:pPr>
        <w:numPr>
          <w:ilvl w:val="0"/>
          <w:numId w:val="3"/>
        </w:numPr>
        <w:spacing w:line="560" w:lineRule="exact"/>
        <w:ind w:firstLine="640" w:firstLineChars="200"/>
        <w:rPr>
          <w:sz w:val="32"/>
          <w:szCs w:val="32"/>
          <w:highlight w:val="none"/>
        </w:rPr>
      </w:pP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4F3B89B2">
      <w:pPr>
        <w:numPr>
          <w:ilvl w:val="0"/>
          <w:numId w:val="4"/>
        </w:numPr>
        <w:spacing w:line="560" w:lineRule="exact"/>
        <w:ind w:firstLine="640" w:firstLineChars="200"/>
        <w:rPr>
          <w:rFonts w:eastAsia="黑体"/>
          <w:sz w:val="32"/>
          <w:szCs w:val="32"/>
          <w:highlight w:val="none"/>
        </w:rPr>
      </w:pPr>
      <w:r>
        <w:rPr>
          <w:rFonts w:eastAsia="黑体"/>
          <w:sz w:val="32"/>
          <w:szCs w:val="32"/>
          <w:highlight w:val="none"/>
        </w:rPr>
        <w:t>综合评价情况及评价结论（附相关评分表）</w:t>
      </w:r>
    </w:p>
    <w:p w14:paraId="509AF3AE">
      <w:pPr>
        <w:pStyle w:val="2"/>
        <w:widowControl w:val="0"/>
        <w:spacing w:before="0" w:after="0" w:line="560" w:lineRule="exact"/>
        <w:ind w:firstLine="640" w:firstLineChars="200"/>
        <w:jc w:val="both"/>
        <w:outlineLvl w:val="9"/>
        <w:rPr>
          <w:rFonts w:ascii="Times New Roman" w:hAnsi="Times New Roman" w:eastAsia="仿宋_GB2312"/>
          <w:sz w:val="30"/>
          <w:szCs w:val="30"/>
          <w:highlight w:val="none"/>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w:t>
      </w:r>
      <w:r>
        <w:rPr>
          <w:rFonts w:ascii="Times New Roman" w:hAnsi="Times New Roman" w:eastAsia="仿宋_GB2312"/>
          <w:b w:val="0"/>
          <w:bCs w:val="0"/>
          <w:highlight w:val="none"/>
        </w:rPr>
        <w:t>对</w:t>
      </w:r>
      <w:r>
        <w:rPr>
          <w:rFonts w:hint="eastAsia" w:ascii="Times New Roman" w:hAnsi="Times New Roman" w:eastAsia="仿宋_GB2312"/>
          <w:b w:val="0"/>
          <w:bCs w:val="0"/>
          <w:highlight w:val="none"/>
        </w:rPr>
        <w:t>自治区卫生健康委所属单位2023年地方政府债券资金（第二批）</w:t>
      </w:r>
      <w:r>
        <w:rPr>
          <w:rFonts w:ascii="Times New Roman" w:hAnsi="Times New Roman" w:eastAsia="仿宋_GB2312"/>
          <w:b w:val="0"/>
          <w:bCs w:val="0"/>
          <w:highlight w:val="none"/>
        </w:rPr>
        <w:t>项目进行客观评价，最终评分结果：总得分为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color w:val="auto"/>
          <w:highlight w:val="none"/>
        </w:rPr>
        <w:t>分，属于</w:t>
      </w:r>
      <w:r>
        <w:rPr>
          <w:rFonts w:hint="eastAsia" w:ascii="Times New Roman" w:hAnsi="Times New Roman" w:eastAsia="仿宋_GB2312"/>
          <w:b w:val="0"/>
          <w:bCs w:val="0"/>
          <w:color w:val="auto"/>
          <w:highlight w:val="none"/>
          <w:lang w:eastAsia="zh-CN"/>
        </w:rPr>
        <w:t>“优”</w:t>
      </w:r>
      <w:r>
        <w:rPr>
          <w:rFonts w:ascii="Times New Roman" w:hAnsi="Times New Roman" w:eastAsia="仿宋_GB2312"/>
          <w:b w:val="0"/>
          <w:bCs w:val="0"/>
          <w:color w:val="auto"/>
          <w:highlight w:val="none"/>
        </w:rPr>
        <w:t>。</w:t>
      </w:r>
      <w:r>
        <w:rPr>
          <w:rFonts w:ascii="Times New Roman" w:hAnsi="Times New Roman" w:eastAsia="仿宋_GB2312"/>
          <w:b w:val="0"/>
          <w:bCs w:val="0"/>
          <w:highlight w:val="none"/>
        </w:rPr>
        <w:t xml:space="preserve">其中，项目决策类指标权重为20分，得分为 </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14:paraId="3130EACE">
      <w:pPr>
        <w:pStyle w:val="2"/>
        <w:rPr>
          <w:highlight w:val="none"/>
        </w:rPr>
      </w:pPr>
      <w:r>
        <w:rPr>
          <w:rFonts w:ascii="Times New Roman" w:hAnsi="Times New Roman" w:eastAsia="仿宋_GB2312"/>
          <w:sz w:val="30"/>
          <w:szCs w:val="30"/>
          <w:highlight w:val="none"/>
        </w:rPr>
        <w:t>表1综合评分表</w:t>
      </w:r>
    </w:p>
    <w:tbl>
      <w:tblPr>
        <w:tblStyle w:val="12"/>
        <w:tblpPr w:leftFromText="180" w:rightFromText="180" w:vertAnchor="text" w:horzAnchor="page" w:tblpX="1002" w:tblpY="-1101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6C39B1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4" w:hRule="atLeast"/>
          <w:tblHeader/>
        </w:trPr>
        <w:tc>
          <w:tcPr>
            <w:tcW w:w="1104" w:type="dxa"/>
            <w:shd w:val="clear" w:color="auto" w:fill="BFBFBF"/>
            <w:vAlign w:val="center"/>
          </w:tcPr>
          <w:p w14:paraId="69904C57">
            <w:pPr>
              <w:widowControl/>
              <w:spacing w:line="0" w:lineRule="atLeast"/>
              <w:rPr>
                <w:b/>
                <w:bCs/>
                <w:color w:val="000000"/>
                <w:kern w:val="0"/>
                <w:sz w:val="22"/>
                <w:szCs w:val="22"/>
                <w:highlight w:val="none"/>
              </w:rPr>
            </w:pPr>
            <w:r>
              <w:rPr>
                <w:b/>
                <w:bCs/>
                <w:color w:val="000000"/>
                <w:kern w:val="0"/>
                <w:sz w:val="22"/>
                <w:szCs w:val="22"/>
                <w:highlight w:val="none"/>
              </w:rPr>
              <w:t>一级指标</w:t>
            </w:r>
          </w:p>
        </w:tc>
        <w:tc>
          <w:tcPr>
            <w:tcW w:w="990" w:type="dxa"/>
            <w:shd w:val="clear" w:color="auto" w:fill="BFBFBF"/>
            <w:vAlign w:val="center"/>
          </w:tcPr>
          <w:p w14:paraId="69DA7C41">
            <w:pPr>
              <w:widowControl/>
              <w:spacing w:line="0" w:lineRule="atLeast"/>
              <w:jc w:val="center"/>
              <w:rPr>
                <w:b/>
                <w:bCs/>
                <w:color w:val="000000"/>
                <w:kern w:val="0"/>
                <w:sz w:val="22"/>
                <w:szCs w:val="22"/>
                <w:highlight w:val="none"/>
              </w:rPr>
            </w:pPr>
            <w:r>
              <w:rPr>
                <w:b/>
                <w:bCs/>
                <w:color w:val="000000"/>
                <w:kern w:val="0"/>
                <w:sz w:val="22"/>
                <w:szCs w:val="22"/>
                <w:highlight w:val="none"/>
              </w:rPr>
              <w:t>分值</w:t>
            </w:r>
          </w:p>
        </w:tc>
        <w:tc>
          <w:tcPr>
            <w:tcW w:w="1283" w:type="dxa"/>
            <w:shd w:val="clear" w:color="auto" w:fill="BFBFBF"/>
            <w:vAlign w:val="center"/>
          </w:tcPr>
          <w:p w14:paraId="46836B88">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1707" w:type="dxa"/>
            <w:shd w:val="clear" w:color="auto" w:fill="BFBFBF"/>
            <w:vAlign w:val="center"/>
          </w:tcPr>
          <w:p w14:paraId="5F75CA0E">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727" w:type="dxa"/>
            <w:shd w:val="clear" w:color="auto" w:fill="BFBFBF"/>
            <w:vAlign w:val="center"/>
          </w:tcPr>
          <w:p w14:paraId="6A21E84C">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044" w:type="dxa"/>
            <w:shd w:val="clear" w:color="auto" w:fill="BFBFBF"/>
            <w:vAlign w:val="center"/>
          </w:tcPr>
          <w:p w14:paraId="131CECCA">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目标值</w:t>
            </w:r>
          </w:p>
        </w:tc>
        <w:tc>
          <w:tcPr>
            <w:tcW w:w="924" w:type="dxa"/>
            <w:shd w:val="clear" w:color="auto" w:fill="BFBFBF"/>
            <w:vAlign w:val="center"/>
          </w:tcPr>
          <w:p w14:paraId="7DFAE66B">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业绩值</w:t>
            </w:r>
          </w:p>
        </w:tc>
        <w:tc>
          <w:tcPr>
            <w:tcW w:w="1215" w:type="dxa"/>
            <w:shd w:val="clear" w:color="auto" w:fill="BFBFBF"/>
            <w:vAlign w:val="center"/>
          </w:tcPr>
          <w:p w14:paraId="6DA493FC">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得分率</w:t>
            </w:r>
          </w:p>
        </w:tc>
        <w:tc>
          <w:tcPr>
            <w:tcW w:w="960" w:type="dxa"/>
            <w:shd w:val="clear" w:color="auto" w:fill="BFBFBF"/>
            <w:vAlign w:val="center"/>
          </w:tcPr>
          <w:p w14:paraId="449DA95C">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w:t>
            </w:r>
          </w:p>
        </w:tc>
      </w:tr>
      <w:tr w14:paraId="1017FB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53CEF7DF">
            <w:pPr>
              <w:widowControl/>
              <w:spacing w:line="0" w:lineRule="atLeast"/>
              <w:jc w:val="center"/>
              <w:rPr>
                <w:color w:val="000000"/>
                <w:kern w:val="0"/>
                <w:sz w:val="22"/>
                <w:szCs w:val="22"/>
                <w:highlight w:val="none"/>
              </w:rPr>
            </w:pPr>
            <w:r>
              <w:rPr>
                <w:color w:val="000000"/>
                <w:kern w:val="0"/>
                <w:sz w:val="22"/>
                <w:szCs w:val="22"/>
                <w:highlight w:val="none"/>
              </w:rPr>
              <w:t>决策　</w:t>
            </w:r>
          </w:p>
          <w:p w14:paraId="5CB8E0FB">
            <w:pPr>
              <w:widowControl/>
              <w:spacing w:line="0" w:lineRule="atLeast"/>
              <w:jc w:val="center"/>
              <w:rPr>
                <w:color w:val="000000"/>
                <w:kern w:val="0"/>
                <w:sz w:val="22"/>
                <w:szCs w:val="22"/>
                <w:highlight w:val="none"/>
              </w:rPr>
            </w:pPr>
            <w:r>
              <w:rPr>
                <w:color w:val="000000"/>
                <w:kern w:val="0"/>
                <w:sz w:val="22"/>
                <w:szCs w:val="22"/>
                <w:highlight w:val="none"/>
              </w:rPr>
              <w:t>　</w:t>
            </w:r>
          </w:p>
          <w:p w14:paraId="5953371C">
            <w:pPr>
              <w:spacing w:line="0" w:lineRule="atLeast"/>
              <w:jc w:val="center"/>
              <w:rPr>
                <w:color w:val="000000"/>
                <w:kern w:val="0"/>
                <w:sz w:val="22"/>
                <w:szCs w:val="22"/>
                <w:highlight w:val="none"/>
              </w:rPr>
            </w:pPr>
            <w:r>
              <w:rPr>
                <w:color w:val="000000"/>
                <w:kern w:val="0"/>
                <w:sz w:val="22"/>
                <w:szCs w:val="22"/>
                <w:highlight w:val="none"/>
              </w:rPr>
              <w:t>　</w:t>
            </w:r>
          </w:p>
          <w:p w14:paraId="0216D825">
            <w:pPr>
              <w:widowControl/>
              <w:spacing w:line="0" w:lineRule="atLeast"/>
              <w:jc w:val="center"/>
              <w:rPr>
                <w:color w:val="000000"/>
                <w:kern w:val="0"/>
                <w:sz w:val="22"/>
                <w:szCs w:val="22"/>
                <w:highlight w:val="none"/>
              </w:rPr>
            </w:pPr>
            <w:r>
              <w:rPr>
                <w:color w:val="000000"/>
                <w:kern w:val="0"/>
                <w:sz w:val="22"/>
                <w:szCs w:val="22"/>
                <w:highlight w:val="none"/>
              </w:rPr>
              <w:t>　</w:t>
            </w:r>
          </w:p>
        </w:tc>
        <w:tc>
          <w:tcPr>
            <w:tcW w:w="990" w:type="dxa"/>
            <w:vMerge w:val="restart"/>
            <w:shd w:val="clear" w:color="auto" w:fill="FFFFFF"/>
            <w:vAlign w:val="center"/>
          </w:tcPr>
          <w:p w14:paraId="38D2C955">
            <w:pPr>
              <w:widowControl/>
              <w:spacing w:line="0" w:lineRule="atLeast"/>
              <w:jc w:val="center"/>
              <w:rPr>
                <w:color w:val="000000"/>
                <w:kern w:val="0"/>
                <w:sz w:val="22"/>
                <w:szCs w:val="22"/>
                <w:highlight w:val="none"/>
              </w:rPr>
            </w:pPr>
            <w:r>
              <w:rPr>
                <w:kern w:val="0"/>
                <w:sz w:val="22"/>
                <w:szCs w:val="22"/>
                <w:highlight w:val="none"/>
              </w:rPr>
              <w:t>20分</w:t>
            </w:r>
          </w:p>
        </w:tc>
        <w:tc>
          <w:tcPr>
            <w:tcW w:w="1283" w:type="dxa"/>
            <w:vMerge w:val="restart"/>
            <w:shd w:val="clear" w:color="auto" w:fill="FFFFFF"/>
            <w:vAlign w:val="center"/>
          </w:tcPr>
          <w:p w14:paraId="57AA6CC5">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1707" w:type="dxa"/>
            <w:shd w:val="clear" w:color="auto" w:fill="FFFFFF"/>
            <w:vAlign w:val="center"/>
          </w:tcPr>
          <w:p w14:paraId="0F7A5784">
            <w:pPr>
              <w:widowControl/>
              <w:spacing w:line="0" w:lineRule="atLeast"/>
              <w:jc w:val="center"/>
              <w:rPr>
                <w:color w:val="000000"/>
                <w:kern w:val="0"/>
                <w:sz w:val="22"/>
                <w:szCs w:val="22"/>
                <w:highlight w:val="none"/>
              </w:rPr>
            </w:pPr>
            <w:r>
              <w:rPr>
                <w:color w:val="000000"/>
                <w:kern w:val="0"/>
                <w:sz w:val="22"/>
                <w:szCs w:val="22"/>
                <w:highlight w:val="none"/>
              </w:rPr>
              <w:t>立项依据</w:t>
            </w:r>
          </w:p>
          <w:p w14:paraId="509C1F6B">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727" w:type="dxa"/>
            <w:shd w:val="clear" w:color="auto" w:fill="FFFFFF"/>
            <w:vAlign w:val="center"/>
          </w:tcPr>
          <w:p w14:paraId="2293CB0C">
            <w:pPr>
              <w:widowControl/>
              <w:spacing w:line="0" w:lineRule="atLeast"/>
              <w:jc w:val="center"/>
              <w:rPr>
                <w:color w:val="000000"/>
                <w:kern w:val="0"/>
                <w:sz w:val="22"/>
                <w:szCs w:val="22"/>
                <w:highlight w:val="none"/>
              </w:rPr>
            </w:pPr>
            <w:r>
              <w:rPr>
                <w:color w:val="000000"/>
                <w:kern w:val="0"/>
                <w:sz w:val="22"/>
                <w:szCs w:val="22"/>
                <w:highlight w:val="none"/>
              </w:rPr>
              <w:t>3</w:t>
            </w:r>
          </w:p>
        </w:tc>
        <w:tc>
          <w:tcPr>
            <w:tcW w:w="1044" w:type="dxa"/>
            <w:shd w:val="clear" w:color="auto" w:fill="FFFFFF"/>
            <w:vAlign w:val="center"/>
          </w:tcPr>
          <w:p w14:paraId="62F2B392">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924" w:type="dxa"/>
            <w:shd w:val="clear" w:color="auto" w:fill="FFFFFF"/>
            <w:vAlign w:val="center"/>
          </w:tcPr>
          <w:p w14:paraId="34CC4868">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1215" w:type="dxa"/>
            <w:shd w:val="clear" w:color="auto" w:fill="FFFFFF"/>
            <w:vAlign w:val="center"/>
          </w:tcPr>
          <w:p w14:paraId="0A9813A5">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960" w:type="dxa"/>
            <w:shd w:val="clear" w:color="auto" w:fill="FFFFFF"/>
            <w:vAlign w:val="center"/>
          </w:tcPr>
          <w:p w14:paraId="37AAC09E">
            <w:pPr>
              <w:widowControl/>
              <w:spacing w:line="0" w:lineRule="atLeast"/>
              <w:jc w:val="center"/>
              <w:rPr>
                <w:color w:val="000000"/>
                <w:kern w:val="0"/>
                <w:sz w:val="22"/>
                <w:szCs w:val="22"/>
                <w:highlight w:val="none"/>
              </w:rPr>
            </w:pPr>
            <w:r>
              <w:rPr>
                <w:color w:val="000000"/>
                <w:kern w:val="0"/>
                <w:sz w:val="22"/>
                <w:szCs w:val="22"/>
                <w:highlight w:val="none"/>
              </w:rPr>
              <w:t>3</w:t>
            </w:r>
          </w:p>
        </w:tc>
      </w:tr>
      <w:tr w14:paraId="2521D2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15C73D0">
            <w:pPr>
              <w:spacing w:line="0" w:lineRule="atLeast"/>
              <w:jc w:val="center"/>
              <w:rPr>
                <w:color w:val="000000"/>
                <w:kern w:val="0"/>
                <w:sz w:val="22"/>
                <w:szCs w:val="22"/>
                <w:highlight w:val="none"/>
              </w:rPr>
            </w:pPr>
          </w:p>
        </w:tc>
        <w:tc>
          <w:tcPr>
            <w:tcW w:w="990" w:type="dxa"/>
            <w:vMerge w:val="continue"/>
            <w:shd w:val="clear" w:color="auto" w:fill="FFFFFF"/>
            <w:vAlign w:val="center"/>
          </w:tcPr>
          <w:p w14:paraId="454E7C4D">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3C5190AB">
            <w:pPr>
              <w:widowControl/>
              <w:spacing w:line="0" w:lineRule="atLeast"/>
              <w:jc w:val="center"/>
              <w:rPr>
                <w:color w:val="000000"/>
                <w:kern w:val="0"/>
                <w:sz w:val="22"/>
                <w:szCs w:val="22"/>
                <w:highlight w:val="none"/>
              </w:rPr>
            </w:pPr>
          </w:p>
        </w:tc>
        <w:tc>
          <w:tcPr>
            <w:tcW w:w="1707" w:type="dxa"/>
            <w:shd w:val="clear" w:color="auto" w:fill="FFFFFF"/>
            <w:vAlign w:val="center"/>
          </w:tcPr>
          <w:p w14:paraId="5F490C7C">
            <w:pPr>
              <w:widowControl/>
              <w:spacing w:line="0" w:lineRule="atLeast"/>
              <w:jc w:val="center"/>
              <w:rPr>
                <w:color w:val="000000"/>
                <w:kern w:val="0"/>
                <w:sz w:val="22"/>
                <w:szCs w:val="22"/>
                <w:highlight w:val="none"/>
              </w:rPr>
            </w:pPr>
            <w:r>
              <w:rPr>
                <w:color w:val="000000"/>
                <w:kern w:val="0"/>
                <w:sz w:val="22"/>
                <w:szCs w:val="22"/>
                <w:highlight w:val="none"/>
              </w:rPr>
              <w:t>立项程序</w:t>
            </w:r>
          </w:p>
          <w:p w14:paraId="6CB8C856">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727" w:type="dxa"/>
            <w:shd w:val="clear" w:color="auto" w:fill="FFFFFF"/>
            <w:vAlign w:val="center"/>
          </w:tcPr>
          <w:p w14:paraId="54A1F14C">
            <w:pPr>
              <w:widowControl/>
              <w:spacing w:line="0" w:lineRule="atLeast"/>
              <w:jc w:val="center"/>
              <w:rPr>
                <w:color w:val="000000"/>
                <w:kern w:val="0"/>
                <w:sz w:val="22"/>
                <w:szCs w:val="22"/>
                <w:highlight w:val="none"/>
              </w:rPr>
            </w:pPr>
            <w:r>
              <w:rPr>
                <w:color w:val="000000"/>
                <w:kern w:val="0"/>
                <w:sz w:val="22"/>
                <w:szCs w:val="22"/>
                <w:highlight w:val="none"/>
              </w:rPr>
              <w:t>3</w:t>
            </w:r>
          </w:p>
        </w:tc>
        <w:tc>
          <w:tcPr>
            <w:tcW w:w="1044" w:type="dxa"/>
            <w:shd w:val="clear" w:color="auto" w:fill="FFFFFF"/>
            <w:vAlign w:val="center"/>
          </w:tcPr>
          <w:p w14:paraId="16A6A3AA">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924" w:type="dxa"/>
            <w:shd w:val="clear" w:color="auto" w:fill="FFFFFF"/>
            <w:vAlign w:val="center"/>
          </w:tcPr>
          <w:p w14:paraId="529D7B8A">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1215" w:type="dxa"/>
            <w:shd w:val="clear" w:color="auto" w:fill="FFFFFF"/>
            <w:vAlign w:val="center"/>
          </w:tcPr>
          <w:p w14:paraId="66454BEC">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24AE79CE">
            <w:pPr>
              <w:widowControl/>
              <w:spacing w:line="0" w:lineRule="atLeast"/>
              <w:jc w:val="center"/>
              <w:rPr>
                <w:color w:val="000000"/>
                <w:kern w:val="0"/>
                <w:sz w:val="22"/>
                <w:szCs w:val="22"/>
                <w:highlight w:val="none"/>
              </w:rPr>
            </w:pPr>
            <w:r>
              <w:rPr>
                <w:color w:val="000000"/>
                <w:kern w:val="0"/>
                <w:sz w:val="22"/>
                <w:szCs w:val="22"/>
                <w:highlight w:val="none"/>
              </w:rPr>
              <w:t>3</w:t>
            </w:r>
          </w:p>
        </w:tc>
      </w:tr>
      <w:tr w14:paraId="1F9CDC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4B23E3C">
            <w:pPr>
              <w:spacing w:line="0" w:lineRule="atLeast"/>
              <w:jc w:val="center"/>
              <w:rPr>
                <w:color w:val="000000"/>
                <w:kern w:val="0"/>
                <w:sz w:val="22"/>
                <w:szCs w:val="22"/>
                <w:highlight w:val="none"/>
              </w:rPr>
            </w:pPr>
          </w:p>
        </w:tc>
        <w:tc>
          <w:tcPr>
            <w:tcW w:w="990" w:type="dxa"/>
            <w:vMerge w:val="continue"/>
            <w:shd w:val="clear" w:color="auto" w:fill="FFFFFF"/>
            <w:vAlign w:val="center"/>
          </w:tcPr>
          <w:p w14:paraId="039302D6">
            <w:pPr>
              <w:widowControl/>
              <w:spacing w:line="0" w:lineRule="atLeast"/>
              <w:jc w:val="center"/>
              <w:rPr>
                <w:color w:val="000000"/>
                <w:kern w:val="0"/>
                <w:sz w:val="22"/>
                <w:szCs w:val="22"/>
                <w:highlight w:val="none"/>
              </w:rPr>
            </w:pPr>
          </w:p>
        </w:tc>
        <w:tc>
          <w:tcPr>
            <w:tcW w:w="1283" w:type="dxa"/>
            <w:vMerge w:val="restart"/>
            <w:shd w:val="clear" w:color="auto" w:fill="FFFFFF"/>
            <w:vAlign w:val="center"/>
          </w:tcPr>
          <w:p w14:paraId="7F9AC021">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1707" w:type="dxa"/>
            <w:shd w:val="clear" w:color="auto" w:fill="FFFFFF"/>
            <w:vAlign w:val="center"/>
          </w:tcPr>
          <w:p w14:paraId="5B4D6752">
            <w:pPr>
              <w:widowControl/>
              <w:spacing w:line="0" w:lineRule="atLeast"/>
              <w:jc w:val="center"/>
              <w:rPr>
                <w:color w:val="000000"/>
                <w:kern w:val="0"/>
                <w:sz w:val="22"/>
                <w:szCs w:val="22"/>
                <w:highlight w:val="none"/>
              </w:rPr>
            </w:pPr>
            <w:r>
              <w:rPr>
                <w:color w:val="000000"/>
                <w:kern w:val="0"/>
                <w:sz w:val="22"/>
                <w:szCs w:val="22"/>
                <w:highlight w:val="none"/>
              </w:rPr>
              <w:t>绩效目标</w:t>
            </w:r>
          </w:p>
          <w:p w14:paraId="3192A4A9">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727" w:type="dxa"/>
            <w:shd w:val="clear" w:color="000000" w:fill="FFFFFF"/>
            <w:vAlign w:val="center"/>
          </w:tcPr>
          <w:p w14:paraId="21E41EBE">
            <w:pPr>
              <w:widowControl/>
              <w:spacing w:line="0" w:lineRule="atLeast"/>
              <w:jc w:val="center"/>
              <w:rPr>
                <w:color w:val="000000"/>
                <w:kern w:val="0"/>
                <w:sz w:val="22"/>
                <w:szCs w:val="22"/>
                <w:highlight w:val="none"/>
              </w:rPr>
            </w:pPr>
            <w:r>
              <w:rPr>
                <w:color w:val="000000"/>
                <w:kern w:val="0"/>
                <w:sz w:val="22"/>
                <w:szCs w:val="22"/>
                <w:highlight w:val="none"/>
              </w:rPr>
              <w:t>3</w:t>
            </w:r>
          </w:p>
        </w:tc>
        <w:tc>
          <w:tcPr>
            <w:tcW w:w="1044" w:type="dxa"/>
            <w:shd w:val="clear" w:color="000000" w:fill="FFFFFF"/>
            <w:vAlign w:val="center"/>
          </w:tcPr>
          <w:p w14:paraId="4A02B9E9">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000000" w:fill="FFFFFF"/>
            <w:vAlign w:val="center"/>
          </w:tcPr>
          <w:p w14:paraId="4F9F9D63">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000000" w:fill="FFFFFF"/>
            <w:vAlign w:val="center"/>
          </w:tcPr>
          <w:p w14:paraId="4F98D58B">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5F65635A">
            <w:pPr>
              <w:widowControl/>
              <w:spacing w:line="0" w:lineRule="atLeast"/>
              <w:jc w:val="center"/>
              <w:rPr>
                <w:color w:val="000000"/>
                <w:kern w:val="0"/>
                <w:sz w:val="22"/>
                <w:szCs w:val="22"/>
                <w:highlight w:val="none"/>
              </w:rPr>
            </w:pPr>
            <w:r>
              <w:rPr>
                <w:color w:val="000000"/>
                <w:kern w:val="0"/>
                <w:sz w:val="22"/>
                <w:szCs w:val="22"/>
                <w:highlight w:val="none"/>
              </w:rPr>
              <w:t>3</w:t>
            </w:r>
          </w:p>
        </w:tc>
      </w:tr>
      <w:tr w14:paraId="0C70BD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BF34637">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5244DD15">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4BC0D5B0">
            <w:pPr>
              <w:widowControl/>
              <w:spacing w:line="0" w:lineRule="atLeast"/>
              <w:jc w:val="center"/>
              <w:rPr>
                <w:color w:val="000000"/>
                <w:kern w:val="0"/>
                <w:sz w:val="22"/>
                <w:szCs w:val="22"/>
                <w:highlight w:val="none"/>
              </w:rPr>
            </w:pPr>
          </w:p>
        </w:tc>
        <w:tc>
          <w:tcPr>
            <w:tcW w:w="1707" w:type="dxa"/>
            <w:shd w:val="clear" w:color="auto" w:fill="FFFFFF"/>
            <w:vAlign w:val="center"/>
          </w:tcPr>
          <w:p w14:paraId="2BD09647">
            <w:pPr>
              <w:widowControl/>
              <w:spacing w:line="0" w:lineRule="atLeast"/>
              <w:jc w:val="center"/>
              <w:rPr>
                <w:color w:val="000000"/>
                <w:kern w:val="0"/>
                <w:sz w:val="22"/>
                <w:szCs w:val="22"/>
                <w:highlight w:val="none"/>
              </w:rPr>
            </w:pPr>
            <w:r>
              <w:rPr>
                <w:color w:val="000000"/>
                <w:kern w:val="0"/>
                <w:sz w:val="22"/>
                <w:szCs w:val="22"/>
                <w:highlight w:val="none"/>
              </w:rPr>
              <w:t>绩效指标</w:t>
            </w:r>
          </w:p>
          <w:p w14:paraId="05DE69A3">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727" w:type="dxa"/>
            <w:shd w:val="clear" w:color="000000" w:fill="FFFFFF"/>
            <w:vAlign w:val="center"/>
          </w:tcPr>
          <w:p w14:paraId="105E5252">
            <w:pPr>
              <w:widowControl/>
              <w:spacing w:line="0" w:lineRule="atLeast"/>
              <w:jc w:val="center"/>
              <w:rPr>
                <w:color w:val="000000"/>
                <w:kern w:val="0"/>
                <w:sz w:val="22"/>
                <w:szCs w:val="22"/>
                <w:highlight w:val="none"/>
              </w:rPr>
            </w:pPr>
            <w:r>
              <w:rPr>
                <w:color w:val="000000"/>
                <w:kern w:val="0"/>
                <w:sz w:val="22"/>
                <w:szCs w:val="22"/>
                <w:highlight w:val="none"/>
              </w:rPr>
              <w:t>3</w:t>
            </w:r>
          </w:p>
        </w:tc>
        <w:tc>
          <w:tcPr>
            <w:tcW w:w="1044" w:type="dxa"/>
            <w:shd w:val="clear" w:color="000000" w:fill="FFFFFF"/>
            <w:vAlign w:val="center"/>
          </w:tcPr>
          <w:p w14:paraId="0974D9F7">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924" w:type="dxa"/>
            <w:shd w:val="clear" w:color="000000" w:fill="FFFFFF"/>
            <w:vAlign w:val="center"/>
          </w:tcPr>
          <w:p w14:paraId="409939BA">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1215" w:type="dxa"/>
            <w:shd w:val="clear" w:color="000000" w:fill="FFFFFF"/>
            <w:vAlign w:val="center"/>
          </w:tcPr>
          <w:p w14:paraId="39A341DF">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17B25B93">
            <w:pPr>
              <w:widowControl/>
              <w:spacing w:line="0" w:lineRule="atLeast"/>
              <w:jc w:val="center"/>
              <w:rPr>
                <w:color w:val="000000"/>
                <w:kern w:val="0"/>
                <w:sz w:val="22"/>
                <w:szCs w:val="22"/>
                <w:highlight w:val="none"/>
              </w:rPr>
            </w:pPr>
            <w:r>
              <w:rPr>
                <w:color w:val="000000"/>
                <w:kern w:val="0"/>
                <w:sz w:val="22"/>
                <w:szCs w:val="22"/>
                <w:highlight w:val="none"/>
              </w:rPr>
              <w:t>3</w:t>
            </w:r>
          </w:p>
        </w:tc>
      </w:tr>
      <w:tr w14:paraId="0F27EC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2242E00">
            <w:pPr>
              <w:spacing w:line="0" w:lineRule="atLeast"/>
              <w:jc w:val="center"/>
              <w:rPr>
                <w:color w:val="000000"/>
                <w:kern w:val="0"/>
                <w:sz w:val="22"/>
                <w:szCs w:val="22"/>
                <w:highlight w:val="none"/>
              </w:rPr>
            </w:pPr>
          </w:p>
        </w:tc>
        <w:tc>
          <w:tcPr>
            <w:tcW w:w="990" w:type="dxa"/>
            <w:vMerge w:val="continue"/>
            <w:shd w:val="clear" w:color="auto" w:fill="FFFFFF"/>
            <w:vAlign w:val="center"/>
          </w:tcPr>
          <w:p w14:paraId="3BA8E63E">
            <w:pPr>
              <w:spacing w:line="0" w:lineRule="atLeast"/>
              <w:jc w:val="center"/>
              <w:rPr>
                <w:color w:val="000000"/>
                <w:kern w:val="0"/>
                <w:sz w:val="22"/>
                <w:szCs w:val="22"/>
                <w:highlight w:val="none"/>
              </w:rPr>
            </w:pPr>
          </w:p>
        </w:tc>
        <w:tc>
          <w:tcPr>
            <w:tcW w:w="1283" w:type="dxa"/>
            <w:vMerge w:val="restart"/>
            <w:shd w:val="clear" w:color="auto" w:fill="FFFFFF"/>
            <w:vAlign w:val="center"/>
          </w:tcPr>
          <w:p w14:paraId="273457D5">
            <w:pPr>
              <w:widowControl/>
              <w:spacing w:line="0" w:lineRule="atLeast"/>
              <w:jc w:val="center"/>
              <w:rPr>
                <w:color w:val="000000"/>
                <w:kern w:val="0"/>
                <w:sz w:val="22"/>
                <w:szCs w:val="22"/>
                <w:highlight w:val="none"/>
              </w:rPr>
            </w:pPr>
            <w:r>
              <w:rPr>
                <w:color w:val="000000"/>
                <w:kern w:val="0"/>
                <w:sz w:val="22"/>
                <w:szCs w:val="22"/>
                <w:highlight w:val="none"/>
              </w:rPr>
              <w:t>资金投入</w:t>
            </w:r>
          </w:p>
        </w:tc>
        <w:tc>
          <w:tcPr>
            <w:tcW w:w="1707" w:type="dxa"/>
            <w:shd w:val="clear" w:color="auto" w:fill="FFFFFF"/>
            <w:vAlign w:val="center"/>
          </w:tcPr>
          <w:p w14:paraId="6FF2CADF">
            <w:pPr>
              <w:widowControl/>
              <w:spacing w:line="0" w:lineRule="atLeast"/>
              <w:jc w:val="center"/>
              <w:rPr>
                <w:color w:val="000000"/>
                <w:kern w:val="0"/>
                <w:sz w:val="22"/>
                <w:szCs w:val="22"/>
                <w:highlight w:val="none"/>
              </w:rPr>
            </w:pPr>
            <w:r>
              <w:rPr>
                <w:color w:val="000000"/>
                <w:kern w:val="0"/>
                <w:sz w:val="22"/>
                <w:szCs w:val="22"/>
                <w:highlight w:val="none"/>
              </w:rPr>
              <w:t>预算编制</w:t>
            </w:r>
          </w:p>
          <w:p w14:paraId="29177F8F">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727" w:type="dxa"/>
            <w:shd w:val="clear" w:color="auto" w:fill="FFFFFF"/>
            <w:vAlign w:val="center"/>
          </w:tcPr>
          <w:p w14:paraId="0FFC8BCB">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auto" w:fill="FFFFFF"/>
            <w:vAlign w:val="center"/>
          </w:tcPr>
          <w:p w14:paraId="5E832777">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924" w:type="dxa"/>
            <w:shd w:val="clear" w:color="auto" w:fill="FFFFFF"/>
            <w:vAlign w:val="center"/>
          </w:tcPr>
          <w:p w14:paraId="01C43005">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1215" w:type="dxa"/>
            <w:shd w:val="clear" w:color="auto" w:fill="FFFFFF"/>
            <w:vAlign w:val="center"/>
          </w:tcPr>
          <w:p w14:paraId="39A25B33">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220981FE">
            <w:pPr>
              <w:widowControl/>
              <w:spacing w:line="0" w:lineRule="atLeast"/>
              <w:jc w:val="center"/>
              <w:rPr>
                <w:color w:val="000000"/>
                <w:kern w:val="0"/>
                <w:sz w:val="22"/>
                <w:szCs w:val="22"/>
                <w:highlight w:val="none"/>
              </w:rPr>
            </w:pPr>
            <w:r>
              <w:rPr>
                <w:color w:val="000000"/>
                <w:kern w:val="0"/>
                <w:sz w:val="22"/>
                <w:szCs w:val="22"/>
                <w:highlight w:val="none"/>
              </w:rPr>
              <w:t>4</w:t>
            </w:r>
          </w:p>
        </w:tc>
      </w:tr>
      <w:tr w14:paraId="57E82D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26C81BA">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4032FCEE">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34380DC5">
            <w:pPr>
              <w:widowControl/>
              <w:spacing w:line="0" w:lineRule="atLeast"/>
              <w:jc w:val="center"/>
              <w:rPr>
                <w:color w:val="000000"/>
                <w:kern w:val="0"/>
                <w:sz w:val="22"/>
                <w:szCs w:val="22"/>
                <w:highlight w:val="none"/>
              </w:rPr>
            </w:pPr>
          </w:p>
        </w:tc>
        <w:tc>
          <w:tcPr>
            <w:tcW w:w="1707" w:type="dxa"/>
            <w:shd w:val="clear" w:color="auto" w:fill="FFFFFF"/>
            <w:vAlign w:val="center"/>
          </w:tcPr>
          <w:p w14:paraId="06B1221C">
            <w:pPr>
              <w:widowControl/>
              <w:spacing w:line="0" w:lineRule="atLeast"/>
              <w:jc w:val="center"/>
              <w:rPr>
                <w:color w:val="000000"/>
                <w:kern w:val="0"/>
                <w:sz w:val="22"/>
                <w:szCs w:val="22"/>
                <w:highlight w:val="none"/>
              </w:rPr>
            </w:pPr>
            <w:r>
              <w:rPr>
                <w:color w:val="000000"/>
                <w:kern w:val="0"/>
                <w:sz w:val="22"/>
                <w:szCs w:val="22"/>
                <w:highlight w:val="none"/>
              </w:rPr>
              <w:t>资金分配</w:t>
            </w:r>
          </w:p>
          <w:p w14:paraId="5EFB7E16">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727" w:type="dxa"/>
            <w:shd w:val="clear" w:color="auto" w:fill="FFFFFF"/>
            <w:vAlign w:val="center"/>
          </w:tcPr>
          <w:p w14:paraId="5E355503">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auto" w:fill="FFFFFF"/>
            <w:vAlign w:val="center"/>
          </w:tcPr>
          <w:p w14:paraId="77F1D183">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auto" w:fill="FFFFFF"/>
            <w:vAlign w:val="center"/>
          </w:tcPr>
          <w:p w14:paraId="0FB89A25">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auto" w:fill="FFFFFF"/>
            <w:vAlign w:val="center"/>
          </w:tcPr>
          <w:p w14:paraId="0823B75B">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3EE4320C">
            <w:pPr>
              <w:widowControl/>
              <w:spacing w:line="0" w:lineRule="atLeast"/>
              <w:jc w:val="center"/>
              <w:rPr>
                <w:color w:val="000000"/>
                <w:kern w:val="0"/>
                <w:sz w:val="22"/>
                <w:szCs w:val="22"/>
                <w:highlight w:val="none"/>
              </w:rPr>
            </w:pPr>
            <w:r>
              <w:rPr>
                <w:color w:val="000000"/>
                <w:kern w:val="0"/>
                <w:sz w:val="22"/>
                <w:szCs w:val="22"/>
                <w:highlight w:val="none"/>
              </w:rPr>
              <w:t>4</w:t>
            </w:r>
          </w:p>
        </w:tc>
      </w:tr>
      <w:tr w14:paraId="222305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1FD2F064">
            <w:pPr>
              <w:spacing w:line="0" w:lineRule="atLeast"/>
              <w:jc w:val="center"/>
              <w:rPr>
                <w:color w:val="000000"/>
                <w:kern w:val="0"/>
                <w:sz w:val="22"/>
                <w:szCs w:val="22"/>
                <w:highlight w:val="none"/>
              </w:rPr>
            </w:pPr>
            <w:r>
              <w:rPr>
                <w:color w:val="000000"/>
                <w:kern w:val="0"/>
                <w:sz w:val="22"/>
                <w:szCs w:val="22"/>
                <w:highlight w:val="none"/>
              </w:rPr>
              <w:t>过程</w:t>
            </w:r>
          </w:p>
          <w:p w14:paraId="3481DF95">
            <w:pPr>
              <w:spacing w:line="0" w:lineRule="atLeast"/>
              <w:jc w:val="center"/>
              <w:rPr>
                <w:color w:val="000000"/>
                <w:kern w:val="0"/>
                <w:sz w:val="22"/>
                <w:szCs w:val="22"/>
                <w:highlight w:val="none"/>
              </w:rPr>
            </w:pPr>
            <w:r>
              <w:rPr>
                <w:color w:val="000000"/>
                <w:kern w:val="0"/>
                <w:sz w:val="22"/>
                <w:szCs w:val="22"/>
                <w:highlight w:val="none"/>
              </w:rPr>
              <w:t>　</w:t>
            </w:r>
          </w:p>
        </w:tc>
        <w:tc>
          <w:tcPr>
            <w:tcW w:w="990" w:type="dxa"/>
            <w:vMerge w:val="restart"/>
            <w:shd w:val="clear" w:color="auto" w:fill="FFFFFF"/>
            <w:vAlign w:val="center"/>
          </w:tcPr>
          <w:p w14:paraId="08F7F698">
            <w:pPr>
              <w:widowControl/>
              <w:spacing w:line="0" w:lineRule="atLeast"/>
              <w:jc w:val="center"/>
              <w:rPr>
                <w:color w:val="000000"/>
                <w:kern w:val="0"/>
                <w:sz w:val="22"/>
                <w:szCs w:val="22"/>
                <w:highlight w:val="none"/>
              </w:rPr>
            </w:pPr>
            <w:r>
              <w:rPr>
                <w:kern w:val="0"/>
                <w:sz w:val="22"/>
                <w:szCs w:val="22"/>
                <w:highlight w:val="none"/>
              </w:rPr>
              <w:t>20分</w:t>
            </w:r>
          </w:p>
        </w:tc>
        <w:tc>
          <w:tcPr>
            <w:tcW w:w="1283" w:type="dxa"/>
            <w:vMerge w:val="restart"/>
            <w:shd w:val="clear" w:color="auto" w:fill="FFFFFF"/>
            <w:vAlign w:val="center"/>
          </w:tcPr>
          <w:p w14:paraId="7B1B1A88">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14:paraId="525B9EA6">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727" w:type="dxa"/>
            <w:shd w:val="clear" w:color="000000" w:fill="FFFFFF"/>
            <w:vAlign w:val="center"/>
          </w:tcPr>
          <w:p w14:paraId="5371FF4D">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000000" w:fill="FFFFFF"/>
            <w:vAlign w:val="center"/>
          </w:tcPr>
          <w:p w14:paraId="4B343AA6">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2CDE46EA">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742258E6">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368A4899">
            <w:pPr>
              <w:widowControl/>
              <w:spacing w:line="0" w:lineRule="atLeast"/>
              <w:jc w:val="center"/>
              <w:rPr>
                <w:color w:val="000000"/>
                <w:kern w:val="0"/>
                <w:sz w:val="22"/>
                <w:szCs w:val="22"/>
                <w:highlight w:val="none"/>
              </w:rPr>
            </w:pPr>
            <w:r>
              <w:rPr>
                <w:color w:val="000000"/>
                <w:kern w:val="0"/>
                <w:sz w:val="22"/>
                <w:szCs w:val="22"/>
                <w:highlight w:val="none"/>
              </w:rPr>
              <w:t>4</w:t>
            </w:r>
          </w:p>
        </w:tc>
      </w:tr>
      <w:tr w14:paraId="4150BC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FAFEF5E">
            <w:pPr>
              <w:spacing w:line="0" w:lineRule="atLeast"/>
              <w:jc w:val="center"/>
              <w:rPr>
                <w:color w:val="000000"/>
                <w:kern w:val="0"/>
                <w:sz w:val="22"/>
                <w:szCs w:val="22"/>
                <w:highlight w:val="none"/>
              </w:rPr>
            </w:pPr>
          </w:p>
        </w:tc>
        <w:tc>
          <w:tcPr>
            <w:tcW w:w="990" w:type="dxa"/>
            <w:vMerge w:val="continue"/>
            <w:shd w:val="clear" w:color="auto" w:fill="FFFFFF"/>
            <w:vAlign w:val="center"/>
          </w:tcPr>
          <w:p w14:paraId="1E4EB7E5">
            <w:pPr>
              <w:spacing w:line="0" w:lineRule="atLeast"/>
              <w:jc w:val="center"/>
              <w:rPr>
                <w:color w:val="000000"/>
                <w:kern w:val="0"/>
                <w:sz w:val="22"/>
                <w:szCs w:val="22"/>
                <w:highlight w:val="none"/>
              </w:rPr>
            </w:pPr>
          </w:p>
        </w:tc>
        <w:tc>
          <w:tcPr>
            <w:tcW w:w="1283" w:type="dxa"/>
            <w:vMerge w:val="continue"/>
            <w:shd w:val="clear" w:color="auto" w:fill="FFFFFF"/>
            <w:vAlign w:val="center"/>
          </w:tcPr>
          <w:p w14:paraId="77065641">
            <w:pPr>
              <w:spacing w:line="0" w:lineRule="atLeast"/>
              <w:jc w:val="center"/>
              <w:rPr>
                <w:color w:val="000000"/>
                <w:kern w:val="0"/>
                <w:sz w:val="22"/>
                <w:szCs w:val="22"/>
                <w:highlight w:val="none"/>
              </w:rPr>
            </w:pPr>
          </w:p>
        </w:tc>
        <w:tc>
          <w:tcPr>
            <w:tcW w:w="1707" w:type="dxa"/>
            <w:shd w:val="clear" w:color="auto" w:fill="FFFFFF"/>
            <w:vAlign w:val="center"/>
          </w:tcPr>
          <w:p w14:paraId="1D020562">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727" w:type="dxa"/>
            <w:shd w:val="clear" w:color="auto" w:fill="FFFFFF"/>
            <w:vAlign w:val="center"/>
          </w:tcPr>
          <w:p w14:paraId="36172BED">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auto" w:fill="FFFFFF"/>
            <w:vAlign w:val="center"/>
          </w:tcPr>
          <w:p w14:paraId="4A219B87">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auto" w:fill="FFFFFF"/>
            <w:vAlign w:val="center"/>
          </w:tcPr>
          <w:p w14:paraId="0536058D">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auto" w:fill="FFFFFF"/>
            <w:vAlign w:val="center"/>
          </w:tcPr>
          <w:p w14:paraId="46C67675">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3F316D72">
            <w:pPr>
              <w:widowControl/>
              <w:spacing w:line="0" w:lineRule="atLeast"/>
              <w:jc w:val="center"/>
              <w:rPr>
                <w:color w:val="000000"/>
                <w:kern w:val="0"/>
                <w:sz w:val="22"/>
                <w:szCs w:val="22"/>
                <w:highlight w:val="none"/>
              </w:rPr>
            </w:pPr>
            <w:r>
              <w:rPr>
                <w:color w:val="000000"/>
                <w:kern w:val="0"/>
                <w:sz w:val="22"/>
                <w:szCs w:val="22"/>
                <w:highlight w:val="none"/>
              </w:rPr>
              <w:t>4</w:t>
            </w:r>
          </w:p>
        </w:tc>
      </w:tr>
      <w:tr w14:paraId="1F2092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665F0AF">
            <w:pPr>
              <w:spacing w:line="0" w:lineRule="atLeast"/>
              <w:jc w:val="center"/>
              <w:rPr>
                <w:color w:val="000000"/>
                <w:kern w:val="0"/>
                <w:sz w:val="22"/>
                <w:szCs w:val="22"/>
                <w:highlight w:val="none"/>
              </w:rPr>
            </w:pPr>
          </w:p>
        </w:tc>
        <w:tc>
          <w:tcPr>
            <w:tcW w:w="990" w:type="dxa"/>
            <w:vMerge w:val="continue"/>
            <w:shd w:val="clear" w:color="auto" w:fill="FFFFFF"/>
            <w:vAlign w:val="center"/>
          </w:tcPr>
          <w:p w14:paraId="219F248E">
            <w:pPr>
              <w:widowControl/>
              <w:spacing w:line="0" w:lineRule="atLeast"/>
              <w:jc w:val="center"/>
              <w:rPr>
                <w:color w:val="000000"/>
                <w:kern w:val="0"/>
                <w:sz w:val="22"/>
                <w:szCs w:val="22"/>
                <w:highlight w:val="none"/>
              </w:rPr>
            </w:pPr>
          </w:p>
        </w:tc>
        <w:tc>
          <w:tcPr>
            <w:tcW w:w="1283" w:type="dxa"/>
            <w:shd w:val="clear" w:color="auto" w:fill="FFFFFF"/>
            <w:vAlign w:val="center"/>
          </w:tcPr>
          <w:p w14:paraId="0D13BD46">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14:paraId="1E64C07F">
            <w:pPr>
              <w:widowControl/>
              <w:spacing w:line="0" w:lineRule="atLeast"/>
              <w:jc w:val="center"/>
              <w:rPr>
                <w:color w:val="000000"/>
                <w:kern w:val="0"/>
                <w:sz w:val="22"/>
                <w:szCs w:val="22"/>
                <w:highlight w:val="none"/>
              </w:rPr>
            </w:pPr>
            <w:r>
              <w:rPr>
                <w:color w:val="000000"/>
                <w:kern w:val="0"/>
                <w:sz w:val="22"/>
                <w:szCs w:val="22"/>
                <w:highlight w:val="none"/>
              </w:rPr>
              <w:t>资金使用</w:t>
            </w:r>
          </w:p>
          <w:p w14:paraId="1725CA1D">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727" w:type="dxa"/>
            <w:shd w:val="clear" w:color="000000" w:fill="FFFFFF"/>
            <w:vAlign w:val="center"/>
          </w:tcPr>
          <w:p w14:paraId="77B84425">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000000" w:fill="FFFFFF"/>
            <w:vAlign w:val="center"/>
          </w:tcPr>
          <w:p w14:paraId="304CC020">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924" w:type="dxa"/>
            <w:shd w:val="clear" w:color="000000" w:fill="FFFFFF"/>
            <w:vAlign w:val="center"/>
          </w:tcPr>
          <w:p w14:paraId="46E9E870">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1215" w:type="dxa"/>
            <w:shd w:val="clear" w:color="000000" w:fill="FFFFFF"/>
            <w:vAlign w:val="center"/>
          </w:tcPr>
          <w:p w14:paraId="0CD36126">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4671363C">
            <w:pPr>
              <w:widowControl/>
              <w:spacing w:line="0" w:lineRule="atLeast"/>
              <w:jc w:val="center"/>
              <w:rPr>
                <w:color w:val="000000"/>
                <w:kern w:val="0"/>
                <w:sz w:val="22"/>
                <w:szCs w:val="22"/>
                <w:highlight w:val="none"/>
              </w:rPr>
            </w:pPr>
            <w:r>
              <w:rPr>
                <w:color w:val="000000"/>
                <w:kern w:val="0"/>
                <w:sz w:val="22"/>
                <w:szCs w:val="22"/>
                <w:highlight w:val="none"/>
              </w:rPr>
              <w:t>4</w:t>
            </w:r>
          </w:p>
        </w:tc>
      </w:tr>
      <w:tr w14:paraId="46FC59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F3A3EBC">
            <w:pPr>
              <w:spacing w:line="0" w:lineRule="atLeast"/>
              <w:jc w:val="center"/>
              <w:rPr>
                <w:color w:val="000000"/>
                <w:kern w:val="0"/>
                <w:sz w:val="22"/>
                <w:szCs w:val="22"/>
                <w:highlight w:val="none"/>
              </w:rPr>
            </w:pPr>
          </w:p>
        </w:tc>
        <w:tc>
          <w:tcPr>
            <w:tcW w:w="990" w:type="dxa"/>
            <w:vMerge w:val="continue"/>
            <w:shd w:val="clear" w:color="auto" w:fill="FFFFFF"/>
            <w:vAlign w:val="center"/>
          </w:tcPr>
          <w:p w14:paraId="620AFBC2">
            <w:pPr>
              <w:spacing w:line="0" w:lineRule="atLeast"/>
              <w:jc w:val="center"/>
              <w:rPr>
                <w:color w:val="000000"/>
                <w:kern w:val="0"/>
                <w:sz w:val="22"/>
                <w:szCs w:val="22"/>
                <w:highlight w:val="none"/>
              </w:rPr>
            </w:pPr>
          </w:p>
        </w:tc>
        <w:tc>
          <w:tcPr>
            <w:tcW w:w="1283" w:type="dxa"/>
            <w:vMerge w:val="restart"/>
            <w:shd w:val="clear" w:color="auto" w:fill="FFFFFF"/>
            <w:vAlign w:val="center"/>
          </w:tcPr>
          <w:p w14:paraId="7FD2B079">
            <w:pPr>
              <w:widowControl/>
              <w:spacing w:line="0" w:lineRule="atLeast"/>
              <w:jc w:val="center"/>
              <w:rPr>
                <w:color w:val="000000"/>
                <w:kern w:val="0"/>
                <w:sz w:val="22"/>
                <w:szCs w:val="22"/>
                <w:highlight w:val="none"/>
              </w:rPr>
            </w:pPr>
            <w:r>
              <w:rPr>
                <w:color w:val="000000"/>
                <w:kern w:val="0"/>
                <w:sz w:val="22"/>
                <w:szCs w:val="22"/>
                <w:highlight w:val="none"/>
              </w:rPr>
              <w:t>组织实施</w:t>
            </w:r>
          </w:p>
        </w:tc>
        <w:tc>
          <w:tcPr>
            <w:tcW w:w="1707" w:type="dxa"/>
            <w:shd w:val="clear" w:color="auto" w:fill="FFFFFF"/>
            <w:vAlign w:val="center"/>
          </w:tcPr>
          <w:p w14:paraId="1DE95044">
            <w:pPr>
              <w:widowControl/>
              <w:spacing w:line="0" w:lineRule="atLeast"/>
              <w:jc w:val="center"/>
              <w:rPr>
                <w:color w:val="000000"/>
                <w:kern w:val="0"/>
                <w:sz w:val="22"/>
                <w:szCs w:val="22"/>
                <w:highlight w:val="none"/>
              </w:rPr>
            </w:pPr>
            <w:r>
              <w:rPr>
                <w:color w:val="000000"/>
                <w:kern w:val="0"/>
                <w:sz w:val="22"/>
                <w:szCs w:val="22"/>
                <w:highlight w:val="none"/>
              </w:rPr>
              <w:t>管理制度</w:t>
            </w:r>
          </w:p>
          <w:p w14:paraId="6699D22B">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727" w:type="dxa"/>
            <w:shd w:val="clear" w:color="000000" w:fill="FFFFFF"/>
            <w:vAlign w:val="center"/>
          </w:tcPr>
          <w:p w14:paraId="293CACB5">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000000" w:fill="FFFFFF"/>
            <w:vAlign w:val="center"/>
          </w:tcPr>
          <w:p w14:paraId="7641531B">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924" w:type="dxa"/>
            <w:shd w:val="clear" w:color="000000" w:fill="FFFFFF"/>
            <w:vAlign w:val="center"/>
          </w:tcPr>
          <w:p w14:paraId="72A245B9">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1215" w:type="dxa"/>
            <w:shd w:val="clear" w:color="000000" w:fill="FFFFFF"/>
            <w:vAlign w:val="center"/>
          </w:tcPr>
          <w:p w14:paraId="12109010">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22D118F4">
            <w:pPr>
              <w:widowControl/>
              <w:spacing w:line="0" w:lineRule="atLeast"/>
              <w:jc w:val="center"/>
              <w:rPr>
                <w:color w:val="000000"/>
                <w:kern w:val="0"/>
                <w:sz w:val="22"/>
                <w:szCs w:val="22"/>
                <w:highlight w:val="none"/>
              </w:rPr>
            </w:pPr>
            <w:r>
              <w:rPr>
                <w:color w:val="000000"/>
                <w:kern w:val="0"/>
                <w:sz w:val="22"/>
                <w:szCs w:val="22"/>
                <w:highlight w:val="none"/>
              </w:rPr>
              <w:t>4</w:t>
            </w:r>
          </w:p>
        </w:tc>
      </w:tr>
      <w:tr w14:paraId="34A67A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6ADF340">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105AFB69">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1C6FB781">
            <w:pPr>
              <w:widowControl/>
              <w:spacing w:line="0" w:lineRule="atLeast"/>
              <w:jc w:val="center"/>
              <w:rPr>
                <w:color w:val="000000"/>
                <w:kern w:val="0"/>
                <w:sz w:val="22"/>
                <w:szCs w:val="22"/>
                <w:highlight w:val="none"/>
              </w:rPr>
            </w:pPr>
          </w:p>
        </w:tc>
        <w:tc>
          <w:tcPr>
            <w:tcW w:w="1707" w:type="dxa"/>
            <w:shd w:val="clear" w:color="auto" w:fill="FFFFFF"/>
            <w:vAlign w:val="center"/>
          </w:tcPr>
          <w:p w14:paraId="55037866">
            <w:pPr>
              <w:widowControl/>
              <w:spacing w:line="0" w:lineRule="atLeast"/>
              <w:jc w:val="center"/>
              <w:rPr>
                <w:color w:val="000000"/>
                <w:kern w:val="0"/>
                <w:sz w:val="22"/>
                <w:szCs w:val="22"/>
                <w:highlight w:val="none"/>
              </w:rPr>
            </w:pPr>
            <w:r>
              <w:rPr>
                <w:color w:val="000000"/>
                <w:kern w:val="0"/>
                <w:sz w:val="22"/>
                <w:szCs w:val="22"/>
                <w:highlight w:val="none"/>
              </w:rPr>
              <w:t>制度执行</w:t>
            </w:r>
          </w:p>
          <w:p w14:paraId="489E01D4">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727" w:type="dxa"/>
            <w:shd w:val="clear" w:color="000000" w:fill="FFFFFF"/>
            <w:vAlign w:val="center"/>
          </w:tcPr>
          <w:p w14:paraId="51B574BF">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000000" w:fill="FFFFFF"/>
            <w:vAlign w:val="center"/>
          </w:tcPr>
          <w:p w14:paraId="4527E860">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000000" w:fill="FFFFFF"/>
            <w:vAlign w:val="center"/>
          </w:tcPr>
          <w:p w14:paraId="3E3F849C">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000000" w:fill="FFFFFF"/>
            <w:vAlign w:val="center"/>
          </w:tcPr>
          <w:p w14:paraId="2414EE97">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48EA1E87">
            <w:pPr>
              <w:widowControl/>
              <w:spacing w:line="0" w:lineRule="atLeast"/>
              <w:jc w:val="center"/>
              <w:rPr>
                <w:color w:val="000000"/>
                <w:kern w:val="0"/>
                <w:sz w:val="22"/>
                <w:szCs w:val="22"/>
                <w:highlight w:val="none"/>
              </w:rPr>
            </w:pPr>
            <w:r>
              <w:rPr>
                <w:color w:val="000000"/>
                <w:kern w:val="0"/>
                <w:sz w:val="22"/>
                <w:szCs w:val="22"/>
                <w:highlight w:val="none"/>
              </w:rPr>
              <w:t>4</w:t>
            </w:r>
          </w:p>
        </w:tc>
      </w:tr>
      <w:tr w14:paraId="403AF4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49809BE2">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990" w:type="dxa"/>
            <w:vMerge w:val="restart"/>
            <w:shd w:val="clear" w:color="auto" w:fill="FFFFFF"/>
            <w:vAlign w:val="center"/>
          </w:tcPr>
          <w:p w14:paraId="174E61AA">
            <w:pPr>
              <w:widowControl/>
              <w:spacing w:line="0" w:lineRule="atLeast"/>
              <w:jc w:val="center"/>
              <w:rPr>
                <w:color w:val="000000"/>
                <w:kern w:val="0"/>
                <w:sz w:val="22"/>
                <w:szCs w:val="22"/>
                <w:highlight w:val="none"/>
              </w:rPr>
            </w:pPr>
            <w:r>
              <w:rPr>
                <w:kern w:val="0"/>
                <w:sz w:val="22"/>
                <w:szCs w:val="22"/>
                <w:highlight w:val="none"/>
              </w:rPr>
              <w:t>40分</w:t>
            </w:r>
          </w:p>
        </w:tc>
        <w:tc>
          <w:tcPr>
            <w:tcW w:w="1283" w:type="dxa"/>
            <w:shd w:val="clear" w:color="auto" w:fill="FFFFFF"/>
            <w:vAlign w:val="center"/>
          </w:tcPr>
          <w:p w14:paraId="4107D273">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1707" w:type="dxa"/>
            <w:shd w:val="clear" w:color="auto" w:fill="FFFFFF"/>
            <w:vAlign w:val="center"/>
          </w:tcPr>
          <w:p w14:paraId="52BE0A81">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727" w:type="dxa"/>
            <w:shd w:val="clear" w:color="000000" w:fill="FFFFFF"/>
            <w:vAlign w:val="center"/>
          </w:tcPr>
          <w:p w14:paraId="24693288">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7F0FFE02">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13B1AFB7">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2046C9F8">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421EF6BB">
            <w:pPr>
              <w:widowControl/>
              <w:spacing w:line="0" w:lineRule="atLeast"/>
              <w:jc w:val="center"/>
              <w:rPr>
                <w:color w:val="000000"/>
                <w:kern w:val="0"/>
                <w:sz w:val="22"/>
                <w:szCs w:val="22"/>
                <w:highlight w:val="none"/>
              </w:rPr>
            </w:pPr>
            <w:r>
              <w:rPr>
                <w:color w:val="000000"/>
                <w:kern w:val="0"/>
                <w:sz w:val="22"/>
                <w:szCs w:val="22"/>
                <w:highlight w:val="none"/>
              </w:rPr>
              <w:t>10</w:t>
            </w:r>
          </w:p>
        </w:tc>
      </w:tr>
      <w:tr w14:paraId="6C6569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929E281">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24902382">
            <w:pPr>
              <w:widowControl/>
              <w:spacing w:line="0" w:lineRule="atLeast"/>
              <w:jc w:val="center"/>
              <w:rPr>
                <w:color w:val="000000"/>
                <w:kern w:val="0"/>
                <w:sz w:val="22"/>
                <w:szCs w:val="22"/>
                <w:highlight w:val="none"/>
              </w:rPr>
            </w:pPr>
          </w:p>
        </w:tc>
        <w:tc>
          <w:tcPr>
            <w:tcW w:w="1283" w:type="dxa"/>
            <w:shd w:val="clear" w:color="auto" w:fill="FFFFFF"/>
            <w:vAlign w:val="center"/>
          </w:tcPr>
          <w:p w14:paraId="4463B1C2">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1707" w:type="dxa"/>
            <w:shd w:val="clear" w:color="auto" w:fill="FFFFFF"/>
            <w:vAlign w:val="center"/>
          </w:tcPr>
          <w:p w14:paraId="67B4BE1D">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727" w:type="dxa"/>
            <w:shd w:val="clear" w:color="000000" w:fill="FFFFFF"/>
            <w:vAlign w:val="center"/>
          </w:tcPr>
          <w:p w14:paraId="635AA4B8">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23D5F0B8">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14367587">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5F3FE656">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3504A60C">
            <w:pPr>
              <w:widowControl/>
              <w:spacing w:line="0" w:lineRule="atLeast"/>
              <w:jc w:val="center"/>
              <w:rPr>
                <w:color w:val="000000"/>
                <w:kern w:val="0"/>
                <w:sz w:val="22"/>
                <w:szCs w:val="22"/>
                <w:highlight w:val="none"/>
              </w:rPr>
            </w:pPr>
            <w:r>
              <w:rPr>
                <w:color w:val="000000"/>
                <w:kern w:val="0"/>
                <w:sz w:val="22"/>
                <w:szCs w:val="22"/>
                <w:highlight w:val="none"/>
              </w:rPr>
              <w:t>10</w:t>
            </w:r>
          </w:p>
        </w:tc>
      </w:tr>
      <w:tr w14:paraId="36B2B2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358B48B">
            <w:pPr>
              <w:spacing w:line="0" w:lineRule="atLeast"/>
              <w:jc w:val="center"/>
              <w:rPr>
                <w:color w:val="000000"/>
                <w:kern w:val="0"/>
                <w:sz w:val="22"/>
                <w:szCs w:val="22"/>
                <w:highlight w:val="none"/>
              </w:rPr>
            </w:pPr>
          </w:p>
        </w:tc>
        <w:tc>
          <w:tcPr>
            <w:tcW w:w="990" w:type="dxa"/>
            <w:vMerge w:val="continue"/>
            <w:shd w:val="clear" w:color="auto" w:fill="FFFFFF"/>
            <w:vAlign w:val="center"/>
          </w:tcPr>
          <w:p w14:paraId="0593A5BB">
            <w:pPr>
              <w:spacing w:line="0" w:lineRule="atLeast"/>
              <w:jc w:val="center"/>
              <w:rPr>
                <w:color w:val="000000"/>
                <w:kern w:val="0"/>
                <w:sz w:val="22"/>
                <w:szCs w:val="22"/>
                <w:highlight w:val="none"/>
              </w:rPr>
            </w:pPr>
          </w:p>
        </w:tc>
        <w:tc>
          <w:tcPr>
            <w:tcW w:w="1283" w:type="dxa"/>
            <w:shd w:val="clear" w:color="auto" w:fill="FFFFFF"/>
            <w:vAlign w:val="center"/>
          </w:tcPr>
          <w:p w14:paraId="760534DD">
            <w:pPr>
              <w:spacing w:line="0" w:lineRule="atLeast"/>
              <w:jc w:val="center"/>
              <w:rPr>
                <w:color w:val="000000"/>
                <w:kern w:val="0"/>
                <w:sz w:val="22"/>
                <w:szCs w:val="22"/>
                <w:highlight w:val="none"/>
              </w:rPr>
            </w:pPr>
            <w:r>
              <w:rPr>
                <w:color w:val="000000"/>
                <w:kern w:val="0"/>
                <w:sz w:val="22"/>
                <w:szCs w:val="22"/>
                <w:highlight w:val="none"/>
              </w:rPr>
              <w:t>产出时效</w:t>
            </w:r>
          </w:p>
        </w:tc>
        <w:tc>
          <w:tcPr>
            <w:tcW w:w="1707" w:type="dxa"/>
            <w:shd w:val="clear" w:color="auto" w:fill="FFFFFF"/>
            <w:vAlign w:val="center"/>
          </w:tcPr>
          <w:p w14:paraId="7B1B1986">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727" w:type="dxa"/>
            <w:shd w:val="clear" w:color="000000" w:fill="FFFFFF"/>
            <w:vAlign w:val="center"/>
          </w:tcPr>
          <w:p w14:paraId="3252BA52">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0CA9158C">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924" w:type="dxa"/>
            <w:shd w:val="clear" w:color="000000" w:fill="FFFFFF"/>
            <w:vAlign w:val="center"/>
          </w:tcPr>
          <w:p w14:paraId="784F89F0">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1215" w:type="dxa"/>
            <w:shd w:val="clear" w:color="000000" w:fill="FFFFFF"/>
            <w:vAlign w:val="center"/>
          </w:tcPr>
          <w:p w14:paraId="0DA03744">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0F25E2D8">
            <w:pPr>
              <w:widowControl/>
              <w:spacing w:line="0" w:lineRule="atLeast"/>
              <w:jc w:val="center"/>
              <w:rPr>
                <w:color w:val="000000"/>
                <w:kern w:val="0"/>
                <w:sz w:val="22"/>
                <w:szCs w:val="22"/>
                <w:highlight w:val="none"/>
              </w:rPr>
            </w:pPr>
            <w:r>
              <w:rPr>
                <w:color w:val="000000"/>
                <w:kern w:val="0"/>
                <w:sz w:val="22"/>
                <w:szCs w:val="22"/>
                <w:highlight w:val="none"/>
              </w:rPr>
              <w:t>10</w:t>
            </w:r>
          </w:p>
        </w:tc>
      </w:tr>
      <w:tr w14:paraId="2768A2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14F0312">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32EB01D0">
            <w:pPr>
              <w:widowControl/>
              <w:spacing w:line="0" w:lineRule="atLeast"/>
              <w:jc w:val="center"/>
              <w:rPr>
                <w:color w:val="000000"/>
                <w:kern w:val="0"/>
                <w:sz w:val="22"/>
                <w:szCs w:val="22"/>
                <w:highlight w:val="none"/>
              </w:rPr>
            </w:pPr>
          </w:p>
        </w:tc>
        <w:tc>
          <w:tcPr>
            <w:tcW w:w="1283" w:type="dxa"/>
            <w:shd w:val="clear" w:color="auto" w:fill="FFFFFF"/>
            <w:vAlign w:val="center"/>
          </w:tcPr>
          <w:p w14:paraId="148FE9D4">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1707" w:type="dxa"/>
            <w:shd w:val="clear" w:color="auto" w:fill="FFFFFF"/>
            <w:vAlign w:val="center"/>
          </w:tcPr>
          <w:p w14:paraId="5F757E73">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727" w:type="dxa"/>
            <w:shd w:val="clear" w:color="000000" w:fill="FFFFFF"/>
            <w:vAlign w:val="center"/>
          </w:tcPr>
          <w:p w14:paraId="232D21AB">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2A39CB33">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033FBCD9">
            <w:pPr>
              <w:widowControl/>
              <w:spacing w:line="0" w:lineRule="atLeast"/>
              <w:jc w:val="center"/>
              <w:rPr>
                <w:color w:val="000000"/>
                <w:kern w:val="0"/>
                <w:sz w:val="22"/>
                <w:szCs w:val="22"/>
                <w:highlight w:val="none"/>
              </w:rPr>
            </w:pPr>
            <w:r>
              <w:rPr>
                <w:rFonts w:hint="eastAsia"/>
                <w:color w:val="000000"/>
                <w:kern w:val="0"/>
                <w:sz w:val="22"/>
                <w:szCs w:val="22"/>
                <w:highlight w:val="none"/>
              </w:rPr>
              <w:t>100</w:t>
            </w:r>
            <w:r>
              <w:rPr>
                <w:color w:val="000000"/>
                <w:kern w:val="0"/>
                <w:sz w:val="22"/>
                <w:szCs w:val="22"/>
                <w:highlight w:val="none"/>
              </w:rPr>
              <w:t>%</w:t>
            </w:r>
          </w:p>
        </w:tc>
        <w:tc>
          <w:tcPr>
            <w:tcW w:w="1215" w:type="dxa"/>
            <w:shd w:val="clear" w:color="000000" w:fill="FFFFFF"/>
            <w:vAlign w:val="center"/>
          </w:tcPr>
          <w:p w14:paraId="064F1D29">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73EEFDD3">
            <w:pPr>
              <w:widowControl/>
              <w:spacing w:line="0" w:lineRule="atLeast"/>
              <w:jc w:val="center"/>
              <w:rPr>
                <w:color w:val="000000"/>
                <w:kern w:val="0"/>
                <w:sz w:val="22"/>
                <w:szCs w:val="22"/>
                <w:highlight w:val="none"/>
              </w:rPr>
            </w:pPr>
            <w:r>
              <w:rPr>
                <w:color w:val="000000"/>
                <w:kern w:val="0"/>
                <w:sz w:val="22"/>
                <w:szCs w:val="22"/>
                <w:highlight w:val="none"/>
              </w:rPr>
              <w:t>10</w:t>
            </w:r>
          </w:p>
        </w:tc>
      </w:tr>
      <w:tr w14:paraId="4C5BA2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3D123FB">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990" w:type="dxa"/>
            <w:vMerge w:val="restart"/>
            <w:shd w:val="clear" w:color="auto" w:fill="FFFFFF"/>
            <w:vAlign w:val="center"/>
          </w:tcPr>
          <w:p w14:paraId="31A8944B">
            <w:pPr>
              <w:widowControl/>
              <w:spacing w:line="0" w:lineRule="atLeast"/>
              <w:jc w:val="center"/>
              <w:rPr>
                <w:color w:val="000000"/>
                <w:kern w:val="0"/>
                <w:sz w:val="22"/>
                <w:szCs w:val="22"/>
                <w:highlight w:val="none"/>
              </w:rPr>
            </w:pPr>
            <w:r>
              <w:rPr>
                <w:color w:val="000000"/>
                <w:kern w:val="0"/>
                <w:sz w:val="22"/>
                <w:szCs w:val="22"/>
                <w:highlight w:val="none"/>
              </w:rPr>
              <w:t>20分</w:t>
            </w:r>
          </w:p>
        </w:tc>
        <w:tc>
          <w:tcPr>
            <w:tcW w:w="1283" w:type="dxa"/>
            <w:vMerge w:val="restart"/>
            <w:shd w:val="clear" w:color="auto" w:fill="FFFFFF"/>
            <w:vAlign w:val="center"/>
          </w:tcPr>
          <w:p w14:paraId="54114380">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1707" w:type="dxa"/>
            <w:shd w:val="clear" w:color="auto" w:fill="FFFFFF"/>
            <w:vAlign w:val="center"/>
          </w:tcPr>
          <w:p w14:paraId="56F22006">
            <w:pPr>
              <w:widowControl/>
              <w:spacing w:line="0" w:lineRule="atLeast"/>
              <w:jc w:val="center"/>
              <w:rPr>
                <w:color w:val="000000"/>
                <w:kern w:val="0"/>
                <w:sz w:val="22"/>
                <w:szCs w:val="22"/>
                <w:highlight w:val="none"/>
              </w:rPr>
            </w:pPr>
            <w:r>
              <w:rPr>
                <w:color w:val="000000"/>
                <w:kern w:val="0"/>
                <w:sz w:val="22"/>
                <w:szCs w:val="22"/>
                <w:highlight w:val="none"/>
              </w:rPr>
              <w:t>实施效益</w:t>
            </w:r>
          </w:p>
          <w:p w14:paraId="0AFB689D">
            <w:pPr>
              <w:widowControl/>
              <w:spacing w:line="0" w:lineRule="atLeast"/>
              <w:jc w:val="center"/>
              <w:rPr>
                <w:color w:val="000000"/>
                <w:kern w:val="0"/>
                <w:sz w:val="22"/>
                <w:szCs w:val="22"/>
                <w:highlight w:val="none"/>
              </w:rPr>
            </w:pPr>
            <w:r>
              <w:rPr>
                <w:color w:val="000000"/>
                <w:kern w:val="0"/>
                <w:sz w:val="22"/>
                <w:szCs w:val="22"/>
                <w:highlight w:val="none"/>
              </w:rPr>
              <w:t>（社会效益、经济效益、可持续效益）</w:t>
            </w:r>
          </w:p>
        </w:tc>
        <w:tc>
          <w:tcPr>
            <w:tcW w:w="727" w:type="dxa"/>
            <w:shd w:val="clear" w:color="auto" w:fill="FFFFFF"/>
            <w:vAlign w:val="center"/>
          </w:tcPr>
          <w:p w14:paraId="573047D8">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auto" w:fill="FFFFFF"/>
            <w:vAlign w:val="center"/>
          </w:tcPr>
          <w:p w14:paraId="7D644012">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auto" w:fill="FFFFFF"/>
            <w:vAlign w:val="center"/>
          </w:tcPr>
          <w:p w14:paraId="4556D6DE">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auto" w:fill="FFFFFF"/>
            <w:vAlign w:val="center"/>
          </w:tcPr>
          <w:p w14:paraId="432A43BB">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45062F5A">
            <w:pPr>
              <w:widowControl/>
              <w:spacing w:line="0" w:lineRule="atLeast"/>
              <w:jc w:val="center"/>
              <w:rPr>
                <w:color w:val="000000"/>
                <w:kern w:val="0"/>
                <w:sz w:val="22"/>
                <w:szCs w:val="22"/>
                <w:highlight w:val="none"/>
              </w:rPr>
            </w:pPr>
            <w:r>
              <w:rPr>
                <w:color w:val="000000"/>
                <w:kern w:val="0"/>
                <w:sz w:val="22"/>
                <w:szCs w:val="22"/>
                <w:highlight w:val="none"/>
              </w:rPr>
              <w:t>10</w:t>
            </w:r>
          </w:p>
        </w:tc>
      </w:tr>
      <w:tr w14:paraId="2F9BE2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AD3E0EA">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7D84EE2C">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73867BF1">
            <w:pPr>
              <w:widowControl/>
              <w:spacing w:line="0" w:lineRule="atLeast"/>
              <w:jc w:val="center"/>
              <w:rPr>
                <w:color w:val="000000"/>
                <w:kern w:val="0"/>
                <w:sz w:val="22"/>
                <w:szCs w:val="22"/>
                <w:highlight w:val="none"/>
              </w:rPr>
            </w:pPr>
          </w:p>
        </w:tc>
        <w:tc>
          <w:tcPr>
            <w:tcW w:w="1707" w:type="dxa"/>
            <w:shd w:val="clear" w:color="auto" w:fill="FFFFFF"/>
            <w:vAlign w:val="center"/>
          </w:tcPr>
          <w:p w14:paraId="1C95DD91">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727" w:type="dxa"/>
            <w:shd w:val="clear" w:color="000000" w:fill="FFFFFF"/>
            <w:vAlign w:val="center"/>
          </w:tcPr>
          <w:p w14:paraId="6FC19975">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1842DF9C">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100</w:t>
            </w:r>
            <w:r>
              <w:rPr>
                <w:color w:val="000000"/>
                <w:kern w:val="0"/>
                <w:sz w:val="22"/>
                <w:szCs w:val="22"/>
                <w:highlight w:val="none"/>
              </w:rPr>
              <w:t>%</w:t>
            </w:r>
          </w:p>
        </w:tc>
        <w:tc>
          <w:tcPr>
            <w:tcW w:w="924" w:type="dxa"/>
            <w:shd w:val="clear" w:color="000000" w:fill="FFFFFF"/>
            <w:vAlign w:val="center"/>
          </w:tcPr>
          <w:p w14:paraId="02893A7D">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7F016300">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4FD09185">
            <w:pPr>
              <w:widowControl/>
              <w:spacing w:line="0" w:lineRule="atLeast"/>
              <w:jc w:val="center"/>
              <w:rPr>
                <w:color w:val="000000"/>
                <w:kern w:val="0"/>
                <w:sz w:val="22"/>
                <w:szCs w:val="22"/>
                <w:highlight w:val="none"/>
              </w:rPr>
            </w:pPr>
            <w:r>
              <w:rPr>
                <w:color w:val="000000"/>
                <w:kern w:val="0"/>
                <w:sz w:val="22"/>
                <w:szCs w:val="22"/>
                <w:highlight w:val="none"/>
              </w:rPr>
              <w:t>10</w:t>
            </w:r>
          </w:p>
        </w:tc>
      </w:tr>
    </w:tbl>
    <w:p w14:paraId="1525C512">
      <w:pPr>
        <w:spacing w:line="560" w:lineRule="exact"/>
        <w:ind w:firstLine="640" w:firstLineChars="200"/>
        <w:rPr>
          <w:rFonts w:eastAsia="黑体"/>
          <w:sz w:val="32"/>
          <w:szCs w:val="32"/>
          <w:highlight w:val="none"/>
        </w:rPr>
      </w:pPr>
      <w:r>
        <w:rPr>
          <w:rFonts w:eastAsia="黑体"/>
          <w:sz w:val="32"/>
          <w:szCs w:val="32"/>
          <w:highlight w:val="none"/>
        </w:rPr>
        <w:t>四、绩效评价指标分析</w:t>
      </w:r>
    </w:p>
    <w:p w14:paraId="39BD7345">
      <w:pPr>
        <w:pStyle w:val="2"/>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（一）项目决策情况</w:t>
      </w:r>
    </w:p>
    <w:p w14:paraId="34EAB21B">
      <w:pPr>
        <w:spacing w:line="360" w:lineRule="auto"/>
        <w:ind w:firstLine="600" w:firstLineChars="200"/>
        <w:rPr>
          <w:rFonts w:eastAsia="仿宋_GB2312"/>
          <w:color w:val="FF0000"/>
          <w:sz w:val="30"/>
          <w:highlight w:val="none"/>
        </w:rPr>
      </w:pPr>
      <w:r>
        <w:rPr>
          <w:rFonts w:hint="eastAsia" w:eastAsia="仿宋_GB2312"/>
          <w:sz w:val="30"/>
          <w:highlight w:val="none"/>
        </w:rPr>
        <w:t>1、立项依据充分性</w:t>
      </w:r>
    </w:p>
    <w:p w14:paraId="4B9B9EFB">
      <w:pPr>
        <w:spacing w:line="360" w:lineRule="auto"/>
        <w:ind w:firstLine="600" w:firstLineChars="200"/>
        <w:rPr>
          <w:rFonts w:hint="eastAsia" w:eastAsia="仿宋_GB2312"/>
          <w:sz w:val="30"/>
          <w:highlight w:val="none"/>
        </w:rPr>
      </w:pPr>
      <w:r>
        <w:rPr>
          <w:rFonts w:hint="eastAsia" w:eastAsia="仿宋_GB2312"/>
          <w:sz w:val="30"/>
          <w:highlight w:val="none"/>
          <w:lang w:val="en-US" w:eastAsia="zh-CN"/>
        </w:rPr>
        <w:t>《中华人民共和国国民经济和社会发展第十四个五年规划和</w:t>
      </w:r>
      <w:r>
        <w:rPr>
          <w:rFonts w:hint="default" w:eastAsia="仿宋_GB2312"/>
          <w:sz w:val="30"/>
          <w:highlight w:val="none"/>
          <w:lang w:val="en-US" w:eastAsia="zh-CN"/>
        </w:rPr>
        <w:t xml:space="preserve">2035 </w:t>
      </w:r>
      <w:r>
        <w:rPr>
          <w:rFonts w:hint="eastAsia" w:eastAsia="仿宋_GB2312"/>
          <w:sz w:val="30"/>
          <w:highlight w:val="none"/>
          <w:lang w:val="en-US" w:eastAsia="zh-CN"/>
        </w:rPr>
        <w:t>年远景目标纲要》中指出：</w:t>
      </w:r>
      <w:r>
        <w:rPr>
          <w:rFonts w:hint="default" w:eastAsia="仿宋_GB2312"/>
          <w:sz w:val="30"/>
          <w:highlight w:val="none"/>
          <w:lang w:val="en-US" w:eastAsia="zh-CN"/>
        </w:rPr>
        <w:t>“</w:t>
      </w:r>
      <w:r>
        <w:rPr>
          <w:rFonts w:hint="eastAsia" w:eastAsia="仿宋_GB2312"/>
          <w:sz w:val="30"/>
          <w:highlight w:val="none"/>
          <w:lang w:val="en-US" w:eastAsia="zh-CN"/>
        </w:rPr>
        <w:t>把保障人民健康放在优先发展的战略位置，坚持预防为主的方针，深入实施健康中国行动，完善国民健康促进政策，织牢国家公共卫生防护网，为人民提供全方位全生命期健康服务。</w:t>
      </w:r>
      <w:r>
        <w:rPr>
          <w:rFonts w:hint="default" w:eastAsia="仿宋_GB2312"/>
          <w:sz w:val="30"/>
          <w:highlight w:val="none"/>
          <w:lang w:val="en-US" w:eastAsia="zh-CN"/>
        </w:rPr>
        <w:t xml:space="preserve">” </w:t>
      </w:r>
      <w:r>
        <w:rPr>
          <w:rFonts w:hint="eastAsia" w:eastAsia="仿宋_GB2312"/>
          <w:sz w:val="30"/>
          <w:highlight w:val="none"/>
          <w:lang w:val="en-US" w:eastAsia="zh-CN"/>
        </w:rPr>
        <w:t>《规划》指出：改革疾病预防控制体系，强化监测预警、风险评估、流行病学调查、检验检测、应急处置等职能。建立稳定的公共卫生事业投入机制，改善疾控基础条件，强化基层公共卫生体系。落实医疗机构公共卫生责任，创新医防协同机制。完善突发公共卫生事件监测预警处置机制，加强实验室检测网络建设，健全医疗救治、科技支撑、物资保障体系，提高应对突发公共卫生事件能力。</w:t>
      </w:r>
    </w:p>
    <w:p w14:paraId="32C5EA58">
      <w:pPr>
        <w:spacing w:line="360" w:lineRule="auto"/>
        <w:ind w:firstLine="600" w:firstLineChars="200"/>
        <w:rPr>
          <w:rFonts w:eastAsia="仿宋_GB2312"/>
          <w:sz w:val="30"/>
          <w:highlight w:val="none"/>
        </w:rPr>
      </w:pPr>
      <w:r>
        <w:rPr>
          <w:rFonts w:hint="eastAsia" w:eastAsia="仿宋_GB2312"/>
          <w:sz w:val="30"/>
          <w:highlight w:val="none"/>
        </w:rPr>
        <w:t>2、立项程序规范性</w:t>
      </w:r>
    </w:p>
    <w:p w14:paraId="613444DE">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按照《公共卫生防控救治能力建设方案》（发改社会〔2020〕0735 号）要求，新疆医科大学第八附属医院作为公共卫生服务体系的重要组成部分，在传染病防治中应发挥重要的作用，因此对传染病医院的医疗设施和应急技能提出了更高的要求。新疆医科大学第八附属医院依托现有诊疗条件，以“平战结合、分层分类、高效协作”为原则，构建分级分层分流的城市传染病救治网络，完善医院医疗救治流程，全面提升传染病危重症患者救治能力。</w:t>
      </w:r>
    </w:p>
    <w:p w14:paraId="56FF4E7F">
      <w:pPr>
        <w:spacing w:line="360" w:lineRule="auto"/>
        <w:ind w:firstLine="600" w:firstLineChars="200"/>
        <w:rPr>
          <w:rFonts w:eastAsia="仿宋_GB2312"/>
          <w:sz w:val="30"/>
          <w:highlight w:val="none"/>
        </w:rPr>
      </w:pPr>
      <w:r>
        <w:rPr>
          <w:rFonts w:hint="eastAsia" w:eastAsia="仿宋_GB2312"/>
          <w:sz w:val="30"/>
          <w:highlight w:val="none"/>
        </w:rPr>
        <w:t>3、绩效目标合理性</w:t>
      </w:r>
    </w:p>
    <w:p w14:paraId="4ED333EF">
      <w:pPr>
        <w:keepNext w:val="0"/>
        <w:keepLines w:val="0"/>
        <w:widowControl/>
        <w:suppressLineNumbers w:val="0"/>
        <w:ind w:firstLine="600" w:firstLineChars="200"/>
        <w:jc w:val="left"/>
        <w:rPr>
          <w:rFonts w:eastAsia="仿宋_GB2312"/>
          <w:color w:val="auto"/>
          <w:sz w:val="30"/>
          <w:highlight w:val="none"/>
        </w:rPr>
      </w:pPr>
      <w:r>
        <w:rPr>
          <w:rFonts w:hint="eastAsia" w:eastAsia="仿宋_GB2312"/>
          <w:color w:val="auto"/>
          <w:sz w:val="30"/>
          <w:highlight w:val="none"/>
        </w:rPr>
        <w:t>自治区卫生健康委所属单位2023年地方政府债券资金（第二批）项目设立了项目绩效目标，与</w:t>
      </w:r>
      <w:r>
        <w:rPr>
          <w:rFonts w:hint="eastAsia" w:eastAsia="仿宋_GB2312"/>
          <w:color w:val="auto"/>
          <w:sz w:val="30"/>
          <w:highlight w:val="none"/>
          <w:lang w:val="en-US" w:eastAsia="zh-CN"/>
        </w:rPr>
        <w:t>新疆医科大学第八附属医院重大疫情防控救治基地配套辅助建设项目</w:t>
      </w:r>
      <w:r>
        <w:rPr>
          <w:rFonts w:hint="eastAsia" w:eastAsia="仿宋_GB2312"/>
          <w:color w:val="auto"/>
          <w:sz w:val="30"/>
          <w:highlight w:val="none"/>
        </w:rPr>
        <w:t>具有相关性，项目的预期产出效益和效果也均能符合正常的业绩水平，并且与预算确定的项目投资额或资金量相匹配。</w:t>
      </w:r>
    </w:p>
    <w:p w14:paraId="132031EF">
      <w:pPr>
        <w:spacing w:line="360" w:lineRule="auto"/>
        <w:ind w:firstLine="600" w:firstLineChars="200"/>
        <w:rPr>
          <w:rFonts w:eastAsia="仿宋_GB2312"/>
          <w:sz w:val="30"/>
          <w:highlight w:val="none"/>
        </w:rPr>
      </w:pPr>
      <w:r>
        <w:rPr>
          <w:rFonts w:hint="eastAsia" w:eastAsia="仿宋_GB2312"/>
          <w:sz w:val="30"/>
          <w:highlight w:val="none"/>
        </w:rPr>
        <w:t>4、绩效指标明确性</w:t>
      </w:r>
    </w:p>
    <w:p w14:paraId="574C282D">
      <w:pPr>
        <w:spacing w:line="360" w:lineRule="auto"/>
        <w:ind w:firstLine="600" w:firstLineChars="200"/>
        <w:rPr>
          <w:rFonts w:eastAsia="仿宋_GB2312"/>
          <w:color w:val="auto"/>
          <w:sz w:val="30"/>
          <w:highlight w:val="none"/>
        </w:rPr>
      </w:pPr>
      <w:bookmarkStart w:id="4" w:name="_Hlk68699917"/>
      <w:r>
        <w:rPr>
          <w:rFonts w:hint="eastAsia" w:eastAsia="仿宋_GB2312"/>
          <w:color w:val="auto"/>
          <w:sz w:val="30"/>
          <w:highlight w:val="none"/>
        </w:rPr>
        <w:t>自治区卫生健康委所属单位2023年地方政府债券资金（第二批）项目将项目绩效目标细化分解为具体的绩效指标，一级指标共</w:t>
      </w:r>
      <w:r>
        <w:rPr>
          <w:rFonts w:hint="eastAsia" w:eastAsia="仿宋_GB2312"/>
          <w:color w:val="auto"/>
          <w:sz w:val="30"/>
          <w:highlight w:val="none"/>
          <w:lang w:val="en-US" w:eastAsia="zh-CN"/>
        </w:rPr>
        <w:t>4</w:t>
      </w:r>
      <w:r>
        <w:rPr>
          <w:rFonts w:hint="eastAsia" w:eastAsia="仿宋_GB2312"/>
          <w:color w:val="auto"/>
          <w:sz w:val="30"/>
          <w:highlight w:val="none"/>
        </w:rPr>
        <w:t>条，二级指标共</w:t>
      </w:r>
      <w:r>
        <w:rPr>
          <w:rFonts w:hint="eastAsia" w:eastAsia="仿宋_GB2312"/>
          <w:color w:val="auto"/>
          <w:sz w:val="30"/>
          <w:highlight w:val="none"/>
          <w:lang w:val="en-US" w:eastAsia="zh-CN"/>
        </w:rPr>
        <w:t>7</w:t>
      </w:r>
      <w:r>
        <w:rPr>
          <w:rFonts w:hint="eastAsia" w:eastAsia="仿宋_GB2312"/>
          <w:color w:val="auto"/>
          <w:sz w:val="30"/>
          <w:highlight w:val="none"/>
        </w:rPr>
        <w:t>条，三级指标共</w:t>
      </w:r>
      <w:r>
        <w:rPr>
          <w:rFonts w:hint="eastAsia" w:eastAsia="仿宋_GB2312"/>
          <w:color w:val="auto"/>
          <w:sz w:val="30"/>
          <w:highlight w:val="none"/>
          <w:lang w:val="en-US" w:eastAsia="zh-CN"/>
        </w:rPr>
        <w:t>14</w:t>
      </w:r>
      <w:r>
        <w:rPr>
          <w:rFonts w:hint="eastAsia" w:eastAsia="仿宋_GB2312"/>
          <w:color w:val="auto"/>
          <w:sz w:val="30"/>
          <w:highlight w:val="none"/>
        </w:rPr>
        <w:t>条，其中量化指标条数共</w:t>
      </w:r>
      <w:r>
        <w:rPr>
          <w:rFonts w:hint="eastAsia" w:eastAsia="仿宋_GB2312"/>
          <w:color w:val="auto"/>
          <w:sz w:val="30"/>
          <w:highlight w:val="none"/>
          <w:lang w:val="en-US" w:eastAsia="zh-CN"/>
        </w:rPr>
        <w:t>13</w:t>
      </w:r>
      <w:r>
        <w:rPr>
          <w:rFonts w:hint="eastAsia" w:eastAsia="仿宋_GB2312"/>
          <w:color w:val="auto"/>
          <w:sz w:val="30"/>
          <w:highlight w:val="none"/>
        </w:rPr>
        <w:t>条，所有绩效指标均通过清晰、可衡量的指标值予以体现，并且做到了与项目目标任务数或计划数相对应。</w:t>
      </w:r>
      <w:bookmarkEnd w:id="4"/>
    </w:p>
    <w:p w14:paraId="02127D01">
      <w:pPr>
        <w:spacing w:line="360" w:lineRule="auto"/>
        <w:ind w:firstLine="600" w:firstLineChars="200"/>
        <w:rPr>
          <w:rFonts w:eastAsia="仿宋_GB2312"/>
          <w:sz w:val="30"/>
          <w:highlight w:val="none"/>
        </w:rPr>
      </w:pPr>
      <w:r>
        <w:rPr>
          <w:rFonts w:hint="eastAsia" w:eastAsia="仿宋_GB2312"/>
          <w:sz w:val="30"/>
          <w:highlight w:val="none"/>
        </w:rPr>
        <w:t>5、预算编制科学性</w:t>
      </w:r>
    </w:p>
    <w:p w14:paraId="2B67232C">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本项目的实施是贯彻落实党中央国务院提出的加强传染病防治原则的强有力措施，是切实保障广大人民群众身心健康和生命安全的实际行动，是维护社会稳定的物资保证。本项目的建设一方面能有效收治传染病患者，隔离就诊，遏制传染病病毒的传播，另一方面关系新疆社会的稳定和长治久安，关系对外开放、招商引资全局，而且关系全市老百姓的身体健康和生命安全，是市委、市政府着眼长远，立足当前，顺民心，得民意的一项重大举措。</w:t>
      </w:r>
    </w:p>
    <w:p w14:paraId="01C5E52C">
      <w:pPr>
        <w:spacing w:line="360" w:lineRule="auto"/>
        <w:ind w:firstLine="600" w:firstLineChars="200"/>
        <w:rPr>
          <w:rFonts w:eastAsia="仿宋_GB2312"/>
          <w:sz w:val="30"/>
          <w:highlight w:val="none"/>
        </w:rPr>
      </w:pPr>
      <w:r>
        <w:rPr>
          <w:rFonts w:hint="eastAsia" w:eastAsia="仿宋_GB2312"/>
          <w:sz w:val="30"/>
          <w:highlight w:val="none"/>
        </w:rPr>
        <w:t>6、资金分配合理性</w:t>
      </w:r>
    </w:p>
    <w:p w14:paraId="65C662DF">
      <w:pPr>
        <w:keepNext w:val="0"/>
        <w:keepLines w:val="0"/>
        <w:widowControl/>
        <w:suppressLineNumbers w:val="0"/>
        <w:ind w:firstLine="620" w:firstLineChars="200"/>
        <w:jc w:val="left"/>
        <w:rPr>
          <w:color w:val="auto"/>
        </w:rPr>
      </w:pPr>
      <w:r>
        <w:rPr>
          <w:rFonts w:ascii="仿宋_GB2312" w:hAnsi="仿宋_GB2312" w:eastAsia="仿宋_GB2312" w:cs="仿宋_GB2312"/>
          <w:color w:val="000000"/>
          <w:kern w:val="0"/>
          <w:sz w:val="31"/>
          <w:szCs w:val="31"/>
          <w:lang w:val="en-US" w:eastAsia="zh-CN" w:bidi="ar"/>
        </w:rPr>
        <w:t>按照《公共卫生防控救治能力建设方案》（发改社会〔2020〕0735 号）要求，新疆医科大学第八附属医院作为公共卫生服务体系的重要组成部分，在传染病防治中应发挥重要的作用，因此对传染病医院的医疗设施和应急技能提出了更高的要求。新疆医科大学第八附属医院依托现有诊疗条件，以“平战结合、分层分类、高效协作”为原则，构建分级分层分流的城市传染病救治网络，完善医院医疗救治流</w:t>
      </w:r>
      <w:r>
        <w:rPr>
          <w:rFonts w:ascii="仿宋_GB2312" w:hAnsi="仿宋_GB2312" w:eastAsia="仿宋_GB2312" w:cs="仿宋_GB2312"/>
          <w:color w:val="auto"/>
          <w:kern w:val="0"/>
          <w:sz w:val="31"/>
          <w:szCs w:val="31"/>
          <w:lang w:val="en-US" w:eastAsia="zh-CN" w:bidi="ar"/>
        </w:rPr>
        <w:t>程，全面提升传染病危重症患者救治能力。</w:t>
      </w:r>
    </w:p>
    <w:p w14:paraId="01088DA3">
      <w:pPr>
        <w:pStyle w:val="2"/>
        <w:numPr>
          <w:ilvl w:val="0"/>
          <w:numId w:val="5"/>
        </w:numPr>
        <w:spacing w:before="0" w:after="0" w:line="560" w:lineRule="exact"/>
        <w:ind w:firstLine="643" w:firstLineChars="200"/>
        <w:jc w:val="both"/>
        <w:rPr>
          <w:rFonts w:ascii="楷体" w:hAnsi="楷体" w:eastAsia="楷体" w:cs="楷体"/>
          <w:color w:val="auto"/>
          <w:highlight w:val="none"/>
        </w:rPr>
      </w:pPr>
      <w:r>
        <w:rPr>
          <w:rFonts w:hint="eastAsia" w:ascii="楷体" w:hAnsi="楷体" w:eastAsia="楷体" w:cs="楷体"/>
          <w:color w:val="auto"/>
          <w:highlight w:val="none"/>
        </w:rPr>
        <w:t>项目过程情况</w:t>
      </w:r>
    </w:p>
    <w:p w14:paraId="0D9E590A">
      <w:pPr>
        <w:ind w:firstLine="600" w:firstLineChars="200"/>
        <w:rPr>
          <w:rFonts w:eastAsia="仿宋_GB2312"/>
          <w:color w:val="auto"/>
          <w:sz w:val="30"/>
          <w:highlight w:val="none"/>
        </w:rPr>
      </w:pPr>
      <w:r>
        <w:rPr>
          <w:rFonts w:hint="eastAsia" w:eastAsia="仿宋_GB2312"/>
          <w:color w:val="auto"/>
          <w:sz w:val="30"/>
          <w:highlight w:val="none"/>
        </w:rPr>
        <w:t>1、资金到位率：</w:t>
      </w:r>
    </w:p>
    <w:p w14:paraId="631F0053">
      <w:pPr>
        <w:ind w:firstLine="600" w:firstLineChars="200"/>
        <w:rPr>
          <w:rFonts w:hint="eastAsia" w:eastAsia="仿宋_GB2312"/>
          <w:color w:val="auto"/>
          <w:sz w:val="30"/>
          <w:highlight w:val="none"/>
          <w:lang w:eastAsia="zh-CN"/>
        </w:rPr>
      </w:pPr>
      <w:r>
        <w:rPr>
          <w:rFonts w:hint="eastAsia" w:eastAsia="仿宋_GB2312"/>
          <w:color w:val="auto"/>
          <w:sz w:val="30"/>
          <w:highlight w:val="none"/>
        </w:rPr>
        <w:t>实际到位资金</w:t>
      </w:r>
      <w:r>
        <w:rPr>
          <w:rFonts w:hint="eastAsia" w:eastAsia="仿宋_GB2312"/>
          <w:color w:val="auto"/>
          <w:sz w:val="30"/>
          <w:highlight w:val="none"/>
          <w:lang w:val="en-US" w:eastAsia="zh-CN"/>
        </w:rPr>
        <w:t>3000</w:t>
      </w:r>
      <w:r>
        <w:rPr>
          <w:rFonts w:hint="eastAsia" w:eastAsia="仿宋_GB2312"/>
          <w:color w:val="auto"/>
          <w:sz w:val="30"/>
          <w:highlight w:val="none"/>
        </w:rPr>
        <w:t>万元，预算资金</w:t>
      </w:r>
      <w:r>
        <w:rPr>
          <w:rFonts w:hint="eastAsia" w:eastAsia="仿宋_GB2312"/>
          <w:color w:val="auto"/>
          <w:sz w:val="30"/>
          <w:highlight w:val="none"/>
          <w:lang w:val="en-US" w:eastAsia="zh-CN"/>
        </w:rPr>
        <w:t>3000</w:t>
      </w:r>
      <w:r>
        <w:rPr>
          <w:rFonts w:hint="eastAsia" w:eastAsia="仿宋_GB2312"/>
          <w:color w:val="auto"/>
          <w:sz w:val="30"/>
          <w:highlight w:val="none"/>
        </w:rPr>
        <w:t>万元，资金到位率</w:t>
      </w:r>
      <w:r>
        <w:rPr>
          <w:rFonts w:hint="eastAsia" w:eastAsia="仿宋_GB2312"/>
          <w:color w:val="auto"/>
          <w:sz w:val="30"/>
          <w:highlight w:val="none"/>
          <w:lang w:val="en-US" w:eastAsia="zh-CN"/>
        </w:rPr>
        <w:t>100</w:t>
      </w:r>
      <w:r>
        <w:rPr>
          <w:rFonts w:hint="eastAsia" w:eastAsia="仿宋_GB2312"/>
          <w:color w:val="auto"/>
          <w:sz w:val="30"/>
          <w:highlight w:val="none"/>
        </w:rPr>
        <w:t>%</w:t>
      </w:r>
      <w:r>
        <w:rPr>
          <w:rFonts w:hint="eastAsia" w:eastAsia="仿宋_GB2312"/>
          <w:color w:val="auto"/>
          <w:sz w:val="30"/>
          <w:highlight w:val="none"/>
          <w:lang w:eastAsia="zh-CN"/>
        </w:rPr>
        <w:t>。</w:t>
      </w:r>
    </w:p>
    <w:p w14:paraId="13FF8E39">
      <w:pPr>
        <w:ind w:firstLine="600" w:firstLineChars="200"/>
        <w:rPr>
          <w:rFonts w:eastAsia="仿宋_GB2312"/>
          <w:color w:val="auto"/>
          <w:sz w:val="30"/>
          <w:highlight w:val="none"/>
        </w:rPr>
      </w:pPr>
      <w:r>
        <w:rPr>
          <w:rFonts w:hint="eastAsia" w:eastAsia="仿宋_GB2312"/>
          <w:color w:val="auto"/>
          <w:sz w:val="30"/>
          <w:highlight w:val="none"/>
        </w:rPr>
        <w:t>2、预算执行率</w:t>
      </w:r>
    </w:p>
    <w:p w14:paraId="0497DC8F">
      <w:pPr>
        <w:ind w:firstLine="600" w:firstLineChars="200"/>
        <w:rPr>
          <w:rFonts w:hint="eastAsia" w:eastAsia="仿宋_GB2312"/>
          <w:color w:val="auto"/>
          <w:sz w:val="30"/>
          <w:highlight w:val="none"/>
          <w:lang w:val="en-US" w:eastAsia="zh-CN"/>
        </w:rPr>
      </w:pPr>
      <w:r>
        <w:rPr>
          <w:rFonts w:hint="eastAsia" w:eastAsia="仿宋_GB2312"/>
          <w:color w:val="auto"/>
          <w:sz w:val="30"/>
          <w:highlight w:val="none"/>
        </w:rPr>
        <w:t>年初预算数</w:t>
      </w:r>
      <w:r>
        <w:rPr>
          <w:rFonts w:hint="eastAsia" w:eastAsia="仿宋_GB2312"/>
          <w:color w:val="auto"/>
          <w:sz w:val="30"/>
          <w:highlight w:val="none"/>
          <w:lang w:val="en-US" w:eastAsia="zh-CN"/>
        </w:rPr>
        <w:t>3000</w:t>
      </w:r>
      <w:r>
        <w:rPr>
          <w:rFonts w:hint="eastAsia" w:eastAsia="仿宋_GB2312"/>
          <w:color w:val="auto"/>
          <w:sz w:val="30"/>
          <w:highlight w:val="none"/>
        </w:rPr>
        <w:t>万元，全年预算数</w:t>
      </w:r>
      <w:r>
        <w:rPr>
          <w:rFonts w:hint="eastAsia" w:eastAsia="仿宋_GB2312"/>
          <w:color w:val="auto"/>
          <w:sz w:val="30"/>
          <w:highlight w:val="none"/>
          <w:lang w:val="en-US" w:eastAsia="zh-CN"/>
        </w:rPr>
        <w:t>3000</w:t>
      </w:r>
      <w:r>
        <w:rPr>
          <w:rFonts w:hint="eastAsia" w:eastAsia="仿宋_GB2312"/>
          <w:color w:val="auto"/>
          <w:sz w:val="30"/>
          <w:highlight w:val="none"/>
        </w:rPr>
        <w:t>万元，全年执行数</w:t>
      </w:r>
      <w:r>
        <w:rPr>
          <w:rFonts w:hint="eastAsia" w:eastAsia="仿宋_GB2312"/>
          <w:color w:val="auto"/>
          <w:sz w:val="30"/>
          <w:highlight w:val="none"/>
          <w:lang w:val="en-US" w:eastAsia="zh-CN"/>
        </w:rPr>
        <w:t>3000</w:t>
      </w:r>
      <w:r>
        <w:rPr>
          <w:rFonts w:hint="eastAsia" w:eastAsia="仿宋_GB2312"/>
          <w:color w:val="auto"/>
          <w:sz w:val="30"/>
          <w:highlight w:val="none"/>
        </w:rPr>
        <w:t>万元，预算执行率为</w:t>
      </w:r>
      <w:r>
        <w:rPr>
          <w:rFonts w:hint="eastAsia" w:eastAsia="仿宋_GB2312"/>
          <w:color w:val="auto"/>
          <w:sz w:val="30"/>
          <w:highlight w:val="none"/>
          <w:lang w:val="en-US" w:eastAsia="zh-CN"/>
        </w:rPr>
        <w:t>100</w:t>
      </w:r>
      <w:r>
        <w:rPr>
          <w:rFonts w:hint="eastAsia" w:eastAsia="仿宋_GB2312"/>
          <w:color w:val="auto"/>
          <w:sz w:val="30"/>
          <w:highlight w:val="none"/>
        </w:rPr>
        <w:t>%</w:t>
      </w:r>
      <w:r>
        <w:rPr>
          <w:rFonts w:hint="eastAsia" w:eastAsia="仿宋_GB2312"/>
          <w:color w:val="auto"/>
          <w:sz w:val="30"/>
          <w:highlight w:val="none"/>
          <w:lang w:val="en-US" w:eastAsia="zh-CN"/>
        </w:rPr>
        <w:t>.</w:t>
      </w:r>
    </w:p>
    <w:p w14:paraId="11F72923">
      <w:pPr>
        <w:ind w:firstLine="600" w:firstLineChars="200"/>
        <w:rPr>
          <w:rFonts w:eastAsia="仿宋_GB2312"/>
          <w:color w:val="auto"/>
          <w:sz w:val="30"/>
          <w:highlight w:val="none"/>
        </w:rPr>
      </w:pPr>
      <w:r>
        <w:rPr>
          <w:rFonts w:hint="eastAsia" w:eastAsia="仿宋_GB2312"/>
          <w:color w:val="auto"/>
          <w:sz w:val="30"/>
          <w:highlight w:val="none"/>
        </w:rPr>
        <w:t>3、资金使用合规性</w:t>
      </w:r>
    </w:p>
    <w:p w14:paraId="076B2CA3">
      <w:pPr>
        <w:ind w:firstLine="600" w:firstLineChars="200"/>
        <w:rPr>
          <w:rFonts w:hint="eastAsia" w:eastAsia="仿宋_GB2312"/>
          <w:color w:val="auto"/>
          <w:sz w:val="30"/>
          <w:highlight w:val="none"/>
        </w:rPr>
      </w:pPr>
      <w:r>
        <w:rPr>
          <w:rFonts w:hint="eastAsia" w:eastAsia="仿宋_GB2312"/>
          <w:color w:val="auto"/>
          <w:sz w:val="30"/>
          <w:highlight w:val="none"/>
        </w:rPr>
        <w:t>自治区安排新疆医科大学第八附属医院</w:t>
      </w:r>
      <w:r>
        <w:rPr>
          <w:rFonts w:hint="eastAsia" w:eastAsia="仿宋_GB2312"/>
          <w:color w:val="auto"/>
          <w:sz w:val="30"/>
          <w:highlight w:val="none"/>
          <w:lang w:eastAsia="zh-CN"/>
        </w:rPr>
        <w:t>专项债券政府性基金预算项</w:t>
      </w:r>
      <w:r>
        <w:rPr>
          <w:rFonts w:hint="eastAsia" w:eastAsia="仿宋_GB2312"/>
          <w:color w:val="auto"/>
          <w:sz w:val="30"/>
          <w:highlight w:val="none"/>
        </w:rPr>
        <w:t>目拨款</w:t>
      </w:r>
      <w:r>
        <w:rPr>
          <w:rFonts w:hint="eastAsia" w:eastAsia="仿宋_GB2312"/>
          <w:color w:val="auto"/>
          <w:sz w:val="30"/>
          <w:highlight w:val="none"/>
          <w:lang w:val="en-US" w:eastAsia="zh-CN"/>
        </w:rPr>
        <w:t>3000</w:t>
      </w:r>
      <w:r>
        <w:rPr>
          <w:rFonts w:hint="eastAsia" w:eastAsia="仿宋_GB2312"/>
          <w:color w:val="auto"/>
          <w:sz w:val="30"/>
          <w:highlight w:val="none"/>
        </w:rPr>
        <w:t>万元。项目单位要严格资金管理，建立项目经费管理机制，有效利用项目资金，做到专款专用。项目资金于2023年12月执行完毕。每季度末要达到序时进度，进行支付进度监控。</w:t>
      </w:r>
    </w:p>
    <w:p w14:paraId="3DBC0627">
      <w:pPr>
        <w:rPr>
          <w:rFonts w:eastAsia="仿宋_GB2312"/>
          <w:color w:val="auto"/>
          <w:sz w:val="30"/>
          <w:highlight w:val="none"/>
        </w:rPr>
      </w:pPr>
      <w:r>
        <w:rPr>
          <w:rFonts w:hint="eastAsia" w:eastAsia="仿宋_GB2312"/>
          <w:color w:val="auto"/>
          <w:sz w:val="30"/>
          <w:highlight w:val="none"/>
        </w:rPr>
        <w:t>4、管理制度健全性</w:t>
      </w:r>
    </w:p>
    <w:p w14:paraId="019759CC">
      <w:pPr>
        <w:ind w:firstLine="620" w:firstLineChars="200"/>
        <w:rPr>
          <w:rFonts w:ascii="仿宋_GB2312" w:hAnsi="仿宋_GB2312" w:eastAsia="仿宋_GB2312" w:cs="仿宋_GB2312"/>
          <w:color w:val="auto"/>
          <w:kern w:val="0"/>
          <w:sz w:val="31"/>
          <w:szCs w:val="31"/>
          <w:lang w:val="en-US" w:eastAsia="zh-CN" w:bidi="ar"/>
        </w:rPr>
      </w:pPr>
      <w:r>
        <w:rPr>
          <w:rFonts w:ascii="仿宋_GB2312" w:hAnsi="仿宋_GB2312" w:eastAsia="仿宋_GB2312" w:cs="仿宋_GB2312"/>
          <w:color w:val="000000"/>
          <w:kern w:val="0"/>
          <w:sz w:val="31"/>
          <w:szCs w:val="31"/>
          <w:lang w:val="en-US" w:eastAsia="zh-CN" w:bidi="ar"/>
        </w:rPr>
        <w:t>按照《公共卫生防控救治能力建设方案》（发改社会〔2020〕0735 号）要求，新疆医科大学第八附属医院作为公共卫生服务体系的重要组成部分，在传染病防治中应发挥重要的作用，因此对传染病医院的医疗设施和应急技能提出了更高的要求。新疆医科大学第八附属医院依托现有诊疗条件，以“平战结合、分层分类、高效协作”为原则，构建分级分层分流的城市传染病救治网络，完善医院医疗救治流</w:t>
      </w:r>
      <w:r>
        <w:rPr>
          <w:rFonts w:ascii="仿宋_GB2312" w:hAnsi="仿宋_GB2312" w:eastAsia="仿宋_GB2312" w:cs="仿宋_GB2312"/>
          <w:color w:val="auto"/>
          <w:kern w:val="0"/>
          <w:sz w:val="31"/>
          <w:szCs w:val="31"/>
          <w:lang w:val="en-US" w:eastAsia="zh-CN" w:bidi="ar"/>
        </w:rPr>
        <w:t>程，全面提升传染病危重症患者救治能力。</w:t>
      </w:r>
    </w:p>
    <w:p w14:paraId="2089A89A">
      <w:pPr>
        <w:rPr>
          <w:rFonts w:eastAsia="仿宋_GB2312"/>
          <w:color w:val="auto"/>
          <w:sz w:val="30"/>
          <w:highlight w:val="none"/>
        </w:rPr>
      </w:pPr>
      <w:r>
        <w:rPr>
          <w:rFonts w:hint="eastAsia" w:eastAsia="仿宋_GB2312"/>
          <w:color w:val="auto"/>
          <w:sz w:val="30"/>
          <w:highlight w:val="none"/>
        </w:rPr>
        <w:t>5、制度执行有效性</w:t>
      </w:r>
    </w:p>
    <w:p w14:paraId="74299CD9">
      <w:pPr>
        <w:ind w:firstLine="600" w:firstLineChars="200"/>
        <w:rPr>
          <w:rFonts w:hint="eastAsia" w:eastAsia="仿宋_GB2312"/>
          <w:color w:val="auto"/>
          <w:sz w:val="30"/>
          <w:highlight w:val="none"/>
        </w:rPr>
      </w:pPr>
      <w:r>
        <w:rPr>
          <w:rFonts w:hint="eastAsia" w:eastAsia="仿宋_GB2312"/>
          <w:color w:val="auto"/>
          <w:sz w:val="30"/>
          <w:highlight w:val="none"/>
        </w:rPr>
        <w:t>自治区安排新疆医科大学第八附属医院</w:t>
      </w:r>
      <w:r>
        <w:rPr>
          <w:rFonts w:hint="eastAsia" w:eastAsia="仿宋_GB2312"/>
          <w:color w:val="auto"/>
          <w:sz w:val="30"/>
          <w:highlight w:val="none"/>
          <w:lang w:eastAsia="zh-CN"/>
        </w:rPr>
        <w:t>专项债券政府性基金预算项</w:t>
      </w:r>
      <w:r>
        <w:rPr>
          <w:rFonts w:hint="eastAsia" w:eastAsia="仿宋_GB2312"/>
          <w:color w:val="auto"/>
          <w:sz w:val="30"/>
          <w:highlight w:val="none"/>
        </w:rPr>
        <w:t>目拨款</w:t>
      </w:r>
      <w:r>
        <w:rPr>
          <w:rFonts w:hint="eastAsia" w:eastAsia="仿宋_GB2312"/>
          <w:color w:val="auto"/>
          <w:sz w:val="30"/>
          <w:highlight w:val="none"/>
          <w:lang w:val="en-US" w:eastAsia="zh-CN"/>
        </w:rPr>
        <w:t>3000</w:t>
      </w:r>
      <w:r>
        <w:rPr>
          <w:rFonts w:hint="eastAsia" w:eastAsia="仿宋_GB2312"/>
          <w:color w:val="auto"/>
          <w:sz w:val="30"/>
          <w:highlight w:val="none"/>
        </w:rPr>
        <w:t>万元。项目单位要严格资金管理，建立项目经费管理机制，有效利用项目资金，做到专款专用。项目资金于2023年12月执行完毕。每季度末要达到序时进度，进行支付进度监控。</w:t>
      </w:r>
    </w:p>
    <w:p w14:paraId="2EB994E8">
      <w:pPr>
        <w:pStyle w:val="10"/>
        <w:numPr>
          <w:ilvl w:val="0"/>
          <w:numId w:val="5"/>
        </w:numPr>
        <w:spacing w:line="560" w:lineRule="exact"/>
        <w:ind w:firstLine="640"/>
        <w:rPr>
          <w:rFonts w:eastAsia="楷体_GB2312"/>
          <w:b/>
          <w:bCs/>
          <w:sz w:val="32"/>
          <w:szCs w:val="32"/>
          <w:highlight w:val="none"/>
        </w:rPr>
      </w:pPr>
      <w:r>
        <w:rPr>
          <w:rFonts w:eastAsia="楷体_GB2312"/>
          <w:b/>
          <w:bCs/>
          <w:sz w:val="32"/>
          <w:szCs w:val="32"/>
          <w:highlight w:val="none"/>
        </w:rPr>
        <w:t>项目产出</w:t>
      </w:r>
    </w:p>
    <w:p w14:paraId="676089FE">
      <w:pPr>
        <w:snapToGrid w:val="0"/>
        <w:spacing w:line="560" w:lineRule="exact"/>
        <w:ind w:firstLine="627" w:firstLineChars="200"/>
        <w:rPr>
          <w:rStyle w:val="14"/>
          <w:rFonts w:eastAsia="仿宋_GB2312"/>
          <w:bCs w:val="0"/>
          <w:spacing w:val="-4"/>
          <w:sz w:val="32"/>
          <w:szCs w:val="32"/>
          <w:highlight w:val="none"/>
        </w:rPr>
      </w:pPr>
      <w:r>
        <w:rPr>
          <w:rStyle w:val="14"/>
          <w:rFonts w:eastAsia="仿宋_GB2312"/>
          <w:bCs w:val="0"/>
          <w:spacing w:val="-4"/>
          <w:sz w:val="32"/>
          <w:szCs w:val="32"/>
          <w:highlight w:val="none"/>
        </w:rPr>
        <w:t>数量指标方面：</w:t>
      </w:r>
    </w:p>
    <w:p w14:paraId="12C64C90">
      <w:pPr>
        <w:snapToGrid w:val="0"/>
        <w:spacing w:line="560" w:lineRule="exact"/>
        <w:ind w:firstLine="624" w:firstLineChars="200"/>
        <w:rPr>
          <w:rStyle w:val="14"/>
          <w:rFonts w:eastAsia="仿宋_GB2312"/>
          <w:b w:val="0"/>
          <w:spacing w:val="-4"/>
          <w:sz w:val="32"/>
          <w:szCs w:val="32"/>
          <w:highlight w:val="none"/>
        </w:rPr>
      </w:pPr>
      <w:r>
        <w:rPr>
          <w:rStyle w:val="14"/>
          <w:rFonts w:eastAsia="仿宋_GB2312"/>
          <w:b w:val="0"/>
          <w:spacing w:val="-4"/>
          <w:sz w:val="32"/>
          <w:szCs w:val="32"/>
          <w:highlight w:val="none"/>
        </w:rPr>
        <w:t>指标1：</w:t>
      </w:r>
      <w:r>
        <w:rPr>
          <w:rStyle w:val="14"/>
          <w:rFonts w:hint="eastAsia" w:eastAsia="仿宋_GB2312"/>
          <w:b w:val="0"/>
          <w:spacing w:val="-4"/>
          <w:sz w:val="32"/>
          <w:szCs w:val="32"/>
          <w:highlight w:val="none"/>
        </w:rPr>
        <w:t>防控救治综合服务楼</w:t>
      </w:r>
      <w:r>
        <w:rPr>
          <w:rStyle w:val="14"/>
          <w:rFonts w:eastAsia="仿宋_GB2312"/>
          <w:b w:val="0"/>
          <w:spacing w:val="-4"/>
          <w:sz w:val="32"/>
          <w:szCs w:val="32"/>
          <w:highlight w:val="none"/>
        </w:rPr>
        <w:t>，指标值：</w:t>
      </w:r>
      <w:r>
        <w:rPr>
          <w:rStyle w:val="14"/>
          <w:rFonts w:hint="eastAsia" w:eastAsia="仿宋_GB2312"/>
          <w:b w:val="0"/>
          <w:spacing w:val="-4"/>
          <w:sz w:val="32"/>
          <w:szCs w:val="32"/>
          <w:highlight w:val="none"/>
        </w:rPr>
        <w:t>=9331平方米</w:t>
      </w:r>
      <w:r>
        <w:rPr>
          <w:rStyle w:val="14"/>
          <w:rFonts w:eastAsia="仿宋_GB2312"/>
          <w:b w:val="0"/>
          <w:spacing w:val="-4"/>
          <w:sz w:val="32"/>
          <w:szCs w:val="32"/>
          <w:highlight w:val="none"/>
        </w:rPr>
        <w:t>，实际完成值：</w:t>
      </w:r>
      <w:r>
        <w:rPr>
          <w:rStyle w:val="14"/>
          <w:rFonts w:hint="eastAsia" w:eastAsia="仿宋_GB2312"/>
          <w:b w:val="0"/>
          <w:spacing w:val="-4"/>
          <w:sz w:val="32"/>
          <w:szCs w:val="32"/>
          <w:highlight w:val="none"/>
        </w:rPr>
        <w:t>9331平方米</w:t>
      </w:r>
      <w:r>
        <w:rPr>
          <w:rStyle w:val="14"/>
          <w:rFonts w:eastAsia="仿宋_GB2312"/>
          <w:b w:val="0"/>
          <w:spacing w:val="-4"/>
          <w:sz w:val="32"/>
          <w:szCs w:val="32"/>
          <w:highlight w:val="none"/>
        </w:rPr>
        <w:t>，指标完成率</w:t>
      </w:r>
      <w:r>
        <w:rPr>
          <w:rStyle w:val="14"/>
          <w:rFonts w:hint="eastAsia" w:eastAsia="仿宋_GB2312"/>
          <w:b w:val="0"/>
          <w:spacing w:val="-4"/>
          <w:sz w:val="32"/>
          <w:szCs w:val="32"/>
          <w:highlight w:val="none"/>
          <w:lang w:val="en-US" w:eastAsia="zh-CN"/>
        </w:rPr>
        <w:t>100</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w:t>
      </w:r>
      <w:r>
        <w:rPr>
          <w:rStyle w:val="14"/>
          <w:rFonts w:hint="eastAsia" w:eastAsia="仿宋_GB2312"/>
          <w:b w:val="0"/>
          <w:spacing w:val="-4"/>
          <w:sz w:val="32"/>
          <w:szCs w:val="32"/>
          <w:highlight w:val="none"/>
          <w:lang w:eastAsia="zh-Hans"/>
        </w:rPr>
        <w:t>偏差原因：</w:t>
      </w:r>
      <w:r>
        <w:rPr>
          <w:rStyle w:val="14"/>
          <w:rFonts w:hint="eastAsia" w:eastAsia="仿宋_GB2312"/>
          <w:b w:val="0"/>
          <w:spacing w:val="-4"/>
          <w:sz w:val="32"/>
          <w:szCs w:val="32"/>
          <w:highlight w:val="none"/>
          <w:lang w:eastAsia="zh-CN"/>
        </w:rPr>
        <w:t>无</w:t>
      </w:r>
      <w:r>
        <w:rPr>
          <w:rStyle w:val="14"/>
          <w:rFonts w:eastAsia="仿宋_GB2312"/>
          <w:b w:val="0"/>
          <w:spacing w:val="-4"/>
          <w:sz w:val="32"/>
          <w:szCs w:val="32"/>
          <w:highlight w:val="none"/>
        </w:rPr>
        <w:t>；</w:t>
      </w:r>
    </w:p>
    <w:p w14:paraId="05D5DC6C">
      <w:pPr>
        <w:snapToGrid w:val="0"/>
        <w:spacing w:line="560" w:lineRule="exact"/>
        <w:ind w:firstLine="624" w:firstLineChars="200"/>
        <w:rPr>
          <w:rStyle w:val="14"/>
          <w:rFonts w:eastAsia="仿宋_GB2312"/>
          <w:b w:val="0"/>
          <w:spacing w:val="-4"/>
          <w:sz w:val="32"/>
          <w:szCs w:val="32"/>
          <w:highlight w:val="none"/>
        </w:rPr>
      </w:pPr>
      <w:r>
        <w:rPr>
          <w:rStyle w:val="14"/>
          <w:rFonts w:eastAsia="仿宋_GB2312"/>
          <w:b w:val="0"/>
          <w:spacing w:val="-4"/>
          <w:sz w:val="32"/>
          <w:szCs w:val="32"/>
          <w:highlight w:val="none"/>
        </w:rPr>
        <w:t>指标</w:t>
      </w:r>
      <w:r>
        <w:rPr>
          <w:rStyle w:val="14"/>
          <w:rFonts w:hint="eastAsia" w:eastAsia="仿宋_GB2312"/>
          <w:b w:val="0"/>
          <w:spacing w:val="-4"/>
          <w:sz w:val="32"/>
          <w:szCs w:val="32"/>
          <w:highlight w:val="none"/>
          <w:lang w:val="en-US" w:eastAsia="zh-CN"/>
        </w:rPr>
        <w:t>2</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医疗垃圾房</w:t>
      </w:r>
      <w:r>
        <w:rPr>
          <w:rStyle w:val="14"/>
          <w:rFonts w:eastAsia="仿宋_GB2312"/>
          <w:b w:val="0"/>
          <w:spacing w:val="-4"/>
          <w:sz w:val="32"/>
          <w:szCs w:val="32"/>
          <w:highlight w:val="none"/>
        </w:rPr>
        <w:t>，指标值：</w:t>
      </w:r>
      <w:r>
        <w:rPr>
          <w:rStyle w:val="14"/>
          <w:rFonts w:hint="eastAsia" w:eastAsia="仿宋_GB2312"/>
          <w:b w:val="0"/>
          <w:spacing w:val="-4"/>
          <w:sz w:val="32"/>
          <w:szCs w:val="32"/>
          <w:highlight w:val="none"/>
        </w:rPr>
        <w:t>=202平方米</w:t>
      </w:r>
      <w:r>
        <w:rPr>
          <w:rStyle w:val="14"/>
          <w:rFonts w:eastAsia="仿宋_GB2312"/>
          <w:b w:val="0"/>
          <w:spacing w:val="-4"/>
          <w:sz w:val="32"/>
          <w:szCs w:val="32"/>
          <w:highlight w:val="none"/>
        </w:rPr>
        <w:t>，实际完成值：</w:t>
      </w:r>
      <w:r>
        <w:rPr>
          <w:rStyle w:val="14"/>
          <w:rFonts w:hint="eastAsia" w:eastAsia="仿宋_GB2312"/>
          <w:b w:val="0"/>
          <w:spacing w:val="-4"/>
          <w:sz w:val="32"/>
          <w:szCs w:val="32"/>
          <w:highlight w:val="none"/>
        </w:rPr>
        <w:t>202平方米</w:t>
      </w:r>
      <w:r>
        <w:rPr>
          <w:rStyle w:val="14"/>
          <w:rFonts w:eastAsia="仿宋_GB2312"/>
          <w:b w:val="0"/>
          <w:spacing w:val="-4"/>
          <w:sz w:val="32"/>
          <w:szCs w:val="32"/>
          <w:highlight w:val="none"/>
        </w:rPr>
        <w:t>，指标完成率</w:t>
      </w:r>
      <w:r>
        <w:rPr>
          <w:rStyle w:val="14"/>
          <w:rFonts w:hint="eastAsia" w:eastAsia="仿宋_GB2312"/>
          <w:b w:val="0"/>
          <w:spacing w:val="-4"/>
          <w:sz w:val="32"/>
          <w:szCs w:val="32"/>
          <w:highlight w:val="none"/>
          <w:lang w:val="en-US" w:eastAsia="zh-CN"/>
        </w:rPr>
        <w:t>100</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w:t>
      </w:r>
      <w:r>
        <w:rPr>
          <w:rStyle w:val="14"/>
          <w:rFonts w:hint="eastAsia" w:eastAsia="仿宋_GB2312"/>
          <w:b w:val="0"/>
          <w:spacing w:val="-4"/>
          <w:sz w:val="32"/>
          <w:szCs w:val="32"/>
          <w:highlight w:val="none"/>
          <w:lang w:eastAsia="zh-Hans"/>
        </w:rPr>
        <w:t>偏差原因：</w:t>
      </w:r>
      <w:r>
        <w:rPr>
          <w:rStyle w:val="14"/>
          <w:rFonts w:hint="eastAsia" w:eastAsia="仿宋_GB2312"/>
          <w:b w:val="0"/>
          <w:spacing w:val="-4"/>
          <w:sz w:val="32"/>
          <w:szCs w:val="32"/>
          <w:highlight w:val="none"/>
          <w:lang w:eastAsia="zh-CN"/>
        </w:rPr>
        <w:t>无</w:t>
      </w:r>
    </w:p>
    <w:p w14:paraId="72322C64">
      <w:pPr>
        <w:snapToGrid w:val="0"/>
        <w:spacing w:line="560" w:lineRule="exact"/>
        <w:ind w:firstLine="624" w:firstLineChars="200"/>
        <w:rPr>
          <w:rStyle w:val="14"/>
          <w:rFonts w:eastAsia="仿宋_GB2312"/>
          <w:b w:val="0"/>
          <w:spacing w:val="-4"/>
          <w:sz w:val="32"/>
          <w:szCs w:val="32"/>
          <w:highlight w:val="none"/>
        </w:rPr>
      </w:pPr>
      <w:r>
        <w:rPr>
          <w:rStyle w:val="14"/>
          <w:rFonts w:eastAsia="仿宋_GB2312"/>
          <w:b w:val="0"/>
          <w:spacing w:val="-4"/>
          <w:sz w:val="32"/>
          <w:szCs w:val="32"/>
          <w:highlight w:val="none"/>
        </w:rPr>
        <w:t>指标</w:t>
      </w:r>
      <w:r>
        <w:rPr>
          <w:rStyle w:val="14"/>
          <w:rFonts w:hint="eastAsia" w:eastAsia="仿宋_GB2312"/>
          <w:b w:val="0"/>
          <w:spacing w:val="-4"/>
          <w:sz w:val="32"/>
          <w:szCs w:val="32"/>
          <w:highlight w:val="none"/>
          <w:lang w:val="en-US" w:eastAsia="zh-CN"/>
        </w:rPr>
        <w:t>3</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污水处理站</w:t>
      </w:r>
      <w:r>
        <w:rPr>
          <w:rStyle w:val="14"/>
          <w:rFonts w:eastAsia="仿宋_GB2312"/>
          <w:b w:val="0"/>
          <w:spacing w:val="-4"/>
          <w:sz w:val="32"/>
          <w:szCs w:val="32"/>
          <w:highlight w:val="none"/>
        </w:rPr>
        <w:t>，指标值：</w:t>
      </w:r>
      <w:r>
        <w:rPr>
          <w:rStyle w:val="14"/>
          <w:rFonts w:hint="eastAsia" w:eastAsia="仿宋_GB2312"/>
          <w:b w:val="0"/>
          <w:spacing w:val="-4"/>
          <w:sz w:val="32"/>
          <w:szCs w:val="32"/>
          <w:highlight w:val="none"/>
        </w:rPr>
        <w:t>=416平方米</w:t>
      </w:r>
      <w:r>
        <w:rPr>
          <w:rStyle w:val="14"/>
          <w:rFonts w:eastAsia="仿宋_GB2312"/>
          <w:b w:val="0"/>
          <w:spacing w:val="-4"/>
          <w:sz w:val="32"/>
          <w:szCs w:val="32"/>
          <w:highlight w:val="none"/>
        </w:rPr>
        <w:t>，实际完成值：</w:t>
      </w:r>
      <w:r>
        <w:rPr>
          <w:rStyle w:val="14"/>
          <w:rFonts w:hint="eastAsia" w:eastAsia="仿宋_GB2312"/>
          <w:b w:val="0"/>
          <w:spacing w:val="-4"/>
          <w:sz w:val="32"/>
          <w:szCs w:val="32"/>
          <w:highlight w:val="none"/>
          <w:lang w:val="en-US" w:eastAsia="zh-CN"/>
        </w:rPr>
        <w:t>416</w:t>
      </w:r>
      <w:r>
        <w:rPr>
          <w:rStyle w:val="14"/>
          <w:rFonts w:hint="eastAsia" w:eastAsia="仿宋_GB2312"/>
          <w:b w:val="0"/>
          <w:spacing w:val="-4"/>
          <w:sz w:val="32"/>
          <w:szCs w:val="32"/>
          <w:highlight w:val="none"/>
        </w:rPr>
        <w:t>平方米</w:t>
      </w:r>
      <w:r>
        <w:rPr>
          <w:rStyle w:val="14"/>
          <w:rFonts w:eastAsia="仿宋_GB2312"/>
          <w:b w:val="0"/>
          <w:spacing w:val="-4"/>
          <w:sz w:val="32"/>
          <w:szCs w:val="32"/>
          <w:highlight w:val="none"/>
        </w:rPr>
        <w:t>，指标完成率</w:t>
      </w:r>
      <w:r>
        <w:rPr>
          <w:rStyle w:val="14"/>
          <w:rFonts w:hint="eastAsia" w:eastAsia="仿宋_GB2312"/>
          <w:b w:val="0"/>
          <w:spacing w:val="-4"/>
          <w:sz w:val="32"/>
          <w:szCs w:val="32"/>
          <w:highlight w:val="none"/>
          <w:lang w:val="en-US" w:eastAsia="zh-CN"/>
        </w:rPr>
        <w:t>100</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w:t>
      </w:r>
      <w:r>
        <w:rPr>
          <w:rStyle w:val="14"/>
          <w:rFonts w:hint="eastAsia" w:eastAsia="仿宋_GB2312"/>
          <w:b w:val="0"/>
          <w:spacing w:val="-4"/>
          <w:sz w:val="32"/>
          <w:szCs w:val="32"/>
          <w:highlight w:val="none"/>
          <w:lang w:eastAsia="zh-Hans"/>
        </w:rPr>
        <w:t>偏差原因：</w:t>
      </w:r>
      <w:r>
        <w:rPr>
          <w:rStyle w:val="14"/>
          <w:rFonts w:hint="eastAsia" w:eastAsia="仿宋_GB2312"/>
          <w:b w:val="0"/>
          <w:spacing w:val="-4"/>
          <w:sz w:val="32"/>
          <w:szCs w:val="32"/>
          <w:highlight w:val="none"/>
          <w:lang w:eastAsia="zh-CN"/>
        </w:rPr>
        <w:t>无</w:t>
      </w:r>
      <w:r>
        <w:rPr>
          <w:rStyle w:val="14"/>
          <w:rFonts w:eastAsia="仿宋_GB2312"/>
          <w:b w:val="0"/>
          <w:spacing w:val="-4"/>
          <w:sz w:val="32"/>
          <w:szCs w:val="32"/>
          <w:highlight w:val="none"/>
        </w:rPr>
        <w:t>；</w:t>
      </w:r>
    </w:p>
    <w:p w14:paraId="443846AD">
      <w:pPr>
        <w:snapToGrid w:val="0"/>
        <w:spacing w:line="560" w:lineRule="exact"/>
        <w:ind w:firstLine="624" w:firstLineChars="200"/>
        <w:rPr>
          <w:rStyle w:val="14"/>
          <w:rFonts w:eastAsia="仿宋_GB2312"/>
          <w:b w:val="0"/>
          <w:spacing w:val="-4"/>
          <w:sz w:val="32"/>
          <w:szCs w:val="32"/>
          <w:highlight w:val="none"/>
        </w:rPr>
      </w:pPr>
      <w:r>
        <w:rPr>
          <w:rStyle w:val="14"/>
          <w:rFonts w:eastAsia="仿宋_GB2312"/>
          <w:b w:val="0"/>
          <w:spacing w:val="-4"/>
          <w:sz w:val="32"/>
          <w:szCs w:val="32"/>
          <w:highlight w:val="none"/>
        </w:rPr>
        <w:t>指标</w:t>
      </w:r>
      <w:r>
        <w:rPr>
          <w:rStyle w:val="14"/>
          <w:rFonts w:hint="eastAsia" w:eastAsia="仿宋_GB2312"/>
          <w:b w:val="0"/>
          <w:spacing w:val="-4"/>
          <w:sz w:val="32"/>
          <w:szCs w:val="32"/>
          <w:highlight w:val="none"/>
          <w:lang w:val="en-US" w:eastAsia="zh-CN"/>
        </w:rPr>
        <w:t>4</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门卫室（3组）</w:t>
      </w:r>
      <w:r>
        <w:rPr>
          <w:rStyle w:val="14"/>
          <w:rFonts w:eastAsia="仿宋_GB2312"/>
          <w:b w:val="0"/>
          <w:spacing w:val="-4"/>
          <w:sz w:val="32"/>
          <w:szCs w:val="32"/>
          <w:highlight w:val="none"/>
        </w:rPr>
        <w:t>，指标值：</w:t>
      </w:r>
      <w:r>
        <w:rPr>
          <w:rStyle w:val="14"/>
          <w:rFonts w:hint="eastAsia" w:eastAsia="仿宋_GB2312"/>
          <w:b w:val="0"/>
          <w:spacing w:val="-4"/>
          <w:sz w:val="32"/>
          <w:szCs w:val="32"/>
          <w:highlight w:val="none"/>
        </w:rPr>
        <w:t>=169平方米</w:t>
      </w:r>
      <w:r>
        <w:rPr>
          <w:rStyle w:val="14"/>
          <w:rFonts w:eastAsia="仿宋_GB2312"/>
          <w:b w:val="0"/>
          <w:spacing w:val="-4"/>
          <w:sz w:val="32"/>
          <w:szCs w:val="32"/>
          <w:highlight w:val="none"/>
        </w:rPr>
        <w:t>，实际完成值：</w:t>
      </w:r>
      <w:r>
        <w:rPr>
          <w:rStyle w:val="14"/>
          <w:rFonts w:hint="eastAsia" w:eastAsia="仿宋_GB2312"/>
          <w:b w:val="0"/>
          <w:spacing w:val="-4"/>
          <w:sz w:val="32"/>
          <w:szCs w:val="32"/>
          <w:highlight w:val="none"/>
          <w:lang w:val="en-US" w:eastAsia="zh-CN"/>
        </w:rPr>
        <w:t>169</w:t>
      </w:r>
      <w:r>
        <w:rPr>
          <w:rStyle w:val="14"/>
          <w:rFonts w:hint="eastAsia" w:eastAsia="仿宋_GB2312"/>
          <w:b w:val="0"/>
          <w:spacing w:val="-4"/>
          <w:sz w:val="32"/>
          <w:szCs w:val="32"/>
          <w:highlight w:val="none"/>
        </w:rPr>
        <w:t>平方米</w:t>
      </w:r>
      <w:r>
        <w:rPr>
          <w:rStyle w:val="14"/>
          <w:rFonts w:eastAsia="仿宋_GB2312"/>
          <w:b w:val="0"/>
          <w:spacing w:val="-4"/>
          <w:sz w:val="32"/>
          <w:szCs w:val="32"/>
          <w:highlight w:val="none"/>
        </w:rPr>
        <w:t>，指标完成率</w:t>
      </w:r>
      <w:r>
        <w:rPr>
          <w:rStyle w:val="14"/>
          <w:rFonts w:hint="eastAsia" w:eastAsia="仿宋_GB2312"/>
          <w:b w:val="0"/>
          <w:spacing w:val="-4"/>
          <w:sz w:val="32"/>
          <w:szCs w:val="32"/>
          <w:highlight w:val="none"/>
          <w:lang w:val="en-US" w:eastAsia="zh-CN"/>
        </w:rPr>
        <w:t>100</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w:t>
      </w:r>
      <w:r>
        <w:rPr>
          <w:rStyle w:val="14"/>
          <w:rFonts w:hint="eastAsia" w:eastAsia="仿宋_GB2312"/>
          <w:b w:val="0"/>
          <w:spacing w:val="-4"/>
          <w:sz w:val="32"/>
          <w:szCs w:val="32"/>
          <w:highlight w:val="none"/>
          <w:lang w:eastAsia="zh-Hans"/>
        </w:rPr>
        <w:t>偏差原因：</w:t>
      </w:r>
      <w:r>
        <w:rPr>
          <w:rStyle w:val="14"/>
          <w:rFonts w:hint="eastAsia" w:eastAsia="仿宋_GB2312"/>
          <w:b w:val="0"/>
          <w:spacing w:val="-4"/>
          <w:sz w:val="32"/>
          <w:szCs w:val="32"/>
          <w:highlight w:val="none"/>
          <w:lang w:eastAsia="zh-CN"/>
        </w:rPr>
        <w:t>无</w:t>
      </w:r>
      <w:r>
        <w:rPr>
          <w:rStyle w:val="14"/>
          <w:rFonts w:eastAsia="仿宋_GB2312"/>
          <w:b w:val="0"/>
          <w:spacing w:val="-4"/>
          <w:sz w:val="32"/>
          <w:szCs w:val="32"/>
          <w:highlight w:val="none"/>
        </w:rPr>
        <w:t>；</w:t>
      </w:r>
    </w:p>
    <w:p w14:paraId="4E5DB7A2">
      <w:pPr>
        <w:snapToGrid w:val="0"/>
        <w:spacing w:line="560" w:lineRule="exact"/>
        <w:ind w:firstLine="624" w:firstLineChars="200"/>
        <w:rPr>
          <w:rStyle w:val="14"/>
          <w:rFonts w:eastAsia="仿宋_GB2312"/>
          <w:b w:val="0"/>
          <w:spacing w:val="-4"/>
          <w:sz w:val="32"/>
          <w:szCs w:val="32"/>
          <w:highlight w:val="none"/>
        </w:rPr>
      </w:pPr>
      <w:r>
        <w:rPr>
          <w:rStyle w:val="14"/>
          <w:rFonts w:eastAsia="仿宋_GB2312"/>
          <w:b w:val="0"/>
          <w:spacing w:val="-4"/>
          <w:sz w:val="32"/>
          <w:szCs w:val="32"/>
          <w:highlight w:val="none"/>
        </w:rPr>
        <w:t>指标</w:t>
      </w:r>
      <w:r>
        <w:rPr>
          <w:rStyle w:val="14"/>
          <w:rFonts w:hint="eastAsia" w:eastAsia="仿宋_GB2312"/>
          <w:b w:val="0"/>
          <w:spacing w:val="-4"/>
          <w:sz w:val="32"/>
          <w:szCs w:val="32"/>
          <w:highlight w:val="none"/>
          <w:lang w:val="en-US" w:eastAsia="zh-CN"/>
        </w:rPr>
        <w:t>5</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垃圾收集站</w:t>
      </w:r>
      <w:r>
        <w:rPr>
          <w:rStyle w:val="14"/>
          <w:rFonts w:eastAsia="仿宋_GB2312"/>
          <w:b w:val="0"/>
          <w:spacing w:val="-4"/>
          <w:sz w:val="32"/>
          <w:szCs w:val="32"/>
          <w:highlight w:val="none"/>
        </w:rPr>
        <w:t>，指标值：</w:t>
      </w:r>
      <w:r>
        <w:rPr>
          <w:rStyle w:val="14"/>
          <w:rFonts w:hint="eastAsia" w:eastAsia="仿宋_GB2312"/>
          <w:b w:val="0"/>
          <w:spacing w:val="-4"/>
          <w:sz w:val="32"/>
          <w:szCs w:val="32"/>
          <w:highlight w:val="none"/>
        </w:rPr>
        <w:t>=130平方米</w:t>
      </w:r>
      <w:r>
        <w:rPr>
          <w:rStyle w:val="14"/>
          <w:rFonts w:eastAsia="仿宋_GB2312"/>
          <w:b w:val="0"/>
          <w:spacing w:val="-4"/>
          <w:sz w:val="32"/>
          <w:szCs w:val="32"/>
          <w:highlight w:val="none"/>
        </w:rPr>
        <w:t>，实际完成值：</w:t>
      </w:r>
      <w:r>
        <w:rPr>
          <w:rStyle w:val="14"/>
          <w:rFonts w:hint="eastAsia" w:eastAsia="仿宋_GB2312"/>
          <w:b w:val="0"/>
          <w:spacing w:val="-4"/>
          <w:sz w:val="32"/>
          <w:szCs w:val="32"/>
          <w:highlight w:val="none"/>
          <w:lang w:val="en-US" w:eastAsia="zh-CN"/>
        </w:rPr>
        <w:t>130</w:t>
      </w:r>
      <w:r>
        <w:rPr>
          <w:rStyle w:val="14"/>
          <w:rFonts w:hint="eastAsia" w:eastAsia="仿宋_GB2312"/>
          <w:b w:val="0"/>
          <w:spacing w:val="-4"/>
          <w:sz w:val="32"/>
          <w:szCs w:val="32"/>
          <w:highlight w:val="none"/>
        </w:rPr>
        <w:t>平方米</w:t>
      </w:r>
      <w:r>
        <w:rPr>
          <w:rStyle w:val="14"/>
          <w:rFonts w:eastAsia="仿宋_GB2312"/>
          <w:b w:val="0"/>
          <w:spacing w:val="-4"/>
          <w:sz w:val="32"/>
          <w:szCs w:val="32"/>
          <w:highlight w:val="none"/>
        </w:rPr>
        <w:t>，指标完成率</w:t>
      </w:r>
      <w:r>
        <w:rPr>
          <w:rStyle w:val="14"/>
          <w:rFonts w:hint="eastAsia" w:eastAsia="仿宋_GB2312"/>
          <w:b w:val="0"/>
          <w:spacing w:val="-4"/>
          <w:sz w:val="32"/>
          <w:szCs w:val="32"/>
          <w:highlight w:val="none"/>
          <w:lang w:val="en-US" w:eastAsia="zh-CN"/>
        </w:rPr>
        <w:t>100</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w:t>
      </w:r>
      <w:r>
        <w:rPr>
          <w:rStyle w:val="14"/>
          <w:rFonts w:hint="eastAsia" w:eastAsia="仿宋_GB2312"/>
          <w:b w:val="0"/>
          <w:spacing w:val="-4"/>
          <w:sz w:val="32"/>
          <w:szCs w:val="32"/>
          <w:highlight w:val="none"/>
          <w:lang w:eastAsia="zh-Hans"/>
        </w:rPr>
        <w:t>偏差原因：</w:t>
      </w:r>
      <w:r>
        <w:rPr>
          <w:rStyle w:val="14"/>
          <w:rFonts w:hint="eastAsia" w:eastAsia="仿宋_GB2312"/>
          <w:b w:val="0"/>
          <w:spacing w:val="-4"/>
          <w:sz w:val="32"/>
          <w:szCs w:val="32"/>
          <w:highlight w:val="none"/>
          <w:lang w:eastAsia="zh-CN"/>
        </w:rPr>
        <w:t>无</w:t>
      </w:r>
      <w:r>
        <w:rPr>
          <w:rStyle w:val="14"/>
          <w:rFonts w:eastAsia="仿宋_GB2312"/>
          <w:b w:val="0"/>
          <w:spacing w:val="-4"/>
          <w:sz w:val="32"/>
          <w:szCs w:val="32"/>
          <w:highlight w:val="none"/>
        </w:rPr>
        <w:t>；</w:t>
      </w:r>
    </w:p>
    <w:p w14:paraId="1C262E09">
      <w:pPr>
        <w:spacing w:line="560" w:lineRule="exact"/>
        <w:ind w:firstLine="643" w:firstLineChars="200"/>
        <w:rPr>
          <w:rStyle w:val="16"/>
          <w:rFonts w:ascii="Times New Roman" w:hAnsi="Times New Roman" w:cs="Times New Roman"/>
          <w:b/>
          <w:bCs/>
          <w:color w:val="auto"/>
          <w:highlight w:val="none"/>
        </w:rPr>
      </w:pPr>
      <w:r>
        <w:rPr>
          <w:rStyle w:val="16"/>
          <w:rFonts w:ascii="Times New Roman" w:hAnsi="Times New Roman" w:cs="Times New Roman"/>
          <w:b/>
          <w:bCs/>
          <w:color w:val="auto"/>
          <w:highlight w:val="none"/>
        </w:rPr>
        <w:t>质量指标方面：</w:t>
      </w:r>
    </w:p>
    <w:p w14:paraId="2B7B4360">
      <w:pPr>
        <w:snapToGrid w:val="0"/>
        <w:spacing w:line="560" w:lineRule="exact"/>
        <w:ind w:firstLine="624" w:firstLineChars="200"/>
        <w:rPr>
          <w:rStyle w:val="14"/>
          <w:rFonts w:eastAsia="仿宋_GB2312"/>
          <w:b w:val="0"/>
          <w:spacing w:val="-4"/>
          <w:sz w:val="32"/>
          <w:szCs w:val="32"/>
          <w:highlight w:val="none"/>
        </w:rPr>
      </w:pPr>
      <w:r>
        <w:rPr>
          <w:rStyle w:val="14"/>
          <w:rFonts w:eastAsia="仿宋_GB2312"/>
          <w:b w:val="0"/>
          <w:spacing w:val="-4"/>
          <w:sz w:val="32"/>
          <w:szCs w:val="32"/>
          <w:highlight w:val="none"/>
        </w:rPr>
        <w:t>指标1：</w:t>
      </w:r>
      <w:r>
        <w:rPr>
          <w:rStyle w:val="14"/>
          <w:rFonts w:hint="eastAsia" w:eastAsia="仿宋_GB2312"/>
          <w:b w:val="0"/>
          <w:spacing w:val="-4"/>
          <w:sz w:val="32"/>
          <w:szCs w:val="32"/>
          <w:highlight w:val="none"/>
        </w:rPr>
        <w:t>竣工验收合格率</w:t>
      </w:r>
      <w:r>
        <w:rPr>
          <w:rStyle w:val="14"/>
          <w:rFonts w:eastAsia="仿宋_GB2312"/>
          <w:b w:val="0"/>
          <w:spacing w:val="-4"/>
          <w:sz w:val="32"/>
          <w:szCs w:val="32"/>
          <w:highlight w:val="none"/>
        </w:rPr>
        <w:t>，指标值：</w:t>
      </w:r>
      <w:r>
        <w:rPr>
          <w:rStyle w:val="14"/>
          <w:rFonts w:hint="eastAsia" w:eastAsia="仿宋_GB2312"/>
          <w:b w:val="0"/>
          <w:spacing w:val="-4"/>
          <w:sz w:val="32"/>
          <w:szCs w:val="32"/>
          <w:highlight w:val="none"/>
        </w:rPr>
        <w:t>=100%</w:t>
      </w:r>
      <w:r>
        <w:rPr>
          <w:rStyle w:val="14"/>
          <w:rFonts w:eastAsia="仿宋_GB2312"/>
          <w:b w:val="0"/>
          <w:spacing w:val="-4"/>
          <w:sz w:val="32"/>
          <w:szCs w:val="32"/>
          <w:highlight w:val="none"/>
        </w:rPr>
        <w:t>，实际完成值：</w:t>
      </w:r>
      <w:r>
        <w:rPr>
          <w:rStyle w:val="14"/>
          <w:rFonts w:hint="eastAsia" w:eastAsia="仿宋_GB2312"/>
          <w:b w:val="0"/>
          <w:spacing w:val="-4"/>
          <w:sz w:val="32"/>
          <w:szCs w:val="32"/>
          <w:highlight w:val="none"/>
        </w:rPr>
        <w:t>100%</w:t>
      </w:r>
      <w:r>
        <w:rPr>
          <w:rStyle w:val="14"/>
          <w:rFonts w:eastAsia="仿宋_GB2312"/>
          <w:b w:val="0"/>
          <w:spacing w:val="-4"/>
          <w:sz w:val="32"/>
          <w:szCs w:val="32"/>
          <w:highlight w:val="none"/>
        </w:rPr>
        <w:t>，指标完成率</w:t>
      </w:r>
      <w:r>
        <w:rPr>
          <w:rStyle w:val="14"/>
          <w:rFonts w:hint="eastAsia" w:eastAsia="仿宋_GB2312"/>
          <w:b w:val="0"/>
          <w:spacing w:val="-4"/>
          <w:sz w:val="32"/>
          <w:szCs w:val="32"/>
          <w:highlight w:val="none"/>
          <w:lang w:val="en-US" w:eastAsia="zh-CN"/>
        </w:rPr>
        <w:t>100</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w:t>
      </w:r>
      <w:r>
        <w:rPr>
          <w:rStyle w:val="14"/>
          <w:rFonts w:hint="eastAsia" w:eastAsia="仿宋_GB2312"/>
          <w:b w:val="0"/>
          <w:spacing w:val="-4"/>
          <w:sz w:val="32"/>
          <w:szCs w:val="32"/>
          <w:highlight w:val="none"/>
          <w:lang w:eastAsia="zh-Hans"/>
        </w:rPr>
        <w:t>偏差原因：</w:t>
      </w:r>
      <w:r>
        <w:rPr>
          <w:rStyle w:val="14"/>
          <w:rFonts w:hint="eastAsia" w:eastAsia="仿宋_GB2312"/>
          <w:b w:val="0"/>
          <w:spacing w:val="-4"/>
          <w:sz w:val="32"/>
          <w:szCs w:val="32"/>
          <w:highlight w:val="none"/>
          <w:lang w:eastAsia="zh-CN"/>
        </w:rPr>
        <w:t>无</w:t>
      </w:r>
      <w:r>
        <w:rPr>
          <w:rStyle w:val="14"/>
          <w:rFonts w:eastAsia="仿宋_GB2312"/>
          <w:b w:val="0"/>
          <w:spacing w:val="-4"/>
          <w:sz w:val="32"/>
          <w:szCs w:val="32"/>
          <w:highlight w:val="none"/>
        </w:rPr>
        <w:t>；</w:t>
      </w:r>
    </w:p>
    <w:p w14:paraId="2D806837">
      <w:pPr>
        <w:pStyle w:val="2"/>
        <w:spacing w:before="0" w:after="0" w:line="560" w:lineRule="exact"/>
        <w:ind w:firstLine="643" w:firstLineChars="200"/>
        <w:jc w:val="both"/>
        <w:rPr>
          <w:rStyle w:val="16"/>
          <w:rFonts w:ascii="Times New Roman" w:hAnsi="Times New Roman" w:cs="Times New Roman"/>
          <w:color w:val="auto"/>
          <w:highlight w:val="none"/>
        </w:rPr>
      </w:pPr>
      <w:r>
        <w:rPr>
          <w:rStyle w:val="16"/>
          <w:rFonts w:ascii="Times New Roman" w:hAnsi="Times New Roman" w:cs="Times New Roman"/>
          <w:color w:val="auto"/>
          <w:highlight w:val="none"/>
        </w:rPr>
        <w:t>成本指标方面：</w:t>
      </w:r>
    </w:p>
    <w:p w14:paraId="1F024BF1">
      <w:pPr>
        <w:snapToGrid w:val="0"/>
        <w:spacing w:line="560" w:lineRule="exact"/>
        <w:ind w:firstLine="624" w:firstLineChars="200"/>
        <w:rPr>
          <w:rStyle w:val="14"/>
          <w:rFonts w:eastAsia="仿宋_GB2312"/>
          <w:b w:val="0"/>
          <w:spacing w:val="-4"/>
          <w:sz w:val="32"/>
          <w:szCs w:val="32"/>
          <w:highlight w:val="none"/>
        </w:rPr>
      </w:pPr>
      <w:r>
        <w:rPr>
          <w:rStyle w:val="14"/>
          <w:rFonts w:eastAsia="仿宋_GB2312"/>
          <w:b w:val="0"/>
          <w:spacing w:val="-4"/>
          <w:sz w:val="32"/>
          <w:szCs w:val="32"/>
          <w:highlight w:val="none"/>
        </w:rPr>
        <w:t>指标1：</w:t>
      </w:r>
      <w:r>
        <w:rPr>
          <w:rStyle w:val="14"/>
          <w:rFonts w:hint="eastAsia" w:eastAsia="仿宋_GB2312"/>
          <w:b w:val="0"/>
          <w:spacing w:val="-4"/>
          <w:sz w:val="32"/>
          <w:szCs w:val="32"/>
          <w:highlight w:val="none"/>
        </w:rPr>
        <w:t>预算成本控制率</w:t>
      </w:r>
      <w:r>
        <w:rPr>
          <w:rStyle w:val="14"/>
          <w:rFonts w:eastAsia="仿宋_GB2312"/>
          <w:b w:val="0"/>
          <w:spacing w:val="-4"/>
          <w:sz w:val="32"/>
          <w:szCs w:val="32"/>
          <w:highlight w:val="none"/>
        </w:rPr>
        <w:t>，指标值：</w:t>
      </w:r>
      <w:r>
        <w:rPr>
          <w:rStyle w:val="14"/>
          <w:rFonts w:hint="eastAsia" w:eastAsia="仿宋_GB2312"/>
          <w:b w:val="0"/>
          <w:spacing w:val="-4"/>
          <w:sz w:val="32"/>
          <w:szCs w:val="32"/>
          <w:highlight w:val="none"/>
          <w:lang w:eastAsia="zh-CN"/>
        </w:rPr>
        <w:t>〈</w:t>
      </w:r>
      <w:r>
        <w:rPr>
          <w:rStyle w:val="14"/>
          <w:rFonts w:hint="eastAsia" w:eastAsia="仿宋_GB2312"/>
          <w:b w:val="0"/>
          <w:spacing w:val="-4"/>
          <w:sz w:val="32"/>
          <w:szCs w:val="32"/>
          <w:highlight w:val="none"/>
        </w:rPr>
        <w:t>=100%</w:t>
      </w:r>
      <w:r>
        <w:rPr>
          <w:rStyle w:val="14"/>
          <w:rFonts w:eastAsia="仿宋_GB2312"/>
          <w:b w:val="0"/>
          <w:spacing w:val="-4"/>
          <w:sz w:val="32"/>
          <w:szCs w:val="32"/>
          <w:highlight w:val="none"/>
        </w:rPr>
        <w:t>，实际完成值：</w:t>
      </w:r>
      <w:r>
        <w:rPr>
          <w:rStyle w:val="14"/>
          <w:rFonts w:hint="eastAsia" w:eastAsia="仿宋_GB2312"/>
          <w:b w:val="0"/>
          <w:spacing w:val="-4"/>
          <w:sz w:val="32"/>
          <w:szCs w:val="32"/>
          <w:highlight w:val="none"/>
          <w:lang w:val="en-US" w:eastAsia="zh-CN"/>
        </w:rPr>
        <w:t>100%</w:t>
      </w:r>
      <w:r>
        <w:rPr>
          <w:rStyle w:val="14"/>
          <w:rFonts w:eastAsia="仿宋_GB2312"/>
          <w:b w:val="0"/>
          <w:spacing w:val="-4"/>
          <w:sz w:val="32"/>
          <w:szCs w:val="32"/>
          <w:highlight w:val="none"/>
        </w:rPr>
        <w:t>，指标完成率</w:t>
      </w:r>
      <w:r>
        <w:rPr>
          <w:rStyle w:val="14"/>
          <w:rFonts w:hint="eastAsia" w:eastAsia="仿宋_GB2312"/>
          <w:b w:val="0"/>
          <w:spacing w:val="-4"/>
          <w:sz w:val="32"/>
          <w:szCs w:val="32"/>
          <w:highlight w:val="none"/>
          <w:lang w:val="en-US" w:eastAsia="zh-CN"/>
        </w:rPr>
        <w:t>100</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w:t>
      </w:r>
      <w:r>
        <w:rPr>
          <w:rStyle w:val="14"/>
          <w:rFonts w:hint="eastAsia" w:eastAsia="仿宋_GB2312"/>
          <w:b w:val="0"/>
          <w:spacing w:val="-4"/>
          <w:sz w:val="32"/>
          <w:szCs w:val="32"/>
          <w:highlight w:val="none"/>
          <w:lang w:eastAsia="zh-Hans"/>
        </w:rPr>
        <w:t>偏差原因：</w:t>
      </w:r>
      <w:r>
        <w:rPr>
          <w:rStyle w:val="14"/>
          <w:rFonts w:hint="eastAsia" w:eastAsia="仿宋_GB2312"/>
          <w:b w:val="0"/>
          <w:spacing w:val="-4"/>
          <w:sz w:val="32"/>
          <w:szCs w:val="32"/>
          <w:highlight w:val="none"/>
          <w:lang w:eastAsia="zh-CN"/>
        </w:rPr>
        <w:t>无</w:t>
      </w:r>
      <w:r>
        <w:rPr>
          <w:rStyle w:val="14"/>
          <w:rFonts w:eastAsia="仿宋_GB2312"/>
          <w:b w:val="0"/>
          <w:spacing w:val="-4"/>
          <w:sz w:val="32"/>
          <w:szCs w:val="32"/>
          <w:highlight w:val="none"/>
        </w:rPr>
        <w:t>；</w:t>
      </w:r>
    </w:p>
    <w:p w14:paraId="6649E341">
      <w:pPr>
        <w:spacing w:line="560" w:lineRule="exact"/>
        <w:ind w:firstLine="643" w:firstLineChars="200"/>
        <w:rPr>
          <w:rStyle w:val="16"/>
          <w:rFonts w:ascii="Times New Roman" w:hAnsi="Times New Roman" w:cs="Times New Roman"/>
          <w:b/>
          <w:bCs/>
          <w:color w:val="auto"/>
          <w:highlight w:val="none"/>
        </w:rPr>
      </w:pPr>
      <w:r>
        <w:rPr>
          <w:rStyle w:val="16"/>
          <w:rFonts w:ascii="Times New Roman" w:hAnsi="Times New Roman" w:cs="Times New Roman"/>
          <w:b/>
          <w:bCs/>
          <w:color w:val="auto"/>
          <w:highlight w:val="none"/>
        </w:rPr>
        <w:t>时效指标方面：</w:t>
      </w:r>
    </w:p>
    <w:p w14:paraId="1D1EAF7E">
      <w:pPr>
        <w:snapToGrid w:val="0"/>
        <w:spacing w:line="560" w:lineRule="exact"/>
        <w:ind w:firstLine="624" w:firstLineChars="200"/>
        <w:rPr>
          <w:rStyle w:val="14"/>
          <w:rFonts w:eastAsia="仿宋_GB2312"/>
          <w:b w:val="0"/>
          <w:spacing w:val="-4"/>
          <w:sz w:val="32"/>
          <w:szCs w:val="32"/>
          <w:highlight w:val="none"/>
        </w:rPr>
      </w:pPr>
      <w:r>
        <w:rPr>
          <w:rStyle w:val="14"/>
          <w:rFonts w:eastAsia="仿宋_GB2312"/>
          <w:b w:val="0"/>
          <w:spacing w:val="-4"/>
          <w:sz w:val="32"/>
          <w:szCs w:val="32"/>
          <w:highlight w:val="none"/>
        </w:rPr>
        <w:t>指标1：</w:t>
      </w:r>
      <w:r>
        <w:rPr>
          <w:rStyle w:val="14"/>
          <w:rFonts w:hint="eastAsia" w:eastAsia="仿宋_GB2312"/>
          <w:b w:val="0"/>
          <w:spacing w:val="-4"/>
          <w:sz w:val="32"/>
          <w:szCs w:val="32"/>
          <w:highlight w:val="none"/>
        </w:rPr>
        <w:t>项目按计划开工率</w:t>
      </w:r>
      <w:r>
        <w:rPr>
          <w:rStyle w:val="14"/>
          <w:rFonts w:eastAsia="仿宋_GB2312"/>
          <w:b w:val="0"/>
          <w:spacing w:val="-4"/>
          <w:sz w:val="32"/>
          <w:szCs w:val="32"/>
          <w:highlight w:val="none"/>
        </w:rPr>
        <w:t>，指标值：</w:t>
      </w:r>
      <w:r>
        <w:rPr>
          <w:rStyle w:val="14"/>
          <w:rFonts w:hint="eastAsia" w:eastAsia="仿宋_GB2312"/>
          <w:b w:val="0"/>
          <w:spacing w:val="-4"/>
          <w:sz w:val="32"/>
          <w:szCs w:val="32"/>
          <w:highlight w:val="none"/>
        </w:rPr>
        <w:t>=100%</w:t>
      </w:r>
      <w:r>
        <w:rPr>
          <w:rStyle w:val="14"/>
          <w:rFonts w:eastAsia="仿宋_GB2312"/>
          <w:b w:val="0"/>
          <w:spacing w:val="-4"/>
          <w:sz w:val="32"/>
          <w:szCs w:val="32"/>
          <w:highlight w:val="none"/>
        </w:rPr>
        <w:t>，实际完成值：</w:t>
      </w:r>
      <w:r>
        <w:rPr>
          <w:rStyle w:val="14"/>
          <w:rFonts w:hint="eastAsia" w:eastAsia="仿宋_GB2312"/>
          <w:b w:val="0"/>
          <w:spacing w:val="-4"/>
          <w:sz w:val="32"/>
          <w:szCs w:val="32"/>
          <w:highlight w:val="none"/>
          <w:lang w:val="en-US" w:eastAsia="zh-CN"/>
        </w:rPr>
        <w:t>80%</w:t>
      </w:r>
      <w:r>
        <w:rPr>
          <w:rStyle w:val="14"/>
          <w:rFonts w:eastAsia="仿宋_GB2312"/>
          <w:b w:val="0"/>
          <w:spacing w:val="-4"/>
          <w:sz w:val="32"/>
          <w:szCs w:val="32"/>
          <w:highlight w:val="none"/>
        </w:rPr>
        <w:t>，指标完成率</w:t>
      </w:r>
      <w:r>
        <w:rPr>
          <w:rStyle w:val="14"/>
          <w:rFonts w:hint="eastAsia" w:eastAsia="仿宋_GB2312"/>
          <w:b w:val="0"/>
          <w:spacing w:val="-4"/>
          <w:sz w:val="32"/>
          <w:szCs w:val="32"/>
          <w:highlight w:val="none"/>
          <w:lang w:val="en-US" w:eastAsia="zh-CN"/>
        </w:rPr>
        <w:t>80</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w:t>
      </w:r>
      <w:r>
        <w:rPr>
          <w:rStyle w:val="14"/>
          <w:rFonts w:hint="eastAsia" w:eastAsia="仿宋_GB2312"/>
          <w:b w:val="0"/>
          <w:spacing w:val="-4"/>
          <w:sz w:val="32"/>
          <w:szCs w:val="32"/>
          <w:highlight w:val="none"/>
          <w:lang w:eastAsia="zh-Hans"/>
        </w:rPr>
        <w:t>偏差原因：公共卫生救治中心项目施工，导致污水处理站、医疗垃圾房，门卫室项目的场地被占用，无法按期开工，后期将按照计划标准加工</w:t>
      </w:r>
      <w:r>
        <w:rPr>
          <w:rStyle w:val="14"/>
          <w:rFonts w:hint="eastAsia" w:eastAsia="仿宋_GB2312"/>
          <w:b w:val="0"/>
          <w:spacing w:val="-4"/>
          <w:sz w:val="32"/>
          <w:szCs w:val="32"/>
          <w:highlight w:val="none"/>
          <w:lang w:eastAsia="zh-CN"/>
        </w:rPr>
        <w:t>加快</w:t>
      </w:r>
      <w:r>
        <w:rPr>
          <w:rStyle w:val="14"/>
          <w:rFonts w:hint="eastAsia" w:eastAsia="仿宋_GB2312"/>
          <w:b w:val="0"/>
          <w:spacing w:val="-4"/>
          <w:sz w:val="32"/>
          <w:szCs w:val="32"/>
          <w:highlight w:val="none"/>
          <w:lang w:eastAsia="zh-Hans"/>
        </w:rPr>
        <w:t>完工进度，同时对指标进</w:t>
      </w:r>
      <w:r>
        <w:rPr>
          <w:rStyle w:val="14"/>
          <w:rFonts w:hint="eastAsia" w:eastAsia="仿宋_GB2312"/>
          <w:b w:val="0"/>
          <w:spacing w:val="-4"/>
          <w:sz w:val="32"/>
          <w:szCs w:val="32"/>
          <w:highlight w:val="none"/>
          <w:lang w:eastAsia="zh-CN"/>
        </w:rPr>
        <w:t>行</w:t>
      </w:r>
      <w:r>
        <w:rPr>
          <w:rStyle w:val="14"/>
          <w:rFonts w:hint="eastAsia" w:eastAsia="仿宋_GB2312"/>
          <w:b w:val="0"/>
          <w:spacing w:val="-4"/>
          <w:sz w:val="32"/>
          <w:szCs w:val="32"/>
          <w:highlight w:val="none"/>
          <w:lang w:eastAsia="zh-Hans"/>
        </w:rPr>
        <w:t>科学选择，加强对绩效评估的认识</w:t>
      </w:r>
      <w:r>
        <w:rPr>
          <w:rStyle w:val="14"/>
          <w:rFonts w:eastAsia="仿宋_GB2312"/>
          <w:b w:val="0"/>
          <w:spacing w:val="-4"/>
          <w:sz w:val="32"/>
          <w:szCs w:val="32"/>
          <w:highlight w:val="none"/>
        </w:rPr>
        <w:t>；</w:t>
      </w:r>
    </w:p>
    <w:p w14:paraId="46AA7126">
      <w:pPr>
        <w:snapToGrid w:val="0"/>
        <w:spacing w:line="560" w:lineRule="exact"/>
        <w:ind w:firstLine="624" w:firstLineChars="200"/>
        <w:rPr>
          <w:rStyle w:val="14"/>
          <w:rFonts w:eastAsia="仿宋_GB2312"/>
          <w:b w:val="0"/>
          <w:spacing w:val="-4"/>
          <w:sz w:val="32"/>
          <w:szCs w:val="32"/>
          <w:highlight w:val="none"/>
        </w:rPr>
      </w:pPr>
      <w:r>
        <w:rPr>
          <w:rStyle w:val="14"/>
          <w:rFonts w:eastAsia="仿宋_GB2312"/>
          <w:b w:val="0"/>
          <w:spacing w:val="-4"/>
          <w:sz w:val="32"/>
          <w:szCs w:val="32"/>
          <w:highlight w:val="none"/>
        </w:rPr>
        <w:t>指标</w:t>
      </w:r>
      <w:r>
        <w:rPr>
          <w:rStyle w:val="14"/>
          <w:rFonts w:hint="eastAsia" w:eastAsia="仿宋_GB2312"/>
          <w:b w:val="0"/>
          <w:spacing w:val="-4"/>
          <w:sz w:val="32"/>
          <w:szCs w:val="32"/>
          <w:highlight w:val="none"/>
          <w:lang w:val="en-US" w:eastAsia="zh-CN"/>
        </w:rPr>
        <w:t>2</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项目按计划完工率</w:t>
      </w:r>
      <w:r>
        <w:rPr>
          <w:rStyle w:val="14"/>
          <w:rFonts w:eastAsia="仿宋_GB2312"/>
          <w:b w:val="0"/>
          <w:spacing w:val="-4"/>
          <w:sz w:val="32"/>
          <w:szCs w:val="32"/>
          <w:highlight w:val="none"/>
        </w:rPr>
        <w:t>，指标值：</w:t>
      </w:r>
      <w:r>
        <w:rPr>
          <w:rStyle w:val="14"/>
          <w:rFonts w:hint="eastAsia" w:eastAsia="仿宋_GB2312"/>
          <w:b w:val="0"/>
          <w:spacing w:val="-4"/>
          <w:sz w:val="32"/>
          <w:szCs w:val="32"/>
          <w:highlight w:val="none"/>
        </w:rPr>
        <w:t>=100%</w:t>
      </w:r>
      <w:r>
        <w:rPr>
          <w:rStyle w:val="14"/>
          <w:rFonts w:eastAsia="仿宋_GB2312"/>
          <w:b w:val="0"/>
          <w:spacing w:val="-4"/>
          <w:sz w:val="32"/>
          <w:szCs w:val="32"/>
          <w:highlight w:val="none"/>
        </w:rPr>
        <w:t>，实际完成值：</w:t>
      </w:r>
      <w:r>
        <w:rPr>
          <w:rStyle w:val="14"/>
          <w:rFonts w:hint="eastAsia" w:eastAsia="仿宋_GB2312"/>
          <w:b w:val="0"/>
          <w:spacing w:val="-4"/>
          <w:sz w:val="32"/>
          <w:szCs w:val="32"/>
          <w:highlight w:val="none"/>
          <w:lang w:val="en-US" w:eastAsia="zh-CN"/>
        </w:rPr>
        <w:t>40%</w:t>
      </w:r>
      <w:r>
        <w:rPr>
          <w:rStyle w:val="14"/>
          <w:rFonts w:eastAsia="仿宋_GB2312"/>
          <w:b w:val="0"/>
          <w:spacing w:val="-4"/>
          <w:sz w:val="32"/>
          <w:szCs w:val="32"/>
          <w:highlight w:val="none"/>
        </w:rPr>
        <w:t>，指标完成率</w:t>
      </w:r>
      <w:r>
        <w:rPr>
          <w:rStyle w:val="14"/>
          <w:rFonts w:hint="eastAsia" w:eastAsia="仿宋_GB2312"/>
          <w:b w:val="0"/>
          <w:spacing w:val="-4"/>
          <w:sz w:val="32"/>
          <w:szCs w:val="32"/>
          <w:highlight w:val="none"/>
          <w:lang w:val="en-US" w:eastAsia="zh-CN"/>
        </w:rPr>
        <w:t>40</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w:t>
      </w:r>
      <w:r>
        <w:rPr>
          <w:rStyle w:val="14"/>
          <w:rFonts w:hint="eastAsia" w:eastAsia="仿宋_GB2312"/>
          <w:b w:val="0"/>
          <w:spacing w:val="-4"/>
          <w:sz w:val="32"/>
          <w:szCs w:val="32"/>
          <w:highlight w:val="none"/>
          <w:lang w:eastAsia="zh-Hans"/>
        </w:rPr>
        <w:t>偏差原因：公共卫生救治中心项目施工，导致污水处理站、医疗垃圾房，门卫室项目的场地被占用，无法按期开工，后期将按照计划标准加工</w:t>
      </w:r>
      <w:r>
        <w:rPr>
          <w:rStyle w:val="14"/>
          <w:rFonts w:hint="eastAsia" w:eastAsia="仿宋_GB2312"/>
          <w:b w:val="0"/>
          <w:spacing w:val="-4"/>
          <w:sz w:val="32"/>
          <w:szCs w:val="32"/>
          <w:highlight w:val="none"/>
          <w:lang w:eastAsia="zh-CN"/>
        </w:rPr>
        <w:t>加快</w:t>
      </w:r>
      <w:r>
        <w:rPr>
          <w:rStyle w:val="14"/>
          <w:rFonts w:hint="eastAsia" w:eastAsia="仿宋_GB2312"/>
          <w:b w:val="0"/>
          <w:spacing w:val="-4"/>
          <w:sz w:val="32"/>
          <w:szCs w:val="32"/>
          <w:highlight w:val="none"/>
          <w:lang w:eastAsia="zh-Hans"/>
        </w:rPr>
        <w:t>完工进度，同时对指标进</w:t>
      </w:r>
      <w:r>
        <w:rPr>
          <w:rStyle w:val="14"/>
          <w:rFonts w:hint="eastAsia" w:eastAsia="仿宋_GB2312"/>
          <w:b w:val="0"/>
          <w:spacing w:val="-4"/>
          <w:sz w:val="32"/>
          <w:szCs w:val="32"/>
          <w:highlight w:val="none"/>
          <w:lang w:eastAsia="zh-CN"/>
        </w:rPr>
        <w:t>行</w:t>
      </w:r>
      <w:r>
        <w:rPr>
          <w:rStyle w:val="14"/>
          <w:rFonts w:hint="eastAsia" w:eastAsia="仿宋_GB2312"/>
          <w:b w:val="0"/>
          <w:spacing w:val="-4"/>
          <w:sz w:val="32"/>
          <w:szCs w:val="32"/>
          <w:highlight w:val="none"/>
          <w:lang w:eastAsia="zh-Hans"/>
        </w:rPr>
        <w:t>科学选择，加强对绩效评估的认识</w:t>
      </w:r>
      <w:r>
        <w:rPr>
          <w:rStyle w:val="14"/>
          <w:rFonts w:eastAsia="仿宋_GB2312"/>
          <w:b w:val="0"/>
          <w:spacing w:val="-4"/>
          <w:sz w:val="32"/>
          <w:szCs w:val="32"/>
          <w:highlight w:val="none"/>
        </w:rPr>
        <w:t>；</w:t>
      </w:r>
    </w:p>
    <w:p w14:paraId="62933623">
      <w:pPr>
        <w:snapToGrid w:val="0"/>
        <w:spacing w:line="560" w:lineRule="exact"/>
        <w:ind w:firstLine="624" w:firstLineChars="200"/>
        <w:rPr>
          <w:rStyle w:val="14"/>
          <w:rFonts w:eastAsia="仿宋_GB2312"/>
          <w:b w:val="0"/>
          <w:spacing w:val="-4"/>
          <w:sz w:val="32"/>
          <w:szCs w:val="32"/>
          <w:highlight w:val="none"/>
        </w:rPr>
      </w:pPr>
      <w:r>
        <w:rPr>
          <w:rStyle w:val="14"/>
          <w:rFonts w:eastAsia="仿宋_GB2312"/>
          <w:b w:val="0"/>
          <w:spacing w:val="-4"/>
          <w:sz w:val="32"/>
          <w:szCs w:val="32"/>
          <w:highlight w:val="none"/>
        </w:rPr>
        <w:t>指标</w:t>
      </w:r>
      <w:r>
        <w:rPr>
          <w:rStyle w:val="14"/>
          <w:rFonts w:hint="eastAsia" w:eastAsia="仿宋_GB2312"/>
          <w:b w:val="0"/>
          <w:spacing w:val="-4"/>
          <w:sz w:val="32"/>
          <w:szCs w:val="32"/>
          <w:highlight w:val="none"/>
          <w:lang w:val="en-US" w:eastAsia="zh-CN"/>
        </w:rPr>
        <w:t>3</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项目建设周期</w:t>
      </w:r>
      <w:r>
        <w:rPr>
          <w:rStyle w:val="14"/>
          <w:rFonts w:eastAsia="仿宋_GB2312"/>
          <w:b w:val="0"/>
          <w:spacing w:val="-4"/>
          <w:sz w:val="32"/>
          <w:szCs w:val="32"/>
          <w:highlight w:val="none"/>
        </w:rPr>
        <w:t>，指标值：</w:t>
      </w:r>
      <w:r>
        <w:rPr>
          <w:rStyle w:val="14"/>
          <w:rFonts w:hint="eastAsia" w:eastAsia="仿宋_GB2312"/>
          <w:b w:val="0"/>
          <w:spacing w:val="-4"/>
          <w:sz w:val="32"/>
          <w:szCs w:val="32"/>
          <w:highlight w:val="none"/>
          <w:lang w:eastAsia="zh-CN"/>
        </w:rPr>
        <w:t>〈</w:t>
      </w:r>
      <w:r>
        <w:rPr>
          <w:rStyle w:val="14"/>
          <w:rFonts w:hint="eastAsia" w:eastAsia="仿宋_GB2312"/>
          <w:b w:val="0"/>
          <w:spacing w:val="-4"/>
          <w:sz w:val="32"/>
          <w:szCs w:val="32"/>
          <w:highlight w:val="none"/>
        </w:rPr>
        <w:t>=12个月</w:t>
      </w:r>
      <w:r>
        <w:rPr>
          <w:rStyle w:val="14"/>
          <w:rFonts w:eastAsia="仿宋_GB2312"/>
          <w:b w:val="0"/>
          <w:spacing w:val="-4"/>
          <w:sz w:val="32"/>
          <w:szCs w:val="32"/>
          <w:highlight w:val="none"/>
        </w:rPr>
        <w:t>，实际完成值：</w:t>
      </w:r>
      <w:r>
        <w:rPr>
          <w:rStyle w:val="14"/>
          <w:rFonts w:hint="eastAsia" w:eastAsia="仿宋_GB2312"/>
          <w:b w:val="0"/>
          <w:spacing w:val="-4"/>
          <w:sz w:val="32"/>
          <w:szCs w:val="32"/>
          <w:highlight w:val="none"/>
          <w:lang w:val="en-US" w:eastAsia="zh-CN"/>
        </w:rPr>
        <w:t>18个月</w:t>
      </w:r>
      <w:r>
        <w:rPr>
          <w:rStyle w:val="14"/>
          <w:rFonts w:eastAsia="仿宋_GB2312"/>
          <w:b w:val="0"/>
          <w:spacing w:val="-4"/>
          <w:sz w:val="32"/>
          <w:szCs w:val="32"/>
          <w:highlight w:val="none"/>
        </w:rPr>
        <w:t>，指标完成率</w:t>
      </w:r>
      <w:r>
        <w:rPr>
          <w:rStyle w:val="14"/>
          <w:rFonts w:hint="eastAsia" w:eastAsia="仿宋_GB2312"/>
          <w:b w:val="0"/>
          <w:spacing w:val="-4"/>
          <w:sz w:val="32"/>
          <w:szCs w:val="32"/>
          <w:highlight w:val="none"/>
          <w:lang w:val="en-US" w:eastAsia="zh-CN"/>
        </w:rPr>
        <w:t>150</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w:t>
      </w:r>
      <w:r>
        <w:rPr>
          <w:rStyle w:val="14"/>
          <w:rFonts w:hint="eastAsia" w:eastAsia="仿宋_GB2312"/>
          <w:b w:val="0"/>
          <w:spacing w:val="-4"/>
          <w:sz w:val="32"/>
          <w:szCs w:val="32"/>
          <w:highlight w:val="none"/>
          <w:lang w:eastAsia="zh-Hans"/>
        </w:rPr>
        <w:t>偏差原因：公共卫生救治中心项目施工，导致污水处理站、医疗垃圾房，门卫室项目的场地被占用，无法按期开工，后期将按照计划标准加快完工进度，同时对指标</w:t>
      </w:r>
      <w:r>
        <w:rPr>
          <w:rStyle w:val="14"/>
          <w:rFonts w:hint="eastAsia" w:eastAsia="仿宋_GB2312"/>
          <w:b w:val="0"/>
          <w:spacing w:val="-4"/>
          <w:sz w:val="32"/>
          <w:szCs w:val="32"/>
          <w:highlight w:val="none"/>
          <w:lang w:val="en-US" w:eastAsia="zh-CN"/>
        </w:rPr>
        <w:t>进行</w:t>
      </w:r>
      <w:r>
        <w:rPr>
          <w:rStyle w:val="14"/>
          <w:rFonts w:hint="eastAsia" w:eastAsia="仿宋_GB2312"/>
          <w:b w:val="0"/>
          <w:spacing w:val="-4"/>
          <w:sz w:val="32"/>
          <w:szCs w:val="32"/>
          <w:highlight w:val="none"/>
          <w:lang w:eastAsia="zh-Hans"/>
        </w:rPr>
        <w:t>科学选择，加强对绩效评估的认识</w:t>
      </w:r>
      <w:r>
        <w:rPr>
          <w:rStyle w:val="14"/>
          <w:rFonts w:eastAsia="仿宋_GB2312"/>
          <w:b w:val="0"/>
          <w:spacing w:val="-4"/>
          <w:sz w:val="32"/>
          <w:szCs w:val="32"/>
          <w:highlight w:val="none"/>
        </w:rPr>
        <w:t>；</w:t>
      </w:r>
    </w:p>
    <w:p w14:paraId="54CAFDB3">
      <w:pPr>
        <w:pStyle w:val="10"/>
        <w:numPr>
          <w:ilvl w:val="0"/>
          <w:numId w:val="5"/>
        </w:numPr>
        <w:spacing w:line="560" w:lineRule="exact"/>
        <w:ind w:firstLine="640"/>
        <w:rPr>
          <w:rFonts w:eastAsia="楷体_GB2312"/>
          <w:b/>
          <w:bCs/>
          <w:sz w:val="32"/>
          <w:szCs w:val="32"/>
          <w:highlight w:val="none"/>
        </w:rPr>
      </w:pPr>
      <w:r>
        <w:rPr>
          <w:rFonts w:eastAsia="楷体_GB2312"/>
          <w:b/>
          <w:bCs/>
          <w:sz w:val="32"/>
          <w:szCs w:val="32"/>
          <w:highlight w:val="none"/>
        </w:rPr>
        <w:t>效益情况</w:t>
      </w:r>
    </w:p>
    <w:p w14:paraId="581B4517">
      <w:pPr>
        <w:spacing w:line="560" w:lineRule="exact"/>
        <w:ind w:firstLine="643" w:firstLineChars="200"/>
        <w:rPr>
          <w:rStyle w:val="16"/>
          <w:rFonts w:cs="Times New Roman"/>
          <w:b/>
          <w:bCs/>
          <w:color w:val="auto"/>
          <w:highlight w:val="none"/>
          <w:lang w:eastAsia="zh-Hans"/>
        </w:rPr>
      </w:pPr>
      <w:r>
        <w:rPr>
          <w:rStyle w:val="16"/>
          <w:rFonts w:hint="eastAsia" w:cs="Times New Roman"/>
          <w:b/>
          <w:bCs/>
          <w:color w:val="auto"/>
          <w:highlight w:val="none"/>
          <w:lang w:eastAsia="zh-Hans"/>
        </w:rPr>
        <w:t>经济效益指标方面：</w:t>
      </w:r>
    </w:p>
    <w:p w14:paraId="7958E5FC">
      <w:pPr>
        <w:spacing w:line="560" w:lineRule="exact"/>
        <w:ind w:firstLine="640" w:firstLineChars="200"/>
        <w:rPr>
          <w:rStyle w:val="16"/>
          <w:rFonts w:hint="default" w:ascii="Times New Roman" w:hAnsi="Times New Roman" w:cs="Times New Roman"/>
          <w:color w:val="auto"/>
          <w:highlight w:val="none"/>
        </w:rPr>
      </w:pPr>
      <w:r>
        <w:rPr>
          <w:rStyle w:val="16"/>
          <w:rFonts w:hint="default" w:ascii="Times New Roman" w:hAnsi="Times New Roman" w:cs="Times New Roman"/>
          <w:color w:val="auto"/>
          <w:highlight w:val="none"/>
        </w:rPr>
        <w:t>指标1：资产负债率，指标值：</w:t>
      </w:r>
      <w:r>
        <w:rPr>
          <w:rStyle w:val="16"/>
          <w:rFonts w:hint="eastAsia" w:eastAsia="仿宋_GB2312" w:cs="Times New Roman"/>
          <w:color w:val="auto"/>
          <w:highlight w:val="none"/>
          <w:lang w:eastAsia="zh-CN"/>
        </w:rPr>
        <w:t>〈</w:t>
      </w:r>
      <w:r>
        <w:rPr>
          <w:rStyle w:val="16"/>
          <w:rFonts w:hint="default" w:ascii="Times New Roman" w:hAnsi="Times New Roman" w:cs="Times New Roman"/>
          <w:color w:val="auto"/>
          <w:highlight w:val="none"/>
        </w:rPr>
        <w:t>=50%，实际完成值：</w:t>
      </w:r>
      <w:r>
        <w:rPr>
          <w:rStyle w:val="16"/>
          <w:rFonts w:hint="default" w:ascii="Times New Roman" w:hAnsi="Times New Roman" w:eastAsia="仿宋_GB2312" w:cs="Times New Roman"/>
          <w:color w:val="auto"/>
          <w:highlight w:val="none"/>
          <w:lang w:val="en-US" w:eastAsia="zh-CN"/>
        </w:rPr>
        <w:t>27.6%</w:t>
      </w:r>
      <w:r>
        <w:rPr>
          <w:rStyle w:val="16"/>
          <w:rFonts w:hint="default" w:ascii="Times New Roman" w:hAnsi="Times New Roman" w:cs="Times New Roman"/>
          <w:color w:val="auto"/>
          <w:highlight w:val="none"/>
        </w:rPr>
        <w:t>，指标完成率</w:t>
      </w:r>
      <w:r>
        <w:rPr>
          <w:rStyle w:val="16"/>
          <w:rFonts w:hint="default" w:ascii="Times New Roman" w:hAnsi="Times New Roman" w:eastAsia="仿宋_GB2312" w:cs="Times New Roman"/>
          <w:color w:val="auto"/>
          <w:highlight w:val="none"/>
          <w:lang w:val="en-US" w:eastAsia="zh-CN"/>
        </w:rPr>
        <w:t>55.2</w:t>
      </w:r>
      <w:r>
        <w:rPr>
          <w:rStyle w:val="16"/>
          <w:rFonts w:hint="default" w:ascii="Times New Roman" w:hAnsi="Times New Roman" w:cs="Times New Roman"/>
          <w:color w:val="auto"/>
          <w:highlight w:val="none"/>
        </w:rPr>
        <w:t>%</w:t>
      </w:r>
      <w:r>
        <w:rPr>
          <w:rStyle w:val="14"/>
          <w:rFonts w:hint="default" w:ascii="Times New Roman" w:hAnsi="Times New Roman" w:eastAsia="仿宋_GB2312" w:cs="Times New Roman"/>
          <w:b w:val="0"/>
          <w:spacing w:val="-4"/>
          <w:sz w:val="32"/>
          <w:szCs w:val="32"/>
          <w:highlight w:val="none"/>
        </w:rPr>
        <w:t>，</w:t>
      </w:r>
      <w:r>
        <w:rPr>
          <w:rStyle w:val="14"/>
          <w:rFonts w:hint="default" w:ascii="Times New Roman" w:hAnsi="Times New Roman" w:eastAsia="仿宋_GB2312" w:cs="Times New Roman"/>
          <w:b w:val="0"/>
          <w:spacing w:val="-4"/>
          <w:sz w:val="32"/>
          <w:szCs w:val="32"/>
          <w:highlight w:val="none"/>
          <w:lang w:eastAsia="zh-Hans"/>
        </w:rPr>
        <w:t>偏差原因：我单位资产负债率较好，单位运行良好，后期将科学选择指标，加强对绩效评估的认识</w:t>
      </w:r>
      <w:r>
        <w:rPr>
          <w:rStyle w:val="16"/>
          <w:rFonts w:hint="default" w:ascii="Times New Roman" w:hAnsi="Times New Roman" w:cs="Times New Roman"/>
          <w:color w:val="auto"/>
          <w:highlight w:val="none"/>
        </w:rPr>
        <w:t>；</w:t>
      </w:r>
    </w:p>
    <w:p w14:paraId="4E1A2B85">
      <w:pPr>
        <w:spacing w:line="560" w:lineRule="exact"/>
        <w:ind w:firstLine="640" w:firstLineChars="200"/>
        <w:rPr>
          <w:rStyle w:val="16"/>
          <w:rFonts w:hint="default" w:ascii="Times New Roman" w:hAnsi="Times New Roman" w:cs="Times New Roman"/>
          <w:color w:val="auto"/>
          <w:highlight w:val="none"/>
        </w:rPr>
      </w:pPr>
      <w:r>
        <w:rPr>
          <w:rStyle w:val="16"/>
          <w:rFonts w:hint="default" w:ascii="Times New Roman" w:hAnsi="Times New Roman" w:cs="Times New Roman"/>
          <w:color w:val="auto"/>
          <w:highlight w:val="none"/>
        </w:rPr>
        <w:t>指标</w:t>
      </w:r>
      <w:r>
        <w:rPr>
          <w:rStyle w:val="16"/>
          <w:rFonts w:hint="default" w:ascii="Times New Roman" w:hAnsi="Times New Roman" w:eastAsia="仿宋_GB2312" w:cs="Times New Roman"/>
          <w:color w:val="auto"/>
          <w:highlight w:val="none"/>
          <w:lang w:val="en-US" w:eastAsia="zh-CN"/>
        </w:rPr>
        <w:t>2</w:t>
      </w:r>
      <w:r>
        <w:rPr>
          <w:rStyle w:val="16"/>
          <w:rFonts w:hint="default" w:ascii="Times New Roman" w:hAnsi="Times New Roman" w:cs="Times New Roman"/>
          <w:color w:val="auto"/>
          <w:highlight w:val="none"/>
        </w:rPr>
        <w:t>：固定资产净值率，指标值</w:t>
      </w:r>
      <w:r>
        <w:rPr>
          <w:rStyle w:val="16"/>
          <w:rFonts w:hint="eastAsia" w:eastAsia="仿宋_GB2312" w:cs="Times New Roman"/>
          <w:color w:val="auto"/>
          <w:highlight w:val="none"/>
          <w:lang w:eastAsia="zh-CN"/>
        </w:rPr>
        <w:t>：</w:t>
      </w:r>
      <w:r>
        <w:rPr>
          <w:rStyle w:val="16"/>
          <w:rFonts w:hint="default" w:ascii="Times New Roman" w:hAnsi="Times New Roman" w:cs="Times New Roman"/>
          <w:color w:val="auto"/>
          <w:highlight w:val="none"/>
        </w:rPr>
        <w:t>=70%，实际完成值：</w:t>
      </w:r>
      <w:r>
        <w:rPr>
          <w:rStyle w:val="16"/>
          <w:rFonts w:hint="default" w:ascii="Times New Roman" w:hAnsi="Times New Roman" w:eastAsia="仿宋_GB2312" w:cs="Times New Roman"/>
          <w:color w:val="auto"/>
          <w:highlight w:val="none"/>
          <w:lang w:val="en-US" w:eastAsia="zh-CN"/>
        </w:rPr>
        <w:t>70%</w:t>
      </w:r>
      <w:r>
        <w:rPr>
          <w:rStyle w:val="16"/>
          <w:rFonts w:hint="default" w:ascii="Times New Roman" w:hAnsi="Times New Roman" w:cs="Times New Roman"/>
          <w:color w:val="auto"/>
          <w:highlight w:val="none"/>
        </w:rPr>
        <w:t>，指标完成率</w:t>
      </w:r>
      <w:r>
        <w:rPr>
          <w:rStyle w:val="16"/>
          <w:rFonts w:hint="default" w:ascii="Times New Roman" w:hAnsi="Times New Roman" w:eastAsia="仿宋_GB2312" w:cs="Times New Roman"/>
          <w:color w:val="auto"/>
          <w:highlight w:val="none"/>
          <w:lang w:val="en-US" w:eastAsia="zh-CN"/>
        </w:rPr>
        <w:t>100</w:t>
      </w:r>
      <w:r>
        <w:rPr>
          <w:rStyle w:val="16"/>
          <w:rFonts w:hint="default" w:ascii="Times New Roman" w:hAnsi="Times New Roman" w:cs="Times New Roman"/>
          <w:color w:val="auto"/>
          <w:highlight w:val="none"/>
        </w:rPr>
        <w:t>%</w:t>
      </w:r>
      <w:r>
        <w:rPr>
          <w:rStyle w:val="14"/>
          <w:rFonts w:hint="default" w:ascii="Times New Roman" w:hAnsi="Times New Roman" w:eastAsia="仿宋_GB2312" w:cs="Times New Roman"/>
          <w:b w:val="0"/>
          <w:spacing w:val="-4"/>
          <w:sz w:val="32"/>
          <w:szCs w:val="32"/>
          <w:highlight w:val="none"/>
        </w:rPr>
        <w:t>，</w:t>
      </w:r>
      <w:r>
        <w:rPr>
          <w:rStyle w:val="14"/>
          <w:rFonts w:hint="default" w:ascii="Times New Roman" w:hAnsi="Times New Roman" w:eastAsia="仿宋_GB2312" w:cs="Times New Roman"/>
          <w:b w:val="0"/>
          <w:spacing w:val="-4"/>
          <w:sz w:val="32"/>
          <w:szCs w:val="32"/>
          <w:highlight w:val="none"/>
          <w:lang w:eastAsia="zh-Hans"/>
        </w:rPr>
        <w:t>偏差原因：</w:t>
      </w:r>
      <w:r>
        <w:rPr>
          <w:rStyle w:val="14"/>
          <w:rFonts w:hint="default" w:ascii="Times New Roman" w:hAnsi="Times New Roman" w:eastAsia="仿宋_GB2312" w:cs="Times New Roman"/>
          <w:b w:val="0"/>
          <w:spacing w:val="-4"/>
          <w:sz w:val="32"/>
          <w:szCs w:val="32"/>
          <w:highlight w:val="none"/>
          <w:lang w:eastAsia="zh-CN"/>
        </w:rPr>
        <w:t>无</w:t>
      </w:r>
      <w:r>
        <w:rPr>
          <w:rStyle w:val="16"/>
          <w:rFonts w:hint="default" w:ascii="Times New Roman" w:hAnsi="Times New Roman" w:cs="Times New Roman"/>
          <w:color w:val="auto"/>
          <w:highlight w:val="none"/>
        </w:rPr>
        <w:t>；</w:t>
      </w:r>
    </w:p>
    <w:p w14:paraId="5CAB4701">
      <w:pPr>
        <w:spacing w:line="560" w:lineRule="exact"/>
        <w:ind w:firstLine="643" w:firstLineChars="200"/>
        <w:rPr>
          <w:rStyle w:val="16"/>
          <w:rFonts w:ascii="Times New Roman" w:hAnsi="Times New Roman" w:cs="Times New Roman"/>
          <w:b/>
          <w:bCs/>
          <w:color w:val="auto"/>
          <w:highlight w:val="none"/>
        </w:rPr>
      </w:pPr>
      <w:r>
        <w:rPr>
          <w:rStyle w:val="16"/>
          <w:rFonts w:ascii="Times New Roman" w:hAnsi="Times New Roman" w:cs="Times New Roman"/>
          <w:b/>
          <w:bCs/>
          <w:color w:val="auto"/>
          <w:highlight w:val="none"/>
        </w:rPr>
        <w:t>社会效益指标方面：</w:t>
      </w:r>
    </w:p>
    <w:p w14:paraId="48C5EF69">
      <w:pPr>
        <w:spacing w:line="560" w:lineRule="exact"/>
        <w:ind w:firstLine="640" w:firstLineChars="200"/>
        <w:rPr>
          <w:rStyle w:val="16"/>
          <w:rFonts w:ascii="Times New Roman" w:hAnsi="Times New Roman" w:cs="Times New Roman"/>
          <w:color w:val="auto"/>
          <w:highlight w:val="none"/>
        </w:rPr>
      </w:pPr>
      <w:r>
        <w:rPr>
          <w:rStyle w:val="16"/>
          <w:rFonts w:ascii="Times New Roman" w:hAnsi="Times New Roman" w:cs="Times New Roman"/>
          <w:color w:val="auto"/>
          <w:highlight w:val="none"/>
        </w:rPr>
        <w:t>指标1：</w:t>
      </w:r>
      <w:r>
        <w:rPr>
          <w:rStyle w:val="16"/>
          <w:rFonts w:hint="eastAsia" w:ascii="Times New Roman" w:hAnsi="Times New Roman" w:cs="Times New Roman"/>
          <w:color w:val="auto"/>
          <w:highlight w:val="none"/>
        </w:rPr>
        <w:t>为医院提供稳定的防控救治</w:t>
      </w:r>
      <w:r>
        <w:rPr>
          <w:rStyle w:val="16"/>
          <w:rFonts w:ascii="Times New Roman" w:hAnsi="Times New Roman" w:cs="Times New Roman"/>
          <w:color w:val="auto"/>
          <w:highlight w:val="none"/>
        </w:rPr>
        <w:t>，指标值：</w:t>
      </w:r>
      <w:r>
        <w:rPr>
          <w:rStyle w:val="16"/>
          <w:rFonts w:hint="eastAsia" w:ascii="Times New Roman" w:hAnsi="Times New Roman" w:cs="Times New Roman"/>
          <w:color w:val="auto"/>
          <w:highlight w:val="none"/>
        </w:rPr>
        <w:t>中长期</w:t>
      </w:r>
      <w:r>
        <w:rPr>
          <w:rStyle w:val="16"/>
          <w:rFonts w:ascii="Times New Roman" w:hAnsi="Times New Roman" w:cs="Times New Roman"/>
          <w:color w:val="auto"/>
          <w:highlight w:val="none"/>
        </w:rPr>
        <w:t>，实际完成值：</w:t>
      </w:r>
      <w:r>
        <w:rPr>
          <w:rStyle w:val="16"/>
          <w:rFonts w:hint="eastAsia" w:ascii="Times New Roman" w:hAnsi="Times New Roman" w:cs="Times New Roman"/>
          <w:color w:val="auto"/>
          <w:highlight w:val="none"/>
        </w:rPr>
        <w:t>中长期</w:t>
      </w:r>
      <w:r>
        <w:rPr>
          <w:rStyle w:val="16"/>
          <w:rFonts w:ascii="Times New Roman" w:hAnsi="Times New Roman" w:cs="Times New Roman"/>
          <w:color w:val="auto"/>
          <w:highlight w:val="none"/>
        </w:rPr>
        <w:t>，指标完成率</w:t>
      </w:r>
      <w:r>
        <w:rPr>
          <w:rStyle w:val="16"/>
          <w:rFonts w:hint="eastAsia" w:eastAsia="仿宋_GB2312" w:cs="Times New Roman"/>
          <w:color w:val="auto"/>
          <w:highlight w:val="none"/>
          <w:lang w:val="en-US" w:eastAsia="zh-CN"/>
        </w:rPr>
        <w:t>100</w:t>
      </w:r>
      <w:r>
        <w:rPr>
          <w:rStyle w:val="16"/>
          <w:rFonts w:ascii="Times New Roman" w:hAnsi="Times New Roman" w:cs="Times New Roman"/>
          <w:color w:val="auto"/>
          <w:highlight w:val="none"/>
        </w:rPr>
        <w:t>%</w:t>
      </w:r>
      <w:r>
        <w:rPr>
          <w:rStyle w:val="14"/>
          <w:rFonts w:hint="eastAsia" w:eastAsia="仿宋_GB2312"/>
          <w:b w:val="0"/>
          <w:spacing w:val="-4"/>
          <w:sz w:val="32"/>
          <w:szCs w:val="32"/>
          <w:highlight w:val="none"/>
        </w:rPr>
        <w:t>，</w:t>
      </w:r>
      <w:r>
        <w:rPr>
          <w:rStyle w:val="14"/>
          <w:rFonts w:hint="eastAsia" w:eastAsia="仿宋_GB2312"/>
          <w:b w:val="0"/>
          <w:spacing w:val="-4"/>
          <w:sz w:val="32"/>
          <w:szCs w:val="32"/>
          <w:highlight w:val="none"/>
          <w:lang w:eastAsia="zh-Hans"/>
        </w:rPr>
        <w:t>偏差原因：</w:t>
      </w:r>
      <w:r>
        <w:rPr>
          <w:rStyle w:val="14"/>
          <w:rFonts w:hint="eastAsia" w:eastAsia="仿宋_GB2312"/>
          <w:b w:val="0"/>
          <w:spacing w:val="-4"/>
          <w:sz w:val="32"/>
          <w:szCs w:val="32"/>
          <w:highlight w:val="none"/>
          <w:lang w:eastAsia="zh-CN"/>
        </w:rPr>
        <w:t>无</w:t>
      </w:r>
      <w:r>
        <w:rPr>
          <w:rStyle w:val="16"/>
          <w:rFonts w:ascii="Times New Roman" w:hAnsi="Times New Roman" w:cs="Times New Roman"/>
          <w:color w:val="auto"/>
          <w:highlight w:val="none"/>
        </w:rPr>
        <w:t>；</w:t>
      </w:r>
    </w:p>
    <w:p w14:paraId="5A11A46B">
      <w:pPr>
        <w:spacing w:line="560" w:lineRule="exact"/>
        <w:ind w:firstLine="643" w:firstLineChars="200"/>
        <w:rPr>
          <w:rStyle w:val="16"/>
          <w:rFonts w:ascii="Times New Roman" w:hAnsi="Times New Roman" w:cs="Times New Roman"/>
          <w:b/>
          <w:bCs/>
          <w:color w:val="auto"/>
          <w:highlight w:val="none"/>
        </w:rPr>
      </w:pPr>
      <w:r>
        <w:rPr>
          <w:rStyle w:val="16"/>
          <w:rFonts w:ascii="Times New Roman" w:hAnsi="Times New Roman" w:cs="Times New Roman"/>
          <w:b/>
          <w:bCs/>
          <w:color w:val="auto"/>
          <w:highlight w:val="none"/>
        </w:rPr>
        <w:t>满意度指标方面：</w:t>
      </w:r>
    </w:p>
    <w:p w14:paraId="77D63AFE">
      <w:pPr>
        <w:snapToGrid w:val="0"/>
        <w:spacing w:line="560" w:lineRule="exact"/>
        <w:ind w:firstLine="624" w:firstLineChars="200"/>
        <w:rPr>
          <w:rStyle w:val="14"/>
          <w:rFonts w:eastAsia="仿宋_GB2312"/>
          <w:b w:val="0"/>
          <w:spacing w:val="-4"/>
          <w:sz w:val="32"/>
          <w:szCs w:val="32"/>
          <w:highlight w:val="none"/>
        </w:rPr>
      </w:pPr>
      <w:r>
        <w:rPr>
          <w:rStyle w:val="14"/>
          <w:rFonts w:eastAsia="仿宋_GB2312"/>
          <w:b w:val="0"/>
          <w:spacing w:val="-4"/>
          <w:sz w:val="32"/>
          <w:szCs w:val="32"/>
          <w:highlight w:val="none"/>
        </w:rPr>
        <w:t>指标1：</w:t>
      </w:r>
      <w:r>
        <w:rPr>
          <w:rStyle w:val="14"/>
          <w:rFonts w:hint="eastAsia" w:eastAsia="仿宋_GB2312"/>
          <w:b w:val="0"/>
          <w:spacing w:val="-4"/>
          <w:sz w:val="32"/>
          <w:szCs w:val="32"/>
          <w:highlight w:val="none"/>
        </w:rPr>
        <w:t>受益群众满意度</w:t>
      </w:r>
      <w:r>
        <w:rPr>
          <w:rStyle w:val="14"/>
          <w:rFonts w:eastAsia="仿宋_GB2312"/>
          <w:b w:val="0"/>
          <w:spacing w:val="-4"/>
          <w:sz w:val="32"/>
          <w:szCs w:val="32"/>
          <w:highlight w:val="none"/>
        </w:rPr>
        <w:t>，指标值</w:t>
      </w:r>
      <w:r>
        <w:rPr>
          <w:rStyle w:val="14"/>
          <w:rFonts w:hint="eastAsia" w:eastAsia="仿宋_GB2312"/>
          <w:b w:val="0"/>
          <w:spacing w:val="-4"/>
          <w:sz w:val="32"/>
          <w:szCs w:val="32"/>
          <w:highlight w:val="none"/>
          <w:lang w:eastAsia="zh-CN"/>
        </w:rPr>
        <w:t>：</w:t>
      </w:r>
      <w:r>
        <w:rPr>
          <w:rStyle w:val="14"/>
          <w:rFonts w:hint="eastAsia" w:eastAsia="仿宋_GB2312"/>
          <w:b w:val="0"/>
          <w:spacing w:val="-4"/>
          <w:sz w:val="32"/>
          <w:szCs w:val="32"/>
          <w:highlight w:val="none"/>
        </w:rPr>
        <w:t>=90%</w:t>
      </w:r>
      <w:r>
        <w:rPr>
          <w:rStyle w:val="14"/>
          <w:rFonts w:eastAsia="仿宋_GB2312"/>
          <w:b w:val="0"/>
          <w:spacing w:val="-4"/>
          <w:sz w:val="32"/>
          <w:szCs w:val="32"/>
          <w:highlight w:val="none"/>
        </w:rPr>
        <w:t>，实际完成值：</w:t>
      </w:r>
      <w:r>
        <w:rPr>
          <w:rStyle w:val="14"/>
          <w:rFonts w:hint="eastAsia" w:eastAsia="仿宋_GB2312"/>
          <w:b w:val="0"/>
          <w:spacing w:val="-4"/>
          <w:sz w:val="32"/>
          <w:szCs w:val="32"/>
          <w:highlight w:val="none"/>
          <w:lang w:val="en-US" w:eastAsia="zh-CN"/>
        </w:rPr>
        <w:t>90%</w:t>
      </w:r>
      <w:r>
        <w:rPr>
          <w:rStyle w:val="14"/>
          <w:rFonts w:eastAsia="仿宋_GB2312"/>
          <w:b w:val="0"/>
          <w:spacing w:val="-4"/>
          <w:sz w:val="32"/>
          <w:szCs w:val="32"/>
          <w:highlight w:val="none"/>
        </w:rPr>
        <w:t>，指标完成率</w:t>
      </w:r>
      <w:r>
        <w:rPr>
          <w:rStyle w:val="14"/>
          <w:rFonts w:hint="eastAsia" w:eastAsia="仿宋_GB2312"/>
          <w:b w:val="0"/>
          <w:spacing w:val="-4"/>
          <w:sz w:val="32"/>
          <w:szCs w:val="32"/>
          <w:highlight w:val="none"/>
          <w:lang w:val="en-US" w:eastAsia="zh-CN"/>
        </w:rPr>
        <w:t>100</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w:t>
      </w:r>
      <w:r>
        <w:rPr>
          <w:rStyle w:val="14"/>
          <w:rFonts w:hint="eastAsia" w:eastAsia="仿宋_GB2312"/>
          <w:b w:val="0"/>
          <w:spacing w:val="-4"/>
          <w:sz w:val="32"/>
          <w:szCs w:val="32"/>
          <w:highlight w:val="none"/>
          <w:lang w:eastAsia="zh-Hans"/>
        </w:rPr>
        <w:t>偏差原因：</w:t>
      </w:r>
      <w:r>
        <w:rPr>
          <w:rStyle w:val="14"/>
          <w:rFonts w:hint="eastAsia" w:eastAsia="仿宋_GB2312"/>
          <w:b w:val="0"/>
          <w:spacing w:val="-4"/>
          <w:sz w:val="32"/>
          <w:szCs w:val="32"/>
          <w:highlight w:val="none"/>
          <w:lang w:eastAsia="zh-CN"/>
        </w:rPr>
        <w:t>无</w:t>
      </w:r>
      <w:r>
        <w:rPr>
          <w:rStyle w:val="14"/>
          <w:rFonts w:eastAsia="仿宋_GB2312"/>
          <w:b w:val="0"/>
          <w:spacing w:val="-4"/>
          <w:sz w:val="32"/>
          <w:szCs w:val="32"/>
          <w:highlight w:val="none"/>
        </w:rPr>
        <w:t>；</w:t>
      </w:r>
    </w:p>
    <w:p w14:paraId="56A7AAEC">
      <w:pPr>
        <w:spacing w:line="560" w:lineRule="exact"/>
        <w:ind w:firstLine="640" w:firstLineChars="200"/>
        <w:rPr>
          <w:rFonts w:eastAsia="黑体"/>
          <w:sz w:val="32"/>
          <w:szCs w:val="32"/>
          <w:highlight w:val="none"/>
          <w:lang w:eastAsia="zh-Hans"/>
        </w:rPr>
      </w:pPr>
      <w:r>
        <w:rPr>
          <w:rFonts w:eastAsia="黑体"/>
          <w:sz w:val="32"/>
          <w:szCs w:val="32"/>
          <w:highlight w:val="none"/>
        </w:rPr>
        <w:t>五、</w:t>
      </w:r>
      <w:r>
        <w:rPr>
          <w:rFonts w:hint="eastAsia" w:eastAsia="黑体"/>
          <w:sz w:val="32"/>
          <w:szCs w:val="32"/>
          <w:highlight w:val="none"/>
          <w:lang w:eastAsia="zh-Hans"/>
        </w:rPr>
        <w:t>预算执行进度与绩效指标总体完成率偏差</w:t>
      </w:r>
    </w:p>
    <w:p w14:paraId="4C886D80">
      <w:pPr>
        <w:pStyle w:val="17"/>
        <w:spacing w:line="560" w:lineRule="exact"/>
        <w:ind w:firstLine="640"/>
        <w:rPr>
          <w:rFonts w:eastAsia="方正仿宋_GBK" w:cs="方正仿宋_GBK"/>
          <w:sz w:val="32"/>
          <w:szCs w:val="32"/>
          <w:highlight w:val="none"/>
        </w:rPr>
      </w:pPr>
      <w:r>
        <w:rPr>
          <w:rFonts w:hint="eastAsia" w:eastAsia="方正仿宋_GBK" w:cs="方正仿宋_GBK"/>
          <w:sz w:val="32"/>
          <w:szCs w:val="32"/>
          <w:highlight w:val="none"/>
        </w:rPr>
        <w:t>自治区卫生健康委所属单位2023年地方政府债券资金（第二批）项目预算</w:t>
      </w:r>
      <w:r>
        <w:rPr>
          <w:rFonts w:hint="eastAsia" w:eastAsia="方正仿宋_GBK" w:cs="方正仿宋_GBK"/>
          <w:sz w:val="32"/>
          <w:szCs w:val="32"/>
          <w:highlight w:val="none"/>
          <w:lang w:val="en-US" w:eastAsia="zh-CN"/>
        </w:rPr>
        <w:t>3000</w:t>
      </w:r>
      <w:r>
        <w:rPr>
          <w:rFonts w:hint="eastAsia" w:eastAsia="方正仿宋_GBK" w:cs="方正仿宋_GBK"/>
          <w:sz w:val="32"/>
          <w:szCs w:val="32"/>
          <w:highlight w:val="none"/>
        </w:rPr>
        <w:t>万元，到位</w:t>
      </w:r>
      <w:r>
        <w:rPr>
          <w:rFonts w:hint="eastAsia" w:eastAsia="方正仿宋_GBK" w:cs="方正仿宋_GBK"/>
          <w:sz w:val="32"/>
          <w:szCs w:val="32"/>
          <w:highlight w:val="none"/>
          <w:lang w:val="en-US" w:eastAsia="zh-CN"/>
        </w:rPr>
        <w:t>3000</w:t>
      </w:r>
      <w:r>
        <w:rPr>
          <w:rFonts w:hint="eastAsia" w:eastAsia="方正仿宋_GBK" w:cs="方正仿宋_GBK"/>
          <w:sz w:val="32"/>
          <w:szCs w:val="32"/>
          <w:highlight w:val="none"/>
        </w:rPr>
        <w:t>万元，实际支出</w:t>
      </w:r>
      <w:r>
        <w:rPr>
          <w:rFonts w:hint="eastAsia" w:eastAsia="方正仿宋_GBK" w:cs="方正仿宋_GBK"/>
          <w:sz w:val="32"/>
          <w:szCs w:val="32"/>
          <w:highlight w:val="none"/>
          <w:lang w:val="en-US" w:eastAsia="zh-CN"/>
        </w:rPr>
        <w:t>3000</w:t>
      </w:r>
      <w:r>
        <w:rPr>
          <w:rFonts w:hint="eastAsia" w:eastAsia="方正仿宋_GBK" w:cs="方正仿宋_GBK"/>
          <w:sz w:val="32"/>
          <w:szCs w:val="32"/>
          <w:highlight w:val="none"/>
        </w:rPr>
        <w:t>万元，预算执行率为</w:t>
      </w:r>
      <w:r>
        <w:rPr>
          <w:rFonts w:hint="eastAsia" w:eastAsia="方正仿宋_GBK" w:cs="方正仿宋_GBK"/>
          <w:sz w:val="32"/>
          <w:szCs w:val="32"/>
          <w:highlight w:val="none"/>
          <w:lang w:val="en-US" w:eastAsia="zh-CN"/>
        </w:rPr>
        <w:t>100</w:t>
      </w:r>
      <w:r>
        <w:rPr>
          <w:rFonts w:hint="eastAsia" w:eastAsia="方正仿宋_GBK" w:cs="方正仿宋_GBK"/>
          <w:sz w:val="32"/>
          <w:szCs w:val="32"/>
          <w:highlight w:val="none"/>
        </w:rPr>
        <w:t>%，项目绩效指标总体完成率为</w:t>
      </w:r>
      <w:r>
        <w:rPr>
          <w:rFonts w:hint="eastAsia" w:eastAsia="方正仿宋_GBK" w:cs="方正仿宋_GBK"/>
          <w:sz w:val="32"/>
          <w:szCs w:val="32"/>
          <w:highlight w:val="none"/>
          <w:lang w:val="en-US" w:eastAsia="zh-CN"/>
        </w:rPr>
        <w:t>94.66</w:t>
      </w:r>
      <w:r>
        <w:rPr>
          <w:rFonts w:hint="eastAsia" w:eastAsia="方正仿宋_GBK" w:cs="方正仿宋_GBK"/>
          <w:sz w:val="32"/>
          <w:szCs w:val="32"/>
          <w:highlight w:val="none"/>
        </w:rPr>
        <w:t>%，</w:t>
      </w:r>
      <w:r>
        <w:rPr>
          <w:rFonts w:hint="eastAsia" w:eastAsia="方正仿宋_GBK" w:cs="方正仿宋_GBK"/>
          <w:sz w:val="32"/>
          <w:szCs w:val="32"/>
          <w:highlight w:val="none"/>
          <w:lang w:eastAsia="zh-Hans"/>
        </w:rPr>
        <w:t>总体</w:t>
      </w:r>
      <w:r>
        <w:rPr>
          <w:rFonts w:hint="eastAsia" w:eastAsia="方正仿宋_GBK" w:cs="方正仿宋_GBK"/>
          <w:sz w:val="32"/>
          <w:szCs w:val="32"/>
          <w:highlight w:val="none"/>
        </w:rPr>
        <w:t>偏差率为</w:t>
      </w:r>
      <w:r>
        <w:rPr>
          <w:rFonts w:hint="eastAsia" w:eastAsia="方正仿宋_GBK" w:cs="方正仿宋_GBK"/>
          <w:sz w:val="32"/>
          <w:szCs w:val="32"/>
          <w:highlight w:val="none"/>
          <w:lang w:val="en-US" w:eastAsia="zh-CN"/>
        </w:rPr>
        <w:t>5.34</w:t>
      </w:r>
      <w:r>
        <w:rPr>
          <w:rFonts w:hint="eastAsia" w:eastAsia="方正仿宋_GBK" w:cs="方正仿宋_GBK"/>
          <w:sz w:val="32"/>
          <w:szCs w:val="32"/>
          <w:highlight w:val="none"/>
        </w:rPr>
        <w:t>%</w:t>
      </w:r>
      <w:r>
        <w:rPr>
          <w:rFonts w:hint="eastAsia" w:eastAsia="方正仿宋_GBK" w:cs="方正仿宋_GBK"/>
          <w:sz w:val="32"/>
          <w:szCs w:val="32"/>
          <w:highlight w:val="none"/>
          <w:lang w:eastAsia="zh-CN"/>
        </w:rPr>
        <w:t>，</w:t>
      </w:r>
      <w:r>
        <w:rPr>
          <w:rFonts w:hint="eastAsia" w:eastAsia="方正仿宋_GBK" w:cs="方正仿宋_GBK"/>
          <w:sz w:val="32"/>
          <w:szCs w:val="32"/>
          <w:highlight w:val="none"/>
          <w:lang w:eastAsia="zh-Hans"/>
        </w:rPr>
        <w:t>偏差</w:t>
      </w:r>
      <w:r>
        <w:rPr>
          <w:rFonts w:hint="eastAsia" w:eastAsia="方正仿宋_GBK" w:cs="方正仿宋_GBK"/>
          <w:sz w:val="32"/>
          <w:szCs w:val="32"/>
          <w:highlight w:val="none"/>
        </w:rPr>
        <w:t>原因</w:t>
      </w:r>
      <w:r>
        <w:rPr>
          <w:rFonts w:hint="eastAsia" w:eastAsia="方正仿宋_GBK" w:cs="方正仿宋_GBK"/>
          <w:sz w:val="32"/>
          <w:szCs w:val="32"/>
          <w:highlight w:val="none"/>
          <w:lang w:eastAsia="zh-CN"/>
        </w:rPr>
        <w:t>公共卫生救治中心项目施工，导致污水处理站、医疗垃圾房，门卫室项目的场地被占用，无法按期开工，</w:t>
      </w:r>
      <w:r>
        <w:rPr>
          <w:rFonts w:hint="eastAsia" w:eastAsia="方正仿宋_GBK" w:cs="方正仿宋_GBK"/>
          <w:sz w:val="32"/>
          <w:szCs w:val="32"/>
          <w:highlight w:val="none"/>
          <w:lang w:eastAsia="zh-Hans"/>
        </w:rPr>
        <w:t>改进</w:t>
      </w:r>
      <w:r>
        <w:rPr>
          <w:rFonts w:hint="eastAsia" w:eastAsia="方正仿宋_GBK" w:cs="方正仿宋_GBK"/>
          <w:sz w:val="32"/>
          <w:szCs w:val="32"/>
          <w:highlight w:val="none"/>
        </w:rPr>
        <w:t>措施</w:t>
      </w:r>
      <w:r>
        <w:rPr>
          <w:rFonts w:hint="eastAsia" w:eastAsia="方正仿宋_GBK" w:cs="方正仿宋_GBK"/>
          <w:sz w:val="32"/>
          <w:szCs w:val="32"/>
          <w:highlight w:val="none"/>
          <w:lang w:eastAsia="zh-CN"/>
        </w:rPr>
        <w:t>后期将按照计划标准加快完工进度，同时对指标进行科学选择，加强对绩效评估的认识。</w:t>
      </w:r>
    </w:p>
    <w:p w14:paraId="742DE8C2">
      <w:pPr>
        <w:rPr>
          <w:highlight w:val="none"/>
        </w:rPr>
      </w:pPr>
    </w:p>
    <w:p w14:paraId="3AD9F2F9">
      <w:pPr>
        <w:spacing w:line="560" w:lineRule="exact"/>
        <w:ind w:firstLine="640" w:firstLineChars="200"/>
        <w:rPr>
          <w:rStyle w:val="16"/>
          <w:rFonts w:ascii="Times New Roman" w:hAnsi="Times New Roman" w:cs="Times New Roman"/>
          <w:color w:val="auto"/>
          <w:highlight w:val="none"/>
        </w:rPr>
      </w:pPr>
      <w:r>
        <w:rPr>
          <w:rFonts w:hint="eastAsia" w:eastAsia="黑体"/>
          <w:sz w:val="32"/>
          <w:szCs w:val="32"/>
          <w:highlight w:val="none"/>
          <w:lang w:eastAsia="zh-Hans"/>
        </w:rPr>
        <w:t>六</w:t>
      </w:r>
      <w:r>
        <w:rPr>
          <w:rFonts w:eastAsia="黑体"/>
          <w:sz w:val="32"/>
          <w:szCs w:val="32"/>
          <w:highlight w:val="none"/>
        </w:rPr>
        <w:t>、主要经验及做法、存在的问题及原因分析</w:t>
      </w:r>
    </w:p>
    <w:p w14:paraId="09EB0B28">
      <w:pPr>
        <w:spacing w:line="56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14:paraId="5813E915">
      <w:pPr>
        <w:spacing w:line="56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2A22932">
      <w:pPr>
        <w:pStyle w:val="2"/>
        <w:spacing w:before="0" w:after="0" w:line="560" w:lineRule="exact"/>
        <w:ind w:firstLine="640" w:firstLineChars="200"/>
        <w:jc w:val="left"/>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0AA25C4">
      <w:pPr>
        <w:keepNext/>
        <w:keepLines/>
        <w:numPr>
          <w:ilvl w:val="0"/>
          <w:numId w:val="6"/>
        </w:numPr>
        <w:spacing w:line="560" w:lineRule="exact"/>
        <w:ind w:firstLine="643" w:firstLineChars="200"/>
        <w:rPr>
          <w:rFonts w:eastAsia="楷体_GB2312"/>
          <w:b/>
          <w:bCs/>
          <w:sz w:val="32"/>
          <w:szCs w:val="32"/>
          <w:highlight w:val="none"/>
        </w:rPr>
      </w:pPr>
      <w:r>
        <w:rPr>
          <w:rFonts w:eastAsia="楷体_GB2312"/>
          <w:b/>
          <w:bCs/>
          <w:sz w:val="32"/>
          <w:szCs w:val="32"/>
          <w:highlight w:val="none"/>
        </w:rPr>
        <w:t>存在的问题及原因分析</w:t>
      </w:r>
    </w:p>
    <w:p w14:paraId="28B59DBD">
      <w:pPr>
        <w:spacing w:line="560" w:lineRule="exact"/>
        <w:ind w:firstLine="640" w:firstLineChars="200"/>
        <w:rPr>
          <w:rFonts w:hint="eastAsia" w:eastAsia="方正仿宋_GBK" w:cs="方正仿宋_GBK"/>
          <w:sz w:val="32"/>
          <w:szCs w:val="32"/>
          <w:highlight w:val="none"/>
          <w:lang w:eastAsia="zh-CN"/>
        </w:rPr>
      </w:pPr>
      <w:r>
        <w:rPr>
          <w:rFonts w:hint="eastAsia" w:eastAsia="方正仿宋_GBK" w:cs="方正仿宋_GBK"/>
          <w:sz w:val="32"/>
          <w:szCs w:val="32"/>
          <w:highlight w:val="none"/>
          <w:lang w:eastAsia="zh-CN"/>
        </w:rPr>
        <w:t>公共卫生救治中心项目施工，导致污水处理站、医疗垃圾房，门卫室项目的场地被占用，无法按期开工，</w:t>
      </w:r>
      <w:r>
        <w:rPr>
          <w:rFonts w:hint="eastAsia" w:eastAsia="方正仿宋_GBK" w:cs="方正仿宋_GBK"/>
          <w:sz w:val="32"/>
          <w:szCs w:val="32"/>
          <w:highlight w:val="none"/>
          <w:lang w:eastAsia="zh-Hans"/>
        </w:rPr>
        <w:t>改进</w:t>
      </w:r>
      <w:r>
        <w:rPr>
          <w:rFonts w:hint="eastAsia" w:eastAsia="方正仿宋_GBK" w:cs="方正仿宋_GBK"/>
          <w:sz w:val="32"/>
          <w:szCs w:val="32"/>
          <w:highlight w:val="none"/>
        </w:rPr>
        <w:t>措施</w:t>
      </w:r>
      <w:r>
        <w:rPr>
          <w:rFonts w:hint="eastAsia" w:eastAsia="方正仿宋_GBK" w:cs="方正仿宋_GBK"/>
          <w:sz w:val="32"/>
          <w:szCs w:val="32"/>
          <w:highlight w:val="none"/>
          <w:lang w:eastAsia="zh-CN"/>
        </w:rPr>
        <w:t>后期将按照计划标准加快完工进度，同时对指标进行科学选择，加强对绩效评估的认识。</w:t>
      </w:r>
    </w:p>
    <w:p w14:paraId="0909A55C">
      <w:pPr>
        <w:spacing w:line="560" w:lineRule="exact"/>
        <w:ind w:firstLine="640" w:firstLineChars="200"/>
        <w:rPr>
          <w:rFonts w:eastAsia="黑体"/>
          <w:sz w:val="32"/>
          <w:szCs w:val="32"/>
          <w:highlight w:val="none"/>
        </w:rPr>
      </w:pPr>
      <w:r>
        <w:rPr>
          <w:rFonts w:hint="eastAsia" w:eastAsia="黑体"/>
          <w:sz w:val="32"/>
          <w:szCs w:val="32"/>
          <w:highlight w:val="none"/>
          <w:lang w:eastAsia="zh-Hans"/>
        </w:rPr>
        <w:t>七、</w:t>
      </w:r>
      <w:r>
        <w:rPr>
          <w:rFonts w:eastAsia="黑体"/>
          <w:sz w:val="32"/>
          <w:szCs w:val="32"/>
          <w:highlight w:val="none"/>
        </w:rPr>
        <w:t>有关建议</w:t>
      </w:r>
    </w:p>
    <w:p w14:paraId="466B5466">
      <w:pPr>
        <w:spacing w:line="560" w:lineRule="exact"/>
        <w:ind w:firstLine="640" w:firstLineChars="200"/>
        <w:rPr>
          <w:highlight w:val="none"/>
        </w:rPr>
      </w:pPr>
      <w:r>
        <w:rPr>
          <w:rFonts w:hint="eastAsia" w:ascii="仿宋_GB2312" w:hAnsi="仿宋_GB2312" w:eastAsia="仿宋_GB2312" w:cs="仿宋_GB2312"/>
          <w:sz w:val="32"/>
          <w:szCs w:val="28"/>
          <w:highlight w:val="none"/>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w:t>
      </w:r>
      <w:bookmarkStart w:id="6" w:name="_GoBack"/>
      <w:bookmarkEnd w:id="6"/>
      <w:r>
        <w:rPr>
          <w:rFonts w:hint="eastAsia" w:ascii="仿宋_GB2312" w:hAnsi="仿宋_GB2312" w:eastAsia="仿宋_GB2312" w:cs="仿宋_GB2312"/>
          <w:sz w:val="32"/>
          <w:szCs w:val="28"/>
          <w:highlight w:val="none"/>
        </w:rPr>
        <w:t>问责”的理念深入工作每个环节。</w:t>
      </w:r>
    </w:p>
    <w:p w14:paraId="4C41EFA2">
      <w:pPr>
        <w:spacing w:line="560" w:lineRule="exact"/>
        <w:ind w:firstLine="640" w:firstLineChars="200"/>
        <w:rPr>
          <w:rFonts w:eastAsia="黑体"/>
          <w:sz w:val="32"/>
          <w:szCs w:val="32"/>
          <w:highlight w:val="none"/>
        </w:rPr>
      </w:pPr>
      <w:r>
        <w:rPr>
          <w:rFonts w:hint="eastAsia" w:eastAsia="黑体"/>
          <w:sz w:val="32"/>
          <w:szCs w:val="32"/>
          <w:highlight w:val="none"/>
          <w:lang w:eastAsia="zh-Hans"/>
        </w:rPr>
        <w:t>八、</w:t>
      </w:r>
      <w:r>
        <w:rPr>
          <w:rFonts w:eastAsia="黑体"/>
          <w:sz w:val="32"/>
          <w:szCs w:val="32"/>
          <w:highlight w:val="none"/>
        </w:rPr>
        <w:t>其他需要说</w:t>
      </w:r>
      <w:bookmarkStart w:id="5" w:name="page8"/>
      <w:bookmarkEnd w:id="5"/>
      <w:r>
        <w:rPr>
          <w:rFonts w:eastAsia="黑体"/>
          <w:sz w:val="32"/>
          <w:szCs w:val="32"/>
          <w:highlight w:val="none"/>
        </w:rPr>
        <w:t>明的问题</w:t>
      </w:r>
    </w:p>
    <w:p w14:paraId="6C18F0A3">
      <w:pPr>
        <w:pStyle w:val="11"/>
        <w:spacing w:after="0" w:line="560" w:lineRule="exact"/>
        <w:ind w:left="0" w:leftChars="0" w:firstLine="640"/>
        <w:rPr>
          <w:rFonts w:hint="eastAsia" w:ascii="仿宋_GB2312" w:hAnsi="仿宋_GB2312" w:eastAsia="仿宋_GB2312" w:cs="仿宋_GB2312"/>
          <w:sz w:val="32"/>
          <w:szCs w:val="32"/>
          <w:highlight w:val="none"/>
          <w:lang w:eastAsia="zh-Hans"/>
        </w:rPr>
      </w:pPr>
      <w:r>
        <w:rPr>
          <w:rFonts w:hint="eastAsia" w:ascii="仿宋_GB2312" w:hAnsi="仿宋_GB2312" w:eastAsia="仿宋_GB2312" w:cs="仿宋_GB2312"/>
          <w:sz w:val="32"/>
          <w:szCs w:val="32"/>
          <w:highlight w:val="none"/>
          <w:lang w:eastAsia="zh-Hans"/>
        </w:rPr>
        <w:t>本项目无其他需说明的问题。</w:t>
      </w:r>
    </w:p>
    <w:p w14:paraId="016E198F">
      <w:pPr>
        <w:pStyle w:val="11"/>
        <w:spacing w:after="0" w:line="560" w:lineRule="exact"/>
        <w:ind w:left="0" w:leftChars="0" w:firstLine="640"/>
        <w:rPr>
          <w:rFonts w:hint="eastAsia" w:ascii="仿宋_GB2312" w:hAnsi="仿宋_GB2312" w:eastAsia="仿宋_GB2312" w:cs="仿宋_GB2312"/>
          <w:sz w:val="32"/>
          <w:szCs w:val="32"/>
          <w:highlight w:val="none"/>
          <w:lang w:eastAsia="zh-Hans"/>
        </w:rPr>
      </w:pPr>
    </w:p>
    <w:p w14:paraId="59F8FE6F">
      <w:pPr>
        <w:pStyle w:val="11"/>
        <w:spacing w:after="0" w:line="560" w:lineRule="exact"/>
        <w:ind w:left="0" w:leftChars="0" w:firstLine="640"/>
        <w:rPr>
          <w:rFonts w:hint="eastAsia" w:ascii="仿宋_GB2312" w:hAnsi="仿宋_GB2312" w:eastAsia="仿宋_GB2312" w:cs="仿宋_GB2312"/>
          <w:sz w:val="32"/>
          <w:szCs w:val="32"/>
          <w:highlight w:val="none"/>
          <w:lang w:eastAsia="zh-Hans"/>
        </w:rPr>
      </w:pPr>
    </w:p>
    <w:p w14:paraId="74EDDF8F">
      <w:pPr>
        <w:pStyle w:val="11"/>
        <w:spacing w:after="0" w:line="560" w:lineRule="exact"/>
        <w:ind w:left="0" w:leftChars="0" w:firstLine="640"/>
        <w:rPr>
          <w:rFonts w:hint="eastAsia" w:ascii="仿宋_GB2312" w:hAnsi="仿宋_GB2312" w:eastAsia="仿宋_GB2312" w:cs="仿宋_GB2312"/>
          <w:sz w:val="32"/>
          <w:szCs w:val="32"/>
          <w:highlight w:val="none"/>
          <w:lang w:eastAsia="zh-Hans"/>
        </w:rPr>
      </w:pPr>
    </w:p>
    <w:p w14:paraId="6E06CEF4">
      <w:pPr>
        <w:pStyle w:val="11"/>
        <w:spacing w:after="0" w:line="560" w:lineRule="exact"/>
        <w:ind w:left="0" w:leftChars="0" w:firstLine="640"/>
        <w:rPr>
          <w:rFonts w:hint="eastAsia" w:ascii="仿宋_GB2312" w:hAnsi="仿宋_GB2312" w:eastAsia="仿宋_GB2312" w:cs="仿宋_GB2312"/>
          <w:sz w:val="32"/>
          <w:szCs w:val="32"/>
          <w:highlight w:val="none"/>
          <w:lang w:eastAsia="zh-Hans"/>
        </w:rPr>
      </w:pPr>
    </w:p>
    <w:p w14:paraId="7D766A91">
      <w:pPr>
        <w:pStyle w:val="11"/>
        <w:spacing w:after="0" w:line="560" w:lineRule="exact"/>
        <w:ind w:left="0" w:leftChars="0" w:firstLine="640"/>
        <w:rPr>
          <w:rFonts w:hint="eastAsia" w:ascii="仿宋_GB2312" w:hAnsi="仿宋_GB2312" w:eastAsia="仿宋_GB2312" w:cs="仿宋_GB2312"/>
          <w:sz w:val="32"/>
          <w:szCs w:val="32"/>
          <w:highlight w:val="none"/>
          <w:lang w:eastAsia="zh-Hans"/>
        </w:rPr>
      </w:pPr>
    </w:p>
    <w:p w14:paraId="532B2FA0">
      <w:pPr>
        <w:pStyle w:val="11"/>
        <w:spacing w:after="0" w:line="560" w:lineRule="exact"/>
        <w:ind w:left="0" w:leftChars="0" w:firstLine="640"/>
        <w:rPr>
          <w:rFonts w:hint="eastAsia" w:ascii="仿宋_GB2312" w:hAnsi="仿宋_GB2312" w:eastAsia="仿宋_GB2312" w:cs="仿宋_GB2312"/>
          <w:sz w:val="32"/>
          <w:szCs w:val="32"/>
          <w:highlight w:val="none"/>
          <w:lang w:eastAsia="zh-Hans"/>
        </w:rPr>
      </w:pPr>
    </w:p>
    <w:p w14:paraId="2C245472">
      <w:pPr>
        <w:pStyle w:val="11"/>
        <w:spacing w:after="0" w:line="560" w:lineRule="exact"/>
        <w:ind w:left="0" w:leftChars="0" w:firstLine="640"/>
        <w:rPr>
          <w:rFonts w:hint="eastAsia" w:ascii="仿宋_GB2312" w:hAnsi="仿宋_GB2312" w:eastAsia="仿宋_GB2312" w:cs="仿宋_GB2312"/>
          <w:sz w:val="32"/>
          <w:szCs w:val="32"/>
          <w:highlight w:val="none"/>
          <w:lang w:eastAsia="zh-Hans"/>
        </w:rPr>
      </w:pPr>
    </w:p>
    <w:p w14:paraId="509F0C2E">
      <w:pPr>
        <w:pStyle w:val="11"/>
        <w:spacing w:after="0" w:line="560" w:lineRule="exact"/>
        <w:ind w:left="0" w:leftChars="0" w:firstLine="640"/>
        <w:rPr>
          <w:rFonts w:hint="eastAsia" w:ascii="仿宋_GB2312" w:hAnsi="仿宋_GB2312" w:eastAsia="仿宋_GB2312" w:cs="仿宋_GB2312"/>
          <w:sz w:val="32"/>
          <w:szCs w:val="32"/>
          <w:highlight w:val="none"/>
          <w:lang w:eastAsia="zh-Hans"/>
        </w:rPr>
      </w:pPr>
    </w:p>
    <w:p w14:paraId="4EF50829">
      <w:pPr>
        <w:pStyle w:val="11"/>
        <w:spacing w:after="0" w:line="560" w:lineRule="exact"/>
        <w:ind w:left="0" w:leftChars="0" w:firstLine="640"/>
        <w:rPr>
          <w:rFonts w:hint="eastAsia" w:ascii="仿宋_GB2312" w:hAnsi="仿宋_GB2312" w:eastAsia="仿宋_GB2312" w:cs="仿宋_GB2312"/>
          <w:sz w:val="32"/>
          <w:szCs w:val="32"/>
          <w:highlight w:val="none"/>
          <w:lang w:eastAsia="zh-Hans"/>
        </w:rPr>
      </w:pPr>
    </w:p>
    <w:p w14:paraId="616342E0">
      <w:pPr>
        <w:pStyle w:val="11"/>
        <w:spacing w:after="0" w:line="560" w:lineRule="exact"/>
        <w:ind w:left="0" w:leftChars="0" w:firstLine="640"/>
        <w:rPr>
          <w:rFonts w:hint="eastAsia" w:ascii="仿宋_GB2312" w:hAnsi="仿宋_GB2312" w:eastAsia="仿宋_GB2312" w:cs="仿宋_GB2312"/>
          <w:sz w:val="32"/>
          <w:szCs w:val="32"/>
          <w:highlight w:val="none"/>
          <w:lang w:eastAsia="zh-Hans"/>
        </w:rPr>
      </w:pPr>
    </w:p>
    <w:p w14:paraId="71CC945D">
      <w:pPr>
        <w:pStyle w:val="11"/>
        <w:spacing w:after="0" w:line="560" w:lineRule="exact"/>
        <w:ind w:left="0" w:leftChars="0" w:firstLine="640"/>
        <w:rPr>
          <w:rFonts w:hint="eastAsia" w:ascii="仿宋_GB2312" w:hAnsi="仿宋_GB2312" w:eastAsia="仿宋_GB2312" w:cs="仿宋_GB2312"/>
          <w:sz w:val="32"/>
          <w:szCs w:val="32"/>
          <w:highlight w:val="none"/>
          <w:lang w:eastAsia="zh-Hans"/>
        </w:rPr>
        <w:sectPr>
          <w:footerReference r:id="rId3" w:type="default"/>
          <w:pgSz w:w="11906" w:h="16838"/>
          <w:pgMar w:top="1440" w:right="1558" w:bottom="1440" w:left="1800" w:header="851" w:footer="992" w:gutter="0"/>
          <w:cols w:space="425" w:num="1"/>
          <w:docGrid w:type="lines" w:linePitch="312" w:charSpace="0"/>
        </w:sectPr>
      </w:pPr>
    </w:p>
    <w:p w14:paraId="7BBC53E7">
      <w:pPr>
        <w:pStyle w:val="11"/>
        <w:spacing w:after="0" w:line="560" w:lineRule="exact"/>
        <w:ind w:left="0" w:leftChars="0" w:firstLine="0" w:firstLineChars="0"/>
        <w:rPr>
          <w:rFonts w:hint="eastAsia" w:ascii="仿宋_GB2312" w:hAnsi="仿宋_GB2312" w:eastAsia="仿宋_GB2312" w:cs="仿宋_GB2312"/>
          <w:sz w:val="32"/>
          <w:szCs w:val="32"/>
          <w:highlight w:val="none"/>
          <w:lang w:eastAsia="zh-Hans"/>
        </w:rPr>
      </w:pPr>
    </w:p>
    <w:tbl>
      <w:tblPr>
        <w:tblStyle w:val="12"/>
        <w:tblpPr w:leftFromText="180" w:rightFromText="180" w:vertAnchor="text" w:horzAnchor="page" w:tblpX="203" w:tblpY="1756"/>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1"/>
        <w:gridCol w:w="698"/>
        <w:gridCol w:w="520"/>
        <w:gridCol w:w="1013"/>
        <w:gridCol w:w="846"/>
        <w:gridCol w:w="973"/>
        <w:gridCol w:w="942"/>
        <w:gridCol w:w="691"/>
        <w:gridCol w:w="909"/>
        <w:gridCol w:w="1229"/>
        <w:gridCol w:w="1621"/>
        <w:gridCol w:w="1329"/>
        <w:gridCol w:w="1014"/>
        <w:gridCol w:w="1728"/>
      </w:tblGrid>
      <w:tr w14:paraId="43E36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5000" w:type="pct"/>
            <w:gridSpan w:val="14"/>
            <w:tcBorders>
              <w:top w:val="nil"/>
              <w:left w:val="nil"/>
              <w:bottom w:val="nil"/>
              <w:right w:val="nil"/>
            </w:tcBorders>
            <w:shd w:val="clear" w:color="auto" w:fill="auto"/>
            <w:vAlign w:val="center"/>
          </w:tcPr>
          <w:p w14:paraId="055F34D7">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D87F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3827FA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(2023年度</w:t>
            </w:r>
            <w:r>
              <w:rPr>
                <w:rFonts w:hint="eastAsia" w:ascii="宋体" w:hAnsi="宋体" w:cs="宋体"/>
                <w:i w:val="0"/>
                <w:iCs w:val="0"/>
                <w:color w:val="000000"/>
                <w:kern w:val="0"/>
                <w:sz w:val="22"/>
                <w:szCs w:val="22"/>
                <w:u w:val="none"/>
                <w:lang w:val="en-US" w:eastAsia="zh-CN" w:bidi="ar"/>
              </w:rPr>
              <w:t>）</w:t>
            </w:r>
          </w:p>
        </w:tc>
      </w:tr>
      <w:tr w14:paraId="0A78B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F3DAA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06"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3BB5A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自治区卫生健康委所属单位2023年地方政府债券资金（第二批）2</w:t>
            </w:r>
          </w:p>
        </w:tc>
      </w:tr>
      <w:tr w14:paraId="675A8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D389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4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2987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新疆维吾尔自治区第六人民医院</w:t>
            </w:r>
          </w:p>
        </w:tc>
        <w:tc>
          <w:tcPr>
            <w:tcW w:w="5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AEAE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4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2BA1C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新疆维吾尔自治区第六人民医院</w:t>
            </w:r>
          </w:p>
        </w:tc>
      </w:tr>
      <w:tr w14:paraId="63E16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9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5C55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5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A5DD09">
            <w:pPr>
              <w:jc w:val="center"/>
              <w:rPr>
                <w:rFonts w:hint="eastAsia" w:ascii="宋体" w:hAnsi="宋体" w:eastAsia="宋体" w:cs="宋体"/>
                <w:b/>
                <w:bCs/>
                <w:i w:val="0"/>
                <w:iCs w:val="0"/>
                <w:color w:val="000000"/>
                <w:sz w:val="18"/>
                <w:szCs w:val="18"/>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DA3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14BE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5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63304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10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AE72A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9E01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6C3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5583F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9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67BE6">
            <w:pPr>
              <w:jc w:val="center"/>
              <w:rPr>
                <w:rFonts w:hint="eastAsia" w:ascii="宋体" w:hAnsi="宋体" w:eastAsia="宋体" w:cs="宋体"/>
                <w:b/>
                <w:bCs/>
                <w:i w:val="0"/>
                <w:iCs w:val="0"/>
                <w:color w:val="000000"/>
                <w:sz w:val="18"/>
                <w:szCs w:val="18"/>
                <w:u w:val="none"/>
              </w:rPr>
            </w:pPr>
          </w:p>
        </w:tc>
        <w:tc>
          <w:tcPr>
            <w:tcW w:w="5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592B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2F9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3000.00</w:t>
            </w:r>
          </w:p>
        </w:tc>
        <w:tc>
          <w:tcPr>
            <w:tcW w:w="6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C2A8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5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4D38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3000.00</w:t>
            </w:r>
          </w:p>
        </w:tc>
        <w:tc>
          <w:tcPr>
            <w:tcW w:w="10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C0F9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63E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D07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14:paraId="74C83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9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583A8">
            <w:pPr>
              <w:jc w:val="center"/>
              <w:rPr>
                <w:rFonts w:hint="eastAsia" w:ascii="宋体" w:hAnsi="宋体" w:eastAsia="宋体" w:cs="宋体"/>
                <w:b/>
                <w:bCs/>
                <w:i w:val="0"/>
                <w:iCs w:val="0"/>
                <w:color w:val="000000"/>
                <w:sz w:val="18"/>
                <w:szCs w:val="18"/>
                <w:u w:val="none"/>
              </w:rPr>
            </w:pPr>
          </w:p>
        </w:tc>
        <w:tc>
          <w:tcPr>
            <w:tcW w:w="5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5E5B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627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6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23B5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5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E951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10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61DD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F32E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CA1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D7F3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9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3C089">
            <w:pPr>
              <w:jc w:val="center"/>
              <w:rPr>
                <w:rFonts w:hint="eastAsia" w:ascii="宋体" w:hAnsi="宋体" w:eastAsia="宋体" w:cs="宋体"/>
                <w:b/>
                <w:bCs/>
                <w:i w:val="0"/>
                <w:iCs w:val="0"/>
                <w:color w:val="000000"/>
                <w:sz w:val="18"/>
                <w:szCs w:val="18"/>
                <w:u w:val="none"/>
              </w:rPr>
            </w:pPr>
          </w:p>
        </w:tc>
        <w:tc>
          <w:tcPr>
            <w:tcW w:w="5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BFAF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DAF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2823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A129D6">
            <w:pPr>
              <w:jc w:val="center"/>
              <w:rPr>
                <w:rFonts w:hint="eastAsia" w:ascii="宋体" w:hAnsi="宋体" w:eastAsia="宋体" w:cs="宋体"/>
                <w:i w:val="0"/>
                <w:iCs w:val="0"/>
                <w:color w:val="000000"/>
                <w:sz w:val="18"/>
                <w:szCs w:val="18"/>
                <w:u w:val="none"/>
              </w:rPr>
            </w:pPr>
          </w:p>
        </w:tc>
        <w:tc>
          <w:tcPr>
            <w:tcW w:w="10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2EFD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C87B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CC9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46AD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44F7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71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F2E3F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304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CEA72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0D9E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05B0F">
            <w:pPr>
              <w:jc w:val="center"/>
              <w:rPr>
                <w:rFonts w:hint="eastAsia" w:ascii="宋体" w:hAnsi="宋体" w:eastAsia="宋体" w:cs="宋体"/>
                <w:b/>
                <w:bCs/>
                <w:i w:val="0"/>
                <w:iCs w:val="0"/>
                <w:color w:val="000000"/>
                <w:sz w:val="18"/>
                <w:szCs w:val="18"/>
                <w:u w:val="none"/>
              </w:rPr>
            </w:pPr>
          </w:p>
        </w:tc>
        <w:tc>
          <w:tcPr>
            <w:tcW w:w="171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A9149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总体目标：新建防控救治综合服务楼9331㎡、医疗垃圾房202㎡、污水处理站416㎡、垃圾收集站130㎡及门卫室169㎡。项目建成后为医院提供综合防控救治。</w:t>
            </w:r>
          </w:p>
        </w:tc>
        <w:tc>
          <w:tcPr>
            <w:tcW w:w="304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0906F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2023年实际完成：新建防控救治综合服务楼9331㎡，项目建成后为医院提供综合防控救治。</w:t>
            </w:r>
          </w:p>
        </w:tc>
      </w:tr>
      <w:tr w14:paraId="1C290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7FE62B">
            <w:pPr>
              <w:jc w:val="center"/>
              <w:rPr>
                <w:rFonts w:hint="eastAsia" w:ascii="宋体" w:hAnsi="宋体" w:eastAsia="宋体" w:cs="宋体"/>
                <w:i w:val="0"/>
                <w:iCs w:val="0"/>
                <w:color w:val="000000"/>
                <w:sz w:val="18"/>
                <w:szCs w:val="18"/>
                <w:u w:val="none"/>
              </w:rPr>
            </w:pP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491D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94CD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3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C46D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2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5D01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37E4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D20B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2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85F0D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EECB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858A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3DFC6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4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043F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6F19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6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41B9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0C96D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DC599">
            <w:pPr>
              <w:jc w:val="center"/>
              <w:rPr>
                <w:rFonts w:hint="eastAsia" w:ascii="宋体" w:hAnsi="宋体" w:eastAsia="宋体" w:cs="宋体"/>
                <w:i w:val="0"/>
                <w:iCs w:val="0"/>
                <w:color w:val="000000"/>
                <w:sz w:val="18"/>
                <w:szCs w:val="18"/>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5D15B">
            <w:pPr>
              <w:jc w:val="center"/>
              <w:rPr>
                <w:rFonts w:hint="eastAsia" w:ascii="宋体" w:hAnsi="宋体" w:eastAsia="宋体" w:cs="宋体"/>
                <w:b/>
                <w:bCs/>
                <w:i w:val="0"/>
                <w:iCs w:val="0"/>
                <w:color w:val="000000"/>
                <w:sz w:val="18"/>
                <w:szCs w:val="18"/>
                <w:u w:val="none"/>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A5E2B">
            <w:pPr>
              <w:jc w:val="center"/>
              <w:rPr>
                <w:rFonts w:hint="eastAsia" w:ascii="宋体" w:hAnsi="宋体" w:eastAsia="宋体" w:cs="宋体"/>
                <w:b/>
                <w:bCs/>
                <w:i w:val="0"/>
                <w:iCs w:val="0"/>
                <w:color w:val="000000"/>
                <w:sz w:val="18"/>
                <w:szCs w:val="18"/>
                <w:u w:val="none"/>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61C4C">
            <w:pPr>
              <w:jc w:val="center"/>
              <w:rPr>
                <w:rFonts w:hint="eastAsia" w:ascii="宋体" w:hAnsi="宋体" w:eastAsia="宋体" w:cs="宋体"/>
                <w:b/>
                <w:bCs/>
                <w:i w:val="0"/>
                <w:iCs w:val="0"/>
                <w:color w:val="000000"/>
                <w:sz w:val="18"/>
                <w:szCs w:val="18"/>
                <w:u w:val="none"/>
              </w:rPr>
            </w:pPr>
          </w:p>
        </w:tc>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86A52">
            <w:pPr>
              <w:jc w:val="center"/>
              <w:rPr>
                <w:rFonts w:hint="eastAsia" w:ascii="宋体" w:hAnsi="宋体" w:eastAsia="宋体" w:cs="宋体"/>
                <w:b/>
                <w:bCs/>
                <w:i w:val="0"/>
                <w:iCs w:val="0"/>
                <w:color w:val="000000"/>
                <w:sz w:val="18"/>
                <w:szCs w:val="18"/>
                <w:u w:val="none"/>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0313A">
            <w:pPr>
              <w:jc w:val="center"/>
              <w:rPr>
                <w:rFonts w:hint="eastAsia" w:ascii="宋体" w:hAnsi="宋体" w:eastAsia="宋体" w:cs="宋体"/>
                <w:b/>
                <w:bCs/>
                <w:i w:val="0"/>
                <w:iCs w:val="0"/>
                <w:color w:val="000000"/>
                <w:sz w:val="18"/>
                <w:szCs w:val="18"/>
                <w:u w:val="none"/>
              </w:rPr>
            </w:pPr>
          </w:p>
        </w:tc>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A3195">
            <w:pPr>
              <w:jc w:val="center"/>
              <w:rPr>
                <w:rFonts w:hint="eastAsia" w:ascii="宋体" w:hAnsi="宋体" w:eastAsia="宋体" w:cs="宋体"/>
                <w:b/>
                <w:bCs/>
                <w:i w:val="0"/>
                <w:iCs w:val="0"/>
                <w:color w:val="000000"/>
                <w:sz w:val="18"/>
                <w:szCs w:val="18"/>
                <w:u w:val="none"/>
              </w:rPr>
            </w:pP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6DF9E">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438EA">
            <w:pPr>
              <w:jc w:val="center"/>
              <w:rPr>
                <w:rFonts w:hint="eastAsia" w:ascii="宋体" w:hAnsi="宋体" w:eastAsia="宋体" w:cs="宋体"/>
                <w:b/>
                <w:bCs/>
                <w:i w:val="0"/>
                <w:iCs w:val="0"/>
                <w:color w:val="000000"/>
                <w:sz w:val="18"/>
                <w:szCs w:val="18"/>
                <w:u w:val="none"/>
              </w:rPr>
            </w:pPr>
          </w:p>
        </w:tc>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4A8A0">
            <w:pPr>
              <w:jc w:val="center"/>
              <w:rPr>
                <w:rFonts w:hint="eastAsia" w:ascii="宋体" w:hAnsi="宋体" w:eastAsia="宋体" w:cs="宋体"/>
                <w:b/>
                <w:bCs/>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77E93">
            <w:pPr>
              <w:jc w:val="center"/>
              <w:rPr>
                <w:rFonts w:hint="eastAsia" w:ascii="宋体" w:hAnsi="宋体" w:eastAsia="宋体" w:cs="宋体"/>
                <w:b/>
                <w:bCs/>
                <w:i w:val="0"/>
                <w:iCs w:val="0"/>
                <w:color w:val="000000"/>
                <w:sz w:val="18"/>
                <w:szCs w:val="18"/>
                <w:u w:val="none"/>
              </w:rPr>
            </w:pPr>
          </w:p>
        </w:tc>
        <w:tc>
          <w:tcPr>
            <w:tcW w:w="4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E7841">
            <w:pPr>
              <w:jc w:val="center"/>
              <w:rPr>
                <w:rFonts w:hint="eastAsia" w:ascii="宋体" w:hAnsi="宋体" w:eastAsia="宋体" w:cs="宋体"/>
                <w:b/>
                <w:bCs/>
                <w:i w:val="0"/>
                <w:iCs w:val="0"/>
                <w:color w:val="000000"/>
                <w:sz w:val="18"/>
                <w:szCs w:val="18"/>
                <w:u w:val="none"/>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7A181">
            <w:pPr>
              <w:jc w:val="center"/>
              <w:rPr>
                <w:rFonts w:hint="eastAsia" w:ascii="宋体" w:hAnsi="宋体" w:eastAsia="宋体" w:cs="宋体"/>
                <w:b/>
                <w:bCs/>
                <w:i w:val="0"/>
                <w:iCs w:val="0"/>
                <w:color w:val="000000"/>
                <w:sz w:val="18"/>
                <w:szCs w:val="18"/>
                <w:u w:val="none"/>
              </w:rPr>
            </w:pPr>
          </w:p>
        </w:tc>
        <w:tc>
          <w:tcPr>
            <w:tcW w:w="6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1AFE0">
            <w:pPr>
              <w:jc w:val="center"/>
              <w:rPr>
                <w:rFonts w:hint="eastAsia" w:ascii="宋体" w:hAnsi="宋体" w:eastAsia="宋体" w:cs="宋体"/>
                <w:b/>
                <w:bCs/>
                <w:i w:val="0"/>
                <w:iCs w:val="0"/>
                <w:color w:val="000000"/>
                <w:sz w:val="18"/>
                <w:szCs w:val="18"/>
                <w:u w:val="none"/>
              </w:rPr>
            </w:pPr>
          </w:p>
        </w:tc>
      </w:tr>
      <w:tr w14:paraId="5A2AA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1991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8DAC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18B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3B0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防控救治综合服务楼</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C15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6AE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=9331平方米</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041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=9331平方米</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0C7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DFD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1CF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D01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708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6E0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C31D4">
            <w:pPr>
              <w:jc w:val="center"/>
              <w:rPr>
                <w:rFonts w:hint="eastAsia" w:ascii="宋体" w:hAnsi="宋体" w:eastAsia="宋体" w:cs="宋体"/>
                <w:i w:val="0"/>
                <w:iCs w:val="0"/>
                <w:color w:val="000000"/>
                <w:sz w:val="18"/>
                <w:szCs w:val="18"/>
                <w:u w:val="none"/>
              </w:rPr>
            </w:pPr>
          </w:p>
        </w:tc>
      </w:tr>
      <w:tr w14:paraId="21E92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AE60F">
            <w:pPr>
              <w:jc w:val="center"/>
              <w:rPr>
                <w:rFonts w:hint="eastAsia" w:ascii="宋体" w:hAnsi="宋体" w:eastAsia="宋体" w:cs="宋体"/>
                <w:b/>
                <w:bCs/>
                <w:i w:val="0"/>
                <w:iCs w:val="0"/>
                <w:color w:val="000000"/>
                <w:sz w:val="18"/>
                <w:szCs w:val="18"/>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B2E26">
            <w:pPr>
              <w:jc w:val="center"/>
              <w:rPr>
                <w:rFonts w:hint="eastAsia" w:ascii="宋体" w:hAnsi="宋体" w:eastAsia="宋体" w:cs="宋体"/>
                <w:i w:val="0"/>
                <w:iCs w:val="0"/>
                <w:color w:val="000000"/>
                <w:sz w:val="18"/>
                <w:szCs w:val="18"/>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2A7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DEC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医疗垃圾房</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833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35D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=202平方米</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D32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=202平方米</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A75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47C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B11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04F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B9A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E9C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DD28C">
            <w:pPr>
              <w:jc w:val="center"/>
              <w:rPr>
                <w:rFonts w:hint="eastAsia" w:ascii="宋体" w:hAnsi="宋体" w:eastAsia="宋体" w:cs="宋体"/>
                <w:i w:val="0"/>
                <w:iCs w:val="0"/>
                <w:color w:val="000000"/>
                <w:sz w:val="18"/>
                <w:szCs w:val="18"/>
                <w:u w:val="none"/>
              </w:rPr>
            </w:pPr>
          </w:p>
        </w:tc>
      </w:tr>
      <w:tr w14:paraId="3D076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19962">
            <w:pPr>
              <w:jc w:val="center"/>
              <w:rPr>
                <w:rFonts w:hint="eastAsia" w:ascii="宋体" w:hAnsi="宋体" w:eastAsia="宋体" w:cs="宋体"/>
                <w:b/>
                <w:bCs/>
                <w:i w:val="0"/>
                <w:iCs w:val="0"/>
                <w:color w:val="000000"/>
                <w:sz w:val="18"/>
                <w:szCs w:val="18"/>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6D718">
            <w:pPr>
              <w:jc w:val="center"/>
              <w:rPr>
                <w:rFonts w:hint="eastAsia" w:ascii="宋体" w:hAnsi="宋体" w:eastAsia="宋体" w:cs="宋体"/>
                <w:i w:val="0"/>
                <w:iCs w:val="0"/>
                <w:color w:val="000000"/>
                <w:sz w:val="18"/>
                <w:szCs w:val="18"/>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D40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2E5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污水处理站</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80F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AA9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=416平方米</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433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=416平方米</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C7B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6E4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F11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270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B79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E55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914A0">
            <w:pPr>
              <w:jc w:val="center"/>
              <w:rPr>
                <w:rFonts w:hint="eastAsia" w:ascii="宋体" w:hAnsi="宋体" w:eastAsia="宋体" w:cs="宋体"/>
                <w:i w:val="0"/>
                <w:iCs w:val="0"/>
                <w:color w:val="000000"/>
                <w:sz w:val="18"/>
                <w:szCs w:val="18"/>
                <w:u w:val="none"/>
              </w:rPr>
            </w:pPr>
          </w:p>
        </w:tc>
      </w:tr>
      <w:tr w14:paraId="4660D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6C394">
            <w:pPr>
              <w:jc w:val="center"/>
              <w:rPr>
                <w:rFonts w:hint="eastAsia" w:ascii="宋体" w:hAnsi="宋体" w:eastAsia="宋体" w:cs="宋体"/>
                <w:b/>
                <w:bCs/>
                <w:i w:val="0"/>
                <w:iCs w:val="0"/>
                <w:color w:val="000000"/>
                <w:sz w:val="18"/>
                <w:szCs w:val="18"/>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E21BB">
            <w:pPr>
              <w:jc w:val="center"/>
              <w:rPr>
                <w:rFonts w:hint="eastAsia" w:ascii="宋体" w:hAnsi="宋体" w:eastAsia="宋体" w:cs="宋体"/>
                <w:i w:val="0"/>
                <w:iCs w:val="0"/>
                <w:color w:val="000000"/>
                <w:sz w:val="18"/>
                <w:szCs w:val="18"/>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62F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A6C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门卫室（3组）</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910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234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=169平方米</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00D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=169平方米</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421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125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B9F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15F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744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CC0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2B37B">
            <w:pPr>
              <w:jc w:val="center"/>
              <w:rPr>
                <w:rFonts w:hint="eastAsia" w:ascii="宋体" w:hAnsi="宋体" w:eastAsia="宋体" w:cs="宋体"/>
                <w:i w:val="0"/>
                <w:iCs w:val="0"/>
                <w:color w:val="000000"/>
                <w:sz w:val="18"/>
                <w:szCs w:val="18"/>
                <w:u w:val="none"/>
              </w:rPr>
            </w:pPr>
          </w:p>
        </w:tc>
      </w:tr>
      <w:tr w14:paraId="43C03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BD83B">
            <w:pPr>
              <w:jc w:val="center"/>
              <w:rPr>
                <w:rFonts w:hint="eastAsia" w:ascii="宋体" w:hAnsi="宋体" w:eastAsia="宋体" w:cs="宋体"/>
                <w:b/>
                <w:bCs/>
                <w:i w:val="0"/>
                <w:iCs w:val="0"/>
                <w:color w:val="000000"/>
                <w:sz w:val="18"/>
                <w:szCs w:val="18"/>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922AE">
            <w:pPr>
              <w:jc w:val="center"/>
              <w:rPr>
                <w:rFonts w:hint="eastAsia" w:ascii="宋体" w:hAnsi="宋体" w:eastAsia="宋体" w:cs="宋体"/>
                <w:i w:val="0"/>
                <w:iCs w:val="0"/>
                <w:color w:val="000000"/>
                <w:sz w:val="18"/>
                <w:szCs w:val="18"/>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F0F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A9A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垃圾收集站</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C2D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D44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=130平方米</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B53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=130平方米</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E2E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B47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11C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F8D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48F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740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787F3">
            <w:pPr>
              <w:jc w:val="center"/>
              <w:rPr>
                <w:rFonts w:hint="eastAsia" w:ascii="宋体" w:hAnsi="宋体" w:eastAsia="宋体" w:cs="宋体"/>
                <w:i w:val="0"/>
                <w:iCs w:val="0"/>
                <w:color w:val="000000"/>
                <w:sz w:val="18"/>
                <w:szCs w:val="18"/>
                <w:u w:val="none"/>
              </w:rPr>
            </w:pPr>
          </w:p>
        </w:tc>
      </w:tr>
      <w:tr w14:paraId="05CC1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0F663">
            <w:pPr>
              <w:jc w:val="center"/>
              <w:rPr>
                <w:rFonts w:hint="eastAsia" w:ascii="宋体" w:hAnsi="宋体" w:eastAsia="宋体" w:cs="宋体"/>
                <w:b/>
                <w:bCs/>
                <w:i w:val="0"/>
                <w:iCs w:val="0"/>
                <w:color w:val="000000"/>
                <w:sz w:val="18"/>
                <w:szCs w:val="18"/>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766E3">
            <w:pPr>
              <w:jc w:val="center"/>
              <w:rPr>
                <w:rFonts w:hint="eastAsia" w:ascii="宋体" w:hAnsi="宋体" w:eastAsia="宋体" w:cs="宋体"/>
                <w:i w:val="0"/>
                <w:iCs w:val="0"/>
                <w:color w:val="000000"/>
                <w:sz w:val="18"/>
                <w:szCs w:val="18"/>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38E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389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竣工验收合格率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85E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2CD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518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E40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D70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E84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5F3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0D9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6A9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A48C6">
            <w:pPr>
              <w:jc w:val="center"/>
              <w:rPr>
                <w:rFonts w:hint="eastAsia" w:ascii="宋体" w:hAnsi="宋体" w:eastAsia="宋体" w:cs="宋体"/>
                <w:i w:val="0"/>
                <w:iCs w:val="0"/>
                <w:color w:val="000000"/>
                <w:sz w:val="18"/>
                <w:szCs w:val="18"/>
                <w:u w:val="none"/>
              </w:rPr>
            </w:pPr>
          </w:p>
        </w:tc>
      </w:tr>
      <w:tr w14:paraId="0E639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8FA84">
            <w:pPr>
              <w:jc w:val="center"/>
              <w:rPr>
                <w:rFonts w:hint="eastAsia" w:ascii="宋体" w:hAnsi="宋体" w:eastAsia="宋体" w:cs="宋体"/>
                <w:b/>
                <w:bCs/>
                <w:i w:val="0"/>
                <w:iCs w:val="0"/>
                <w:color w:val="000000"/>
                <w:sz w:val="18"/>
                <w:szCs w:val="18"/>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E1994">
            <w:pPr>
              <w:jc w:val="center"/>
              <w:rPr>
                <w:rFonts w:hint="eastAsia" w:ascii="宋体" w:hAnsi="宋体" w:eastAsia="宋体" w:cs="宋体"/>
                <w:i w:val="0"/>
                <w:iCs w:val="0"/>
                <w:color w:val="000000"/>
                <w:sz w:val="18"/>
                <w:szCs w:val="18"/>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B0A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6D6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项目按计划开工率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370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C15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E85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BC5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0F0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FFD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72D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587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B65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56E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公共卫生救治中心项目施工，导致污水处理站、医疗垃圾房，门卫室项目的场地被占用，无法按期开工，后期将按照计划标准</w:t>
            </w:r>
            <w:r>
              <w:rPr>
                <w:rFonts w:hint="eastAsia" w:ascii="宋体" w:hAnsi="宋体" w:cs="宋体"/>
                <w:i w:val="0"/>
                <w:iCs w:val="0"/>
                <w:color w:val="000000"/>
                <w:kern w:val="0"/>
                <w:sz w:val="18"/>
                <w:szCs w:val="18"/>
                <w:u w:val="none"/>
                <w:lang w:val="en-US" w:eastAsia="zh-CN" w:bidi="ar"/>
              </w:rPr>
              <w:t>加快</w:t>
            </w:r>
            <w:r>
              <w:rPr>
                <w:rFonts w:hint="eastAsia" w:ascii="宋体" w:hAnsi="宋体" w:eastAsia="宋体" w:cs="宋体"/>
                <w:i w:val="0"/>
                <w:iCs w:val="0"/>
                <w:color w:val="000000"/>
                <w:kern w:val="0"/>
                <w:sz w:val="18"/>
                <w:szCs w:val="18"/>
                <w:u w:val="none"/>
                <w:lang w:val="en-US" w:eastAsia="zh-CN" w:bidi="ar"/>
              </w:rPr>
              <w:t>完工进度，同时对指标进</w:t>
            </w:r>
            <w:r>
              <w:rPr>
                <w:rFonts w:hint="eastAsia" w:ascii="宋体" w:hAnsi="宋体" w:cs="宋体"/>
                <w:i w:val="0"/>
                <w:iCs w:val="0"/>
                <w:color w:val="000000"/>
                <w:kern w:val="0"/>
                <w:sz w:val="18"/>
                <w:szCs w:val="18"/>
                <w:u w:val="none"/>
                <w:lang w:val="en-US" w:eastAsia="zh-CN" w:bidi="ar"/>
              </w:rPr>
              <w:t>行</w:t>
            </w:r>
            <w:r>
              <w:rPr>
                <w:rFonts w:hint="eastAsia" w:ascii="宋体" w:hAnsi="宋体" w:eastAsia="宋体" w:cs="宋体"/>
                <w:i w:val="0"/>
                <w:iCs w:val="0"/>
                <w:color w:val="000000"/>
                <w:kern w:val="0"/>
                <w:sz w:val="18"/>
                <w:szCs w:val="18"/>
                <w:u w:val="none"/>
                <w:lang w:val="en-US" w:eastAsia="zh-CN" w:bidi="ar"/>
              </w:rPr>
              <w:t>科学选择，加强对绩效评估的认识。</w:t>
            </w:r>
          </w:p>
        </w:tc>
      </w:tr>
      <w:tr w14:paraId="1C9ED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48375">
            <w:pPr>
              <w:jc w:val="center"/>
              <w:rPr>
                <w:rFonts w:hint="eastAsia" w:ascii="宋体" w:hAnsi="宋体" w:eastAsia="宋体" w:cs="宋体"/>
                <w:b/>
                <w:bCs/>
                <w:i w:val="0"/>
                <w:iCs w:val="0"/>
                <w:color w:val="000000"/>
                <w:sz w:val="18"/>
                <w:szCs w:val="18"/>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2DAE5">
            <w:pPr>
              <w:jc w:val="center"/>
              <w:rPr>
                <w:rFonts w:hint="eastAsia" w:ascii="宋体" w:hAnsi="宋体" w:eastAsia="宋体" w:cs="宋体"/>
                <w:i w:val="0"/>
                <w:iCs w:val="0"/>
                <w:color w:val="000000"/>
                <w:sz w:val="18"/>
                <w:szCs w:val="18"/>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3A5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9D5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项目按计划完工率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9D5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086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3D7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E13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BD4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DCB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712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3A2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1A0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B4C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公共卫生救治中心项目施工，导致污水处理站、医疗垃圾房，门卫室项目的场地被占用，无法按期开工，后期将按照计划标准</w:t>
            </w:r>
            <w:r>
              <w:rPr>
                <w:rFonts w:hint="eastAsia" w:ascii="宋体" w:hAnsi="宋体" w:cs="宋体"/>
                <w:i w:val="0"/>
                <w:iCs w:val="0"/>
                <w:color w:val="000000"/>
                <w:kern w:val="0"/>
                <w:sz w:val="18"/>
                <w:szCs w:val="18"/>
                <w:u w:val="none"/>
                <w:lang w:val="en-US" w:eastAsia="zh-CN" w:bidi="ar"/>
              </w:rPr>
              <w:t>加快</w:t>
            </w:r>
            <w:r>
              <w:rPr>
                <w:rFonts w:hint="eastAsia" w:ascii="宋体" w:hAnsi="宋体" w:eastAsia="宋体" w:cs="宋体"/>
                <w:i w:val="0"/>
                <w:iCs w:val="0"/>
                <w:color w:val="000000"/>
                <w:kern w:val="0"/>
                <w:sz w:val="18"/>
                <w:szCs w:val="18"/>
                <w:u w:val="none"/>
                <w:lang w:val="en-US" w:eastAsia="zh-CN" w:bidi="ar"/>
              </w:rPr>
              <w:t>完工进度，同时对指标进</w:t>
            </w:r>
            <w:r>
              <w:rPr>
                <w:rFonts w:hint="eastAsia" w:ascii="宋体" w:hAnsi="宋体" w:cs="宋体"/>
                <w:i w:val="0"/>
                <w:iCs w:val="0"/>
                <w:color w:val="000000"/>
                <w:kern w:val="0"/>
                <w:sz w:val="18"/>
                <w:szCs w:val="18"/>
                <w:u w:val="none"/>
                <w:lang w:val="en-US" w:eastAsia="zh-CN" w:bidi="ar"/>
              </w:rPr>
              <w:t>行</w:t>
            </w:r>
            <w:r>
              <w:rPr>
                <w:rFonts w:hint="eastAsia" w:ascii="宋体" w:hAnsi="宋体" w:eastAsia="宋体" w:cs="宋体"/>
                <w:i w:val="0"/>
                <w:iCs w:val="0"/>
                <w:color w:val="000000"/>
                <w:kern w:val="0"/>
                <w:sz w:val="18"/>
                <w:szCs w:val="18"/>
                <w:u w:val="none"/>
                <w:lang w:val="en-US" w:eastAsia="zh-CN" w:bidi="ar"/>
              </w:rPr>
              <w:t>科学选择，加强对绩效评估的认识。</w:t>
            </w:r>
          </w:p>
        </w:tc>
      </w:tr>
      <w:tr w14:paraId="242B4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24B36">
            <w:pPr>
              <w:jc w:val="center"/>
              <w:rPr>
                <w:rFonts w:hint="eastAsia" w:ascii="宋体" w:hAnsi="宋体" w:eastAsia="宋体" w:cs="宋体"/>
                <w:b/>
                <w:bCs/>
                <w:i w:val="0"/>
                <w:iCs w:val="0"/>
                <w:color w:val="000000"/>
                <w:sz w:val="18"/>
                <w:szCs w:val="18"/>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D0BE01">
            <w:pPr>
              <w:jc w:val="center"/>
              <w:rPr>
                <w:rFonts w:hint="eastAsia" w:ascii="宋体" w:hAnsi="宋体" w:eastAsia="宋体" w:cs="宋体"/>
                <w:i w:val="0"/>
                <w:iCs w:val="0"/>
                <w:color w:val="000000"/>
                <w:sz w:val="18"/>
                <w:szCs w:val="18"/>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0DB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4D0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项目建设周期</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7AC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C72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&lt;=12个月</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86A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=18个月</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294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DD3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933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5B8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0CA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B39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6B3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公共卫生救治中心项目施工，导致污水处理站、医疗垃圾房，门卫室项目的场地被占用，无法按期开工，后期将按照计划标准</w:t>
            </w:r>
            <w:r>
              <w:rPr>
                <w:rFonts w:hint="eastAsia" w:ascii="宋体" w:hAnsi="宋体" w:cs="宋体"/>
                <w:i w:val="0"/>
                <w:iCs w:val="0"/>
                <w:color w:val="000000"/>
                <w:kern w:val="0"/>
                <w:sz w:val="18"/>
                <w:szCs w:val="18"/>
                <w:u w:val="none"/>
                <w:lang w:val="en-US" w:eastAsia="zh-CN" w:bidi="ar"/>
              </w:rPr>
              <w:t>加快</w:t>
            </w:r>
            <w:r>
              <w:rPr>
                <w:rFonts w:hint="eastAsia" w:ascii="宋体" w:hAnsi="宋体" w:eastAsia="宋体" w:cs="宋体"/>
                <w:i w:val="0"/>
                <w:iCs w:val="0"/>
                <w:color w:val="000000"/>
                <w:kern w:val="0"/>
                <w:sz w:val="18"/>
                <w:szCs w:val="18"/>
                <w:u w:val="none"/>
                <w:lang w:val="en-US" w:eastAsia="zh-CN" w:bidi="ar"/>
              </w:rPr>
              <w:t>完工进度，同时对指标进</w:t>
            </w:r>
            <w:r>
              <w:rPr>
                <w:rFonts w:hint="eastAsia" w:ascii="宋体" w:hAnsi="宋体" w:cs="宋体"/>
                <w:i w:val="0"/>
                <w:iCs w:val="0"/>
                <w:color w:val="000000"/>
                <w:kern w:val="0"/>
                <w:sz w:val="18"/>
                <w:szCs w:val="18"/>
                <w:u w:val="none"/>
                <w:lang w:val="en-US" w:eastAsia="zh-CN" w:bidi="ar"/>
              </w:rPr>
              <w:t>行</w:t>
            </w:r>
            <w:r>
              <w:rPr>
                <w:rFonts w:hint="eastAsia" w:ascii="宋体" w:hAnsi="宋体" w:eastAsia="宋体" w:cs="宋体"/>
                <w:i w:val="0"/>
                <w:iCs w:val="0"/>
                <w:color w:val="000000"/>
                <w:kern w:val="0"/>
                <w:sz w:val="18"/>
                <w:szCs w:val="18"/>
                <w:u w:val="none"/>
                <w:lang w:val="en-US" w:eastAsia="zh-CN" w:bidi="ar"/>
              </w:rPr>
              <w:t>科学选择，加强对绩效评估的认识。</w:t>
            </w:r>
          </w:p>
        </w:tc>
      </w:tr>
      <w:tr w14:paraId="33390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7378F">
            <w:pPr>
              <w:jc w:val="center"/>
              <w:rPr>
                <w:rFonts w:hint="eastAsia" w:ascii="宋体" w:hAnsi="宋体" w:eastAsia="宋体" w:cs="宋体"/>
                <w:b/>
                <w:bCs/>
                <w:i w:val="0"/>
                <w:iCs w:val="0"/>
                <w:color w:val="000000"/>
                <w:sz w:val="18"/>
                <w:szCs w:val="18"/>
                <w:u w:val="none"/>
              </w:rPr>
            </w:pP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CB09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657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A95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预算成本控制率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712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D4F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1E6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B47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46F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6B5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835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F31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FC7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C2B5B">
            <w:pPr>
              <w:jc w:val="center"/>
              <w:rPr>
                <w:rFonts w:hint="eastAsia" w:ascii="宋体" w:hAnsi="宋体" w:eastAsia="宋体" w:cs="宋体"/>
                <w:i w:val="0"/>
                <w:iCs w:val="0"/>
                <w:color w:val="000000"/>
                <w:sz w:val="18"/>
                <w:szCs w:val="18"/>
                <w:u w:val="none"/>
              </w:rPr>
            </w:pPr>
          </w:p>
        </w:tc>
      </w:tr>
      <w:tr w14:paraId="0426C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2E0F0">
            <w:pPr>
              <w:jc w:val="center"/>
              <w:rPr>
                <w:rFonts w:hint="eastAsia" w:ascii="宋体" w:hAnsi="宋体" w:eastAsia="宋体" w:cs="宋体"/>
                <w:b/>
                <w:bCs/>
                <w:i w:val="0"/>
                <w:iCs w:val="0"/>
                <w:color w:val="000000"/>
                <w:sz w:val="18"/>
                <w:szCs w:val="18"/>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0DE76">
            <w:pPr>
              <w:jc w:val="center"/>
              <w:rPr>
                <w:rFonts w:hint="eastAsia" w:ascii="宋体" w:hAnsi="宋体" w:eastAsia="宋体" w:cs="宋体"/>
                <w:i w:val="0"/>
                <w:iCs w:val="0"/>
                <w:color w:val="000000"/>
                <w:sz w:val="18"/>
                <w:szCs w:val="18"/>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FBF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0D195">
            <w:pPr>
              <w:jc w:val="center"/>
              <w:rPr>
                <w:rFonts w:hint="eastAsia" w:ascii="宋体" w:hAnsi="宋体" w:eastAsia="宋体" w:cs="宋体"/>
                <w:i w:val="0"/>
                <w:iCs w:val="0"/>
                <w:color w:val="000000"/>
                <w:sz w:val="18"/>
                <w:szCs w:val="18"/>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27310">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17EA6">
            <w:pPr>
              <w:jc w:val="center"/>
              <w:rPr>
                <w:rFonts w:hint="eastAsia" w:ascii="宋体" w:hAnsi="宋体" w:eastAsia="宋体" w:cs="宋体"/>
                <w:i w:val="0"/>
                <w:iCs w:val="0"/>
                <w:color w:val="000000"/>
                <w:sz w:val="18"/>
                <w:szCs w:val="18"/>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0763F">
            <w:pPr>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3324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9B951">
            <w:pPr>
              <w:jc w:val="center"/>
              <w:rPr>
                <w:rFonts w:hint="eastAsia" w:ascii="宋体" w:hAnsi="宋体" w:eastAsia="宋体" w:cs="宋体"/>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6223C">
            <w:pPr>
              <w:jc w:val="center"/>
              <w:rPr>
                <w:rFonts w:hint="eastAsia" w:ascii="宋体" w:hAnsi="宋体" w:eastAsia="宋体" w:cs="宋体"/>
                <w:i w:val="0"/>
                <w:iCs w:val="0"/>
                <w:color w:val="000000"/>
                <w:sz w:val="18"/>
                <w:szCs w:val="18"/>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10CB9">
            <w:pPr>
              <w:jc w:val="center"/>
              <w:rPr>
                <w:rFonts w:hint="eastAsia" w:ascii="宋体" w:hAnsi="宋体" w:eastAsia="宋体" w:cs="宋体"/>
                <w:i w:val="0"/>
                <w:iCs w:val="0"/>
                <w:color w:val="000000"/>
                <w:sz w:val="18"/>
                <w:szCs w:val="18"/>
                <w:u w:val="none"/>
              </w:rPr>
            </w:pP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A0A13">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788D5">
            <w:pPr>
              <w:jc w:val="center"/>
              <w:rPr>
                <w:rFonts w:hint="eastAsia" w:ascii="宋体" w:hAnsi="宋体" w:eastAsia="宋体" w:cs="宋体"/>
                <w:i w:val="0"/>
                <w:iCs w:val="0"/>
                <w:color w:val="000000"/>
                <w:sz w:val="18"/>
                <w:szCs w:val="18"/>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64520">
            <w:pPr>
              <w:jc w:val="center"/>
              <w:rPr>
                <w:rFonts w:hint="eastAsia" w:ascii="宋体" w:hAnsi="宋体" w:eastAsia="宋体" w:cs="宋体"/>
                <w:i w:val="0"/>
                <w:iCs w:val="0"/>
                <w:color w:val="000000"/>
                <w:sz w:val="18"/>
                <w:szCs w:val="18"/>
                <w:u w:val="none"/>
              </w:rPr>
            </w:pPr>
          </w:p>
        </w:tc>
      </w:tr>
      <w:tr w14:paraId="6A609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48299">
            <w:pPr>
              <w:jc w:val="center"/>
              <w:rPr>
                <w:rFonts w:hint="eastAsia" w:ascii="宋体" w:hAnsi="宋体" w:eastAsia="宋体" w:cs="宋体"/>
                <w:b/>
                <w:bCs/>
                <w:i w:val="0"/>
                <w:iCs w:val="0"/>
                <w:color w:val="000000"/>
                <w:sz w:val="18"/>
                <w:szCs w:val="18"/>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66319">
            <w:pPr>
              <w:jc w:val="center"/>
              <w:rPr>
                <w:rFonts w:hint="eastAsia" w:ascii="宋体" w:hAnsi="宋体" w:eastAsia="宋体" w:cs="宋体"/>
                <w:i w:val="0"/>
                <w:iCs w:val="0"/>
                <w:color w:val="000000"/>
                <w:sz w:val="18"/>
                <w:szCs w:val="18"/>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974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53F53">
            <w:pPr>
              <w:jc w:val="center"/>
              <w:rPr>
                <w:rFonts w:hint="eastAsia" w:ascii="宋体" w:hAnsi="宋体" w:eastAsia="宋体" w:cs="宋体"/>
                <w:i w:val="0"/>
                <w:iCs w:val="0"/>
                <w:color w:val="000000"/>
                <w:sz w:val="18"/>
                <w:szCs w:val="18"/>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5676C">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89C0C">
            <w:pPr>
              <w:jc w:val="center"/>
              <w:rPr>
                <w:rFonts w:hint="eastAsia" w:ascii="宋体" w:hAnsi="宋体" w:eastAsia="宋体" w:cs="宋体"/>
                <w:i w:val="0"/>
                <w:iCs w:val="0"/>
                <w:color w:val="000000"/>
                <w:sz w:val="18"/>
                <w:szCs w:val="18"/>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AD145">
            <w:pPr>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8560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E1FEC">
            <w:pPr>
              <w:jc w:val="center"/>
              <w:rPr>
                <w:rFonts w:hint="eastAsia" w:ascii="宋体" w:hAnsi="宋体" w:eastAsia="宋体" w:cs="宋体"/>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FF073">
            <w:pPr>
              <w:jc w:val="center"/>
              <w:rPr>
                <w:rFonts w:hint="eastAsia" w:ascii="宋体" w:hAnsi="宋体" w:eastAsia="宋体" w:cs="宋体"/>
                <w:i w:val="0"/>
                <w:iCs w:val="0"/>
                <w:color w:val="000000"/>
                <w:sz w:val="18"/>
                <w:szCs w:val="18"/>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58D06">
            <w:pPr>
              <w:jc w:val="center"/>
              <w:rPr>
                <w:rFonts w:hint="eastAsia" w:ascii="宋体" w:hAnsi="宋体" w:eastAsia="宋体" w:cs="宋体"/>
                <w:i w:val="0"/>
                <w:iCs w:val="0"/>
                <w:color w:val="000000"/>
                <w:sz w:val="18"/>
                <w:szCs w:val="18"/>
                <w:u w:val="none"/>
              </w:rPr>
            </w:pP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E20E1">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A5DA1">
            <w:pPr>
              <w:jc w:val="center"/>
              <w:rPr>
                <w:rFonts w:hint="eastAsia" w:ascii="宋体" w:hAnsi="宋体" w:eastAsia="宋体" w:cs="宋体"/>
                <w:i w:val="0"/>
                <w:iCs w:val="0"/>
                <w:color w:val="000000"/>
                <w:sz w:val="18"/>
                <w:szCs w:val="18"/>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3812F">
            <w:pPr>
              <w:jc w:val="center"/>
              <w:rPr>
                <w:rFonts w:hint="eastAsia" w:ascii="宋体" w:hAnsi="宋体" w:eastAsia="宋体" w:cs="宋体"/>
                <w:i w:val="0"/>
                <w:iCs w:val="0"/>
                <w:color w:val="000000"/>
                <w:sz w:val="18"/>
                <w:szCs w:val="18"/>
                <w:u w:val="none"/>
              </w:rPr>
            </w:pPr>
          </w:p>
        </w:tc>
      </w:tr>
      <w:tr w14:paraId="41608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65CF7">
            <w:pPr>
              <w:jc w:val="center"/>
              <w:rPr>
                <w:rFonts w:hint="eastAsia" w:ascii="宋体" w:hAnsi="宋体" w:eastAsia="宋体" w:cs="宋体"/>
                <w:b/>
                <w:bCs/>
                <w:i w:val="0"/>
                <w:iCs w:val="0"/>
                <w:color w:val="000000"/>
                <w:sz w:val="18"/>
                <w:szCs w:val="18"/>
                <w:u w:val="none"/>
              </w:rPr>
            </w:pP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3AB8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675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AF4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资产负债率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4D5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897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4B4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=27.6%</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3F5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378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396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27E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3F1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ABA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49B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我单位资产负债率较好，单位运行良好，后期将科学选择指标，加强对绩效评估的认识</w:t>
            </w:r>
          </w:p>
        </w:tc>
      </w:tr>
      <w:tr w14:paraId="0C599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A9FBD">
            <w:pPr>
              <w:jc w:val="center"/>
              <w:rPr>
                <w:rFonts w:hint="eastAsia" w:ascii="宋体" w:hAnsi="宋体" w:eastAsia="宋体" w:cs="宋体"/>
                <w:b/>
                <w:bCs/>
                <w:i w:val="0"/>
                <w:iCs w:val="0"/>
                <w:color w:val="000000"/>
                <w:sz w:val="18"/>
                <w:szCs w:val="18"/>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A0792">
            <w:pPr>
              <w:jc w:val="center"/>
              <w:rPr>
                <w:rFonts w:hint="eastAsia" w:ascii="宋体" w:hAnsi="宋体" w:eastAsia="宋体" w:cs="宋体"/>
                <w:i w:val="0"/>
                <w:iCs w:val="0"/>
                <w:color w:val="000000"/>
                <w:sz w:val="18"/>
                <w:szCs w:val="18"/>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BD8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302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固定资产净值率</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324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7E6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52B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A36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DDA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B2E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1F1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B04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534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72EF2">
            <w:pPr>
              <w:jc w:val="center"/>
              <w:rPr>
                <w:rFonts w:hint="eastAsia" w:ascii="宋体" w:hAnsi="宋体" w:eastAsia="宋体" w:cs="宋体"/>
                <w:i w:val="0"/>
                <w:iCs w:val="0"/>
                <w:color w:val="000000"/>
                <w:sz w:val="18"/>
                <w:szCs w:val="18"/>
                <w:u w:val="none"/>
              </w:rPr>
            </w:pPr>
          </w:p>
        </w:tc>
      </w:tr>
      <w:tr w14:paraId="7A9D9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D608B">
            <w:pPr>
              <w:jc w:val="center"/>
              <w:rPr>
                <w:rFonts w:hint="eastAsia" w:ascii="宋体" w:hAnsi="宋体" w:eastAsia="宋体" w:cs="宋体"/>
                <w:b/>
                <w:bCs/>
                <w:i w:val="0"/>
                <w:iCs w:val="0"/>
                <w:color w:val="000000"/>
                <w:sz w:val="18"/>
                <w:szCs w:val="18"/>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9E378">
            <w:pPr>
              <w:jc w:val="center"/>
              <w:rPr>
                <w:rFonts w:hint="eastAsia" w:ascii="宋体" w:hAnsi="宋体" w:eastAsia="宋体" w:cs="宋体"/>
                <w:i w:val="0"/>
                <w:iCs w:val="0"/>
                <w:color w:val="000000"/>
                <w:sz w:val="18"/>
                <w:szCs w:val="18"/>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813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FAE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为医院提供稳定的防控救治</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E3B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F28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中长期</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075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中长期</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EAC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85E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97E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695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013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DBB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99722">
            <w:pPr>
              <w:jc w:val="center"/>
              <w:rPr>
                <w:rFonts w:hint="eastAsia" w:ascii="宋体" w:hAnsi="宋体" w:eastAsia="宋体" w:cs="宋体"/>
                <w:i w:val="0"/>
                <w:iCs w:val="0"/>
                <w:color w:val="000000"/>
                <w:sz w:val="18"/>
                <w:szCs w:val="18"/>
                <w:u w:val="none"/>
              </w:rPr>
            </w:pPr>
          </w:p>
        </w:tc>
      </w:tr>
      <w:tr w14:paraId="6C7F2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CD920">
            <w:pPr>
              <w:jc w:val="center"/>
              <w:rPr>
                <w:rFonts w:hint="eastAsia" w:ascii="宋体" w:hAnsi="宋体" w:eastAsia="宋体" w:cs="宋体"/>
                <w:b/>
                <w:bCs/>
                <w:i w:val="0"/>
                <w:iCs w:val="0"/>
                <w:color w:val="000000"/>
                <w:sz w:val="18"/>
                <w:szCs w:val="18"/>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E70F1">
            <w:pPr>
              <w:jc w:val="center"/>
              <w:rPr>
                <w:rFonts w:hint="eastAsia" w:ascii="宋体" w:hAnsi="宋体" w:eastAsia="宋体" w:cs="宋体"/>
                <w:i w:val="0"/>
                <w:iCs w:val="0"/>
                <w:color w:val="000000"/>
                <w:sz w:val="18"/>
                <w:szCs w:val="18"/>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BE8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79A6F">
            <w:pPr>
              <w:jc w:val="center"/>
              <w:rPr>
                <w:rFonts w:hint="eastAsia" w:ascii="宋体" w:hAnsi="宋体" w:eastAsia="宋体" w:cs="宋体"/>
                <w:i w:val="0"/>
                <w:iCs w:val="0"/>
                <w:color w:val="000000"/>
                <w:sz w:val="18"/>
                <w:szCs w:val="18"/>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B4D86">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64F1F">
            <w:pPr>
              <w:jc w:val="center"/>
              <w:rPr>
                <w:rFonts w:hint="eastAsia" w:ascii="宋体" w:hAnsi="宋体" w:eastAsia="宋体" w:cs="宋体"/>
                <w:i w:val="0"/>
                <w:iCs w:val="0"/>
                <w:color w:val="000000"/>
                <w:sz w:val="18"/>
                <w:szCs w:val="18"/>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53ACB">
            <w:pPr>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53E9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8A699">
            <w:pPr>
              <w:jc w:val="center"/>
              <w:rPr>
                <w:rFonts w:hint="eastAsia" w:ascii="宋体" w:hAnsi="宋体" w:eastAsia="宋体" w:cs="宋体"/>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C2B47">
            <w:pPr>
              <w:jc w:val="center"/>
              <w:rPr>
                <w:rFonts w:hint="eastAsia" w:ascii="宋体" w:hAnsi="宋体" w:eastAsia="宋体" w:cs="宋体"/>
                <w:i w:val="0"/>
                <w:iCs w:val="0"/>
                <w:color w:val="000000"/>
                <w:sz w:val="18"/>
                <w:szCs w:val="18"/>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A732E">
            <w:pPr>
              <w:jc w:val="center"/>
              <w:rPr>
                <w:rFonts w:hint="eastAsia" w:ascii="宋体" w:hAnsi="宋体" w:eastAsia="宋体" w:cs="宋体"/>
                <w:i w:val="0"/>
                <w:iCs w:val="0"/>
                <w:color w:val="000000"/>
                <w:sz w:val="18"/>
                <w:szCs w:val="18"/>
                <w:u w:val="none"/>
              </w:rPr>
            </w:pP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58CAD">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6CEF9">
            <w:pPr>
              <w:jc w:val="center"/>
              <w:rPr>
                <w:rFonts w:hint="eastAsia" w:ascii="宋体" w:hAnsi="宋体" w:eastAsia="宋体" w:cs="宋体"/>
                <w:i w:val="0"/>
                <w:iCs w:val="0"/>
                <w:color w:val="000000"/>
                <w:sz w:val="18"/>
                <w:szCs w:val="18"/>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57711">
            <w:pPr>
              <w:jc w:val="center"/>
              <w:rPr>
                <w:rFonts w:hint="eastAsia" w:ascii="宋体" w:hAnsi="宋体" w:eastAsia="宋体" w:cs="宋体"/>
                <w:i w:val="0"/>
                <w:iCs w:val="0"/>
                <w:color w:val="000000"/>
                <w:sz w:val="18"/>
                <w:szCs w:val="18"/>
                <w:u w:val="none"/>
              </w:rPr>
            </w:pPr>
          </w:p>
        </w:tc>
      </w:tr>
      <w:tr w14:paraId="6EDCB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04554">
            <w:pPr>
              <w:jc w:val="center"/>
              <w:rPr>
                <w:rFonts w:hint="eastAsia" w:ascii="宋体" w:hAnsi="宋体" w:eastAsia="宋体" w:cs="宋体"/>
                <w:b/>
                <w:bCs/>
                <w:i w:val="0"/>
                <w:iCs w:val="0"/>
                <w:color w:val="000000"/>
                <w:sz w:val="18"/>
                <w:szCs w:val="18"/>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0B9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CE1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FBE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受益群众满意度</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1D2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59C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D27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4DE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ECC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01B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F7F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上年未设置此指标</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1F1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D7A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EC692">
            <w:pPr>
              <w:jc w:val="center"/>
              <w:rPr>
                <w:rFonts w:hint="eastAsia" w:ascii="宋体" w:hAnsi="宋体" w:eastAsia="宋体" w:cs="宋体"/>
                <w:i w:val="0"/>
                <w:iCs w:val="0"/>
                <w:color w:val="000000"/>
                <w:sz w:val="18"/>
                <w:szCs w:val="18"/>
                <w:u w:val="none"/>
              </w:rPr>
            </w:pPr>
          </w:p>
        </w:tc>
      </w:tr>
      <w:tr w14:paraId="609BF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26510">
            <w:pPr>
              <w:jc w:val="center"/>
              <w:rPr>
                <w:rFonts w:hint="eastAsia" w:ascii="宋体" w:hAnsi="宋体" w:eastAsia="宋体" w:cs="宋体"/>
                <w:i w:val="0"/>
                <w:iCs w:val="0"/>
                <w:color w:val="000000"/>
                <w:sz w:val="18"/>
                <w:szCs w:val="18"/>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8D3C3">
            <w:pPr>
              <w:jc w:val="center"/>
              <w:rPr>
                <w:rFonts w:hint="eastAsia" w:ascii="宋体" w:hAnsi="宋体" w:eastAsia="宋体" w:cs="宋体"/>
                <w:i w:val="0"/>
                <w:iCs w:val="0"/>
                <w:color w:val="000000"/>
                <w:sz w:val="18"/>
                <w:szCs w:val="18"/>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8119C">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DB519">
            <w:pPr>
              <w:jc w:val="center"/>
              <w:rPr>
                <w:rFonts w:hint="eastAsia" w:ascii="宋体" w:hAnsi="宋体" w:eastAsia="宋体" w:cs="宋体"/>
                <w:i w:val="0"/>
                <w:iCs w:val="0"/>
                <w:color w:val="000000"/>
                <w:sz w:val="18"/>
                <w:szCs w:val="18"/>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745D4">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83926">
            <w:pPr>
              <w:jc w:val="center"/>
              <w:rPr>
                <w:rFonts w:hint="eastAsia" w:ascii="宋体" w:hAnsi="宋体" w:eastAsia="宋体" w:cs="宋体"/>
                <w:i w:val="0"/>
                <w:iCs w:val="0"/>
                <w:color w:val="000000"/>
                <w:sz w:val="18"/>
                <w:szCs w:val="18"/>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3D289">
            <w:pPr>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1E81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94B55">
            <w:pPr>
              <w:jc w:val="center"/>
              <w:rPr>
                <w:rFonts w:hint="eastAsia" w:ascii="宋体" w:hAnsi="宋体" w:eastAsia="宋体" w:cs="宋体"/>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E3FDE">
            <w:pPr>
              <w:jc w:val="center"/>
              <w:rPr>
                <w:rFonts w:hint="eastAsia" w:ascii="宋体" w:hAnsi="宋体" w:eastAsia="宋体" w:cs="宋体"/>
                <w:i w:val="0"/>
                <w:iCs w:val="0"/>
                <w:color w:val="000000"/>
                <w:sz w:val="18"/>
                <w:szCs w:val="18"/>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BEF75">
            <w:pPr>
              <w:jc w:val="center"/>
              <w:rPr>
                <w:rFonts w:hint="eastAsia" w:ascii="宋体" w:hAnsi="宋体" w:eastAsia="宋体" w:cs="宋体"/>
                <w:i w:val="0"/>
                <w:iCs w:val="0"/>
                <w:color w:val="000000"/>
                <w:sz w:val="18"/>
                <w:szCs w:val="18"/>
                <w:u w:val="none"/>
              </w:rPr>
            </w:pP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3AD3D">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81129">
            <w:pPr>
              <w:jc w:val="center"/>
              <w:rPr>
                <w:rFonts w:hint="eastAsia" w:ascii="宋体" w:hAnsi="宋体" w:eastAsia="宋体" w:cs="宋体"/>
                <w:i w:val="0"/>
                <w:iCs w:val="0"/>
                <w:color w:val="000000"/>
                <w:sz w:val="18"/>
                <w:szCs w:val="18"/>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E4C6B">
            <w:pPr>
              <w:jc w:val="center"/>
              <w:rPr>
                <w:rFonts w:hint="eastAsia" w:ascii="宋体" w:hAnsi="宋体" w:eastAsia="宋体" w:cs="宋体"/>
                <w:i w:val="0"/>
                <w:iCs w:val="0"/>
                <w:color w:val="000000"/>
                <w:sz w:val="18"/>
                <w:szCs w:val="18"/>
                <w:u w:val="none"/>
              </w:rPr>
            </w:pPr>
          </w:p>
        </w:tc>
      </w:tr>
      <w:tr w14:paraId="52226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1047" w:type="pct"/>
            <w:gridSpan w:val="4"/>
            <w:tcBorders>
              <w:top w:val="single" w:color="000000" w:sz="4" w:space="0"/>
              <w:left w:val="single" w:color="000000" w:sz="4" w:space="0"/>
              <w:bottom w:val="single" w:color="000000" w:sz="4" w:space="0"/>
              <w:right w:val="nil"/>
            </w:tcBorders>
            <w:shd w:val="clear" w:color="auto" w:fill="auto"/>
            <w:vAlign w:val="center"/>
          </w:tcPr>
          <w:p w14:paraId="5968A5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EB9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50" w:type="pct"/>
            <w:tcBorders>
              <w:top w:val="single" w:color="000000" w:sz="4" w:space="0"/>
              <w:left w:val="nil"/>
              <w:bottom w:val="single" w:color="000000" w:sz="4" w:space="0"/>
              <w:right w:val="single" w:color="000000" w:sz="4" w:space="0"/>
            </w:tcBorders>
            <w:shd w:val="clear" w:color="auto" w:fill="auto"/>
            <w:vAlign w:val="center"/>
          </w:tcPr>
          <w:p w14:paraId="09388698">
            <w:pPr>
              <w:rPr>
                <w:rFonts w:hint="eastAsia" w:ascii="宋体" w:hAnsi="宋体" w:eastAsia="宋体" w:cs="宋体"/>
                <w:b/>
                <w:bCs/>
                <w:i w:val="0"/>
                <w:iCs w:val="0"/>
                <w:color w:val="000000"/>
                <w:sz w:val="18"/>
                <w:szCs w:val="18"/>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D5F76">
            <w:pPr>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3832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4BE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80.50分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87D11">
            <w:pPr>
              <w:rPr>
                <w:rFonts w:hint="eastAsia" w:ascii="宋体" w:hAnsi="宋体" w:eastAsia="宋体" w:cs="宋体"/>
                <w:i w:val="0"/>
                <w:iCs w:val="0"/>
                <w:color w:val="000000"/>
                <w:sz w:val="18"/>
                <w:szCs w:val="18"/>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0E98F">
            <w:pPr>
              <w:rPr>
                <w:rFonts w:hint="eastAsia" w:ascii="宋体" w:hAnsi="宋体" w:eastAsia="宋体" w:cs="宋体"/>
                <w:i w:val="0"/>
                <w:iCs w:val="0"/>
                <w:color w:val="000000"/>
                <w:sz w:val="18"/>
                <w:szCs w:val="18"/>
                <w:u w:val="none"/>
              </w:rPr>
            </w:pP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918B2">
            <w:pP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A8090">
            <w:pPr>
              <w:rPr>
                <w:rFonts w:hint="eastAsia" w:ascii="宋体" w:hAnsi="宋体" w:eastAsia="宋体" w:cs="宋体"/>
                <w:i w:val="0"/>
                <w:iCs w:val="0"/>
                <w:color w:val="000000"/>
                <w:sz w:val="18"/>
                <w:szCs w:val="18"/>
                <w:u w:val="none"/>
              </w:rPr>
            </w:pPr>
          </w:p>
        </w:tc>
        <w:tc>
          <w:tcPr>
            <w:tcW w:w="6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697F0">
            <w:pPr>
              <w:rPr>
                <w:rFonts w:hint="eastAsia" w:ascii="宋体" w:hAnsi="宋体" w:eastAsia="宋体" w:cs="宋体"/>
                <w:i w:val="0"/>
                <w:iCs w:val="0"/>
                <w:color w:val="000000"/>
                <w:sz w:val="18"/>
                <w:szCs w:val="18"/>
                <w:u w:val="none"/>
              </w:rPr>
            </w:pPr>
          </w:p>
        </w:tc>
      </w:tr>
    </w:tbl>
    <w:p w14:paraId="5277A37B">
      <w:pPr>
        <w:pStyle w:val="4"/>
        <w:bidi w:val="0"/>
        <w:jc w:val="left"/>
        <w:rPr>
          <w:rFonts w:hint="eastAsia"/>
          <w:lang w:eastAsia="zh-Hans"/>
        </w:rPr>
      </w:pPr>
    </w:p>
    <w:p w14:paraId="35013AE6">
      <w:pPr>
        <w:pStyle w:val="2"/>
        <w:jc w:val="both"/>
        <w:rPr>
          <w:rFonts w:ascii="Times New Roman" w:hAnsi="Times New Roman"/>
          <w:highlight w:val="none"/>
        </w:rPr>
        <w:sectPr>
          <w:pgSz w:w="16838" w:h="11906" w:orient="landscape"/>
          <w:pgMar w:top="1800" w:right="1440" w:bottom="1558" w:left="1440" w:header="851" w:footer="992" w:gutter="0"/>
          <w:cols w:space="425" w:num="1"/>
          <w:docGrid w:type="lines" w:linePitch="312" w:charSpace="0"/>
        </w:sectPr>
      </w:pPr>
    </w:p>
    <w:p w14:paraId="5C6A6527">
      <w:pPr>
        <w:spacing w:line="600" w:lineRule="exact"/>
        <w:rPr>
          <w:bCs/>
          <w:sz w:val="32"/>
          <w:szCs w:val="32"/>
          <w:highlight w:val="none"/>
        </w:rPr>
      </w:pPr>
      <w:r>
        <w:rPr>
          <w:bCs/>
          <w:sz w:val="32"/>
          <w:szCs w:val="32"/>
          <w:highlight w:val="none"/>
        </w:rPr>
        <w:t>附件1</w:t>
      </w:r>
    </w:p>
    <w:tbl>
      <w:tblPr>
        <w:tblStyle w:val="12"/>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14:paraId="32892B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6AA55396">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302" w:type="pct"/>
            <w:shd w:val="clear" w:color="auto" w:fill="FFFFFF"/>
            <w:vAlign w:val="center"/>
          </w:tcPr>
          <w:p w14:paraId="6C13EECF">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344" w:type="pct"/>
            <w:shd w:val="clear" w:color="auto" w:fill="FFFFFF"/>
            <w:vAlign w:val="center"/>
          </w:tcPr>
          <w:p w14:paraId="110BB8CB">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927" w:type="pct"/>
            <w:shd w:val="clear" w:color="auto" w:fill="FFFFFF"/>
            <w:vAlign w:val="center"/>
          </w:tcPr>
          <w:p w14:paraId="56C4347C">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2044" w:type="pct"/>
            <w:shd w:val="clear" w:color="auto" w:fill="FFFFFF"/>
            <w:vAlign w:val="center"/>
          </w:tcPr>
          <w:p w14:paraId="45362BC7">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512" w:type="pct"/>
            <w:shd w:val="clear" w:color="auto" w:fill="FFFFFF"/>
            <w:vAlign w:val="center"/>
          </w:tcPr>
          <w:p w14:paraId="0F8780D0">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537" w:type="pct"/>
            <w:shd w:val="clear" w:color="auto" w:fill="FFFFFF"/>
            <w:vAlign w:val="center"/>
          </w:tcPr>
          <w:p w14:paraId="3CC4500D">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14:paraId="22AF06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31" w:type="pct"/>
            <w:vMerge w:val="restart"/>
            <w:shd w:val="clear" w:color="auto" w:fill="FFFFFF"/>
            <w:vAlign w:val="center"/>
          </w:tcPr>
          <w:p w14:paraId="0620D2CC">
            <w:pPr>
              <w:widowControl/>
              <w:spacing w:line="0" w:lineRule="atLeast"/>
              <w:jc w:val="center"/>
              <w:rPr>
                <w:color w:val="000000"/>
                <w:kern w:val="0"/>
                <w:sz w:val="22"/>
                <w:szCs w:val="22"/>
                <w:highlight w:val="none"/>
              </w:rPr>
            </w:pPr>
            <w:r>
              <w:rPr>
                <w:color w:val="000000"/>
                <w:kern w:val="0"/>
                <w:sz w:val="22"/>
                <w:szCs w:val="22"/>
                <w:highlight w:val="none"/>
              </w:rPr>
              <w:t>决策　</w:t>
            </w:r>
          </w:p>
          <w:p w14:paraId="2FA0A64F">
            <w:pPr>
              <w:widowControl/>
              <w:spacing w:line="0" w:lineRule="atLeast"/>
              <w:jc w:val="center"/>
              <w:rPr>
                <w:color w:val="000000"/>
                <w:kern w:val="0"/>
                <w:sz w:val="22"/>
                <w:szCs w:val="22"/>
                <w:highlight w:val="none"/>
              </w:rPr>
            </w:pPr>
            <w:r>
              <w:rPr>
                <w:color w:val="000000"/>
                <w:kern w:val="0"/>
                <w:sz w:val="22"/>
                <w:szCs w:val="22"/>
                <w:highlight w:val="none"/>
              </w:rPr>
              <w:t>　</w:t>
            </w:r>
          </w:p>
          <w:p w14:paraId="19025CD2">
            <w:pPr>
              <w:spacing w:line="0" w:lineRule="atLeast"/>
              <w:jc w:val="center"/>
              <w:rPr>
                <w:color w:val="000000"/>
                <w:kern w:val="0"/>
                <w:sz w:val="22"/>
                <w:szCs w:val="22"/>
                <w:highlight w:val="none"/>
              </w:rPr>
            </w:pPr>
            <w:r>
              <w:rPr>
                <w:color w:val="000000"/>
                <w:kern w:val="0"/>
                <w:sz w:val="22"/>
                <w:szCs w:val="22"/>
                <w:highlight w:val="none"/>
              </w:rPr>
              <w:t>　</w:t>
            </w:r>
          </w:p>
        </w:tc>
        <w:tc>
          <w:tcPr>
            <w:tcW w:w="302" w:type="pct"/>
            <w:vMerge w:val="restart"/>
            <w:shd w:val="clear" w:color="auto" w:fill="FFFFFF"/>
            <w:vAlign w:val="center"/>
          </w:tcPr>
          <w:p w14:paraId="6649792A">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14:paraId="57F899CE">
            <w:pPr>
              <w:widowControl/>
              <w:spacing w:line="0" w:lineRule="atLeast"/>
              <w:jc w:val="center"/>
              <w:rPr>
                <w:color w:val="000000"/>
                <w:kern w:val="0"/>
                <w:sz w:val="22"/>
                <w:szCs w:val="22"/>
                <w:highlight w:val="none"/>
              </w:rPr>
            </w:pPr>
            <w:r>
              <w:rPr>
                <w:color w:val="000000"/>
                <w:kern w:val="0"/>
                <w:sz w:val="22"/>
                <w:szCs w:val="22"/>
                <w:highlight w:val="none"/>
              </w:rPr>
              <w:t>立项依据</w:t>
            </w:r>
          </w:p>
          <w:p w14:paraId="7BFA48CC">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14:paraId="77A0775A">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044" w:type="pct"/>
            <w:shd w:val="clear" w:color="auto" w:fill="FFFFFF"/>
            <w:vAlign w:val="center"/>
          </w:tcPr>
          <w:p w14:paraId="1999C124">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512" w:type="pct"/>
            <w:shd w:val="clear" w:color="auto" w:fill="FFFFFF"/>
            <w:vAlign w:val="center"/>
          </w:tcPr>
          <w:p w14:paraId="4C114AD1">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14:paraId="4A05CD67">
            <w:pPr>
              <w:widowControl/>
              <w:spacing w:line="0" w:lineRule="atLeast"/>
              <w:jc w:val="center"/>
              <w:rPr>
                <w:b/>
                <w:bCs/>
                <w:color w:val="000000"/>
                <w:kern w:val="0"/>
                <w:sz w:val="22"/>
                <w:szCs w:val="22"/>
                <w:highlight w:val="none"/>
              </w:rPr>
            </w:pPr>
            <w:r>
              <w:rPr>
                <w:b/>
                <w:bCs/>
                <w:color w:val="000000"/>
                <w:kern w:val="0"/>
                <w:sz w:val="22"/>
                <w:szCs w:val="22"/>
                <w:highlight w:val="none"/>
              </w:rPr>
              <w:t>3</w:t>
            </w:r>
          </w:p>
        </w:tc>
      </w:tr>
      <w:tr w14:paraId="5A9915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4D24BF38">
            <w:pPr>
              <w:spacing w:line="0" w:lineRule="atLeast"/>
              <w:jc w:val="center"/>
              <w:rPr>
                <w:color w:val="000000"/>
                <w:kern w:val="0"/>
                <w:sz w:val="22"/>
                <w:szCs w:val="22"/>
                <w:highlight w:val="none"/>
              </w:rPr>
            </w:pPr>
          </w:p>
        </w:tc>
        <w:tc>
          <w:tcPr>
            <w:tcW w:w="302" w:type="pct"/>
            <w:vMerge w:val="continue"/>
            <w:shd w:val="clear" w:color="auto" w:fill="FFFFFF"/>
            <w:vAlign w:val="center"/>
          </w:tcPr>
          <w:p w14:paraId="6B9847F8">
            <w:pPr>
              <w:widowControl/>
              <w:spacing w:line="0" w:lineRule="atLeast"/>
              <w:jc w:val="center"/>
              <w:rPr>
                <w:color w:val="000000"/>
                <w:kern w:val="0"/>
                <w:sz w:val="22"/>
                <w:szCs w:val="22"/>
                <w:highlight w:val="none"/>
              </w:rPr>
            </w:pPr>
          </w:p>
        </w:tc>
        <w:tc>
          <w:tcPr>
            <w:tcW w:w="344" w:type="pct"/>
            <w:shd w:val="clear" w:color="auto" w:fill="FFFFFF"/>
            <w:vAlign w:val="center"/>
          </w:tcPr>
          <w:p w14:paraId="0E3EC861">
            <w:pPr>
              <w:widowControl/>
              <w:spacing w:line="0" w:lineRule="atLeast"/>
              <w:jc w:val="center"/>
              <w:rPr>
                <w:color w:val="000000"/>
                <w:kern w:val="0"/>
                <w:sz w:val="22"/>
                <w:szCs w:val="22"/>
                <w:highlight w:val="none"/>
              </w:rPr>
            </w:pPr>
            <w:r>
              <w:rPr>
                <w:color w:val="000000"/>
                <w:kern w:val="0"/>
                <w:sz w:val="22"/>
                <w:szCs w:val="22"/>
                <w:highlight w:val="none"/>
              </w:rPr>
              <w:t>立项程序</w:t>
            </w:r>
          </w:p>
          <w:p w14:paraId="26E18EF3">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14:paraId="605EA06D">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044" w:type="pct"/>
            <w:shd w:val="clear" w:color="auto" w:fill="FFFFFF"/>
            <w:vAlign w:val="center"/>
          </w:tcPr>
          <w:p w14:paraId="686EBC14">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14:paraId="32CBE07D">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14:paraId="0E7F2B1B">
            <w:pPr>
              <w:widowControl/>
              <w:spacing w:line="0" w:lineRule="atLeast"/>
              <w:jc w:val="center"/>
              <w:rPr>
                <w:b/>
                <w:bCs/>
                <w:color w:val="000000"/>
                <w:kern w:val="0"/>
                <w:sz w:val="22"/>
                <w:szCs w:val="22"/>
                <w:highlight w:val="none"/>
              </w:rPr>
            </w:pPr>
            <w:r>
              <w:rPr>
                <w:b/>
                <w:bCs/>
                <w:color w:val="000000"/>
                <w:kern w:val="0"/>
                <w:sz w:val="22"/>
                <w:szCs w:val="22"/>
                <w:highlight w:val="none"/>
              </w:rPr>
              <w:t>3</w:t>
            </w:r>
          </w:p>
        </w:tc>
      </w:tr>
      <w:tr w14:paraId="772CF3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45274679">
            <w:pPr>
              <w:spacing w:line="0" w:lineRule="atLeast"/>
              <w:jc w:val="center"/>
              <w:rPr>
                <w:color w:val="000000"/>
                <w:kern w:val="0"/>
                <w:sz w:val="22"/>
                <w:szCs w:val="22"/>
                <w:highlight w:val="none"/>
              </w:rPr>
            </w:pPr>
          </w:p>
        </w:tc>
        <w:tc>
          <w:tcPr>
            <w:tcW w:w="302" w:type="pct"/>
            <w:shd w:val="clear" w:color="auto" w:fill="FFFFFF"/>
            <w:vAlign w:val="center"/>
          </w:tcPr>
          <w:p w14:paraId="58788FEB">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14:paraId="73CD2AEA">
            <w:pPr>
              <w:widowControl/>
              <w:spacing w:line="0" w:lineRule="atLeast"/>
              <w:jc w:val="center"/>
              <w:rPr>
                <w:color w:val="000000"/>
                <w:kern w:val="0"/>
                <w:sz w:val="22"/>
                <w:szCs w:val="22"/>
                <w:highlight w:val="none"/>
              </w:rPr>
            </w:pPr>
            <w:r>
              <w:rPr>
                <w:color w:val="000000"/>
                <w:kern w:val="0"/>
                <w:sz w:val="22"/>
                <w:szCs w:val="22"/>
                <w:highlight w:val="none"/>
              </w:rPr>
              <w:t>绩效目标</w:t>
            </w:r>
          </w:p>
          <w:p w14:paraId="4D485663">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14:paraId="26B214A6">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044" w:type="pct"/>
            <w:shd w:val="clear" w:color="000000" w:fill="FFFFFF"/>
            <w:vAlign w:val="center"/>
          </w:tcPr>
          <w:p w14:paraId="1D8C45B2">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39F0CC29">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512" w:type="pct"/>
            <w:shd w:val="clear" w:color="000000" w:fill="FFFFFF"/>
            <w:vAlign w:val="center"/>
          </w:tcPr>
          <w:p w14:paraId="6BEC30E0">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14:paraId="249CB36B">
            <w:pPr>
              <w:widowControl/>
              <w:spacing w:line="0" w:lineRule="atLeast"/>
              <w:jc w:val="center"/>
              <w:rPr>
                <w:b/>
                <w:bCs/>
                <w:color w:val="000000"/>
                <w:kern w:val="0"/>
                <w:sz w:val="22"/>
                <w:szCs w:val="22"/>
                <w:highlight w:val="none"/>
              </w:rPr>
            </w:pPr>
            <w:r>
              <w:rPr>
                <w:b/>
                <w:bCs/>
                <w:color w:val="000000"/>
                <w:kern w:val="0"/>
                <w:sz w:val="22"/>
                <w:szCs w:val="22"/>
                <w:highlight w:val="none"/>
              </w:rPr>
              <w:t>3</w:t>
            </w:r>
          </w:p>
        </w:tc>
      </w:tr>
      <w:tr w14:paraId="1A35BB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523BA51B">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02" w:type="pct"/>
            <w:shd w:val="clear" w:color="auto" w:fill="FFFFFF"/>
            <w:vAlign w:val="center"/>
          </w:tcPr>
          <w:p w14:paraId="71FFB04C">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344" w:type="pct"/>
            <w:shd w:val="clear" w:color="auto" w:fill="FFFFFF"/>
            <w:vAlign w:val="center"/>
          </w:tcPr>
          <w:p w14:paraId="686E5EB8">
            <w:pPr>
              <w:widowControl/>
              <w:spacing w:line="0" w:lineRule="atLeast"/>
              <w:jc w:val="center"/>
              <w:rPr>
                <w:color w:val="000000"/>
                <w:kern w:val="0"/>
                <w:sz w:val="22"/>
                <w:szCs w:val="22"/>
                <w:highlight w:val="none"/>
              </w:rPr>
            </w:pPr>
            <w:r>
              <w:rPr>
                <w:color w:val="000000"/>
                <w:kern w:val="0"/>
                <w:sz w:val="22"/>
                <w:szCs w:val="22"/>
                <w:highlight w:val="none"/>
              </w:rPr>
              <w:t>绩效指标</w:t>
            </w:r>
          </w:p>
          <w:p w14:paraId="1AD51E9F">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14:paraId="4D29ACE3">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044" w:type="pct"/>
            <w:shd w:val="clear" w:color="000000" w:fill="FFFFFF"/>
            <w:vAlign w:val="center"/>
          </w:tcPr>
          <w:p w14:paraId="2D145178">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512" w:type="pct"/>
            <w:shd w:val="clear" w:color="000000" w:fill="FFFFFF"/>
            <w:vAlign w:val="center"/>
          </w:tcPr>
          <w:p w14:paraId="091DBFF0">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14:paraId="093F7BEB">
            <w:pPr>
              <w:widowControl/>
              <w:spacing w:line="0" w:lineRule="atLeast"/>
              <w:jc w:val="center"/>
              <w:rPr>
                <w:b/>
                <w:bCs/>
                <w:color w:val="000000"/>
                <w:kern w:val="0"/>
                <w:sz w:val="22"/>
                <w:szCs w:val="22"/>
                <w:highlight w:val="none"/>
              </w:rPr>
            </w:pPr>
            <w:r>
              <w:rPr>
                <w:b/>
                <w:bCs/>
                <w:color w:val="000000"/>
                <w:kern w:val="0"/>
                <w:sz w:val="22"/>
                <w:szCs w:val="22"/>
                <w:highlight w:val="none"/>
              </w:rPr>
              <w:t>3</w:t>
            </w:r>
          </w:p>
        </w:tc>
      </w:tr>
      <w:tr w14:paraId="0843D3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37D3923B">
            <w:pPr>
              <w:spacing w:line="0" w:lineRule="atLeast"/>
              <w:jc w:val="center"/>
              <w:rPr>
                <w:color w:val="000000"/>
                <w:kern w:val="0"/>
                <w:sz w:val="22"/>
                <w:szCs w:val="22"/>
                <w:highlight w:val="none"/>
              </w:rPr>
            </w:pPr>
          </w:p>
        </w:tc>
        <w:tc>
          <w:tcPr>
            <w:tcW w:w="302" w:type="pct"/>
            <w:vMerge w:val="restart"/>
            <w:shd w:val="clear" w:color="auto" w:fill="FFFFFF"/>
            <w:vAlign w:val="center"/>
          </w:tcPr>
          <w:p w14:paraId="076850D0">
            <w:pPr>
              <w:widowControl/>
              <w:spacing w:line="0" w:lineRule="atLeast"/>
              <w:jc w:val="center"/>
              <w:rPr>
                <w:color w:val="000000"/>
                <w:kern w:val="0"/>
                <w:sz w:val="22"/>
                <w:szCs w:val="22"/>
                <w:highlight w:val="none"/>
              </w:rPr>
            </w:pPr>
            <w:r>
              <w:rPr>
                <w:color w:val="000000"/>
                <w:kern w:val="0"/>
                <w:sz w:val="22"/>
                <w:szCs w:val="22"/>
                <w:highlight w:val="none"/>
              </w:rPr>
              <w:t>资金投入</w:t>
            </w:r>
          </w:p>
          <w:p w14:paraId="48A51EE1">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62AA9310">
            <w:pPr>
              <w:widowControl/>
              <w:spacing w:line="0" w:lineRule="atLeast"/>
              <w:jc w:val="center"/>
              <w:rPr>
                <w:color w:val="000000"/>
                <w:kern w:val="0"/>
                <w:sz w:val="22"/>
                <w:szCs w:val="22"/>
                <w:highlight w:val="none"/>
              </w:rPr>
            </w:pPr>
            <w:r>
              <w:rPr>
                <w:color w:val="000000"/>
                <w:kern w:val="0"/>
                <w:sz w:val="22"/>
                <w:szCs w:val="22"/>
                <w:highlight w:val="none"/>
              </w:rPr>
              <w:t>预算编制</w:t>
            </w:r>
          </w:p>
          <w:p w14:paraId="0DECD48D">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14:paraId="1E75FDE7">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1F1D4F77">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512" w:type="pct"/>
            <w:shd w:val="clear" w:color="auto" w:fill="FFFFFF"/>
            <w:vAlign w:val="center"/>
          </w:tcPr>
          <w:p w14:paraId="322782AC">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4C220F9D">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7685B5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52283054">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257A3C2C">
            <w:pPr>
              <w:widowControl/>
              <w:spacing w:line="0" w:lineRule="atLeast"/>
              <w:jc w:val="center"/>
              <w:rPr>
                <w:color w:val="000000"/>
                <w:kern w:val="0"/>
                <w:sz w:val="22"/>
                <w:szCs w:val="22"/>
                <w:highlight w:val="none"/>
              </w:rPr>
            </w:pPr>
          </w:p>
        </w:tc>
        <w:tc>
          <w:tcPr>
            <w:tcW w:w="344" w:type="pct"/>
            <w:shd w:val="clear" w:color="auto" w:fill="FFFFFF"/>
            <w:vAlign w:val="center"/>
          </w:tcPr>
          <w:p w14:paraId="5E6353A6">
            <w:pPr>
              <w:widowControl/>
              <w:spacing w:line="0" w:lineRule="atLeast"/>
              <w:jc w:val="center"/>
              <w:rPr>
                <w:color w:val="000000"/>
                <w:kern w:val="0"/>
                <w:sz w:val="22"/>
                <w:szCs w:val="22"/>
                <w:highlight w:val="none"/>
              </w:rPr>
            </w:pPr>
            <w:r>
              <w:rPr>
                <w:color w:val="000000"/>
                <w:kern w:val="0"/>
                <w:sz w:val="22"/>
                <w:szCs w:val="22"/>
                <w:highlight w:val="none"/>
              </w:rPr>
              <w:t>资金分配</w:t>
            </w:r>
          </w:p>
          <w:p w14:paraId="3AF9FCC3">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14:paraId="526F9B27">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0C5D0192">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512" w:type="pct"/>
            <w:shd w:val="clear" w:color="auto" w:fill="FFFFFF"/>
            <w:vAlign w:val="center"/>
          </w:tcPr>
          <w:p w14:paraId="5F213F26">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022B4BCB">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3AC668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1296D943">
            <w:pPr>
              <w:spacing w:line="0" w:lineRule="atLeast"/>
              <w:jc w:val="center"/>
              <w:rPr>
                <w:color w:val="000000"/>
                <w:kern w:val="0"/>
                <w:sz w:val="22"/>
                <w:szCs w:val="22"/>
                <w:highlight w:val="none"/>
              </w:rPr>
            </w:pPr>
            <w:r>
              <w:rPr>
                <w:color w:val="000000"/>
                <w:kern w:val="0"/>
                <w:sz w:val="22"/>
                <w:szCs w:val="22"/>
                <w:highlight w:val="none"/>
              </w:rPr>
              <w:t>过程</w:t>
            </w:r>
          </w:p>
        </w:tc>
        <w:tc>
          <w:tcPr>
            <w:tcW w:w="302" w:type="pct"/>
            <w:vMerge w:val="restart"/>
            <w:shd w:val="clear" w:color="auto" w:fill="FFFFFF"/>
            <w:vAlign w:val="center"/>
          </w:tcPr>
          <w:p w14:paraId="38B35F22">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763C2432">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14:paraId="297F7699">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044" w:type="pct"/>
            <w:shd w:val="clear" w:color="000000" w:fill="FFFFFF"/>
            <w:vAlign w:val="center"/>
          </w:tcPr>
          <w:p w14:paraId="38E03D7D">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3841B830">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2996B0E6">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512" w:type="pct"/>
            <w:shd w:val="clear" w:color="000000" w:fill="FFFFFF"/>
            <w:vAlign w:val="center"/>
          </w:tcPr>
          <w:p w14:paraId="0A3ADEFE">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4BBC76FA">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7EF6D6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552818B0">
            <w:pPr>
              <w:spacing w:line="0" w:lineRule="atLeast"/>
              <w:jc w:val="center"/>
              <w:rPr>
                <w:color w:val="000000"/>
                <w:kern w:val="0"/>
                <w:sz w:val="22"/>
                <w:szCs w:val="22"/>
                <w:highlight w:val="none"/>
              </w:rPr>
            </w:pPr>
          </w:p>
        </w:tc>
        <w:tc>
          <w:tcPr>
            <w:tcW w:w="302" w:type="pct"/>
            <w:vMerge w:val="continue"/>
            <w:shd w:val="clear" w:color="auto" w:fill="FFFFFF"/>
            <w:vAlign w:val="center"/>
          </w:tcPr>
          <w:p w14:paraId="09F35223">
            <w:pPr>
              <w:spacing w:line="0" w:lineRule="atLeast"/>
              <w:jc w:val="center"/>
              <w:rPr>
                <w:color w:val="000000"/>
                <w:kern w:val="0"/>
                <w:sz w:val="22"/>
                <w:szCs w:val="22"/>
                <w:highlight w:val="none"/>
              </w:rPr>
            </w:pPr>
          </w:p>
        </w:tc>
        <w:tc>
          <w:tcPr>
            <w:tcW w:w="344" w:type="pct"/>
            <w:shd w:val="clear" w:color="auto" w:fill="FFFFFF"/>
            <w:vAlign w:val="center"/>
          </w:tcPr>
          <w:p w14:paraId="6AC25967">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14:paraId="1E0ED03C">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044" w:type="pct"/>
            <w:shd w:val="clear" w:color="auto" w:fill="FFFFFF"/>
            <w:vAlign w:val="center"/>
          </w:tcPr>
          <w:p w14:paraId="22D13E88">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512" w:type="pct"/>
            <w:shd w:val="clear" w:color="auto" w:fill="FFFFFF"/>
            <w:vAlign w:val="center"/>
          </w:tcPr>
          <w:p w14:paraId="2112D4EC">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60446662">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50FCE1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534D57EF">
            <w:pPr>
              <w:widowControl/>
              <w:spacing w:line="0" w:lineRule="atLeast"/>
              <w:jc w:val="center"/>
              <w:rPr>
                <w:color w:val="000000"/>
                <w:kern w:val="0"/>
                <w:sz w:val="22"/>
                <w:szCs w:val="22"/>
                <w:highlight w:val="none"/>
              </w:rPr>
            </w:pPr>
            <w:r>
              <w:rPr>
                <w:color w:val="000000"/>
                <w:kern w:val="0"/>
                <w:sz w:val="22"/>
                <w:szCs w:val="22"/>
                <w:highlight w:val="none"/>
              </w:rPr>
              <w:t>　</w:t>
            </w:r>
          </w:p>
          <w:p w14:paraId="24D86A72">
            <w:pPr>
              <w:spacing w:line="0" w:lineRule="atLeast"/>
              <w:jc w:val="center"/>
              <w:rPr>
                <w:color w:val="000000"/>
                <w:kern w:val="0"/>
                <w:sz w:val="22"/>
                <w:szCs w:val="22"/>
                <w:highlight w:val="none"/>
              </w:rPr>
            </w:pPr>
            <w:r>
              <w:rPr>
                <w:color w:val="000000"/>
                <w:kern w:val="0"/>
                <w:sz w:val="22"/>
                <w:szCs w:val="22"/>
                <w:highlight w:val="none"/>
              </w:rPr>
              <w:t>过程　</w:t>
            </w:r>
          </w:p>
        </w:tc>
        <w:tc>
          <w:tcPr>
            <w:tcW w:w="302" w:type="pct"/>
            <w:shd w:val="clear" w:color="auto" w:fill="FFFFFF"/>
            <w:vAlign w:val="center"/>
          </w:tcPr>
          <w:p w14:paraId="2A741808">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5B737E72">
            <w:pPr>
              <w:widowControl/>
              <w:spacing w:line="0" w:lineRule="atLeast"/>
              <w:jc w:val="center"/>
              <w:rPr>
                <w:color w:val="000000"/>
                <w:kern w:val="0"/>
                <w:sz w:val="22"/>
                <w:szCs w:val="22"/>
                <w:highlight w:val="none"/>
              </w:rPr>
            </w:pPr>
            <w:r>
              <w:rPr>
                <w:color w:val="000000"/>
                <w:kern w:val="0"/>
                <w:sz w:val="22"/>
                <w:szCs w:val="22"/>
                <w:highlight w:val="none"/>
              </w:rPr>
              <w:t>资金使用</w:t>
            </w:r>
          </w:p>
          <w:p w14:paraId="36C4C6D7">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14:paraId="5035F60A">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044" w:type="pct"/>
            <w:shd w:val="clear" w:color="000000" w:fill="FFFFFF"/>
            <w:vAlign w:val="center"/>
          </w:tcPr>
          <w:p w14:paraId="45BC93B5">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512" w:type="pct"/>
            <w:shd w:val="clear" w:color="000000" w:fill="FFFFFF"/>
            <w:vAlign w:val="center"/>
          </w:tcPr>
          <w:p w14:paraId="7314E9DD">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5373368E">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21CF7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245C7C49">
            <w:pPr>
              <w:spacing w:line="0" w:lineRule="atLeast"/>
              <w:jc w:val="center"/>
              <w:rPr>
                <w:color w:val="000000"/>
                <w:kern w:val="0"/>
                <w:sz w:val="22"/>
                <w:szCs w:val="22"/>
                <w:highlight w:val="none"/>
              </w:rPr>
            </w:pPr>
          </w:p>
        </w:tc>
        <w:tc>
          <w:tcPr>
            <w:tcW w:w="302" w:type="pct"/>
            <w:vMerge w:val="restart"/>
            <w:shd w:val="clear" w:color="auto" w:fill="FFFFFF"/>
            <w:vAlign w:val="center"/>
          </w:tcPr>
          <w:p w14:paraId="3B10F363">
            <w:pPr>
              <w:widowControl/>
              <w:spacing w:line="0" w:lineRule="atLeast"/>
              <w:jc w:val="center"/>
              <w:rPr>
                <w:color w:val="000000"/>
                <w:kern w:val="0"/>
                <w:sz w:val="22"/>
                <w:szCs w:val="22"/>
                <w:highlight w:val="none"/>
              </w:rPr>
            </w:pPr>
            <w:r>
              <w:rPr>
                <w:color w:val="000000"/>
                <w:kern w:val="0"/>
                <w:sz w:val="22"/>
                <w:szCs w:val="22"/>
                <w:highlight w:val="none"/>
              </w:rPr>
              <w:t>组织实施</w:t>
            </w:r>
          </w:p>
          <w:p w14:paraId="7B1BDCE2">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5439F0F5">
            <w:pPr>
              <w:widowControl/>
              <w:spacing w:line="0" w:lineRule="atLeast"/>
              <w:jc w:val="center"/>
              <w:rPr>
                <w:color w:val="000000"/>
                <w:kern w:val="0"/>
                <w:sz w:val="22"/>
                <w:szCs w:val="22"/>
                <w:highlight w:val="none"/>
              </w:rPr>
            </w:pPr>
            <w:r>
              <w:rPr>
                <w:color w:val="000000"/>
                <w:kern w:val="0"/>
                <w:sz w:val="22"/>
                <w:szCs w:val="22"/>
                <w:highlight w:val="none"/>
              </w:rPr>
              <w:t>管理制度</w:t>
            </w:r>
          </w:p>
          <w:p w14:paraId="52BC5260">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14:paraId="583636C4">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044" w:type="pct"/>
            <w:shd w:val="clear" w:color="000000" w:fill="FFFFFF"/>
            <w:vAlign w:val="center"/>
          </w:tcPr>
          <w:p w14:paraId="1E57BB12">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512" w:type="pct"/>
            <w:shd w:val="clear" w:color="000000" w:fill="FFFFFF"/>
            <w:vAlign w:val="center"/>
          </w:tcPr>
          <w:p w14:paraId="0C4692B3">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43769577">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2F24BB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551F6A29">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3446A9C0">
            <w:pPr>
              <w:widowControl/>
              <w:spacing w:line="0" w:lineRule="atLeast"/>
              <w:jc w:val="center"/>
              <w:rPr>
                <w:color w:val="000000"/>
                <w:kern w:val="0"/>
                <w:sz w:val="22"/>
                <w:szCs w:val="22"/>
                <w:highlight w:val="none"/>
              </w:rPr>
            </w:pPr>
          </w:p>
        </w:tc>
        <w:tc>
          <w:tcPr>
            <w:tcW w:w="344" w:type="pct"/>
            <w:shd w:val="clear" w:color="auto" w:fill="FFFFFF"/>
            <w:vAlign w:val="center"/>
          </w:tcPr>
          <w:p w14:paraId="49CD8327">
            <w:pPr>
              <w:widowControl/>
              <w:spacing w:line="0" w:lineRule="atLeast"/>
              <w:jc w:val="center"/>
              <w:rPr>
                <w:color w:val="000000"/>
                <w:kern w:val="0"/>
                <w:sz w:val="22"/>
                <w:szCs w:val="22"/>
                <w:highlight w:val="none"/>
              </w:rPr>
            </w:pPr>
            <w:r>
              <w:rPr>
                <w:color w:val="000000"/>
                <w:kern w:val="0"/>
                <w:sz w:val="22"/>
                <w:szCs w:val="22"/>
                <w:highlight w:val="none"/>
              </w:rPr>
              <w:t>制度执行</w:t>
            </w:r>
          </w:p>
          <w:p w14:paraId="2D04F723">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14:paraId="5A47F3AE">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044" w:type="pct"/>
            <w:shd w:val="clear" w:color="000000" w:fill="FFFFFF"/>
            <w:vAlign w:val="center"/>
          </w:tcPr>
          <w:p w14:paraId="226AC1B6">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512" w:type="pct"/>
            <w:shd w:val="clear" w:color="000000" w:fill="FFFFFF"/>
            <w:vAlign w:val="center"/>
          </w:tcPr>
          <w:p w14:paraId="71611F78">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19041445">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1701F0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4630B85B">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32F4AD14">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14:paraId="6038FAFD">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14:paraId="54632BEB">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044" w:type="pct"/>
            <w:shd w:val="clear" w:color="000000" w:fill="FFFFFF"/>
            <w:vAlign w:val="center"/>
          </w:tcPr>
          <w:p w14:paraId="4DF4F491">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14:paraId="506EAA40">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1E73E54B">
            <w:pPr>
              <w:widowControl/>
              <w:spacing w:line="0" w:lineRule="atLeast"/>
              <w:jc w:val="center"/>
              <w:rPr>
                <w:b/>
                <w:bCs/>
                <w:color w:val="000000"/>
                <w:kern w:val="0"/>
                <w:sz w:val="22"/>
                <w:szCs w:val="22"/>
                <w:highlight w:val="none"/>
              </w:rPr>
            </w:pPr>
            <w:r>
              <w:rPr>
                <w:b/>
                <w:bCs/>
                <w:color w:val="000000"/>
                <w:kern w:val="0"/>
                <w:sz w:val="22"/>
                <w:szCs w:val="22"/>
                <w:highlight w:val="none"/>
              </w:rPr>
              <w:t>10</w:t>
            </w:r>
          </w:p>
        </w:tc>
      </w:tr>
      <w:tr w14:paraId="7F1DD7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14:paraId="374727BC">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58C6F0E4">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14:paraId="668CCE13">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14:paraId="0884C002">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044" w:type="pct"/>
            <w:shd w:val="clear" w:color="000000" w:fill="FFFFFF"/>
            <w:vAlign w:val="center"/>
          </w:tcPr>
          <w:p w14:paraId="58CBABA0">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1C46760B">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6EC2BD40">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62515D0A">
            <w:pPr>
              <w:widowControl/>
              <w:spacing w:line="0" w:lineRule="atLeast"/>
              <w:jc w:val="center"/>
              <w:rPr>
                <w:b/>
                <w:bCs/>
                <w:color w:val="000000"/>
                <w:kern w:val="0"/>
                <w:sz w:val="22"/>
                <w:szCs w:val="22"/>
                <w:highlight w:val="none"/>
              </w:rPr>
            </w:pPr>
            <w:r>
              <w:rPr>
                <w:b/>
                <w:bCs/>
                <w:color w:val="000000"/>
                <w:kern w:val="0"/>
                <w:sz w:val="22"/>
                <w:szCs w:val="22"/>
                <w:highlight w:val="none"/>
              </w:rPr>
              <w:t>10</w:t>
            </w:r>
          </w:p>
        </w:tc>
      </w:tr>
      <w:tr w14:paraId="7AFB7F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1FDE8580">
            <w:pPr>
              <w:spacing w:line="0" w:lineRule="atLeast"/>
              <w:jc w:val="center"/>
              <w:rPr>
                <w:color w:val="000000"/>
                <w:kern w:val="0"/>
                <w:sz w:val="22"/>
                <w:szCs w:val="22"/>
                <w:highlight w:val="none"/>
              </w:rPr>
            </w:pPr>
          </w:p>
        </w:tc>
        <w:tc>
          <w:tcPr>
            <w:tcW w:w="302" w:type="pct"/>
            <w:shd w:val="clear" w:color="auto" w:fill="FFFFFF"/>
            <w:vAlign w:val="center"/>
          </w:tcPr>
          <w:p w14:paraId="125595E9">
            <w:pPr>
              <w:spacing w:line="0" w:lineRule="atLeas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14:paraId="756ACDFF">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14:paraId="43925D85">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044" w:type="pct"/>
            <w:shd w:val="clear" w:color="000000" w:fill="FFFFFF"/>
            <w:vAlign w:val="center"/>
          </w:tcPr>
          <w:p w14:paraId="65CCBF28">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14:paraId="178C2CF3">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29E9D3EF">
            <w:pPr>
              <w:widowControl/>
              <w:spacing w:line="0" w:lineRule="atLeast"/>
              <w:jc w:val="center"/>
              <w:rPr>
                <w:b/>
                <w:bCs/>
                <w:color w:val="000000"/>
                <w:kern w:val="0"/>
                <w:sz w:val="22"/>
                <w:szCs w:val="22"/>
                <w:highlight w:val="none"/>
              </w:rPr>
            </w:pPr>
            <w:r>
              <w:rPr>
                <w:b/>
                <w:bCs/>
                <w:color w:val="000000"/>
                <w:kern w:val="0"/>
                <w:sz w:val="22"/>
                <w:szCs w:val="22"/>
                <w:highlight w:val="none"/>
              </w:rPr>
              <w:t>10</w:t>
            </w:r>
          </w:p>
        </w:tc>
      </w:tr>
      <w:tr w14:paraId="3DD091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060FDC4A">
            <w:pPr>
              <w:widowControl/>
              <w:spacing w:line="0" w:lineRule="atLeast"/>
              <w:jc w:val="center"/>
              <w:rPr>
                <w:color w:val="000000"/>
                <w:kern w:val="0"/>
                <w:sz w:val="22"/>
                <w:szCs w:val="22"/>
                <w:highlight w:val="none"/>
              </w:rPr>
            </w:pPr>
          </w:p>
        </w:tc>
        <w:tc>
          <w:tcPr>
            <w:tcW w:w="302" w:type="pct"/>
            <w:shd w:val="clear" w:color="auto" w:fill="FFFFFF"/>
            <w:vAlign w:val="center"/>
          </w:tcPr>
          <w:p w14:paraId="0AF950AA">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14:paraId="7FA4F1FE">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14:paraId="55B70B8D">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044" w:type="pct"/>
            <w:shd w:val="clear" w:color="000000" w:fill="FFFFFF"/>
            <w:vAlign w:val="center"/>
          </w:tcPr>
          <w:p w14:paraId="59D8BFF3">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14:paraId="316920BE">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7EC6F78F">
            <w:pPr>
              <w:widowControl/>
              <w:spacing w:line="0" w:lineRule="atLeast"/>
              <w:jc w:val="center"/>
              <w:rPr>
                <w:b/>
                <w:bCs/>
                <w:color w:val="000000"/>
                <w:kern w:val="0"/>
                <w:sz w:val="22"/>
                <w:szCs w:val="22"/>
                <w:highlight w:val="none"/>
              </w:rPr>
            </w:pPr>
            <w:r>
              <w:rPr>
                <w:b/>
                <w:bCs/>
                <w:color w:val="000000"/>
                <w:kern w:val="0"/>
                <w:sz w:val="22"/>
                <w:szCs w:val="22"/>
                <w:highlight w:val="none"/>
              </w:rPr>
              <w:t>10</w:t>
            </w:r>
          </w:p>
        </w:tc>
      </w:tr>
      <w:tr w14:paraId="56A9AF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3432FA14">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02" w:type="pct"/>
            <w:vMerge w:val="restart"/>
            <w:shd w:val="clear" w:color="auto" w:fill="FFFFFF"/>
            <w:vAlign w:val="center"/>
          </w:tcPr>
          <w:p w14:paraId="5501E216">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14:paraId="49CF0474">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14:paraId="09761EEE">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2044" w:type="pct"/>
            <w:shd w:val="clear" w:color="auto" w:fill="FFFFFF"/>
            <w:vAlign w:val="center"/>
          </w:tcPr>
          <w:p w14:paraId="18ED635C">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14:paraId="068464D9">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14:paraId="30033215">
            <w:pPr>
              <w:widowControl/>
              <w:spacing w:line="0" w:lineRule="atLeast"/>
              <w:jc w:val="center"/>
              <w:rPr>
                <w:b/>
                <w:bCs/>
                <w:color w:val="000000"/>
                <w:kern w:val="0"/>
                <w:sz w:val="22"/>
                <w:szCs w:val="22"/>
                <w:highlight w:val="none"/>
              </w:rPr>
            </w:pPr>
            <w:r>
              <w:rPr>
                <w:b/>
                <w:bCs/>
                <w:color w:val="000000"/>
                <w:kern w:val="0"/>
                <w:sz w:val="22"/>
                <w:szCs w:val="22"/>
                <w:highlight w:val="none"/>
              </w:rPr>
              <w:t>10</w:t>
            </w:r>
          </w:p>
        </w:tc>
      </w:tr>
      <w:tr w14:paraId="03F862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3C6AA95E">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67EC1D5E">
            <w:pPr>
              <w:widowControl/>
              <w:spacing w:line="0" w:lineRule="atLeast"/>
              <w:jc w:val="center"/>
              <w:rPr>
                <w:color w:val="000000"/>
                <w:kern w:val="0"/>
                <w:sz w:val="22"/>
                <w:szCs w:val="22"/>
                <w:highlight w:val="none"/>
              </w:rPr>
            </w:pPr>
          </w:p>
        </w:tc>
        <w:tc>
          <w:tcPr>
            <w:tcW w:w="344" w:type="pct"/>
            <w:shd w:val="clear" w:color="auto" w:fill="FFFFFF"/>
            <w:vAlign w:val="center"/>
          </w:tcPr>
          <w:p w14:paraId="5B0E1654">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14:paraId="5152916A">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2044" w:type="pct"/>
            <w:shd w:val="clear" w:color="000000" w:fill="FFFFFF"/>
            <w:vAlign w:val="center"/>
          </w:tcPr>
          <w:p w14:paraId="3EF99168">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14:paraId="6A82951B">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14894D16">
            <w:pPr>
              <w:widowControl/>
              <w:spacing w:line="0" w:lineRule="atLeast"/>
              <w:jc w:val="center"/>
              <w:rPr>
                <w:b/>
                <w:bCs/>
                <w:color w:val="000000"/>
                <w:kern w:val="0"/>
                <w:sz w:val="22"/>
                <w:szCs w:val="22"/>
                <w:highlight w:val="none"/>
              </w:rPr>
            </w:pPr>
            <w:r>
              <w:rPr>
                <w:b/>
                <w:bCs/>
                <w:color w:val="000000"/>
                <w:kern w:val="0"/>
                <w:sz w:val="22"/>
                <w:szCs w:val="22"/>
                <w:highlight w:val="none"/>
              </w:rPr>
              <w:t>10</w:t>
            </w:r>
          </w:p>
        </w:tc>
      </w:tr>
    </w:tbl>
    <w:p w14:paraId="186C0F36">
      <w:pPr>
        <w:pStyle w:val="2"/>
        <w:rPr>
          <w:rFonts w:ascii="Times New Roman" w:hAnsi="Times New Roman"/>
          <w:highlight w:val="none"/>
        </w:rPr>
      </w:pPr>
    </w:p>
    <w:p w14:paraId="73624907">
      <w:pPr>
        <w:rPr>
          <w:highlight w:val="none"/>
        </w:rPr>
      </w:pPr>
    </w:p>
    <w:p w14:paraId="522E7EB3">
      <w:pPr>
        <w:spacing w:line="540" w:lineRule="exact"/>
        <w:ind w:firstLine="640"/>
        <w:rPr>
          <w:rStyle w:val="14"/>
          <w:rFonts w:eastAsia="黑体"/>
          <w:bCs w:val="0"/>
          <w:spacing w:val="-4"/>
          <w:sz w:val="32"/>
          <w:szCs w:val="32"/>
          <w:highlight w:val="none"/>
        </w:rPr>
      </w:pPr>
    </w:p>
    <w:p w14:paraId="113B06CE">
      <w:pPr>
        <w:spacing w:line="540" w:lineRule="exact"/>
        <w:ind w:firstLine="640"/>
        <w:rPr>
          <w:rStyle w:val="14"/>
          <w:rFonts w:eastAsia="黑体"/>
          <w:bCs w:val="0"/>
          <w:spacing w:val="-4"/>
          <w:sz w:val="32"/>
          <w:szCs w:val="32"/>
          <w:highlight w:val="none"/>
        </w:rPr>
      </w:pPr>
    </w:p>
    <w:p w14:paraId="1199F62E">
      <w:pPr>
        <w:spacing w:line="540" w:lineRule="exact"/>
        <w:ind w:firstLine="640"/>
        <w:rPr>
          <w:rStyle w:val="14"/>
          <w:rFonts w:eastAsia="黑体"/>
          <w:bCs w:val="0"/>
          <w:spacing w:val="-4"/>
          <w:sz w:val="32"/>
          <w:szCs w:val="32"/>
          <w:highlight w:val="none"/>
        </w:rPr>
      </w:pPr>
    </w:p>
    <w:p w14:paraId="54BE1269">
      <w:pPr>
        <w:spacing w:line="540" w:lineRule="exact"/>
        <w:ind w:firstLine="640"/>
        <w:rPr>
          <w:rStyle w:val="14"/>
          <w:rFonts w:eastAsia="黑体"/>
          <w:bCs w:val="0"/>
          <w:spacing w:val="-4"/>
          <w:sz w:val="32"/>
          <w:szCs w:val="32"/>
          <w:highlight w:val="none"/>
        </w:rPr>
      </w:pPr>
    </w:p>
    <w:p w14:paraId="2BDFFDFD">
      <w:pPr>
        <w:spacing w:line="540" w:lineRule="exact"/>
        <w:ind w:firstLine="640"/>
        <w:rPr>
          <w:rStyle w:val="14"/>
          <w:rFonts w:eastAsia="黑体"/>
          <w:bCs w:val="0"/>
          <w:spacing w:val="-4"/>
          <w:sz w:val="32"/>
          <w:szCs w:val="32"/>
          <w:highlight w:val="none"/>
        </w:rPr>
      </w:pPr>
    </w:p>
    <w:p w14:paraId="22ADF9F1">
      <w:pPr>
        <w:spacing w:line="540" w:lineRule="exact"/>
        <w:ind w:firstLine="640"/>
        <w:rPr>
          <w:rStyle w:val="14"/>
          <w:rFonts w:eastAsia="黑体"/>
          <w:bCs w:val="0"/>
          <w:spacing w:val="-4"/>
          <w:sz w:val="32"/>
          <w:szCs w:val="32"/>
          <w:highlight w:val="none"/>
        </w:rPr>
      </w:pPr>
    </w:p>
    <w:p w14:paraId="59CB20B5">
      <w:pPr>
        <w:spacing w:line="540" w:lineRule="exact"/>
        <w:rPr>
          <w:rStyle w:val="14"/>
          <w:rFonts w:eastAsia="仿宋"/>
          <w:b w:val="0"/>
          <w:spacing w:val="-4"/>
          <w:sz w:val="32"/>
          <w:szCs w:val="32"/>
          <w:highlight w:val="none"/>
        </w:rPr>
      </w:pPr>
    </w:p>
    <w:p w14:paraId="66C34EC5">
      <w:pPr>
        <w:rPr>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CE9CC5F-71CE-4F7C-9398-19C91EC1F42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DB7067C-13B9-460D-9E0C-FF96494C66A1}"/>
  </w:font>
  <w:font w:name="华文中宋">
    <w:panose1 w:val="02010600040101010101"/>
    <w:charset w:val="86"/>
    <w:family w:val="auto"/>
    <w:pitch w:val="default"/>
    <w:sig w:usb0="00000287" w:usb1="080F0000" w:usb2="00000000" w:usb3="00000000" w:csb0="0004009F" w:csb1="DFD70000"/>
    <w:embedRegular r:id="rId3" w:fontKey="{08B3F846-B127-4A26-8F86-18A7B5990F8D}"/>
  </w:font>
  <w:font w:name="方正小标宋_GBK">
    <w:panose1 w:val="02000000000000000000"/>
    <w:charset w:val="86"/>
    <w:family w:val="script"/>
    <w:pitch w:val="default"/>
    <w:sig w:usb0="A00002BF" w:usb1="38CF7CFA" w:usb2="00082016" w:usb3="00000000" w:csb0="00040001" w:csb1="00000000"/>
    <w:embedRegular r:id="rId4" w:fontKey="{F42FE9FF-3FE3-4570-94BA-072C41D4197D}"/>
  </w:font>
  <w:font w:name="楷体_GB2312">
    <w:panose1 w:val="02010609030101010101"/>
    <w:charset w:val="86"/>
    <w:family w:val="auto"/>
    <w:pitch w:val="default"/>
    <w:sig w:usb0="00000001" w:usb1="080E0000" w:usb2="00000000" w:usb3="00000000" w:csb0="00040000" w:csb1="00000000"/>
    <w:embedRegular r:id="rId5" w:fontKey="{03429278-2442-4C8A-B629-3113CFF2D947}"/>
  </w:font>
  <w:font w:name="方正仿宋_GBK">
    <w:panose1 w:val="02000000000000000000"/>
    <w:charset w:val="86"/>
    <w:family w:val="auto"/>
    <w:pitch w:val="default"/>
    <w:sig w:usb0="A00002BF" w:usb1="38CF7CFA" w:usb2="00082016" w:usb3="00000000" w:csb0="00040001" w:csb1="00000000"/>
    <w:embedRegular r:id="rId6" w:fontKey="{2BC19C29-3101-4626-A4D5-E7D7D5212F1E}"/>
  </w:font>
  <w:font w:name="楷体">
    <w:panose1 w:val="02010609060101010101"/>
    <w:charset w:val="86"/>
    <w:family w:val="modern"/>
    <w:pitch w:val="default"/>
    <w:sig w:usb0="800002BF" w:usb1="38CF7CFA" w:usb2="00000016" w:usb3="00000000" w:csb0="00040001" w:csb1="00000000"/>
    <w:embedRegular r:id="rId7" w:fontKey="{ACD835C2-7D8B-4FE8-B46E-8A83D27D8C73}"/>
  </w:font>
  <w:font w:name="仿宋">
    <w:panose1 w:val="02010609060101010101"/>
    <w:charset w:val="86"/>
    <w:family w:val="modern"/>
    <w:pitch w:val="default"/>
    <w:sig w:usb0="800002BF" w:usb1="38CF7CFA" w:usb2="00000016" w:usb3="00000000" w:csb0="00040001" w:csb1="00000000"/>
    <w:embedRegular r:id="rId8" w:fontKey="{25D9EA33-DFAA-493B-B7C5-BB89D6D8CBB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93E1150">
        <w:pPr>
          <w:pStyle w:val="8"/>
          <w:jc w:val="center"/>
        </w:pPr>
        <w:r>
          <w:fldChar w:fldCharType="begin"/>
        </w:r>
        <w:r>
          <w:instrText xml:space="preserve">PAGE   \* MERGEFORMAT</w:instrText>
        </w:r>
        <w:r>
          <w:fldChar w:fldCharType="separate"/>
        </w:r>
        <w:r>
          <w:rPr>
            <w:lang w:val="zh-CN"/>
          </w:rPr>
          <w:t>1</w:t>
        </w:r>
        <w:r>
          <w:fldChar w:fldCharType="end"/>
        </w:r>
      </w:p>
    </w:sdtContent>
  </w:sdt>
  <w:p w14:paraId="6B44AEB4">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38F0C646"/>
    <w:multiLevelType w:val="singleLevel"/>
    <w:tmpl w:val="38F0C646"/>
    <w:lvl w:ilvl="0" w:tentative="0">
      <w:start w:val="1"/>
      <w:numFmt w:val="decimal"/>
      <w:suff w:val="nothing"/>
      <w:lvlText w:val="%1、"/>
      <w:lvlJc w:val="left"/>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FF6C4049"/>
    <w:rsid w:val="00095176"/>
    <w:rsid w:val="00190CD5"/>
    <w:rsid w:val="004712B7"/>
    <w:rsid w:val="00714727"/>
    <w:rsid w:val="007F27CB"/>
    <w:rsid w:val="00FC7F82"/>
    <w:rsid w:val="00FD3DF8"/>
    <w:rsid w:val="057B527C"/>
    <w:rsid w:val="07904C67"/>
    <w:rsid w:val="09043150"/>
    <w:rsid w:val="0FBA381F"/>
    <w:rsid w:val="118839F9"/>
    <w:rsid w:val="13B90F01"/>
    <w:rsid w:val="1542409B"/>
    <w:rsid w:val="15F20809"/>
    <w:rsid w:val="17487963"/>
    <w:rsid w:val="176756C6"/>
    <w:rsid w:val="1B4F12C0"/>
    <w:rsid w:val="1B6445EA"/>
    <w:rsid w:val="1C671E73"/>
    <w:rsid w:val="22554B39"/>
    <w:rsid w:val="242D340A"/>
    <w:rsid w:val="251E4A80"/>
    <w:rsid w:val="258778A8"/>
    <w:rsid w:val="284020F7"/>
    <w:rsid w:val="29183639"/>
    <w:rsid w:val="29214F07"/>
    <w:rsid w:val="2AFC4894"/>
    <w:rsid w:val="3301513E"/>
    <w:rsid w:val="34810B34"/>
    <w:rsid w:val="36CA5847"/>
    <w:rsid w:val="38412005"/>
    <w:rsid w:val="395F2B56"/>
    <w:rsid w:val="3A3F6C25"/>
    <w:rsid w:val="3AD4114D"/>
    <w:rsid w:val="3BECE841"/>
    <w:rsid w:val="3C5E4563"/>
    <w:rsid w:val="3FF7797D"/>
    <w:rsid w:val="40ED0AAF"/>
    <w:rsid w:val="44FB5145"/>
    <w:rsid w:val="4A715915"/>
    <w:rsid w:val="4E473EF5"/>
    <w:rsid w:val="4F845029"/>
    <w:rsid w:val="50950CB1"/>
    <w:rsid w:val="51D718C7"/>
    <w:rsid w:val="5B904057"/>
    <w:rsid w:val="5BFF6039"/>
    <w:rsid w:val="5C950379"/>
    <w:rsid w:val="5D76A616"/>
    <w:rsid w:val="5D7F20B9"/>
    <w:rsid w:val="5DAC7D0E"/>
    <w:rsid w:val="5FFE8511"/>
    <w:rsid w:val="5FFEACE2"/>
    <w:rsid w:val="643EE26D"/>
    <w:rsid w:val="64EA7BC1"/>
    <w:rsid w:val="65566374"/>
    <w:rsid w:val="656408E2"/>
    <w:rsid w:val="676A4358"/>
    <w:rsid w:val="6A1C1987"/>
    <w:rsid w:val="6A2B3D11"/>
    <w:rsid w:val="6B7E03D2"/>
    <w:rsid w:val="6BFD579B"/>
    <w:rsid w:val="6FAF6C78"/>
    <w:rsid w:val="7317C656"/>
    <w:rsid w:val="73B01345"/>
    <w:rsid w:val="750E466C"/>
    <w:rsid w:val="77475AAD"/>
    <w:rsid w:val="77FD8BE9"/>
    <w:rsid w:val="79A9BD3F"/>
    <w:rsid w:val="7AA3455F"/>
    <w:rsid w:val="7BFFFDD0"/>
    <w:rsid w:val="7D7A5F86"/>
    <w:rsid w:val="7EEF6709"/>
    <w:rsid w:val="7EFD5F7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4">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annotation text"/>
    <w:basedOn w:val="1"/>
    <w:link w:val="20"/>
    <w:autoRedefine/>
    <w:qFormat/>
    <w:uiPriority w:val="99"/>
    <w:pPr>
      <w:jc w:val="left"/>
    </w:pPr>
  </w:style>
  <w:style w:type="paragraph" w:styleId="6">
    <w:name w:val="Body Text"/>
    <w:basedOn w:val="1"/>
    <w:autoRedefine/>
    <w:qFormat/>
    <w:uiPriority w:val="0"/>
    <w:pPr>
      <w:spacing w:after="120"/>
    </w:pPr>
  </w:style>
  <w:style w:type="paragraph" w:styleId="7">
    <w:name w:val="Body Text Indent"/>
    <w:basedOn w:val="1"/>
    <w:autoRedefine/>
    <w:qFormat/>
    <w:uiPriority w:val="0"/>
    <w:pPr>
      <w:spacing w:after="120"/>
      <w:ind w:left="420" w:leftChars="200"/>
    </w:pPr>
    <w:rPr>
      <w:rFonts w:ascii="Calibri" w:hAnsi="Calibri"/>
    </w:rPr>
  </w:style>
  <w:style w:type="paragraph" w:styleId="8">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19"/>
    <w:autoRedefine/>
    <w:qFormat/>
    <w:uiPriority w:val="0"/>
    <w:pPr>
      <w:tabs>
        <w:tab w:val="center" w:pos="4153"/>
        <w:tab w:val="right" w:pos="8306"/>
      </w:tabs>
      <w:snapToGrid w:val="0"/>
      <w:jc w:val="center"/>
    </w:pPr>
    <w:rPr>
      <w:sz w:val="18"/>
      <w:szCs w:val="18"/>
    </w:rPr>
  </w:style>
  <w:style w:type="paragraph" w:styleId="10">
    <w:name w:val="Body Text First Indent"/>
    <w:basedOn w:val="6"/>
    <w:autoRedefine/>
    <w:qFormat/>
    <w:uiPriority w:val="0"/>
    <w:pPr>
      <w:spacing w:after="0"/>
      <w:ind w:firstLine="200" w:firstLineChars="200"/>
    </w:pPr>
  </w:style>
  <w:style w:type="paragraph" w:styleId="11">
    <w:name w:val="Body Text First Indent 2"/>
    <w:basedOn w:val="7"/>
    <w:autoRedefine/>
    <w:qFormat/>
    <w:uiPriority w:val="0"/>
    <w:pPr>
      <w:ind w:firstLine="420" w:firstLineChars="200"/>
    </w:pPr>
  </w:style>
  <w:style w:type="character" w:styleId="14">
    <w:name w:val="Strong"/>
    <w:basedOn w:val="13"/>
    <w:autoRedefine/>
    <w:qFormat/>
    <w:uiPriority w:val="0"/>
    <w:rPr>
      <w:b/>
      <w:bCs/>
    </w:rPr>
  </w:style>
  <w:style w:type="character" w:styleId="15">
    <w:name w:val="annotation reference"/>
    <w:basedOn w:val="13"/>
    <w:autoRedefine/>
    <w:qFormat/>
    <w:uiPriority w:val="99"/>
    <w:rPr>
      <w:sz w:val="21"/>
      <w:szCs w:val="21"/>
    </w:rPr>
  </w:style>
  <w:style w:type="character" w:customStyle="1" w:styleId="16">
    <w:name w:val="fontstyle01"/>
    <w:autoRedefine/>
    <w:qFormat/>
    <w:uiPriority w:val="0"/>
    <w:rPr>
      <w:rFonts w:ascii="仿宋_GB2312" w:hAnsi="仿宋_GB2312" w:eastAsia="仿宋_GB2312" w:cs="仿宋_GB2312"/>
      <w:color w:val="000000"/>
      <w:sz w:val="32"/>
      <w:szCs w:val="32"/>
    </w:rPr>
  </w:style>
  <w:style w:type="paragraph" w:customStyle="1" w:styleId="17">
    <w:name w:val="闻政-正文段落文字"/>
    <w:basedOn w:val="1"/>
    <w:autoRedefine/>
    <w:qFormat/>
    <w:uiPriority w:val="3"/>
    <w:pPr>
      <w:spacing w:line="500" w:lineRule="exact"/>
      <w:ind w:firstLine="200"/>
    </w:pPr>
    <w:rPr>
      <w:kern w:val="0"/>
      <w:szCs w:val="28"/>
    </w:rPr>
  </w:style>
  <w:style w:type="paragraph" w:customStyle="1" w:styleId="18">
    <w:name w:val="Revision"/>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19">
    <w:name w:val="页眉 字符"/>
    <w:basedOn w:val="13"/>
    <w:link w:val="9"/>
    <w:autoRedefine/>
    <w:qFormat/>
    <w:uiPriority w:val="0"/>
    <w:rPr>
      <w:rFonts w:ascii="Times New Roman" w:hAnsi="Times New Roman" w:eastAsia="宋体" w:cs="Times New Roman"/>
      <w:kern w:val="2"/>
      <w:sz w:val="18"/>
      <w:szCs w:val="18"/>
    </w:rPr>
  </w:style>
  <w:style w:type="character" w:customStyle="1" w:styleId="20">
    <w:name w:val="批注文字 字符"/>
    <w:basedOn w:val="13"/>
    <w:link w:val="5"/>
    <w:autoRedefine/>
    <w:qFormat/>
    <w:uiPriority w:val="99"/>
    <w:rPr>
      <w:rFonts w:ascii="Times New Roman" w:hAnsi="Times New Roman" w:eastAsia="宋体" w:cs="Times New Roman"/>
      <w:kern w:val="2"/>
      <w:sz w:val="21"/>
      <w:szCs w:val="24"/>
    </w:rPr>
  </w:style>
  <w:style w:type="paragraph" w:styleId="21">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11228</Words>
  <Characters>11885</Characters>
  <Lines>63</Lines>
  <Paragraphs>17</Paragraphs>
  <TotalTime>4</TotalTime>
  <ScaleCrop>false</ScaleCrop>
  <LinksUpToDate>false</LinksUpToDate>
  <CharactersWithSpaces>11930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2023-03-08T05:13:00Z</dcterms:created>
  <dc:creator>审核人</dc:creator>
  <cp:lastModifiedBy>薛俊璇</cp:lastModifiedBy>
  <dcterms:modified xsi:type="dcterms:W3CDTF">2024-08-14T09:37:43Z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0CA58AF8364FF55815C8066417B177EA</vt:lpwstr>
  </property>
</Properties>
</file>