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A68430">
      <w:pPr>
        <w:spacing w:line="540" w:lineRule="exact"/>
        <w:jc w:val="center"/>
        <w:rPr>
          <w:rFonts w:eastAsia="华文中宋"/>
          <w:b/>
          <w:kern w:val="0"/>
          <w:sz w:val="52"/>
          <w:szCs w:val="52"/>
          <w:highlight w:val="none"/>
        </w:rPr>
      </w:pPr>
    </w:p>
    <w:p w14:paraId="31D24FC8">
      <w:pPr>
        <w:spacing w:line="540" w:lineRule="exact"/>
        <w:rPr>
          <w:rFonts w:eastAsia="华文中宋"/>
          <w:b/>
          <w:kern w:val="0"/>
          <w:sz w:val="52"/>
          <w:szCs w:val="52"/>
          <w:highlight w:val="none"/>
        </w:rPr>
      </w:pPr>
    </w:p>
    <w:p w14:paraId="1E0FFD7A">
      <w:pPr>
        <w:spacing w:line="540" w:lineRule="exact"/>
        <w:jc w:val="center"/>
        <w:rPr>
          <w:rFonts w:eastAsia="华文中宋"/>
          <w:b/>
          <w:kern w:val="0"/>
          <w:sz w:val="52"/>
          <w:szCs w:val="52"/>
          <w:highlight w:val="none"/>
        </w:rPr>
      </w:pPr>
    </w:p>
    <w:p w14:paraId="7E10A0A2">
      <w:pPr>
        <w:spacing w:line="540" w:lineRule="exact"/>
        <w:jc w:val="center"/>
        <w:rPr>
          <w:rFonts w:eastAsia="华文中宋"/>
          <w:b/>
          <w:kern w:val="0"/>
          <w:sz w:val="52"/>
          <w:szCs w:val="52"/>
          <w:highlight w:val="none"/>
        </w:rPr>
      </w:pPr>
    </w:p>
    <w:p w14:paraId="42D17AAF">
      <w:pPr>
        <w:spacing w:line="540" w:lineRule="exact"/>
        <w:jc w:val="center"/>
        <w:rPr>
          <w:rFonts w:eastAsia="方正小标宋_GBK"/>
          <w:kern w:val="0"/>
          <w:sz w:val="48"/>
          <w:szCs w:val="48"/>
          <w:highlight w:val="none"/>
        </w:rPr>
      </w:pPr>
      <w:r>
        <w:rPr>
          <w:rFonts w:hint="eastAsia" w:eastAsia="方正小标宋_GBK"/>
          <w:kern w:val="0"/>
          <w:sz w:val="48"/>
          <w:szCs w:val="48"/>
          <w:highlight w:val="none"/>
          <w:lang w:eastAsia="zh-CN"/>
        </w:rPr>
        <w:t>自治区2023年第一批疫情防控补助资金（自治区本级医疗机构重症床位设备配置经费）</w:t>
      </w:r>
      <w:r>
        <w:rPr>
          <w:rFonts w:eastAsia="方正小标宋_GBK"/>
          <w:kern w:val="0"/>
          <w:sz w:val="48"/>
          <w:szCs w:val="48"/>
          <w:highlight w:val="none"/>
        </w:rPr>
        <w:t>资金项目支出绩效评价报告</w:t>
      </w:r>
    </w:p>
    <w:p w14:paraId="19F6B9BA">
      <w:pPr>
        <w:spacing w:line="540" w:lineRule="exact"/>
        <w:jc w:val="center"/>
        <w:rPr>
          <w:rFonts w:eastAsia="华文中宋"/>
          <w:b/>
          <w:kern w:val="0"/>
          <w:sz w:val="52"/>
          <w:szCs w:val="52"/>
          <w:highlight w:val="none"/>
        </w:rPr>
      </w:pPr>
    </w:p>
    <w:p w14:paraId="6D0896FD">
      <w:pPr>
        <w:spacing w:line="540" w:lineRule="exact"/>
        <w:jc w:val="center"/>
        <w:rPr>
          <w:rFonts w:eastAsia="仿宋_GB2312"/>
          <w:kern w:val="0"/>
          <w:sz w:val="36"/>
          <w:szCs w:val="36"/>
          <w:highlight w:val="none"/>
        </w:rPr>
      </w:pPr>
      <w:r>
        <w:rPr>
          <w:rFonts w:eastAsia="仿宋_GB2312"/>
          <w:kern w:val="0"/>
          <w:sz w:val="36"/>
          <w:szCs w:val="36"/>
          <w:highlight w:val="none"/>
        </w:rPr>
        <w:t>（ 2023年度）</w:t>
      </w:r>
    </w:p>
    <w:p w14:paraId="52F3CFA9">
      <w:pPr>
        <w:spacing w:line="540" w:lineRule="exact"/>
        <w:jc w:val="center"/>
        <w:rPr>
          <w:rFonts w:eastAsia="仿宋_GB2312"/>
          <w:kern w:val="0"/>
          <w:sz w:val="30"/>
          <w:szCs w:val="30"/>
          <w:highlight w:val="none"/>
        </w:rPr>
      </w:pPr>
    </w:p>
    <w:p w14:paraId="50378CB4">
      <w:pPr>
        <w:spacing w:line="540" w:lineRule="exact"/>
        <w:jc w:val="center"/>
        <w:rPr>
          <w:rFonts w:eastAsia="仿宋_GB2312"/>
          <w:kern w:val="0"/>
          <w:sz w:val="30"/>
          <w:szCs w:val="30"/>
          <w:highlight w:val="none"/>
        </w:rPr>
      </w:pPr>
    </w:p>
    <w:p w14:paraId="682F143B">
      <w:pPr>
        <w:spacing w:line="540" w:lineRule="exact"/>
        <w:jc w:val="center"/>
        <w:rPr>
          <w:rFonts w:eastAsia="仿宋_GB2312"/>
          <w:kern w:val="0"/>
          <w:sz w:val="30"/>
          <w:szCs w:val="30"/>
          <w:highlight w:val="none"/>
        </w:rPr>
      </w:pPr>
    </w:p>
    <w:p w14:paraId="28AC999B">
      <w:pPr>
        <w:spacing w:line="540" w:lineRule="exact"/>
        <w:jc w:val="center"/>
        <w:rPr>
          <w:rFonts w:eastAsia="仿宋_GB2312"/>
          <w:kern w:val="0"/>
          <w:sz w:val="30"/>
          <w:szCs w:val="30"/>
          <w:highlight w:val="none"/>
        </w:rPr>
      </w:pPr>
    </w:p>
    <w:p w14:paraId="5DD774CA">
      <w:pPr>
        <w:spacing w:line="540" w:lineRule="exact"/>
        <w:rPr>
          <w:rFonts w:eastAsia="仿宋_GB2312"/>
          <w:kern w:val="0"/>
          <w:sz w:val="30"/>
          <w:szCs w:val="30"/>
          <w:highlight w:val="none"/>
        </w:rPr>
      </w:pPr>
    </w:p>
    <w:p w14:paraId="682292E6">
      <w:pPr>
        <w:spacing w:line="700" w:lineRule="exact"/>
        <w:ind w:left="2877" w:leftChars="513" w:hanging="1800" w:hangingChars="500"/>
        <w:jc w:val="left"/>
        <w:rPr>
          <w:rFonts w:hint="eastAsia" w:eastAsia="仿宋_GB2312"/>
          <w:kern w:val="0"/>
          <w:sz w:val="36"/>
          <w:szCs w:val="36"/>
          <w:highlight w:val="none"/>
          <w:lang w:eastAsia="zh-CN"/>
        </w:rPr>
      </w:pPr>
      <w:r>
        <w:rPr>
          <w:rFonts w:eastAsia="仿宋_GB2312"/>
          <w:kern w:val="0"/>
          <w:sz w:val="36"/>
          <w:szCs w:val="36"/>
          <w:highlight w:val="none"/>
        </w:rPr>
        <w:t>项目名称：</w:t>
      </w:r>
      <w:r>
        <w:rPr>
          <w:rFonts w:hint="eastAsia" w:eastAsia="仿宋_GB2312"/>
          <w:kern w:val="0"/>
          <w:sz w:val="36"/>
          <w:szCs w:val="36"/>
          <w:highlight w:val="none"/>
          <w:lang w:eastAsia="zh-CN"/>
        </w:rPr>
        <w:t>自治区2023年第一批疫情防控补助资金（自治区本级医疗机构重症床位设备配置经费）项目</w:t>
      </w:r>
    </w:p>
    <w:p w14:paraId="104D4919">
      <w:pPr>
        <w:spacing w:line="700" w:lineRule="exact"/>
        <w:ind w:firstLine="1080" w:firstLineChars="300"/>
        <w:jc w:val="left"/>
        <w:rPr>
          <w:rFonts w:hint="eastAsia" w:eastAsia="仿宋_GB2312"/>
          <w:kern w:val="0"/>
          <w:sz w:val="36"/>
          <w:szCs w:val="36"/>
          <w:highlight w:val="none"/>
          <w:lang w:eastAsia="zh-CN"/>
        </w:rPr>
      </w:pPr>
      <w:r>
        <w:rPr>
          <w:rFonts w:eastAsia="仿宋_GB2312"/>
          <w:kern w:val="0"/>
          <w:sz w:val="36"/>
          <w:szCs w:val="36"/>
          <w:highlight w:val="none"/>
        </w:rPr>
        <w:t>实施单位（公章）：</w:t>
      </w:r>
      <w:r>
        <w:rPr>
          <w:rFonts w:hint="eastAsia" w:eastAsia="仿宋_GB2312"/>
          <w:kern w:val="0"/>
          <w:sz w:val="36"/>
          <w:szCs w:val="36"/>
          <w:highlight w:val="none"/>
          <w:lang w:eastAsia="zh-CN"/>
        </w:rPr>
        <w:t>新疆医科大学第五附属医院</w:t>
      </w:r>
    </w:p>
    <w:p w14:paraId="5FB37898">
      <w:pPr>
        <w:spacing w:line="700" w:lineRule="exact"/>
        <w:ind w:firstLine="1080" w:firstLineChars="300"/>
        <w:jc w:val="left"/>
        <w:rPr>
          <w:rFonts w:hint="default" w:eastAsia="仿宋_GB2312"/>
          <w:kern w:val="0"/>
          <w:sz w:val="36"/>
          <w:szCs w:val="36"/>
          <w:highlight w:val="none"/>
          <w:lang w:val="en-US"/>
        </w:rPr>
      </w:pPr>
      <w:r>
        <w:rPr>
          <w:rFonts w:eastAsia="仿宋_GB2312"/>
          <w:kern w:val="0"/>
          <w:sz w:val="36"/>
          <w:szCs w:val="36"/>
          <w:highlight w:val="none"/>
        </w:rPr>
        <w:t>主管部门（公章）：</w:t>
      </w:r>
      <w:r>
        <w:rPr>
          <w:rFonts w:hint="eastAsia" w:eastAsia="仿宋_GB2312"/>
          <w:kern w:val="0"/>
          <w:sz w:val="36"/>
          <w:szCs w:val="36"/>
          <w:highlight w:val="none"/>
          <w:lang w:val="en-US" w:eastAsia="zh-CN"/>
        </w:rPr>
        <w:t>自治区卫生健康委员会</w:t>
      </w:r>
    </w:p>
    <w:p w14:paraId="7F8938C5">
      <w:pPr>
        <w:spacing w:line="700" w:lineRule="exact"/>
        <w:ind w:firstLine="1080" w:firstLineChars="300"/>
        <w:jc w:val="left"/>
        <w:rPr>
          <w:rFonts w:hint="eastAsia" w:eastAsia="仿宋_GB2312"/>
          <w:kern w:val="0"/>
          <w:sz w:val="36"/>
          <w:szCs w:val="36"/>
          <w:highlight w:val="none"/>
          <w:lang w:eastAsia="zh-CN"/>
        </w:rPr>
      </w:pPr>
      <w:r>
        <w:rPr>
          <w:rFonts w:eastAsia="仿宋_GB2312"/>
          <w:kern w:val="0"/>
          <w:sz w:val="36"/>
          <w:szCs w:val="36"/>
          <w:highlight w:val="none"/>
        </w:rPr>
        <w:t>项目负责人（签章）：</w:t>
      </w:r>
      <w:r>
        <w:rPr>
          <w:rFonts w:hint="eastAsia" w:eastAsia="仿宋_GB2312"/>
          <w:kern w:val="0"/>
          <w:sz w:val="36"/>
          <w:szCs w:val="36"/>
          <w:highlight w:val="none"/>
          <w:lang w:eastAsia="zh-CN"/>
        </w:rPr>
        <w:t>李欣阳</w:t>
      </w:r>
    </w:p>
    <w:p w14:paraId="1D54879B">
      <w:pPr>
        <w:spacing w:line="700" w:lineRule="exact"/>
        <w:ind w:firstLine="1080" w:firstLineChars="300"/>
        <w:jc w:val="left"/>
        <w:rPr>
          <w:rFonts w:eastAsia="仿宋_GB2312"/>
          <w:kern w:val="0"/>
          <w:sz w:val="36"/>
          <w:szCs w:val="36"/>
          <w:highlight w:val="none"/>
        </w:rPr>
      </w:pPr>
      <w:r>
        <w:rPr>
          <w:rFonts w:eastAsia="仿宋_GB2312"/>
          <w:kern w:val="0"/>
          <w:sz w:val="36"/>
          <w:szCs w:val="36"/>
          <w:highlight w:val="none"/>
        </w:rPr>
        <w:t>填报时间：</w:t>
      </w:r>
      <w:r>
        <w:rPr>
          <w:rFonts w:hint="eastAsia" w:eastAsia="仿宋_GB2312"/>
          <w:kern w:val="0"/>
          <w:sz w:val="36"/>
          <w:szCs w:val="36"/>
          <w:highlight w:val="none"/>
          <w:lang w:val="en-US" w:eastAsia="zh-CN"/>
        </w:rPr>
        <w:t>2024</w:t>
      </w:r>
      <w:r>
        <w:rPr>
          <w:rFonts w:eastAsia="仿宋_GB2312"/>
          <w:kern w:val="0"/>
          <w:sz w:val="36"/>
          <w:szCs w:val="36"/>
          <w:highlight w:val="none"/>
        </w:rPr>
        <w:t>年</w:t>
      </w:r>
      <w:r>
        <w:rPr>
          <w:rFonts w:hint="eastAsia" w:eastAsia="仿宋_GB2312"/>
          <w:kern w:val="0"/>
          <w:sz w:val="36"/>
          <w:szCs w:val="36"/>
          <w:highlight w:val="none"/>
          <w:lang w:val="en-US" w:eastAsia="zh-CN"/>
        </w:rPr>
        <w:t>3</w:t>
      </w:r>
      <w:r>
        <w:rPr>
          <w:rFonts w:eastAsia="仿宋_GB2312"/>
          <w:kern w:val="0"/>
          <w:sz w:val="36"/>
          <w:szCs w:val="36"/>
          <w:highlight w:val="none"/>
        </w:rPr>
        <w:t>月</w:t>
      </w:r>
      <w:r>
        <w:rPr>
          <w:rFonts w:hint="eastAsia" w:eastAsia="仿宋_GB2312"/>
          <w:kern w:val="0"/>
          <w:sz w:val="36"/>
          <w:szCs w:val="36"/>
          <w:highlight w:val="none"/>
          <w:lang w:val="en-US" w:eastAsia="zh-CN"/>
        </w:rPr>
        <w:t>7</w:t>
      </w:r>
      <w:r>
        <w:rPr>
          <w:rFonts w:eastAsia="仿宋_GB2312"/>
          <w:kern w:val="0"/>
          <w:sz w:val="36"/>
          <w:szCs w:val="36"/>
          <w:highlight w:val="none"/>
        </w:rPr>
        <w:t>日</w:t>
      </w:r>
    </w:p>
    <w:p w14:paraId="10F43B50">
      <w:pPr>
        <w:spacing w:line="540" w:lineRule="exact"/>
        <w:jc w:val="center"/>
        <w:rPr>
          <w:rFonts w:eastAsia="仿宋_GB2312"/>
          <w:kern w:val="0"/>
          <w:sz w:val="30"/>
          <w:szCs w:val="30"/>
          <w:highlight w:val="none"/>
        </w:rPr>
      </w:pPr>
    </w:p>
    <w:p w14:paraId="26A12150">
      <w:pPr>
        <w:spacing w:line="540" w:lineRule="exact"/>
        <w:rPr>
          <w:rStyle w:val="13"/>
          <w:rFonts w:eastAsia="黑体"/>
          <w:b w:val="0"/>
          <w:spacing w:val="-4"/>
          <w:sz w:val="32"/>
          <w:szCs w:val="32"/>
          <w:highlight w:val="none"/>
        </w:rPr>
      </w:pPr>
    </w:p>
    <w:p w14:paraId="4363BC48">
      <w:pPr>
        <w:spacing w:line="560" w:lineRule="exact"/>
        <w:ind w:firstLine="640" w:firstLineChars="200"/>
        <w:rPr>
          <w:rFonts w:eastAsia="黑体"/>
          <w:bCs/>
          <w:sz w:val="32"/>
          <w:szCs w:val="32"/>
          <w:highlight w:val="none"/>
        </w:rPr>
      </w:pPr>
      <w:r>
        <w:rPr>
          <w:rFonts w:eastAsia="黑体"/>
          <w:bCs/>
          <w:sz w:val="32"/>
          <w:szCs w:val="32"/>
          <w:highlight w:val="none"/>
        </w:rPr>
        <w:t>一、基本情况</w:t>
      </w:r>
    </w:p>
    <w:p w14:paraId="10868065">
      <w:pPr>
        <w:spacing w:line="560" w:lineRule="exact"/>
        <w:ind w:firstLine="643" w:firstLineChars="200"/>
        <w:rPr>
          <w:rFonts w:eastAsia="楷体_GB2312"/>
          <w:b/>
          <w:bCs/>
          <w:sz w:val="32"/>
          <w:szCs w:val="32"/>
          <w:highlight w:val="none"/>
        </w:rPr>
      </w:pPr>
      <w:r>
        <w:rPr>
          <w:rFonts w:eastAsia="楷体_GB2312"/>
          <w:b/>
          <w:bCs/>
          <w:sz w:val="32"/>
          <w:szCs w:val="32"/>
          <w:highlight w:val="none"/>
        </w:rPr>
        <w:t>（一）项目概况</w:t>
      </w:r>
    </w:p>
    <w:p w14:paraId="35A89CD0">
      <w:pPr>
        <w:spacing w:line="560" w:lineRule="exact"/>
        <w:ind w:firstLine="643" w:firstLineChars="200"/>
        <w:rPr>
          <w:rFonts w:eastAsia="仿宋_GB2312"/>
          <w:b/>
          <w:bCs/>
          <w:sz w:val="32"/>
          <w:szCs w:val="32"/>
          <w:highlight w:val="none"/>
        </w:rPr>
      </w:pPr>
      <w:r>
        <w:rPr>
          <w:rFonts w:eastAsia="仿宋_GB2312"/>
          <w:b/>
          <w:bCs/>
          <w:sz w:val="32"/>
          <w:szCs w:val="32"/>
          <w:highlight w:val="none"/>
        </w:rPr>
        <w:t>1、项目背景</w:t>
      </w:r>
    </w:p>
    <w:p w14:paraId="5E6942DD">
      <w:pPr>
        <w:pStyle w:val="3"/>
        <w:ind w:firstLine="640" w:firstLineChars="200"/>
        <w:rPr>
          <w:rFonts w:hint="default" w:ascii="Times New Roman" w:hAnsi="Times New Roman" w:eastAsia="仿宋_GB2312" w:cs="Times New Roman"/>
          <w:b w:val="0"/>
          <w:bCs w:val="0"/>
          <w:kern w:val="2"/>
          <w:sz w:val="32"/>
          <w:szCs w:val="32"/>
          <w:highlight w:val="none"/>
          <w:lang w:val="en-US" w:eastAsia="zh-CN" w:bidi="ar-SA"/>
        </w:rPr>
      </w:pPr>
      <w:r>
        <w:rPr>
          <w:rFonts w:hint="eastAsia" w:ascii="Times New Roman" w:hAnsi="Times New Roman" w:eastAsia="仿宋_GB2312" w:cs="Times New Roman"/>
          <w:b w:val="0"/>
          <w:bCs w:val="0"/>
          <w:kern w:val="2"/>
          <w:sz w:val="32"/>
          <w:szCs w:val="32"/>
          <w:highlight w:val="none"/>
          <w:lang w:val="en-US" w:eastAsia="zh-CN" w:bidi="ar-SA"/>
        </w:rPr>
        <w:t>为满足医院医疗卫生技术的不断发展，提供更广泛、更多元的医疗卫生服务，补齐医疗服务短板与提升更舒适、安全的医疗手段，医院拟购置医疗设备，以扩充自身医疗服务硬实力。</w:t>
      </w:r>
    </w:p>
    <w:p w14:paraId="7494C8E3">
      <w:pPr>
        <w:pStyle w:val="2"/>
        <w:numPr>
          <w:ilvl w:val="0"/>
          <w:numId w:val="1"/>
        </w:numPr>
        <w:spacing w:before="0" w:after="0" w:line="560" w:lineRule="exact"/>
        <w:ind w:firstLine="643" w:firstLineChars="200"/>
        <w:jc w:val="both"/>
        <w:rPr>
          <w:rFonts w:ascii="Times New Roman" w:hAnsi="Times New Roman" w:eastAsia="仿宋_GB2312"/>
          <w:kern w:val="2"/>
          <w:highlight w:val="none"/>
        </w:rPr>
      </w:pPr>
      <w:r>
        <w:rPr>
          <w:rFonts w:ascii="Times New Roman" w:hAnsi="Times New Roman" w:eastAsia="仿宋_GB2312"/>
          <w:kern w:val="2"/>
          <w:highlight w:val="none"/>
        </w:rPr>
        <w:t>项目主要内容：</w:t>
      </w:r>
    </w:p>
    <w:p w14:paraId="19A17730">
      <w:pPr>
        <w:spacing w:line="560" w:lineRule="exact"/>
        <w:ind w:firstLine="640" w:firstLineChars="200"/>
        <w:rPr>
          <w:rFonts w:hint="eastAsia" w:ascii="Times New Roman" w:hAnsi="Times New Roman" w:eastAsia="仿宋_GB2312" w:cs="Times New Roman"/>
          <w:sz w:val="32"/>
          <w:szCs w:val="32"/>
          <w:highlight w:val="none"/>
          <w:lang w:eastAsia="zh-CN"/>
        </w:rPr>
      </w:pPr>
      <w:r>
        <w:rPr>
          <w:rFonts w:hint="eastAsia" w:ascii="Times New Roman" w:hAnsi="Times New Roman" w:eastAsia="仿宋_GB2312" w:cs="Times New Roman"/>
          <w:sz w:val="32"/>
          <w:szCs w:val="32"/>
          <w:highlight w:val="none"/>
          <w:lang w:val="en-US" w:eastAsia="zh-CN"/>
        </w:rPr>
        <w:t>项目主要内容</w:t>
      </w:r>
      <w:r>
        <w:rPr>
          <w:rFonts w:hint="eastAsia" w:eastAsia="仿宋_GB2312" w:cs="Times New Roman"/>
          <w:sz w:val="32"/>
          <w:szCs w:val="32"/>
          <w:highlight w:val="none"/>
          <w:lang w:val="en-US" w:eastAsia="zh-CN"/>
        </w:rPr>
        <w:t>：</w:t>
      </w:r>
      <w:r>
        <w:rPr>
          <w:rFonts w:hint="eastAsia" w:ascii="Times New Roman" w:hAnsi="Times New Roman" w:eastAsia="仿宋_GB2312" w:cs="Times New Roman"/>
          <w:sz w:val="32"/>
          <w:szCs w:val="32"/>
          <w:highlight w:val="none"/>
        </w:rPr>
        <w:t>自治区2023年第一批疫情防控补助资金（自治区本级医疗机构重症床位设备配置经费</w:t>
      </w:r>
      <w:r>
        <w:rPr>
          <w:rFonts w:hint="eastAsia" w:eastAsia="仿宋_GB2312" w:cs="Times New Roman"/>
          <w:sz w:val="32"/>
          <w:szCs w:val="32"/>
          <w:highlight w:val="none"/>
          <w:lang w:eastAsia="zh-CN"/>
        </w:rPr>
        <w:t>）。</w:t>
      </w:r>
    </w:p>
    <w:p w14:paraId="7535B87E">
      <w:pPr>
        <w:spacing w:line="560" w:lineRule="exact"/>
        <w:ind w:firstLine="640" w:firstLineChars="200"/>
        <w:rPr>
          <w:rFonts w:ascii="Times New Roman" w:hAnsi="Times New Roman" w:eastAsia="仿宋_GB2312" w:cs="Times New Roman"/>
          <w:sz w:val="32"/>
          <w:szCs w:val="32"/>
          <w:highlight w:val="none"/>
        </w:rPr>
      </w:pPr>
      <w:r>
        <w:rPr>
          <w:rFonts w:ascii="Times New Roman" w:hAnsi="Times New Roman" w:eastAsia="仿宋_GB2312" w:cs="Times New Roman"/>
          <w:sz w:val="32"/>
          <w:szCs w:val="32"/>
          <w:highlight w:val="none"/>
        </w:rPr>
        <w:t>项目实施情况：项目目前已经完成实际</w:t>
      </w:r>
      <w:r>
        <w:rPr>
          <w:rFonts w:eastAsia="仿宋_GB2312"/>
          <w:sz w:val="32"/>
          <w:szCs w:val="32"/>
          <w:highlight w:val="none"/>
        </w:rPr>
        <w:t>设立的目标，项目在实施</w:t>
      </w:r>
      <w:r>
        <w:rPr>
          <w:rFonts w:hint="eastAsia" w:eastAsia="仿宋_GB2312"/>
          <w:sz w:val="32"/>
          <w:szCs w:val="32"/>
          <w:highlight w:val="none"/>
          <w:lang w:val="en-US" w:eastAsia="zh-CN"/>
        </w:rPr>
        <w:t>前期充分论证其必要性与相关需求，在实施</w:t>
      </w:r>
      <w:r>
        <w:rPr>
          <w:rFonts w:eastAsia="仿宋_GB2312"/>
          <w:sz w:val="32"/>
          <w:szCs w:val="32"/>
          <w:highlight w:val="none"/>
        </w:rPr>
        <w:t>过程中严格按照目标设立的各阶段任务进行开展工作，在</w:t>
      </w:r>
      <w:r>
        <w:rPr>
          <w:rFonts w:hint="eastAsia" w:eastAsia="仿宋_GB2312"/>
          <w:sz w:val="32"/>
          <w:szCs w:val="32"/>
          <w:highlight w:val="none"/>
          <w:lang w:val="en-US" w:eastAsia="zh-CN"/>
        </w:rPr>
        <w:t>验收</w:t>
      </w:r>
      <w:r>
        <w:rPr>
          <w:rFonts w:eastAsia="仿宋_GB2312"/>
          <w:sz w:val="32"/>
          <w:szCs w:val="32"/>
          <w:highlight w:val="none"/>
        </w:rPr>
        <w:t>过程中严格把质量关，建立安全防护机制，保证项目实施各阶段安全顺利进行。</w:t>
      </w:r>
    </w:p>
    <w:p w14:paraId="5A9DC738">
      <w:pPr>
        <w:spacing w:line="560" w:lineRule="exact"/>
        <w:ind w:firstLine="643" w:firstLineChars="200"/>
        <w:rPr>
          <w:rFonts w:eastAsia="仿宋_GB2312"/>
          <w:b/>
          <w:bCs/>
          <w:sz w:val="32"/>
          <w:szCs w:val="32"/>
          <w:highlight w:val="none"/>
        </w:rPr>
      </w:pPr>
      <w:r>
        <w:rPr>
          <w:rFonts w:eastAsia="仿宋_GB2312"/>
          <w:b/>
          <w:bCs/>
          <w:sz w:val="32"/>
          <w:szCs w:val="32"/>
          <w:highlight w:val="none"/>
        </w:rPr>
        <w:t>3、资金投入和使用情况</w:t>
      </w:r>
    </w:p>
    <w:p w14:paraId="227C4240">
      <w:pPr>
        <w:shd w:val="clear"/>
        <w:spacing w:line="600" w:lineRule="exact"/>
        <w:ind w:firstLine="640" w:firstLineChars="200"/>
        <w:outlineLvl w:val="0"/>
        <w:rPr>
          <w:rFonts w:hint="default"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（1）资金投入情况</w:t>
      </w:r>
    </w:p>
    <w:p w14:paraId="51B5CD4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该项目年初预算数1560万元，全年预算数1560万元，实际总投入1560万元，该项目资金已全部落实到位，资金来源为财政拨款。</w:t>
      </w:r>
    </w:p>
    <w:p w14:paraId="57453D9D">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（2）资金使用情况</w:t>
      </w:r>
    </w:p>
    <w:p w14:paraId="34E5A3B6">
      <w:pPr>
        <w:spacing w:line="560" w:lineRule="exact"/>
        <w:ind w:firstLine="640" w:firstLineChars="20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该项目年初预算数</w:t>
      </w:r>
      <w:r>
        <w:rPr>
          <w:rFonts w:hint="eastAsia" w:ascii="Times New Roman" w:hAnsi="Times New Roman" w:eastAsia="仿宋_GB2312" w:cs="Times New Roman"/>
          <w:sz w:val="32"/>
          <w:szCs w:val="32"/>
          <w:highlight w:val="none"/>
          <w:lang w:val="en-US" w:eastAsia="zh-CN"/>
        </w:rPr>
        <w:t>1560</w:t>
      </w:r>
      <w:r>
        <w:rPr>
          <w:rFonts w:hint="default" w:ascii="Times New Roman" w:hAnsi="Times New Roman" w:eastAsia="仿宋_GB2312" w:cs="Times New Roman"/>
          <w:sz w:val="32"/>
          <w:szCs w:val="32"/>
          <w:highlight w:val="none"/>
          <w:lang w:val="en-US" w:eastAsia="zh-CN"/>
        </w:rPr>
        <w:t>万元，全年预算数</w:t>
      </w:r>
      <w:r>
        <w:rPr>
          <w:rFonts w:hint="eastAsia" w:ascii="Times New Roman" w:hAnsi="Times New Roman" w:eastAsia="仿宋_GB2312" w:cs="Times New Roman"/>
          <w:sz w:val="32"/>
          <w:szCs w:val="32"/>
          <w:highlight w:val="none"/>
          <w:lang w:val="en-US" w:eastAsia="zh-CN"/>
        </w:rPr>
        <w:t>1560</w:t>
      </w:r>
      <w:r>
        <w:rPr>
          <w:rFonts w:hint="default" w:ascii="Times New Roman" w:hAnsi="Times New Roman" w:eastAsia="仿宋_GB2312" w:cs="Times New Roman"/>
          <w:sz w:val="32"/>
          <w:szCs w:val="32"/>
          <w:highlight w:val="none"/>
          <w:lang w:val="en-US" w:eastAsia="zh-CN"/>
        </w:rPr>
        <w:t>万元</w:t>
      </w:r>
      <w:r>
        <w:rPr>
          <w:rFonts w:hint="eastAsia" w:eastAsia="仿宋_GB2312" w:cs="Times New Roman"/>
          <w:sz w:val="32"/>
          <w:szCs w:val="32"/>
          <w:highlight w:val="none"/>
          <w:lang w:val="en-US" w:eastAsia="zh-CN"/>
        </w:rPr>
        <w:t>，</w:t>
      </w:r>
      <w:bookmarkStart w:id="5" w:name="_GoBack"/>
      <w:bookmarkEnd w:id="5"/>
      <w:r>
        <w:rPr>
          <w:rFonts w:hint="default" w:ascii="Times New Roman" w:hAnsi="Times New Roman" w:eastAsia="仿宋_GB2312" w:cs="Times New Roman"/>
          <w:sz w:val="32"/>
          <w:szCs w:val="32"/>
          <w:highlight w:val="none"/>
          <w:lang w:val="en-US" w:eastAsia="zh-CN"/>
        </w:rPr>
        <w:t>全年执行数</w:t>
      </w:r>
      <w:r>
        <w:rPr>
          <w:rFonts w:hint="eastAsia" w:ascii="Times New Roman" w:hAnsi="Times New Roman" w:eastAsia="仿宋_GB2312" w:cs="Times New Roman"/>
          <w:sz w:val="32"/>
          <w:szCs w:val="32"/>
          <w:highlight w:val="none"/>
          <w:lang w:val="en-US" w:eastAsia="zh-CN"/>
        </w:rPr>
        <w:t>1560</w:t>
      </w:r>
      <w:r>
        <w:rPr>
          <w:rFonts w:hint="default" w:ascii="Times New Roman" w:hAnsi="Times New Roman" w:eastAsia="仿宋_GB2312" w:cs="Times New Roman"/>
          <w:sz w:val="32"/>
          <w:szCs w:val="32"/>
          <w:highlight w:val="none"/>
          <w:lang w:val="en-US" w:eastAsia="zh-CN"/>
        </w:rPr>
        <w:t>万元，预算执行率为</w:t>
      </w:r>
      <w:r>
        <w:rPr>
          <w:rFonts w:hint="eastAsia" w:ascii="Times New Roman" w:hAnsi="Times New Roman" w:eastAsia="仿宋_GB2312" w:cs="Times New Roman"/>
          <w:sz w:val="32"/>
          <w:szCs w:val="32"/>
          <w:highlight w:val="none"/>
          <w:lang w:val="en-US" w:eastAsia="zh-CN"/>
        </w:rPr>
        <w:t>100</w:t>
      </w:r>
      <w:r>
        <w:rPr>
          <w:rFonts w:hint="default" w:ascii="Times New Roman" w:hAnsi="Times New Roman" w:eastAsia="仿宋_GB2312" w:cs="Times New Roman"/>
          <w:sz w:val="32"/>
          <w:szCs w:val="32"/>
          <w:highlight w:val="none"/>
          <w:lang w:val="en-US" w:eastAsia="zh-CN"/>
        </w:rPr>
        <w:t>%，主要用于</w:t>
      </w:r>
      <w:r>
        <w:rPr>
          <w:rFonts w:hint="eastAsia" w:eastAsia="仿宋_GB2312" w:cs="Times New Roman"/>
          <w:sz w:val="32"/>
          <w:szCs w:val="32"/>
          <w:highlight w:val="none"/>
          <w:lang w:val="en-US" w:eastAsia="zh-CN"/>
        </w:rPr>
        <w:t>：项</w:t>
      </w:r>
      <w:r>
        <w:rPr>
          <w:rFonts w:hint="default" w:ascii="Times New Roman" w:hAnsi="Times New Roman" w:eastAsia="仿宋_GB2312" w:cs="Times New Roman"/>
          <w:sz w:val="32"/>
          <w:szCs w:val="32"/>
          <w:highlight w:val="none"/>
          <w:lang w:val="en-US" w:eastAsia="zh-CN"/>
        </w:rPr>
        <w:t>目实施进程中的各项费用。</w:t>
      </w:r>
    </w:p>
    <w:p w14:paraId="4B34A687">
      <w:pPr>
        <w:spacing w:line="560" w:lineRule="exact"/>
        <w:ind w:firstLine="643" w:firstLineChars="200"/>
        <w:rPr>
          <w:rFonts w:eastAsia="楷体_GB2312"/>
          <w:b/>
          <w:bCs/>
          <w:sz w:val="32"/>
          <w:szCs w:val="32"/>
          <w:highlight w:val="none"/>
        </w:rPr>
      </w:pPr>
      <w:r>
        <w:rPr>
          <w:rFonts w:eastAsia="楷体_GB2312"/>
          <w:b/>
          <w:bCs/>
          <w:sz w:val="32"/>
          <w:szCs w:val="32"/>
          <w:highlight w:val="none"/>
        </w:rPr>
        <w:t>（二）项目绩效目标</w:t>
      </w:r>
    </w:p>
    <w:p w14:paraId="134FB2CC">
      <w:pPr>
        <w:spacing w:line="560" w:lineRule="exact"/>
        <w:ind w:firstLine="640" w:firstLineChars="200"/>
        <w:rPr>
          <w:rFonts w:eastAsia="仿宋_GB2312"/>
          <w:sz w:val="32"/>
          <w:szCs w:val="32"/>
          <w:highlight w:val="none"/>
        </w:rPr>
      </w:pPr>
      <w:r>
        <w:rPr>
          <w:rFonts w:eastAsia="仿宋_GB2312"/>
          <w:sz w:val="32"/>
          <w:szCs w:val="32"/>
          <w:highlight w:val="none"/>
        </w:rPr>
        <w:t>1、总体目标</w:t>
      </w:r>
    </w:p>
    <w:p w14:paraId="00067440">
      <w:pPr>
        <w:spacing w:line="560" w:lineRule="exact"/>
        <w:ind w:firstLine="640" w:firstLineChars="200"/>
        <w:rPr>
          <w:rFonts w:ascii="Times New Roman" w:hAnsi="Times New Roman" w:eastAsia="仿宋_GB2312" w:cs="Times New Roman"/>
          <w:sz w:val="32"/>
          <w:szCs w:val="32"/>
          <w:highlight w:val="none"/>
        </w:rPr>
      </w:pPr>
      <w:r>
        <w:rPr>
          <w:rFonts w:hint="eastAsia" w:ascii="Times New Roman" w:hAnsi="Times New Roman" w:eastAsia="仿宋_GB2312" w:cs="Times New Roman"/>
          <w:sz w:val="32"/>
          <w:szCs w:val="32"/>
          <w:highlight w:val="none"/>
          <w:lang w:eastAsia="zh-CN"/>
        </w:rPr>
        <w:t>医院</w:t>
      </w:r>
      <w:r>
        <w:rPr>
          <w:rFonts w:hint="eastAsia" w:ascii="Times New Roman" w:hAnsi="Times New Roman" w:eastAsia="仿宋_GB2312" w:cs="Times New Roman"/>
          <w:sz w:val="32"/>
          <w:szCs w:val="32"/>
          <w:highlight w:val="none"/>
        </w:rPr>
        <w:t>以深化公立医院改革为契机，狠抓核心制度落实，提升内涵质量，持续结构调整，强化内控管理，激励政策向临床一线倾斜，医护人员工作动力明显增强，医疗救治能力逐步提升，将医院事业各项支出不断细化。</w:t>
      </w:r>
    </w:p>
    <w:p w14:paraId="43FF9D08">
      <w:pPr>
        <w:spacing w:line="560" w:lineRule="exact"/>
        <w:ind w:firstLine="640" w:firstLineChars="200"/>
        <w:rPr>
          <w:highlight w:val="none"/>
        </w:rPr>
      </w:pPr>
      <w:r>
        <w:rPr>
          <w:rFonts w:eastAsia="仿宋_GB2312"/>
          <w:sz w:val="32"/>
          <w:szCs w:val="32"/>
          <w:highlight w:val="none"/>
        </w:rPr>
        <w:t>2、阶段性目标</w:t>
      </w:r>
    </w:p>
    <w:p w14:paraId="1CC33C81">
      <w:pPr>
        <w:spacing w:line="560" w:lineRule="exact"/>
        <w:ind w:firstLine="640" w:firstLineChars="200"/>
        <w:rPr>
          <w:rFonts w:eastAsia="仿宋_GB2312"/>
          <w:sz w:val="32"/>
          <w:szCs w:val="32"/>
          <w:highlight w:val="none"/>
        </w:rPr>
      </w:pPr>
      <w:r>
        <w:rPr>
          <w:rFonts w:eastAsia="仿宋_GB2312"/>
          <w:sz w:val="32"/>
          <w:szCs w:val="32"/>
          <w:highlight w:val="none"/>
        </w:rPr>
        <w:t>（1）前期准备：通过制定项目实施方案，经项目负责人审核通过后，有序开展后续工作。</w:t>
      </w:r>
    </w:p>
    <w:p w14:paraId="1175C253">
      <w:pPr>
        <w:spacing w:line="560" w:lineRule="exact"/>
        <w:ind w:firstLine="640" w:firstLineChars="200"/>
        <w:rPr>
          <w:rFonts w:eastAsia="仿宋_GB2312"/>
          <w:sz w:val="32"/>
          <w:szCs w:val="32"/>
          <w:highlight w:val="none"/>
        </w:rPr>
      </w:pPr>
      <w:r>
        <w:rPr>
          <w:rFonts w:eastAsia="仿宋_GB2312"/>
          <w:sz w:val="32"/>
          <w:szCs w:val="32"/>
          <w:highlight w:val="none"/>
        </w:rPr>
        <w:t>（2）组织实施：资金一到位，立即根据项目要求实施项目。项目责任人按照项目实施方案要求逐一进行项目部署安排，提高项目质量及</w:t>
      </w:r>
      <w:r>
        <w:rPr>
          <w:rFonts w:hint="eastAsia" w:eastAsia="仿宋_GB2312"/>
          <w:sz w:val="32"/>
          <w:szCs w:val="32"/>
          <w:highlight w:val="none"/>
          <w:lang w:eastAsia="zh-CN"/>
        </w:rPr>
        <w:t>效率</w:t>
      </w:r>
      <w:r>
        <w:rPr>
          <w:rFonts w:eastAsia="仿宋_GB2312"/>
          <w:sz w:val="32"/>
          <w:szCs w:val="32"/>
          <w:highlight w:val="none"/>
        </w:rPr>
        <w:t>。</w:t>
      </w:r>
    </w:p>
    <w:p w14:paraId="18ED6F28">
      <w:pPr>
        <w:spacing w:line="560" w:lineRule="exact"/>
        <w:ind w:firstLine="640" w:firstLineChars="200"/>
        <w:rPr>
          <w:rFonts w:eastAsia="黑体"/>
          <w:sz w:val="32"/>
          <w:szCs w:val="32"/>
          <w:highlight w:val="none"/>
        </w:rPr>
      </w:pPr>
      <w:r>
        <w:rPr>
          <w:rFonts w:eastAsia="黑体"/>
          <w:sz w:val="32"/>
          <w:szCs w:val="32"/>
          <w:highlight w:val="none"/>
        </w:rPr>
        <w:t>二、绩效评价工作开展情况</w:t>
      </w:r>
    </w:p>
    <w:p w14:paraId="7E1A5ECB">
      <w:pPr>
        <w:spacing w:line="560" w:lineRule="exact"/>
        <w:ind w:firstLine="643" w:firstLineChars="200"/>
        <w:rPr>
          <w:rFonts w:eastAsia="楷体_GB2312"/>
          <w:b/>
          <w:bCs/>
          <w:sz w:val="32"/>
          <w:szCs w:val="32"/>
          <w:highlight w:val="none"/>
        </w:rPr>
      </w:pPr>
      <w:r>
        <w:rPr>
          <w:rFonts w:eastAsia="楷体_GB2312"/>
          <w:b/>
          <w:bCs/>
          <w:sz w:val="32"/>
          <w:szCs w:val="32"/>
          <w:highlight w:val="none"/>
        </w:rPr>
        <w:t>（一）绩效评价目的、对象和范围</w:t>
      </w:r>
    </w:p>
    <w:p w14:paraId="64DF01B9">
      <w:pPr>
        <w:pStyle w:val="16"/>
        <w:spacing w:line="560" w:lineRule="exact"/>
        <w:ind w:firstLine="640" w:firstLineChars="200"/>
        <w:rPr>
          <w:rFonts w:eastAsia="仿宋_GB2312"/>
          <w:sz w:val="32"/>
          <w:szCs w:val="32"/>
          <w:highlight w:val="none"/>
        </w:rPr>
      </w:pPr>
      <w:r>
        <w:rPr>
          <w:rFonts w:eastAsia="仿宋_GB2312"/>
          <w:sz w:val="32"/>
          <w:szCs w:val="32"/>
          <w:highlight w:val="none"/>
        </w:rPr>
        <w:t>通过开展有效的财政支出绩效评价管理，</w:t>
      </w:r>
      <w:r>
        <w:rPr>
          <w:rFonts w:hint="eastAsia" w:eastAsia="仿宋_GB2312"/>
          <w:kern w:val="2"/>
          <w:sz w:val="32"/>
          <w:szCs w:val="32"/>
          <w:highlight w:val="none"/>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w:t>
      </w:r>
      <w:r>
        <w:rPr>
          <w:rFonts w:eastAsia="仿宋_GB2312"/>
          <w:kern w:val="2"/>
          <w:sz w:val="32"/>
          <w:szCs w:val="32"/>
          <w:highlight w:val="none"/>
        </w:rPr>
        <w:t>改进预算管理、控制节约成本，</w:t>
      </w:r>
      <w:r>
        <w:rPr>
          <w:rFonts w:hint="eastAsia" w:eastAsia="仿宋_GB2312"/>
          <w:kern w:val="2"/>
          <w:sz w:val="32"/>
          <w:szCs w:val="32"/>
          <w:highlight w:val="none"/>
        </w:rPr>
        <w:t>优化资源配置、</w:t>
      </w:r>
      <w:r>
        <w:rPr>
          <w:rFonts w:eastAsia="仿宋_GB2312"/>
          <w:kern w:val="2"/>
          <w:sz w:val="32"/>
          <w:szCs w:val="32"/>
          <w:highlight w:val="none"/>
        </w:rPr>
        <w:t>提高预算资金使用效益的目的。</w:t>
      </w:r>
    </w:p>
    <w:p w14:paraId="70158A9F">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2、绩效评价的对象</w:t>
      </w:r>
    </w:p>
    <w:p w14:paraId="73ABD13B">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自治区2023年第一批疫情防控补助资金（自治区本级医疗机构重症床位设备配置经费）项目</w:t>
      </w:r>
      <w:r>
        <w:rPr>
          <w:rFonts w:hint="eastAsia" w:ascii="仿宋_GB2312" w:hAnsi="仿宋_GB2312" w:eastAsia="仿宋_GB2312" w:cs="仿宋_GB2312"/>
          <w:sz w:val="32"/>
          <w:szCs w:val="32"/>
          <w:highlight w:val="none"/>
        </w:rPr>
        <w:t>所包含的全部项目内容。</w:t>
      </w:r>
    </w:p>
    <w:p w14:paraId="738AE701">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3、绩效评价的范围</w:t>
      </w:r>
    </w:p>
    <w:p w14:paraId="7D3EDF95">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eastAsia="zh-CN"/>
        </w:rPr>
        <w:t>自治区2023年第一批疫情防控补助资金（自治区本级医疗机构重症床位设备配置经费）项目</w:t>
      </w:r>
      <w:r>
        <w:rPr>
          <w:rFonts w:hint="eastAsia" w:ascii="仿宋_GB2312" w:hAnsi="仿宋_GB2312" w:eastAsia="仿宋_GB2312" w:cs="仿宋_GB2312"/>
          <w:sz w:val="32"/>
          <w:szCs w:val="32"/>
          <w:highlight w:val="none"/>
        </w:rPr>
        <w:t>的决策、过程、产出、效益等。</w:t>
      </w:r>
    </w:p>
    <w:p w14:paraId="772ACD2C">
      <w:pPr>
        <w:spacing w:line="560" w:lineRule="exact"/>
        <w:ind w:firstLine="643" w:firstLineChars="200"/>
        <w:rPr>
          <w:highlight w:val="none"/>
        </w:rPr>
      </w:pPr>
      <w:r>
        <w:rPr>
          <w:rFonts w:eastAsia="楷体_GB2312"/>
          <w:b/>
          <w:bCs/>
          <w:sz w:val="32"/>
          <w:szCs w:val="32"/>
          <w:highlight w:val="none"/>
        </w:rPr>
        <w:t>（二）绩效评价原则、评价指标体系（详情见表1）、评价方法、评价标准。</w:t>
      </w:r>
    </w:p>
    <w:p w14:paraId="1E530F57">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1、绩效评价原则</w:t>
      </w:r>
    </w:p>
    <w:p w14:paraId="1D90DA4D">
      <w:pPr>
        <w:spacing w:line="560" w:lineRule="exact"/>
        <w:ind w:firstLine="640" w:firstLineChars="200"/>
        <w:rPr>
          <w:rFonts w:eastAsia="仿宋_GB2312"/>
          <w:color w:val="000000"/>
          <w:sz w:val="32"/>
          <w:szCs w:val="32"/>
          <w:highlight w:val="none"/>
        </w:rPr>
      </w:pPr>
      <w:r>
        <w:rPr>
          <w:rFonts w:eastAsia="仿宋_GB2312"/>
          <w:color w:val="000000"/>
          <w:sz w:val="32"/>
          <w:szCs w:val="32"/>
          <w:highlight w:val="none"/>
        </w:rPr>
        <w:t>本次项目绩效评价遵循以下基本原则：</w:t>
      </w:r>
    </w:p>
    <w:p w14:paraId="2C458C4B">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（1）科学公正。绩效评价应当运用科学合理的方法，按照规范的程序，对项目绩效进行客观、公正</w:t>
      </w:r>
      <w:r>
        <w:rPr>
          <w:rFonts w:hint="eastAsia" w:ascii="Times New Roman" w:hAnsi="Times New Roman" w:eastAsia="仿宋_GB2312"/>
          <w:b w:val="0"/>
          <w:bCs w:val="0"/>
          <w:highlight w:val="none"/>
          <w:lang w:eastAsia="zh-CN"/>
        </w:rPr>
        <w:t>的</w:t>
      </w:r>
      <w:r>
        <w:rPr>
          <w:rFonts w:ascii="Times New Roman" w:hAnsi="Times New Roman" w:eastAsia="仿宋_GB2312"/>
          <w:b w:val="0"/>
          <w:bCs w:val="0"/>
          <w:highlight w:val="none"/>
        </w:rPr>
        <w:t>反映。</w:t>
      </w:r>
    </w:p>
    <w:p w14:paraId="7DBE56DC">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（2）统筹兼顾。单位自评、部门评价和财政评价应职责明确，各有侧重，相互衔接。单位自评应由项目单位自主实施，即“谁支出、谁自评”。部门评价和财政评价应在单位自评的基础上开展。</w:t>
      </w:r>
    </w:p>
    <w:p w14:paraId="7E4980B9">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（3）激励约束。绩效评价结果应与预算安排、政策调整、改进管理实质性挂钩，体现奖优罚劣和激励相容导向，有效要安排、低效要压减、无效要问责。</w:t>
      </w:r>
    </w:p>
    <w:p w14:paraId="2E7BF006">
      <w:pPr>
        <w:pStyle w:val="2"/>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（4）公开透明。绩效评价结果应依法依规公开，并自觉接受社会监督。</w:t>
      </w:r>
    </w:p>
    <w:p w14:paraId="2F44E4EF">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2、评价指标体系</w:t>
      </w:r>
    </w:p>
    <w:p w14:paraId="0E49353C">
      <w:pPr>
        <w:spacing w:line="560" w:lineRule="exact"/>
        <w:ind w:firstLine="708" w:firstLineChars="200"/>
        <w:rPr>
          <w:color w:val="000000"/>
          <w:spacing w:val="17"/>
          <w:sz w:val="32"/>
          <w:szCs w:val="32"/>
          <w:highlight w:val="none"/>
        </w:rPr>
      </w:pPr>
      <w:r>
        <w:rPr>
          <w:rFonts w:eastAsia="仿宋_GB2312"/>
          <w:color w:val="000000"/>
          <w:spacing w:val="17"/>
          <w:sz w:val="32"/>
          <w:szCs w:val="32"/>
          <w:highlight w:val="none"/>
        </w:rPr>
        <w:t>绩效评价框架是开展绩效评价的核心。绩效评价框架包括评价准则、关键评价问题、评价指标、数据来源、数据收集方法等。指标体系建立过程如下：</w:t>
      </w:r>
    </w:p>
    <w:p w14:paraId="0C7E84BD">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（1）确定评价指标</w:t>
      </w:r>
    </w:p>
    <w:p w14:paraId="1F814CFD">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采用层次分析法，建立评价指标体系。绩效评价将指标分为项目决策指标、项目过程指标、项目产出指标、项目效益指标四个维度，最终形成一个由多个相互联系的指标组成的多层次指标体系。</w:t>
      </w:r>
    </w:p>
    <w:p w14:paraId="7F156FFF">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（2）确定权重</w:t>
      </w:r>
    </w:p>
    <w:p w14:paraId="2AABABDE">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确定各个指标相对于项目总体绩效的权重分值。在绩效评价指标体系中，项目决策权重为20分，项目过程权重为20分，项目产出权重为40分，项目效益权重为20分。</w:t>
      </w:r>
    </w:p>
    <w:p w14:paraId="6FB100A5">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（3）确定指标标准值</w:t>
      </w:r>
    </w:p>
    <w:p w14:paraId="0D36A6B0">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指标标准值是绩效评价指标的尺度，既要反映同类项目的先进水平，又要符合项目的实际绩效水平。具体采用计划标准等确定此次绩效评价指标标准值。</w:t>
      </w:r>
    </w:p>
    <w:p w14:paraId="5E41B464">
      <w:pPr>
        <w:pStyle w:val="2"/>
        <w:spacing w:before="0" w:after="0" w:line="560" w:lineRule="exact"/>
        <w:ind w:firstLine="708" w:firstLineChars="200"/>
        <w:jc w:val="both"/>
        <w:rPr>
          <w:rFonts w:ascii="Times New Roman" w:hAnsi="Times New Roman" w:eastAsia="仿宋_GB2312"/>
          <w:b w:val="0"/>
          <w:bCs w:val="0"/>
          <w:color w:val="000000"/>
          <w:spacing w:val="17"/>
          <w:kern w:val="2"/>
          <w:highlight w:val="none"/>
        </w:rPr>
      </w:pPr>
      <w:r>
        <w:rPr>
          <w:rFonts w:ascii="Times New Roman" w:hAnsi="Times New Roman" w:eastAsia="仿宋_GB2312"/>
          <w:b w:val="0"/>
          <w:bCs w:val="0"/>
          <w:color w:val="000000"/>
          <w:spacing w:val="17"/>
          <w:kern w:val="2"/>
          <w:highlight w:val="none"/>
        </w:rPr>
        <w:t>绩效评价总分值100分，根据综合评分结果，评价计分90分</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100分（含90分）对应的评分结果级别为优，80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90分（含80分）对应的评分结果级别为良，60</w:t>
      </w:r>
      <w:r>
        <w:rPr>
          <w:rFonts w:hint="eastAsia" w:ascii="Times New Roman" w:hAnsi="Times New Roman" w:eastAsia="仿宋_GB2312"/>
          <w:b w:val="0"/>
          <w:bCs w:val="0"/>
          <w:color w:val="000000"/>
          <w:spacing w:val="17"/>
          <w:kern w:val="2"/>
          <w:highlight w:val="none"/>
          <w:lang w:eastAsia="zh-CN"/>
        </w:rPr>
        <w:t>—</w:t>
      </w:r>
      <w:r>
        <w:rPr>
          <w:rFonts w:ascii="Times New Roman" w:hAnsi="Times New Roman" w:eastAsia="仿宋_GB2312"/>
          <w:b w:val="0"/>
          <w:bCs w:val="0"/>
          <w:color w:val="000000"/>
          <w:spacing w:val="17"/>
          <w:kern w:val="2"/>
          <w:highlight w:val="none"/>
        </w:rPr>
        <w:t>80分（含60分）对应的评分结果级别为中，60分以下对应的评分结果级别为差。</w:t>
      </w:r>
    </w:p>
    <w:p w14:paraId="295931E1">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highlight w:val="none"/>
        </w:rPr>
      </w:pPr>
      <w:r>
        <w:rPr>
          <w:rFonts w:ascii="Times New Roman" w:hAnsi="Times New Roman" w:eastAsia="仿宋_GB2312"/>
          <w:b w:val="0"/>
          <w:bCs w:val="0"/>
          <w:color w:val="000000"/>
          <w:spacing w:val="17"/>
          <w:highlight w:val="none"/>
        </w:rPr>
        <w:t>具体评价指标体系详情见附件1</w:t>
      </w:r>
    </w:p>
    <w:p w14:paraId="3694ECBD">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3、绩效评价方法</w:t>
      </w:r>
    </w:p>
    <w:p w14:paraId="0492755E">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绩效评价从项目决策、项目过程、项目产出、项目效益四个维度进行评价。评价对象为项目目标实施情况，  评价核心为资金的支出完成情况和项目的产出效益。</w:t>
      </w:r>
    </w:p>
    <w:p w14:paraId="5E79A4F4">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本次评价指标中，既有定性指标又有定量指标，各类指标因考核内容不同和客观标准不同存在较大差异，因此核定具体指标时采用了不同方法，具体评价方法如下：</w:t>
      </w:r>
    </w:p>
    <w:p w14:paraId="1F318854">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（1）比较法</w:t>
      </w:r>
    </w:p>
    <w:p w14:paraId="6552C172">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通过对绩效目标与实施效果、历史与当期情况，综合分析绩效目标实现程度。对</w:t>
      </w:r>
      <w:r>
        <w:rPr>
          <w:rFonts w:eastAsia="仿宋_GB2312"/>
          <w:sz w:val="32"/>
          <w:szCs w:val="32"/>
          <w:highlight w:val="none"/>
        </w:rPr>
        <w:t>项目</w:t>
      </w:r>
      <w:r>
        <w:rPr>
          <w:rFonts w:eastAsia="仿宋_GB2312"/>
          <w:color w:val="000000"/>
          <w:spacing w:val="17"/>
          <w:sz w:val="32"/>
          <w:szCs w:val="32"/>
          <w:highlight w:val="none"/>
        </w:rPr>
        <w:t>最终验收情况与年度绩效目标对比、预算资金执行情况等相关因素进行比较。</w:t>
      </w:r>
    </w:p>
    <w:p w14:paraId="126357FF">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（2）因素分析法</w:t>
      </w:r>
    </w:p>
    <w:p w14:paraId="557E73EF">
      <w:pPr>
        <w:spacing w:line="560" w:lineRule="exact"/>
        <w:ind w:firstLine="708" w:firstLineChars="200"/>
        <w:rPr>
          <w:rFonts w:eastAsia="仿宋_GB2312"/>
          <w:color w:val="000000"/>
          <w:spacing w:val="17"/>
          <w:sz w:val="32"/>
          <w:szCs w:val="32"/>
          <w:highlight w:val="none"/>
        </w:rPr>
      </w:pPr>
      <w:r>
        <w:rPr>
          <w:rFonts w:eastAsia="仿宋_GB2312"/>
          <w:color w:val="000000"/>
          <w:spacing w:val="17"/>
          <w:sz w:val="32"/>
          <w:szCs w:val="32"/>
          <w:highlight w:val="none"/>
        </w:rPr>
        <w:t>通过综合分析影响绩效目标实现、实施效果的内外因素，评价绩效目标实现程度。通过对</w:t>
      </w:r>
      <w:r>
        <w:rPr>
          <w:rFonts w:eastAsia="仿宋_GB2312"/>
          <w:sz w:val="32"/>
          <w:szCs w:val="32"/>
          <w:highlight w:val="none"/>
        </w:rPr>
        <w:t>项目</w:t>
      </w:r>
      <w:r>
        <w:rPr>
          <w:rFonts w:eastAsia="仿宋_GB2312"/>
          <w:color w:val="000000"/>
          <w:spacing w:val="17"/>
          <w:sz w:val="32"/>
          <w:szCs w:val="32"/>
          <w:highlight w:val="none"/>
        </w:rPr>
        <w:t>的开展情况、项目产出数量、成本控制、资金拨付文件及自评报告等相关资料的收集和审核，综合分析各因素对绩效目标实现的影响。</w:t>
      </w:r>
    </w:p>
    <w:p w14:paraId="303F782A">
      <w:pPr>
        <w:pStyle w:val="2"/>
        <w:widowControl w:val="0"/>
        <w:spacing w:before="0" w:after="0" w:line="560" w:lineRule="exact"/>
        <w:ind w:firstLine="640" w:firstLineChars="200"/>
        <w:jc w:val="both"/>
        <w:outlineLvl w:val="9"/>
        <w:rPr>
          <w:rFonts w:ascii="Times New Roman" w:hAnsi="Times New Roman" w:eastAsia="仿宋_GB2312"/>
          <w:b w:val="0"/>
          <w:bCs w:val="0"/>
          <w:highlight w:val="none"/>
        </w:rPr>
      </w:pPr>
      <w:r>
        <w:rPr>
          <w:rFonts w:ascii="Times New Roman" w:hAnsi="Times New Roman" w:eastAsia="仿宋_GB2312"/>
          <w:b w:val="0"/>
          <w:bCs w:val="0"/>
          <w:highlight w:val="none"/>
        </w:rPr>
        <w:t>4、评价标准</w:t>
      </w:r>
    </w:p>
    <w:p w14:paraId="2D7623A4">
      <w:pPr>
        <w:spacing w:line="560" w:lineRule="exact"/>
        <w:ind w:firstLine="708" w:firstLineChars="200"/>
        <w:rPr>
          <w:rFonts w:ascii="Times New Roman" w:hAnsi="Times New Roman" w:eastAsia="仿宋_GB2312" w:cs="Times New Roman"/>
          <w:color w:val="000000"/>
          <w:spacing w:val="17"/>
          <w:sz w:val="32"/>
          <w:szCs w:val="32"/>
          <w:highlight w:val="none"/>
        </w:rPr>
      </w:pPr>
      <w:r>
        <w:rPr>
          <w:rFonts w:hint="eastAsia" w:ascii="Times New Roman" w:hAnsi="Times New Roman" w:eastAsia="仿宋_GB2312" w:cs="Times New Roman"/>
          <w:color w:val="000000"/>
          <w:spacing w:val="17"/>
          <w:sz w:val="32"/>
          <w:szCs w:val="32"/>
          <w:highlight w:val="none"/>
        </w:rPr>
        <w:t>绩效评价标准通常包括计划标准、行业标准、历史标准等，用于对绩效指标完成情况进行比较、分析、评价。本次评价主要采用了计划标准和行业标准。</w:t>
      </w:r>
    </w:p>
    <w:p w14:paraId="44064764">
      <w:pPr>
        <w:spacing w:line="560" w:lineRule="exact"/>
        <w:ind w:firstLine="708" w:firstLineChars="200"/>
        <w:rPr>
          <w:rFonts w:ascii="Times New Roman" w:hAnsi="Times New Roman" w:eastAsia="仿宋_GB2312" w:cs="Times New Roman"/>
          <w:color w:val="000000"/>
          <w:spacing w:val="17"/>
          <w:sz w:val="32"/>
          <w:szCs w:val="32"/>
          <w:highlight w:val="none"/>
        </w:rPr>
      </w:pPr>
      <w:bookmarkStart w:id="0" w:name="_Toc31464"/>
      <w:bookmarkStart w:id="1" w:name="_Toc17882"/>
      <w:r>
        <w:rPr>
          <w:rFonts w:hint="eastAsia" w:ascii="Times New Roman" w:hAnsi="Times New Roman" w:eastAsia="仿宋_GB2312" w:cs="Times New Roman"/>
          <w:color w:val="000000"/>
          <w:spacing w:val="17"/>
          <w:sz w:val="32"/>
          <w:szCs w:val="32"/>
          <w:highlight w:val="none"/>
        </w:rPr>
        <w:t>计划标准：指以预先制定的目标、计划、预算、定额等作为评价标准。</w:t>
      </w:r>
      <w:bookmarkEnd w:id="0"/>
      <w:bookmarkEnd w:id="1"/>
    </w:p>
    <w:p w14:paraId="1952CBE2">
      <w:pPr>
        <w:spacing w:line="560" w:lineRule="exact"/>
        <w:ind w:firstLine="708" w:firstLineChars="200"/>
        <w:rPr>
          <w:rFonts w:ascii="Times New Roman" w:hAnsi="Times New Roman" w:eastAsia="仿宋_GB2312" w:cs="Times New Roman"/>
          <w:color w:val="000000"/>
          <w:spacing w:val="17"/>
          <w:sz w:val="32"/>
          <w:szCs w:val="32"/>
          <w:highlight w:val="none"/>
        </w:rPr>
      </w:pPr>
      <w:bookmarkStart w:id="2" w:name="_Toc2318"/>
      <w:bookmarkStart w:id="3" w:name="_Toc5633"/>
      <w:r>
        <w:rPr>
          <w:rFonts w:hint="eastAsia" w:ascii="Times New Roman" w:hAnsi="Times New Roman" w:eastAsia="仿宋_GB2312" w:cs="Times New Roman"/>
          <w:color w:val="000000"/>
          <w:spacing w:val="17"/>
          <w:sz w:val="32"/>
          <w:szCs w:val="32"/>
          <w:highlight w:val="none"/>
        </w:rPr>
        <w:t>行业标准：指参照国家公布的行业指标数据制定的评价标准。</w:t>
      </w:r>
      <w:bookmarkEnd w:id="2"/>
      <w:bookmarkEnd w:id="3"/>
    </w:p>
    <w:p w14:paraId="300A7B24">
      <w:pPr>
        <w:pStyle w:val="2"/>
        <w:numPr>
          <w:ilvl w:val="0"/>
          <w:numId w:val="2"/>
        </w:numPr>
        <w:spacing w:before="0" w:after="0" w:line="560" w:lineRule="exact"/>
        <w:ind w:firstLine="711" w:firstLineChars="200"/>
        <w:jc w:val="both"/>
        <w:rPr>
          <w:rFonts w:ascii="楷体" w:hAnsi="楷体" w:eastAsia="楷体" w:cs="楷体"/>
          <w:color w:val="000000"/>
          <w:spacing w:val="17"/>
          <w:highlight w:val="none"/>
        </w:rPr>
      </w:pPr>
      <w:r>
        <w:rPr>
          <w:rFonts w:hint="eastAsia" w:ascii="楷体" w:hAnsi="楷体" w:eastAsia="楷体" w:cs="楷体"/>
          <w:color w:val="000000"/>
          <w:spacing w:val="17"/>
          <w:highlight w:val="none"/>
        </w:rPr>
        <w:t>绩效评价工作过程</w:t>
      </w:r>
    </w:p>
    <w:p w14:paraId="06F73677">
      <w:pPr>
        <w:numPr>
          <w:ilvl w:val="0"/>
          <w:numId w:val="3"/>
        </w:numPr>
        <w:spacing w:line="560" w:lineRule="exact"/>
        <w:ind w:firstLine="640" w:firstLineChars="200"/>
        <w:rPr>
          <w:rFonts w:eastAsia="仿宋_GB2312"/>
          <w:bCs/>
          <w:sz w:val="32"/>
          <w:szCs w:val="32"/>
          <w:highlight w:val="none"/>
        </w:rPr>
      </w:pPr>
      <w:r>
        <w:rPr>
          <w:rFonts w:hint="eastAsia" w:eastAsia="仿宋_GB2312"/>
          <w:bCs/>
          <w:sz w:val="32"/>
          <w:szCs w:val="32"/>
          <w:highlight w:val="none"/>
        </w:rPr>
        <w:t>前期准备。首先成立评价工作组，开展前期调研；其次明确项目绩效目标，设计绩效评价指标体系并确定绩效评价方法；接着确定现场和非现场评价范围，设计资料清单；最后制定评价实施方案并进行论证。</w:t>
      </w:r>
    </w:p>
    <w:p w14:paraId="1266296C">
      <w:pPr>
        <w:numPr>
          <w:ilvl w:val="0"/>
          <w:numId w:val="3"/>
        </w:numPr>
        <w:spacing w:line="560" w:lineRule="exact"/>
        <w:ind w:firstLine="640" w:firstLineChars="200"/>
        <w:rPr>
          <w:rFonts w:eastAsia="仿宋_GB2312"/>
          <w:bCs/>
          <w:sz w:val="32"/>
          <w:szCs w:val="32"/>
          <w:highlight w:val="none"/>
        </w:rPr>
      </w:pPr>
      <w:r>
        <w:rPr>
          <w:rFonts w:hint="eastAsia" w:eastAsia="仿宋_GB2312"/>
          <w:bCs/>
          <w:sz w:val="32"/>
          <w:szCs w:val="32"/>
          <w:highlight w:val="none"/>
        </w:rPr>
        <w:t>组织实施。制定绩效评价工作方案，具体包括项目概况、评价思路、方法手段、组织实施、进度安排等。收集项目立项依据、相关会议纪要、实施方案、财政资金分配方案、支付管理情况等相关评价资料并进行梳理。</w:t>
      </w:r>
    </w:p>
    <w:p w14:paraId="101B921C">
      <w:pPr>
        <w:numPr>
          <w:ilvl w:val="0"/>
          <w:numId w:val="3"/>
        </w:numPr>
        <w:spacing w:line="560" w:lineRule="exact"/>
        <w:ind w:firstLine="640" w:firstLineChars="200"/>
        <w:rPr>
          <w:sz w:val="32"/>
          <w:szCs w:val="32"/>
          <w:highlight w:val="none"/>
        </w:rPr>
      </w:pPr>
      <w:r>
        <w:rPr>
          <w:rFonts w:hint="eastAsia" w:eastAsia="仿宋_GB2312"/>
          <w:bCs/>
          <w:sz w:val="32"/>
          <w:szCs w:val="32"/>
          <w:highlight w:val="none"/>
        </w:rPr>
        <w:t>分析评价。根据收集梳理的资料围绕项目立项、资金落实、业务管理、财务管理、项目产出、项目效益等内容，对照已确定的绩效评价指标进行详细全面的分析评价，逐项打分并形成绩效评价最终结果。</w:t>
      </w:r>
    </w:p>
    <w:p w14:paraId="4D7687B0">
      <w:pPr>
        <w:numPr>
          <w:ilvl w:val="0"/>
          <w:numId w:val="4"/>
        </w:numPr>
        <w:spacing w:line="560" w:lineRule="exact"/>
        <w:ind w:firstLine="640" w:firstLineChars="200"/>
        <w:rPr>
          <w:rFonts w:eastAsia="黑体"/>
          <w:sz w:val="32"/>
          <w:szCs w:val="32"/>
          <w:highlight w:val="none"/>
        </w:rPr>
      </w:pPr>
      <w:r>
        <w:rPr>
          <w:rFonts w:eastAsia="黑体"/>
          <w:sz w:val="32"/>
          <w:szCs w:val="32"/>
          <w:highlight w:val="none"/>
        </w:rPr>
        <w:t>综合评价情况及评价结论（附相关评分表）</w:t>
      </w:r>
    </w:p>
    <w:p w14:paraId="3F96416E">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highlight w:val="none"/>
          <w:lang w:val="en-US" w:eastAsia="zh-CN"/>
        </w:rPr>
      </w:pPr>
      <w:r>
        <w:rPr>
          <w:rFonts w:hint="eastAsia" w:ascii="Times New Roman" w:hAnsi="Times New Roman" w:eastAsia="楷体_GB2312"/>
          <w:highlight w:val="none"/>
          <w:lang w:eastAsia="zh-CN"/>
        </w:rPr>
        <w:t>（</w:t>
      </w:r>
      <w:r>
        <w:rPr>
          <w:rFonts w:hint="eastAsia" w:ascii="Times New Roman" w:hAnsi="Times New Roman" w:eastAsia="楷体_GB2312"/>
          <w:highlight w:val="none"/>
          <w:lang w:val="en-US" w:eastAsia="zh-CN"/>
        </w:rPr>
        <w:t>一</w:t>
      </w:r>
      <w:r>
        <w:rPr>
          <w:rFonts w:hint="eastAsia" w:ascii="Times New Roman" w:hAnsi="Times New Roman" w:eastAsia="楷体_GB2312"/>
          <w:highlight w:val="none"/>
          <w:lang w:eastAsia="zh-CN"/>
        </w:rPr>
        <w:t>）</w:t>
      </w:r>
      <w:r>
        <w:rPr>
          <w:rFonts w:hint="eastAsia" w:ascii="Times New Roman" w:hAnsi="Times New Roman" w:eastAsia="楷体_GB2312"/>
          <w:highlight w:val="none"/>
          <w:lang w:val="en-US" w:eastAsia="zh-CN"/>
        </w:rPr>
        <w:t>评价情况</w:t>
      </w:r>
    </w:p>
    <w:p w14:paraId="4EE2D0F8">
      <w:pPr>
        <w:shd w:val="clear"/>
        <w:spacing w:line="600" w:lineRule="exact"/>
        <w:ind w:firstLine="640" w:firstLineChars="200"/>
        <w:outlineLvl w:val="0"/>
        <w:rPr>
          <w:rFonts w:hint="default" w:ascii="Times New Roman" w:hAnsi="Times New Roman" w:eastAsia="仿宋_GB2312" w:cs="Times New Roman"/>
          <w:b w:val="0"/>
          <w:bCs w:val="0"/>
          <w:kern w:val="28"/>
          <w:sz w:val="32"/>
          <w:szCs w:val="32"/>
          <w:highlight w:val="none"/>
          <w:lang w:val="en-US" w:eastAsia="zh-CN" w:bidi="ar-SA"/>
        </w:rPr>
      </w:pPr>
      <w:r>
        <w:rPr>
          <w:rFonts w:hint="eastAsia" w:ascii="Times New Roman" w:hAnsi="Times New Roman" w:eastAsia="仿宋_GB2312" w:cs="Times New Roman"/>
          <w:b w:val="0"/>
          <w:bCs w:val="0"/>
          <w:kern w:val="28"/>
          <w:sz w:val="32"/>
          <w:szCs w:val="32"/>
          <w:highlight w:val="none"/>
          <w:lang w:val="en-US" w:eastAsia="zh-CN" w:bidi="ar-SA"/>
        </w:rPr>
        <w:t>项目总体组织规范，在项目实施过</w:t>
      </w:r>
      <w:r>
        <w:rPr>
          <w:rFonts w:hint="eastAsia" w:eastAsia="仿宋_GB2312" w:cs="Times New Roman"/>
          <w:b w:val="0"/>
          <w:bCs w:val="0"/>
          <w:kern w:val="28"/>
          <w:sz w:val="32"/>
          <w:szCs w:val="32"/>
          <w:highlight w:val="none"/>
          <w:lang w:val="en-US" w:eastAsia="zh-CN" w:bidi="ar-SA"/>
        </w:rPr>
        <w:t>程中</w:t>
      </w:r>
      <w:r>
        <w:rPr>
          <w:rFonts w:hint="eastAsia" w:ascii="Times New Roman" w:hAnsi="Times New Roman" w:eastAsia="仿宋_GB2312" w:cs="Times New Roman"/>
          <w:b w:val="0"/>
          <w:bCs w:val="0"/>
          <w:kern w:val="28"/>
          <w:sz w:val="32"/>
          <w:szCs w:val="32"/>
          <w:highlight w:val="none"/>
          <w:lang w:val="en-US" w:eastAsia="zh-CN" w:bidi="ar-SA"/>
        </w:rPr>
        <w:t>做到认真履职，监督到位。按照相关制度的要求，项目负责人对项目绩效监控执行情况进行跟踪监督，有效完成了本项目的工作目标，确保资金使用安全和最大效益</w:t>
      </w:r>
      <w:r>
        <w:rPr>
          <w:rFonts w:hint="eastAsia" w:eastAsia="仿宋_GB2312" w:cs="Times New Roman"/>
          <w:b w:val="0"/>
          <w:bCs w:val="0"/>
          <w:kern w:val="28"/>
          <w:sz w:val="32"/>
          <w:szCs w:val="32"/>
          <w:highlight w:val="none"/>
          <w:lang w:val="en-US" w:eastAsia="zh-CN" w:bidi="ar-SA"/>
        </w:rPr>
        <w:t>地</w:t>
      </w:r>
      <w:r>
        <w:rPr>
          <w:rFonts w:hint="eastAsia" w:ascii="Times New Roman" w:hAnsi="Times New Roman" w:eastAsia="仿宋_GB2312" w:cs="Times New Roman"/>
          <w:b w:val="0"/>
          <w:bCs w:val="0"/>
          <w:kern w:val="28"/>
          <w:sz w:val="32"/>
          <w:szCs w:val="32"/>
          <w:highlight w:val="none"/>
          <w:lang w:val="en-US" w:eastAsia="zh-CN" w:bidi="ar-SA"/>
        </w:rPr>
        <w:t>发挥，保障项目如期按要求完成。规范了项目档案资料的整理。项目的实施达到项目预期效果。</w:t>
      </w:r>
    </w:p>
    <w:p w14:paraId="7D8269EE">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highlight w:val="none"/>
          <w:lang w:val="en-US" w:eastAsia="zh-CN"/>
        </w:rPr>
      </w:pPr>
      <w:r>
        <w:rPr>
          <w:rFonts w:hint="eastAsia" w:ascii="Times New Roman" w:hAnsi="Times New Roman" w:eastAsia="楷体_GB2312" w:cs="Times New Roman"/>
          <w:highlight w:val="none"/>
          <w:lang w:eastAsia="zh-CN"/>
        </w:rPr>
        <w:t>（</w:t>
      </w:r>
      <w:r>
        <w:rPr>
          <w:rFonts w:hint="eastAsia" w:ascii="Times New Roman" w:hAnsi="Times New Roman" w:eastAsia="楷体_GB2312" w:cs="Times New Roman"/>
          <w:highlight w:val="none"/>
          <w:lang w:val="en-US" w:eastAsia="zh-CN"/>
        </w:rPr>
        <w:t>二</w:t>
      </w:r>
      <w:r>
        <w:rPr>
          <w:rFonts w:hint="eastAsia" w:ascii="Times New Roman" w:hAnsi="Times New Roman" w:eastAsia="楷体_GB2312" w:cs="Times New Roman"/>
          <w:highlight w:val="none"/>
          <w:lang w:eastAsia="zh-CN"/>
        </w:rPr>
        <w:t>）</w:t>
      </w:r>
      <w:r>
        <w:rPr>
          <w:rFonts w:hint="eastAsia" w:ascii="Times New Roman" w:hAnsi="Times New Roman" w:eastAsia="楷体_GB2312" w:cs="Times New Roman"/>
          <w:highlight w:val="none"/>
          <w:lang w:val="en-US" w:eastAsia="zh-CN"/>
        </w:rPr>
        <w:t>评价结论</w:t>
      </w:r>
    </w:p>
    <w:p w14:paraId="1873760C">
      <w:pPr>
        <w:pStyle w:val="2"/>
        <w:jc w:val="left"/>
        <w:rPr>
          <w:rFonts w:hint="eastAsia" w:ascii="Times New Roman" w:hAnsi="Times New Roman" w:eastAsia="仿宋_GB2312"/>
          <w:b w:val="0"/>
          <w:bCs w:val="0"/>
          <w:highlight w:val="none"/>
          <w:lang w:eastAsia="zh-CN"/>
        </w:rPr>
      </w:pPr>
      <w:r>
        <w:rPr>
          <w:rFonts w:hint="eastAsia" w:ascii="Times New Roman" w:hAnsi="Times New Roman" w:eastAsia="仿宋_GB2312"/>
          <w:b w:val="0"/>
          <w:bCs w:val="0"/>
          <w:highlight w:val="none"/>
        </w:rPr>
        <w:t>运用绩效评价组制定的评价指标体系以及财政部《项目支出绩效评价管理办法》（财预〔2020〕10号）文件的评分标准，通过数据采集、问卷调查及访谈等方式，</w:t>
      </w:r>
      <w:r>
        <w:rPr>
          <w:rFonts w:ascii="Times New Roman" w:hAnsi="Times New Roman" w:eastAsia="仿宋_GB2312"/>
          <w:b w:val="0"/>
          <w:bCs w:val="0"/>
          <w:highlight w:val="none"/>
        </w:rPr>
        <w:t>对</w:t>
      </w:r>
      <w:r>
        <w:rPr>
          <w:rFonts w:hint="eastAsia" w:ascii="Times New Roman" w:hAnsi="Times New Roman" w:eastAsia="仿宋_GB2312"/>
          <w:b w:val="0"/>
          <w:bCs w:val="0"/>
          <w:highlight w:val="none"/>
          <w:lang w:eastAsia="zh-CN"/>
        </w:rPr>
        <w:t>自治区2023年第一批疫情防控补助资金（自治区本级医疗机构重症床位设备配置经费）</w:t>
      </w:r>
      <w:r>
        <w:rPr>
          <w:rFonts w:ascii="Times New Roman" w:hAnsi="Times New Roman" w:eastAsia="仿宋_GB2312"/>
          <w:b w:val="0"/>
          <w:bCs w:val="0"/>
          <w:highlight w:val="none"/>
        </w:rPr>
        <w:t>资金项目进行客观评价，最终评分结果：总得分为</w:t>
      </w:r>
      <w:r>
        <w:rPr>
          <w:rFonts w:hint="eastAsia" w:ascii="Times New Roman" w:hAnsi="Times New Roman" w:eastAsia="仿宋_GB2312"/>
          <w:b w:val="0"/>
          <w:bCs w:val="0"/>
          <w:highlight w:val="none"/>
          <w:lang w:val="en-US" w:eastAsia="zh-CN"/>
        </w:rPr>
        <w:t>99</w:t>
      </w:r>
      <w:r>
        <w:rPr>
          <w:rFonts w:ascii="Times New Roman" w:hAnsi="Times New Roman" w:eastAsia="仿宋_GB2312"/>
          <w:b w:val="0"/>
          <w:bCs w:val="0"/>
          <w:highlight w:val="none"/>
        </w:rPr>
        <w:t>分，属于“优”。其中，项目决策类指标权重为20分，得分为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%。项目过程类指标权重为20分，得分为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 xml:space="preserve">分，得分率为 </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%。项目产出类指标权重为40分，得分为</w:t>
      </w:r>
      <w:r>
        <w:rPr>
          <w:rFonts w:hint="eastAsia" w:ascii="Times New Roman" w:hAnsi="Times New Roman" w:eastAsia="仿宋_GB2312"/>
          <w:b w:val="0"/>
          <w:bCs w:val="0"/>
          <w:highlight w:val="none"/>
          <w:lang w:val="en-US" w:eastAsia="zh-CN"/>
        </w:rPr>
        <w:t>40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%。项目效益类指标权重为20分，得分为</w:t>
      </w:r>
      <w:r>
        <w:rPr>
          <w:rFonts w:hint="eastAsia" w:ascii="Times New Roman" w:hAnsi="Times New Roman" w:eastAsia="仿宋_GB2312"/>
          <w:b w:val="0"/>
          <w:bCs w:val="0"/>
          <w:highlight w:val="none"/>
          <w:lang w:val="en-US" w:eastAsia="zh-CN"/>
        </w:rPr>
        <w:t>19</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95</w:t>
      </w:r>
      <w:r>
        <w:rPr>
          <w:rFonts w:ascii="Times New Roman" w:hAnsi="Times New Roman" w:eastAsia="仿宋_GB2312"/>
          <w:b w:val="0"/>
          <w:bCs w:val="0"/>
          <w:highlight w:val="none"/>
        </w:rPr>
        <w:t>%。</w:t>
      </w:r>
      <w:r>
        <w:rPr>
          <w:rFonts w:hint="eastAsia" w:ascii="Times New Roman" w:hAnsi="Times New Roman" w:eastAsia="仿宋_GB2312"/>
          <w:b w:val="0"/>
          <w:bCs w:val="0"/>
          <w:highlight w:val="none"/>
        </w:rPr>
        <w:t>具体打分情况详见：附件1综合评分表</w:t>
      </w:r>
      <w:r>
        <w:rPr>
          <w:rFonts w:hint="eastAsia" w:ascii="Times New Roman" w:hAnsi="Times New Roman" w:eastAsia="仿宋_GB2312"/>
          <w:b w:val="0"/>
          <w:bCs w:val="0"/>
          <w:highlight w:val="none"/>
          <w:lang w:eastAsia="zh-CN"/>
        </w:rPr>
        <w:t>。</w:t>
      </w:r>
    </w:p>
    <w:p w14:paraId="3F7C8903">
      <w:pPr>
        <w:pStyle w:val="2"/>
        <w:jc w:val="center"/>
        <w:rPr>
          <w:highlight w:val="none"/>
        </w:rPr>
      </w:pPr>
      <w:r>
        <w:rPr>
          <w:rFonts w:ascii="Times New Roman" w:hAnsi="Times New Roman" w:eastAsia="仿宋_GB2312"/>
          <w:sz w:val="30"/>
          <w:szCs w:val="30"/>
          <w:highlight w:val="none"/>
        </w:rPr>
        <w:t>表1综合评分表</w:t>
      </w:r>
    </w:p>
    <w:tbl>
      <w:tblPr>
        <w:tblStyle w:val="11"/>
        <w:tblpPr w:leftFromText="180" w:rightFromText="180" w:vertAnchor="text" w:horzAnchor="page" w:tblpX="1370" w:tblpY="446"/>
        <w:tblOverlap w:val="never"/>
        <w:tblW w:w="4998" w:type="pct"/>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961"/>
        <w:gridCol w:w="862"/>
        <w:gridCol w:w="1120"/>
        <w:gridCol w:w="1494"/>
        <w:gridCol w:w="631"/>
        <w:gridCol w:w="910"/>
        <w:gridCol w:w="1005"/>
        <w:gridCol w:w="941"/>
        <w:gridCol w:w="836"/>
      </w:tblGrid>
      <w:tr w14:paraId="40415F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13" w:hRule="atLeast"/>
          <w:tblHeader/>
        </w:trPr>
        <w:tc>
          <w:tcPr>
            <w:tcW w:w="554" w:type="pct"/>
            <w:shd w:val="clear" w:color="auto" w:fill="BFBFBF"/>
            <w:vAlign w:val="center"/>
          </w:tcPr>
          <w:p w14:paraId="7263319A">
            <w:pPr>
              <w:widowControl/>
              <w:spacing w:line="0" w:lineRule="atLeast"/>
              <w:rPr>
                <w:b/>
                <w:bCs/>
                <w:color w:val="000000"/>
                <w:kern w:val="0"/>
                <w:sz w:val="22"/>
                <w:szCs w:val="22"/>
                <w:highlight w:val="none"/>
              </w:rPr>
            </w:pPr>
            <w:r>
              <w:rPr>
                <w:b/>
                <w:bCs/>
                <w:color w:val="000000"/>
                <w:kern w:val="0"/>
                <w:sz w:val="22"/>
                <w:szCs w:val="22"/>
                <w:highlight w:val="none"/>
              </w:rPr>
              <w:br w:type="textWrapping"/>
            </w:r>
            <w:r>
              <w:rPr>
                <w:b/>
                <w:bCs/>
                <w:color w:val="000000"/>
                <w:kern w:val="0"/>
                <w:sz w:val="22"/>
                <w:szCs w:val="22"/>
                <w:highlight w:val="none"/>
              </w:rPr>
              <w:t>一级指标</w:t>
            </w:r>
          </w:p>
        </w:tc>
        <w:tc>
          <w:tcPr>
            <w:tcW w:w="497" w:type="pct"/>
            <w:shd w:val="clear" w:color="auto" w:fill="BFBFBF"/>
            <w:vAlign w:val="center"/>
          </w:tcPr>
          <w:p w14:paraId="32141575">
            <w:pPr>
              <w:widowControl/>
              <w:spacing w:line="0" w:lineRule="atLeast"/>
              <w:jc w:val="center"/>
              <w:rPr>
                <w:b/>
                <w:bCs/>
                <w:color w:val="000000"/>
                <w:kern w:val="0"/>
                <w:sz w:val="22"/>
                <w:szCs w:val="22"/>
                <w:highlight w:val="none"/>
              </w:rPr>
            </w:pPr>
            <w:r>
              <w:rPr>
                <w:b/>
                <w:bCs/>
                <w:color w:val="000000"/>
                <w:kern w:val="0"/>
                <w:sz w:val="22"/>
                <w:szCs w:val="22"/>
                <w:highlight w:val="none"/>
              </w:rPr>
              <w:t>分值</w:t>
            </w:r>
          </w:p>
        </w:tc>
        <w:tc>
          <w:tcPr>
            <w:tcW w:w="644" w:type="pct"/>
            <w:shd w:val="clear" w:color="auto" w:fill="BFBFBF"/>
            <w:vAlign w:val="center"/>
          </w:tcPr>
          <w:p w14:paraId="0B22A3AC">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857" w:type="pct"/>
            <w:shd w:val="clear" w:color="auto" w:fill="BFBFBF"/>
            <w:vAlign w:val="center"/>
          </w:tcPr>
          <w:p w14:paraId="25E806E3">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365" w:type="pct"/>
            <w:shd w:val="clear" w:color="auto" w:fill="BFBFBF"/>
            <w:vAlign w:val="center"/>
          </w:tcPr>
          <w:p w14:paraId="3BC81417">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524" w:type="pct"/>
            <w:shd w:val="clear" w:color="auto" w:fill="BFBFBF"/>
            <w:vAlign w:val="center"/>
          </w:tcPr>
          <w:p w14:paraId="36B7D8C6">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目标值</w:t>
            </w:r>
          </w:p>
        </w:tc>
        <w:tc>
          <w:tcPr>
            <w:tcW w:w="531" w:type="pct"/>
            <w:shd w:val="clear" w:color="auto" w:fill="BFBFBF"/>
            <w:vAlign w:val="center"/>
          </w:tcPr>
          <w:p w14:paraId="48AE3B0E">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业绩值</w:t>
            </w:r>
          </w:p>
        </w:tc>
        <w:tc>
          <w:tcPr>
            <w:tcW w:w="542" w:type="pct"/>
            <w:shd w:val="clear" w:color="auto" w:fill="BFBFBF"/>
            <w:vAlign w:val="center"/>
          </w:tcPr>
          <w:p w14:paraId="24976898">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得分率</w:t>
            </w:r>
          </w:p>
        </w:tc>
        <w:tc>
          <w:tcPr>
            <w:tcW w:w="482" w:type="pct"/>
            <w:shd w:val="clear" w:color="auto" w:fill="BFBFBF"/>
            <w:vAlign w:val="center"/>
          </w:tcPr>
          <w:p w14:paraId="19C3CAF3">
            <w:pPr>
              <w:widowControl/>
              <w:tabs>
                <w:tab w:val="left" w:pos="1333"/>
                <w:tab w:val="center" w:pos="3623"/>
              </w:tabs>
              <w:spacing w:line="0" w:lineRule="atLeast"/>
              <w:jc w:val="center"/>
              <w:rPr>
                <w:b/>
                <w:bCs/>
                <w:color w:val="000000"/>
                <w:kern w:val="0"/>
                <w:sz w:val="22"/>
                <w:szCs w:val="22"/>
                <w:highlight w:val="none"/>
              </w:rPr>
            </w:pPr>
            <w:r>
              <w:rPr>
                <w:b/>
                <w:bCs/>
                <w:color w:val="000000"/>
                <w:kern w:val="0"/>
                <w:sz w:val="22"/>
                <w:szCs w:val="22"/>
                <w:highlight w:val="none"/>
              </w:rPr>
              <w:t>得分</w:t>
            </w:r>
          </w:p>
        </w:tc>
      </w:tr>
      <w:tr w14:paraId="771CDD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5" w:hRule="atLeast"/>
        </w:trPr>
        <w:tc>
          <w:tcPr>
            <w:tcW w:w="554" w:type="pct"/>
            <w:vMerge w:val="restart"/>
            <w:shd w:val="clear" w:color="auto" w:fill="FFFFFF"/>
            <w:vAlign w:val="center"/>
          </w:tcPr>
          <w:p w14:paraId="1866D126">
            <w:pPr>
              <w:widowControl/>
              <w:spacing w:line="0" w:lineRule="atLeast"/>
              <w:jc w:val="center"/>
              <w:rPr>
                <w:color w:val="000000"/>
                <w:kern w:val="0"/>
                <w:sz w:val="22"/>
                <w:szCs w:val="22"/>
                <w:highlight w:val="none"/>
              </w:rPr>
            </w:pPr>
            <w:r>
              <w:rPr>
                <w:color w:val="000000"/>
                <w:kern w:val="0"/>
                <w:sz w:val="22"/>
                <w:szCs w:val="22"/>
                <w:highlight w:val="none"/>
              </w:rPr>
              <w:t>决策　</w:t>
            </w:r>
          </w:p>
          <w:p w14:paraId="26C28F93">
            <w:pPr>
              <w:widowControl/>
              <w:spacing w:line="0" w:lineRule="atLeast"/>
              <w:jc w:val="center"/>
              <w:rPr>
                <w:color w:val="000000"/>
                <w:kern w:val="0"/>
                <w:sz w:val="22"/>
                <w:szCs w:val="22"/>
                <w:highlight w:val="none"/>
              </w:rPr>
            </w:pPr>
            <w:r>
              <w:rPr>
                <w:color w:val="000000"/>
                <w:kern w:val="0"/>
                <w:sz w:val="22"/>
                <w:szCs w:val="22"/>
                <w:highlight w:val="none"/>
              </w:rPr>
              <w:t>　</w:t>
            </w:r>
          </w:p>
          <w:p w14:paraId="2D432AD2">
            <w:pPr>
              <w:spacing w:line="0" w:lineRule="atLeast"/>
              <w:jc w:val="center"/>
              <w:rPr>
                <w:color w:val="000000"/>
                <w:kern w:val="0"/>
                <w:sz w:val="22"/>
                <w:szCs w:val="22"/>
                <w:highlight w:val="none"/>
              </w:rPr>
            </w:pPr>
            <w:r>
              <w:rPr>
                <w:color w:val="000000"/>
                <w:kern w:val="0"/>
                <w:sz w:val="22"/>
                <w:szCs w:val="22"/>
                <w:highlight w:val="none"/>
              </w:rPr>
              <w:t>　</w:t>
            </w:r>
          </w:p>
          <w:p w14:paraId="25CEFBB0">
            <w:pPr>
              <w:widowControl/>
              <w:spacing w:line="0" w:lineRule="atLeast"/>
              <w:jc w:val="center"/>
              <w:rPr>
                <w:color w:val="000000"/>
                <w:kern w:val="0"/>
                <w:sz w:val="22"/>
                <w:szCs w:val="22"/>
                <w:highlight w:val="none"/>
              </w:rPr>
            </w:pPr>
            <w:r>
              <w:rPr>
                <w:color w:val="000000"/>
                <w:kern w:val="0"/>
                <w:sz w:val="22"/>
                <w:szCs w:val="22"/>
                <w:highlight w:val="none"/>
              </w:rPr>
              <w:t>　</w:t>
            </w:r>
          </w:p>
        </w:tc>
        <w:tc>
          <w:tcPr>
            <w:tcW w:w="497" w:type="pct"/>
            <w:vMerge w:val="restart"/>
            <w:shd w:val="clear" w:color="auto" w:fill="FFFFFF"/>
            <w:vAlign w:val="center"/>
          </w:tcPr>
          <w:p w14:paraId="28B70218">
            <w:pPr>
              <w:widowControl/>
              <w:spacing w:line="0" w:lineRule="atLeast"/>
              <w:jc w:val="center"/>
              <w:rPr>
                <w:color w:val="000000"/>
                <w:kern w:val="0"/>
                <w:sz w:val="22"/>
                <w:szCs w:val="22"/>
                <w:highlight w:val="none"/>
              </w:rPr>
            </w:pPr>
            <w:r>
              <w:rPr>
                <w:kern w:val="0"/>
                <w:sz w:val="22"/>
                <w:szCs w:val="22"/>
                <w:highlight w:val="none"/>
              </w:rPr>
              <w:t>20分</w:t>
            </w:r>
          </w:p>
        </w:tc>
        <w:tc>
          <w:tcPr>
            <w:tcW w:w="644" w:type="pct"/>
            <w:vMerge w:val="restart"/>
            <w:shd w:val="clear" w:color="auto" w:fill="FFFFFF"/>
            <w:vAlign w:val="center"/>
          </w:tcPr>
          <w:p w14:paraId="7F70BBD5">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857" w:type="pct"/>
            <w:shd w:val="clear" w:color="auto" w:fill="FFFFFF"/>
            <w:vAlign w:val="center"/>
          </w:tcPr>
          <w:p w14:paraId="09087B16">
            <w:pPr>
              <w:widowControl/>
              <w:spacing w:line="0" w:lineRule="atLeast"/>
              <w:jc w:val="center"/>
              <w:rPr>
                <w:color w:val="000000"/>
                <w:kern w:val="0"/>
                <w:sz w:val="22"/>
                <w:szCs w:val="22"/>
                <w:highlight w:val="none"/>
              </w:rPr>
            </w:pPr>
            <w:r>
              <w:rPr>
                <w:color w:val="000000"/>
                <w:kern w:val="0"/>
                <w:sz w:val="22"/>
                <w:szCs w:val="22"/>
                <w:highlight w:val="none"/>
              </w:rPr>
              <w:t>立项依据</w:t>
            </w:r>
          </w:p>
          <w:p w14:paraId="14FB9CD1">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365" w:type="pct"/>
            <w:shd w:val="clear" w:color="auto" w:fill="FFFFFF"/>
            <w:vAlign w:val="center"/>
          </w:tcPr>
          <w:p w14:paraId="514A3112">
            <w:pPr>
              <w:widowControl/>
              <w:spacing w:line="0" w:lineRule="atLeast"/>
              <w:jc w:val="center"/>
              <w:rPr>
                <w:color w:val="000000"/>
                <w:kern w:val="0"/>
                <w:sz w:val="22"/>
                <w:szCs w:val="22"/>
                <w:highlight w:val="none"/>
              </w:rPr>
            </w:pPr>
            <w:r>
              <w:rPr>
                <w:color w:val="000000"/>
                <w:kern w:val="0"/>
                <w:sz w:val="22"/>
                <w:szCs w:val="22"/>
                <w:highlight w:val="none"/>
              </w:rPr>
              <w:t>3</w:t>
            </w:r>
          </w:p>
        </w:tc>
        <w:tc>
          <w:tcPr>
            <w:tcW w:w="524" w:type="pct"/>
            <w:shd w:val="clear" w:color="auto" w:fill="FFFFFF"/>
            <w:vAlign w:val="center"/>
          </w:tcPr>
          <w:p w14:paraId="432120C4">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531" w:type="pct"/>
            <w:shd w:val="clear" w:color="auto" w:fill="FFFFFF"/>
            <w:vAlign w:val="center"/>
          </w:tcPr>
          <w:p w14:paraId="04400F4A">
            <w:pPr>
              <w:widowControl/>
              <w:spacing w:line="0" w:lineRule="atLeast"/>
              <w:jc w:val="center"/>
              <w:rPr>
                <w:color w:val="000000"/>
                <w:kern w:val="0"/>
                <w:sz w:val="22"/>
                <w:szCs w:val="22"/>
                <w:highlight w:val="none"/>
              </w:rPr>
            </w:pPr>
            <w:r>
              <w:rPr>
                <w:color w:val="000000"/>
                <w:kern w:val="0"/>
                <w:sz w:val="22"/>
                <w:szCs w:val="22"/>
                <w:highlight w:val="none"/>
              </w:rPr>
              <w:t>充分</w:t>
            </w:r>
          </w:p>
        </w:tc>
        <w:tc>
          <w:tcPr>
            <w:tcW w:w="542" w:type="pct"/>
            <w:shd w:val="clear" w:color="auto" w:fill="FFFFFF"/>
            <w:vAlign w:val="center"/>
          </w:tcPr>
          <w:p w14:paraId="0145D081">
            <w:pPr>
              <w:widowControl/>
              <w:spacing w:line="0" w:lineRule="atLeast"/>
              <w:jc w:val="center"/>
              <w:rPr>
                <w:rFonts w:hint="default" w:eastAsia="宋体"/>
                <w:color w:val="000000"/>
                <w:kern w:val="0"/>
                <w:sz w:val="22"/>
                <w:szCs w:val="22"/>
                <w:highlight w:val="none"/>
                <w:lang w:val="en-US" w:eastAsia="zh-CN"/>
              </w:rPr>
            </w:pPr>
            <w:r>
              <w:rPr>
                <w:rFonts w:hint="eastAsia" w:ascii="Times New Roman" w:hAnsi="Times New Roman" w:eastAsia="宋体" w:cs="Times New Roman"/>
                <w:color w:val="000000"/>
                <w:kern w:val="0"/>
                <w:sz w:val="22"/>
                <w:szCs w:val="22"/>
                <w:highlight w:val="none"/>
                <w:lang w:val="en-US" w:eastAsia="zh-CN"/>
              </w:rPr>
              <w:t>100%</w:t>
            </w:r>
          </w:p>
        </w:tc>
        <w:tc>
          <w:tcPr>
            <w:tcW w:w="482" w:type="pct"/>
            <w:shd w:val="clear" w:color="auto" w:fill="FFFFFF"/>
            <w:vAlign w:val="center"/>
          </w:tcPr>
          <w:p w14:paraId="0C145839">
            <w:pPr>
              <w:widowControl/>
              <w:spacing w:line="0" w:lineRule="atLeast"/>
              <w:jc w:val="center"/>
              <w:rPr>
                <w:rFonts w:hint="eastAsia" w:eastAsia="宋体"/>
                <w:color w:val="000000"/>
                <w:kern w:val="0"/>
                <w:sz w:val="22"/>
                <w:szCs w:val="22"/>
                <w:highlight w:val="none"/>
                <w:lang w:eastAsia="zh-CN"/>
              </w:rPr>
            </w:pPr>
            <w:r>
              <w:rPr>
                <w:rFonts w:hint="eastAsia" w:ascii="Times New Roman" w:hAnsi="Times New Roman" w:eastAsia="宋体" w:cs="Times New Roman"/>
                <w:color w:val="000000"/>
                <w:kern w:val="0"/>
                <w:sz w:val="22"/>
                <w:szCs w:val="22"/>
                <w:highlight w:val="none"/>
                <w:lang w:val="en-US" w:eastAsia="zh-CN"/>
              </w:rPr>
              <w:t>3</w:t>
            </w:r>
          </w:p>
        </w:tc>
      </w:tr>
      <w:tr w14:paraId="2EAE37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5" w:hRule="atLeast"/>
        </w:trPr>
        <w:tc>
          <w:tcPr>
            <w:tcW w:w="554" w:type="pct"/>
            <w:vMerge w:val="continue"/>
            <w:shd w:val="clear" w:color="auto" w:fill="FFFFFF"/>
            <w:vAlign w:val="center"/>
          </w:tcPr>
          <w:p w14:paraId="34FF2B9F">
            <w:pPr>
              <w:spacing w:line="0" w:lineRule="atLeast"/>
              <w:jc w:val="center"/>
              <w:rPr>
                <w:color w:val="000000"/>
                <w:kern w:val="0"/>
                <w:sz w:val="22"/>
                <w:szCs w:val="22"/>
                <w:highlight w:val="none"/>
              </w:rPr>
            </w:pPr>
          </w:p>
        </w:tc>
        <w:tc>
          <w:tcPr>
            <w:tcW w:w="497" w:type="pct"/>
            <w:vMerge w:val="continue"/>
            <w:shd w:val="clear" w:color="auto" w:fill="FFFFFF"/>
            <w:vAlign w:val="center"/>
          </w:tcPr>
          <w:p w14:paraId="34018430">
            <w:pPr>
              <w:widowControl/>
              <w:spacing w:line="0" w:lineRule="atLeast"/>
              <w:jc w:val="center"/>
              <w:rPr>
                <w:color w:val="000000"/>
                <w:kern w:val="0"/>
                <w:sz w:val="22"/>
                <w:szCs w:val="22"/>
                <w:highlight w:val="none"/>
              </w:rPr>
            </w:pPr>
          </w:p>
        </w:tc>
        <w:tc>
          <w:tcPr>
            <w:tcW w:w="644" w:type="pct"/>
            <w:vMerge w:val="continue"/>
            <w:shd w:val="clear" w:color="auto" w:fill="FFFFFF"/>
            <w:vAlign w:val="center"/>
          </w:tcPr>
          <w:p w14:paraId="183737B3">
            <w:pPr>
              <w:widowControl/>
              <w:spacing w:line="0" w:lineRule="atLeast"/>
              <w:jc w:val="center"/>
              <w:rPr>
                <w:color w:val="000000"/>
                <w:kern w:val="0"/>
                <w:sz w:val="22"/>
                <w:szCs w:val="22"/>
                <w:highlight w:val="none"/>
              </w:rPr>
            </w:pPr>
          </w:p>
        </w:tc>
        <w:tc>
          <w:tcPr>
            <w:tcW w:w="857" w:type="pct"/>
            <w:shd w:val="clear" w:color="auto" w:fill="FFFFFF"/>
            <w:vAlign w:val="center"/>
          </w:tcPr>
          <w:p w14:paraId="358068EC">
            <w:pPr>
              <w:widowControl/>
              <w:spacing w:line="0" w:lineRule="atLeast"/>
              <w:jc w:val="center"/>
              <w:rPr>
                <w:color w:val="000000"/>
                <w:kern w:val="0"/>
                <w:sz w:val="22"/>
                <w:szCs w:val="22"/>
                <w:highlight w:val="none"/>
              </w:rPr>
            </w:pPr>
            <w:r>
              <w:rPr>
                <w:color w:val="000000"/>
                <w:kern w:val="0"/>
                <w:sz w:val="22"/>
                <w:szCs w:val="22"/>
                <w:highlight w:val="none"/>
              </w:rPr>
              <w:t>立项程序</w:t>
            </w:r>
          </w:p>
          <w:p w14:paraId="73F9755B">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365" w:type="pct"/>
            <w:shd w:val="clear" w:color="auto" w:fill="FFFFFF"/>
            <w:vAlign w:val="center"/>
          </w:tcPr>
          <w:p w14:paraId="7265CE1B">
            <w:pPr>
              <w:widowControl/>
              <w:spacing w:line="0" w:lineRule="atLeast"/>
              <w:jc w:val="center"/>
              <w:rPr>
                <w:color w:val="000000"/>
                <w:kern w:val="0"/>
                <w:sz w:val="22"/>
                <w:szCs w:val="22"/>
                <w:highlight w:val="none"/>
              </w:rPr>
            </w:pPr>
            <w:r>
              <w:rPr>
                <w:color w:val="000000"/>
                <w:kern w:val="0"/>
                <w:sz w:val="22"/>
                <w:szCs w:val="22"/>
                <w:highlight w:val="none"/>
              </w:rPr>
              <w:t>3</w:t>
            </w:r>
          </w:p>
        </w:tc>
        <w:tc>
          <w:tcPr>
            <w:tcW w:w="524" w:type="pct"/>
            <w:shd w:val="clear" w:color="auto" w:fill="FFFFFF"/>
            <w:vAlign w:val="center"/>
          </w:tcPr>
          <w:p w14:paraId="65260DDD">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531" w:type="pct"/>
            <w:shd w:val="clear" w:color="auto" w:fill="FFFFFF"/>
            <w:vAlign w:val="center"/>
          </w:tcPr>
          <w:p w14:paraId="0296A5EE">
            <w:pPr>
              <w:widowControl/>
              <w:spacing w:line="0" w:lineRule="atLeast"/>
              <w:jc w:val="center"/>
              <w:rPr>
                <w:color w:val="000000"/>
                <w:kern w:val="0"/>
                <w:sz w:val="22"/>
                <w:szCs w:val="22"/>
                <w:highlight w:val="none"/>
              </w:rPr>
            </w:pPr>
            <w:r>
              <w:rPr>
                <w:color w:val="000000"/>
                <w:kern w:val="0"/>
                <w:sz w:val="22"/>
                <w:szCs w:val="22"/>
                <w:highlight w:val="none"/>
              </w:rPr>
              <w:t>规范</w:t>
            </w:r>
          </w:p>
        </w:tc>
        <w:tc>
          <w:tcPr>
            <w:tcW w:w="542" w:type="pct"/>
            <w:shd w:val="clear" w:color="auto" w:fill="FFFFFF"/>
            <w:vAlign w:val="center"/>
          </w:tcPr>
          <w:p w14:paraId="2AF82F0E">
            <w:pPr>
              <w:widowControl/>
              <w:spacing w:line="0" w:lineRule="atLeast"/>
              <w:jc w:val="center"/>
              <w:rPr>
                <w:color w:val="000000"/>
                <w:kern w:val="0"/>
                <w:sz w:val="22"/>
                <w:szCs w:val="22"/>
                <w:highlight w:val="none"/>
              </w:rPr>
            </w:pPr>
            <w:r>
              <w:rPr>
                <w:rFonts w:hint="eastAsia" w:ascii="Times New Roman" w:hAnsi="Times New Roman" w:eastAsia="宋体" w:cs="Times New Roman"/>
                <w:color w:val="000000"/>
                <w:kern w:val="0"/>
                <w:sz w:val="22"/>
                <w:szCs w:val="22"/>
                <w:highlight w:val="none"/>
                <w:lang w:val="en-US" w:eastAsia="zh-CN"/>
              </w:rPr>
              <w:t>100%</w:t>
            </w:r>
          </w:p>
        </w:tc>
        <w:tc>
          <w:tcPr>
            <w:tcW w:w="482" w:type="pct"/>
            <w:shd w:val="clear" w:color="auto" w:fill="FFFFFF"/>
            <w:vAlign w:val="center"/>
          </w:tcPr>
          <w:p w14:paraId="5C1DC57B">
            <w:pPr>
              <w:widowControl/>
              <w:spacing w:line="0" w:lineRule="atLeast"/>
              <w:jc w:val="center"/>
              <w:rPr>
                <w:rFonts w:hint="eastAsia" w:eastAsia="宋体"/>
                <w:color w:val="000000"/>
                <w:kern w:val="0"/>
                <w:sz w:val="22"/>
                <w:szCs w:val="22"/>
                <w:highlight w:val="none"/>
                <w:lang w:val="en-US" w:eastAsia="zh-CN"/>
              </w:rPr>
            </w:pPr>
            <w:r>
              <w:rPr>
                <w:rFonts w:hint="eastAsia"/>
                <w:color w:val="000000"/>
                <w:kern w:val="0"/>
                <w:sz w:val="22"/>
                <w:szCs w:val="22"/>
                <w:highlight w:val="none"/>
                <w:lang w:val="en-US" w:eastAsia="zh-CN"/>
              </w:rPr>
              <w:t>3</w:t>
            </w:r>
          </w:p>
        </w:tc>
      </w:tr>
      <w:tr w14:paraId="588D70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5" w:hRule="atLeast"/>
        </w:trPr>
        <w:tc>
          <w:tcPr>
            <w:tcW w:w="554" w:type="pct"/>
            <w:vMerge w:val="continue"/>
            <w:shd w:val="clear" w:color="auto" w:fill="FFFFFF"/>
            <w:vAlign w:val="center"/>
          </w:tcPr>
          <w:p w14:paraId="53383D0B">
            <w:pPr>
              <w:spacing w:line="0" w:lineRule="atLeast"/>
              <w:jc w:val="center"/>
              <w:rPr>
                <w:color w:val="000000"/>
                <w:kern w:val="0"/>
                <w:sz w:val="22"/>
                <w:szCs w:val="22"/>
                <w:highlight w:val="none"/>
              </w:rPr>
            </w:pPr>
          </w:p>
        </w:tc>
        <w:tc>
          <w:tcPr>
            <w:tcW w:w="497" w:type="pct"/>
            <w:vMerge w:val="continue"/>
            <w:shd w:val="clear" w:color="auto" w:fill="FFFFFF"/>
            <w:vAlign w:val="center"/>
          </w:tcPr>
          <w:p w14:paraId="5BA345DD">
            <w:pPr>
              <w:widowControl/>
              <w:spacing w:line="0" w:lineRule="atLeast"/>
              <w:jc w:val="center"/>
              <w:rPr>
                <w:color w:val="000000"/>
                <w:kern w:val="0"/>
                <w:sz w:val="22"/>
                <w:szCs w:val="22"/>
                <w:highlight w:val="none"/>
              </w:rPr>
            </w:pPr>
          </w:p>
        </w:tc>
        <w:tc>
          <w:tcPr>
            <w:tcW w:w="644" w:type="pct"/>
            <w:vMerge w:val="restart"/>
            <w:shd w:val="clear" w:color="auto" w:fill="FFFFFF"/>
            <w:vAlign w:val="center"/>
          </w:tcPr>
          <w:p w14:paraId="18AD9964">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857" w:type="pct"/>
            <w:shd w:val="clear" w:color="auto" w:fill="FFFFFF"/>
            <w:vAlign w:val="center"/>
          </w:tcPr>
          <w:p w14:paraId="567D99D1">
            <w:pPr>
              <w:widowControl/>
              <w:spacing w:line="0" w:lineRule="atLeast"/>
              <w:jc w:val="center"/>
              <w:rPr>
                <w:color w:val="000000"/>
                <w:kern w:val="0"/>
                <w:sz w:val="22"/>
                <w:szCs w:val="22"/>
                <w:highlight w:val="none"/>
              </w:rPr>
            </w:pPr>
            <w:r>
              <w:rPr>
                <w:color w:val="000000"/>
                <w:kern w:val="0"/>
                <w:sz w:val="22"/>
                <w:szCs w:val="22"/>
                <w:highlight w:val="none"/>
              </w:rPr>
              <w:t>绩效目标</w:t>
            </w:r>
          </w:p>
          <w:p w14:paraId="095DC106">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365" w:type="pct"/>
            <w:shd w:val="clear" w:color="000000" w:fill="FFFFFF"/>
            <w:vAlign w:val="center"/>
          </w:tcPr>
          <w:p w14:paraId="5FD3B1C1">
            <w:pPr>
              <w:widowControl/>
              <w:spacing w:line="0" w:lineRule="atLeast"/>
              <w:jc w:val="center"/>
              <w:rPr>
                <w:color w:val="000000"/>
                <w:kern w:val="0"/>
                <w:sz w:val="22"/>
                <w:szCs w:val="22"/>
                <w:highlight w:val="none"/>
              </w:rPr>
            </w:pPr>
            <w:r>
              <w:rPr>
                <w:color w:val="000000"/>
                <w:kern w:val="0"/>
                <w:sz w:val="22"/>
                <w:szCs w:val="22"/>
                <w:highlight w:val="none"/>
              </w:rPr>
              <w:t>3</w:t>
            </w:r>
          </w:p>
        </w:tc>
        <w:tc>
          <w:tcPr>
            <w:tcW w:w="524" w:type="pct"/>
            <w:shd w:val="clear" w:color="000000" w:fill="FFFFFF"/>
            <w:vAlign w:val="center"/>
          </w:tcPr>
          <w:p w14:paraId="648897C5">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531" w:type="pct"/>
            <w:shd w:val="clear" w:color="000000" w:fill="FFFFFF"/>
            <w:vAlign w:val="center"/>
          </w:tcPr>
          <w:p w14:paraId="5F5F834B">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542" w:type="pct"/>
            <w:shd w:val="clear" w:color="000000" w:fill="FFFFFF"/>
            <w:vAlign w:val="center"/>
          </w:tcPr>
          <w:p w14:paraId="6B833C0E">
            <w:pPr>
              <w:widowControl/>
              <w:spacing w:line="0" w:lineRule="atLeast"/>
              <w:jc w:val="both"/>
              <w:rPr>
                <w:color w:val="000000"/>
                <w:kern w:val="0"/>
                <w:sz w:val="22"/>
                <w:szCs w:val="22"/>
                <w:highlight w:val="none"/>
              </w:rPr>
            </w:pPr>
            <w:r>
              <w:rPr>
                <w:rFonts w:hint="eastAsia" w:cs="Times New Roman"/>
                <w:color w:val="000000"/>
                <w:kern w:val="0"/>
                <w:sz w:val="22"/>
                <w:szCs w:val="22"/>
                <w:highlight w:val="none"/>
                <w:lang w:val="en-US" w:eastAsia="zh-CN"/>
              </w:rPr>
              <w:t>100</w:t>
            </w:r>
            <w:r>
              <w:rPr>
                <w:rFonts w:hint="eastAsia" w:ascii="Times New Roman" w:hAnsi="Times New Roman" w:eastAsia="宋体" w:cs="Times New Roman"/>
                <w:color w:val="000000"/>
                <w:kern w:val="0"/>
                <w:sz w:val="22"/>
                <w:szCs w:val="22"/>
                <w:highlight w:val="none"/>
                <w:lang w:val="en-US" w:eastAsia="zh-CN"/>
              </w:rPr>
              <w:t>%</w:t>
            </w:r>
          </w:p>
        </w:tc>
        <w:tc>
          <w:tcPr>
            <w:tcW w:w="482" w:type="pct"/>
            <w:shd w:val="clear" w:color="000000" w:fill="FFFFFF"/>
            <w:vAlign w:val="center"/>
          </w:tcPr>
          <w:p w14:paraId="77804D57">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3</w:t>
            </w:r>
          </w:p>
        </w:tc>
      </w:tr>
      <w:tr w14:paraId="67847D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5" w:hRule="atLeast"/>
        </w:trPr>
        <w:tc>
          <w:tcPr>
            <w:tcW w:w="554" w:type="pct"/>
            <w:vMerge w:val="continue"/>
            <w:shd w:val="clear" w:color="auto" w:fill="FFFFFF"/>
            <w:vAlign w:val="center"/>
          </w:tcPr>
          <w:p w14:paraId="6893F147">
            <w:pPr>
              <w:widowControl/>
              <w:spacing w:line="0" w:lineRule="atLeast"/>
              <w:jc w:val="center"/>
              <w:rPr>
                <w:color w:val="000000"/>
                <w:kern w:val="0"/>
                <w:sz w:val="22"/>
                <w:szCs w:val="22"/>
                <w:highlight w:val="none"/>
              </w:rPr>
            </w:pPr>
          </w:p>
        </w:tc>
        <w:tc>
          <w:tcPr>
            <w:tcW w:w="497" w:type="pct"/>
            <w:vMerge w:val="continue"/>
            <w:shd w:val="clear" w:color="auto" w:fill="FFFFFF"/>
            <w:vAlign w:val="center"/>
          </w:tcPr>
          <w:p w14:paraId="610E2EF1">
            <w:pPr>
              <w:widowControl/>
              <w:spacing w:line="0" w:lineRule="atLeast"/>
              <w:jc w:val="center"/>
              <w:rPr>
                <w:color w:val="000000"/>
                <w:kern w:val="0"/>
                <w:sz w:val="22"/>
                <w:szCs w:val="22"/>
                <w:highlight w:val="none"/>
              </w:rPr>
            </w:pPr>
          </w:p>
        </w:tc>
        <w:tc>
          <w:tcPr>
            <w:tcW w:w="644" w:type="pct"/>
            <w:vMerge w:val="continue"/>
            <w:shd w:val="clear" w:color="auto" w:fill="FFFFFF"/>
            <w:vAlign w:val="center"/>
          </w:tcPr>
          <w:p w14:paraId="3433C961">
            <w:pPr>
              <w:widowControl/>
              <w:spacing w:line="0" w:lineRule="atLeast"/>
              <w:jc w:val="center"/>
              <w:rPr>
                <w:color w:val="000000"/>
                <w:kern w:val="0"/>
                <w:sz w:val="22"/>
                <w:szCs w:val="22"/>
                <w:highlight w:val="none"/>
              </w:rPr>
            </w:pPr>
          </w:p>
        </w:tc>
        <w:tc>
          <w:tcPr>
            <w:tcW w:w="857" w:type="pct"/>
            <w:shd w:val="clear" w:color="auto" w:fill="FFFFFF"/>
            <w:vAlign w:val="center"/>
          </w:tcPr>
          <w:p w14:paraId="516CE161">
            <w:pPr>
              <w:widowControl/>
              <w:spacing w:line="0" w:lineRule="atLeast"/>
              <w:jc w:val="center"/>
              <w:rPr>
                <w:color w:val="000000"/>
                <w:kern w:val="0"/>
                <w:sz w:val="22"/>
                <w:szCs w:val="22"/>
                <w:highlight w:val="none"/>
              </w:rPr>
            </w:pPr>
            <w:r>
              <w:rPr>
                <w:color w:val="000000"/>
                <w:kern w:val="0"/>
                <w:sz w:val="22"/>
                <w:szCs w:val="22"/>
                <w:highlight w:val="none"/>
              </w:rPr>
              <w:t>绩效指标</w:t>
            </w:r>
          </w:p>
          <w:p w14:paraId="2D931AA1">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365" w:type="pct"/>
            <w:shd w:val="clear" w:color="000000" w:fill="FFFFFF"/>
            <w:vAlign w:val="center"/>
          </w:tcPr>
          <w:p w14:paraId="5C86ADBA">
            <w:pPr>
              <w:widowControl/>
              <w:spacing w:line="0" w:lineRule="atLeast"/>
              <w:jc w:val="center"/>
              <w:rPr>
                <w:color w:val="000000"/>
                <w:kern w:val="0"/>
                <w:sz w:val="22"/>
                <w:szCs w:val="22"/>
                <w:highlight w:val="none"/>
              </w:rPr>
            </w:pPr>
            <w:r>
              <w:rPr>
                <w:color w:val="000000"/>
                <w:kern w:val="0"/>
                <w:sz w:val="22"/>
                <w:szCs w:val="22"/>
                <w:highlight w:val="none"/>
              </w:rPr>
              <w:t>3</w:t>
            </w:r>
          </w:p>
        </w:tc>
        <w:tc>
          <w:tcPr>
            <w:tcW w:w="524" w:type="pct"/>
            <w:shd w:val="clear" w:color="000000" w:fill="FFFFFF"/>
            <w:vAlign w:val="center"/>
          </w:tcPr>
          <w:p w14:paraId="536238C1">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531" w:type="pct"/>
            <w:shd w:val="clear" w:color="000000" w:fill="FFFFFF"/>
            <w:vAlign w:val="center"/>
          </w:tcPr>
          <w:p w14:paraId="5FE3207F">
            <w:pPr>
              <w:widowControl/>
              <w:spacing w:line="0" w:lineRule="atLeast"/>
              <w:jc w:val="center"/>
              <w:rPr>
                <w:color w:val="000000"/>
                <w:kern w:val="0"/>
                <w:sz w:val="22"/>
                <w:szCs w:val="22"/>
                <w:highlight w:val="none"/>
              </w:rPr>
            </w:pPr>
            <w:r>
              <w:rPr>
                <w:color w:val="000000"/>
                <w:kern w:val="0"/>
                <w:sz w:val="22"/>
                <w:szCs w:val="22"/>
                <w:highlight w:val="none"/>
              </w:rPr>
              <w:t>明确</w:t>
            </w:r>
          </w:p>
        </w:tc>
        <w:tc>
          <w:tcPr>
            <w:tcW w:w="542" w:type="pct"/>
            <w:shd w:val="clear" w:color="000000" w:fill="FFFFFF"/>
            <w:vAlign w:val="center"/>
          </w:tcPr>
          <w:p w14:paraId="53C2549F">
            <w:pPr>
              <w:widowControl/>
              <w:spacing w:line="0" w:lineRule="atLeast"/>
              <w:jc w:val="center"/>
              <w:rPr>
                <w:color w:val="000000"/>
                <w:kern w:val="0"/>
                <w:sz w:val="22"/>
                <w:szCs w:val="22"/>
                <w:highlight w:val="none"/>
              </w:rPr>
            </w:pPr>
            <w:r>
              <w:rPr>
                <w:rFonts w:hint="eastAsia" w:ascii="Times New Roman" w:hAnsi="Times New Roman" w:eastAsia="宋体" w:cs="Times New Roman"/>
                <w:color w:val="000000"/>
                <w:kern w:val="0"/>
                <w:sz w:val="22"/>
                <w:szCs w:val="22"/>
                <w:highlight w:val="none"/>
                <w:lang w:val="en-US" w:eastAsia="zh-CN"/>
              </w:rPr>
              <w:t>100%</w:t>
            </w:r>
          </w:p>
        </w:tc>
        <w:tc>
          <w:tcPr>
            <w:tcW w:w="482" w:type="pct"/>
            <w:shd w:val="clear" w:color="000000" w:fill="FFFFFF"/>
            <w:vAlign w:val="center"/>
          </w:tcPr>
          <w:p w14:paraId="4A60F628">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3</w:t>
            </w:r>
          </w:p>
        </w:tc>
      </w:tr>
      <w:tr w14:paraId="10F35D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5" w:hRule="atLeast"/>
        </w:trPr>
        <w:tc>
          <w:tcPr>
            <w:tcW w:w="554" w:type="pct"/>
            <w:vMerge w:val="continue"/>
            <w:shd w:val="clear" w:color="auto" w:fill="FFFFFF"/>
            <w:vAlign w:val="center"/>
          </w:tcPr>
          <w:p w14:paraId="0E4CE24D">
            <w:pPr>
              <w:spacing w:line="0" w:lineRule="atLeast"/>
              <w:jc w:val="center"/>
              <w:rPr>
                <w:color w:val="000000"/>
                <w:kern w:val="0"/>
                <w:sz w:val="22"/>
                <w:szCs w:val="22"/>
                <w:highlight w:val="none"/>
              </w:rPr>
            </w:pPr>
          </w:p>
        </w:tc>
        <w:tc>
          <w:tcPr>
            <w:tcW w:w="497" w:type="pct"/>
            <w:vMerge w:val="continue"/>
            <w:shd w:val="clear" w:color="auto" w:fill="FFFFFF"/>
            <w:vAlign w:val="center"/>
          </w:tcPr>
          <w:p w14:paraId="6F3DA562">
            <w:pPr>
              <w:spacing w:line="0" w:lineRule="atLeast"/>
              <w:jc w:val="center"/>
              <w:rPr>
                <w:color w:val="000000"/>
                <w:kern w:val="0"/>
                <w:sz w:val="22"/>
                <w:szCs w:val="22"/>
                <w:highlight w:val="none"/>
              </w:rPr>
            </w:pPr>
          </w:p>
        </w:tc>
        <w:tc>
          <w:tcPr>
            <w:tcW w:w="644" w:type="pct"/>
            <w:vMerge w:val="restart"/>
            <w:shd w:val="clear" w:color="auto" w:fill="FFFFFF"/>
            <w:vAlign w:val="center"/>
          </w:tcPr>
          <w:p w14:paraId="464088E2">
            <w:pPr>
              <w:widowControl/>
              <w:spacing w:line="0" w:lineRule="atLeast"/>
              <w:jc w:val="center"/>
              <w:rPr>
                <w:color w:val="000000"/>
                <w:kern w:val="0"/>
                <w:sz w:val="22"/>
                <w:szCs w:val="22"/>
                <w:highlight w:val="none"/>
              </w:rPr>
            </w:pPr>
            <w:r>
              <w:rPr>
                <w:color w:val="000000"/>
                <w:kern w:val="0"/>
                <w:sz w:val="22"/>
                <w:szCs w:val="22"/>
                <w:highlight w:val="none"/>
              </w:rPr>
              <w:t>资金投入</w:t>
            </w:r>
          </w:p>
        </w:tc>
        <w:tc>
          <w:tcPr>
            <w:tcW w:w="857" w:type="pct"/>
            <w:shd w:val="clear" w:color="auto" w:fill="FFFFFF"/>
            <w:vAlign w:val="center"/>
          </w:tcPr>
          <w:p w14:paraId="30027D4A">
            <w:pPr>
              <w:widowControl/>
              <w:spacing w:line="0" w:lineRule="atLeast"/>
              <w:jc w:val="center"/>
              <w:rPr>
                <w:color w:val="000000"/>
                <w:kern w:val="0"/>
                <w:sz w:val="22"/>
                <w:szCs w:val="22"/>
                <w:highlight w:val="none"/>
              </w:rPr>
            </w:pPr>
            <w:r>
              <w:rPr>
                <w:color w:val="000000"/>
                <w:kern w:val="0"/>
                <w:sz w:val="22"/>
                <w:szCs w:val="22"/>
                <w:highlight w:val="none"/>
              </w:rPr>
              <w:t>预算编制</w:t>
            </w:r>
          </w:p>
          <w:p w14:paraId="50C99C6B">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365" w:type="pct"/>
            <w:shd w:val="clear" w:color="auto" w:fill="FFFFFF"/>
            <w:vAlign w:val="center"/>
          </w:tcPr>
          <w:p w14:paraId="5F1182FC">
            <w:pPr>
              <w:widowControl/>
              <w:spacing w:line="0" w:lineRule="atLeast"/>
              <w:jc w:val="center"/>
              <w:rPr>
                <w:color w:val="000000"/>
                <w:kern w:val="0"/>
                <w:sz w:val="22"/>
                <w:szCs w:val="22"/>
                <w:highlight w:val="none"/>
              </w:rPr>
            </w:pPr>
            <w:r>
              <w:rPr>
                <w:color w:val="000000"/>
                <w:kern w:val="0"/>
                <w:sz w:val="22"/>
                <w:szCs w:val="22"/>
                <w:highlight w:val="none"/>
              </w:rPr>
              <w:t>4</w:t>
            </w:r>
          </w:p>
        </w:tc>
        <w:tc>
          <w:tcPr>
            <w:tcW w:w="524" w:type="pct"/>
            <w:shd w:val="clear" w:color="auto" w:fill="FFFFFF"/>
            <w:vAlign w:val="center"/>
          </w:tcPr>
          <w:p w14:paraId="1222AD2B">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531" w:type="pct"/>
            <w:shd w:val="clear" w:color="auto" w:fill="FFFFFF"/>
            <w:vAlign w:val="center"/>
          </w:tcPr>
          <w:p w14:paraId="6C6EE655">
            <w:pPr>
              <w:widowControl/>
              <w:spacing w:line="0" w:lineRule="atLeast"/>
              <w:jc w:val="center"/>
              <w:rPr>
                <w:color w:val="000000"/>
                <w:kern w:val="0"/>
                <w:sz w:val="22"/>
                <w:szCs w:val="22"/>
                <w:highlight w:val="none"/>
              </w:rPr>
            </w:pPr>
            <w:r>
              <w:rPr>
                <w:color w:val="000000"/>
                <w:kern w:val="0"/>
                <w:sz w:val="22"/>
                <w:szCs w:val="22"/>
                <w:highlight w:val="none"/>
              </w:rPr>
              <w:t>科学</w:t>
            </w:r>
          </w:p>
        </w:tc>
        <w:tc>
          <w:tcPr>
            <w:tcW w:w="542" w:type="pct"/>
            <w:shd w:val="clear" w:color="auto" w:fill="FFFFFF"/>
            <w:vAlign w:val="center"/>
          </w:tcPr>
          <w:p w14:paraId="750302C0">
            <w:pPr>
              <w:widowControl/>
              <w:spacing w:line="0" w:lineRule="atLeast"/>
              <w:jc w:val="center"/>
              <w:rPr>
                <w:color w:val="000000"/>
                <w:kern w:val="0"/>
                <w:sz w:val="22"/>
                <w:szCs w:val="22"/>
                <w:highlight w:val="none"/>
              </w:rPr>
            </w:pPr>
            <w:r>
              <w:rPr>
                <w:rFonts w:hint="eastAsia" w:ascii="Times New Roman" w:hAnsi="Times New Roman" w:eastAsia="宋体" w:cs="Times New Roman"/>
                <w:color w:val="000000"/>
                <w:kern w:val="0"/>
                <w:sz w:val="22"/>
                <w:szCs w:val="22"/>
                <w:highlight w:val="none"/>
                <w:lang w:val="en-US" w:eastAsia="zh-CN"/>
              </w:rPr>
              <w:t>100%</w:t>
            </w:r>
          </w:p>
        </w:tc>
        <w:tc>
          <w:tcPr>
            <w:tcW w:w="482" w:type="pct"/>
            <w:shd w:val="clear" w:color="auto" w:fill="FFFFFF"/>
            <w:vAlign w:val="center"/>
          </w:tcPr>
          <w:p w14:paraId="307C6136">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347D90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5" w:hRule="atLeast"/>
        </w:trPr>
        <w:tc>
          <w:tcPr>
            <w:tcW w:w="554" w:type="pct"/>
            <w:vMerge w:val="continue"/>
            <w:shd w:val="clear" w:color="auto" w:fill="FFFFFF"/>
            <w:vAlign w:val="center"/>
          </w:tcPr>
          <w:p w14:paraId="183005A6">
            <w:pPr>
              <w:widowControl/>
              <w:spacing w:line="0" w:lineRule="atLeast"/>
              <w:jc w:val="center"/>
              <w:rPr>
                <w:color w:val="000000"/>
                <w:kern w:val="0"/>
                <w:sz w:val="22"/>
                <w:szCs w:val="22"/>
                <w:highlight w:val="none"/>
              </w:rPr>
            </w:pPr>
          </w:p>
        </w:tc>
        <w:tc>
          <w:tcPr>
            <w:tcW w:w="497" w:type="pct"/>
            <w:vMerge w:val="continue"/>
            <w:shd w:val="clear" w:color="auto" w:fill="FFFFFF"/>
            <w:vAlign w:val="center"/>
          </w:tcPr>
          <w:p w14:paraId="68737BE4">
            <w:pPr>
              <w:widowControl/>
              <w:spacing w:line="0" w:lineRule="atLeast"/>
              <w:jc w:val="center"/>
              <w:rPr>
                <w:color w:val="000000"/>
                <w:kern w:val="0"/>
                <w:sz w:val="22"/>
                <w:szCs w:val="22"/>
                <w:highlight w:val="none"/>
              </w:rPr>
            </w:pPr>
          </w:p>
        </w:tc>
        <w:tc>
          <w:tcPr>
            <w:tcW w:w="644" w:type="pct"/>
            <w:vMerge w:val="continue"/>
            <w:shd w:val="clear" w:color="auto" w:fill="FFFFFF"/>
            <w:vAlign w:val="center"/>
          </w:tcPr>
          <w:p w14:paraId="29DFF3BC">
            <w:pPr>
              <w:widowControl/>
              <w:spacing w:line="0" w:lineRule="atLeast"/>
              <w:jc w:val="center"/>
              <w:rPr>
                <w:color w:val="000000"/>
                <w:kern w:val="0"/>
                <w:sz w:val="22"/>
                <w:szCs w:val="22"/>
                <w:highlight w:val="none"/>
              </w:rPr>
            </w:pPr>
          </w:p>
        </w:tc>
        <w:tc>
          <w:tcPr>
            <w:tcW w:w="857" w:type="pct"/>
            <w:shd w:val="clear" w:color="auto" w:fill="FFFFFF"/>
            <w:vAlign w:val="center"/>
          </w:tcPr>
          <w:p w14:paraId="125B3A9F">
            <w:pPr>
              <w:widowControl/>
              <w:spacing w:line="0" w:lineRule="atLeast"/>
              <w:jc w:val="center"/>
              <w:rPr>
                <w:color w:val="000000"/>
                <w:kern w:val="0"/>
                <w:sz w:val="22"/>
                <w:szCs w:val="22"/>
                <w:highlight w:val="none"/>
              </w:rPr>
            </w:pPr>
            <w:r>
              <w:rPr>
                <w:color w:val="000000"/>
                <w:kern w:val="0"/>
                <w:sz w:val="22"/>
                <w:szCs w:val="22"/>
                <w:highlight w:val="none"/>
              </w:rPr>
              <w:t>资金分配</w:t>
            </w:r>
          </w:p>
          <w:p w14:paraId="553F0F93">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365" w:type="pct"/>
            <w:shd w:val="clear" w:color="auto" w:fill="FFFFFF"/>
            <w:vAlign w:val="center"/>
          </w:tcPr>
          <w:p w14:paraId="5029B00E">
            <w:pPr>
              <w:widowControl/>
              <w:spacing w:line="0" w:lineRule="atLeast"/>
              <w:jc w:val="center"/>
              <w:rPr>
                <w:color w:val="000000"/>
                <w:kern w:val="0"/>
                <w:sz w:val="22"/>
                <w:szCs w:val="22"/>
                <w:highlight w:val="none"/>
              </w:rPr>
            </w:pPr>
            <w:r>
              <w:rPr>
                <w:color w:val="000000"/>
                <w:kern w:val="0"/>
                <w:sz w:val="22"/>
                <w:szCs w:val="22"/>
                <w:highlight w:val="none"/>
              </w:rPr>
              <w:t>4</w:t>
            </w:r>
          </w:p>
        </w:tc>
        <w:tc>
          <w:tcPr>
            <w:tcW w:w="524" w:type="pct"/>
            <w:shd w:val="clear" w:color="auto" w:fill="FFFFFF"/>
            <w:vAlign w:val="center"/>
          </w:tcPr>
          <w:p w14:paraId="57F28F10">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531" w:type="pct"/>
            <w:shd w:val="clear" w:color="auto" w:fill="FFFFFF"/>
            <w:vAlign w:val="center"/>
          </w:tcPr>
          <w:p w14:paraId="30A5FAFF">
            <w:pPr>
              <w:widowControl/>
              <w:spacing w:line="0" w:lineRule="atLeast"/>
              <w:jc w:val="center"/>
              <w:rPr>
                <w:color w:val="000000"/>
                <w:kern w:val="0"/>
                <w:sz w:val="22"/>
                <w:szCs w:val="22"/>
                <w:highlight w:val="none"/>
              </w:rPr>
            </w:pPr>
            <w:r>
              <w:rPr>
                <w:color w:val="000000"/>
                <w:kern w:val="0"/>
                <w:sz w:val="22"/>
                <w:szCs w:val="22"/>
                <w:highlight w:val="none"/>
              </w:rPr>
              <w:t>合理</w:t>
            </w:r>
          </w:p>
        </w:tc>
        <w:tc>
          <w:tcPr>
            <w:tcW w:w="542" w:type="pct"/>
            <w:shd w:val="clear" w:color="auto" w:fill="FFFFFF"/>
            <w:vAlign w:val="center"/>
          </w:tcPr>
          <w:p w14:paraId="3E153DC4">
            <w:pPr>
              <w:widowControl/>
              <w:spacing w:line="0" w:lineRule="atLeast"/>
              <w:jc w:val="center"/>
              <w:rPr>
                <w:color w:val="000000"/>
                <w:kern w:val="0"/>
                <w:sz w:val="22"/>
                <w:szCs w:val="22"/>
                <w:highlight w:val="none"/>
              </w:rPr>
            </w:pPr>
            <w:r>
              <w:rPr>
                <w:rFonts w:hint="eastAsia" w:ascii="Times New Roman" w:hAnsi="Times New Roman" w:eastAsia="宋体" w:cs="Times New Roman"/>
                <w:color w:val="000000"/>
                <w:kern w:val="0"/>
                <w:sz w:val="22"/>
                <w:szCs w:val="22"/>
                <w:highlight w:val="none"/>
                <w:lang w:val="en-US" w:eastAsia="zh-CN"/>
              </w:rPr>
              <w:t>100%</w:t>
            </w:r>
          </w:p>
        </w:tc>
        <w:tc>
          <w:tcPr>
            <w:tcW w:w="482" w:type="pct"/>
            <w:shd w:val="clear" w:color="auto" w:fill="FFFFFF"/>
            <w:vAlign w:val="center"/>
          </w:tcPr>
          <w:p w14:paraId="2ACEDB44">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0C9831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4" w:hRule="atLeast"/>
        </w:trPr>
        <w:tc>
          <w:tcPr>
            <w:tcW w:w="554" w:type="pct"/>
            <w:vMerge w:val="restart"/>
            <w:shd w:val="clear" w:color="auto" w:fill="FFFFFF"/>
            <w:vAlign w:val="center"/>
          </w:tcPr>
          <w:p w14:paraId="364ABE99">
            <w:pPr>
              <w:spacing w:line="0" w:lineRule="atLeast"/>
              <w:jc w:val="center"/>
              <w:rPr>
                <w:color w:val="000000"/>
                <w:kern w:val="0"/>
                <w:sz w:val="22"/>
                <w:szCs w:val="22"/>
                <w:highlight w:val="none"/>
              </w:rPr>
            </w:pPr>
            <w:r>
              <w:rPr>
                <w:color w:val="000000"/>
                <w:kern w:val="0"/>
                <w:sz w:val="22"/>
                <w:szCs w:val="22"/>
                <w:highlight w:val="none"/>
              </w:rPr>
              <w:t>过程</w:t>
            </w:r>
          </w:p>
          <w:p w14:paraId="44A4DB0A">
            <w:pPr>
              <w:spacing w:line="0" w:lineRule="atLeast"/>
              <w:jc w:val="center"/>
              <w:rPr>
                <w:color w:val="000000"/>
                <w:kern w:val="0"/>
                <w:sz w:val="22"/>
                <w:szCs w:val="22"/>
                <w:highlight w:val="none"/>
              </w:rPr>
            </w:pPr>
            <w:r>
              <w:rPr>
                <w:color w:val="000000"/>
                <w:kern w:val="0"/>
                <w:sz w:val="22"/>
                <w:szCs w:val="22"/>
                <w:highlight w:val="none"/>
              </w:rPr>
              <w:t>　</w:t>
            </w:r>
          </w:p>
        </w:tc>
        <w:tc>
          <w:tcPr>
            <w:tcW w:w="497" w:type="pct"/>
            <w:vMerge w:val="restart"/>
            <w:shd w:val="clear" w:color="auto" w:fill="FFFFFF"/>
            <w:vAlign w:val="center"/>
          </w:tcPr>
          <w:p w14:paraId="22218E91">
            <w:pPr>
              <w:widowControl/>
              <w:spacing w:line="0" w:lineRule="atLeast"/>
              <w:jc w:val="center"/>
              <w:rPr>
                <w:color w:val="000000"/>
                <w:kern w:val="0"/>
                <w:sz w:val="22"/>
                <w:szCs w:val="22"/>
                <w:highlight w:val="none"/>
              </w:rPr>
            </w:pPr>
            <w:r>
              <w:rPr>
                <w:kern w:val="0"/>
                <w:sz w:val="22"/>
                <w:szCs w:val="22"/>
                <w:highlight w:val="none"/>
              </w:rPr>
              <w:t>20分</w:t>
            </w:r>
          </w:p>
        </w:tc>
        <w:tc>
          <w:tcPr>
            <w:tcW w:w="644" w:type="pct"/>
            <w:vMerge w:val="restart"/>
            <w:shd w:val="clear" w:color="auto" w:fill="FFFFFF"/>
            <w:vAlign w:val="center"/>
          </w:tcPr>
          <w:p w14:paraId="5FC23BAB">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57" w:type="pct"/>
            <w:shd w:val="clear" w:color="auto" w:fill="FFFFFF"/>
            <w:vAlign w:val="center"/>
          </w:tcPr>
          <w:p w14:paraId="7177FEB8">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365" w:type="pct"/>
            <w:shd w:val="clear" w:color="000000" w:fill="FFFFFF"/>
            <w:vAlign w:val="center"/>
          </w:tcPr>
          <w:p w14:paraId="3BE84EA4">
            <w:pPr>
              <w:widowControl/>
              <w:spacing w:line="0" w:lineRule="atLeast"/>
              <w:jc w:val="center"/>
              <w:rPr>
                <w:color w:val="000000"/>
                <w:kern w:val="0"/>
                <w:sz w:val="22"/>
                <w:szCs w:val="22"/>
                <w:highlight w:val="none"/>
              </w:rPr>
            </w:pPr>
            <w:r>
              <w:rPr>
                <w:color w:val="000000"/>
                <w:kern w:val="0"/>
                <w:sz w:val="22"/>
                <w:szCs w:val="22"/>
                <w:highlight w:val="none"/>
              </w:rPr>
              <w:t>4</w:t>
            </w:r>
          </w:p>
        </w:tc>
        <w:tc>
          <w:tcPr>
            <w:tcW w:w="524" w:type="pct"/>
            <w:shd w:val="clear" w:color="000000" w:fill="FFFFFF"/>
            <w:vAlign w:val="center"/>
          </w:tcPr>
          <w:p w14:paraId="207B2366">
            <w:pPr>
              <w:widowControl/>
              <w:spacing w:line="0" w:lineRule="atLeast"/>
              <w:jc w:val="center"/>
              <w:rPr>
                <w:color w:val="000000"/>
                <w:kern w:val="0"/>
                <w:sz w:val="22"/>
                <w:szCs w:val="22"/>
                <w:highlight w:val="none"/>
              </w:rPr>
            </w:pPr>
            <w:r>
              <w:rPr>
                <w:color w:val="000000"/>
                <w:kern w:val="0"/>
                <w:sz w:val="22"/>
                <w:szCs w:val="22"/>
                <w:highlight w:val="none"/>
              </w:rPr>
              <w:t>100%</w:t>
            </w:r>
          </w:p>
        </w:tc>
        <w:tc>
          <w:tcPr>
            <w:tcW w:w="531" w:type="pct"/>
            <w:shd w:val="clear" w:color="000000" w:fill="FFFFFF"/>
            <w:vAlign w:val="center"/>
          </w:tcPr>
          <w:p w14:paraId="15B147C2">
            <w:pPr>
              <w:widowControl/>
              <w:spacing w:line="0" w:lineRule="atLeast"/>
              <w:jc w:val="center"/>
              <w:rPr>
                <w:color w:val="000000"/>
                <w:kern w:val="0"/>
                <w:sz w:val="22"/>
                <w:szCs w:val="22"/>
                <w:highlight w:val="none"/>
              </w:rPr>
            </w:pPr>
            <w:r>
              <w:rPr>
                <w:color w:val="000000"/>
                <w:kern w:val="0"/>
                <w:sz w:val="22"/>
                <w:szCs w:val="22"/>
                <w:highlight w:val="none"/>
              </w:rPr>
              <w:t>100%</w:t>
            </w:r>
          </w:p>
        </w:tc>
        <w:tc>
          <w:tcPr>
            <w:tcW w:w="542" w:type="pct"/>
            <w:shd w:val="clear" w:color="000000" w:fill="FFFFFF"/>
            <w:vAlign w:val="center"/>
          </w:tcPr>
          <w:p w14:paraId="0FBA767E">
            <w:pPr>
              <w:widowControl/>
              <w:spacing w:line="0" w:lineRule="atLeast"/>
              <w:jc w:val="center"/>
              <w:rPr>
                <w:color w:val="000000"/>
                <w:kern w:val="0"/>
                <w:sz w:val="22"/>
                <w:szCs w:val="22"/>
                <w:highlight w:val="none"/>
              </w:rPr>
            </w:pPr>
            <w:r>
              <w:rPr>
                <w:color w:val="000000"/>
                <w:kern w:val="0"/>
                <w:sz w:val="22"/>
                <w:szCs w:val="22"/>
                <w:highlight w:val="none"/>
              </w:rPr>
              <w:t>100%</w:t>
            </w:r>
          </w:p>
        </w:tc>
        <w:tc>
          <w:tcPr>
            <w:tcW w:w="482" w:type="pct"/>
            <w:shd w:val="clear" w:color="000000" w:fill="FFFFFF"/>
            <w:vAlign w:val="center"/>
          </w:tcPr>
          <w:p w14:paraId="0D5D13B8">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6AC16F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4" w:hRule="atLeast"/>
        </w:trPr>
        <w:tc>
          <w:tcPr>
            <w:tcW w:w="554" w:type="pct"/>
            <w:vMerge w:val="continue"/>
            <w:shd w:val="clear" w:color="auto" w:fill="FFFFFF"/>
            <w:vAlign w:val="center"/>
          </w:tcPr>
          <w:p w14:paraId="775F2CBA">
            <w:pPr>
              <w:spacing w:line="0" w:lineRule="atLeast"/>
              <w:jc w:val="center"/>
              <w:rPr>
                <w:color w:val="000000"/>
                <w:kern w:val="0"/>
                <w:sz w:val="22"/>
                <w:szCs w:val="22"/>
                <w:highlight w:val="none"/>
              </w:rPr>
            </w:pPr>
          </w:p>
        </w:tc>
        <w:tc>
          <w:tcPr>
            <w:tcW w:w="497" w:type="pct"/>
            <w:vMerge w:val="continue"/>
            <w:shd w:val="clear" w:color="auto" w:fill="FFFFFF"/>
            <w:vAlign w:val="center"/>
          </w:tcPr>
          <w:p w14:paraId="73FA3503">
            <w:pPr>
              <w:spacing w:line="0" w:lineRule="atLeast"/>
              <w:jc w:val="center"/>
              <w:rPr>
                <w:color w:val="000000"/>
                <w:kern w:val="0"/>
                <w:sz w:val="22"/>
                <w:szCs w:val="22"/>
                <w:highlight w:val="none"/>
              </w:rPr>
            </w:pPr>
          </w:p>
        </w:tc>
        <w:tc>
          <w:tcPr>
            <w:tcW w:w="644" w:type="pct"/>
            <w:vMerge w:val="continue"/>
            <w:shd w:val="clear" w:color="auto" w:fill="FFFFFF"/>
            <w:vAlign w:val="center"/>
          </w:tcPr>
          <w:p w14:paraId="76323972">
            <w:pPr>
              <w:spacing w:line="0" w:lineRule="atLeast"/>
              <w:jc w:val="center"/>
              <w:rPr>
                <w:color w:val="000000"/>
                <w:kern w:val="0"/>
                <w:sz w:val="22"/>
                <w:szCs w:val="22"/>
                <w:highlight w:val="none"/>
              </w:rPr>
            </w:pPr>
          </w:p>
        </w:tc>
        <w:tc>
          <w:tcPr>
            <w:tcW w:w="857" w:type="pct"/>
            <w:shd w:val="clear" w:color="auto" w:fill="FFFFFF"/>
            <w:vAlign w:val="center"/>
          </w:tcPr>
          <w:p w14:paraId="0E782DD6">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365" w:type="pct"/>
            <w:shd w:val="clear" w:color="auto" w:fill="FFFFFF"/>
            <w:vAlign w:val="center"/>
          </w:tcPr>
          <w:p w14:paraId="6AF8DAC0">
            <w:pPr>
              <w:widowControl/>
              <w:spacing w:line="0" w:lineRule="atLeast"/>
              <w:jc w:val="center"/>
              <w:rPr>
                <w:color w:val="000000"/>
                <w:kern w:val="0"/>
                <w:sz w:val="22"/>
                <w:szCs w:val="22"/>
                <w:highlight w:val="none"/>
              </w:rPr>
            </w:pPr>
            <w:r>
              <w:rPr>
                <w:color w:val="000000"/>
                <w:kern w:val="0"/>
                <w:sz w:val="22"/>
                <w:szCs w:val="22"/>
                <w:highlight w:val="none"/>
              </w:rPr>
              <w:t>4</w:t>
            </w:r>
          </w:p>
        </w:tc>
        <w:tc>
          <w:tcPr>
            <w:tcW w:w="524" w:type="pct"/>
            <w:shd w:val="clear" w:color="auto" w:fill="FFFFFF"/>
            <w:vAlign w:val="center"/>
          </w:tcPr>
          <w:p w14:paraId="0A808B16">
            <w:pPr>
              <w:widowControl/>
              <w:spacing w:line="0" w:lineRule="atLeast"/>
              <w:jc w:val="center"/>
              <w:rPr>
                <w:color w:val="000000"/>
                <w:kern w:val="0"/>
                <w:sz w:val="22"/>
                <w:szCs w:val="22"/>
                <w:highlight w:val="none"/>
              </w:rPr>
            </w:pPr>
            <w:r>
              <w:rPr>
                <w:color w:val="000000"/>
                <w:kern w:val="0"/>
                <w:sz w:val="22"/>
                <w:szCs w:val="22"/>
                <w:highlight w:val="none"/>
              </w:rPr>
              <w:t>100%</w:t>
            </w:r>
          </w:p>
        </w:tc>
        <w:tc>
          <w:tcPr>
            <w:tcW w:w="531" w:type="pct"/>
            <w:shd w:val="clear" w:color="auto" w:fill="FFFFFF"/>
            <w:vAlign w:val="center"/>
          </w:tcPr>
          <w:p w14:paraId="287D62CB">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100</w:t>
            </w:r>
            <w:r>
              <w:rPr>
                <w:color w:val="000000"/>
                <w:kern w:val="0"/>
                <w:sz w:val="22"/>
                <w:szCs w:val="22"/>
                <w:highlight w:val="none"/>
              </w:rPr>
              <w:t>%</w:t>
            </w:r>
          </w:p>
        </w:tc>
        <w:tc>
          <w:tcPr>
            <w:tcW w:w="542" w:type="pct"/>
            <w:shd w:val="clear" w:color="auto" w:fill="FFFFFF"/>
            <w:vAlign w:val="center"/>
          </w:tcPr>
          <w:p w14:paraId="247C3AEC">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482" w:type="pct"/>
            <w:shd w:val="clear" w:color="auto" w:fill="FFFFFF"/>
            <w:vAlign w:val="center"/>
          </w:tcPr>
          <w:p w14:paraId="23C7B947">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30C762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5" w:hRule="atLeast"/>
        </w:trPr>
        <w:tc>
          <w:tcPr>
            <w:tcW w:w="554" w:type="pct"/>
            <w:vMerge w:val="continue"/>
            <w:shd w:val="clear" w:color="auto" w:fill="FFFFFF"/>
            <w:vAlign w:val="center"/>
          </w:tcPr>
          <w:p w14:paraId="665AA838">
            <w:pPr>
              <w:spacing w:line="0" w:lineRule="atLeast"/>
              <w:jc w:val="center"/>
              <w:rPr>
                <w:color w:val="000000"/>
                <w:kern w:val="0"/>
                <w:sz w:val="22"/>
                <w:szCs w:val="22"/>
                <w:highlight w:val="none"/>
              </w:rPr>
            </w:pPr>
          </w:p>
        </w:tc>
        <w:tc>
          <w:tcPr>
            <w:tcW w:w="497" w:type="pct"/>
            <w:vMerge w:val="continue"/>
            <w:shd w:val="clear" w:color="auto" w:fill="FFFFFF"/>
            <w:vAlign w:val="center"/>
          </w:tcPr>
          <w:p w14:paraId="7DAA43A5">
            <w:pPr>
              <w:widowControl/>
              <w:spacing w:line="0" w:lineRule="atLeast"/>
              <w:jc w:val="center"/>
              <w:rPr>
                <w:color w:val="000000"/>
                <w:kern w:val="0"/>
                <w:sz w:val="22"/>
                <w:szCs w:val="22"/>
                <w:highlight w:val="none"/>
              </w:rPr>
            </w:pPr>
          </w:p>
        </w:tc>
        <w:tc>
          <w:tcPr>
            <w:tcW w:w="644" w:type="pct"/>
            <w:shd w:val="clear" w:color="auto" w:fill="FFFFFF"/>
            <w:vAlign w:val="center"/>
          </w:tcPr>
          <w:p w14:paraId="286716C3">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57" w:type="pct"/>
            <w:shd w:val="clear" w:color="auto" w:fill="FFFFFF"/>
            <w:vAlign w:val="center"/>
          </w:tcPr>
          <w:p w14:paraId="419168CF">
            <w:pPr>
              <w:widowControl/>
              <w:spacing w:line="0" w:lineRule="atLeast"/>
              <w:jc w:val="center"/>
              <w:rPr>
                <w:color w:val="000000"/>
                <w:kern w:val="0"/>
                <w:sz w:val="22"/>
                <w:szCs w:val="22"/>
                <w:highlight w:val="none"/>
              </w:rPr>
            </w:pPr>
            <w:r>
              <w:rPr>
                <w:color w:val="000000"/>
                <w:kern w:val="0"/>
                <w:sz w:val="22"/>
                <w:szCs w:val="22"/>
                <w:highlight w:val="none"/>
              </w:rPr>
              <w:t>资金使用</w:t>
            </w:r>
          </w:p>
          <w:p w14:paraId="1335C5D7">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365" w:type="pct"/>
            <w:shd w:val="clear" w:color="000000" w:fill="FFFFFF"/>
            <w:vAlign w:val="center"/>
          </w:tcPr>
          <w:p w14:paraId="6945B7FE">
            <w:pPr>
              <w:widowControl/>
              <w:spacing w:line="0" w:lineRule="atLeast"/>
              <w:jc w:val="center"/>
              <w:rPr>
                <w:color w:val="000000"/>
                <w:kern w:val="0"/>
                <w:sz w:val="22"/>
                <w:szCs w:val="22"/>
                <w:highlight w:val="none"/>
              </w:rPr>
            </w:pPr>
            <w:r>
              <w:rPr>
                <w:color w:val="000000"/>
                <w:kern w:val="0"/>
                <w:sz w:val="22"/>
                <w:szCs w:val="22"/>
                <w:highlight w:val="none"/>
              </w:rPr>
              <w:t>4</w:t>
            </w:r>
          </w:p>
        </w:tc>
        <w:tc>
          <w:tcPr>
            <w:tcW w:w="524" w:type="pct"/>
            <w:shd w:val="clear" w:color="000000" w:fill="FFFFFF"/>
            <w:vAlign w:val="center"/>
          </w:tcPr>
          <w:p w14:paraId="584655F2">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531" w:type="pct"/>
            <w:shd w:val="clear" w:color="000000" w:fill="FFFFFF"/>
            <w:vAlign w:val="center"/>
          </w:tcPr>
          <w:p w14:paraId="4D1DA818">
            <w:pPr>
              <w:widowControl/>
              <w:spacing w:line="0" w:lineRule="atLeast"/>
              <w:jc w:val="center"/>
              <w:rPr>
                <w:color w:val="000000"/>
                <w:kern w:val="0"/>
                <w:sz w:val="22"/>
                <w:szCs w:val="22"/>
                <w:highlight w:val="none"/>
              </w:rPr>
            </w:pPr>
            <w:r>
              <w:rPr>
                <w:color w:val="000000"/>
                <w:kern w:val="0"/>
                <w:sz w:val="22"/>
                <w:szCs w:val="22"/>
                <w:highlight w:val="none"/>
              </w:rPr>
              <w:t>合格</w:t>
            </w:r>
          </w:p>
        </w:tc>
        <w:tc>
          <w:tcPr>
            <w:tcW w:w="542" w:type="pct"/>
            <w:shd w:val="clear" w:color="000000" w:fill="FFFFFF"/>
            <w:vAlign w:val="center"/>
          </w:tcPr>
          <w:p w14:paraId="0A0695BF">
            <w:pPr>
              <w:widowControl/>
              <w:spacing w:line="0" w:lineRule="atLeast"/>
              <w:jc w:val="center"/>
              <w:rPr>
                <w:color w:val="000000"/>
                <w:kern w:val="0"/>
                <w:sz w:val="22"/>
                <w:szCs w:val="22"/>
                <w:highlight w:val="none"/>
              </w:rPr>
            </w:pPr>
            <w:r>
              <w:rPr>
                <w:rFonts w:hint="eastAsia" w:ascii="Times New Roman" w:hAnsi="Times New Roman" w:eastAsia="宋体" w:cs="Times New Roman"/>
                <w:color w:val="000000"/>
                <w:kern w:val="0"/>
                <w:sz w:val="22"/>
                <w:szCs w:val="22"/>
                <w:highlight w:val="none"/>
                <w:lang w:val="en-US" w:eastAsia="zh-CN"/>
              </w:rPr>
              <w:t>100%</w:t>
            </w:r>
          </w:p>
        </w:tc>
        <w:tc>
          <w:tcPr>
            <w:tcW w:w="482" w:type="pct"/>
            <w:shd w:val="clear" w:color="000000" w:fill="FFFFFF"/>
            <w:vAlign w:val="center"/>
          </w:tcPr>
          <w:p w14:paraId="6F6391D5">
            <w:pPr>
              <w:widowControl/>
              <w:spacing w:line="0" w:lineRule="atLeast"/>
              <w:jc w:val="center"/>
              <w:rPr>
                <w:rFonts w:hint="eastAsia" w:eastAsia="宋体"/>
                <w:color w:val="000000"/>
                <w:kern w:val="0"/>
                <w:sz w:val="22"/>
                <w:szCs w:val="22"/>
                <w:highlight w:val="none"/>
                <w:lang w:val="en-US" w:eastAsia="zh-CN"/>
              </w:rPr>
            </w:pPr>
            <w:r>
              <w:rPr>
                <w:rFonts w:hint="eastAsia"/>
                <w:color w:val="000000"/>
                <w:kern w:val="0"/>
                <w:sz w:val="22"/>
                <w:szCs w:val="22"/>
                <w:highlight w:val="none"/>
                <w:lang w:val="en-US" w:eastAsia="zh-CN"/>
              </w:rPr>
              <w:t>4</w:t>
            </w:r>
          </w:p>
        </w:tc>
      </w:tr>
      <w:tr w14:paraId="1046B4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5" w:hRule="atLeast"/>
        </w:trPr>
        <w:tc>
          <w:tcPr>
            <w:tcW w:w="554" w:type="pct"/>
            <w:vMerge w:val="continue"/>
            <w:shd w:val="clear" w:color="auto" w:fill="FFFFFF"/>
            <w:vAlign w:val="center"/>
          </w:tcPr>
          <w:p w14:paraId="74860CFB">
            <w:pPr>
              <w:spacing w:line="0" w:lineRule="atLeast"/>
              <w:jc w:val="center"/>
              <w:rPr>
                <w:color w:val="000000"/>
                <w:kern w:val="0"/>
                <w:sz w:val="22"/>
                <w:szCs w:val="22"/>
                <w:highlight w:val="none"/>
              </w:rPr>
            </w:pPr>
          </w:p>
        </w:tc>
        <w:tc>
          <w:tcPr>
            <w:tcW w:w="497" w:type="pct"/>
            <w:vMerge w:val="continue"/>
            <w:shd w:val="clear" w:color="auto" w:fill="FFFFFF"/>
            <w:vAlign w:val="center"/>
          </w:tcPr>
          <w:p w14:paraId="7B3D95CD">
            <w:pPr>
              <w:spacing w:line="0" w:lineRule="atLeast"/>
              <w:jc w:val="center"/>
              <w:rPr>
                <w:color w:val="000000"/>
                <w:kern w:val="0"/>
                <w:sz w:val="22"/>
                <w:szCs w:val="22"/>
                <w:highlight w:val="none"/>
              </w:rPr>
            </w:pPr>
          </w:p>
        </w:tc>
        <w:tc>
          <w:tcPr>
            <w:tcW w:w="644" w:type="pct"/>
            <w:vMerge w:val="restart"/>
            <w:shd w:val="clear" w:color="auto" w:fill="FFFFFF"/>
            <w:vAlign w:val="center"/>
          </w:tcPr>
          <w:p w14:paraId="3E2B0887">
            <w:pPr>
              <w:widowControl/>
              <w:spacing w:line="0" w:lineRule="atLeast"/>
              <w:jc w:val="center"/>
              <w:rPr>
                <w:color w:val="000000"/>
                <w:kern w:val="0"/>
                <w:sz w:val="22"/>
                <w:szCs w:val="22"/>
                <w:highlight w:val="none"/>
              </w:rPr>
            </w:pPr>
            <w:r>
              <w:rPr>
                <w:color w:val="000000"/>
                <w:kern w:val="0"/>
                <w:sz w:val="22"/>
                <w:szCs w:val="22"/>
                <w:highlight w:val="none"/>
              </w:rPr>
              <w:t>组织实施</w:t>
            </w:r>
          </w:p>
        </w:tc>
        <w:tc>
          <w:tcPr>
            <w:tcW w:w="857" w:type="pct"/>
            <w:shd w:val="clear" w:color="auto" w:fill="FFFFFF"/>
            <w:vAlign w:val="center"/>
          </w:tcPr>
          <w:p w14:paraId="61BBFCB4">
            <w:pPr>
              <w:widowControl/>
              <w:spacing w:line="0" w:lineRule="atLeast"/>
              <w:jc w:val="center"/>
              <w:rPr>
                <w:color w:val="000000"/>
                <w:kern w:val="0"/>
                <w:sz w:val="22"/>
                <w:szCs w:val="22"/>
                <w:highlight w:val="none"/>
              </w:rPr>
            </w:pPr>
            <w:r>
              <w:rPr>
                <w:color w:val="000000"/>
                <w:kern w:val="0"/>
                <w:sz w:val="22"/>
                <w:szCs w:val="22"/>
                <w:highlight w:val="none"/>
              </w:rPr>
              <w:t>管理制度</w:t>
            </w:r>
          </w:p>
          <w:p w14:paraId="0B0A7193">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365" w:type="pct"/>
            <w:shd w:val="clear" w:color="000000" w:fill="FFFFFF"/>
            <w:vAlign w:val="center"/>
          </w:tcPr>
          <w:p w14:paraId="56F04A6B">
            <w:pPr>
              <w:widowControl/>
              <w:spacing w:line="0" w:lineRule="atLeast"/>
              <w:jc w:val="center"/>
              <w:rPr>
                <w:color w:val="000000"/>
                <w:kern w:val="0"/>
                <w:sz w:val="22"/>
                <w:szCs w:val="22"/>
                <w:highlight w:val="none"/>
              </w:rPr>
            </w:pPr>
            <w:r>
              <w:rPr>
                <w:color w:val="000000"/>
                <w:kern w:val="0"/>
                <w:sz w:val="22"/>
                <w:szCs w:val="22"/>
                <w:highlight w:val="none"/>
              </w:rPr>
              <w:t>4</w:t>
            </w:r>
          </w:p>
        </w:tc>
        <w:tc>
          <w:tcPr>
            <w:tcW w:w="524" w:type="pct"/>
            <w:shd w:val="clear" w:color="000000" w:fill="FFFFFF"/>
            <w:vAlign w:val="center"/>
          </w:tcPr>
          <w:p w14:paraId="5C8DBA71">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531" w:type="pct"/>
            <w:shd w:val="clear" w:color="000000" w:fill="FFFFFF"/>
            <w:vAlign w:val="center"/>
          </w:tcPr>
          <w:p w14:paraId="7ADC263B">
            <w:pPr>
              <w:widowControl/>
              <w:spacing w:line="0" w:lineRule="atLeast"/>
              <w:jc w:val="center"/>
              <w:rPr>
                <w:color w:val="000000"/>
                <w:kern w:val="0"/>
                <w:sz w:val="22"/>
                <w:szCs w:val="22"/>
                <w:highlight w:val="none"/>
              </w:rPr>
            </w:pPr>
            <w:r>
              <w:rPr>
                <w:color w:val="000000"/>
                <w:kern w:val="0"/>
                <w:sz w:val="22"/>
                <w:szCs w:val="22"/>
                <w:highlight w:val="none"/>
              </w:rPr>
              <w:t>健全</w:t>
            </w:r>
          </w:p>
        </w:tc>
        <w:tc>
          <w:tcPr>
            <w:tcW w:w="542" w:type="pct"/>
            <w:shd w:val="clear" w:color="000000" w:fill="FFFFFF"/>
            <w:vAlign w:val="center"/>
          </w:tcPr>
          <w:p w14:paraId="6B6B3093">
            <w:pPr>
              <w:widowControl/>
              <w:spacing w:line="0" w:lineRule="atLeast"/>
              <w:jc w:val="center"/>
              <w:rPr>
                <w:color w:val="000000"/>
                <w:kern w:val="0"/>
                <w:sz w:val="22"/>
                <w:szCs w:val="22"/>
                <w:highlight w:val="none"/>
              </w:rPr>
            </w:pPr>
            <w:r>
              <w:rPr>
                <w:rFonts w:hint="eastAsia" w:ascii="Times New Roman" w:hAnsi="Times New Roman" w:eastAsia="宋体" w:cs="Times New Roman"/>
                <w:color w:val="000000"/>
                <w:kern w:val="0"/>
                <w:sz w:val="22"/>
                <w:szCs w:val="22"/>
                <w:highlight w:val="none"/>
                <w:lang w:val="en-US" w:eastAsia="zh-CN"/>
              </w:rPr>
              <w:t>100%</w:t>
            </w:r>
          </w:p>
        </w:tc>
        <w:tc>
          <w:tcPr>
            <w:tcW w:w="482" w:type="pct"/>
            <w:shd w:val="clear" w:color="000000" w:fill="FFFFFF"/>
            <w:vAlign w:val="center"/>
          </w:tcPr>
          <w:p w14:paraId="6E2AA7E0">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22D163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5" w:hRule="atLeast"/>
        </w:trPr>
        <w:tc>
          <w:tcPr>
            <w:tcW w:w="554" w:type="pct"/>
            <w:vMerge w:val="continue"/>
            <w:shd w:val="clear" w:color="auto" w:fill="FFFFFF"/>
            <w:vAlign w:val="center"/>
          </w:tcPr>
          <w:p w14:paraId="69B5A932">
            <w:pPr>
              <w:widowControl/>
              <w:spacing w:line="0" w:lineRule="atLeast"/>
              <w:jc w:val="center"/>
              <w:rPr>
                <w:color w:val="000000"/>
                <w:kern w:val="0"/>
                <w:sz w:val="22"/>
                <w:szCs w:val="22"/>
                <w:highlight w:val="none"/>
              </w:rPr>
            </w:pPr>
          </w:p>
        </w:tc>
        <w:tc>
          <w:tcPr>
            <w:tcW w:w="497" w:type="pct"/>
            <w:vMerge w:val="continue"/>
            <w:shd w:val="clear" w:color="auto" w:fill="FFFFFF"/>
            <w:vAlign w:val="center"/>
          </w:tcPr>
          <w:p w14:paraId="01969D1C">
            <w:pPr>
              <w:widowControl/>
              <w:spacing w:line="0" w:lineRule="atLeast"/>
              <w:jc w:val="center"/>
              <w:rPr>
                <w:color w:val="000000"/>
                <w:kern w:val="0"/>
                <w:sz w:val="22"/>
                <w:szCs w:val="22"/>
                <w:highlight w:val="none"/>
              </w:rPr>
            </w:pPr>
          </w:p>
        </w:tc>
        <w:tc>
          <w:tcPr>
            <w:tcW w:w="644" w:type="pct"/>
            <w:vMerge w:val="continue"/>
            <w:shd w:val="clear" w:color="auto" w:fill="FFFFFF"/>
            <w:vAlign w:val="center"/>
          </w:tcPr>
          <w:p w14:paraId="70ADF30C">
            <w:pPr>
              <w:widowControl/>
              <w:spacing w:line="0" w:lineRule="atLeast"/>
              <w:jc w:val="center"/>
              <w:rPr>
                <w:color w:val="000000"/>
                <w:kern w:val="0"/>
                <w:sz w:val="22"/>
                <w:szCs w:val="22"/>
                <w:highlight w:val="none"/>
              </w:rPr>
            </w:pPr>
          </w:p>
        </w:tc>
        <w:tc>
          <w:tcPr>
            <w:tcW w:w="857" w:type="pct"/>
            <w:shd w:val="clear" w:color="auto" w:fill="FFFFFF"/>
            <w:vAlign w:val="center"/>
          </w:tcPr>
          <w:p w14:paraId="17AA3915">
            <w:pPr>
              <w:widowControl/>
              <w:spacing w:line="0" w:lineRule="atLeast"/>
              <w:jc w:val="center"/>
              <w:rPr>
                <w:color w:val="000000"/>
                <w:kern w:val="0"/>
                <w:sz w:val="22"/>
                <w:szCs w:val="22"/>
                <w:highlight w:val="none"/>
              </w:rPr>
            </w:pPr>
            <w:r>
              <w:rPr>
                <w:color w:val="000000"/>
                <w:kern w:val="0"/>
                <w:sz w:val="22"/>
                <w:szCs w:val="22"/>
                <w:highlight w:val="none"/>
              </w:rPr>
              <w:t>制度执行</w:t>
            </w:r>
          </w:p>
          <w:p w14:paraId="1CC751D3">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365" w:type="pct"/>
            <w:shd w:val="clear" w:color="000000" w:fill="FFFFFF"/>
            <w:vAlign w:val="center"/>
          </w:tcPr>
          <w:p w14:paraId="2DB260F9">
            <w:pPr>
              <w:widowControl/>
              <w:spacing w:line="0" w:lineRule="atLeast"/>
              <w:jc w:val="center"/>
              <w:rPr>
                <w:color w:val="000000"/>
                <w:kern w:val="0"/>
                <w:sz w:val="22"/>
                <w:szCs w:val="22"/>
                <w:highlight w:val="none"/>
              </w:rPr>
            </w:pPr>
            <w:r>
              <w:rPr>
                <w:color w:val="000000"/>
                <w:kern w:val="0"/>
                <w:sz w:val="22"/>
                <w:szCs w:val="22"/>
                <w:highlight w:val="none"/>
              </w:rPr>
              <w:t>4</w:t>
            </w:r>
          </w:p>
        </w:tc>
        <w:tc>
          <w:tcPr>
            <w:tcW w:w="524" w:type="pct"/>
            <w:shd w:val="clear" w:color="000000" w:fill="FFFFFF"/>
            <w:vAlign w:val="center"/>
          </w:tcPr>
          <w:p w14:paraId="2CE7C0A3">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531" w:type="pct"/>
            <w:shd w:val="clear" w:color="000000" w:fill="FFFFFF"/>
            <w:vAlign w:val="center"/>
          </w:tcPr>
          <w:p w14:paraId="59A3D9B7">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542" w:type="pct"/>
            <w:shd w:val="clear" w:color="000000" w:fill="FFFFFF"/>
            <w:vAlign w:val="center"/>
          </w:tcPr>
          <w:p w14:paraId="36804B0D">
            <w:pPr>
              <w:widowControl/>
              <w:spacing w:line="0" w:lineRule="atLeast"/>
              <w:jc w:val="center"/>
              <w:rPr>
                <w:color w:val="000000"/>
                <w:kern w:val="0"/>
                <w:sz w:val="22"/>
                <w:szCs w:val="22"/>
                <w:highlight w:val="none"/>
              </w:rPr>
            </w:pPr>
            <w:r>
              <w:rPr>
                <w:rFonts w:hint="eastAsia" w:ascii="Times New Roman" w:hAnsi="Times New Roman" w:eastAsia="宋体" w:cs="Times New Roman"/>
                <w:color w:val="000000"/>
                <w:kern w:val="0"/>
                <w:sz w:val="22"/>
                <w:szCs w:val="22"/>
                <w:highlight w:val="none"/>
                <w:lang w:val="en-US" w:eastAsia="zh-CN"/>
              </w:rPr>
              <w:t>100%</w:t>
            </w:r>
          </w:p>
        </w:tc>
        <w:tc>
          <w:tcPr>
            <w:tcW w:w="482" w:type="pct"/>
            <w:shd w:val="clear" w:color="000000" w:fill="FFFFFF"/>
            <w:vAlign w:val="center"/>
          </w:tcPr>
          <w:p w14:paraId="3F10AB3F">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4</w:t>
            </w:r>
          </w:p>
        </w:tc>
      </w:tr>
      <w:tr w14:paraId="648AFE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4" w:hRule="atLeast"/>
        </w:trPr>
        <w:tc>
          <w:tcPr>
            <w:tcW w:w="554" w:type="pct"/>
            <w:vMerge w:val="restart"/>
            <w:shd w:val="clear" w:color="auto" w:fill="FFFFFF"/>
            <w:vAlign w:val="center"/>
          </w:tcPr>
          <w:p w14:paraId="62D674A5">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497" w:type="pct"/>
            <w:vMerge w:val="restart"/>
            <w:shd w:val="clear" w:color="auto" w:fill="FFFFFF"/>
            <w:vAlign w:val="center"/>
          </w:tcPr>
          <w:p w14:paraId="315953D0">
            <w:pPr>
              <w:widowControl/>
              <w:spacing w:line="0" w:lineRule="atLeast"/>
              <w:jc w:val="center"/>
              <w:rPr>
                <w:color w:val="000000"/>
                <w:kern w:val="0"/>
                <w:sz w:val="22"/>
                <w:szCs w:val="22"/>
                <w:highlight w:val="none"/>
              </w:rPr>
            </w:pPr>
            <w:r>
              <w:rPr>
                <w:kern w:val="0"/>
                <w:sz w:val="22"/>
                <w:szCs w:val="22"/>
                <w:highlight w:val="none"/>
              </w:rPr>
              <w:t>40分</w:t>
            </w:r>
          </w:p>
        </w:tc>
        <w:tc>
          <w:tcPr>
            <w:tcW w:w="644" w:type="pct"/>
            <w:shd w:val="clear" w:color="auto" w:fill="FFFFFF"/>
            <w:vAlign w:val="center"/>
          </w:tcPr>
          <w:p w14:paraId="2222C0F6">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857" w:type="pct"/>
            <w:shd w:val="clear" w:color="auto" w:fill="FFFFFF"/>
            <w:vAlign w:val="center"/>
          </w:tcPr>
          <w:p w14:paraId="33B74EBB">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365" w:type="pct"/>
            <w:shd w:val="clear" w:color="000000" w:fill="FFFFFF"/>
            <w:vAlign w:val="center"/>
          </w:tcPr>
          <w:p w14:paraId="53CF59E8">
            <w:pPr>
              <w:widowControl/>
              <w:spacing w:line="0" w:lineRule="atLeast"/>
              <w:jc w:val="center"/>
              <w:rPr>
                <w:color w:val="000000"/>
                <w:kern w:val="0"/>
                <w:sz w:val="22"/>
                <w:szCs w:val="22"/>
                <w:highlight w:val="none"/>
              </w:rPr>
            </w:pPr>
            <w:r>
              <w:rPr>
                <w:color w:val="000000"/>
                <w:kern w:val="0"/>
                <w:sz w:val="22"/>
                <w:szCs w:val="22"/>
                <w:highlight w:val="none"/>
              </w:rPr>
              <w:t>10</w:t>
            </w:r>
          </w:p>
        </w:tc>
        <w:tc>
          <w:tcPr>
            <w:tcW w:w="524" w:type="pct"/>
            <w:shd w:val="clear" w:color="000000" w:fill="FFFFFF"/>
            <w:vAlign w:val="center"/>
          </w:tcPr>
          <w:p w14:paraId="4FB84208">
            <w:pPr>
              <w:widowControl/>
              <w:spacing w:line="0" w:lineRule="atLeast"/>
              <w:jc w:val="center"/>
              <w:rPr>
                <w:color w:val="000000"/>
                <w:kern w:val="0"/>
                <w:sz w:val="22"/>
                <w:szCs w:val="22"/>
                <w:highlight w:val="none"/>
              </w:rPr>
            </w:pPr>
            <w:r>
              <w:rPr>
                <w:color w:val="000000"/>
                <w:kern w:val="0"/>
                <w:sz w:val="22"/>
                <w:szCs w:val="22"/>
                <w:highlight w:val="none"/>
              </w:rPr>
              <w:t>100%</w:t>
            </w:r>
          </w:p>
        </w:tc>
        <w:tc>
          <w:tcPr>
            <w:tcW w:w="531" w:type="pct"/>
            <w:shd w:val="clear" w:color="000000" w:fill="FFFFFF"/>
            <w:vAlign w:val="center"/>
          </w:tcPr>
          <w:p w14:paraId="02C45F7A">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122.18</w:t>
            </w:r>
            <w:r>
              <w:rPr>
                <w:color w:val="000000"/>
                <w:kern w:val="0"/>
                <w:sz w:val="22"/>
                <w:szCs w:val="22"/>
                <w:highlight w:val="none"/>
              </w:rPr>
              <w:t>%</w:t>
            </w:r>
          </w:p>
        </w:tc>
        <w:tc>
          <w:tcPr>
            <w:tcW w:w="542" w:type="pct"/>
            <w:shd w:val="clear" w:color="000000" w:fill="FFFFFF"/>
            <w:vAlign w:val="center"/>
          </w:tcPr>
          <w:p w14:paraId="53C9914A">
            <w:pPr>
              <w:widowControl/>
              <w:spacing w:line="0" w:lineRule="atLeast"/>
              <w:jc w:val="center"/>
              <w:rPr>
                <w:color w:val="000000"/>
                <w:kern w:val="0"/>
                <w:sz w:val="22"/>
                <w:szCs w:val="22"/>
                <w:highlight w:val="none"/>
              </w:rPr>
            </w:pPr>
            <w:r>
              <w:rPr>
                <w:rFonts w:hint="eastAsia" w:ascii="Times New Roman" w:hAnsi="Times New Roman" w:eastAsia="宋体" w:cs="Times New Roman"/>
                <w:color w:val="000000"/>
                <w:kern w:val="0"/>
                <w:sz w:val="22"/>
                <w:szCs w:val="22"/>
                <w:highlight w:val="none"/>
                <w:lang w:val="en-US" w:eastAsia="zh-CN"/>
              </w:rPr>
              <w:t>100%</w:t>
            </w:r>
          </w:p>
        </w:tc>
        <w:tc>
          <w:tcPr>
            <w:tcW w:w="482" w:type="pct"/>
            <w:shd w:val="clear" w:color="000000" w:fill="FFFFFF"/>
            <w:vAlign w:val="center"/>
          </w:tcPr>
          <w:p w14:paraId="5F48DF85">
            <w:pPr>
              <w:widowControl/>
              <w:spacing w:line="0" w:lineRule="atLeast"/>
              <w:jc w:val="center"/>
              <w:rPr>
                <w:rFonts w:hint="default"/>
                <w:color w:val="000000"/>
                <w:kern w:val="0"/>
                <w:sz w:val="22"/>
                <w:szCs w:val="22"/>
                <w:highlight w:val="none"/>
                <w:lang w:val="en-US"/>
              </w:rPr>
            </w:pPr>
            <w:r>
              <w:rPr>
                <w:rFonts w:hint="eastAsia"/>
                <w:color w:val="000000"/>
                <w:kern w:val="0"/>
                <w:sz w:val="22"/>
                <w:szCs w:val="22"/>
                <w:highlight w:val="none"/>
                <w:lang w:val="en-US" w:eastAsia="zh-CN"/>
              </w:rPr>
              <w:t>10</w:t>
            </w:r>
          </w:p>
        </w:tc>
      </w:tr>
      <w:tr w14:paraId="3874FB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4" w:hRule="atLeast"/>
        </w:trPr>
        <w:tc>
          <w:tcPr>
            <w:tcW w:w="554" w:type="pct"/>
            <w:vMerge w:val="continue"/>
            <w:shd w:val="clear" w:color="auto" w:fill="FFFFFF"/>
            <w:vAlign w:val="center"/>
          </w:tcPr>
          <w:p w14:paraId="5FD30388">
            <w:pPr>
              <w:widowControl/>
              <w:spacing w:line="0" w:lineRule="atLeast"/>
              <w:jc w:val="center"/>
              <w:rPr>
                <w:color w:val="000000"/>
                <w:kern w:val="0"/>
                <w:sz w:val="22"/>
                <w:szCs w:val="22"/>
                <w:highlight w:val="none"/>
              </w:rPr>
            </w:pPr>
          </w:p>
        </w:tc>
        <w:tc>
          <w:tcPr>
            <w:tcW w:w="497" w:type="pct"/>
            <w:vMerge w:val="continue"/>
            <w:shd w:val="clear" w:color="auto" w:fill="FFFFFF"/>
            <w:vAlign w:val="center"/>
          </w:tcPr>
          <w:p w14:paraId="57FCAA30">
            <w:pPr>
              <w:widowControl/>
              <w:spacing w:line="0" w:lineRule="atLeast"/>
              <w:jc w:val="center"/>
              <w:rPr>
                <w:color w:val="000000"/>
                <w:kern w:val="0"/>
                <w:sz w:val="22"/>
                <w:szCs w:val="22"/>
                <w:highlight w:val="none"/>
              </w:rPr>
            </w:pPr>
          </w:p>
        </w:tc>
        <w:tc>
          <w:tcPr>
            <w:tcW w:w="644" w:type="pct"/>
            <w:shd w:val="clear" w:color="auto" w:fill="FFFFFF"/>
            <w:vAlign w:val="center"/>
          </w:tcPr>
          <w:p w14:paraId="642E4395">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857" w:type="pct"/>
            <w:shd w:val="clear" w:color="auto" w:fill="FFFFFF"/>
            <w:vAlign w:val="center"/>
          </w:tcPr>
          <w:p w14:paraId="536E7467">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365" w:type="pct"/>
            <w:shd w:val="clear" w:color="000000" w:fill="FFFFFF"/>
            <w:vAlign w:val="center"/>
          </w:tcPr>
          <w:p w14:paraId="74BDF6C4">
            <w:pPr>
              <w:widowControl/>
              <w:spacing w:line="0" w:lineRule="atLeast"/>
              <w:jc w:val="center"/>
              <w:rPr>
                <w:color w:val="000000"/>
                <w:kern w:val="0"/>
                <w:sz w:val="22"/>
                <w:szCs w:val="22"/>
                <w:highlight w:val="none"/>
              </w:rPr>
            </w:pPr>
            <w:r>
              <w:rPr>
                <w:color w:val="000000"/>
                <w:kern w:val="0"/>
                <w:sz w:val="22"/>
                <w:szCs w:val="22"/>
                <w:highlight w:val="none"/>
              </w:rPr>
              <w:t>10</w:t>
            </w:r>
          </w:p>
        </w:tc>
        <w:tc>
          <w:tcPr>
            <w:tcW w:w="524" w:type="pct"/>
            <w:shd w:val="clear" w:color="000000" w:fill="FFFFFF"/>
            <w:vAlign w:val="center"/>
          </w:tcPr>
          <w:p w14:paraId="07A36E6C">
            <w:pPr>
              <w:widowControl/>
              <w:spacing w:line="0" w:lineRule="atLeast"/>
              <w:jc w:val="center"/>
              <w:rPr>
                <w:color w:val="000000"/>
                <w:kern w:val="0"/>
                <w:sz w:val="22"/>
                <w:szCs w:val="22"/>
                <w:highlight w:val="none"/>
              </w:rPr>
            </w:pPr>
            <w:r>
              <w:rPr>
                <w:color w:val="000000"/>
                <w:kern w:val="0"/>
                <w:sz w:val="22"/>
                <w:szCs w:val="22"/>
                <w:highlight w:val="none"/>
              </w:rPr>
              <w:t>100%</w:t>
            </w:r>
          </w:p>
        </w:tc>
        <w:tc>
          <w:tcPr>
            <w:tcW w:w="531" w:type="pct"/>
            <w:shd w:val="clear" w:color="000000" w:fill="FFFFFF"/>
            <w:vAlign w:val="center"/>
          </w:tcPr>
          <w:p w14:paraId="1B9E62CB">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121.86</w:t>
            </w:r>
            <w:r>
              <w:rPr>
                <w:color w:val="000000"/>
                <w:kern w:val="0"/>
                <w:sz w:val="22"/>
                <w:szCs w:val="22"/>
                <w:highlight w:val="none"/>
              </w:rPr>
              <w:t>%</w:t>
            </w:r>
          </w:p>
        </w:tc>
        <w:tc>
          <w:tcPr>
            <w:tcW w:w="542" w:type="pct"/>
            <w:shd w:val="clear" w:color="000000" w:fill="FFFFFF"/>
            <w:vAlign w:val="center"/>
          </w:tcPr>
          <w:p w14:paraId="336B28F8">
            <w:pPr>
              <w:widowControl/>
              <w:spacing w:line="0" w:lineRule="atLeast"/>
              <w:jc w:val="center"/>
              <w:rPr>
                <w:color w:val="000000"/>
                <w:kern w:val="0"/>
                <w:sz w:val="22"/>
                <w:szCs w:val="22"/>
                <w:highlight w:val="none"/>
              </w:rPr>
            </w:pPr>
            <w:r>
              <w:rPr>
                <w:rFonts w:hint="eastAsia" w:ascii="Times New Roman" w:hAnsi="Times New Roman" w:eastAsia="宋体" w:cs="Times New Roman"/>
                <w:color w:val="000000"/>
                <w:kern w:val="0"/>
                <w:sz w:val="22"/>
                <w:szCs w:val="22"/>
                <w:highlight w:val="none"/>
                <w:lang w:val="en-US" w:eastAsia="zh-CN"/>
              </w:rPr>
              <w:t>100%</w:t>
            </w:r>
          </w:p>
        </w:tc>
        <w:tc>
          <w:tcPr>
            <w:tcW w:w="482" w:type="pct"/>
            <w:shd w:val="clear" w:color="000000" w:fill="FFFFFF"/>
            <w:vAlign w:val="center"/>
          </w:tcPr>
          <w:p w14:paraId="3C6EB92F">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7A4E34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4" w:hRule="atLeast"/>
        </w:trPr>
        <w:tc>
          <w:tcPr>
            <w:tcW w:w="554" w:type="pct"/>
            <w:vMerge w:val="continue"/>
            <w:shd w:val="clear" w:color="auto" w:fill="FFFFFF"/>
            <w:vAlign w:val="center"/>
          </w:tcPr>
          <w:p w14:paraId="5B9B63C1">
            <w:pPr>
              <w:spacing w:line="0" w:lineRule="atLeast"/>
              <w:jc w:val="center"/>
              <w:rPr>
                <w:color w:val="000000"/>
                <w:kern w:val="0"/>
                <w:sz w:val="22"/>
                <w:szCs w:val="22"/>
                <w:highlight w:val="none"/>
              </w:rPr>
            </w:pPr>
          </w:p>
        </w:tc>
        <w:tc>
          <w:tcPr>
            <w:tcW w:w="497" w:type="pct"/>
            <w:vMerge w:val="continue"/>
            <w:shd w:val="clear" w:color="auto" w:fill="FFFFFF"/>
            <w:vAlign w:val="center"/>
          </w:tcPr>
          <w:p w14:paraId="7436C0F0">
            <w:pPr>
              <w:spacing w:line="0" w:lineRule="atLeast"/>
              <w:jc w:val="center"/>
              <w:rPr>
                <w:color w:val="000000"/>
                <w:kern w:val="0"/>
                <w:sz w:val="22"/>
                <w:szCs w:val="22"/>
                <w:highlight w:val="none"/>
              </w:rPr>
            </w:pPr>
          </w:p>
        </w:tc>
        <w:tc>
          <w:tcPr>
            <w:tcW w:w="644" w:type="pct"/>
            <w:shd w:val="clear" w:color="auto" w:fill="FFFFFF"/>
            <w:vAlign w:val="center"/>
          </w:tcPr>
          <w:p w14:paraId="7D1165AA">
            <w:pPr>
              <w:spacing w:line="0" w:lineRule="atLeast"/>
              <w:jc w:val="center"/>
              <w:rPr>
                <w:color w:val="000000"/>
                <w:kern w:val="0"/>
                <w:sz w:val="22"/>
                <w:szCs w:val="22"/>
                <w:highlight w:val="none"/>
              </w:rPr>
            </w:pPr>
            <w:r>
              <w:rPr>
                <w:color w:val="000000"/>
                <w:kern w:val="0"/>
                <w:sz w:val="22"/>
                <w:szCs w:val="22"/>
                <w:highlight w:val="none"/>
              </w:rPr>
              <w:t>产出时效</w:t>
            </w:r>
          </w:p>
        </w:tc>
        <w:tc>
          <w:tcPr>
            <w:tcW w:w="857" w:type="pct"/>
            <w:shd w:val="clear" w:color="auto" w:fill="FFFFFF"/>
            <w:vAlign w:val="center"/>
          </w:tcPr>
          <w:p w14:paraId="7625DBAE">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365" w:type="pct"/>
            <w:shd w:val="clear" w:color="000000" w:fill="FFFFFF"/>
            <w:vAlign w:val="center"/>
          </w:tcPr>
          <w:p w14:paraId="7A8573A3">
            <w:pPr>
              <w:widowControl/>
              <w:spacing w:line="0" w:lineRule="atLeast"/>
              <w:jc w:val="center"/>
              <w:rPr>
                <w:color w:val="000000"/>
                <w:kern w:val="0"/>
                <w:sz w:val="22"/>
                <w:szCs w:val="22"/>
                <w:highlight w:val="none"/>
              </w:rPr>
            </w:pPr>
            <w:r>
              <w:rPr>
                <w:color w:val="000000"/>
                <w:kern w:val="0"/>
                <w:sz w:val="22"/>
                <w:szCs w:val="22"/>
                <w:highlight w:val="none"/>
              </w:rPr>
              <w:t>10</w:t>
            </w:r>
          </w:p>
        </w:tc>
        <w:tc>
          <w:tcPr>
            <w:tcW w:w="524" w:type="pct"/>
            <w:shd w:val="clear" w:color="000000" w:fill="FFFFFF"/>
            <w:vAlign w:val="center"/>
          </w:tcPr>
          <w:p w14:paraId="01BB864C">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531" w:type="pct"/>
            <w:shd w:val="clear" w:color="000000" w:fill="FFFFFF"/>
            <w:vAlign w:val="center"/>
          </w:tcPr>
          <w:p w14:paraId="585A6344">
            <w:pPr>
              <w:widowControl/>
              <w:spacing w:line="0" w:lineRule="atLeast"/>
              <w:jc w:val="center"/>
              <w:rPr>
                <w:color w:val="000000"/>
                <w:kern w:val="0"/>
                <w:sz w:val="22"/>
                <w:szCs w:val="22"/>
                <w:highlight w:val="none"/>
              </w:rPr>
            </w:pPr>
            <w:r>
              <w:rPr>
                <w:color w:val="000000"/>
                <w:kern w:val="0"/>
                <w:sz w:val="22"/>
                <w:szCs w:val="22"/>
                <w:highlight w:val="none"/>
              </w:rPr>
              <w:t>及时</w:t>
            </w:r>
          </w:p>
        </w:tc>
        <w:tc>
          <w:tcPr>
            <w:tcW w:w="542" w:type="pct"/>
            <w:shd w:val="clear" w:color="000000" w:fill="FFFFFF"/>
            <w:vAlign w:val="center"/>
          </w:tcPr>
          <w:p w14:paraId="33BD4CD4">
            <w:pPr>
              <w:widowControl/>
              <w:spacing w:line="0" w:lineRule="atLeast"/>
              <w:jc w:val="center"/>
              <w:rPr>
                <w:color w:val="000000"/>
                <w:kern w:val="0"/>
                <w:sz w:val="22"/>
                <w:szCs w:val="22"/>
                <w:highlight w:val="none"/>
              </w:rPr>
            </w:pPr>
            <w:r>
              <w:rPr>
                <w:rFonts w:hint="eastAsia" w:ascii="Times New Roman" w:hAnsi="Times New Roman" w:eastAsia="宋体" w:cs="Times New Roman"/>
                <w:color w:val="000000"/>
                <w:kern w:val="0"/>
                <w:sz w:val="22"/>
                <w:szCs w:val="22"/>
                <w:highlight w:val="none"/>
                <w:lang w:val="en-US" w:eastAsia="zh-CN"/>
              </w:rPr>
              <w:t>100%</w:t>
            </w:r>
          </w:p>
        </w:tc>
        <w:tc>
          <w:tcPr>
            <w:tcW w:w="482" w:type="pct"/>
            <w:shd w:val="clear" w:color="000000" w:fill="FFFFFF"/>
            <w:vAlign w:val="center"/>
          </w:tcPr>
          <w:p w14:paraId="69E3EAE1">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028E6C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4" w:hRule="atLeast"/>
        </w:trPr>
        <w:tc>
          <w:tcPr>
            <w:tcW w:w="554" w:type="pct"/>
            <w:vMerge w:val="continue"/>
            <w:shd w:val="clear" w:color="auto" w:fill="FFFFFF"/>
            <w:vAlign w:val="center"/>
          </w:tcPr>
          <w:p w14:paraId="2ECECA2B">
            <w:pPr>
              <w:widowControl/>
              <w:spacing w:line="0" w:lineRule="atLeast"/>
              <w:jc w:val="center"/>
              <w:rPr>
                <w:color w:val="000000"/>
                <w:kern w:val="0"/>
                <w:sz w:val="22"/>
                <w:szCs w:val="22"/>
                <w:highlight w:val="none"/>
              </w:rPr>
            </w:pPr>
          </w:p>
        </w:tc>
        <w:tc>
          <w:tcPr>
            <w:tcW w:w="497" w:type="pct"/>
            <w:vMerge w:val="continue"/>
            <w:shd w:val="clear" w:color="auto" w:fill="FFFFFF"/>
            <w:vAlign w:val="center"/>
          </w:tcPr>
          <w:p w14:paraId="5765D0CD">
            <w:pPr>
              <w:widowControl/>
              <w:spacing w:line="0" w:lineRule="atLeast"/>
              <w:jc w:val="center"/>
              <w:rPr>
                <w:color w:val="000000"/>
                <w:kern w:val="0"/>
                <w:sz w:val="22"/>
                <w:szCs w:val="22"/>
                <w:highlight w:val="none"/>
              </w:rPr>
            </w:pPr>
          </w:p>
        </w:tc>
        <w:tc>
          <w:tcPr>
            <w:tcW w:w="644" w:type="pct"/>
            <w:shd w:val="clear" w:color="auto" w:fill="FFFFFF"/>
            <w:vAlign w:val="center"/>
          </w:tcPr>
          <w:p w14:paraId="0627094B">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857" w:type="pct"/>
            <w:shd w:val="clear" w:color="auto" w:fill="FFFFFF"/>
            <w:vAlign w:val="center"/>
          </w:tcPr>
          <w:p w14:paraId="2062B956">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365" w:type="pct"/>
            <w:shd w:val="clear" w:color="000000" w:fill="FFFFFF"/>
            <w:vAlign w:val="center"/>
          </w:tcPr>
          <w:p w14:paraId="2078CF5B">
            <w:pPr>
              <w:widowControl/>
              <w:spacing w:line="0" w:lineRule="atLeast"/>
              <w:jc w:val="center"/>
              <w:rPr>
                <w:color w:val="000000"/>
                <w:kern w:val="0"/>
                <w:sz w:val="22"/>
                <w:szCs w:val="22"/>
                <w:highlight w:val="none"/>
              </w:rPr>
            </w:pPr>
            <w:r>
              <w:rPr>
                <w:color w:val="000000"/>
                <w:kern w:val="0"/>
                <w:sz w:val="22"/>
                <w:szCs w:val="22"/>
                <w:highlight w:val="none"/>
              </w:rPr>
              <w:t>10</w:t>
            </w:r>
          </w:p>
        </w:tc>
        <w:tc>
          <w:tcPr>
            <w:tcW w:w="524" w:type="pct"/>
            <w:shd w:val="clear" w:color="000000" w:fill="FFFFFF"/>
            <w:vAlign w:val="center"/>
          </w:tcPr>
          <w:p w14:paraId="42E9F8C7">
            <w:pPr>
              <w:widowControl/>
              <w:spacing w:line="0" w:lineRule="atLeast"/>
              <w:jc w:val="center"/>
              <w:rPr>
                <w:color w:val="000000"/>
                <w:kern w:val="0"/>
                <w:sz w:val="22"/>
                <w:szCs w:val="22"/>
                <w:highlight w:val="none"/>
              </w:rPr>
            </w:pPr>
            <w:r>
              <w:rPr>
                <w:color w:val="000000"/>
                <w:kern w:val="0"/>
                <w:sz w:val="22"/>
                <w:szCs w:val="22"/>
                <w:highlight w:val="none"/>
              </w:rPr>
              <w:t>100%</w:t>
            </w:r>
          </w:p>
        </w:tc>
        <w:tc>
          <w:tcPr>
            <w:tcW w:w="531" w:type="pct"/>
            <w:shd w:val="clear" w:color="000000" w:fill="FFFFFF"/>
            <w:vAlign w:val="center"/>
          </w:tcPr>
          <w:p w14:paraId="7A7AF674">
            <w:pPr>
              <w:widowControl/>
              <w:spacing w:line="0" w:lineRule="atLeast"/>
              <w:jc w:val="center"/>
              <w:rPr>
                <w:color w:val="000000"/>
                <w:kern w:val="0"/>
                <w:sz w:val="22"/>
                <w:szCs w:val="22"/>
                <w:highlight w:val="none"/>
              </w:rPr>
            </w:pPr>
            <w:r>
              <w:rPr>
                <w:rFonts w:hint="eastAsia"/>
                <w:color w:val="000000"/>
                <w:kern w:val="0"/>
                <w:sz w:val="22"/>
                <w:szCs w:val="22"/>
                <w:highlight w:val="none"/>
              </w:rPr>
              <w:t>100</w:t>
            </w:r>
            <w:r>
              <w:rPr>
                <w:color w:val="000000"/>
                <w:kern w:val="0"/>
                <w:sz w:val="22"/>
                <w:szCs w:val="22"/>
                <w:highlight w:val="none"/>
              </w:rPr>
              <w:t>%</w:t>
            </w:r>
          </w:p>
        </w:tc>
        <w:tc>
          <w:tcPr>
            <w:tcW w:w="542" w:type="pct"/>
            <w:shd w:val="clear" w:color="000000" w:fill="FFFFFF"/>
            <w:vAlign w:val="center"/>
          </w:tcPr>
          <w:p w14:paraId="2BF3E6F3">
            <w:pPr>
              <w:widowControl/>
              <w:spacing w:line="0" w:lineRule="atLeast"/>
              <w:jc w:val="center"/>
              <w:rPr>
                <w:color w:val="000000"/>
                <w:kern w:val="0"/>
                <w:sz w:val="22"/>
                <w:szCs w:val="22"/>
                <w:highlight w:val="none"/>
              </w:rPr>
            </w:pPr>
            <w:r>
              <w:rPr>
                <w:rFonts w:hint="eastAsia" w:ascii="Times New Roman" w:hAnsi="Times New Roman" w:eastAsia="宋体" w:cs="Times New Roman"/>
                <w:color w:val="000000"/>
                <w:kern w:val="0"/>
                <w:sz w:val="22"/>
                <w:szCs w:val="22"/>
                <w:highlight w:val="none"/>
                <w:lang w:val="en-US" w:eastAsia="zh-CN"/>
              </w:rPr>
              <w:t>100%</w:t>
            </w:r>
          </w:p>
        </w:tc>
        <w:tc>
          <w:tcPr>
            <w:tcW w:w="482" w:type="pct"/>
            <w:shd w:val="clear" w:color="000000" w:fill="FFFFFF"/>
            <w:vAlign w:val="center"/>
          </w:tcPr>
          <w:p w14:paraId="6F5C3196">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r w14:paraId="11549C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Ex>
        <w:trPr>
          <w:trHeight w:val="442" w:hRule="atLeast"/>
        </w:trPr>
        <w:tc>
          <w:tcPr>
            <w:tcW w:w="554" w:type="pct"/>
            <w:vMerge w:val="restart"/>
            <w:shd w:val="clear" w:color="auto" w:fill="FFFFFF"/>
            <w:vAlign w:val="center"/>
          </w:tcPr>
          <w:p w14:paraId="3FA774AE">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497" w:type="pct"/>
            <w:vMerge w:val="restart"/>
            <w:shd w:val="clear" w:color="auto" w:fill="FFFFFF"/>
            <w:vAlign w:val="center"/>
          </w:tcPr>
          <w:p w14:paraId="468440A0">
            <w:pPr>
              <w:widowControl/>
              <w:spacing w:line="0" w:lineRule="atLeast"/>
              <w:jc w:val="center"/>
              <w:rPr>
                <w:color w:val="000000"/>
                <w:kern w:val="0"/>
                <w:sz w:val="22"/>
                <w:szCs w:val="22"/>
                <w:highlight w:val="none"/>
              </w:rPr>
            </w:pPr>
            <w:r>
              <w:rPr>
                <w:color w:val="000000"/>
                <w:kern w:val="0"/>
                <w:sz w:val="22"/>
                <w:szCs w:val="22"/>
                <w:highlight w:val="none"/>
              </w:rPr>
              <w:t>20分</w:t>
            </w:r>
          </w:p>
        </w:tc>
        <w:tc>
          <w:tcPr>
            <w:tcW w:w="644" w:type="pct"/>
            <w:vMerge w:val="restart"/>
            <w:shd w:val="clear" w:color="auto" w:fill="FFFFFF"/>
            <w:vAlign w:val="center"/>
          </w:tcPr>
          <w:p w14:paraId="3E16AD31">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857" w:type="pct"/>
            <w:shd w:val="clear" w:color="auto" w:fill="FFFFFF"/>
            <w:vAlign w:val="center"/>
          </w:tcPr>
          <w:p w14:paraId="29C1EC4D">
            <w:pPr>
              <w:widowControl/>
              <w:spacing w:line="0" w:lineRule="atLeast"/>
              <w:jc w:val="center"/>
              <w:rPr>
                <w:color w:val="000000"/>
                <w:kern w:val="0"/>
                <w:sz w:val="22"/>
                <w:szCs w:val="22"/>
                <w:highlight w:val="none"/>
              </w:rPr>
            </w:pPr>
            <w:r>
              <w:rPr>
                <w:color w:val="000000"/>
                <w:kern w:val="0"/>
                <w:sz w:val="22"/>
                <w:szCs w:val="22"/>
                <w:highlight w:val="none"/>
              </w:rPr>
              <w:t>实施效益</w:t>
            </w:r>
          </w:p>
          <w:p w14:paraId="2E1D1441">
            <w:pPr>
              <w:widowControl/>
              <w:spacing w:line="0" w:lineRule="atLeast"/>
              <w:jc w:val="center"/>
              <w:rPr>
                <w:color w:val="000000"/>
                <w:kern w:val="0"/>
                <w:sz w:val="22"/>
                <w:szCs w:val="22"/>
                <w:highlight w:val="none"/>
              </w:rPr>
            </w:pPr>
            <w:r>
              <w:rPr>
                <w:color w:val="000000"/>
                <w:kern w:val="0"/>
                <w:sz w:val="22"/>
                <w:szCs w:val="22"/>
                <w:highlight w:val="none"/>
              </w:rPr>
              <w:t>（社会效益、经济效益、可持续效益）</w:t>
            </w:r>
          </w:p>
        </w:tc>
        <w:tc>
          <w:tcPr>
            <w:tcW w:w="365" w:type="pct"/>
            <w:shd w:val="clear" w:color="auto" w:fill="FFFFFF"/>
            <w:vAlign w:val="center"/>
          </w:tcPr>
          <w:p w14:paraId="5AC6D45D">
            <w:pPr>
              <w:widowControl/>
              <w:spacing w:line="0" w:lineRule="atLeast"/>
              <w:jc w:val="center"/>
              <w:rPr>
                <w:color w:val="000000"/>
                <w:kern w:val="0"/>
                <w:sz w:val="22"/>
                <w:szCs w:val="22"/>
                <w:highlight w:val="none"/>
              </w:rPr>
            </w:pPr>
            <w:r>
              <w:rPr>
                <w:color w:val="000000"/>
                <w:kern w:val="0"/>
                <w:sz w:val="22"/>
                <w:szCs w:val="22"/>
                <w:highlight w:val="none"/>
              </w:rPr>
              <w:t>10</w:t>
            </w:r>
          </w:p>
        </w:tc>
        <w:tc>
          <w:tcPr>
            <w:tcW w:w="524" w:type="pct"/>
            <w:shd w:val="clear" w:color="auto" w:fill="FFFFFF"/>
            <w:vAlign w:val="center"/>
          </w:tcPr>
          <w:p w14:paraId="72287039">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531" w:type="pct"/>
            <w:shd w:val="clear" w:color="auto" w:fill="FFFFFF"/>
            <w:vAlign w:val="center"/>
          </w:tcPr>
          <w:p w14:paraId="370C51F1">
            <w:pPr>
              <w:widowControl/>
              <w:spacing w:line="0" w:lineRule="atLeast"/>
              <w:jc w:val="center"/>
              <w:rPr>
                <w:color w:val="000000"/>
                <w:kern w:val="0"/>
                <w:sz w:val="22"/>
                <w:szCs w:val="22"/>
                <w:highlight w:val="none"/>
              </w:rPr>
            </w:pPr>
            <w:r>
              <w:rPr>
                <w:color w:val="000000"/>
                <w:kern w:val="0"/>
                <w:sz w:val="22"/>
                <w:szCs w:val="22"/>
                <w:highlight w:val="none"/>
              </w:rPr>
              <w:t>有效</w:t>
            </w:r>
          </w:p>
        </w:tc>
        <w:tc>
          <w:tcPr>
            <w:tcW w:w="542" w:type="pct"/>
            <w:shd w:val="clear" w:color="auto" w:fill="FFFFFF"/>
            <w:vAlign w:val="center"/>
          </w:tcPr>
          <w:p w14:paraId="2CBE1035">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90%</w:t>
            </w:r>
          </w:p>
        </w:tc>
        <w:tc>
          <w:tcPr>
            <w:tcW w:w="482" w:type="pct"/>
            <w:shd w:val="clear" w:color="auto" w:fill="FFFFFF"/>
            <w:vAlign w:val="center"/>
          </w:tcPr>
          <w:p w14:paraId="4C4BD7D1">
            <w:pPr>
              <w:widowControl/>
              <w:spacing w:line="0" w:lineRule="atLeast"/>
              <w:jc w:val="center"/>
              <w:rPr>
                <w:rFonts w:hint="eastAsia" w:eastAsia="宋体"/>
                <w:color w:val="000000"/>
                <w:kern w:val="0"/>
                <w:sz w:val="22"/>
                <w:szCs w:val="22"/>
                <w:highlight w:val="none"/>
                <w:lang w:eastAsia="zh-CN"/>
              </w:rPr>
            </w:pPr>
            <w:r>
              <w:rPr>
                <w:rFonts w:hint="eastAsia"/>
                <w:color w:val="000000"/>
                <w:kern w:val="0"/>
                <w:sz w:val="22"/>
                <w:szCs w:val="22"/>
                <w:highlight w:val="none"/>
                <w:lang w:val="en-US" w:eastAsia="zh-CN"/>
              </w:rPr>
              <w:t>9</w:t>
            </w:r>
          </w:p>
        </w:tc>
      </w:tr>
      <w:tr w14:paraId="5AF590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2" w:hRule="atLeast"/>
        </w:trPr>
        <w:tc>
          <w:tcPr>
            <w:tcW w:w="554" w:type="pct"/>
            <w:vMerge w:val="continue"/>
            <w:shd w:val="clear" w:color="auto" w:fill="FFFFFF"/>
            <w:vAlign w:val="center"/>
          </w:tcPr>
          <w:p w14:paraId="44AD1B6F">
            <w:pPr>
              <w:widowControl/>
              <w:spacing w:line="0" w:lineRule="atLeast"/>
              <w:jc w:val="center"/>
              <w:rPr>
                <w:color w:val="000000"/>
                <w:kern w:val="0"/>
                <w:sz w:val="22"/>
                <w:szCs w:val="22"/>
                <w:highlight w:val="none"/>
              </w:rPr>
            </w:pPr>
          </w:p>
        </w:tc>
        <w:tc>
          <w:tcPr>
            <w:tcW w:w="497" w:type="pct"/>
            <w:vMerge w:val="continue"/>
            <w:shd w:val="clear" w:color="auto" w:fill="FFFFFF"/>
            <w:vAlign w:val="center"/>
          </w:tcPr>
          <w:p w14:paraId="0592CF52">
            <w:pPr>
              <w:widowControl/>
              <w:spacing w:line="0" w:lineRule="atLeast"/>
              <w:jc w:val="center"/>
              <w:rPr>
                <w:color w:val="000000"/>
                <w:kern w:val="0"/>
                <w:sz w:val="22"/>
                <w:szCs w:val="22"/>
                <w:highlight w:val="none"/>
              </w:rPr>
            </w:pPr>
          </w:p>
        </w:tc>
        <w:tc>
          <w:tcPr>
            <w:tcW w:w="644" w:type="pct"/>
            <w:vMerge w:val="continue"/>
            <w:shd w:val="clear" w:color="auto" w:fill="FFFFFF"/>
            <w:vAlign w:val="center"/>
          </w:tcPr>
          <w:p w14:paraId="01B9C6BA">
            <w:pPr>
              <w:widowControl/>
              <w:spacing w:line="0" w:lineRule="atLeast"/>
              <w:jc w:val="center"/>
              <w:rPr>
                <w:color w:val="000000"/>
                <w:kern w:val="0"/>
                <w:sz w:val="22"/>
                <w:szCs w:val="22"/>
                <w:highlight w:val="none"/>
              </w:rPr>
            </w:pPr>
          </w:p>
        </w:tc>
        <w:tc>
          <w:tcPr>
            <w:tcW w:w="857" w:type="pct"/>
            <w:shd w:val="clear" w:color="auto" w:fill="FFFFFF"/>
            <w:vAlign w:val="center"/>
          </w:tcPr>
          <w:p w14:paraId="2FF9119D">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365" w:type="pct"/>
            <w:shd w:val="clear" w:color="000000" w:fill="FFFFFF"/>
            <w:vAlign w:val="center"/>
          </w:tcPr>
          <w:p w14:paraId="49494694">
            <w:pPr>
              <w:widowControl/>
              <w:spacing w:line="0" w:lineRule="atLeast"/>
              <w:jc w:val="center"/>
              <w:rPr>
                <w:color w:val="000000"/>
                <w:kern w:val="0"/>
                <w:sz w:val="22"/>
                <w:szCs w:val="22"/>
                <w:highlight w:val="none"/>
              </w:rPr>
            </w:pPr>
            <w:r>
              <w:rPr>
                <w:color w:val="000000"/>
                <w:kern w:val="0"/>
                <w:sz w:val="22"/>
                <w:szCs w:val="22"/>
                <w:highlight w:val="none"/>
              </w:rPr>
              <w:t>10</w:t>
            </w:r>
          </w:p>
        </w:tc>
        <w:tc>
          <w:tcPr>
            <w:tcW w:w="524" w:type="pct"/>
            <w:shd w:val="clear" w:color="000000" w:fill="FFFFFF"/>
            <w:vAlign w:val="center"/>
          </w:tcPr>
          <w:p w14:paraId="744C0B72">
            <w:pPr>
              <w:widowControl/>
              <w:spacing w:line="0" w:lineRule="atLeast"/>
              <w:jc w:val="center"/>
              <w:rPr>
                <w:color w:val="000000"/>
                <w:kern w:val="0"/>
                <w:sz w:val="22"/>
                <w:szCs w:val="22"/>
                <w:highlight w:val="none"/>
              </w:rPr>
            </w:pPr>
            <w:r>
              <w:rPr>
                <w:color w:val="000000"/>
                <w:kern w:val="0"/>
                <w:sz w:val="22"/>
                <w:szCs w:val="22"/>
                <w:highlight w:val="none"/>
              </w:rPr>
              <w:t>≥</w:t>
            </w:r>
            <w:r>
              <w:rPr>
                <w:rFonts w:hint="eastAsia"/>
                <w:color w:val="000000"/>
                <w:kern w:val="0"/>
                <w:sz w:val="22"/>
                <w:szCs w:val="22"/>
                <w:highlight w:val="none"/>
                <w:lang w:val="en-US" w:eastAsia="zh-CN"/>
              </w:rPr>
              <w:t>90</w:t>
            </w:r>
            <w:r>
              <w:rPr>
                <w:color w:val="000000"/>
                <w:kern w:val="0"/>
                <w:sz w:val="22"/>
                <w:szCs w:val="22"/>
                <w:highlight w:val="none"/>
              </w:rPr>
              <w:t>%</w:t>
            </w:r>
          </w:p>
        </w:tc>
        <w:tc>
          <w:tcPr>
            <w:tcW w:w="531" w:type="pct"/>
            <w:shd w:val="clear" w:color="000000" w:fill="FFFFFF"/>
            <w:vAlign w:val="center"/>
          </w:tcPr>
          <w:p w14:paraId="1C463F14">
            <w:pPr>
              <w:widowControl/>
              <w:spacing w:line="0" w:lineRule="atLeast"/>
              <w:jc w:val="center"/>
              <w:rPr>
                <w:color w:val="000000"/>
                <w:kern w:val="0"/>
                <w:sz w:val="22"/>
                <w:szCs w:val="22"/>
                <w:highlight w:val="none"/>
              </w:rPr>
            </w:pPr>
            <w:r>
              <w:rPr>
                <w:rFonts w:hint="eastAsia"/>
                <w:color w:val="000000"/>
                <w:kern w:val="0"/>
                <w:sz w:val="22"/>
                <w:szCs w:val="22"/>
                <w:highlight w:val="none"/>
                <w:lang w:val="en-US" w:eastAsia="zh-CN"/>
              </w:rPr>
              <w:t>99</w:t>
            </w:r>
            <w:r>
              <w:rPr>
                <w:color w:val="000000"/>
                <w:kern w:val="0"/>
                <w:sz w:val="22"/>
                <w:szCs w:val="22"/>
                <w:highlight w:val="none"/>
              </w:rPr>
              <w:t>%</w:t>
            </w:r>
          </w:p>
        </w:tc>
        <w:tc>
          <w:tcPr>
            <w:tcW w:w="542" w:type="pct"/>
            <w:shd w:val="clear" w:color="000000" w:fill="FFFFFF"/>
            <w:vAlign w:val="center"/>
          </w:tcPr>
          <w:p w14:paraId="75132703">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100%</w:t>
            </w:r>
          </w:p>
        </w:tc>
        <w:tc>
          <w:tcPr>
            <w:tcW w:w="482" w:type="pct"/>
            <w:shd w:val="clear" w:color="000000" w:fill="FFFFFF"/>
            <w:vAlign w:val="center"/>
          </w:tcPr>
          <w:p w14:paraId="05D794B3">
            <w:pPr>
              <w:widowControl/>
              <w:spacing w:line="0" w:lineRule="atLeast"/>
              <w:jc w:val="center"/>
              <w:rPr>
                <w:rFonts w:hint="default" w:eastAsia="宋体"/>
                <w:color w:val="000000"/>
                <w:kern w:val="0"/>
                <w:sz w:val="22"/>
                <w:szCs w:val="22"/>
                <w:highlight w:val="none"/>
                <w:lang w:val="en-US" w:eastAsia="zh-CN"/>
              </w:rPr>
            </w:pPr>
            <w:r>
              <w:rPr>
                <w:rFonts w:hint="eastAsia"/>
                <w:color w:val="000000"/>
                <w:kern w:val="0"/>
                <w:sz w:val="22"/>
                <w:szCs w:val="22"/>
                <w:highlight w:val="none"/>
                <w:lang w:val="en-US" w:eastAsia="zh-CN"/>
              </w:rPr>
              <w:t>10</w:t>
            </w:r>
          </w:p>
        </w:tc>
      </w:tr>
    </w:tbl>
    <w:p w14:paraId="7DB37255">
      <w:pPr>
        <w:widowControl/>
        <w:spacing w:line="240" w:lineRule="auto"/>
        <w:jc w:val="left"/>
        <w:rPr>
          <w:b/>
          <w:bCs/>
          <w:color w:val="000000"/>
          <w:kern w:val="0"/>
          <w:sz w:val="22"/>
          <w:szCs w:val="22"/>
          <w:highlight w:val="none"/>
        </w:rPr>
        <w:sectPr>
          <w:footerReference r:id="rId3" w:type="default"/>
          <w:pgSz w:w="11906" w:h="16838"/>
          <w:pgMar w:top="1440" w:right="1558" w:bottom="1440" w:left="1800" w:header="851" w:footer="992" w:gutter="0"/>
          <w:cols w:space="425" w:num="1"/>
          <w:docGrid w:type="lines" w:linePitch="312" w:charSpace="0"/>
        </w:sectPr>
      </w:pPr>
    </w:p>
    <w:p w14:paraId="3BE52A4F">
      <w:pPr>
        <w:spacing w:line="560" w:lineRule="exact"/>
        <w:jc w:val="left"/>
        <w:rPr>
          <w:rFonts w:eastAsia="黑体"/>
          <w:sz w:val="32"/>
          <w:szCs w:val="32"/>
          <w:highlight w:val="none"/>
        </w:rPr>
      </w:pPr>
      <w:r>
        <w:rPr>
          <w:rFonts w:eastAsia="黑体"/>
          <w:sz w:val="32"/>
          <w:szCs w:val="32"/>
          <w:highlight w:val="none"/>
        </w:rPr>
        <w:t>四、绩效评价指标分析</w:t>
      </w:r>
    </w:p>
    <w:p w14:paraId="4C63444A">
      <w:pPr>
        <w:pStyle w:val="2"/>
        <w:spacing w:before="0" w:after="0" w:line="560" w:lineRule="exact"/>
        <w:ind w:firstLine="643" w:firstLineChars="200"/>
        <w:jc w:val="both"/>
        <w:rPr>
          <w:rFonts w:ascii="Times New Roman" w:hAnsi="Times New Roman" w:eastAsia="楷体_GB2312"/>
          <w:highlight w:val="none"/>
        </w:rPr>
      </w:pPr>
      <w:r>
        <w:rPr>
          <w:rFonts w:ascii="Times New Roman" w:hAnsi="Times New Roman" w:eastAsia="楷体_GB2312"/>
          <w:highlight w:val="none"/>
        </w:rPr>
        <w:t>（一）项目决策情况</w:t>
      </w:r>
    </w:p>
    <w:p w14:paraId="7729650D">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（1）立项依据充分性</w:t>
      </w:r>
    </w:p>
    <w:p w14:paraId="4CE3DE1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5A85F6BB">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（2）立项程序规范性</w:t>
      </w:r>
    </w:p>
    <w:p w14:paraId="196054F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t>项目申请、设立过程符合相关要求，</w:t>
      </w:r>
      <w:r>
        <w:rPr>
          <w:rFonts w:hint="eastAsia" w:ascii="仿宋_GB2312" w:hAnsi="仿宋_GB2312" w:eastAsia="仿宋_GB2312" w:cs="仿宋_GB2312"/>
          <w:sz w:val="32"/>
          <w:szCs w:val="32"/>
          <w:highlight w:val="none"/>
          <w:lang w:eastAsia="zh-Hans"/>
        </w:rPr>
        <w:t>严格按照审批流程准备符合要求的文件、材料；</w:t>
      </w:r>
      <w:r>
        <w:rPr>
          <w:rFonts w:hint="eastAsia" w:ascii="仿宋_GB2312" w:hAnsi="仿宋_GB2312" w:eastAsia="仿宋_GB2312" w:cs="仿宋_GB2312"/>
          <w:sz w:val="32"/>
          <w:szCs w:val="32"/>
          <w:highlight w:val="none"/>
          <w:lang w:val="en-US" w:eastAsia="zh-CN"/>
        </w:rPr>
        <w:t>根据决算依据编制工作计划和经费预算，经过与部门项目分管领导沟通、筛选确定经费预算计划，确定最终预算方案。项目的审批文件、材料符合相关要求，项目事前经过必要的可行性研究、专家论证、绩效评估、集体决策，保障了程序的规范性。</w:t>
      </w:r>
    </w:p>
    <w:p w14:paraId="2B94D676">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2.绩效目标</w:t>
      </w:r>
    </w:p>
    <w:p w14:paraId="3E069EA9">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（1）绩效目标合理性</w:t>
      </w:r>
    </w:p>
    <w:p w14:paraId="6A25E20A">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Hans"/>
        </w:rPr>
        <w:t>年初结合实际工作内容</w:t>
      </w:r>
      <w:r>
        <w:rPr>
          <w:rFonts w:hint="eastAsia" w:ascii="仿宋_GB2312" w:hAnsi="仿宋_GB2312" w:eastAsia="仿宋_GB2312" w:cs="仿宋_GB2312"/>
          <w:sz w:val="32"/>
          <w:szCs w:val="32"/>
          <w:highlight w:val="none"/>
          <w:lang w:val="en-US" w:eastAsia="zh-CN"/>
        </w:rPr>
        <w:t>设定绩效目标</w:t>
      </w:r>
      <w:r>
        <w:rPr>
          <w:rFonts w:hint="eastAsia" w:ascii="仿宋_GB2312" w:hAnsi="仿宋_GB2312" w:eastAsia="仿宋_GB2312" w:cs="仿宋_GB2312"/>
          <w:sz w:val="32"/>
          <w:szCs w:val="32"/>
          <w:highlight w:val="none"/>
          <w:lang w:val="en-US" w:eastAsia="zh-Hans"/>
        </w:rPr>
        <w:t>，绩效目标</w:t>
      </w:r>
      <w:r>
        <w:rPr>
          <w:rFonts w:hint="eastAsia" w:ascii="仿宋_GB2312" w:hAnsi="仿宋_GB2312" w:eastAsia="仿宋_GB2312" w:cs="仿宋_GB2312"/>
          <w:sz w:val="32"/>
          <w:szCs w:val="32"/>
          <w:highlight w:val="none"/>
          <w:lang w:val="en-US" w:eastAsia="zh-CN"/>
        </w:rPr>
        <w:t>依据充分，符合客观实际，能反映和考核项目绩效目标与项目实施的相符情况，依据绩效目标设定的绩效指标清晰、细化、可衡量，能反映和考核项目绩效目标的细化情况。绩效目标表经过审核，绩效目标与实际工作内容具有相关性，预算与确定的项目投资额相匹配，对项目任务进行了详细分解。项目预期产出效益及效果符合正常的业绩水平。</w:t>
      </w:r>
    </w:p>
    <w:p w14:paraId="063C4606">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（2）绩效指标明确性</w:t>
      </w:r>
    </w:p>
    <w:p w14:paraId="2F9923A8">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项目设置了明确的预期产出效益和效果，将绩效目标细化分解为具体的绩效指标，绩效目标与项目目标任务数相对应，绩效目标设定的绩效指标清晰、细化、可衡量。</w:t>
      </w:r>
    </w:p>
    <w:p w14:paraId="4A292C48">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3.资金投入</w:t>
      </w:r>
    </w:p>
    <w:p w14:paraId="0ED9D822">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（1）预算编制科学性</w:t>
      </w:r>
    </w:p>
    <w:p w14:paraId="085104D2">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预算编制经过科学论证，提供充分的测算依据佐证资料，预算内容与项目内容相匹配。项目投资额与工作任务相匹配。</w:t>
      </w:r>
    </w:p>
    <w:p w14:paraId="36BEFAB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（2）资金分配合理性</w:t>
      </w:r>
    </w:p>
    <w:p w14:paraId="21BA0C89">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资金分配额度与项目单位实际工作内容相适应，资金分配额度合理，资金分配依据充分。</w:t>
      </w:r>
    </w:p>
    <w:p w14:paraId="3847CA2C">
      <w:pPr>
        <w:pStyle w:val="2"/>
        <w:numPr>
          <w:ilvl w:val="0"/>
          <w:numId w:val="5"/>
        </w:numPr>
        <w:spacing w:before="0" w:after="0" w:line="560" w:lineRule="exact"/>
        <w:ind w:firstLine="643" w:firstLineChars="200"/>
        <w:jc w:val="both"/>
        <w:rPr>
          <w:rFonts w:ascii="楷体" w:hAnsi="楷体" w:eastAsia="楷体" w:cs="楷体"/>
          <w:highlight w:val="none"/>
        </w:rPr>
      </w:pPr>
      <w:r>
        <w:rPr>
          <w:rFonts w:hint="eastAsia" w:ascii="楷体" w:hAnsi="楷体" w:eastAsia="楷体" w:cs="楷体"/>
          <w:highlight w:val="none"/>
        </w:rPr>
        <w:t>项目过程情况</w:t>
      </w:r>
    </w:p>
    <w:p w14:paraId="2D5F04C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（1）资金到位率</w:t>
      </w:r>
    </w:p>
    <w:p w14:paraId="1B0C5E30">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本项目总投资1560万元，财政资金及时足额到位，到位率100%，预算资金按计划进度执行。</w:t>
      </w:r>
    </w:p>
    <w:p w14:paraId="11DCCAC2">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（2）预算执行率</w:t>
      </w:r>
    </w:p>
    <w:p w14:paraId="67318E41">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预算编制较为详细，项目资金支出总体能够按照预算执行，预算资金支出1560万元，预算执行率为100%。</w:t>
      </w:r>
    </w:p>
    <w:p w14:paraId="44A24673">
      <w:pPr>
        <w:shd w:val="clear"/>
        <w:spacing w:line="600" w:lineRule="exact"/>
        <w:ind w:firstLine="640" w:firstLineChars="200"/>
        <w:outlineLvl w:val="0"/>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lang w:val="en-US" w:eastAsia="zh-CN"/>
        </w:rPr>
        <w:t>（3）资金使用合规性</w:t>
      </w:r>
    </w:p>
    <w:p w14:paraId="5A3DC2A4">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61D63442">
      <w:pPr>
        <w:pStyle w:val="16"/>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2.组织实施</w:t>
      </w:r>
    </w:p>
    <w:p w14:paraId="451DBBDA">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（1）管理制度健全性</w:t>
      </w:r>
    </w:p>
    <w:p w14:paraId="5982897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61A4C21F">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（2）制度执行有效性</w:t>
      </w:r>
    </w:p>
    <w:p w14:paraId="35674491">
      <w:pPr>
        <w:shd w:val="clear"/>
        <w:spacing w:line="60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对资金使用的合法合规性进行监督，年末对资金使用效果进行评价。项目管理、实施人员落实到位，有效按照计划执行。项目执行情况等资料齐全，项目相关手续完备，及时进行归档。</w:t>
      </w:r>
    </w:p>
    <w:p w14:paraId="09243A10">
      <w:pPr>
        <w:pStyle w:val="9"/>
        <w:numPr>
          <w:ilvl w:val="0"/>
          <w:numId w:val="5"/>
        </w:numPr>
        <w:spacing w:line="560" w:lineRule="exact"/>
        <w:ind w:firstLine="640"/>
        <w:rPr>
          <w:rFonts w:eastAsia="楷体_GB2312"/>
          <w:b/>
          <w:bCs/>
          <w:sz w:val="32"/>
          <w:szCs w:val="32"/>
          <w:highlight w:val="none"/>
        </w:rPr>
      </w:pPr>
      <w:r>
        <w:rPr>
          <w:rFonts w:eastAsia="楷体_GB2312"/>
          <w:b/>
          <w:bCs/>
          <w:sz w:val="32"/>
          <w:szCs w:val="32"/>
          <w:highlight w:val="none"/>
        </w:rPr>
        <w:t>项目产出</w:t>
      </w:r>
    </w:p>
    <w:p w14:paraId="43FDFCC3">
      <w:pPr>
        <w:snapToGrid w:val="0"/>
        <w:spacing w:line="560" w:lineRule="exact"/>
        <w:ind w:firstLine="627" w:firstLineChars="200"/>
        <w:rPr>
          <w:rStyle w:val="13"/>
          <w:rFonts w:eastAsia="仿宋_GB2312"/>
          <w:bCs w:val="0"/>
          <w:spacing w:val="-4"/>
          <w:sz w:val="32"/>
          <w:szCs w:val="32"/>
          <w:highlight w:val="none"/>
        </w:rPr>
      </w:pPr>
      <w:r>
        <w:rPr>
          <w:rStyle w:val="13"/>
          <w:rFonts w:eastAsia="仿宋_GB2312"/>
          <w:bCs w:val="0"/>
          <w:spacing w:val="-4"/>
          <w:sz w:val="32"/>
          <w:szCs w:val="32"/>
          <w:highlight w:val="none"/>
        </w:rPr>
        <w:t>数量指标方面：</w:t>
      </w:r>
    </w:p>
    <w:p w14:paraId="4B6D723D">
      <w:pPr>
        <w:snapToGrid w:val="0"/>
        <w:spacing w:line="560" w:lineRule="exact"/>
        <w:ind w:firstLine="624" w:firstLineChars="200"/>
        <w:rPr>
          <w:rStyle w:val="13"/>
          <w:rFonts w:eastAsia="仿宋_GB2312"/>
          <w:b w:val="0"/>
          <w:spacing w:val="-4"/>
          <w:sz w:val="32"/>
          <w:szCs w:val="32"/>
          <w:highlight w:val="none"/>
        </w:rPr>
      </w:pPr>
      <w:r>
        <w:rPr>
          <w:rStyle w:val="13"/>
          <w:rFonts w:eastAsia="仿宋_GB2312"/>
          <w:b w:val="0"/>
          <w:spacing w:val="-4"/>
          <w:sz w:val="32"/>
          <w:szCs w:val="32"/>
          <w:highlight w:val="none"/>
        </w:rPr>
        <w:t>指标1：</w:t>
      </w:r>
      <w:r>
        <w:rPr>
          <w:rStyle w:val="13"/>
          <w:rFonts w:hint="eastAsia" w:ascii="Times New Roman" w:hAnsi="Times New Roman" w:eastAsia="仿宋_GB2312" w:cs="Times New Roman"/>
          <w:b w:val="0"/>
          <w:spacing w:val="-4"/>
          <w:kern w:val="2"/>
          <w:sz w:val="32"/>
          <w:szCs w:val="32"/>
          <w:highlight w:val="none"/>
          <w:lang w:val="en-US" w:eastAsia="zh-CN" w:bidi="ar-SA"/>
        </w:rPr>
        <w:t>配置ICU床位数量及配套设备数量</w:t>
      </w:r>
      <w:r>
        <w:rPr>
          <w:rStyle w:val="13"/>
          <w:rFonts w:hint="eastAsia" w:eastAsia="仿宋_GB2312"/>
          <w:b w:val="0"/>
          <w:spacing w:val="-4"/>
          <w:sz w:val="32"/>
          <w:szCs w:val="32"/>
          <w:highlight w:val="none"/>
        </w:rPr>
        <w:t>，指标值：</w:t>
      </w:r>
      <w:r>
        <w:rPr>
          <w:rStyle w:val="13"/>
          <w:rFonts w:hint="eastAsia" w:eastAsia="仿宋_GB2312"/>
          <w:b w:val="0"/>
          <w:spacing w:val="-4"/>
          <w:sz w:val="32"/>
          <w:szCs w:val="32"/>
          <w:highlight w:val="none"/>
          <w:lang w:val="en-US" w:eastAsia="zh-CN"/>
        </w:rPr>
        <w:t>＞=</w:t>
      </w:r>
      <w:r>
        <w:rPr>
          <w:rStyle w:val="13"/>
          <w:rFonts w:hint="eastAsia" w:ascii="Times New Roman" w:hAnsi="Times New Roman" w:eastAsia="仿宋_GB2312" w:cs="Times New Roman"/>
          <w:b w:val="0"/>
          <w:spacing w:val="-4"/>
          <w:kern w:val="2"/>
          <w:sz w:val="32"/>
          <w:szCs w:val="32"/>
          <w:highlight w:val="none"/>
          <w:lang w:val="en-US" w:eastAsia="zh-CN" w:bidi="ar-SA"/>
        </w:rPr>
        <w:t>25床（套），实际完成值：38床（套），指标完成率152%，偏差率52%，</w:t>
      </w:r>
      <w:r>
        <w:rPr>
          <w:rStyle w:val="13"/>
          <w:rFonts w:hint="eastAsia" w:ascii="Times New Roman" w:hAnsi="Times New Roman" w:eastAsia="仿宋_GB2312" w:cs="Times New Roman"/>
          <w:b w:val="0"/>
          <w:spacing w:val="-4"/>
          <w:kern w:val="2"/>
          <w:sz w:val="32"/>
          <w:szCs w:val="32"/>
          <w:highlight w:val="none"/>
          <w:lang w:val="en-US" w:eastAsia="zh-Hans" w:bidi="ar-SA"/>
        </w:rPr>
        <w:t>偏差原因：</w:t>
      </w:r>
      <w:r>
        <w:rPr>
          <w:rStyle w:val="13"/>
          <w:rFonts w:hint="eastAsia" w:ascii="Times New Roman" w:hAnsi="Times New Roman" w:eastAsia="仿宋_GB2312" w:cs="Times New Roman"/>
          <w:b w:val="0"/>
          <w:spacing w:val="-4"/>
          <w:kern w:val="2"/>
          <w:sz w:val="32"/>
          <w:szCs w:val="32"/>
          <w:highlight w:val="none"/>
          <w:lang w:val="en-US" w:eastAsia="zh-CN" w:bidi="ar-SA"/>
        </w:rPr>
        <w:t>成</w:t>
      </w:r>
      <w:r>
        <w:rPr>
          <w:rStyle w:val="13"/>
          <w:rFonts w:hint="eastAsia" w:eastAsia="仿宋_GB2312"/>
          <w:b w:val="0"/>
          <w:spacing w:val="-4"/>
          <w:sz w:val="32"/>
          <w:szCs w:val="32"/>
          <w:highlight w:val="none"/>
          <w:lang w:eastAsia="zh-CN"/>
        </w:rPr>
        <w:t>本降低，数量增加。</w:t>
      </w:r>
    </w:p>
    <w:p w14:paraId="3F2D4002">
      <w:pPr>
        <w:spacing w:line="560" w:lineRule="exact"/>
        <w:ind w:firstLine="643" w:firstLineChars="200"/>
        <w:rPr>
          <w:rStyle w:val="15"/>
          <w:rFonts w:ascii="Times New Roman" w:hAnsi="Times New Roman" w:cs="Times New Roman"/>
          <w:b/>
          <w:bCs/>
          <w:color w:val="auto"/>
          <w:highlight w:val="none"/>
        </w:rPr>
      </w:pPr>
      <w:r>
        <w:rPr>
          <w:rStyle w:val="15"/>
          <w:rFonts w:ascii="Times New Roman" w:hAnsi="Times New Roman" w:cs="Times New Roman"/>
          <w:b/>
          <w:bCs/>
          <w:color w:val="auto"/>
          <w:highlight w:val="none"/>
        </w:rPr>
        <w:t>质量指标方面：</w:t>
      </w:r>
    </w:p>
    <w:p w14:paraId="61C43786">
      <w:pPr>
        <w:snapToGrid w:val="0"/>
        <w:spacing w:line="560" w:lineRule="exact"/>
        <w:ind w:firstLine="624" w:firstLineChars="200"/>
        <w:rPr>
          <w:rStyle w:val="13"/>
          <w:rFonts w:hint="eastAsia" w:eastAsia="仿宋_GB2312" w:cs="Times New Roman"/>
          <w:b w:val="0"/>
          <w:spacing w:val="-4"/>
          <w:kern w:val="2"/>
          <w:sz w:val="32"/>
          <w:szCs w:val="32"/>
          <w:highlight w:val="none"/>
          <w:lang w:val="en-US" w:eastAsia="zh-CN" w:bidi="ar-SA"/>
        </w:rPr>
      </w:pPr>
      <w:r>
        <w:rPr>
          <w:rStyle w:val="13"/>
          <w:rFonts w:eastAsia="仿宋_GB2312"/>
          <w:b w:val="0"/>
          <w:spacing w:val="-4"/>
          <w:sz w:val="32"/>
          <w:szCs w:val="32"/>
          <w:highlight w:val="none"/>
        </w:rPr>
        <w:t>指标1：</w:t>
      </w:r>
      <w:r>
        <w:rPr>
          <w:rStyle w:val="13"/>
          <w:rFonts w:hint="eastAsia" w:ascii="Times New Roman" w:hAnsi="Times New Roman" w:eastAsia="仿宋_GB2312" w:cs="Times New Roman"/>
          <w:b w:val="0"/>
          <w:spacing w:val="-4"/>
          <w:kern w:val="2"/>
          <w:sz w:val="32"/>
          <w:szCs w:val="32"/>
          <w:highlight w:val="none"/>
          <w:lang w:val="en-US" w:eastAsia="zh-CN" w:bidi="ar-SA"/>
        </w:rPr>
        <w:t>设备质量合格率，指标值：</w:t>
      </w:r>
      <w:r>
        <w:rPr>
          <w:rStyle w:val="13"/>
          <w:rFonts w:hint="eastAsia" w:eastAsia="仿宋_GB2312"/>
          <w:b w:val="0"/>
          <w:spacing w:val="-4"/>
          <w:sz w:val="32"/>
          <w:szCs w:val="32"/>
          <w:highlight w:val="none"/>
          <w:lang w:val="en-US" w:eastAsia="zh-CN"/>
        </w:rPr>
        <w:t>＞</w:t>
      </w:r>
      <w:r>
        <w:rPr>
          <w:rStyle w:val="13"/>
          <w:rFonts w:hint="eastAsia" w:eastAsia="仿宋_GB2312" w:cs="Times New Roman"/>
          <w:b w:val="0"/>
          <w:spacing w:val="-4"/>
          <w:kern w:val="2"/>
          <w:sz w:val="32"/>
          <w:szCs w:val="32"/>
          <w:highlight w:val="none"/>
          <w:lang w:val="en-US" w:eastAsia="zh-CN" w:bidi="ar-SA"/>
        </w:rPr>
        <w:t>95%</w:t>
      </w:r>
      <w:r>
        <w:rPr>
          <w:rStyle w:val="13"/>
          <w:rFonts w:hint="eastAsia" w:ascii="Times New Roman" w:hAnsi="Times New Roman" w:eastAsia="仿宋_GB2312" w:cs="Times New Roman"/>
          <w:b w:val="0"/>
          <w:spacing w:val="-4"/>
          <w:kern w:val="2"/>
          <w:sz w:val="32"/>
          <w:szCs w:val="32"/>
          <w:highlight w:val="none"/>
          <w:lang w:val="en-US" w:eastAsia="zh-CN" w:bidi="ar-SA"/>
        </w:rPr>
        <w:t>，实际完成值：</w:t>
      </w:r>
      <w:r>
        <w:rPr>
          <w:rStyle w:val="13"/>
          <w:rFonts w:hint="eastAsia" w:eastAsia="仿宋_GB2312" w:cs="Times New Roman"/>
          <w:b w:val="0"/>
          <w:spacing w:val="-4"/>
          <w:kern w:val="2"/>
          <w:sz w:val="32"/>
          <w:szCs w:val="32"/>
          <w:highlight w:val="none"/>
          <w:lang w:val="en-US" w:eastAsia="zh-CN" w:bidi="ar-SA"/>
        </w:rPr>
        <w:t>100%</w:t>
      </w:r>
      <w:r>
        <w:rPr>
          <w:rStyle w:val="13"/>
          <w:rFonts w:hint="eastAsia" w:ascii="Times New Roman" w:hAnsi="Times New Roman" w:eastAsia="仿宋_GB2312" w:cs="Times New Roman"/>
          <w:b w:val="0"/>
          <w:spacing w:val="-4"/>
          <w:kern w:val="2"/>
          <w:sz w:val="32"/>
          <w:szCs w:val="32"/>
          <w:highlight w:val="none"/>
          <w:lang w:val="en-US" w:eastAsia="zh-CN" w:bidi="ar-SA"/>
        </w:rPr>
        <w:t>，指标完成率：</w:t>
      </w:r>
      <w:r>
        <w:rPr>
          <w:rStyle w:val="13"/>
          <w:rFonts w:hint="eastAsia" w:eastAsia="仿宋_GB2312" w:cs="Times New Roman"/>
          <w:b w:val="0"/>
          <w:spacing w:val="-4"/>
          <w:kern w:val="2"/>
          <w:sz w:val="32"/>
          <w:szCs w:val="32"/>
          <w:highlight w:val="none"/>
          <w:lang w:val="en-US" w:eastAsia="zh-CN" w:bidi="ar-SA"/>
        </w:rPr>
        <w:t>100%</w:t>
      </w:r>
      <w:r>
        <w:rPr>
          <w:rStyle w:val="13"/>
          <w:rFonts w:hint="eastAsia" w:ascii="Times New Roman" w:hAnsi="Times New Roman" w:eastAsia="仿宋_GB2312" w:cs="Times New Roman"/>
          <w:b w:val="0"/>
          <w:spacing w:val="-4"/>
          <w:kern w:val="2"/>
          <w:sz w:val="32"/>
          <w:szCs w:val="32"/>
          <w:highlight w:val="none"/>
          <w:lang w:val="en-US" w:eastAsia="zh-CN" w:bidi="ar-SA"/>
        </w:rPr>
        <w:t>，偏差率0%，偏差原因：</w:t>
      </w:r>
      <w:r>
        <w:rPr>
          <w:rStyle w:val="13"/>
          <w:rFonts w:hint="eastAsia" w:eastAsia="仿宋_GB2312" w:cs="Times New Roman"/>
          <w:b w:val="0"/>
          <w:spacing w:val="-4"/>
          <w:kern w:val="2"/>
          <w:sz w:val="32"/>
          <w:szCs w:val="32"/>
          <w:highlight w:val="none"/>
          <w:lang w:val="en-US" w:eastAsia="zh-CN" w:bidi="ar-SA"/>
        </w:rPr>
        <w:t>无偏差；</w:t>
      </w:r>
    </w:p>
    <w:p w14:paraId="6FDB661F">
      <w:pPr>
        <w:snapToGrid w:val="0"/>
        <w:spacing w:line="560" w:lineRule="exact"/>
        <w:ind w:firstLine="624" w:firstLineChars="200"/>
        <w:rPr>
          <w:rStyle w:val="13"/>
          <w:rFonts w:hint="eastAsia" w:eastAsia="仿宋_GB2312" w:cs="Times New Roman"/>
          <w:b w:val="0"/>
          <w:spacing w:val="-4"/>
          <w:kern w:val="2"/>
          <w:sz w:val="32"/>
          <w:szCs w:val="32"/>
          <w:highlight w:val="none"/>
          <w:lang w:val="en-US" w:eastAsia="zh-CN" w:bidi="ar-SA"/>
        </w:rPr>
      </w:pPr>
      <w:r>
        <w:rPr>
          <w:rStyle w:val="13"/>
          <w:rFonts w:hint="eastAsia" w:ascii="Times New Roman" w:hAnsi="Times New Roman" w:eastAsia="仿宋_GB2312" w:cs="Times New Roman"/>
          <w:b w:val="0"/>
          <w:spacing w:val="-4"/>
          <w:kern w:val="2"/>
          <w:sz w:val="32"/>
          <w:szCs w:val="32"/>
          <w:highlight w:val="none"/>
          <w:lang w:val="en-US" w:eastAsia="zh-CN" w:bidi="ar-SA"/>
        </w:rPr>
        <w:t>指标</w:t>
      </w:r>
      <w:r>
        <w:rPr>
          <w:rStyle w:val="13"/>
          <w:rFonts w:hint="eastAsia" w:eastAsia="仿宋_GB2312" w:cs="Times New Roman"/>
          <w:b w:val="0"/>
          <w:spacing w:val="-4"/>
          <w:kern w:val="2"/>
          <w:sz w:val="32"/>
          <w:szCs w:val="32"/>
          <w:highlight w:val="none"/>
          <w:lang w:val="en-US" w:eastAsia="zh-CN" w:bidi="ar-SA"/>
        </w:rPr>
        <w:t>2</w:t>
      </w:r>
      <w:r>
        <w:rPr>
          <w:rStyle w:val="13"/>
          <w:rFonts w:hint="eastAsia" w:ascii="Times New Roman" w:hAnsi="Times New Roman" w:eastAsia="仿宋_GB2312" w:cs="Times New Roman"/>
          <w:b w:val="0"/>
          <w:spacing w:val="-4"/>
          <w:kern w:val="2"/>
          <w:sz w:val="32"/>
          <w:szCs w:val="32"/>
          <w:highlight w:val="none"/>
          <w:lang w:val="en-US" w:eastAsia="zh-CN" w:bidi="ar-SA"/>
        </w:rPr>
        <w:t>：设备验收合格率，指标值：</w:t>
      </w:r>
      <w:r>
        <w:rPr>
          <w:rStyle w:val="13"/>
          <w:rFonts w:hint="eastAsia" w:eastAsia="仿宋_GB2312"/>
          <w:b w:val="0"/>
          <w:spacing w:val="-4"/>
          <w:sz w:val="32"/>
          <w:szCs w:val="32"/>
          <w:highlight w:val="none"/>
          <w:lang w:val="en-US" w:eastAsia="zh-CN"/>
        </w:rPr>
        <w:t>＞</w:t>
      </w:r>
      <w:r>
        <w:rPr>
          <w:rStyle w:val="13"/>
          <w:rFonts w:hint="eastAsia" w:eastAsia="仿宋_GB2312" w:cs="Times New Roman"/>
          <w:b w:val="0"/>
          <w:spacing w:val="-4"/>
          <w:kern w:val="2"/>
          <w:sz w:val="32"/>
          <w:szCs w:val="32"/>
          <w:highlight w:val="none"/>
          <w:lang w:val="en-US" w:eastAsia="zh-CN" w:bidi="ar-SA"/>
        </w:rPr>
        <w:t>95%</w:t>
      </w:r>
      <w:r>
        <w:rPr>
          <w:rStyle w:val="13"/>
          <w:rFonts w:hint="eastAsia" w:ascii="Times New Roman" w:hAnsi="Times New Roman" w:eastAsia="仿宋_GB2312" w:cs="Times New Roman"/>
          <w:b w:val="0"/>
          <w:spacing w:val="-4"/>
          <w:kern w:val="2"/>
          <w:sz w:val="32"/>
          <w:szCs w:val="32"/>
          <w:highlight w:val="none"/>
          <w:lang w:val="en-US" w:eastAsia="zh-CN" w:bidi="ar-SA"/>
        </w:rPr>
        <w:t>，实际完成值：</w:t>
      </w:r>
      <w:r>
        <w:rPr>
          <w:rStyle w:val="13"/>
          <w:rFonts w:hint="eastAsia" w:eastAsia="仿宋_GB2312" w:cs="Times New Roman"/>
          <w:b w:val="0"/>
          <w:spacing w:val="-4"/>
          <w:kern w:val="2"/>
          <w:sz w:val="32"/>
          <w:szCs w:val="32"/>
          <w:highlight w:val="none"/>
          <w:lang w:val="en-US" w:eastAsia="zh-CN" w:bidi="ar-SA"/>
        </w:rPr>
        <w:t>100%</w:t>
      </w:r>
      <w:r>
        <w:rPr>
          <w:rStyle w:val="13"/>
          <w:rFonts w:hint="eastAsia" w:ascii="Times New Roman" w:hAnsi="Times New Roman" w:eastAsia="仿宋_GB2312" w:cs="Times New Roman"/>
          <w:b w:val="0"/>
          <w:spacing w:val="-4"/>
          <w:kern w:val="2"/>
          <w:sz w:val="32"/>
          <w:szCs w:val="32"/>
          <w:highlight w:val="none"/>
          <w:lang w:val="en-US" w:eastAsia="zh-CN" w:bidi="ar-SA"/>
        </w:rPr>
        <w:t>，偏差率0%，指标完成率：</w:t>
      </w:r>
      <w:r>
        <w:rPr>
          <w:rStyle w:val="13"/>
          <w:rFonts w:hint="eastAsia" w:eastAsia="仿宋_GB2312" w:cs="Times New Roman"/>
          <w:b w:val="0"/>
          <w:spacing w:val="-4"/>
          <w:kern w:val="2"/>
          <w:sz w:val="32"/>
          <w:szCs w:val="32"/>
          <w:highlight w:val="none"/>
          <w:lang w:val="en-US" w:eastAsia="zh-CN" w:bidi="ar-SA"/>
        </w:rPr>
        <w:t>100%</w:t>
      </w:r>
      <w:r>
        <w:rPr>
          <w:rStyle w:val="13"/>
          <w:rFonts w:hint="eastAsia" w:ascii="Times New Roman" w:hAnsi="Times New Roman" w:eastAsia="仿宋_GB2312" w:cs="Times New Roman"/>
          <w:b w:val="0"/>
          <w:spacing w:val="-4"/>
          <w:kern w:val="2"/>
          <w:sz w:val="32"/>
          <w:szCs w:val="32"/>
          <w:highlight w:val="none"/>
          <w:lang w:val="en-US" w:eastAsia="zh-CN" w:bidi="ar-SA"/>
        </w:rPr>
        <w:t>，偏差原因：</w:t>
      </w:r>
      <w:r>
        <w:rPr>
          <w:rStyle w:val="13"/>
          <w:rFonts w:hint="eastAsia" w:eastAsia="仿宋_GB2312" w:cs="Times New Roman"/>
          <w:b w:val="0"/>
          <w:spacing w:val="-4"/>
          <w:kern w:val="2"/>
          <w:sz w:val="32"/>
          <w:szCs w:val="32"/>
          <w:highlight w:val="none"/>
          <w:lang w:val="en-US" w:eastAsia="zh-CN" w:bidi="ar-SA"/>
        </w:rPr>
        <w:t>无偏差。</w:t>
      </w:r>
    </w:p>
    <w:p w14:paraId="1E618B29">
      <w:pPr>
        <w:spacing w:line="560" w:lineRule="exact"/>
        <w:ind w:firstLine="643" w:firstLineChars="200"/>
        <w:rPr>
          <w:rStyle w:val="15"/>
          <w:rFonts w:ascii="Times New Roman" w:hAnsi="Times New Roman" w:cs="Times New Roman"/>
          <w:b/>
          <w:bCs/>
          <w:color w:val="auto"/>
          <w:highlight w:val="none"/>
        </w:rPr>
      </w:pPr>
      <w:r>
        <w:rPr>
          <w:rStyle w:val="15"/>
          <w:rFonts w:ascii="Times New Roman" w:hAnsi="Times New Roman" w:cs="Times New Roman"/>
          <w:b/>
          <w:bCs/>
          <w:color w:val="auto"/>
          <w:highlight w:val="none"/>
        </w:rPr>
        <w:t>时效指标方面：</w:t>
      </w:r>
    </w:p>
    <w:p w14:paraId="495C44D3">
      <w:pPr>
        <w:pStyle w:val="3"/>
        <w:widowControl w:val="0"/>
        <w:spacing w:before="0" w:after="0" w:line="560" w:lineRule="exact"/>
        <w:ind w:firstLine="624" w:firstLineChars="200"/>
        <w:rPr>
          <w:rStyle w:val="13"/>
          <w:rFonts w:hint="eastAsia" w:ascii="Times New Roman" w:hAnsi="Times New Roman" w:eastAsia="仿宋_GB2312" w:cs="Times New Roman"/>
          <w:b w:val="0"/>
          <w:bCs/>
          <w:spacing w:val="-4"/>
          <w:kern w:val="2"/>
          <w:sz w:val="32"/>
          <w:szCs w:val="32"/>
          <w:highlight w:val="none"/>
          <w:lang w:val="en-US" w:eastAsia="zh-CN" w:bidi="ar-SA"/>
        </w:rPr>
      </w:pPr>
      <w:r>
        <w:rPr>
          <w:rStyle w:val="13"/>
          <w:rFonts w:hint="eastAsia" w:ascii="Times New Roman" w:hAnsi="Times New Roman" w:eastAsia="仿宋_GB2312" w:cs="Times New Roman"/>
          <w:b w:val="0"/>
          <w:bCs/>
          <w:spacing w:val="-4"/>
          <w:kern w:val="2"/>
          <w:sz w:val="32"/>
          <w:szCs w:val="32"/>
          <w:highlight w:val="none"/>
          <w:lang w:val="en-US" w:eastAsia="zh-CN" w:bidi="ar-SA"/>
        </w:rPr>
        <w:t>指标1：床位改造完成时间，指标值：2022年12月31日前，实际完成值：2022年12月31日前，指标完成率：100%，偏差率0%，偏差原因：无偏差。</w:t>
      </w:r>
    </w:p>
    <w:p w14:paraId="40E31A04">
      <w:pPr>
        <w:spacing w:line="560" w:lineRule="exact"/>
        <w:ind w:firstLine="643" w:firstLineChars="200"/>
        <w:rPr>
          <w:rStyle w:val="15"/>
          <w:rFonts w:ascii="Times New Roman" w:hAnsi="Times New Roman" w:cs="Times New Roman"/>
          <w:b/>
          <w:bCs/>
          <w:color w:val="auto"/>
          <w:highlight w:val="none"/>
        </w:rPr>
      </w:pPr>
      <w:r>
        <w:rPr>
          <w:rStyle w:val="15"/>
          <w:rFonts w:hint="eastAsia" w:ascii="Times New Roman" w:hAnsi="Times New Roman" w:eastAsia="仿宋_GB2312" w:cs="Times New Roman"/>
          <w:b/>
          <w:bCs/>
          <w:color w:val="auto"/>
          <w:highlight w:val="none"/>
          <w:lang w:val="en-US" w:eastAsia="zh-CN"/>
        </w:rPr>
        <w:t>成本</w:t>
      </w:r>
      <w:r>
        <w:rPr>
          <w:rStyle w:val="15"/>
          <w:rFonts w:ascii="Times New Roman" w:hAnsi="Times New Roman" w:cs="Times New Roman"/>
          <w:b/>
          <w:bCs/>
          <w:color w:val="auto"/>
          <w:highlight w:val="none"/>
        </w:rPr>
        <w:t>指标方面：</w:t>
      </w:r>
    </w:p>
    <w:p w14:paraId="54DF16F0">
      <w:pPr>
        <w:pStyle w:val="3"/>
        <w:widowControl w:val="0"/>
        <w:spacing w:before="0" w:after="0" w:line="560" w:lineRule="exact"/>
        <w:ind w:firstLine="624" w:firstLineChars="200"/>
        <w:rPr>
          <w:rFonts w:hint="eastAsia"/>
          <w:highlight w:val="none"/>
          <w:lang w:val="en-US" w:eastAsia="zh-CN"/>
        </w:rPr>
      </w:pPr>
      <w:r>
        <w:rPr>
          <w:rStyle w:val="13"/>
          <w:rFonts w:hint="eastAsia" w:ascii="Times New Roman" w:hAnsi="Times New Roman" w:eastAsia="仿宋_GB2312" w:cs="Times New Roman"/>
          <w:b w:val="0"/>
          <w:bCs/>
          <w:spacing w:val="-4"/>
          <w:kern w:val="2"/>
          <w:sz w:val="32"/>
          <w:szCs w:val="32"/>
          <w:highlight w:val="none"/>
          <w:lang w:val="en-US" w:eastAsia="zh-CN" w:bidi="ar-SA"/>
        </w:rPr>
        <w:t>指标1：设备采购成本控制数，指标值：＜=61万元/床，实际完成值：36.56万元/床，指标完成率：100%，偏差率0%，偏差原因：无偏差。</w:t>
      </w:r>
    </w:p>
    <w:p w14:paraId="34006865">
      <w:pPr>
        <w:pStyle w:val="9"/>
        <w:numPr>
          <w:ilvl w:val="0"/>
          <w:numId w:val="5"/>
        </w:numPr>
        <w:spacing w:line="560" w:lineRule="exact"/>
        <w:ind w:firstLine="640"/>
        <w:rPr>
          <w:rStyle w:val="13"/>
          <w:rFonts w:hint="eastAsia" w:ascii="Times New Roman" w:hAnsi="Times New Roman" w:eastAsia="仿宋_GB2312" w:cs="Times New Roman"/>
          <w:b/>
          <w:bCs w:val="0"/>
          <w:spacing w:val="-4"/>
          <w:kern w:val="2"/>
          <w:sz w:val="32"/>
          <w:szCs w:val="32"/>
          <w:highlight w:val="none"/>
          <w:lang w:val="en-US" w:eastAsia="zh-CN" w:bidi="ar-SA"/>
        </w:rPr>
      </w:pPr>
      <w:r>
        <w:rPr>
          <w:rStyle w:val="13"/>
          <w:rFonts w:hint="eastAsia" w:ascii="Times New Roman" w:hAnsi="Times New Roman" w:eastAsia="仿宋_GB2312" w:cs="Times New Roman"/>
          <w:b/>
          <w:bCs w:val="0"/>
          <w:spacing w:val="-4"/>
          <w:kern w:val="2"/>
          <w:sz w:val="32"/>
          <w:szCs w:val="32"/>
          <w:highlight w:val="none"/>
          <w:lang w:val="en-US" w:eastAsia="zh-CN" w:bidi="ar-SA"/>
        </w:rPr>
        <w:t>效益情况</w:t>
      </w:r>
    </w:p>
    <w:p w14:paraId="7F14F6F0">
      <w:pPr>
        <w:spacing w:line="560" w:lineRule="exact"/>
        <w:ind w:firstLine="643" w:firstLineChars="200"/>
        <w:rPr>
          <w:rStyle w:val="15"/>
          <w:rFonts w:cs="Times New Roman"/>
          <w:b/>
          <w:bCs/>
          <w:color w:val="auto"/>
          <w:highlight w:val="none"/>
          <w:lang w:eastAsia="zh-Hans"/>
        </w:rPr>
      </w:pPr>
      <w:r>
        <w:rPr>
          <w:rStyle w:val="15"/>
          <w:rFonts w:hint="eastAsia" w:cs="Times New Roman"/>
          <w:b/>
          <w:bCs/>
          <w:color w:val="auto"/>
          <w:highlight w:val="none"/>
          <w:lang w:eastAsia="zh-Hans"/>
        </w:rPr>
        <w:t>经济效益指标方面：</w:t>
      </w:r>
    </w:p>
    <w:p w14:paraId="46D645D3">
      <w:pPr>
        <w:spacing w:line="560" w:lineRule="exact"/>
        <w:ind w:firstLine="640" w:firstLineChars="200"/>
        <w:rPr>
          <w:rStyle w:val="13"/>
          <w:rFonts w:hint="default" w:ascii="Times New Roman" w:hAnsi="Times New Roman" w:eastAsia="仿宋_GB2312" w:cs="Times New Roman"/>
          <w:b w:val="0"/>
          <w:bCs/>
          <w:spacing w:val="-4"/>
          <w:sz w:val="32"/>
          <w:szCs w:val="32"/>
          <w:highlight w:val="none"/>
          <w:lang w:eastAsia="zh-CN"/>
        </w:rPr>
      </w:pPr>
      <w:r>
        <w:rPr>
          <w:rStyle w:val="15"/>
          <w:rFonts w:ascii="Times New Roman" w:hAnsi="Times New Roman" w:cs="Times New Roman"/>
          <w:color w:val="auto"/>
          <w:highlight w:val="none"/>
        </w:rPr>
        <w:t>指</w:t>
      </w:r>
      <w:r>
        <w:rPr>
          <w:rStyle w:val="15"/>
          <w:rFonts w:hint="default" w:ascii="Times New Roman" w:hAnsi="Times New Roman" w:cs="Times New Roman"/>
          <w:color w:val="auto"/>
          <w:highlight w:val="none"/>
        </w:rPr>
        <w:t>标1：设备利用率，指标值：</w:t>
      </w:r>
      <w:r>
        <w:rPr>
          <w:rStyle w:val="15"/>
          <w:rFonts w:hint="eastAsia" w:eastAsia="仿宋_GB2312" w:cs="Times New Roman"/>
          <w:color w:val="auto"/>
          <w:highlight w:val="none"/>
          <w:lang w:val="en-US" w:eastAsia="zh-CN"/>
        </w:rPr>
        <w:t>＞</w:t>
      </w:r>
      <w:r>
        <w:rPr>
          <w:rStyle w:val="15"/>
          <w:rFonts w:hint="default" w:ascii="Times New Roman" w:hAnsi="Times New Roman" w:eastAsia="仿宋_GB2312" w:cs="Times New Roman"/>
          <w:color w:val="auto"/>
          <w:highlight w:val="none"/>
          <w:lang w:val="en-US" w:eastAsia="zh-CN"/>
        </w:rPr>
        <w:t>70%</w:t>
      </w:r>
      <w:r>
        <w:rPr>
          <w:rStyle w:val="15"/>
          <w:rFonts w:hint="default" w:ascii="Times New Roman" w:hAnsi="Times New Roman" w:cs="Times New Roman"/>
          <w:color w:val="auto"/>
          <w:highlight w:val="none"/>
        </w:rPr>
        <w:t>，实际完成值：</w:t>
      </w:r>
      <w:r>
        <w:rPr>
          <w:rStyle w:val="15"/>
          <w:rFonts w:hint="default" w:ascii="Times New Roman" w:hAnsi="Times New Roman" w:eastAsia="仿宋_GB2312" w:cs="Times New Roman"/>
          <w:color w:val="auto"/>
          <w:highlight w:val="none"/>
          <w:lang w:val="en-US" w:eastAsia="zh-CN"/>
        </w:rPr>
        <w:t>90%</w:t>
      </w:r>
      <w:r>
        <w:rPr>
          <w:rStyle w:val="15"/>
          <w:rFonts w:hint="default" w:ascii="Times New Roman" w:hAnsi="Times New Roman" w:cs="Times New Roman"/>
          <w:color w:val="auto"/>
          <w:highlight w:val="none"/>
        </w:rPr>
        <w:t>，指标完成率：</w:t>
      </w:r>
      <w:r>
        <w:rPr>
          <w:rStyle w:val="13"/>
          <w:rFonts w:hint="default" w:ascii="Times New Roman" w:hAnsi="Times New Roman" w:eastAsia="仿宋_GB2312" w:cs="Times New Roman"/>
          <w:b w:val="0"/>
          <w:bCs/>
          <w:spacing w:val="-4"/>
          <w:sz w:val="32"/>
          <w:szCs w:val="32"/>
          <w:highlight w:val="none"/>
        </w:rPr>
        <w:t>100</w:t>
      </w:r>
      <w:r>
        <w:rPr>
          <w:rStyle w:val="13"/>
          <w:rFonts w:hint="default" w:ascii="Times New Roman" w:hAnsi="Times New Roman" w:eastAsia="仿宋_GB2312" w:cs="Times New Roman"/>
          <w:b w:val="0"/>
          <w:bCs/>
          <w:spacing w:val="-4"/>
          <w:sz w:val="32"/>
          <w:szCs w:val="32"/>
          <w:highlight w:val="none"/>
          <w:lang w:val="en-US" w:eastAsia="zh-CN"/>
        </w:rPr>
        <w:t>%</w:t>
      </w:r>
      <w:r>
        <w:rPr>
          <w:rStyle w:val="13"/>
          <w:rFonts w:hint="default" w:ascii="Times New Roman" w:hAnsi="Times New Roman" w:eastAsia="仿宋_GB2312" w:cs="Times New Roman"/>
          <w:b w:val="0"/>
          <w:bCs/>
          <w:spacing w:val="-4"/>
          <w:sz w:val="32"/>
          <w:szCs w:val="32"/>
          <w:highlight w:val="none"/>
        </w:rPr>
        <w:t>，</w:t>
      </w:r>
      <w:r>
        <w:rPr>
          <w:rStyle w:val="13"/>
          <w:rFonts w:hint="default" w:ascii="Times New Roman" w:hAnsi="Times New Roman" w:eastAsia="仿宋_GB2312" w:cs="Times New Roman"/>
          <w:b w:val="0"/>
          <w:bCs/>
          <w:spacing w:val="-4"/>
          <w:kern w:val="2"/>
          <w:sz w:val="32"/>
          <w:szCs w:val="32"/>
          <w:highlight w:val="none"/>
          <w:lang w:val="en-US" w:eastAsia="zh-CN" w:bidi="ar-SA"/>
        </w:rPr>
        <w:t>偏差率0%，</w:t>
      </w:r>
      <w:r>
        <w:rPr>
          <w:rStyle w:val="13"/>
          <w:rFonts w:hint="default" w:ascii="Times New Roman" w:hAnsi="Times New Roman" w:eastAsia="仿宋_GB2312" w:cs="Times New Roman"/>
          <w:b w:val="0"/>
          <w:bCs/>
          <w:spacing w:val="-4"/>
          <w:sz w:val="32"/>
          <w:szCs w:val="32"/>
          <w:highlight w:val="none"/>
        </w:rPr>
        <w:t>偏差原因：</w:t>
      </w:r>
      <w:r>
        <w:rPr>
          <w:rStyle w:val="13"/>
          <w:rFonts w:hint="default" w:ascii="Times New Roman" w:hAnsi="Times New Roman" w:eastAsia="仿宋_GB2312" w:cs="Times New Roman"/>
          <w:b w:val="0"/>
          <w:bCs/>
          <w:spacing w:val="-4"/>
          <w:sz w:val="32"/>
          <w:szCs w:val="32"/>
          <w:highlight w:val="none"/>
          <w:lang w:eastAsia="zh-CN"/>
        </w:rPr>
        <w:t>无偏差。</w:t>
      </w:r>
    </w:p>
    <w:p w14:paraId="4878DFFA">
      <w:pPr>
        <w:spacing w:line="560" w:lineRule="exact"/>
        <w:ind w:firstLine="643" w:firstLineChars="200"/>
        <w:rPr>
          <w:rStyle w:val="15"/>
          <w:rFonts w:ascii="Times New Roman" w:hAnsi="Times New Roman" w:cs="Times New Roman"/>
          <w:b/>
          <w:bCs/>
          <w:color w:val="auto"/>
          <w:highlight w:val="none"/>
        </w:rPr>
      </w:pPr>
      <w:r>
        <w:rPr>
          <w:rStyle w:val="15"/>
          <w:rFonts w:ascii="Times New Roman" w:hAnsi="Times New Roman" w:cs="Times New Roman"/>
          <w:b/>
          <w:bCs/>
          <w:color w:val="auto"/>
          <w:highlight w:val="none"/>
        </w:rPr>
        <w:t>满意度指标方面：</w:t>
      </w:r>
    </w:p>
    <w:p w14:paraId="17B4715E">
      <w:pPr>
        <w:pStyle w:val="3"/>
        <w:widowControl w:val="0"/>
        <w:spacing w:before="0" w:after="0" w:line="560" w:lineRule="exact"/>
        <w:ind w:firstLine="640" w:firstLineChars="200"/>
        <w:rPr>
          <w:rStyle w:val="15"/>
          <w:rFonts w:hint="eastAsia" w:ascii="Times New Roman" w:hAnsi="Times New Roman" w:cs="Times New Roman"/>
          <w:b w:val="0"/>
          <w:bCs w:val="0"/>
          <w:color w:val="auto"/>
          <w:kern w:val="2"/>
          <w:highlight w:val="none"/>
          <w:lang w:val="en-US" w:eastAsia="zh-CN" w:bidi="ar-SA"/>
        </w:rPr>
      </w:pPr>
      <w:r>
        <w:rPr>
          <w:rStyle w:val="15"/>
          <w:rFonts w:hint="eastAsia" w:ascii="Times New Roman" w:hAnsi="Times New Roman" w:cs="Times New Roman"/>
          <w:b w:val="0"/>
          <w:bCs w:val="0"/>
          <w:color w:val="auto"/>
          <w:kern w:val="2"/>
          <w:highlight w:val="none"/>
          <w:lang w:val="en-US" w:eastAsia="zh-CN" w:bidi="ar-SA"/>
        </w:rPr>
        <w:t>指标1：使用人员满意度，指标值：＞90%，实际完成值：100%，指标完成率：100%，偏差率0%，偏差原因：无偏差。</w:t>
      </w:r>
    </w:p>
    <w:p w14:paraId="7D5F3745">
      <w:pPr>
        <w:spacing w:line="560" w:lineRule="exact"/>
        <w:ind w:firstLine="640" w:firstLineChars="200"/>
        <w:rPr>
          <w:rFonts w:eastAsia="黑体"/>
          <w:sz w:val="32"/>
          <w:szCs w:val="32"/>
          <w:highlight w:val="none"/>
          <w:lang w:eastAsia="zh-Hans"/>
        </w:rPr>
      </w:pPr>
      <w:r>
        <w:rPr>
          <w:rFonts w:eastAsia="黑体"/>
          <w:sz w:val="32"/>
          <w:szCs w:val="32"/>
          <w:highlight w:val="none"/>
        </w:rPr>
        <w:t>五、</w:t>
      </w:r>
      <w:r>
        <w:rPr>
          <w:rFonts w:hint="eastAsia" w:eastAsia="黑体"/>
          <w:sz w:val="32"/>
          <w:szCs w:val="32"/>
          <w:highlight w:val="none"/>
          <w:lang w:eastAsia="zh-Hans"/>
        </w:rPr>
        <w:t>预算执行进度与绩效指标总体完成率偏差</w:t>
      </w:r>
    </w:p>
    <w:p w14:paraId="015B28BF">
      <w:pPr>
        <w:pStyle w:val="16"/>
        <w:spacing w:line="560" w:lineRule="exact"/>
        <w:ind w:firstLine="640"/>
        <w:rPr>
          <w:rStyle w:val="15"/>
          <w:rFonts w:hint="eastAsia" w:ascii="Times New Roman" w:hAnsi="Times New Roman" w:cs="Times New Roman"/>
          <w:b w:val="0"/>
          <w:bCs w:val="0"/>
          <w:color w:val="auto"/>
          <w:kern w:val="2"/>
          <w:highlight w:val="none"/>
          <w:lang w:val="en-US" w:eastAsia="zh-CN" w:bidi="ar-SA"/>
        </w:rPr>
      </w:pPr>
      <w:r>
        <w:rPr>
          <w:rStyle w:val="15"/>
          <w:rFonts w:hint="eastAsia" w:ascii="Times New Roman" w:hAnsi="Times New Roman" w:cs="Times New Roman"/>
          <w:b w:val="0"/>
          <w:bCs w:val="0"/>
          <w:color w:val="auto"/>
          <w:kern w:val="2"/>
          <w:highlight w:val="none"/>
          <w:lang w:val="en-US" w:eastAsia="zh-CN" w:bidi="ar-SA"/>
        </w:rPr>
        <w:t>自治区2023年第一批疫情防控补助资金（自治区本级医疗机构重症床位设备配置经费）资金项目年初预算1560万元，全年预算1560万元，实际支出1560万元，预算执行率为100.00%，项目绩效指标总体完成率为107.43%，</w:t>
      </w:r>
      <w:r>
        <w:rPr>
          <w:rStyle w:val="15"/>
          <w:rFonts w:hint="eastAsia" w:ascii="Times New Roman" w:hAnsi="Times New Roman" w:cs="Times New Roman"/>
          <w:b w:val="0"/>
          <w:bCs w:val="0"/>
          <w:color w:val="auto"/>
          <w:kern w:val="2"/>
          <w:highlight w:val="none"/>
          <w:lang w:val="en-US" w:eastAsia="zh-Hans" w:bidi="ar-SA"/>
        </w:rPr>
        <w:t>总体</w:t>
      </w:r>
      <w:r>
        <w:rPr>
          <w:rStyle w:val="15"/>
          <w:rFonts w:hint="eastAsia" w:ascii="Times New Roman" w:hAnsi="Times New Roman" w:cs="Times New Roman"/>
          <w:b w:val="0"/>
          <w:bCs w:val="0"/>
          <w:color w:val="auto"/>
          <w:kern w:val="2"/>
          <w:highlight w:val="none"/>
          <w:lang w:val="en-US" w:eastAsia="zh-CN" w:bidi="ar-SA"/>
        </w:rPr>
        <w:t>偏差率为7.43%</w:t>
      </w:r>
      <w:r>
        <w:rPr>
          <w:rStyle w:val="15"/>
          <w:rFonts w:hint="eastAsia" w:cs="Times New Roman"/>
          <w:b w:val="0"/>
          <w:bCs w:val="0"/>
          <w:color w:val="auto"/>
          <w:kern w:val="2"/>
          <w:highlight w:val="none"/>
          <w:lang w:val="en-US" w:eastAsia="zh-CN" w:bidi="ar-SA"/>
        </w:rPr>
        <w:t>，</w:t>
      </w:r>
      <w:r>
        <w:rPr>
          <w:rStyle w:val="15"/>
          <w:rFonts w:hint="eastAsia" w:ascii="Times New Roman" w:hAnsi="Times New Roman" w:cs="Times New Roman"/>
          <w:b w:val="0"/>
          <w:bCs w:val="0"/>
          <w:color w:val="auto"/>
          <w:kern w:val="2"/>
          <w:highlight w:val="none"/>
          <w:lang w:val="en-US" w:eastAsia="zh-Hans" w:bidi="ar-SA"/>
        </w:rPr>
        <w:t>偏差</w:t>
      </w:r>
      <w:r>
        <w:rPr>
          <w:rStyle w:val="15"/>
          <w:rFonts w:hint="eastAsia" w:ascii="Times New Roman" w:hAnsi="Times New Roman" w:cs="Times New Roman"/>
          <w:b w:val="0"/>
          <w:bCs w:val="0"/>
          <w:color w:val="auto"/>
          <w:kern w:val="2"/>
          <w:highlight w:val="none"/>
          <w:lang w:val="en-US" w:eastAsia="zh-CN" w:bidi="ar-SA"/>
        </w:rPr>
        <w:t>原因成本降低，采购数量增加，</w:t>
      </w:r>
      <w:r>
        <w:rPr>
          <w:rStyle w:val="15"/>
          <w:rFonts w:hint="eastAsia" w:ascii="Times New Roman" w:hAnsi="Times New Roman" w:cs="Times New Roman"/>
          <w:b w:val="0"/>
          <w:bCs w:val="0"/>
          <w:color w:val="auto"/>
          <w:kern w:val="2"/>
          <w:highlight w:val="none"/>
          <w:lang w:val="en-US" w:eastAsia="zh-Hans" w:bidi="ar-SA"/>
        </w:rPr>
        <w:t>改进</w:t>
      </w:r>
      <w:r>
        <w:rPr>
          <w:rStyle w:val="15"/>
          <w:rFonts w:hint="eastAsia" w:ascii="Times New Roman" w:hAnsi="Times New Roman" w:cs="Times New Roman"/>
          <w:b w:val="0"/>
          <w:bCs w:val="0"/>
          <w:color w:val="auto"/>
          <w:kern w:val="2"/>
          <w:highlight w:val="none"/>
          <w:lang w:val="en-US" w:eastAsia="zh-CN" w:bidi="ar-SA"/>
        </w:rPr>
        <w:t>措施预算安排相对保守，后期会根据项目执行逐步提高预算安排精准度。</w:t>
      </w:r>
    </w:p>
    <w:p w14:paraId="4621AA3A">
      <w:pPr>
        <w:spacing w:line="560" w:lineRule="exact"/>
        <w:ind w:firstLine="640" w:firstLineChars="200"/>
        <w:rPr>
          <w:rStyle w:val="15"/>
          <w:rFonts w:ascii="Times New Roman" w:hAnsi="Times New Roman" w:cs="Times New Roman"/>
          <w:color w:val="auto"/>
          <w:highlight w:val="none"/>
        </w:rPr>
      </w:pPr>
      <w:r>
        <w:rPr>
          <w:rFonts w:hint="eastAsia" w:eastAsia="黑体"/>
          <w:sz w:val="32"/>
          <w:szCs w:val="32"/>
          <w:highlight w:val="none"/>
          <w:lang w:eastAsia="zh-Hans"/>
        </w:rPr>
        <w:t>六</w:t>
      </w:r>
      <w:r>
        <w:rPr>
          <w:rFonts w:eastAsia="黑体"/>
          <w:sz w:val="32"/>
          <w:szCs w:val="32"/>
          <w:highlight w:val="none"/>
        </w:rPr>
        <w:t>、主要经验及做法、存在的问题及原因分析</w:t>
      </w:r>
    </w:p>
    <w:p w14:paraId="3C815743">
      <w:pPr>
        <w:spacing w:line="560" w:lineRule="exact"/>
        <w:ind w:firstLine="627" w:firstLineChars="200"/>
        <w:rPr>
          <w:rFonts w:eastAsia="楷体"/>
          <w:b/>
          <w:spacing w:val="-4"/>
          <w:sz w:val="32"/>
          <w:szCs w:val="32"/>
          <w:highlight w:val="none"/>
        </w:rPr>
      </w:pPr>
      <w:r>
        <w:rPr>
          <w:rFonts w:eastAsia="楷体"/>
          <w:b/>
          <w:spacing w:val="-4"/>
          <w:sz w:val="32"/>
          <w:szCs w:val="32"/>
          <w:highlight w:val="none"/>
        </w:rPr>
        <w:t>（一）主要经验及做法</w:t>
      </w:r>
    </w:p>
    <w:p w14:paraId="43B9ED0A">
      <w:pPr>
        <w:spacing w:line="560" w:lineRule="exact"/>
        <w:ind w:firstLine="640" w:firstLineChars="200"/>
        <w:rPr>
          <w:rFonts w:eastAsia="仿宋_GB2312"/>
          <w:sz w:val="32"/>
          <w:szCs w:val="32"/>
          <w:highlight w:val="none"/>
        </w:rPr>
      </w:pPr>
      <w:r>
        <w:rPr>
          <w:rFonts w:eastAsia="仿宋_GB2312"/>
          <w:sz w:val="32"/>
          <w:szCs w:val="32"/>
          <w:highlight w:val="none"/>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14:paraId="02D083C8">
      <w:pPr>
        <w:pStyle w:val="2"/>
        <w:spacing w:before="0" w:after="0" w:line="560" w:lineRule="exact"/>
        <w:ind w:firstLine="640" w:firstLineChars="200"/>
        <w:jc w:val="left"/>
        <w:rPr>
          <w:rFonts w:ascii="Times New Roman" w:hAnsi="Times New Roman" w:eastAsia="仿宋_GB2312"/>
          <w:b w:val="0"/>
          <w:bCs w:val="0"/>
          <w:kern w:val="2"/>
          <w:highlight w:val="none"/>
        </w:rPr>
      </w:pPr>
      <w:r>
        <w:rPr>
          <w:rFonts w:ascii="Times New Roman" w:hAnsi="Times New Roman" w:eastAsia="仿宋_GB2312"/>
          <w:b w:val="0"/>
          <w:bCs w:val="0"/>
          <w:kern w:val="2"/>
          <w:highlight w:val="none"/>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14:paraId="21FC0E7E">
      <w:pPr>
        <w:keepNext/>
        <w:keepLines/>
        <w:numPr>
          <w:ilvl w:val="0"/>
          <w:numId w:val="6"/>
        </w:numPr>
        <w:spacing w:line="560" w:lineRule="exact"/>
        <w:ind w:firstLine="643" w:firstLineChars="200"/>
        <w:rPr>
          <w:rFonts w:eastAsia="楷体_GB2312"/>
          <w:b/>
          <w:bCs/>
          <w:sz w:val="32"/>
          <w:szCs w:val="32"/>
          <w:highlight w:val="none"/>
        </w:rPr>
      </w:pPr>
      <w:r>
        <w:rPr>
          <w:rFonts w:eastAsia="楷体_GB2312"/>
          <w:b/>
          <w:bCs/>
          <w:sz w:val="32"/>
          <w:szCs w:val="32"/>
          <w:highlight w:val="none"/>
        </w:rPr>
        <w:t>存在的问题及原因分析</w:t>
      </w:r>
    </w:p>
    <w:p w14:paraId="254E8BB7">
      <w:pPr>
        <w:pStyle w:val="2"/>
        <w:spacing w:before="0" w:after="0" w:line="560" w:lineRule="exact"/>
        <w:ind w:firstLine="640" w:firstLineChars="200"/>
        <w:jc w:val="both"/>
        <w:rPr>
          <w:rFonts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lang w:eastAsia="zh-Hans"/>
        </w:rPr>
        <w:t>本项目</w:t>
      </w:r>
      <w:r>
        <w:rPr>
          <w:rFonts w:ascii="Times New Roman" w:hAnsi="Times New Roman" w:eastAsia="仿宋_GB2312"/>
          <w:b w:val="0"/>
          <w:bCs w:val="0"/>
          <w:kern w:val="2"/>
          <w:highlight w:val="none"/>
          <w:lang w:eastAsia="zh-Hans"/>
        </w:rPr>
        <w:t>202</w:t>
      </w:r>
      <w:r>
        <w:rPr>
          <w:rFonts w:hint="eastAsia" w:ascii="Times New Roman" w:hAnsi="Times New Roman" w:eastAsia="仿宋_GB2312"/>
          <w:b w:val="0"/>
          <w:bCs w:val="0"/>
          <w:kern w:val="2"/>
          <w:highlight w:val="none"/>
          <w:lang w:val="en-US" w:eastAsia="zh-CN"/>
        </w:rPr>
        <w:t>3</w:t>
      </w:r>
      <w:r>
        <w:rPr>
          <w:rFonts w:hint="eastAsia" w:ascii="Times New Roman" w:hAnsi="Times New Roman" w:eastAsia="仿宋_GB2312"/>
          <w:b w:val="0"/>
          <w:bCs w:val="0"/>
          <w:kern w:val="2"/>
          <w:highlight w:val="none"/>
          <w:lang w:eastAsia="zh-Hans"/>
        </w:rPr>
        <w:t>年度无</w:t>
      </w:r>
      <w:r>
        <w:rPr>
          <w:rFonts w:ascii="Times New Roman" w:hAnsi="Times New Roman" w:eastAsia="仿宋_GB2312"/>
          <w:b w:val="0"/>
          <w:bCs w:val="0"/>
          <w:kern w:val="2"/>
          <w:highlight w:val="none"/>
        </w:rPr>
        <w:t>存在的问题</w:t>
      </w:r>
      <w:r>
        <w:rPr>
          <w:rFonts w:hint="eastAsia" w:ascii="Times New Roman" w:hAnsi="Times New Roman" w:eastAsia="仿宋_GB2312"/>
          <w:b w:val="0"/>
          <w:bCs w:val="0"/>
          <w:kern w:val="2"/>
          <w:highlight w:val="none"/>
          <w:lang w:eastAsia="zh-Hans"/>
        </w:rPr>
        <w:t>。</w:t>
      </w:r>
    </w:p>
    <w:p w14:paraId="67B27F2E">
      <w:pPr>
        <w:spacing w:line="560" w:lineRule="exact"/>
        <w:ind w:firstLine="640" w:firstLineChars="200"/>
        <w:rPr>
          <w:rFonts w:eastAsia="黑体"/>
          <w:sz w:val="32"/>
          <w:szCs w:val="32"/>
          <w:highlight w:val="none"/>
        </w:rPr>
      </w:pPr>
      <w:r>
        <w:rPr>
          <w:rFonts w:hint="eastAsia" w:eastAsia="黑体"/>
          <w:sz w:val="32"/>
          <w:szCs w:val="32"/>
          <w:highlight w:val="none"/>
          <w:lang w:eastAsia="zh-Hans"/>
        </w:rPr>
        <w:t>七、</w:t>
      </w:r>
      <w:r>
        <w:rPr>
          <w:rFonts w:eastAsia="黑体"/>
          <w:sz w:val="32"/>
          <w:szCs w:val="32"/>
          <w:highlight w:val="none"/>
        </w:rPr>
        <w:t>有关建议</w:t>
      </w:r>
    </w:p>
    <w:p w14:paraId="40745FEC">
      <w:pPr>
        <w:spacing w:line="560" w:lineRule="exact"/>
        <w:ind w:firstLine="640" w:firstLineChars="200"/>
        <w:rPr>
          <w:highlight w:val="none"/>
        </w:rPr>
      </w:pPr>
      <w:r>
        <w:rPr>
          <w:rFonts w:hint="eastAsia" w:ascii="仿宋_GB2312" w:hAnsi="仿宋_GB2312" w:eastAsia="仿宋_GB2312" w:cs="仿宋_GB2312"/>
          <w:sz w:val="32"/>
          <w:szCs w:val="28"/>
          <w:highlight w:val="none"/>
        </w:rPr>
        <w:t>进一步加强对绩效管理工作的组织领导，提高对预算绩效管理工作重要性的认识，总结经验查找问题，抓紧研究制定更全面更完善的绩效评价管理办法。加大全局对全面实施预算绩效管理和绩效管理工作的学习力度，让“花钱必问效，无效必问责”的理念深入工作每个环节。</w:t>
      </w:r>
    </w:p>
    <w:p w14:paraId="3B426A3E">
      <w:pPr>
        <w:spacing w:line="560" w:lineRule="exact"/>
        <w:ind w:firstLine="640" w:firstLineChars="200"/>
        <w:rPr>
          <w:rFonts w:eastAsia="黑体"/>
          <w:sz w:val="32"/>
          <w:szCs w:val="32"/>
          <w:highlight w:val="none"/>
        </w:rPr>
      </w:pPr>
      <w:r>
        <w:rPr>
          <w:rFonts w:hint="eastAsia" w:eastAsia="黑体"/>
          <w:sz w:val="32"/>
          <w:szCs w:val="32"/>
          <w:highlight w:val="none"/>
          <w:lang w:eastAsia="zh-Hans"/>
        </w:rPr>
        <w:t>八、</w:t>
      </w:r>
      <w:r>
        <w:rPr>
          <w:rFonts w:eastAsia="黑体"/>
          <w:sz w:val="32"/>
          <w:szCs w:val="32"/>
          <w:highlight w:val="none"/>
        </w:rPr>
        <w:t>其他需要说</w:t>
      </w:r>
      <w:bookmarkStart w:id="4" w:name="page8"/>
      <w:bookmarkEnd w:id="4"/>
      <w:r>
        <w:rPr>
          <w:rFonts w:eastAsia="黑体"/>
          <w:sz w:val="32"/>
          <w:szCs w:val="32"/>
          <w:highlight w:val="none"/>
        </w:rPr>
        <w:t>明的问题</w:t>
      </w:r>
    </w:p>
    <w:p w14:paraId="6D445E88">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r>
        <w:rPr>
          <w:rFonts w:hint="eastAsia" w:ascii="仿宋_GB2312" w:hAnsi="仿宋_GB2312" w:eastAsia="仿宋_GB2312" w:cs="仿宋_GB2312"/>
          <w:sz w:val="32"/>
          <w:szCs w:val="32"/>
          <w:highlight w:val="none"/>
          <w:lang w:eastAsia="zh-Hans"/>
        </w:rPr>
        <w:t>本项目无其他需说明的问题。</w:t>
      </w:r>
    </w:p>
    <w:p w14:paraId="2A07E122">
      <w:pPr>
        <w:pStyle w:val="10"/>
        <w:spacing w:after="0" w:line="560" w:lineRule="exact"/>
        <w:ind w:left="0" w:leftChars="0" w:firstLine="640"/>
        <w:rPr>
          <w:rFonts w:hint="eastAsia" w:ascii="仿宋_GB2312" w:hAnsi="仿宋_GB2312" w:eastAsia="仿宋_GB2312" w:cs="仿宋_GB2312"/>
          <w:sz w:val="32"/>
          <w:szCs w:val="32"/>
          <w:highlight w:val="none"/>
          <w:lang w:eastAsia="zh-Hans"/>
        </w:rPr>
        <w:sectPr>
          <w:pgSz w:w="11906" w:h="16838"/>
          <w:pgMar w:top="1440" w:right="1558" w:bottom="1440" w:left="1800" w:header="851" w:footer="992" w:gutter="0"/>
          <w:cols w:space="425" w:num="1"/>
          <w:docGrid w:type="lines" w:linePitch="312" w:charSpace="0"/>
        </w:sectPr>
      </w:pPr>
    </w:p>
    <w:p w14:paraId="07C36596">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p w14:paraId="5FD2DC3E">
      <w:pPr>
        <w:pStyle w:val="10"/>
        <w:spacing w:after="0" w:line="560" w:lineRule="exact"/>
        <w:ind w:left="0" w:leftChars="0" w:firstLine="640"/>
        <w:rPr>
          <w:rFonts w:hint="eastAsia" w:ascii="仿宋_GB2312" w:hAnsi="仿宋_GB2312" w:eastAsia="仿宋_GB2312" w:cs="仿宋_GB2312"/>
          <w:sz w:val="32"/>
          <w:szCs w:val="32"/>
          <w:highlight w:val="none"/>
          <w:lang w:eastAsia="zh-Hans"/>
        </w:rPr>
      </w:pPr>
    </w:p>
    <w:tbl>
      <w:tblPr>
        <w:tblStyle w:val="11"/>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90"/>
        <w:gridCol w:w="590"/>
        <w:gridCol w:w="590"/>
        <w:gridCol w:w="1327"/>
        <w:gridCol w:w="941"/>
        <w:gridCol w:w="941"/>
        <w:gridCol w:w="944"/>
        <w:gridCol w:w="941"/>
        <w:gridCol w:w="941"/>
        <w:gridCol w:w="941"/>
        <w:gridCol w:w="941"/>
        <w:gridCol w:w="1131"/>
        <w:gridCol w:w="1006"/>
        <w:gridCol w:w="2350"/>
      </w:tblGrid>
      <w:tr w14:paraId="5A497FCB">
        <w:tblPrEx>
          <w:shd w:val="clear" w:color="auto" w:fill="auto"/>
          <w:tblCellMar>
            <w:top w:w="0" w:type="dxa"/>
            <w:left w:w="108" w:type="dxa"/>
            <w:bottom w:w="0" w:type="dxa"/>
            <w:right w:w="108" w:type="dxa"/>
          </w:tblCellMar>
        </w:tblPrEx>
        <w:trPr>
          <w:trHeight w:val="464" w:hRule="atLeast"/>
        </w:trPr>
        <w:tc>
          <w:tcPr>
            <w:tcW w:w="5000" w:type="pct"/>
            <w:gridSpan w:val="14"/>
            <w:tcBorders>
              <w:top w:val="nil"/>
              <w:left w:val="nil"/>
              <w:bottom w:val="nil"/>
              <w:right w:val="nil"/>
            </w:tcBorders>
            <w:shd w:val="clear" w:color="auto" w:fill="auto"/>
            <w:vAlign w:val="center"/>
          </w:tcPr>
          <w:p w14:paraId="3AFCC990">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lang w:val="en-US" w:eastAsia="zh-CN" w:bidi="ar"/>
              </w:rPr>
              <w:t>项目支出绩效自评表</w:t>
            </w:r>
          </w:p>
        </w:tc>
      </w:tr>
      <w:tr w14:paraId="5BE89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color="auto" w:fill="auto"/>
            <w:vAlign w:val="center"/>
          </w:tcPr>
          <w:p w14:paraId="2EBE0854">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(2023年度</w:t>
            </w:r>
            <w:r>
              <w:rPr>
                <w:rFonts w:hint="eastAsia" w:ascii="宋体" w:hAnsi="宋体" w:cs="宋体"/>
                <w:i w:val="0"/>
                <w:iCs w:val="0"/>
                <w:color w:val="000000"/>
                <w:kern w:val="0"/>
                <w:sz w:val="22"/>
                <w:szCs w:val="22"/>
                <w:u w:val="none"/>
                <w:lang w:val="en-US" w:eastAsia="zh-CN" w:bidi="ar"/>
              </w:rPr>
              <w:t>）</w:t>
            </w:r>
          </w:p>
        </w:tc>
      </w:tr>
      <w:tr w14:paraId="2AC6BB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762B35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项目名称</w:t>
            </w:r>
          </w:p>
        </w:tc>
        <w:tc>
          <w:tcPr>
            <w:tcW w:w="4583" w:type="pct"/>
            <w:gridSpan w:val="12"/>
            <w:tcBorders>
              <w:top w:val="single" w:color="000000" w:sz="4" w:space="0"/>
              <w:left w:val="single" w:color="000000" w:sz="4" w:space="0"/>
              <w:bottom w:val="single" w:color="000000" w:sz="4" w:space="0"/>
              <w:right w:val="single" w:color="000000" w:sz="4" w:space="0"/>
            </w:tcBorders>
            <w:shd w:val="clear" w:color="auto" w:fill="auto"/>
            <w:vAlign w:val="center"/>
          </w:tcPr>
          <w:p w14:paraId="76D6EF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自治区2023年第一批疫情防控补助资金（自治区本级医疗机构重症床位设备配置经费）</w:t>
            </w:r>
          </w:p>
        </w:tc>
      </w:tr>
      <w:tr w14:paraId="2F657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B88FF0">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主管部门</w:t>
            </w:r>
          </w:p>
        </w:tc>
        <w:tc>
          <w:tcPr>
            <w:tcW w:w="1673"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B8858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新疆维吾尔自治区卫生健康委员会</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FFF40F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实施单位</w:t>
            </w:r>
          </w:p>
        </w:tc>
        <w:tc>
          <w:tcPr>
            <w:tcW w:w="2245"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14:paraId="0DEFB4D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新疆医科大学第五附属医院</w:t>
            </w:r>
          </w:p>
        </w:tc>
      </w:tr>
      <w:tr w14:paraId="4016E3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1CED4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项目资金</w:t>
            </w:r>
            <w:r>
              <w:rPr>
                <w:rFonts w:hint="eastAsia" w:ascii="宋体" w:hAnsi="宋体" w:eastAsia="宋体" w:cs="宋体"/>
                <w:b/>
                <w:bCs/>
                <w:i w:val="0"/>
                <w:iCs w:val="0"/>
                <w:color w:val="000000"/>
                <w:kern w:val="0"/>
                <w:sz w:val="18"/>
                <w:szCs w:val="18"/>
                <w:u w:val="none"/>
                <w:lang w:val="en-US" w:eastAsia="zh-CN" w:bidi="ar"/>
              </w:rPr>
              <w:br w:type="textWrapping"/>
            </w:r>
            <w:r>
              <w:rPr>
                <w:rFonts w:hint="eastAsia" w:ascii="宋体" w:hAnsi="宋体" w:eastAsia="宋体" w:cs="宋体"/>
                <w:b/>
                <w:bCs/>
                <w:i w:val="0"/>
                <w:iCs w:val="0"/>
                <w:color w:val="000000"/>
                <w:kern w:val="0"/>
                <w:sz w:val="18"/>
                <w:szCs w:val="18"/>
                <w:u w:val="none"/>
                <w:lang w:val="en-US" w:eastAsia="zh-CN" w:bidi="ar"/>
              </w:rPr>
              <w:t>（万元）</w:t>
            </w: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BBC7235">
            <w:pPr>
              <w:jc w:val="cente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41CB85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年初预算数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18BB9C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全年预算数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C3F93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全年执行数</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BF46F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分值</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49250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执行率</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403442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得分</w:t>
            </w:r>
          </w:p>
        </w:tc>
      </w:tr>
      <w:tr w14:paraId="25252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75BB9BC">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AE7AAF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年度资金总额</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9F002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1560.00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4405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1560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8577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1560.00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B94EC5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79C5A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100.00%</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56632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10.00分</w:t>
            </w:r>
          </w:p>
        </w:tc>
      </w:tr>
      <w:tr w14:paraId="13B0305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5B2503">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7A49E1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其中：当年财政拨款</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5576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1560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CCF0CD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1560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DEE2A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1560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3080E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CB15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62AD4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25F44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416"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9E33331">
            <w:pPr>
              <w:jc w:val="center"/>
              <w:rPr>
                <w:rFonts w:hint="eastAsia" w:ascii="宋体" w:hAnsi="宋体" w:eastAsia="宋体" w:cs="宋体"/>
                <w:b/>
                <w:bCs/>
                <w:i w:val="0"/>
                <w:iCs w:val="0"/>
                <w:color w:val="000000"/>
                <w:sz w:val="18"/>
                <w:szCs w:val="18"/>
                <w:u w:val="none"/>
              </w:rPr>
            </w:pPr>
          </w:p>
        </w:tc>
        <w:tc>
          <w:tcPr>
            <w:tcW w:w="675"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EA8D63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 xml:space="preserve">  其他资金</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E6F738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683214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0</w:t>
            </w: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2D69CEE">
            <w:pPr>
              <w:jc w:val="center"/>
              <w:rPr>
                <w:rFonts w:hint="eastAsia" w:ascii="宋体" w:hAnsi="宋体" w:eastAsia="宋体" w:cs="宋体"/>
                <w:i w:val="0"/>
                <w:iCs w:val="0"/>
                <w:color w:val="000000"/>
                <w:sz w:val="18"/>
                <w:szCs w:val="18"/>
                <w:u w:val="none"/>
              </w:rPr>
            </w:pPr>
          </w:p>
        </w:tc>
        <w:tc>
          <w:tcPr>
            <w:tcW w:w="66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159A20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7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CA1F6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2AD89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14:paraId="7B96F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08F43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年度总体目标</w:t>
            </w: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58D7513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预期目标</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2D31F3C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实际完成情况</w:t>
            </w:r>
          </w:p>
        </w:tc>
      </w:tr>
      <w:tr w14:paraId="5C44C94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02"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4BD7A3">
            <w:pPr>
              <w:jc w:val="center"/>
              <w:rPr>
                <w:rFonts w:hint="eastAsia" w:ascii="宋体" w:hAnsi="宋体" w:eastAsia="宋体" w:cs="宋体"/>
                <w:b/>
                <w:bCs/>
                <w:i w:val="0"/>
                <w:iCs w:val="0"/>
                <w:color w:val="000000"/>
                <w:sz w:val="18"/>
                <w:szCs w:val="18"/>
                <w:u w:val="none"/>
              </w:rPr>
            </w:pPr>
          </w:p>
        </w:tc>
        <w:tc>
          <w:tcPr>
            <w:tcW w:w="1881"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14:paraId="642F6C0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自治区2023年第一批疫情防控补助资金（自治区本级医疗机构重症床位设备配置经费）</w:t>
            </w:r>
          </w:p>
        </w:tc>
        <w:tc>
          <w:tcPr>
            <w:tcW w:w="2910" w:type="pct"/>
            <w:gridSpan w:val="7"/>
            <w:tcBorders>
              <w:top w:val="single" w:color="000000" w:sz="4" w:space="0"/>
              <w:left w:val="single" w:color="000000" w:sz="4" w:space="0"/>
              <w:bottom w:val="single" w:color="000000" w:sz="4" w:space="0"/>
              <w:right w:val="single" w:color="000000" w:sz="4" w:space="0"/>
            </w:tcBorders>
            <w:shd w:val="clear" w:color="auto" w:fill="auto"/>
            <w:vAlign w:val="center"/>
          </w:tcPr>
          <w:p w14:paraId="57BAF45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自治区2023年第一批疫情防控补助资金（自治区本级医疗机构重症床位设备配置经费）100%完成</w:t>
            </w:r>
          </w:p>
        </w:tc>
      </w:tr>
      <w:tr w14:paraId="319BFBC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6"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6F14D88">
            <w:pPr>
              <w:jc w:val="center"/>
              <w:rPr>
                <w:rFonts w:hint="eastAsia" w:ascii="宋体" w:hAnsi="宋体" w:eastAsia="宋体" w:cs="宋体"/>
                <w:i w:val="0"/>
                <w:iCs w:val="0"/>
                <w:color w:val="000000"/>
                <w:sz w:val="18"/>
                <w:szCs w:val="18"/>
                <w:u w:val="none"/>
              </w:rPr>
            </w:pP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06CCCB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一级指标</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BC87CA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二级指标</w:t>
            </w:r>
          </w:p>
        </w:tc>
        <w:tc>
          <w:tcPr>
            <w:tcW w:w="467"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44DC64F">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三级指标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1603EA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权重</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26209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目标值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46E4F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业绩值</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B5BEAC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完成率</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3ACD6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指标得分</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AB7A23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指标值设定依据</w:t>
            </w:r>
          </w:p>
        </w:tc>
        <w:tc>
          <w:tcPr>
            <w:tcW w:w="332"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7B5B9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上年完成情况</w:t>
            </w:r>
          </w:p>
        </w:tc>
        <w:tc>
          <w:tcPr>
            <w:tcW w:w="399"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DB9425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赋分规则</w:t>
            </w:r>
          </w:p>
        </w:tc>
        <w:tc>
          <w:tcPr>
            <w:tcW w:w="355"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C6F6B9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佐证资料</w:t>
            </w:r>
          </w:p>
        </w:tc>
        <w:tc>
          <w:tcPr>
            <w:tcW w:w="826"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A6618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偏差原因分析及改进措施</w:t>
            </w:r>
          </w:p>
        </w:tc>
      </w:tr>
      <w:tr w14:paraId="35CFD6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6"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34149D">
            <w:pPr>
              <w:jc w:val="center"/>
              <w:rPr>
                <w:rFonts w:hint="eastAsia" w:ascii="宋体" w:hAnsi="宋体" w:eastAsia="宋体" w:cs="宋体"/>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8F55071">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F32FCC6">
            <w:pPr>
              <w:jc w:val="center"/>
              <w:rPr>
                <w:rFonts w:hint="eastAsia" w:ascii="宋体" w:hAnsi="宋体" w:eastAsia="宋体" w:cs="宋体"/>
                <w:b/>
                <w:bCs/>
                <w:i w:val="0"/>
                <w:iCs w:val="0"/>
                <w:color w:val="000000"/>
                <w:sz w:val="18"/>
                <w:szCs w:val="18"/>
                <w:u w:val="none"/>
              </w:rPr>
            </w:pPr>
          </w:p>
        </w:tc>
        <w:tc>
          <w:tcPr>
            <w:tcW w:w="467"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BFB64E7">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002F0F8">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2A0122">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039B783">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BEB4075">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8115822">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A62621">
            <w:pPr>
              <w:jc w:val="center"/>
              <w:rPr>
                <w:rFonts w:hint="eastAsia" w:ascii="宋体" w:hAnsi="宋体" w:eastAsia="宋体" w:cs="宋体"/>
                <w:b/>
                <w:bCs/>
                <w:i w:val="0"/>
                <w:iCs w:val="0"/>
                <w:color w:val="000000"/>
                <w:sz w:val="18"/>
                <w:szCs w:val="18"/>
                <w:u w:val="none"/>
              </w:rPr>
            </w:pPr>
          </w:p>
        </w:tc>
        <w:tc>
          <w:tcPr>
            <w:tcW w:w="332"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C0997FF">
            <w:pPr>
              <w:jc w:val="center"/>
              <w:rPr>
                <w:rFonts w:hint="eastAsia" w:ascii="宋体" w:hAnsi="宋体" w:eastAsia="宋体" w:cs="宋体"/>
                <w:b/>
                <w:bCs/>
                <w:i w:val="0"/>
                <w:iCs w:val="0"/>
                <w:color w:val="000000"/>
                <w:sz w:val="18"/>
                <w:szCs w:val="18"/>
                <w:u w:val="none"/>
              </w:rPr>
            </w:pPr>
          </w:p>
        </w:tc>
        <w:tc>
          <w:tcPr>
            <w:tcW w:w="399"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1E1E955">
            <w:pPr>
              <w:jc w:val="center"/>
              <w:rPr>
                <w:rFonts w:hint="eastAsia" w:ascii="宋体" w:hAnsi="宋体" w:eastAsia="宋体" w:cs="宋体"/>
                <w:b/>
                <w:bCs/>
                <w:i w:val="0"/>
                <w:iCs w:val="0"/>
                <w:color w:val="000000"/>
                <w:sz w:val="18"/>
                <w:szCs w:val="18"/>
                <w:u w:val="none"/>
              </w:rPr>
            </w:pPr>
          </w:p>
        </w:tc>
        <w:tc>
          <w:tcPr>
            <w:tcW w:w="355"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3064A5">
            <w:pPr>
              <w:jc w:val="center"/>
              <w:rPr>
                <w:rFonts w:hint="eastAsia" w:ascii="宋体" w:hAnsi="宋体" w:eastAsia="宋体" w:cs="宋体"/>
                <w:b/>
                <w:bCs/>
                <w:i w:val="0"/>
                <w:iCs w:val="0"/>
                <w:color w:val="000000"/>
                <w:sz w:val="18"/>
                <w:szCs w:val="18"/>
                <w:u w:val="none"/>
              </w:rPr>
            </w:pPr>
          </w:p>
        </w:tc>
        <w:tc>
          <w:tcPr>
            <w:tcW w:w="826"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3DD4461">
            <w:pPr>
              <w:jc w:val="center"/>
              <w:rPr>
                <w:rFonts w:hint="eastAsia" w:ascii="宋体" w:hAnsi="宋体" w:eastAsia="宋体" w:cs="宋体"/>
                <w:b/>
                <w:bCs/>
                <w:i w:val="0"/>
                <w:iCs w:val="0"/>
                <w:color w:val="000000"/>
                <w:sz w:val="18"/>
                <w:szCs w:val="18"/>
                <w:u w:val="none"/>
              </w:rPr>
            </w:pPr>
          </w:p>
        </w:tc>
      </w:tr>
      <w:tr w14:paraId="76A40D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DC5184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年度绩效指标完成情况</w:t>
            </w:r>
          </w:p>
        </w:tc>
        <w:tc>
          <w:tcPr>
            <w:tcW w:w="208"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651C95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产出指标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B2E39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数量指标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C887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配置ICU床位数量及配套设备数量</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2F83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CFB85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&gt;=25床（套）</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FF08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=38床（套）</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0359C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152%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0EF85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12</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11935F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03A6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3BDF9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F697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6639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经过多方询议价，降低了成本，导致配置ICU床位数量及配套设备数量增加。</w:t>
            </w:r>
          </w:p>
        </w:tc>
      </w:tr>
      <w:tr w14:paraId="3330C7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92F083E">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83885C">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83F20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AE98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设备质量合格率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ED765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DE3E15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B60DA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1CB7B4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9C481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756BE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7EF0B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5C88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A4916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33E231">
            <w:pPr>
              <w:jc w:val="center"/>
              <w:rPr>
                <w:rFonts w:hint="eastAsia" w:ascii="宋体" w:hAnsi="宋体" w:eastAsia="宋体" w:cs="宋体"/>
                <w:i w:val="0"/>
                <w:iCs w:val="0"/>
                <w:color w:val="000000"/>
                <w:sz w:val="18"/>
                <w:szCs w:val="18"/>
                <w:u w:val="none"/>
              </w:rPr>
            </w:pPr>
          </w:p>
        </w:tc>
      </w:tr>
      <w:tr w14:paraId="6F377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45A9125">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FCEBC53">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6F0E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质量指标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D9629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设备验收合格率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9415E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6B1FD9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101C7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C078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985C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A12F1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2C4861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7C42B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5B7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DDB112">
            <w:pPr>
              <w:jc w:val="center"/>
              <w:rPr>
                <w:rFonts w:hint="eastAsia" w:ascii="宋体" w:hAnsi="宋体" w:eastAsia="宋体" w:cs="宋体"/>
                <w:i w:val="0"/>
                <w:iCs w:val="0"/>
                <w:color w:val="000000"/>
                <w:sz w:val="18"/>
                <w:szCs w:val="18"/>
                <w:u w:val="none"/>
              </w:rPr>
            </w:pPr>
          </w:p>
        </w:tc>
      </w:tr>
      <w:tr w14:paraId="0B4D4E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8B8732">
            <w:pPr>
              <w:jc w:val="center"/>
              <w:rPr>
                <w:rFonts w:hint="eastAsia" w:ascii="宋体" w:hAnsi="宋体" w:eastAsia="宋体" w:cs="宋体"/>
                <w:b/>
                <w:bCs/>
                <w:i w:val="0"/>
                <w:iCs w:val="0"/>
                <w:color w:val="000000"/>
                <w:sz w:val="18"/>
                <w:szCs w:val="18"/>
                <w:u w:val="none"/>
              </w:rPr>
            </w:pPr>
          </w:p>
        </w:tc>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5D776D">
            <w:pPr>
              <w:jc w:val="center"/>
              <w:rPr>
                <w:rFonts w:hint="eastAsia" w:ascii="宋体" w:hAnsi="宋体" w:eastAsia="宋体" w:cs="宋体"/>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88DB9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时效指标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2F0C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床位改造完成时间</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31D56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27FBC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=2022年12月31日前</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21A5D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=2022年12月31日前</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63D7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F0DA2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1469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189B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1EE8D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直接赋分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F45CD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F5B4ECC">
            <w:pPr>
              <w:jc w:val="center"/>
              <w:rPr>
                <w:rFonts w:hint="eastAsia" w:ascii="宋体" w:hAnsi="宋体" w:eastAsia="宋体" w:cs="宋体"/>
                <w:i w:val="0"/>
                <w:iCs w:val="0"/>
                <w:color w:val="000000"/>
                <w:sz w:val="18"/>
                <w:szCs w:val="18"/>
                <w:u w:val="none"/>
              </w:rPr>
            </w:pPr>
          </w:p>
        </w:tc>
      </w:tr>
      <w:tr w14:paraId="315C8B9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510B4DB">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48B6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成本指标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7820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4C353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设备采购成本控制数</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BA78EE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D578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&lt;=61万元/床</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A3A57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=36.356万元/床</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5DBB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FF6A6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52FAC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计划标准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5F4826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8AB0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BA98F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C3CCF">
            <w:pPr>
              <w:jc w:val="center"/>
              <w:rPr>
                <w:rFonts w:hint="eastAsia" w:ascii="宋体" w:hAnsi="宋体" w:eastAsia="宋体" w:cs="宋体"/>
                <w:i w:val="0"/>
                <w:iCs w:val="0"/>
                <w:color w:val="000000"/>
                <w:sz w:val="18"/>
                <w:szCs w:val="18"/>
                <w:u w:val="none"/>
              </w:rPr>
            </w:pPr>
          </w:p>
        </w:tc>
      </w:tr>
      <w:tr w14:paraId="2E755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12B4455">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BD533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效益指标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3932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E7AA2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设备利用率</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1BED0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C1626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&gt;70%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4AB1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28A518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AD8F0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4BE8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0E3D8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0E60D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A7DFB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说明材料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0FA4C6">
            <w:pPr>
              <w:jc w:val="center"/>
              <w:rPr>
                <w:rFonts w:hint="eastAsia" w:ascii="宋体" w:hAnsi="宋体" w:eastAsia="宋体" w:cs="宋体"/>
                <w:i w:val="0"/>
                <w:iCs w:val="0"/>
                <w:color w:val="000000"/>
                <w:sz w:val="18"/>
                <w:szCs w:val="18"/>
                <w:u w:val="none"/>
              </w:rPr>
            </w:pPr>
          </w:p>
        </w:tc>
      </w:tr>
      <w:tr w14:paraId="7B70C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208"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04A37F6">
            <w:pPr>
              <w:jc w:val="center"/>
              <w:rPr>
                <w:rFonts w:hint="eastAsia" w:ascii="宋体" w:hAnsi="宋体" w:eastAsia="宋体" w:cs="宋体"/>
                <w:b/>
                <w:bCs/>
                <w:i w:val="0"/>
                <w:iCs w:val="0"/>
                <w:color w:val="000000"/>
                <w:sz w:val="18"/>
                <w:szCs w:val="18"/>
                <w:u w:val="none"/>
              </w:rPr>
            </w:pP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ABD137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208"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CC3FB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467"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1E38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使用人员满意度</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A65D4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A137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&gt;90%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E0E02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F17C5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6324E5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A03B1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其他标准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7F2D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无</w:t>
            </w: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19A57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80A69D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工作资料</w:t>
            </w: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4646B17">
            <w:pPr>
              <w:jc w:val="center"/>
              <w:rPr>
                <w:rFonts w:hint="eastAsia" w:ascii="宋体" w:hAnsi="宋体" w:eastAsia="宋体" w:cs="宋体"/>
                <w:i w:val="0"/>
                <w:iCs w:val="0"/>
                <w:color w:val="000000"/>
                <w:sz w:val="18"/>
                <w:szCs w:val="18"/>
                <w:u w:val="none"/>
              </w:rPr>
            </w:pPr>
          </w:p>
        </w:tc>
      </w:tr>
      <w:tr w14:paraId="4B022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9" w:hRule="atLeast"/>
        </w:trPr>
        <w:tc>
          <w:tcPr>
            <w:tcW w:w="1092" w:type="pct"/>
            <w:gridSpan w:val="4"/>
            <w:tcBorders>
              <w:top w:val="single" w:color="000000" w:sz="4" w:space="0"/>
              <w:left w:val="single" w:color="000000" w:sz="4" w:space="0"/>
              <w:bottom w:val="single" w:color="000000" w:sz="4" w:space="0"/>
              <w:right w:val="nil"/>
            </w:tcBorders>
            <w:shd w:val="clear" w:color="auto" w:fill="auto"/>
            <w:vAlign w:val="center"/>
          </w:tcPr>
          <w:p w14:paraId="13D6164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lang w:val="en-US" w:eastAsia="zh-CN" w:bidi="ar"/>
              </w:rPr>
              <w:t>总分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1B2B2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100</w:t>
            </w:r>
          </w:p>
        </w:tc>
        <w:tc>
          <w:tcPr>
            <w:tcW w:w="332" w:type="pct"/>
            <w:tcBorders>
              <w:top w:val="single" w:color="000000" w:sz="4" w:space="0"/>
              <w:left w:val="nil"/>
              <w:bottom w:val="single" w:color="000000" w:sz="4" w:space="0"/>
              <w:right w:val="single" w:color="000000" w:sz="4" w:space="0"/>
            </w:tcBorders>
            <w:shd w:val="clear" w:color="auto" w:fill="auto"/>
            <w:vAlign w:val="center"/>
          </w:tcPr>
          <w:p w14:paraId="6D88790F">
            <w:pPr>
              <w:rPr>
                <w:rFonts w:hint="eastAsia" w:ascii="宋体" w:hAnsi="宋体" w:eastAsia="宋体" w:cs="宋体"/>
                <w:b/>
                <w:bCs/>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CFC002A">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65BB311">
            <w:pPr>
              <w:jc w:val="cente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31BA9C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87.00分</w:t>
            </w: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372E1">
            <w:pPr>
              <w:rPr>
                <w:rFonts w:hint="eastAsia" w:ascii="宋体" w:hAnsi="宋体" w:eastAsia="宋体" w:cs="宋体"/>
                <w:i w:val="0"/>
                <w:iCs w:val="0"/>
                <w:color w:val="000000"/>
                <w:sz w:val="18"/>
                <w:szCs w:val="18"/>
                <w:u w:val="none"/>
              </w:rPr>
            </w:pPr>
          </w:p>
        </w:tc>
        <w:tc>
          <w:tcPr>
            <w:tcW w:w="332"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D394480">
            <w:pPr>
              <w:rPr>
                <w:rFonts w:hint="eastAsia" w:ascii="宋体" w:hAnsi="宋体" w:eastAsia="宋体" w:cs="宋体"/>
                <w:i w:val="0"/>
                <w:iCs w:val="0"/>
                <w:color w:val="000000"/>
                <w:sz w:val="18"/>
                <w:szCs w:val="18"/>
                <w:u w:val="none"/>
              </w:rPr>
            </w:pPr>
          </w:p>
        </w:tc>
        <w:tc>
          <w:tcPr>
            <w:tcW w:w="399"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9E4EC1">
            <w:pPr>
              <w:rPr>
                <w:rFonts w:hint="eastAsia" w:ascii="宋体" w:hAnsi="宋体" w:eastAsia="宋体" w:cs="宋体"/>
                <w:i w:val="0"/>
                <w:iCs w:val="0"/>
                <w:color w:val="000000"/>
                <w:sz w:val="18"/>
                <w:szCs w:val="18"/>
                <w:u w:val="none"/>
              </w:rPr>
            </w:pPr>
          </w:p>
        </w:tc>
        <w:tc>
          <w:tcPr>
            <w:tcW w:w="355"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6178CF8">
            <w:pPr>
              <w:rPr>
                <w:rFonts w:hint="eastAsia" w:ascii="宋体" w:hAnsi="宋体" w:eastAsia="宋体" w:cs="宋体"/>
                <w:i w:val="0"/>
                <w:iCs w:val="0"/>
                <w:color w:val="000000"/>
                <w:sz w:val="18"/>
                <w:szCs w:val="18"/>
                <w:u w:val="none"/>
              </w:rPr>
            </w:pPr>
          </w:p>
        </w:tc>
        <w:tc>
          <w:tcPr>
            <w:tcW w:w="826"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999A298">
            <w:pPr>
              <w:rPr>
                <w:rFonts w:hint="eastAsia" w:ascii="宋体" w:hAnsi="宋体" w:eastAsia="宋体" w:cs="宋体"/>
                <w:i w:val="0"/>
                <w:iCs w:val="0"/>
                <w:color w:val="000000"/>
                <w:sz w:val="18"/>
                <w:szCs w:val="18"/>
                <w:u w:val="none"/>
              </w:rPr>
            </w:pPr>
          </w:p>
        </w:tc>
      </w:tr>
    </w:tbl>
    <w:p w14:paraId="696AF83F">
      <w:pPr>
        <w:pStyle w:val="2"/>
        <w:jc w:val="both"/>
        <w:rPr>
          <w:rFonts w:ascii="Times New Roman" w:hAnsi="Times New Roman" w:eastAsia="黑体"/>
          <w:b w:val="0"/>
          <w:bCs w:val="0"/>
          <w:highlight w:val="none"/>
        </w:rPr>
      </w:pPr>
    </w:p>
    <w:p w14:paraId="0C1D9162">
      <w:pPr>
        <w:rPr>
          <w:highlight w:val="none"/>
        </w:rPr>
        <w:sectPr>
          <w:pgSz w:w="16838" w:h="11906" w:orient="landscape"/>
          <w:pgMar w:top="1800" w:right="1440" w:bottom="1558" w:left="1440" w:header="851" w:footer="992" w:gutter="0"/>
          <w:cols w:space="425" w:num="1"/>
          <w:docGrid w:type="lines" w:linePitch="312" w:charSpace="0"/>
        </w:sectPr>
      </w:pPr>
    </w:p>
    <w:tbl>
      <w:tblPr>
        <w:tblStyle w:val="11"/>
        <w:tblpPr w:leftFromText="180" w:rightFromText="180" w:vertAnchor="text" w:horzAnchor="page" w:tblpX="1455" w:tblpY="3043"/>
        <w:tblOverlap w:val="never"/>
        <w:tblW w:w="12656" w:type="dxa"/>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5"/>
        <w:gridCol w:w="764"/>
        <w:gridCol w:w="871"/>
        <w:gridCol w:w="2348"/>
        <w:gridCol w:w="5181"/>
        <w:gridCol w:w="1297"/>
        <w:gridCol w:w="1360"/>
      </w:tblGrid>
      <w:tr w14:paraId="1D6955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rPr>
        <w:tc>
          <w:tcPr>
            <w:tcW w:w="835" w:type="dxa"/>
            <w:shd w:val="clear" w:color="auto" w:fill="FFFFFF"/>
            <w:vAlign w:val="center"/>
          </w:tcPr>
          <w:p w14:paraId="2304D97D">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764" w:type="dxa"/>
            <w:shd w:val="clear" w:color="auto" w:fill="FFFFFF"/>
            <w:vAlign w:val="center"/>
          </w:tcPr>
          <w:p w14:paraId="75D850D5">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871" w:type="dxa"/>
            <w:shd w:val="clear" w:color="auto" w:fill="FFFFFF"/>
            <w:vAlign w:val="center"/>
          </w:tcPr>
          <w:p w14:paraId="20C02197">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2348" w:type="dxa"/>
            <w:shd w:val="clear" w:color="auto" w:fill="FFFFFF"/>
            <w:vAlign w:val="center"/>
          </w:tcPr>
          <w:p w14:paraId="52EFE4A3">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5181" w:type="dxa"/>
            <w:shd w:val="clear" w:color="auto" w:fill="FFFFFF"/>
            <w:vAlign w:val="center"/>
          </w:tcPr>
          <w:p w14:paraId="0EAFFCA8">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1297" w:type="dxa"/>
            <w:shd w:val="clear" w:color="auto" w:fill="FFFFFF"/>
            <w:vAlign w:val="center"/>
          </w:tcPr>
          <w:p w14:paraId="6DD23A0D">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1360" w:type="dxa"/>
            <w:shd w:val="clear" w:color="auto" w:fill="FFFFFF"/>
            <w:vAlign w:val="center"/>
          </w:tcPr>
          <w:p w14:paraId="283A9C4D">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14:paraId="2F8B76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275" w:hRule="atLeast"/>
        </w:trPr>
        <w:tc>
          <w:tcPr>
            <w:tcW w:w="835" w:type="dxa"/>
            <w:vMerge w:val="restart"/>
            <w:shd w:val="clear" w:color="auto" w:fill="FFFFFF"/>
            <w:vAlign w:val="center"/>
          </w:tcPr>
          <w:p w14:paraId="169CE138">
            <w:pPr>
              <w:widowControl/>
              <w:spacing w:line="0" w:lineRule="atLeast"/>
              <w:jc w:val="center"/>
              <w:rPr>
                <w:color w:val="000000"/>
                <w:kern w:val="0"/>
                <w:sz w:val="22"/>
                <w:szCs w:val="22"/>
                <w:highlight w:val="none"/>
              </w:rPr>
            </w:pPr>
            <w:r>
              <w:rPr>
                <w:color w:val="000000"/>
                <w:kern w:val="0"/>
                <w:sz w:val="22"/>
                <w:szCs w:val="22"/>
                <w:highlight w:val="none"/>
              </w:rPr>
              <w:t>决策　</w:t>
            </w:r>
          </w:p>
          <w:p w14:paraId="01070444">
            <w:pPr>
              <w:widowControl/>
              <w:spacing w:line="0" w:lineRule="atLeast"/>
              <w:jc w:val="center"/>
              <w:rPr>
                <w:color w:val="000000"/>
                <w:kern w:val="0"/>
                <w:sz w:val="22"/>
                <w:szCs w:val="22"/>
                <w:highlight w:val="none"/>
              </w:rPr>
            </w:pPr>
            <w:r>
              <w:rPr>
                <w:color w:val="000000"/>
                <w:kern w:val="0"/>
                <w:sz w:val="22"/>
                <w:szCs w:val="22"/>
                <w:highlight w:val="none"/>
              </w:rPr>
              <w:t>　</w:t>
            </w:r>
          </w:p>
          <w:p w14:paraId="5810C9EC">
            <w:pPr>
              <w:spacing w:line="0" w:lineRule="atLeast"/>
              <w:jc w:val="center"/>
              <w:rPr>
                <w:color w:val="000000"/>
                <w:kern w:val="0"/>
                <w:sz w:val="22"/>
                <w:szCs w:val="22"/>
                <w:highlight w:val="none"/>
              </w:rPr>
            </w:pPr>
            <w:r>
              <w:rPr>
                <w:color w:val="000000"/>
                <w:kern w:val="0"/>
                <w:sz w:val="22"/>
                <w:szCs w:val="22"/>
                <w:highlight w:val="none"/>
              </w:rPr>
              <w:t>　</w:t>
            </w:r>
          </w:p>
        </w:tc>
        <w:tc>
          <w:tcPr>
            <w:tcW w:w="764" w:type="dxa"/>
            <w:vMerge w:val="restart"/>
            <w:shd w:val="clear" w:color="auto" w:fill="FFFFFF"/>
            <w:vAlign w:val="center"/>
          </w:tcPr>
          <w:p w14:paraId="20F18E5F">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871" w:type="dxa"/>
            <w:shd w:val="clear" w:color="auto" w:fill="FFFFFF"/>
            <w:vAlign w:val="center"/>
          </w:tcPr>
          <w:p w14:paraId="65315E7A">
            <w:pPr>
              <w:widowControl/>
              <w:spacing w:line="0" w:lineRule="atLeast"/>
              <w:jc w:val="center"/>
              <w:rPr>
                <w:color w:val="000000"/>
                <w:kern w:val="0"/>
                <w:sz w:val="22"/>
                <w:szCs w:val="22"/>
                <w:highlight w:val="none"/>
              </w:rPr>
            </w:pPr>
            <w:r>
              <w:rPr>
                <w:color w:val="000000"/>
                <w:kern w:val="0"/>
                <w:sz w:val="22"/>
                <w:szCs w:val="22"/>
                <w:highlight w:val="none"/>
              </w:rPr>
              <w:t>立项依据</w:t>
            </w:r>
          </w:p>
          <w:p w14:paraId="603C6B5A">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2348" w:type="dxa"/>
            <w:shd w:val="clear" w:color="auto" w:fill="FFFFFF"/>
            <w:vAlign w:val="center"/>
          </w:tcPr>
          <w:p w14:paraId="0E24F236">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5181" w:type="dxa"/>
            <w:shd w:val="clear" w:color="auto" w:fill="FFFFFF"/>
            <w:vAlign w:val="center"/>
          </w:tcPr>
          <w:p w14:paraId="7265D7E5">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①项目立项是否符合国家法律法规、国民经济发展规划和相关政策；</w:t>
            </w:r>
            <w:r>
              <w:rPr>
                <w:color w:val="000000"/>
                <w:kern w:val="0"/>
                <w:sz w:val="22"/>
                <w:szCs w:val="22"/>
                <w:highlight w:val="none"/>
              </w:rPr>
              <w:br w:type="textWrapping"/>
            </w:r>
            <w:r>
              <w:rPr>
                <w:color w:val="000000"/>
                <w:kern w:val="0"/>
                <w:sz w:val="22"/>
                <w:szCs w:val="22"/>
                <w:highlight w:val="none"/>
              </w:rPr>
              <w:t>②项目立项是否符合行业发展规划和政策要求；</w:t>
            </w:r>
            <w:r>
              <w:rPr>
                <w:color w:val="000000"/>
                <w:kern w:val="0"/>
                <w:sz w:val="22"/>
                <w:szCs w:val="22"/>
                <w:highlight w:val="none"/>
              </w:rPr>
              <w:br w:type="textWrapping"/>
            </w:r>
            <w:r>
              <w:rPr>
                <w:color w:val="000000"/>
                <w:kern w:val="0"/>
                <w:sz w:val="22"/>
                <w:szCs w:val="22"/>
                <w:highlight w:val="none"/>
              </w:rPr>
              <w:t>③项目立项是否与部门职责范围相符，属于部门履职所需；</w:t>
            </w:r>
            <w:r>
              <w:rPr>
                <w:color w:val="000000"/>
                <w:kern w:val="0"/>
                <w:sz w:val="22"/>
                <w:szCs w:val="22"/>
                <w:highlight w:val="none"/>
              </w:rPr>
              <w:br w:type="textWrapping"/>
            </w:r>
            <w:r>
              <w:rPr>
                <w:color w:val="000000"/>
                <w:kern w:val="0"/>
                <w:sz w:val="22"/>
                <w:szCs w:val="22"/>
                <w:highlight w:val="none"/>
              </w:rPr>
              <w:t>④项目是否属于公共财政支持范围，是否符合中央、地方事权支出责任划分原则；</w:t>
            </w:r>
            <w:r>
              <w:rPr>
                <w:color w:val="000000"/>
                <w:kern w:val="0"/>
                <w:sz w:val="22"/>
                <w:szCs w:val="22"/>
                <w:highlight w:val="none"/>
              </w:rPr>
              <w:br w:type="textWrapping"/>
            </w:r>
            <w:r>
              <w:rPr>
                <w:color w:val="000000"/>
                <w:kern w:val="0"/>
                <w:sz w:val="22"/>
                <w:szCs w:val="22"/>
                <w:highlight w:val="none"/>
              </w:rPr>
              <w:t>⑤项目是否与相关部门同类项目或部门内部相关项目重复。</w:t>
            </w:r>
          </w:p>
        </w:tc>
        <w:tc>
          <w:tcPr>
            <w:tcW w:w="1297" w:type="dxa"/>
            <w:shd w:val="clear" w:color="auto" w:fill="FFFFFF"/>
            <w:vAlign w:val="center"/>
          </w:tcPr>
          <w:p w14:paraId="075BD4A3">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0" w:type="dxa"/>
            <w:shd w:val="clear" w:color="auto" w:fill="FFFFFF"/>
            <w:vAlign w:val="center"/>
          </w:tcPr>
          <w:p w14:paraId="4E6A1BD4">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1494C0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285" w:hRule="atLeast"/>
        </w:trPr>
        <w:tc>
          <w:tcPr>
            <w:tcW w:w="835" w:type="dxa"/>
            <w:vMerge w:val="continue"/>
            <w:shd w:val="clear" w:color="auto" w:fill="FFFFFF"/>
            <w:vAlign w:val="center"/>
          </w:tcPr>
          <w:p w14:paraId="215012A3">
            <w:pPr>
              <w:spacing w:line="0" w:lineRule="atLeast"/>
              <w:jc w:val="center"/>
              <w:rPr>
                <w:color w:val="000000"/>
                <w:kern w:val="0"/>
                <w:sz w:val="22"/>
                <w:szCs w:val="22"/>
                <w:highlight w:val="none"/>
              </w:rPr>
            </w:pPr>
          </w:p>
        </w:tc>
        <w:tc>
          <w:tcPr>
            <w:tcW w:w="764" w:type="dxa"/>
            <w:vMerge w:val="continue"/>
            <w:shd w:val="clear" w:color="auto" w:fill="FFFFFF"/>
            <w:vAlign w:val="center"/>
          </w:tcPr>
          <w:p w14:paraId="066B0CD0">
            <w:pPr>
              <w:widowControl/>
              <w:spacing w:line="0" w:lineRule="atLeast"/>
              <w:jc w:val="center"/>
              <w:rPr>
                <w:color w:val="000000"/>
                <w:kern w:val="0"/>
                <w:sz w:val="22"/>
                <w:szCs w:val="22"/>
                <w:highlight w:val="none"/>
              </w:rPr>
            </w:pPr>
          </w:p>
        </w:tc>
        <w:tc>
          <w:tcPr>
            <w:tcW w:w="871" w:type="dxa"/>
            <w:shd w:val="clear" w:color="auto" w:fill="FFFFFF"/>
            <w:vAlign w:val="center"/>
          </w:tcPr>
          <w:p w14:paraId="07B73A3F">
            <w:pPr>
              <w:widowControl/>
              <w:spacing w:line="0" w:lineRule="atLeast"/>
              <w:jc w:val="center"/>
              <w:rPr>
                <w:color w:val="000000"/>
                <w:kern w:val="0"/>
                <w:sz w:val="22"/>
                <w:szCs w:val="22"/>
                <w:highlight w:val="none"/>
              </w:rPr>
            </w:pPr>
            <w:r>
              <w:rPr>
                <w:color w:val="000000"/>
                <w:kern w:val="0"/>
                <w:sz w:val="22"/>
                <w:szCs w:val="22"/>
                <w:highlight w:val="none"/>
              </w:rPr>
              <w:t>立项程序</w:t>
            </w:r>
          </w:p>
          <w:p w14:paraId="4FEFAB64">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2348" w:type="dxa"/>
            <w:shd w:val="clear" w:color="auto" w:fill="FFFFFF"/>
            <w:vAlign w:val="center"/>
          </w:tcPr>
          <w:p w14:paraId="1EA430AC">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5181" w:type="dxa"/>
            <w:shd w:val="clear" w:color="auto" w:fill="FFFFFF"/>
            <w:vAlign w:val="center"/>
          </w:tcPr>
          <w:p w14:paraId="466088D0">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①项目是否按照规定的程序申请设立；</w:t>
            </w:r>
            <w:r>
              <w:rPr>
                <w:color w:val="000000"/>
                <w:kern w:val="0"/>
                <w:sz w:val="22"/>
                <w:szCs w:val="22"/>
                <w:highlight w:val="none"/>
              </w:rPr>
              <w:br w:type="textWrapping"/>
            </w:r>
            <w:r>
              <w:rPr>
                <w:color w:val="000000"/>
                <w:kern w:val="0"/>
                <w:sz w:val="22"/>
                <w:szCs w:val="22"/>
                <w:highlight w:val="none"/>
              </w:rPr>
              <w:t>②审批文件、材料是否符合相关要求；</w:t>
            </w:r>
            <w:r>
              <w:rPr>
                <w:color w:val="000000"/>
                <w:kern w:val="0"/>
                <w:sz w:val="22"/>
                <w:szCs w:val="22"/>
                <w:highlight w:val="none"/>
              </w:rPr>
              <w:br w:type="textWrapping"/>
            </w:r>
            <w:r>
              <w:rPr>
                <w:color w:val="000000"/>
                <w:kern w:val="0"/>
                <w:sz w:val="22"/>
                <w:szCs w:val="22"/>
                <w:highlight w:val="none"/>
              </w:rPr>
              <w:t>③事前是否已经过必要的可行性研究、专家论证、风险评估、绩效评估、集体决策。</w:t>
            </w:r>
          </w:p>
        </w:tc>
        <w:tc>
          <w:tcPr>
            <w:tcW w:w="1297" w:type="dxa"/>
            <w:shd w:val="clear" w:color="auto" w:fill="FFFFFF"/>
            <w:vAlign w:val="center"/>
          </w:tcPr>
          <w:p w14:paraId="67AF053B">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0" w:type="dxa"/>
            <w:shd w:val="clear" w:color="auto" w:fill="FFFFFF"/>
            <w:vAlign w:val="center"/>
          </w:tcPr>
          <w:p w14:paraId="7F1869AC">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0D129A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82" w:hRule="atLeast"/>
        </w:trPr>
        <w:tc>
          <w:tcPr>
            <w:tcW w:w="835" w:type="dxa"/>
            <w:vMerge w:val="continue"/>
            <w:shd w:val="clear" w:color="auto" w:fill="FFFFFF"/>
            <w:vAlign w:val="center"/>
          </w:tcPr>
          <w:p w14:paraId="689BE573">
            <w:pPr>
              <w:spacing w:line="0" w:lineRule="atLeast"/>
              <w:jc w:val="center"/>
              <w:rPr>
                <w:color w:val="000000"/>
                <w:kern w:val="0"/>
                <w:sz w:val="22"/>
                <w:szCs w:val="22"/>
                <w:highlight w:val="none"/>
              </w:rPr>
            </w:pPr>
          </w:p>
        </w:tc>
        <w:tc>
          <w:tcPr>
            <w:tcW w:w="764" w:type="dxa"/>
            <w:shd w:val="clear" w:color="auto" w:fill="FFFFFF"/>
            <w:vAlign w:val="center"/>
          </w:tcPr>
          <w:p w14:paraId="6110CA03">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871" w:type="dxa"/>
            <w:shd w:val="clear" w:color="auto" w:fill="FFFFFF"/>
            <w:vAlign w:val="center"/>
          </w:tcPr>
          <w:p w14:paraId="42B2907E">
            <w:pPr>
              <w:widowControl/>
              <w:spacing w:line="0" w:lineRule="atLeast"/>
              <w:jc w:val="center"/>
              <w:rPr>
                <w:color w:val="000000"/>
                <w:kern w:val="0"/>
                <w:sz w:val="22"/>
                <w:szCs w:val="22"/>
                <w:highlight w:val="none"/>
              </w:rPr>
            </w:pPr>
            <w:r>
              <w:rPr>
                <w:color w:val="000000"/>
                <w:kern w:val="0"/>
                <w:sz w:val="22"/>
                <w:szCs w:val="22"/>
                <w:highlight w:val="none"/>
              </w:rPr>
              <w:t>绩效目标</w:t>
            </w:r>
          </w:p>
          <w:p w14:paraId="18317DE3">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48" w:type="dxa"/>
            <w:shd w:val="clear" w:color="000000" w:fill="FFFFFF"/>
            <w:vAlign w:val="center"/>
          </w:tcPr>
          <w:p w14:paraId="7CF06F75">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5181" w:type="dxa"/>
            <w:shd w:val="clear" w:color="000000" w:fill="FFFFFF"/>
            <w:vAlign w:val="center"/>
          </w:tcPr>
          <w:p w14:paraId="05E8B036">
            <w:pPr>
              <w:widowControl/>
              <w:spacing w:line="0" w:lineRule="atLeast"/>
              <w:jc w:val="lef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（如未设定预算绩效目标，也可考核其他工作任务目标）</w:t>
            </w:r>
            <w:r>
              <w:rPr>
                <w:color w:val="000000"/>
                <w:kern w:val="0"/>
                <w:sz w:val="22"/>
                <w:szCs w:val="22"/>
                <w:highlight w:val="none"/>
              </w:rPr>
              <w:br w:type="textWrapping"/>
            </w:r>
            <w:r>
              <w:rPr>
                <w:color w:val="000000"/>
                <w:kern w:val="0"/>
                <w:sz w:val="22"/>
                <w:szCs w:val="22"/>
                <w:highlight w:val="none"/>
              </w:rPr>
              <w:t>①项目是否有绩效目标；</w:t>
            </w:r>
            <w:r>
              <w:rPr>
                <w:color w:val="000000"/>
                <w:kern w:val="0"/>
                <w:sz w:val="22"/>
                <w:szCs w:val="22"/>
                <w:highlight w:val="none"/>
              </w:rPr>
              <w:br w:type="textWrapping"/>
            </w:r>
            <w:r>
              <w:rPr>
                <w:color w:val="000000"/>
                <w:kern w:val="0"/>
                <w:sz w:val="22"/>
                <w:szCs w:val="22"/>
                <w:highlight w:val="none"/>
              </w:rPr>
              <w:t>②项目绩效目标与实际工作内容是否具有相关性；</w:t>
            </w:r>
            <w:r>
              <w:rPr>
                <w:color w:val="000000"/>
                <w:kern w:val="0"/>
                <w:sz w:val="22"/>
                <w:szCs w:val="22"/>
                <w:highlight w:val="none"/>
              </w:rPr>
              <w:br w:type="textWrapping"/>
            </w:r>
            <w:r>
              <w:rPr>
                <w:color w:val="000000"/>
                <w:kern w:val="0"/>
                <w:sz w:val="22"/>
                <w:szCs w:val="22"/>
                <w:highlight w:val="none"/>
              </w:rPr>
              <w:t>③项目预期产出效益和效果是否符合正常的业绩水平；</w:t>
            </w:r>
          </w:p>
          <w:p w14:paraId="12C869F3">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1297" w:type="dxa"/>
            <w:shd w:val="clear" w:color="000000" w:fill="FFFFFF"/>
            <w:vAlign w:val="center"/>
          </w:tcPr>
          <w:p w14:paraId="1A80DB14">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0" w:type="dxa"/>
            <w:shd w:val="clear" w:color="000000" w:fill="FFFFFF"/>
            <w:vAlign w:val="center"/>
          </w:tcPr>
          <w:p w14:paraId="019D6790">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3</w:t>
            </w:r>
          </w:p>
        </w:tc>
      </w:tr>
      <w:tr w14:paraId="532556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49" w:hRule="atLeast"/>
        </w:trPr>
        <w:tc>
          <w:tcPr>
            <w:tcW w:w="835" w:type="dxa"/>
            <w:vMerge w:val="restart"/>
            <w:shd w:val="clear" w:color="auto" w:fill="FFFFFF"/>
            <w:vAlign w:val="center"/>
          </w:tcPr>
          <w:p w14:paraId="1E0E1370">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764" w:type="dxa"/>
            <w:shd w:val="clear" w:color="auto" w:fill="FFFFFF"/>
            <w:vAlign w:val="center"/>
          </w:tcPr>
          <w:p w14:paraId="7E830F78">
            <w:pPr>
              <w:widowControl/>
              <w:spacing w:line="0" w:lineRule="atLeast"/>
              <w:jc w:val="center"/>
              <w:rPr>
                <w:color w:val="000000"/>
                <w:kern w:val="0"/>
                <w:sz w:val="22"/>
                <w:szCs w:val="22"/>
                <w:highlight w:val="none"/>
              </w:rPr>
            </w:pPr>
            <w:r>
              <w:rPr>
                <w:color w:val="000000"/>
                <w:kern w:val="0"/>
                <w:sz w:val="22"/>
                <w:szCs w:val="22"/>
                <w:highlight w:val="none"/>
              </w:rPr>
              <w:t>绩效目标</w:t>
            </w:r>
          </w:p>
        </w:tc>
        <w:tc>
          <w:tcPr>
            <w:tcW w:w="871" w:type="dxa"/>
            <w:shd w:val="clear" w:color="auto" w:fill="FFFFFF"/>
            <w:vAlign w:val="center"/>
          </w:tcPr>
          <w:p w14:paraId="0B3810E4">
            <w:pPr>
              <w:widowControl/>
              <w:spacing w:line="0" w:lineRule="atLeast"/>
              <w:jc w:val="center"/>
              <w:rPr>
                <w:color w:val="000000"/>
                <w:kern w:val="0"/>
                <w:sz w:val="22"/>
                <w:szCs w:val="22"/>
                <w:highlight w:val="none"/>
              </w:rPr>
            </w:pPr>
            <w:r>
              <w:rPr>
                <w:color w:val="000000"/>
                <w:kern w:val="0"/>
                <w:sz w:val="22"/>
                <w:szCs w:val="22"/>
                <w:highlight w:val="none"/>
              </w:rPr>
              <w:t>绩效指标</w:t>
            </w:r>
          </w:p>
          <w:p w14:paraId="367CCA24">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2348" w:type="dxa"/>
            <w:shd w:val="clear" w:color="000000" w:fill="FFFFFF"/>
            <w:vAlign w:val="center"/>
          </w:tcPr>
          <w:p w14:paraId="01C6B842">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5181" w:type="dxa"/>
            <w:shd w:val="clear" w:color="000000" w:fill="FFFFFF"/>
            <w:vAlign w:val="center"/>
          </w:tcPr>
          <w:p w14:paraId="5C48D3BB">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①是否将项目绩效目标细化分解为具体的绩效指标；</w:t>
            </w:r>
            <w:r>
              <w:rPr>
                <w:color w:val="000000"/>
                <w:kern w:val="0"/>
                <w:sz w:val="22"/>
                <w:szCs w:val="22"/>
                <w:highlight w:val="none"/>
              </w:rPr>
              <w:br w:type="textWrapping"/>
            </w:r>
            <w:r>
              <w:rPr>
                <w:color w:val="000000"/>
                <w:kern w:val="0"/>
                <w:sz w:val="22"/>
                <w:szCs w:val="22"/>
                <w:highlight w:val="none"/>
              </w:rPr>
              <w:t>②是否通过清晰、可衡量的指标值予以体现；</w:t>
            </w:r>
            <w:r>
              <w:rPr>
                <w:color w:val="000000"/>
                <w:kern w:val="0"/>
                <w:sz w:val="22"/>
                <w:szCs w:val="22"/>
                <w:highlight w:val="none"/>
              </w:rPr>
              <w:br w:type="textWrapping"/>
            </w:r>
            <w:r>
              <w:rPr>
                <w:color w:val="000000"/>
                <w:kern w:val="0"/>
                <w:sz w:val="22"/>
                <w:szCs w:val="22"/>
                <w:highlight w:val="none"/>
              </w:rPr>
              <w:t>③是否与项目目标任务数或计划数相对应。</w:t>
            </w:r>
            <w:r>
              <w:rPr>
                <w:color w:val="000000"/>
                <w:kern w:val="0"/>
                <w:sz w:val="22"/>
                <w:szCs w:val="22"/>
                <w:highlight w:val="none"/>
              </w:rPr>
              <w:br w:type="textWrapping"/>
            </w:r>
          </w:p>
        </w:tc>
        <w:tc>
          <w:tcPr>
            <w:tcW w:w="1297" w:type="dxa"/>
            <w:shd w:val="clear" w:color="000000" w:fill="FFFFFF"/>
            <w:vAlign w:val="center"/>
          </w:tcPr>
          <w:p w14:paraId="4BCF7057">
            <w:pPr>
              <w:widowControl/>
              <w:spacing w:line="0" w:lineRule="atLeast"/>
              <w:jc w:val="center"/>
              <w:rPr>
                <w:b/>
                <w:bCs/>
                <w:color w:val="000000"/>
                <w:kern w:val="0"/>
                <w:sz w:val="22"/>
                <w:szCs w:val="22"/>
                <w:highlight w:val="none"/>
              </w:rPr>
            </w:pPr>
            <w:r>
              <w:rPr>
                <w:b/>
                <w:bCs/>
                <w:color w:val="000000"/>
                <w:kern w:val="0"/>
                <w:sz w:val="22"/>
                <w:szCs w:val="22"/>
                <w:highlight w:val="none"/>
              </w:rPr>
              <w:t>3</w:t>
            </w:r>
          </w:p>
        </w:tc>
        <w:tc>
          <w:tcPr>
            <w:tcW w:w="1360" w:type="dxa"/>
            <w:shd w:val="clear" w:color="000000" w:fill="FFFFFF"/>
            <w:vAlign w:val="center"/>
          </w:tcPr>
          <w:p w14:paraId="084F44E7">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1DE30F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62" w:hRule="atLeast"/>
        </w:trPr>
        <w:tc>
          <w:tcPr>
            <w:tcW w:w="835" w:type="dxa"/>
            <w:vMerge w:val="continue"/>
            <w:shd w:val="clear" w:color="auto" w:fill="FFFFFF"/>
            <w:vAlign w:val="center"/>
          </w:tcPr>
          <w:p w14:paraId="06FA09B8">
            <w:pPr>
              <w:spacing w:line="0" w:lineRule="atLeast"/>
              <w:jc w:val="center"/>
              <w:rPr>
                <w:color w:val="000000"/>
                <w:kern w:val="0"/>
                <w:sz w:val="22"/>
                <w:szCs w:val="22"/>
                <w:highlight w:val="none"/>
              </w:rPr>
            </w:pPr>
          </w:p>
        </w:tc>
        <w:tc>
          <w:tcPr>
            <w:tcW w:w="764" w:type="dxa"/>
            <w:vMerge w:val="restart"/>
            <w:shd w:val="clear" w:color="auto" w:fill="FFFFFF"/>
            <w:vAlign w:val="center"/>
          </w:tcPr>
          <w:p w14:paraId="4DFD88CC">
            <w:pPr>
              <w:widowControl/>
              <w:spacing w:line="0" w:lineRule="atLeast"/>
              <w:jc w:val="center"/>
              <w:rPr>
                <w:color w:val="000000"/>
                <w:kern w:val="0"/>
                <w:sz w:val="22"/>
                <w:szCs w:val="22"/>
                <w:highlight w:val="none"/>
              </w:rPr>
            </w:pPr>
            <w:r>
              <w:rPr>
                <w:color w:val="000000"/>
                <w:kern w:val="0"/>
                <w:sz w:val="22"/>
                <w:szCs w:val="22"/>
                <w:highlight w:val="none"/>
              </w:rPr>
              <w:t>资金投入</w:t>
            </w:r>
          </w:p>
          <w:p w14:paraId="783A2C4D">
            <w:pPr>
              <w:spacing w:line="0" w:lineRule="atLeast"/>
              <w:jc w:val="center"/>
              <w:rPr>
                <w:color w:val="000000"/>
                <w:kern w:val="0"/>
                <w:sz w:val="22"/>
                <w:szCs w:val="22"/>
                <w:highlight w:val="none"/>
              </w:rPr>
            </w:pPr>
            <w:r>
              <w:rPr>
                <w:color w:val="000000"/>
                <w:kern w:val="0"/>
                <w:sz w:val="22"/>
                <w:szCs w:val="22"/>
                <w:highlight w:val="none"/>
              </w:rPr>
              <w:t>　</w:t>
            </w:r>
          </w:p>
        </w:tc>
        <w:tc>
          <w:tcPr>
            <w:tcW w:w="871" w:type="dxa"/>
            <w:shd w:val="clear" w:color="auto" w:fill="FFFFFF"/>
            <w:vAlign w:val="center"/>
          </w:tcPr>
          <w:p w14:paraId="64163F8C">
            <w:pPr>
              <w:widowControl/>
              <w:spacing w:line="0" w:lineRule="atLeast"/>
              <w:jc w:val="center"/>
              <w:rPr>
                <w:color w:val="000000"/>
                <w:kern w:val="0"/>
                <w:sz w:val="22"/>
                <w:szCs w:val="22"/>
                <w:highlight w:val="none"/>
              </w:rPr>
            </w:pPr>
            <w:r>
              <w:rPr>
                <w:color w:val="000000"/>
                <w:kern w:val="0"/>
                <w:sz w:val="22"/>
                <w:szCs w:val="22"/>
                <w:highlight w:val="none"/>
              </w:rPr>
              <w:t>预算编制</w:t>
            </w:r>
          </w:p>
          <w:p w14:paraId="1AF927B0">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2348" w:type="dxa"/>
            <w:shd w:val="clear" w:color="auto" w:fill="FFFFFF"/>
            <w:vAlign w:val="center"/>
          </w:tcPr>
          <w:p w14:paraId="69513AB4">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5181" w:type="dxa"/>
            <w:shd w:val="clear" w:color="auto" w:fill="FFFFFF"/>
            <w:vAlign w:val="center"/>
          </w:tcPr>
          <w:p w14:paraId="131F1F05">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①预算编制是否经过科学论证；</w:t>
            </w:r>
            <w:r>
              <w:rPr>
                <w:color w:val="000000"/>
                <w:kern w:val="0"/>
                <w:sz w:val="22"/>
                <w:szCs w:val="22"/>
                <w:highlight w:val="none"/>
              </w:rPr>
              <w:br w:type="textWrapping"/>
            </w:r>
            <w:r>
              <w:rPr>
                <w:color w:val="000000"/>
                <w:kern w:val="0"/>
                <w:sz w:val="22"/>
                <w:szCs w:val="22"/>
                <w:highlight w:val="none"/>
              </w:rPr>
              <w:t>②预算内容与项目内容是否匹配；</w:t>
            </w:r>
            <w:r>
              <w:rPr>
                <w:color w:val="000000"/>
                <w:kern w:val="0"/>
                <w:sz w:val="22"/>
                <w:szCs w:val="22"/>
                <w:highlight w:val="none"/>
              </w:rPr>
              <w:br w:type="textWrapping"/>
            </w:r>
            <w:r>
              <w:rPr>
                <w:color w:val="000000"/>
                <w:kern w:val="0"/>
                <w:sz w:val="22"/>
                <w:szCs w:val="22"/>
                <w:highlight w:val="none"/>
              </w:rPr>
              <w:t>③预算额度测算依据是否充分，是否按照标准编制；</w:t>
            </w:r>
            <w:r>
              <w:rPr>
                <w:color w:val="000000"/>
                <w:kern w:val="0"/>
                <w:sz w:val="22"/>
                <w:szCs w:val="22"/>
                <w:highlight w:val="none"/>
              </w:rPr>
              <w:br w:type="textWrapping"/>
            </w:r>
            <w:r>
              <w:rPr>
                <w:color w:val="000000"/>
                <w:kern w:val="0"/>
                <w:sz w:val="22"/>
                <w:szCs w:val="22"/>
                <w:highlight w:val="none"/>
              </w:rPr>
              <w:t>④预算确定的项目投资额或资金量是否与工作任务相匹配。</w:t>
            </w:r>
          </w:p>
        </w:tc>
        <w:tc>
          <w:tcPr>
            <w:tcW w:w="1297" w:type="dxa"/>
            <w:shd w:val="clear" w:color="auto" w:fill="FFFFFF"/>
            <w:vAlign w:val="center"/>
          </w:tcPr>
          <w:p w14:paraId="50E296BE">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0" w:type="dxa"/>
            <w:shd w:val="clear" w:color="auto" w:fill="FFFFFF"/>
            <w:vAlign w:val="center"/>
          </w:tcPr>
          <w:p w14:paraId="534B5A4E">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32AA2C7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62" w:hRule="atLeast"/>
        </w:trPr>
        <w:tc>
          <w:tcPr>
            <w:tcW w:w="835" w:type="dxa"/>
            <w:vMerge w:val="continue"/>
            <w:shd w:val="clear" w:color="auto" w:fill="FFFFFF"/>
            <w:vAlign w:val="center"/>
          </w:tcPr>
          <w:p w14:paraId="58CF8389">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14:paraId="7CDE68F1">
            <w:pPr>
              <w:widowControl/>
              <w:spacing w:line="0" w:lineRule="atLeast"/>
              <w:jc w:val="center"/>
              <w:rPr>
                <w:color w:val="000000"/>
                <w:kern w:val="0"/>
                <w:sz w:val="22"/>
                <w:szCs w:val="22"/>
                <w:highlight w:val="none"/>
              </w:rPr>
            </w:pPr>
          </w:p>
        </w:tc>
        <w:tc>
          <w:tcPr>
            <w:tcW w:w="871" w:type="dxa"/>
            <w:shd w:val="clear" w:color="auto" w:fill="FFFFFF"/>
            <w:vAlign w:val="center"/>
          </w:tcPr>
          <w:p w14:paraId="5740DEBD">
            <w:pPr>
              <w:widowControl/>
              <w:spacing w:line="0" w:lineRule="atLeast"/>
              <w:jc w:val="center"/>
              <w:rPr>
                <w:color w:val="000000"/>
                <w:kern w:val="0"/>
                <w:sz w:val="22"/>
                <w:szCs w:val="22"/>
                <w:highlight w:val="none"/>
              </w:rPr>
            </w:pPr>
            <w:r>
              <w:rPr>
                <w:color w:val="000000"/>
                <w:kern w:val="0"/>
                <w:sz w:val="22"/>
                <w:szCs w:val="22"/>
                <w:highlight w:val="none"/>
              </w:rPr>
              <w:t>资金分配</w:t>
            </w:r>
          </w:p>
          <w:p w14:paraId="589F23AC">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2348" w:type="dxa"/>
            <w:shd w:val="clear" w:color="auto" w:fill="FFFFFF"/>
            <w:vAlign w:val="center"/>
          </w:tcPr>
          <w:p w14:paraId="3E2B384E">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5181" w:type="dxa"/>
            <w:shd w:val="clear" w:color="auto" w:fill="FFFFFF"/>
            <w:vAlign w:val="center"/>
          </w:tcPr>
          <w:p w14:paraId="01856BB9">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①预算资金分配依据是否充分；</w:t>
            </w:r>
            <w:r>
              <w:rPr>
                <w:color w:val="000000"/>
                <w:kern w:val="0"/>
                <w:sz w:val="22"/>
                <w:szCs w:val="22"/>
                <w:highlight w:val="none"/>
              </w:rPr>
              <w:br w:type="textWrapping"/>
            </w:r>
            <w:r>
              <w:rPr>
                <w:color w:val="000000"/>
                <w:kern w:val="0"/>
                <w:sz w:val="22"/>
                <w:szCs w:val="22"/>
                <w:highlight w:val="none"/>
              </w:rPr>
              <w:t>②资金分配额度是否合理，与项目单位或地方实际是否相适应。</w:t>
            </w:r>
          </w:p>
        </w:tc>
        <w:tc>
          <w:tcPr>
            <w:tcW w:w="1297" w:type="dxa"/>
            <w:shd w:val="clear" w:color="auto" w:fill="FFFFFF"/>
            <w:vAlign w:val="center"/>
          </w:tcPr>
          <w:p w14:paraId="3FFF94D0">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0" w:type="dxa"/>
            <w:shd w:val="clear" w:color="auto" w:fill="FFFFFF"/>
            <w:vAlign w:val="center"/>
          </w:tcPr>
          <w:p w14:paraId="6CA689D4">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7BD5C5D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20" w:hRule="atLeast"/>
        </w:trPr>
        <w:tc>
          <w:tcPr>
            <w:tcW w:w="835" w:type="dxa"/>
            <w:vMerge w:val="restart"/>
            <w:shd w:val="clear" w:color="auto" w:fill="FFFFFF"/>
            <w:vAlign w:val="center"/>
          </w:tcPr>
          <w:p w14:paraId="5570D27D">
            <w:pPr>
              <w:spacing w:line="0" w:lineRule="atLeast"/>
              <w:jc w:val="center"/>
              <w:rPr>
                <w:color w:val="000000"/>
                <w:kern w:val="0"/>
                <w:sz w:val="22"/>
                <w:szCs w:val="22"/>
                <w:highlight w:val="none"/>
              </w:rPr>
            </w:pPr>
            <w:r>
              <w:rPr>
                <w:color w:val="000000"/>
                <w:kern w:val="0"/>
                <w:sz w:val="22"/>
                <w:szCs w:val="22"/>
                <w:highlight w:val="none"/>
              </w:rPr>
              <w:t>过程</w:t>
            </w:r>
          </w:p>
        </w:tc>
        <w:tc>
          <w:tcPr>
            <w:tcW w:w="764" w:type="dxa"/>
            <w:vMerge w:val="restart"/>
            <w:shd w:val="clear" w:color="auto" w:fill="FFFFFF"/>
            <w:vAlign w:val="center"/>
          </w:tcPr>
          <w:p w14:paraId="20D20603">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1" w:type="dxa"/>
            <w:shd w:val="clear" w:color="auto" w:fill="FFFFFF"/>
            <w:vAlign w:val="center"/>
          </w:tcPr>
          <w:p w14:paraId="5A89FA75">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2348" w:type="dxa"/>
            <w:shd w:val="clear" w:color="000000" w:fill="FFFFFF"/>
            <w:vAlign w:val="center"/>
          </w:tcPr>
          <w:p w14:paraId="05F96C58">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5181" w:type="dxa"/>
            <w:shd w:val="clear" w:color="000000" w:fill="FFFFFF"/>
            <w:vAlign w:val="center"/>
          </w:tcPr>
          <w:p w14:paraId="64451422">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14:paraId="3DA6EA54">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14:paraId="4453F2C7">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1297" w:type="dxa"/>
            <w:shd w:val="clear" w:color="000000" w:fill="FFFFFF"/>
            <w:vAlign w:val="center"/>
          </w:tcPr>
          <w:p w14:paraId="0E2A3DB4">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0" w:type="dxa"/>
            <w:shd w:val="clear" w:color="000000" w:fill="FFFFFF"/>
            <w:vAlign w:val="center"/>
          </w:tcPr>
          <w:p w14:paraId="4C1B00D0">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7CF56E4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038" w:hRule="atLeast"/>
        </w:trPr>
        <w:tc>
          <w:tcPr>
            <w:tcW w:w="835" w:type="dxa"/>
            <w:vMerge w:val="continue"/>
            <w:shd w:val="clear" w:color="auto" w:fill="FFFFFF"/>
            <w:vAlign w:val="center"/>
          </w:tcPr>
          <w:p w14:paraId="1278465A">
            <w:pPr>
              <w:spacing w:line="0" w:lineRule="atLeast"/>
              <w:jc w:val="center"/>
              <w:rPr>
                <w:color w:val="000000"/>
                <w:kern w:val="0"/>
                <w:sz w:val="22"/>
                <w:szCs w:val="22"/>
                <w:highlight w:val="none"/>
              </w:rPr>
            </w:pPr>
          </w:p>
        </w:tc>
        <w:tc>
          <w:tcPr>
            <w:tcW w:w="764" w:type="dxa"/>
            <w:vMerge w:val="continue"/>
            <w:shd w:val="clear" w:color="auto" w:fill="FFFFFF"/>
            <w:vAlign w:val="center"/>
          </w:tcPr>
          <w:p w14:paraId="69DE347D">
            <w:pPr>
              <w:spacing w:line="0" w:lineRule="atLeast"/>
              <w:jc w:val="center"/>
              <w:rPr>
                <w:color w:val="000000"/>
                <w:kern w:val="0"/>
                <w:sz w:val="22"/>
                <w:szCs w:val="22"/>
                <w:highlight w:val="none"/>
              </w:rPr>
            </w:pPr>
          </w:p>
        </w:tc>
        <w:tc>
          <w:tcPr>
            <w:tcW w:w="871" w:type="dxa"/>
            <w:shd w:val="clear" w:color="auto" w:fill="FFFFFF"/>
            <w:vAlign w:val="center"/>
          </w:tcPr>
          <w:p w14:paraId="3C58510D">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2348" w:type="dxa"/>
            <w:shd w:val="clear" w:color="auto" w:fill="FFFFFF"/>
            <w:vAlign w:val="center"/>
          </w:tcPr>
          <w:p w14:paraId="42DFDF3F">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5181" w:type="dxa"/>
            <w:shd w:val="clear" w:color="auto" w:fill="FFFFFF"/>
            <w:vAlign w:val="center"/>
          </w:tcPr>
          <w:p w14:paraId="35630D64">
            <w:pPr>
              <w:widowControl/>
              <w:spacing w:line="0" w:lineRule="atLeast"/>
              <w:rPr>
                <w:color w:val="000000"/>
                <w:kern w:val="0"/>
                <w:sz w:val="22"/>
                <w:szCs w:val="22"/>
                <w:highlight w:val="none"/>
              </w:rPr>
            </w:pPr>
            <w:r>
              <w:rPr>
                <w:color w:val="000000"/>
                <w:kern w:val="0"/>
                <w:sz w:val="22"/>
                <w:szCs w:val="22"/>
                <w:highlight w:val="none"/>
              </w:rPr>
              <w:t>预算执行率=（实际支出资金/实际到位资金）×100%。</w:t>
            </w:r>
            <w:r>
              <w:rPr>
                <w:color w:val="000000"/>
                <w:kern w:val="0"/>
                <w:sz w:val="22"/>
                <w:szCs w:val="22"/>
                <w:highlight w:val="none"/>
              </w:rPr>
              <w:br w:type="textWrapping"/>
            </w:r>
            <w:r>
              <w:rPr>
                <w:color w:val="000000"/>
                <w:kern w:val="0"/>
                <w:sz w:val="22"/>
                <w:szCs w:val="22"/>
                <w:highlight w:val="none"/>
              </w:rPr>
              <w:t>实际支出资金：一定时期（本年度或项目期）内项目实际拨付的资金。</w:t>
            </w:r>
          </w:p>
        </w:tc>
        <w:tc>
          <w:tcPr>
            <w:tcW w:w="1297" w:type="dxa"/>
            <w:shd w:val="clear" w:color="auto" w:fill="FFFFFF"/>
            <w:vAlign w:val="center"/>
          </w:tcPr>
          <w:p w14:paraId="240141BF">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0" w:type="dxa"/>
            <w:shd w:val="clear" w:color="auto" w:fill="FFFFFF"/>
            <w:vAlign w:val="center"/>
          </w:tcPr>
          <w:p w14:paraId="393489C7">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4</w:t>
            </w:r>
          </w:p>
        </w:tc>
      </w:tr>
      <w:tr w14:paraId="346277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23" w:hRule="atLeast"/>
        </w:trPr>
        <w:tc>
          <w:tcPr>
            <w:tcW w:w="835" w:type="dxa"/>
            <w:vMerge w:val="restart"/>
            <w:shd w:val="clear" w:color="auto" w:fill="FFFFFF"/>
            <w:vAlign w:val="center"/>
          </w:tcPr>
          <w:p w14:paraId="0766FC9A">
            <w:pPr>
              <w:widowControl/>
              <w:spacing w:line="0" w:lineRule="atLeast"/>
              <w:jc w:val="center"/>
              <w:rPr>
                <w:color w:val="000000"/>
                <w:kern w:val="0"/>
                <w:sz w:val="22"/>
                <w:szCs w:val="22"/>
                <w:highlight w:val="none"/>
              </w:rPr>
            </w:pPr>
            <w:r>
              <w:rPr>
                <w:color w:val="000000"/>
                <w:kern w:val="0"/>
                <w:sz w:val="22"/>
                <w:szCs w:val="22"/>
                <w:highlight w:val="none"/>
              </w:rPr>
              <w:t>　</w:t>
            </w:r>
          </w:p>
          <w:p w14:paraId="6DB1B00C">
            <w:pPr>
              <w:spacing w:line="0" w:lineRule="atLeast"/>
              <w:jc w:val="center"/>
              <w:rPr>
                <w:color w:val="000000"/>
                <w:kern w:val="0"/>
                <w:sz w:val="22"/>
                <w:szCs w:val="22"/>
                <w:highlight w:val="none"/>
              </w:rPr>
            </w:pPr>
            <w:r>
              <w:rPr>
                <w:color w:val="000000"/>
                <w:kern w:val="0"/>
                <w:sz w:val="22"/>
                <w:szCs w:val="22"/>
                <w:highlight w:val="none"/>
              </w:rPr>
              <w:t>过程　</w:t>
            </w:r>
          </w:p>
        </w:tc>
        <w:tc>
          <w:tcPr>
            <w:tcW w:w="764" w:type="dxa"/>
            <w:shd w:val="clear" w:color="auto" w:fill="FFFFFF"/>
            <w:vAlign w:val="center"/>
          </w:tcPr>
          <w:p w14:paraId="51C9333B">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871" w:type="dxa"/>
            <w:shd w:val="clear" w:color="auto" w:fill="FFFFFF"/>
            <w:vAlign w:val="center"/>
          </w:tcPr>
          <w:p w14:paraId="15AF5E10">
            <w:pPr>
              <w:widowControl/>
              <w:spacing w:line="0" w:lineRule="atLeast"/>
              <w:jc w:val="center"/>
              <w:rPr>
                <w:color w:val="000000"/>
                <w:kern w:val="0"/>
                <w:sz w:val="22"/>
                <w:szCs w:val="22"/>
                <w:highlight w:val="none"/>
              </w:rPr>
            </w:pPr>
            <w:r>
              <w:rPr>
                <w:color w:val="000000"/>
                <w:kern w:val="0"/>
                <w:sz w:val="22"/>
                <w:szCs w:val="22"/>
                <w:highlight w:val="none"/>
              </w:rPr>
              <w:t>资金使用</w:t>
            </w:r>
          </w:p>
          <w:p w14:paraId="6F2934AF">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2348" w:type="dxa"/>
            <w:shd w:val="clear" w:color="000000" w:fill="FFFFFF"/>
            <w:vAlign w:val="center"/>
          </w:tcPr>
          <w:p w14:paraId="038BC280">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5181" w:type="dxa"/>
            <w:shd w:val="clear" w:color="000000" w:fill="FFFFFF"/>
            <w:vAlign w:val="center"/>
          </w:tcPr>
          <w:p w14:paraId="6CED6131">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①是否符合国家财经法规和财务管理制度以及有关专项资金管理办法的规定；</w:t>
            </w:r>
            <w:r>
              <w:rPr>
                <w:color w:val="000000"/>
                <w:kern w:val="0"/>
                <w:sz w:val="22"/>
                <w:szCs w:val="22"/>
                <w:highlight w:val="none"/>
              </w:rPr>
              <w:br w:type="textWrapping"/>
            </w:r>
            <w:r>
              <w:rPr>
                <w:color w:val="000000"/>
                <w:kern w:val="0"/>
                <w:sz w:val="22"/>
                <w:szCs w:val="22"/>
                <w:highlight w:val="none"/>
              </w:rPr>
              <w:t>②资金的拨付是否有完整的审批程序和手续；</w:t>
            </w:r>
            <w:r>
              <w:rPr>
                <w:color w:val="000000"/>
                <w:kern w:val="0"/>
                <w:sz w:val="22"/>
                <w:szCs w:val="22"/>
                <w:highlight w:val="none"/>
              </w:rPr>
              <w:br w:type="textWrapping"/>
            </w:r>
            <w:r>
              <w:rPr>
                <w:color w:val="000000"/>
                <w:kern w:val="0"/>
                <w:sz w:val="22"/>
                <w:szCs w:val="22"/>
                <w:highlight w:val="none"/>
              </w:rPr>
              <w:t>③是否符合项目预算批复或合同规定的用途；</w:t>
            </w:r>
            <w:r>
              <w:rPr>
                <w:color w:val="000000"/>
                <w:kern w:val="0"/>
                <w:sz w:val="22"/>
                <w:szCs w:val="22"/>
                <w:highlight w:val="none"/>
              </w:rPr>
              <w:br w:type="textWrapping"/>
            </w:r>
            <w:r>
              <w:rPr>
                <w:color w:val="000000"/>
                <w:kern w:val="0"/>
                <w:sz w:val="22"/>
                <w:szCs w:val="22"/>
                <w:highlight w:val="none"/>
              </w:rPr>
              <w:t>④是否存在截留、挤占、挪用、虚列支出等情况。</w:t>
            </w:r>
          </w:p>
        </w:tc>
        <w:tc>
          <w:tcPr>
            <w:tcW w:w="1297" w:type="dxa"/>
            <w:shd w:val="clear" w:color="000000" w:fill="FFFFFF"/>
            <w:vAlign w:val="center"/>
          </w:tcPr>
          <w:p w14:paraId="2FD6EC63">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0" w:type="dxa"/>
            <w:shd w:val="clear" w:color="000000" w:fill="FFFFFF"/>
            <w:vAlign w:val="center"/>
          </w:tcPr>
          <w:p w14:paraId="2D0EA950">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110FC1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07" w:hRule="atLeast"/>
        </w:trPr>
        <w:tc>
          <w:tcPr>
            <w:tcW w:w="835" w:type="dxa"/>
            <w:vMerge w:val="continue"/>
            <w:shd w:val="clear" w:color="auto" w:fill="FFFFFF"/>
            <w:vAlign w:val="center"/>
          </w:tcPr>
          <w:p w14:paraId="5BD62A48">
            <w:pPr>
              <w:spacing w:line="0" w:lineRule="atLeast"/>
              <w:jc w:val="center"/>
              <w:rPr>
                <w:color w:val="000000"/>
                <w:kern w:val="0"/>
                <w:sz w:val="22"/>
                <w:szCs w:val="22"/>
                <w:highlight w:val="none"/>
              </w:rPr>
            </w:pPr>
          </w:p>
        </w:tc>
        <w:tc>
          <w:tcPr>
            <w:tcW w:w="764" w:type="dxa"/>
            <w:vMerge w:val="restart"/>
            <w:shd w:val="clear" w:color="auto" w:fill="FFFFFF"/>
            <w:vAlign w:val="center"/>
          </w:tcPr>
          <w:p w14:paraId="2B0288B3">
            <w:pPr>
              <w:widowControl/>
              <w:spacing w:line="0" w:lineRule="atLeast"/>
              <w:jc w:val="center"/>
              <w:rPr>
                <w:color w:val="000000"/>
                <w:kern w:val="0"/>
                <w:sz w:val="22"/>
                <w:szCs w:val="22"/>
                <w:highlight w:val="none"/>
              </w:rPr>
            </w:pPr>
            <w:r>
              <w:rPr>
                <w:color w:val="000000"/>
                <w:kern w:val="0"/>
                <w:sz w:val="22"/>
                <w:szCs w:val="22"/>
                <w:highlight w:val="none"/>
              </w:rPr>
              <w:t>组织实施</w:t>
            </w:r>
          </w:p>
          <w:p w14:paraId="38E733B1">
            <w:pPr>
              <w:spacing w:line="0" w:lineRule="atLeast"/>
              <w:jc w:val="center"/>
              <w:rPr>
                <w:color w:val="000000"/>
                <w:kern w:val="0"/>
                <w:sz w:val="22"/>
                <w:szCs w:val="22"/>
                <w:highlight w:val="none"/>
              </w:rPr>
            </w:pPr>
            <w:r>
              <w:rPr>
                <w:color w:val="000000"/>
                <w:kern w:val="0"/>
                <w:sz w:val="22"/>
                <w:szCs w:val="22"/>
                <w:highlight w:val="none"/>
              </w:rPr>
              <w:t>　</w:t>
            </w:r>
          </w:p>
        </w:tc>
        <w:tc>
          <w:tcPr>
            <w:tcW w:w="871" w:type="dxa"/>
            <w:shd w:val="clear" w:color="auto" w:fill="FFFFFF"/>
            <w:vAlign w:val="center"/>
          </w:tcPr>
          <w:p w14:paraId="0E76C200">
            <w:pPr>
              <w:widowControl/>
              <w:spacing w:line="0" w:lineRule="atLeast"/>
              <w:jc w:val="center"/>
              <w:rPr>
                <w:color w:val="000000"/>
                <w:kern w:val="0"/>
                <w:sz w:val="22"/>
                <w:szCs w:val="22"/>
                <w:highlight w:val="none"/>
              </w:rPr>
            </w:pPr>
            <w:r>
              <w:rPr>
                <w:color w:val="000000"/>
                <w:kern w:val="0"/>
                <w:sz w:val="22"/>
                <w:szCs w:val="22"/>
                <w:highlight w:val="none"/>
              </w:rPr>
              <w:t>管理制度</w:t>
            </w:r>
          </w:p>
          <w:p w14:paraId="11D43F8B">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2348" w:type="dxa"/>
            <w:shd w:val="clear" w:color="000000" w:fill="FFFFFF"/>
            <w:vAlign w:val="center"/>
          </w:tcPr>
          <w:p w14:paraId="6A0A3CC1">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5181" w:type="dxa"/>
            <w:shd w:val="clear" w:color="000000" w:fill="FFFFFF"/>
            <w:vAlign w:val="center"/>
          </w:tcPr>
          <w:p w14:paraId="6AF0850B">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①是否已制定或具有相应的财务和业务管理制度；</w:t>
            </w:r>
            <w:r>
              <w:rPr>
                <w:color w:val="000000"/>
                <w:kern w:val="0"/>
                <w:sz w:val="22"/>
                <w:szCs w:val="22"/>
                <w:highlight w:val="none"/>
              </w:rPr>
              <w:br w:type="textWrapping"/>
            </w:r>
            <w:r>
              <w:rPr>
                <w:color w:val="000000"/>
                <w:kern w:val="0"/>
                <w:sz w:val="22"/>
                <w:szCs w:val="22"/>
                <w:highlight w:val="none"/>
              </w:rPr>
              <w:t>②财务和业务管理制度是否合法、合规、完整。</w:t>
            </w:r>
          </w:p>
        </w:tc>
        <w:tc>
          <w:tcPr>
            <w:tcW w:w="1297" w:type="dxa"/>
            <w:shd w:val="clear" w:color="000000" w:fill="FFFFFF"/>
            <w:vAlign w:val="center"/>
          </w:tcPr>
          <w:p w14:paraId="3F327F54">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0" w:type="dxa"/>
            <w:shd w:val="clear" w:color="000000" w:fill="FFFFFF"/>
            <w:vAlign w:val="center"/>
          </w:tcPr>
          <w:p w14:paraId="00DEDCB9">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0AFCB1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85" w:hRule="atLeast"/>
        </w:trPr>
        <w:tc>
          <w:tcPr>
            <w:tcW w:w="835" w:type="dxa"/>
            <w:vMerge w:val="continue"/>
            <w:shd w:val="clear" w:color="auto" w:fill="FFFFFF"/>
            <w:vAlign w:val="center"/>
          </w:tcPr>
          <w:p w14:paraId="7C0B30B2">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14:paraId="652359E2">
            <w:pPr>
              <w:widowControl/>
              <w:spacing w:line="0" w:lineRule="atLeast"/>
              <w:jc w:val="center"/>
              <w:rPr>
                <w:color w:val="000000"/>
                <w:kern w:val="0"/>
                <w:sz w:val="22"/>
                <w:szCs w:val="22"/>
                <w:highlight w:val="none"/>
              </w:rPr>
            </w:pPr>
          </w:p>
        </w:tc>
        <w:tc>
          <w:tcPr>
            <w:tcW w:w="871" w:type="dxa"/>
            <w:shd w:val="clear" w:color="auto" w:fill="FFFFFF"/>
            <w:vAlign w:val="center"/>
          </w:tcPr>
          <w:p w14:paraId="6254009A">
            <w:pPr>
              <w:widowControl/>
              <w:spacing w:line="0" w:lineRule="atLeast"/>
              <w:jc w:val="center"/>
              <w:rPr>
                <w:color w:val="000000"/>
                <w:kern w:val="0"/>
                <w:sz w:val="22"/>
                <w:szCs w:val="22"/>
                <w:highlight w:val="none"/>
              </w:rPr>
            </w:pPr>
            <w:r>
              <w:rPr>
                <w:color w:val="000000"/>
                <w:kern w:val="0"/>
                <w:sz w:val="22"/>
                <w:szCs w:val="22"/>
                <w:highlight w:val="none"/>
              </w:rPr>
              <w:t>制度执行</w:t>
            </w:r>
          </w:p>
          <w:p w14:paraId="0D6A70D3">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2348" w:type="dxa"/>
            <w:shd w:val="clear" w:color="000000" w:fill="FFFFFF"/>
            <w:vAlign w:val="center"/>
          </w:tcPr>
          <w:p w14:paraId="0DAC183F">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5181" w:type="dxa"/>
            <w:shd w:val="clear" w:color="000000" w:fill="FFFFFF"/>
            <w:vAlign w:val="center"/>
          </w:tcPr>
          <w:p w14:paraId="7E4F8F11">
            <w:pPr>
              <w:widowControl/>
              <w:spacing w:line="0" w:lineRule="atLeast"/>
              <w:rPr>
                <w:color w:val="000000"/>
                <w:kern w:val="0"/>
                <w:sz w:val="22"/>
                <w:szCs w:val="22"/>
                <w:highlight w:val="none"/>
              </w:rPr>
            </w:pPr>
            <w:r>
              <w:rPr>
                <w:color w:val="000000"/>
                <w:kern w:val="0"/>
                <w:sz w:val="22"/>
                <w:szCs w:val="22"/>
                <w:highlight w:val="none"/>
              </w:rPr>
              <w:t>评价要点：</w:t>
            </w:r>
            <w:r>
              <w:rPr>
                <w:color w:val="000000"/>
                <w:kern w:val="0"/>
                <w:sz w:val="22"/>
                <w:szCs w:val="22"/>
                <w:highlight w:val="none"/>
              </w:rPr>
              <w:br w:type="textWrapping"/>
            </w:r>
            <w:r>
              <w:rPr>
                <w:color w:val="000000"/>
                <w:kern w:val="0"/>
                <w:sz w:val="22"/>
                <w:szCs w:val="22"/>
                <w:highlight w:val="none"/>
              </w:rPr>
              <w:t>①是否遵守相关法律法规和相关管理规定；</w:t>
            </w:r>
            <w:r>
              <w:rPr>
                <w:color w:val="000000"/>
                <w:kern w:val="0"/>
                <w:sz w:val="22"/>
                <w:szCs w:val="22"/>
                <w:highlight w:val="none"/>
              </w:rPr>
              <w:br w:type="textWrapping"/>
            </w:r>
            <w:r>
              <w:rPr>
                <w:color w:val="000000"/>
                <w:kern w:val="0"/>
                <w:sz w:val="22"/>
                <w:szCs w:val="22"/>
                <w:highlight w:val="none"/>
              </w:rPr>
              <w:t>②项目调整及支出调整手续是否完备；</w:t>
            </w:r>
            <w:r>
              <w:rPr>
                <w:color w:val="000000"/>
                <w:kern w:val="0"/>
                <w:sz w:val="22"/>
                <w:szCs w:val="22"/>
                <w:highlight w:val="none"/>
              </w:rPr>
              <w:br w:type="textWrapping"/>
            </w:r>
            <w:r>
              <w:rPr>
                <w:color w:val="000000"/>
                <w:kern w:val="0"/>
                <w:sz w:val="22"/>
                <w:szCs w:val="22"/>
                <w:highlight w:val="none"/>
              </w:rPr>
              <w:t>③项目合同书、验收报告、技术鉴定等资料是否齐全并及时归档；</w:t>
            </w:r>
            <w:r>
              <w:rPr>
                <w:color w:val="000000"/>
                <w:kern w:val="0"/>
                <w:sz w:val="22"/>
                <w:szCs w:val="22"/>
                <w:highlight w:val="none"/>
              </w:rPr>
              <w:br w:type="textWrapping"/>
            </w:r>
            <w:r>
              <w:rPr>
                <w:color w:val="000000"/>
                <w:kern w:val="0"/>
                <w:sz w:val="22"/>
                <w:szCs w:val="22"/>
                <w:highlight w:val="none"/>
              </w:rPr>
              <w:t>④项目实施的人员条件、场地设备、信息支撑等是否落实到位。</w:t>
            </w:r>
          </w:p>
        </w:tc>
        <w:tc>
          <w:tcPr>
            <w:tcW w:w="1297" w:type="dxa"/>
            <w:shd w:val="clear" w:color="000000" w:fill="FFFFFF"/>
            <w:vAlign w:val="center"/>
          </w:tcPr>
          <w:p w14:paraId="5D038E01">
            <w:pPr>
              <w:widowControl/>
              <w:spacing w:line="0" w:lineRule="atLeast"/>
              <w:jc w:val="center"/>
              <w:rPr>
                <w:b/>
                <w:bCs/>
                <w:color w:val="000000"/>
                <w:kern w:val="0"/>
                <w:sz w:val="22"/>
                <w:szCs w:val="22"/>
                <w:highlight w:val="none"/>
              </w:rPr>
            </w:pPr>
            <w:r>
              <w:rPr>
                <w:b/>
                <w:bCs/>
                <w:color w:val="000000"/>
                <w:kern w:val="0"/>
                <w:sz w:val="22"/>
                <w:szCs w:val="22"/>
                <w:highlight w:val="none"/>
              </w:rPr>
              <w:t>4</w:t>
            </w:r>
          </w:p>
        </w:tc>
        <w:tc>
          <w:tcPr>
            <w:tcW w:w="1360" w:type="dxa"/>
            <w:shd w:val="clear" w:color="000000" w:fill="FFFFFF"/>
            <w:vAlign w:val="center"/>
          </w:tcPr>
          <w:p w14:paraId="0FACD2BF">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56B9771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0" w:hRule="atLeast"/>
        </w:trPr>
        <w:tc>
          <w:tcPr>
            <w:tcW w:w="835" w:type="dxa"/>
            <w:shd w:val="clear" w:color="auto" w:fill="FFFFFF"/>
            <w:vAlign w:val="center"/>
          </w:tcPr>
          <w:p w14:paraId="4C30E762">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4" w:type="dxa"/>
            <w:shd w:val="clear" w:color="auto" w:fill="FFFFFF"/>
            <w:vAlign w:val="center"/>
          </w:tcPr>
          <w:p w14:paraId="5097CBEC">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871" w:type="dxa"/>
            <w:shd w:val="clear" w:color="auto" w:fill="FFFFFF"/>
            <w:vAlign w:val="center"/>
          </w:tcPr>
          <w:p w14:paraId="2289C691">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2348" w:type="dxa"/>
            <w:shd w:val="clear" w:color="000000" w:fill="FFFFFF"/>
            <w:vAlign w:val="center"/>
          </w:tcPr>
          <w:p w14:paraId="3005E775">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5181" w:type="dxa"/>
            <w:shd w:val="clear" w:color="000000" w:fill="FFFFFF"/>
            <w:vAlign w:val="center"/>
          </w:tcPr>
          <w:p w14:paraId="5E951FFF">
            <w:pPr>
              <w:widowControl/>
              <w:spacing w:line="0" w:lineRule="atLeast"/>
              <w:rPr>
                <w:color w:val="000000"/>
                <w:kern w:val="0"/>
                <w:sz w:val="22"/>
                <w:szCs w:val="22"/>
                <w:highlight w:val="none"/>
              </w:rPr>
            </w:pPr>
            <w:r>
              <w:rPr>
                <w:color w:val="000000"/>
                <w:kern w:val="0"/>
                <w:sz w:val="22"/>
                <w:szCs w:val="22"/>
                <w:highlight w:val="none"/>
              </w:rPr>
              <w:t>实际完成率=（实际产出数/计划产出数）×100%。</w:t>
            </w:r>
            <w:r>
              <w:rPr>
                <w:color w:val="000000"/>
                <w:kern w:val="0"/>
                <w:sz w:val="22"/>
                <w:szCs w:val="22"/>
                <w:highlight w:val="none"/>
              </w:rPr>
              <w:br w:type="textWrapping"/>
            </w:r>
            <w:r>
              <w:rPr>
                <w:color w:val="000000"/>
                <w:kern w:val="0"/>
                <w:sz w:val="22"/>
                <w:szCs w:val="22"/>
                <w:highlight w:val="none"/>
              </w:rPr>
              <w:t>实际产出数：一定时期（本年度或项目期）内项目实际产出的产品或提供的服务数量。</w:t>
            </w:r>
            <w:r>
              <w:rPr>
                <w:color w:val="000000"/>
                <w:kern w:val="0"/>
                <w:sz w:val="22"/>
                <w:szCs w:val="22"/>
                <w:highlight w:val="none"/>
              </w:rPr>
              <w:br w:type="textWrapping"/>
            </w:r>
            <w:r>
              <w:rPr>
                <w:color w:val="000000"/>
                <w:kern w:val="0"/>
                <w:sz w:val="22"/>
                <w:szCs w:val="22"/>
                <w:highlight w:val="none"/>
              </w:rPr>
              <w:t>计划产出数：项目绩效目标确定的在一定时期（本年度或项目期）内计划产出的产品或提供的服务数量。</w:t>
            </w:r>
          </w:p>
        </w:tc>
        <w:tc>
          <w:tcPr>
            <w:tcW w:w="1297" w:type="dxa"/>
            <w:shd w:val="clear" w:color="000000" w:fill="FFFFFF"/>
            <w:vAlign w:val="center"/>
          </w:tcPr>
          <w:p w14:paraId="76204E00">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0" w:type="dxa"/>
            <w:shd w:val="clear" w:color="000000" w:fill="FFFFFF"/>
            <w:vAlign w:val="center"/>
          </w:tcPr>
          <w:p w14:paraId="3A5DB804">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2EE9177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46" w:hRule="atLeast"/>
        </w:trPr>
        <w:tc>
          <w:tcPr>
            <w:tcW w:w="835" w:type="dxa"/>
            <w:vMerge w:val="restart"/>
            <w:shd w:val="clear" w:color="auto" w:fill="FFFFFF"/>
            <w:vAlign w:val="center"/>
          </w:tcPr>
          <w:p w14:paraId="151C4DBE">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764" w:type="dxa"/>
            <w:shd w:val="clear" w:color="auto" w:fill="FFFFFF"/>
            <w:vAlign w:val="center"/>
          </w:tcPr>
          <w:p w14:paraId="44E641F8">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871" w:type="dxa"/>
            <w:shd w:val="clear" w:color="auto" w:fill="FFFFFF"/>
            <w:vAlign w:val="center"/>
          </w:tcPr>
          <w:p w14:paraId="5E50A3B8">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2348" w:type="dxa"/>
            <w:shd w:val="clear" w:color="000000" w:fill="FFFFFF"/>
            <w:vAlign w:val="center"/>
          </w:tcPr>
          <w:p w14:paraId="1C4407E8">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5181" w:type="dxa"/>
            <w:shd w:val="clear" w:color="000000" w:fill="FFFFFF"/>
            <w:vAlign w:val="center"/>
          </w:tcPr>
          <w:p w14:paraId="45AFD573">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14:paraId="2C27F045">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297" w:type="dxa"/>
            <w:shd w:val="clear" w:color="000000" w:fill="FFFFFF"/>
            <w:vAlign w:val="center"/>
          </w:tcPr>
          <w:p w14:paraId="78046922">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0" w:type="dxa"/>
            <w:shd w:val="clear" w:color="000000" w:fill="FFFFFF"/>
            <w:vAlign w:val="center"/>
          </w:tcPr>
          <w:p w14:paraId="5DBCD1ED">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088276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82" w:hRule="atLeast"/>
        </w:trPr>
        <w:tc>
          <w:tcPr>
            <w:tcW w:w="835" w:type="dxa"/>
            <w:vMerge w:val="continue"/>
            <w:shd w:val="clear" w:color="auto" w:fill="FFFFFF"/>
            <w:vAlign w:val="center"/>
          </w:tcPr>
          <w:p w14:paraId="7B75223D">
            <w:pPr>
              <w:spacing w:line="0" w:lineRule="atLeast"/>
              <w:jc w:val="center"/>
              <w:rPr>
                <w:color w:val="000000"/>
                <w:kern w:val="0"/>
                <w:sz w:val="22"/>
                <w:szCs w:val="22"/>
                <w:highlight w:val="none"/>
              </w:rPr>
            </w:pPr>
          </w:p>
        </w:tc>
        <w:tc>
          <w:tcPr>
            <w:tcW w:w="764" w:type="dxa"/>
            <w:shd w:val="clear" w:color="auto" w:fill="FFFFFF"/>
            <w:vAlign w:val="center"/>
          </w:tcPr>
          <w:p w14:paraId="59BE3550">
            <w:pPr>
              <w:spacing w:line="0" w:lineRule="atLeast"/>
              <w:jc w:val="center"/>
              <w:rPr>
                <w:color w:val="000000"/>
                <w:kern w:val="0"/>
                <w:sz w:val="22"/>
                <w:szCs w:val="22"/>
                <w:highlight w:val="none"/>
              </w:rPr>
            </w:pPr>
            <w:r>
              <w:rPr>
                <w:color w:val="000000"/>
                <w:kern w:val="0"/>
                <w:sz w:val="22"/>
                <w:szCs w:val="22"/>
                <w:highlight w:val="none"/>
              </w:rPr>
              <w:t>产出时效</w:t>
            </w:r>
          </w:p>
        </w:tc>
        <w:tc>
          <w:tcPr>
            <w:tcW w:w="871" w:type="dxa"/>
            <w:shd w:val="clear" w:color="auto" w:fill="FFFFFF"/>
            <w:vAlign w:val="center"/>
          </w:tcPr>
          <w:p w14:paraId="7D4ABEF5">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2348" w:type="dxa"/>
            <w:shd w:val="clear" w:color="000000" w:fill="FFFFFF"/>
            <w:vAlign w:val="center"/>
          </w:tcPr>
          <w:p w14:paraId="53E6C85A">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5181" w:type="dxa"/>
            <w:shd w:val="clear" w:color="000000" w:fill="FFFFFF"/>
            <w:vAlign w:val="center"/>
          </w:tcPr>
          <w:p w14:paraId="001A7916">
            <w:pPr>
              <w:widowControl/>
              <w:spacing w:line="0" w:lineRule="atLeast"/>
              <w:rPr>
                <w:color w:val="000000"/>
                <w:kern w:val="0"/>
                <w:sz w:val="22"/>
                <w:szCs w:val="22"/>
                <w:highlight w:val="none"/>
              </w:rPr>
            </w:pPr>
            <w:r>
              <w:rPr>
                <w:color w:val="000000"/>
                <w:kern w:val="0"/>
                <w:sz w:val="22"/>
                <w:szCs w:val="22"/>
                <w:highlight w:val="none"/>
              </w:rPr>
              <w:t>实际完成时间：项目实施单位完成该项目实际所耗用的时间。</w:t>
            </w:r>
            <w:r>
              <w:rPr>
                <w:color w:val="000000"/>
                <w:kern w:val="0"/>
                <w:sz w:val="22"/>
                <w:szCs w:val="22"/>
                <w:highlight w:val="none"/>
              </w:rPr>
              <w:br w:type="textWrapping"/>
            </w:r>
            <w:r>
              <w:rPr>
                <w:color w:val="000000"/>
                <w:kern w:val="0"/>
                <w:sz w:val="22"/>
                <w:szCs w:val="22"/>
                <w:highlight w:val="none"/>
              </w:rPr>
              <w:t>计划完成时间：按照项目实施计划或相关规定完成该项目所需的时间。</w:t>
            </w:r>
          </w:p>
        </w:tc>
        <w:tc>
          <w:tcPr>
            <w:tcW w:w="1297" w:type="dxa"/>
            <w:shd w:val="clear" w:color="000000" w:fill="FFFFFF"/>
            <w:vAlign w:val="center"/>
          </w:tcPr>
          <w:p w14:paraId="0883EDFF">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0" w:type="dxa"/>
            <w:shd w:val="clear" w:color="000000" w:fill="FFFFFF"/>
            <w:vAlign w:val="center"/>
          </w:tcPr>
          <w:p w14:paraId="0BCD4B84">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691BEA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23" w:hRule="atLeast"/>
        </w:trPr>
        <w:tc>
          <w:tcPr>
            <w:tcW w:w="835" w:type="dxa"/>
            <w:vMerge w:val="continue"/>
            <w:shd w:val="clear" w:color="auto" w:fill="FFFFFF"/>
            <w:vAlign w:val="center"/>
          </w:tcPr>
          <w:p w14:paraId="48A8AB43">
            <w:pPr>
              <w:widowControl/>
              <w:spacing w:line="0" w:lineRule="atLeast"/>
              <w:jc w:val="center"/>
              <w:rPr>
                <w:color w:val="000000"/>
                <w:kern w:val="0"/>
                <w:sz w:val="22"/>
                <w:szCs w:val="22"/>
                <w:highlight w:val="none"/>
              </w:rPr>
            </w:pPr>
          </w:p>
        </w:tc>
        <w:tc>
          <w:tcPr>
            <w:tcW w:w="764" w:type="dxa"/>
            <w:shd w:val="clear" w:color="auto" w:fill="FFFFFF"/>
            <w:vAlign w:val="center"/>
          </w:tcPr>
          <w:p w14:paraId="5A95ABCD">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871" w:type="dxa"/>
            <w:shd w:val="clear" w:color="auto" w:fill="FFFFFF"/>
            <w:vAlign w:val="center"/>
          </w:tcPr>
          <w:p w14:paraId="6B96369C">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2348" w:type="dxa"/>
            <w:shd w:val="clear" w:color="000000" w:fill="FFFFFF"/>
            <w:vAlign w:val="center"/>
          </w:tcPr>
          <w:p w14:paraId="63928A26">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5181" w:type="dxa"/>
            <w:shd w:val="clear" w:color="000000" w:fill="FFFFFF"/>
            <w:vAlign w:val="center"/>
          </w:tcPr>
          <w:p w14:paraId="7E78F40F">
            <w:pPr>
              <w:widowControl/>
              <w:spacing w:line="0" w:lineRule="atLeast"/>
              <w:rPr>
                <w:color w:val="000000"/>
                <w:kern w:val="0"/>
                <w:sz w:val="22"/>
                <w:szCs w:val="22"/>
                <w:highlight w:val="none"/>
              </w:rPr>
            </w:pPr>
            <w:r>
              <w:rPr>
                <w:color w:val="000000"/>
                <w:kern w:val="0"/>
                <w:sz w:val="22"/>
                <w:szCs w:val="22"/>
                <w:highlight w:val="none"/>
              </w:rPr>
              <w:br w:type="textWrapping"/>
            </w:r>
            <w:r>
              <w:rPr>
                <w:color w:val="000000"/>
                <w:kern w:val="0"/>
                <w:sz w:val="22"/>
                <w:szCs w:val="22"/>
                <w:highlight w:val="none"/>
              </w:rPr>
              <w:t>成本节约率=[（计划成本-实际成本）/计划成本]×100%。</w:t>
            </w:r>
            <w:r>
              <w:rPr>
                <w:color w:val="000000"/>
                <w:kern w:val="0"/>
                <w:sz w:val="22"/>
                <w:szCs w:val="22"/>
                <w:highlight w:val="none"/>
              </w:rPr>
              <w:br w:type="textWrapping"/>
            </w:r>
            <w:r>
              <w:rPr>
                <w:color w:val="000000"/>
                <w:kern w:val="0"/>
                <w:sz w:val="22"/>
                <w:szCs w:val="22"/>
                <w:highlight w:val="none"/>
              </w:rPr>
              <w:t>实际成本：项目实施单位如期、保质、保量完成既定工作目标实际所耗费的支出。</w:t>
            </w:r>
            <w:r>
              <w:rPr>
                <w:color w:val="000000"/>
                <w:kern w:val="0"/>
                <w:sz w:val="22"/>
                <w:szCs w:val="22"/>
                <w:highlight w:val="none"/>
              </w:rPr>
              <w:br w:type="textWrapping"/>
            </w:r>
            <w:r>
              <w:rPr>
                <w:color w:val="000000"/>
                <w:kern w:val="0"/>
                <w:sz w:val="22"/>
                <w:szCs w:val="22"/>
                <w:highlight w:val="none"/>
              </w:rPr>
              <w:t>计划成本：项目实施单位为完成工作目标计划安排的支出，一般以项目预算为参考。</w:t>
            </w:r>
          </w:p>
        </w:tc>
        <w:tc>
          <w:tcPr>
            <w:tcW w:w="1297" w:type="dxa"/>
            <w:shd w:val="clear" w:color="000000" w:fill="FFFFFF"/>
            <w:vAlign w:val="center"/>
          </w:tcPr>
          <w:p w14:paraId="09FDB60A">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0" w:type="dxa"/>
            <w:shd w:val="clear" w:color="000000" w:fill="FFFFFF"/>
            <w:vAlign w:val="center"/>
          </w:tcPr>
          <w:p w14:paraId="6B41A709">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7E51DE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704" w:hRule="atLeast"/>
        </w:trPr>
        <w:tc>
          <w:tcPr>
            <w:tcW w:w="835" w:type="dxa"/>
            <w:vMerge w:val="restart"/>
            <w:shd w:val="clear" w:color="auto" w:fill="FFFFFF"/>
            <w:vAlign w:val="center"/>
          </w:tcPr>
          <w:p w14:paraId="2A87E6E5">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764" w:type="dxa"/>
            <w:vMerge w:val="restart"/>
            <w:shd w:val="clear" w:color="auto" w:fill="FFFFFF"/>
            <w:vAlign w:val="center"/>
          </w:tcPr>
          <w:p w14:paraId="67467F32">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871" w:type="dxa"/>
            <w:shd w:val="clear" w:color="auto" w:fill="FFFFFF"/>
            <w:vAlign w:val="center"/>
          </w:tcPr>
          <w:p w14:paraId="2FA66575">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2348" w:type="dxa"/>
            <w:shd w:val="clear" w:color="auto" w:fill="FFFFFF"/>
            <w:vAlign w:val="center"/>
          </w:tcPr>
          <w:p w14:paraId="03D8FD19">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5181" w:type="dxa"/>
            <w:shd w:val="clear" w:color="auto" w:fill="FFFFFF"/>
            <w:vAlign w:val="center"/>
          </w:tcPr>
          <w:p w14:paraId="0FDC89E8">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1297" w:type="dxa"/>
            <w:shd w:val="clear" w:color="auto" w:fill="FFFFFF"/>
            <w:vAlign w:val="center"/>
          </w:tcPr>
          <w:p w14:paraId="28EBED5D">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0" w:type="dxa"/>
            <w:shd w:val="clear" w:color="auto" w:fill="FFFFFF"/>
            <w:vAlign w:val="center"/>
          </w:tcPr>
          <w:p w14:paraId="063085D5">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9</w:t>
            </w:r>
          </w:p>
        </w:tc>
      </w:tr>
      <w:tr w14:paraId="2F1A8E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12" w:hRule="atLeast"/>
        </w:trPr>
        <w:tc>
          <w:tcPr>
            <w:tcW w:w="835" w:type="dxa"/>
            <w:vMerge w:val="continue"/>
            <w:shd w:val="clear" w:color="auto" w:fill="FFFFFF"/>
            <w:vAlign w:val="center"/>
          </w:tcPr>
          <w:p w14:paraId="16BA9845">
            <w:pPr>
              <w:widowControl/>
              <w:spacing w:line="0" w:lineRule="atLeast"/>
              <w:jc w:val="center"/>
              <w:rPr>
                <w:color w:val="000000"/>
                <w:kern w:val="0"/>
                <w:sz w:val="22"/>
                <w:szCs w:val="22"/>
                <w:highlight w:val="none"/>
              </w:rPr>
            </w:pPr>
          </w:p>
        </w:tc>
        <w:tc>
          <w:tcPr>
            <w:tcW w:w="764" w:type="dxa"/>
            <w:vMerge w:val="continue"/>
            <w:shd w:val="clear" w:color="auto" w:fill="FFFFFF"/>
            <w:vAlign w:val="center"/>
          </w:tcPr>
          <w:p w14:paraId="480DC9EF">
            <w:pPr>
              <w:widowControl/>
              <w:spacing w:line="0" w:lineRule="atLeast"/>
              <w:jc w:val="center"/>
              <w:rPr>
                <w:color w:val="000000"/>
                <w:kern w:val="0"/>
                <w:sz w:val="22"/>
                <w:szCs w:val="22"/>
                <w:highlight w:val="none"/>
              </w:rPr>
            </w:pPr>
          </w:p>
        </w:tc>
        <w:tc>
          <w:tcPr>
            <w:tcW w:w="871" w:type="dxa"/>
            <w:shd w:val="clear" w:color="auto" w:fill="FFFFFF"/>
            <w:vAlign w:val="center"/>
          </w:tcPr>
          <w:p w14:paraId="53F7D1EC">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2348" w:type="dxa"/>
            <w:shd w:val="clear" w:color="000000" w:fill="FFFFFF"/>
            <w:vAlign w:val="center"/>
          </w:tcPr>
          <w:p w14:paraId="7AA3CBD3">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5181" w:type="dxa"/>
            <w:shd w:val="clear" w:color="000000" w:fill="FFFFFF"/>
            <w:vAlign w:val="center"/>
          </w:tcPr>
          <w:p w14:paraId="0FFB8211">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1297" w:type="dxa"/>
            <w:shd w:val="clear" w:color="000000" w:fill="FFFFFF"/>
            <w:vAlign w:val="center"/>
          </w:tcPr>
          <w:p w14:paraId="450640F6">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1360" w:type="dxa"/>
            <w:shd w:val="clear" w:color="000000" w:fill="FFFFFF"/>
            <w:vAlign w:val="center"/>
          </w:tcPr>
          <w:p w14:paraId="79B4F340">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bl>
    <w:p w14:paraId="7E8A7255">
      <w:pPr>
        <w:jc w:val="left"/>
        <w:rPr>
          <w:highlight w:val="none"/>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AF9C83D-B6D9-47DA-8410-A3CBA5929D2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2" w:fontKey="{C3D3B914-45E6-4ED3-AA0D-E02F09E188BE}"/>
  </w:font>
  <w:font w:name="华文中宋">
    <w:panose1 w:val="02010600040101010101"/>
    <w:charset w:val="86"/>
    <w:family w:val="auto"/>
    <w:pitch w:val="default"/>
    <w:sig w:usb0="00000287" w:usb1="080F0000" w:usb2="00000000" w:usb3="00000000" w:csb0="0004009F" w:csb1="DFD70000"/>
    <w:embedRegular r:id="rId3" w:fontKey="{0D4A0D95-E024-45E6-A1C7-7BEEB60DA0A9}"/>
  </w:font>
  <w:font w:name="方正小标宋_GBK">
    <w:panose1 w:val="02000000000000000000"/>
    <w:charset w:val="86"/>
    <w:family w:val="script"/>
    <w:pitch w:val="default"/>
    <w:sig w:usb0="A00002BF" w:usb1="38CF7CFA" w:usb2="00082016" w:usb3="00000000" w:csb0="00040001" w:csb1="00000000"/>
    <w:embedRegular r:id="rId4" w:fontKey="{2980EB78-2184-4CEA-B548-593189A77CB0}"/>
  </w:font>
  <w:font w:name="楷体_GB2312">
    <w:panose1 w:val="02010609030101010101"/>
    <w:charset w:val="86"/>
    <w:family w:val="auto"/>
    <w:pitch w:val="default"/>
    <w:sig w:usb0="00000001" w:usb1="080E0000" w:usb2="00000000" w:usb3="00000000" w:csb0="00040000" w:csb1="00000000"/>
    <w:embedRegular r:id="rId5" w:fontKey="{EC1E617D-2573-4C45-B553-FFE2173F6538}"/>
  </w:font>
  <w:font w:name="楷体">
    <w:panose1 w:val="02010609060101010101"/>
    <w:charset w:val="86"/>
    <w:family w:val="modern"/>
    <w:pitch w:val="default"/>
    <w:sig w:usb0="800002BF" w:usb1="38CF7CFA" w:usb2="00000016" w:usb3="00000000" w:csb0="00040001" w:csb1="00000000"/>
    <w:embedRegular r:id="rId6" w:fontKey="{A2323ACB-3993-429E-A6FE-5B2AE5869995}"/>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6DE508AF">
        <w:pPr>
          <w:pStyle w:val="7"/>
          <w:jc w:val="center"/>
        </w:pPr>
        <w:r>
          <w:fldChar w:fldCharType="begin"/>
        </w:r>
        <w:r>
          <w:instrText xml:space="preserve">PAGE   \* MERGEFORMAT</w:instrText>
        </w:r>
        <w:r>
          <w:fldChar w:fldCharType="separate"/>
        </w:r>
        <w:r>
          <w:rPr>
            <w:lang w:val="zh-CN"/>
          </w:rPr>
          <w:t>1</w:t>
        </w:r>
        <w:r>
          <w:fldChar w:fldCharType="end"/>
        </w:r>
      </w:p>
    </w:sdtContent>
  </w:sdt>
  <w:p w14:paraId="2274A2F8">
    <w:pPr>
      <w:pStyle w:val="7"/>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853AE"/>
    <w:multiLevelType w:val="singleLevel"/>
    <w:tmpl w:val="E83853AE"/>
    <w:lvl w:ilvl="0" w:tentative="0">
      <w:start w:val="2"/>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38F0C646"/>
    <w:multiLevelType w:val="singleLevel"/>
    <w:tmpl w:val="38F0C646"/>
    <w:lvl w:ilvl="0" w:tentative="0">
      <w:start w:val="1"/>
      <w:numFmt w:val="decimal"/>
      <w:suff w:val="nothing"/>
      <w:lvlText w:val="%1、"/>
      <w:lvlJc w:val="left"/>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4"/>
  </w:num>
  <w:num w:numId="4">
    <w:abstractNumId w:val="2"/>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Y2JkMjU3NGYzZTEwMzZmMGFkZWViYmNkYWU3NDIifQ=="/>
  </w:docVars>
  <w:rsids>
    <w:rsidRoot w:val="FF6C4049"/>
    <w:rsid w:val="00095176"/>
    <w:rsid w:val="004712B7"/>
    <w:rsid w:val="00714727"/>
    <w:rsid w:val="00FC7F82"/>
    <w:rsid w:val="00FD3DF8"/>
    <w:rsid w:val="01E5574B"/>
    <w:rsid w:val="02994018"/>
    <w:rsid w:val="02D768B7"/>
    <w:rsid w:val="039D7B38"/>
    <w:rsid w:val="06FC6923"/>
    <w:rsid w:val="0885131A"/>
    <w:rsid w:val="09313723"/>
    <w:rsid w:val="0BC13CB3"/>
    <w:rsid w:val="0D470B14"/>
    <w:rsid w:val="1182036D"/>
    <w:rsid w:val="11BC387F"/>
    <w:rsid w:val="1346681D"/>
    <w:rsid w:val="13B90F01"/>
    <w:rsid w:val="146177FD"/>
    <w:rsid w:val="14F66251"/>
    <w:rsid w:val="152817C5"/>
    <w:rsid w:val="154E1A04"/>
    <w:rsid w:val="17EA054F"/>
    <w:rsid w:val="184208C7"/>
    <w:rsid w:val="1928586D"/>
    <w:rsid w:val="199C4212"/>
    <w:rsid w:val="1C5C7C62"/>
    <w:rsid w:val="1C671E73"/>
    <w:rsid w:val="1C7370D0"/>
    <w:rsid w:val="1CC2205C"/>
    <w:rsid w:val="1D893503"/>
    <w:rsid w:val="1DAB4D3C"/>
    <w:rsid w:val="1FBD0A4C"/>
    <w:rsid w:val="223905D4"/>
    <w:rsid w:val="23256CB7"/>
    <w:rsid w:val="23474F72"/>
    <w:rsid w:val="23494ECF"/>
    <w:rsid w:val="23F53B0C"/>
    <w:rsid w:val="25583467"/>
    <w:rsid w:val="278504E5"/>
    <w:rsid w:val="278C1BEB"/>
    <w:rsid w:val="292D0766"/>
    <w:rsid w:val="299C0E50"/>
    <w:rsid w:val="2C0D3FE1"/>
    <w:rsid w:val="2D476A25"/>
    <w:rsid w:val="2EB775B3"/>
    <w:rsid w:val="2EE05424"/>
    <w:rsid w:val="2F372CF7"/>
    <w:rsid w:val="2F47605F"/>
    <w:rsid w:val="308537FC"/>
    <w:rsid w:val="31215055"/>
    <w:rsid w:val="33196863"/>
    <w:rsid w:val="3663300F"/>
    <w:rsid w:val="36E26995"/>
    <w:rsid w:val="36E903C3"/>
    <w:rsid w:val="383B295E"/>
    <w:rsid w:val="395F2B56"/>
    <w:rsid w:val="39E42709"/>
    <w:rsid w:val="3AB26D1E"/>
    <w:rsid w:val="3BECE841"/>
    <w:rsid w:val="3C4D41CF"/>
    <w:rsid w:val="3CB13B21"/>
    <w:rsid w:val="3FF7797D"/>
    <w:rsid w:val="3FF90105"/>
    <w:rsid w:val="400F5F1A"/>
    <w:rsid w:val="40565671"/>
    <w:rsid w:val="40B75F3A"/>
    <w:rsid w:val="40ED03B0"/>
    <w:rsid w:val="42731488"/>
    <w:rsid w:val="43926746"/>
    <w:rsid w:val="472707CD"/>
    <w:rsid w:val="4728624E"/>
    <w:rsid w:val="49030FD7"/>
    <w:rsid w:val="49B760FE"/>
    <w:rsid w:val="49E360C7"/>
    <w:rsid w:val="4C387849"/>
    <w:rsid w:val="4C9F17C3"/>
    <w:rsid w:val="4E404914"/>
    <w:rsid w:val="50914F3C"/>
    <w:rsid w:val="52455887"/>
    <w:rsid w:val="53A5346C"/>
    <w:rsid w:val="5405531C"/>
    <w:rsid w:val="5458228C"/>
    <w:rsid w:val="547C1FE5"/>
    <w:rsid w:val="549902D9"/>
    <w:rsid w:val="555E131C"/>
    <w:rsid w:val="567A473C"/>
    <w:rsid w:val="56845DA1"/>
    <w:rsid w:val="56B7773E"/>
    <w:rsid w:val="5A2D0C00"/>
    <w:rsid w:val="5BC8419B"/>
    <w:rsid w:val="5BFF6039"/>
    <w:rsid w:val="5C11169E"/>
    <w:rsid w:val="5D1C12D3"/>
    <w:rsid w:val="5D76A616"/>
    <w:rsid w:val="5D793BEB"/>
    <w:rsid w:val="5D7F20B9"/>
    <w:rsid w:val="5DAC7D0E"/>
    <w:rsid w:val="5EF81ADD"/>
    <w:rsid w:val="5F212CA2"/>
    <w:rsid w:val="5FFE8511"/>
    <w:rsid w:val="5FFEACE2"/>
    <w:rsid w:val="61B606DC"/>
    <w:rsid w:val="62353C0D"/>
    <w:rsid w:val="634F29FC"/>
    <w:rsid w:val="643EE26D"/>
    <w:rsid w:val="649224D1"/>
    <w:rsid w:val="670B5310"/>
    <w:rsid w:val="67D27C62"/>
    <w:rsid w:val="689D68CD"/>
    <w:rsid w:val="68BC3C60"/>
    <w:rsid w:val="694E0021"/>
    <w:rsid w:val="69F745C9"/>
    <w:rsid w:val="6AC50223"/>
    <w:rsid w:val="6AE517EE"/>
    <w:rsid w:val="6C196368"/>
    <w:rsid w:val="6E1C4834"/>
    <w:rsid w:val="6EF763A3"/>
    <w:rsid w:val="6FAF6C78"/>
    <w:rsid w:val="703716AB"/>
    <w:rsid w:val="707D6EAA"/>
    <w:rsid w:val="70E1083F"/>
    <w:rsid w:val="72827F6B"/>
    <w:rsid w:val="7317C656"/>
    <w:rsid w:val="73E050CE"/>
    <w:rsid w:val="73E07E7C"/>
    <w:rsid w:val="745D5EB0"/>
    <w:rsid w:val="7549747A"/>
    <w:rsid w:val="77C623DC"/>
    <w:rsid w:val="77FD8BE9"/>
    <w:rsid w:val="780C7F82"/>
    <w:rsid w:val="799C4ED6"/>
    <w:rsid w:val="79A9BD3F"/>
    <w:rsid w:val="7A8A28F0"/>
    <w:rsid w:val="7BBE2911"/>
    <w:rsid w:val="7BC55B1F"/>
    <w:rsid w:val="7BFFFDD0"/>
    <w:rsid w:val="7C1E6327"/>
    <w:rsid w:val="7C9C5CFE"/>
    <w:rsid w:val="7D7A5F86"/>
    <w:rsid w:val="7E8B6C36"/>
    <w:rsid w:val="7F37BB4E"/>
    <w:rsid w:val="7F9F6E3D"/>
    <w:rsid w:val="7FE60392"/>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autoRedefine/>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2">
    <w:name w:val="Default Paragraph Font"/>
    <w:semiHidden/>
    <w:unhideWhenUsed/>
    <w:qFormat/>
    <w:uiPriority w:val="1"/>
  </w:style>
  <w:style w:type="table" w:default="1" w:styleId="11">
    <w:name w:val="Normal Table"/>
    <w:autoRedefine/>
    <w:semiHidden/>
    <w:unhideWhenUsed/>
    <w:qFormat/>
    <w:uiPriority w:val="99"/>
    <w:tblPr>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4">
    <w:name w:val="annotation text"/>
    <w:basedOn w:val="1"/>
    <w:link w:val="19"/>
    <w:autoRedefine/>
    <w:qFormat/>
    <w:uiPriority w:val="99"/>
    <w:pPr>
      <w:jc w:val="left"/>
    </w:pPr>
  </w:style>
  <w:style w:type="paragraph" w:styleId="5">
    <w:name w:val="Body Text"/>
    <w:basedOn w:val="1"/>
    <w:qFormat/>
    <w:uiPriority w:val="0"/>
    <w:pPr>
      <w:spacing w:after="120"/>
    </w:pPr>
  </w:style>
  <w:style w:type="paragraph" w:styleId="6">
    <w:name w:val="Body Text Indent"/>
    <w:basedOn w:val="1"/>
    <w:qFormat/>
    <w:uiPriority w:val="0"/>
    <w:pPr>
      <w:spacing w:after="120"/>
      <w:ind w:left="420" w:leftChars="200"/>
    </w:pPr>
    <w:rPr>
      <w:rFonts w:ascii="Calibri" w:hAnsi="Calibri"/>
    </w:rPr>
  </w:style>
  <w:style w:type="paragraph" w:styleId="7">
    <w:name w:val="footer"/>
    <w:basedOn w:val="1"/>
    <w:autoRedefine/>
    <w:unhideWhenUsed/>
    <w:qFormat/>
    <w:uiPriority w:val="99"/>
    <w:pPr>
      <w:tabs>
        <w:tab w:val="center" w:pos="4153"/>
        <w:tab w:val="right" w:pos="8306"/>
      </w:tabs>
      <w:snapToGrid w:val="0"/>
      <w:jc w:val="left"/>
    </w:pPr>
    <w:rPr>
      <w:rFonts w:ascii="Calibri" w:hAnsi="Calibri"/>
      <w:sz w:val="18"/>
      <w:szCs w:val="18"/>
    </w:rPr>
  </w:style>
  <w:style w:type="paragraph" w:styleId="8">
    <w:name w:val="header"/>
    <w:basedOn w:val="1"/>
    <w:link w:val="18"/>
    <w:qFormat/>
    <w:uiPriority w:val="0"/>
    <w:pPr>
      <w:tabs>
        <w:tab w:val="center" w:pos="4153"/>
        <w:tab w:val="right" w:pos="8306"/>
      </w:tabs>
      <w:snapToGrid w:val="0"/>
      <w:jc w:val="center"/>
    </w:pPr>
    <w:rPr>
      <w:sz w:val="18"/>
      <w:szCs w:val="18"/>
    </w:rPr>
  </w:style>
  <w:style w:type="paragraph" w:styleId="9">
    <w:name w:val="Body Text First Indent"/>
    <w:basedOn w:val="5"/>
    <w:autoRedefine/>
    <w:qFormat/>
    <w:uiPriority w:val="0"/>
    <w:pPr>
      <w:spacing w:after="0"/>
      <w:ind w:firstLine="200" w:firstLineChars="200"/>
    </w:pPr>
  </w:style>
  <w:style w:type="paragraph" w:styleId="10">
    <w:name w:val="Body Text First Indent 2"/>
    <w:basedOn w:val="6"/>
    <w:qFormat/>
    <w:uiPriority w:val="0"/>
    <w:pPr>
      <w:ind w:firstLine="420" w:firstLineChars="200"/>
    </w:pPr>
  </w:style>
  <w:style w:type="character" w:styleId="13">
    <w:name w:val="Strong"/>
    <w:basedOn w:val="12"/>
    <w:qFormat/>
    <w:uiPriority w:val="0"/>
    <w:rPr>
      <w:b/>
      <w:bCs/>
    </w:rPr>
  </w:style>
  <w:style w:type="character" w:styleId="14">
    <w:name w:val="annotation reference"/>
    <w:basedOn w:val="12"/>
    <w:autoRedefine/>
    <w:qFormat/>
    <w:uiPriority w:val="99"/>
    <w:rPr>
      <w:sz w:val="21"/>
      <w:szCs w:val="21"/>
    </w:rPr>
  </w:style>
  <w:style w:type="character" w:customStyle="1" w:styleId="15">
    <w:name w:val="fontstyle01"/>
    <w:qFormat/>
    <w:uiPriority w:val="0"/>
    <w:rPr>
      <w:rFonts w:ascii="仿宋_GB2312" w:hAnsi="仿宋_GB2312" w:eastAsia="仿宋_GB2312" w:cs="仿宋_GB2312"/>
      <w:color w:val="000000"/>
      <w:sz w:val="32"/>
      <w:szCs w:val="32"/>
    </w:rPr>
  </w:style>
  <w:style w:type="paragraph" w:customStyle="1" w:styleId="16">
    <w:name w:val="闻政-正文段落文字"/>
    <w:basedOn w:val="1"/>
    <w:qFormat/>
    <w:uiPriority w:val="3"/>
    <w:pPr>
      <w:spacing w:line="500" w:lineRule="exact"/>
      <w:ind w:firstLine="200"/>
    </w:pPr>
    <w:rPr>
      <w:kern w:val="0"/>
      <w:szCs w:val="28"/>
    </w:rPr>
  </w:style>
  <w:style w:type="paragraph" w:customStyle="1" w:styleId="17">
    <w:name w:val="Revision"/>
    <w:autoRedefine/>
    <w:hidden/>
    <w:unhideWhenUsed/>
    <w:qFormat/>
    <w:uiPriority w:val="99"/>
    <w:rPr>
      <w:rFonts w:ascii="Times New Roman" w:hAnsi="Times New Roman" w:eastAsia="宋体" w:cs="Times New Roman"/>
      <w:kern w:val="2"/>
      <w:sz w:val="21"/>
      <w:szCs w:val="24"/>
      <w:lang w:val="en-US" w:eastAsia="zh-CN" w:bidi="ar-SA"/>
    </w:rPr>
  </w:style>
  <w:style w:type="character" w:customStyle="1" w:styleId="18">
    <w:name w:val="页眉 字符"/>
    <w:basedOn w:val="12"/>
    <w:link w:val="8"/>
    <w:qFormat/>
    <w:uiPriority w:val="0"/>
    <w:rPr>
      <w:rFonts w:ascii="Times New Roman" w:hAnsi="Times New Roman" w:eastAsia="宋体" w:cs="Times New Roman"/>
      <w:kern w:val="2"/>
      <w:sz w:val="18"/>
      <w:szCs w:val="18"/>
    </w:rPr>
  </w:style>
  <w:style w:type="character" w:customStyle="1" w:styleId="19">
    <w:name w:val="批注文字 字符"/>
    <w:basedOn w:val="12"/>
    <w:link w:val="4"/>
    <w:qFormat/>
    <w:uiPriority w:val="99"/>
    <w:rPr>
      <w:rFonts w:ascii="Times New Roman" w:hAnsi="Times New Roman" w:eastAsia="宋体" w:cs="Times New Roman"/>
      <w:kern w:val="2"/>
      <w:sz w:val="21"/>
      <w:szCs w:val="24"/>
    </w:rPr>
  </w:style>
  <w:style w:type="paragraph" w:styleId="20">
    <w:name w:val="List Paragraph"/>
    <w:basedOn w:val="1"/>
    <w:unhideWhenUsed/>
    <w:qFormat/>
    <w:uiPriority w:val="99"/>
    <w:pPr>
      <w:ind w:firstLine="420" w:firstLineChars="200"/>
    </w:pPr>
  </w:style>
  <w:style w:type="character" w:customStyle="1" w:styleId="21">
    <w:name w:val="font71"/>
    <w:basedOn w:val="12"/>
    <w:qFormat/>
    <w:uiPriority w:val="0"/>
    <w:rPr>
      <w:rFonts w:hint="eastAsia" w:ascii="宋体" w:hAnsi="宋体" w:eastAsia="宋体" w:cs="宋体"/>
      <w:color w:val="000000"/>
      <w:sz w:val="18"/>
      <w:szCs w:val="18"/>
      <w:u w:val="none"/>
    </w:rPr>
  </w:style>
  <w:style w:type="character" w:customStyle="1" w:styleId="22">
    <w:name w:val="font101"/>
    <w:basedOn w:val="12"/>
    <w:qFormat/>
    <w:uiPriority w:val="0"/>
    <w:rPr>
      <w:rFonts w:hint="eastAsia" w:ascii="宋体" w:hAnsi="宋体" w:eastAsia="宋体" w:cs="宋体"/>
      <w:color w:val="000000"/>
      <w:sz w:val="16"/>
      <w:szCs w:val="16"/>
      <w:u w:val="none"/>
    </w:rPr>
  </w:style>
  <w:style w:type="character" w:customStyle="1" w:styleId="23">
    <w:name w:val="font112"/>
    <w:basedOn w:val="12"/>
    <w:autoRedefine/>
    <w:qFormat/>
    <w:uiPriority w:val="0"/>
    <w:rPr>
      <w:rFonts w:hint="eastAsia" w:ascii="宋体" w:hAnsi="宋体" w:eastAsia="宋体" w:cs="宋体"/>
      <w:color w:val="FF0000"/>
      <w:sz w:val="16"/>
      <w:szCs w:val="16"/>
      <w:u w:val="none"/>
    </w:rPr>
  </w:style>
  <w:style w:type="character" w:customStyle="1" w:styleId="24">
    <w:name w:val="font61"/>
    <w:basedOn w:val="12"/>
    <w:qFormat/>
    <w:uiPriority w:val="0"/>
    <w:rPr>
      <w:rFonts w:hint="eastAsia" w:ascii="宋体" w:hAnsi="宋体" w:eastAsia="宋体" w:cs="宋体"/>
      <w:color w:val="000000"/>
      <w:sz w:val="18"/>
      <w:szCs w:val="18"/>
      <w:u w:val="none"/>
    </w:rPr>
  </w:style>
  <w:style w:type="character" w:customStyle="1" w:styleId="25">
    <w:name w:val="font11"/>
    <w:basedOn w:val="12"/>
    <w:qFormat/>
    <w:uiPriority w:val="0"/>
    <w:rPr>
      <w:rFonts w:hint="eastAsia" w:ascii="宋体" w:hAnsi="宋体" w:eastAsia="宋体" w:cs="宋体"/>
      <w:color w:val="000000"/>
      <w:sz w:val="16"/>
      <w:szCs w:val="16"/>
      <w:u w:val="none"/>
    </w:rPr>
  </w:style>
  <w:style w:type="character" w:customStyle="1" w:styleId="26">
    <w:name w:val="font81"/>
    <w:basedOn w:val="12"/>
    <w:qFormat/>
    <w:uiPriority w:val="0"/>
    <w:rPr>
      <w:rFonts w:hint="eastAsia" w:ascii="宋体" w:hAnsi="宋体" w:eastAsia="宋体" w:cs="宋体"/>
      <w:color w:val="FF0000"/>
      <w:sz w:val="16"/>
      <w:szCs w:val="16"/>
      <w:u w:val="none"/>
    </w:rPr>
  </w:style>
  <w:style w:type="character" w:customStyle="1" w:styleId="27">
    <w:name w:val="font91"/>
    <w:basedOn w:val="12"/>
    <w:autoRedefine/>
    <w:qFormat/>
    <w:uiPriority w:val="0"/>
    <w:rPr>
      <w:rFonts w:hint="eastAsia" w:ascii="宋体" w:hAnsi="宋体" w:eastAsia="宋体" w:cs="宋体"/>
      <w:color w:val="FF0000"/>
      <w:sz w:val="18"/>
      <w:szCs w:val="1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20</Pages>
  <Words>8574</Words>
  <Characters>9057</Characters>
  <Lines>63</Lines>
  <Paragraphs>17</Paragraphs>
  <TotalTime>2</TotalTime>
  <ScaleCrop>false</ScaleCrop>
  <LinksUpToDate>false</LinksUpToDate>
  <CharactersWithSpaces>9084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2023-03-08T21:13:00Z</dcterms:created>
  <dc:creator>审核人</dc:creator>
  <cp:lastModifiedBy>薛俊璇</cp:lastModifiedBy>
  <dcterms:modified xsi:type="dcterms:W3CDTF">2024-08-27T11:17:36Z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0CA58AF8364FF55815C8066417B177EA</vt:lpwstr>
  </property>
</Properties>
</file>