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23B9F">
      <w:pPr>
        <w:spacing w:line="540" w:lineRule="exact"/>
        <w:rPr>
          <w:rFonts w:eastAsia="华文中宋"/>
          <w:b/>
          <w:kern w:val="0"/>
          <w:sz w:val="72"/>
          <w:szCs w:val="72"/>
          <w:highlight w:val="none"/>
        </w:rPr>
      </w:pPr>
    </w:p>
    <w:p w14:paraId="0C77EE9B">
      <w:pPr>
        <w:spacing w:line="540" w:lineRule="exact"/>
        <w:jc w:val="center"/>
        <w:rPr>
          <w:rFonts w:eastAsia="华文中宋"/>
          <w:b/>
          <w:kern w:val="0"/>
          <w:sz w:val="52"/>
          <w:szCs w:val="52"/>
          <w:highlight w:val="none"/>
        </w:rPr>
      </w:pPr>
    </w:p>
    <w:p w14:paraId="59FEECC6">
      <w:pPr>
        <w:spacing w:line="540" w:lineRule="exact"/>
        <w:jc w:val="center"/>
        <w:rPr>
          <w:rFonts w:eastAsia="华文中宋"/>
          <w:b/>
          <w:kern w:val="0"/>
          <w:sz w:val="52"/>
          <w:szCs w:val="52"/>
          <w:highlight w:val="none"/>
        </w:rPr>
      </w:pPr>
    </w:p>
    <w:p w14:paraId="720FE6C2">
      <w:pPr>
        <w:spacing w:line="540" w:lineRule="exact"/>
        <w:jc w:val="center"/>
        <w:rPr>
          <w:rFonts w:eastAsia="方正小标宋_GBK"/>
          <w:kern w:val="0"/>
          <w:sz w:val="48"/>
          <w:szCs w:val="48"/>
          <w:highlight w:val="none"/>
        </w:rPr>
      </w:pPr>
      <w:r>
        <w:rPr>
          <w:rFonts w:hint="eastAsia" w:eastAsia="方正小标宋_GBK"/>
          <w:kern w:val="0"/>
          <w:sz w:val="48"/>
          <w:szCs w:val="48"/>
          <w:highlight w:val="none"/>
          <w:lang w:eastAsia="zh-CN"/>
        </w:rPr>
        <w:t>医院政府采购</w:t>
      </w:r>
      <w:r>
        <w:rPr>
          <w:rFonts w:eastAsia="方正小标宋_GBK"/>
          <w:kern w:val="0"/>
          <w:sz w:val="48"/>
          <w:szCs w:val="48"/>
          <w:highlight w:val="none"/>
        </w:rPr>
        <w:t>资金项目</w:t>
      </w:r>
    </w:p>
    <w:p w14:paraId="046BEF87">
      <w:pPr>
        <w:spacing w:line="540" w:lineRule="exact"/>
        <w:jc w:val="center"/>
        <w:rPr>
          <w:rFonts w:eastAsia="方正小标宋_GBK"/>
          <w:kern w:val="0"/>
          <w:sz w:val="48"/>
          <w:szCs w:val="48"/>
          <w:highlight w:val="none"/>
        </w:rPr>
      </w:pPr>
      <w:r>
        <w:rPr>
          <w:rFonts w:eastAsia="方正小标宋_GBK"/>
          <w:kern w:val="0"/>
          <w:sz w:val="48"/>
          <w:szCs w:val="48"/>
          <w:highlight w:val="none"/>
        </w:rPr>
        <w:t>支出绩效评价报告</w:t>
      </w:r>
    </w:p>
    <w:p w14:paraId="17EE5B07">
      <w:pPr>
        <w:spacing w:line="540" w:lineRule="exact"/>
        <w:jc w:val="center"/>
        <w:rPr>
          <w:rFonts w:eastAsia="华文中宋"/>
          <w:b/>
          <w:kern w:val="0"/>
          <w:sz w:val="52"/>
          <w:szCs w:val="52"/>
          <w:highlight w:val="none"/>
        </w:rPr>
      </w:pPr>
    </w:p>
    <w:p w14:paraId="2D5F9C5C">
      <w:pPr>
        <w:spacing w:line="540" w:lineRule="exact"/>
        <w:jc w:val="center"/>
        <w:rPr>
          <w:rFonts w:eastAsia="仿宋_GB2312"/>
          <w:kern w:val="0"/>
          <w:sz w:val="36"/>
          <w:szCs w:val="36"/>
          <w:highlight w:val="none"/>
        </w:rPr>
      </w:pPr>
      <w:r>
        <w:rPr>
          <w:rFonts w:eastAsia="仿宋_GB2312"/>
          <w:kern w:val="0"/>
          <w:sz w:val="36"/>
          <w:szCs w:val="36"/>
          <w:highlight w:val="none"/>
        </w:rPr>
        <w:t>（ 202</w:t>
      </w:r>
      <w:r>
        <w:rPr>
          <w:rFonts w:hint="eastAsia" w:eastAsia="仿宋_GB2312"/>
          <w:kern w:val="0"/>
          <w:sz w:val="36"/>
          <w:szCs w:val="36"/>
          <w:highlight w:val="none"/>
          <w:lang w:val="en-US" w:eastAsia="zh-CN"/>
        </w:rPr>
        <w:t>3</w:t>
      </w:r>
      <w:r>
        <w:rPr>
          <w:rFonts w:eastAsia="仿宋_GB2312"/>
          <w:kern w:val="0"/>
          <w:sz w:val="36"/>
          <w:szCs w:val="36"/>
          <w:highlight w:val="none"/>
        </w:rPr>
        <w:t>年度）</w:t>
      </w:r>
    </w:p>
    <w:p w14:paraId="61FCBF7B">
      <w:pPr>
        <w:spacing w:line="540" w:lineRule="exact"/>
        <w:jc w:val="center"/>
        <w:rPr>
          <w:rFonts w:eastAsia="仿宋_GB2312"/>
          <w:kern w:val="0"/>
          <w:sz w:val="30"/>
          <w:szCs w:val="30"/>
          <w:highlight w:val="none"/>
        </w:rPr>
      </w:pPr>
    </w:p>
    <w:p w14:paraId="6E6D019E">
      <w:pPr>
        <w:spacing w:line="540" w:lineRule="exact"/>
        <w:jc w:val="center"/>
        <w:rPr>
          <w:rFonts w:eastAsia="仿宋_GB2312"/>
          <w:kern w:val="0"/>
          <w:sz w:val="30"/>
          <w:szCs w:val="30"/>
          <w:highlight w:val="none"/>
        </w:rPr>
      </w:pPr>
    </w:p>
    <w:p w14:paraId="34CDDFD5">
      <w:pPr>
        <w:spacing w:line="540" w:lineRule="exact"/>
        <w:jc w:val="center"/>
        <w:rPr>
          <w:rFonts w:eastAsia="仿宋_GB2312"/>
          <w:kern w:val="0"/>
          <w:sz w:val="30"/>
          <w:szCs w:val="30"/>
          <w:highlight w:val="none"/>
        </w:rPr>
      </w:pPr>
    </w:p>
    <w:p w14:paraId="0D5DB0C3">
      <w:pPr>
        <w:spacing w:line="540" w:lineRule="exact"/>
        <w:jc w:val="center"/>
        <w:rPr>
          <w:rFonts w:eastAsia="仿宋_GB2312"/>
          <w:kern w:val="0"/>
          <w:sz w:val="30"/>
          <w:szCs w:val="30"/>
          <w:highlight w:val="none"/>
        </w:rPr>
      </w:pPr>
    </w:p>
    <w:p w14:paraId="71D0C7F6">
      <w:pPr>
        <w:spacing w:line="540" w:lineRule="exact"/>
        <w:rPr>
          <w:rFonts w:eastAsia="仿宋_GB2312"/>
          <w:kern w:val="0"/>
          <w:sz w:val="30"/>
          <w:szCs w:val="30"/>
          <w:highlight w:val="none"/>
        </w:rPr>
      </w:pPr>
    </w:p>
    <w:p w14:paraId="1960FF1F">
      <w:pPr>
        <w:spacing w:line="700" w:lineRule="exact"/>
        <w:ind w:firstLine="1080" w:firstLineChars="300"/>
        <w:jc w:val="left"/>
        <w:rPr>
          <w:rFonts w:hint="default" w:eastAsia="仿宋_GB2312"/>
          <w:kern w:val="0"/>
          <w:sz w:val="36"/>
          <w:szCs w:val="36"/>
          <w:highlight w:val="none"/>
          <w:lang w:val="en-US" w:eastAsia="zh-CN"/>
        </w:rPr>
      </w:pPr>
      <w:r>
        <w:rPr>
          <w:rFonts w:eastAsia="仿宋_GB2312"/>
          <w:kern w:val="0"/>
          <w:sz w:val="36"/>
          <w:szCs w:val="36"/>
          <w:highlight w:val="none"/>
        </w:rPr>
        <w:t>项目名称：</w:t>
      </w:r>
      <w:r>
        <w:rPr>
          <w:rFonts w:hint="eastAsia" w:eastAsia="仿宋_GB2312"/>
          <w:kern w:val="0"/>
          <w:sz w:val="36"/>
          <w:szCs w:val="36"/>
          <w:highlight w:val="none"/>
          <w:lang w:eastAsia="zh-CN"/>
        </w:rPr>
        <w:t>医院政府采购</w:t>
      </w:r>
      <w:r>
        <w:rPr>
          <w:rFonts w:hint="eastAsia" w:eastAsia="仿宋_GB2312"/>
          <w:kern w:val="0"/>
          <w:sz w:val="36"/>
          <w:szCs w:val="36"/>
          <w:highlight w:val="none"/>
          <w:lang w:val="en-US" w:eastAsia="zh-CN"/>
        </w:rPr>
        <w:t>项目</w:t>
      </w:r>
    </w:p>
    <w:p w14:paraId="0918B1BD">
      <w:pPr>
        <w:spacing w:line="700" w:lineRule="exact"/>
        <w:ind w:firstLine="1080" w:firstLineChars="300"/>
        <w:jc w:val="left"/>
        <w:rPr>
          <w:rFonts w:hint="default" w:eastAsia="仿宋_GB2312"/>
          <w:kern w:val="0"/>
          <w:sz w:val="36"/>
          <w:szCs w:val="36"/>
          <w:highlight w:val="none"/>
          <w:lang w:val="en-US" w:eastAsia="zh-CN"/>
        </w:rPr>
      </w:pPr>
      <w:r>
        <w:rPr>
          <w:rFonts w:eastAsia="仿宋_GB2312"/>
          <w:kern w:val="0"/>
          <w:sz w:val="36"/>
          <w:szCs w:val="36"/>
          <w:highlight w:val="none"/>
        </w:rPr>
        <w:t>实施单位（公章）：</w:t>
      </w:r>
      <w:r>
        <w:rPr>
          <w:rFonts w:hint="eastAsia" w:eastAsia="仿宋_GB2312"/>
          <w:kern w:val="0"/>
          <w:sz w:val="36"/>
          <w:szCs w:val="36"/>
          <w:highlight w:val="none"/>
          <w:lang w:eastAsia="zh-CN"/>
        </w:rPr>
        <w:t>新疆医科大学第五附属医院</w:t>
      </w:r>
    </w:p>
    <w:p w14:paraId="50C2D1B7">
      <w:pPr>
        <w:spacing w:line="700" w:lineRule="exact"/>
        <w:ind w:left="5397" w:leftChars="513" w:hanging="4320" w:hangingChars="1200"/>
        <w:jc w:val="both"/>
        <w:rPr>
          <w:rFonts w:hint="eastAsia" w:eastAsia="仿宋_GB2312"/>
          <w:kern w:val="0"/>
          <w:sz w:val="36"/>
          <w:szCs w:val="36"/>
          <w:highlight w:val="none"/>
          <w:lang w:eastAsia="zh-CN"/>
        </w:rPr>
      </w:pPr>
      <w:r>
        <w:rPr>
          <w:rFonts w:eastAsia="仿宋_GB2312"/>
          <w:kern w:val="0"/>
          <w:sz w:val="36"/>
          <w:szCs w:val="36"/>
          <w:highlight w:val="none"/>
        </w:rPr>
        <w:t>主管部门（公章）：</w:t>
      </w:r>
      <w:r>
        <w:rPr>
          <w:rFonts w:hint="eastAsia" w:eastAsia="仿宋_GB2312"/>
          <w:kern w:val="0"/>
          <w:sz w:val="36"/>
          <w:szCs w:val="36"/>
          <w:highlight w:val="none"/>
        </w:rPr>
        <w:t>自治区卫生健康</w:t>
      </w:r>
      <w:r>
        <w:rPr>
          <w:rFonts w:hint="eastAsia" w:eastAsia="仿宋_GB2312"/>
          <w:kern w:val="0"/>
          <w:sz w:val="36"/>
          <w:szCs w:val="36"/>
          <w:highlight w:val="none"/>
          <w:lang w:val="en-US" w:eastAsia="zh-CN"/>
        </w:rPr>
        <w:t>委员会</w:t>
      </w:r>
    </w:p>
    <w:p w14:paraId="0603529D">
      <w:pPr>
        <w:spacing w:line="700" w:lineRule="exact"/>
        <w:ind w:firstLine="1080" w:firstLineChars="300"/>
        <w:jc w:val="left"/>
        <w:rPr>
          <w:rFonts w:hint="eastAsia" w:eastAsia="仿宋_GB2312"/>
          <w:kern w:val="0"/>
          <w:sz w:val="36"/>
          <w:szCs w:val="36"/>
          <w:highlight w:val="none"/>
          <w:lang w:eastAsia="zh-CN"/>
        </w:rPr>
      </w:pPr>
      <w:r>
        <w:rPr>
          <w:rFonts w:eastAsia="仿宋_GB2312"/>
          <w:kern w:val="0"/>
          <w:sz w:val="36"/>
          <w:szCs w:val="36"/>
          <w:highlight w:val="none"/>
        </w:rPr>
        <w:t>项目负责人（签章）：</w:t>
      </w:r>
      <w:r>
        <w:rPr>
          <w:rFonts w:hint="eastAsia" w:eastAsia="仿宋_GB2312"/>
          <w:kern w:val="0"/>
          <w:sz w:val="36"/>
          <w:szCs w:val="36"/>
          <w:highlight w:val="none"/>
          <w:lang w:eastAsia="zh-CN"/>
        </w:rPr>
        <w:t>李欣阳</w:t>
      </w:r>
    </w:p>
    <w:p w14:paraId="3FD2E499">
      <w:pPr>
        <w:spacing w:line="700" w:lineRule="exact"/>
        <w:ind w:firstLine="1080" w:firstLineChars="3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2024</w:t>
      </w:r>
      <w:r>
        <w:rPr>
          <w:rFonts w:eastAsia="仿宋_GB2312"/>
          <w:kern w:val="0"/>
          <w:sz w:val="36"/>
          <w:szCs w:val="36"/>
          <w:highlight w:val="none"/>
        </w:rPr>
        <w:t>年</w:t>
      </w:r>
      <w:r>
        <w:rPr>
          <w:rFonts w:hint="eastAsia" w:eastAsia="仿宋_GB2312"/>
          <w:kern w:val="0"/>
          <w:sz w:val="36"/>
          <w:szCs w:val="36"/>
          <w:highlight w:val="none"/>
          <w:lang w:val="en-US" w:eastAsia="zh-CN"/>
        </w:rPr>
        <w:t>3</w:t>
      </w:r>
      <w:r>
        <w:rPr>
          <w:rFonts w:eastAsia="仿宋_GB2312"/>
          <w:kern w:val="0"/>
          <w:sz w:val="36"/>
          <w:szCs w:val="36"/>
          <w:highlight w:val="none"/>
        </w:rPr>
        <w:t>月</w:t>
      </w:r>
      <w:r>
        <w:rPr>
          <w:rFonts w:hint="eastAsia" w:eastAsia="仿宋_GB2312"/>
          <w:kern w:val="0"/>
          <w:sz w:val="36"/>
          <w:szCs w:val="36"/>
          <w:highlight w:val="none"/>
          <w:lang w:val="en-US" w:eastAsia="zh-CN"/>
        </w:rPr>
        <w:t>7</w:t>
      </w:r>
      <w:r>
        <w:rPr>
          <w:rFonts w:eastAsia="仿宋_GB2312"/>
          <w:kern w:val="0"/>
          <w:sz w:val="36"/>
          <w:szCs w:val="36"/>
          <w:highlight w:val="none"/>
        </w:rPr>
        <w:t>日</w:t>
      </w:r>
    </w:p>
    <w:p w14:paraId="5610ED68">
      <w:pPr>
        <w:spacing w:line="540" w:lineRule="exact"/>
        <w:jc w:val="center"/>
        <w:rPr>
          <w:rFonts w:eastAsia="仿宋_GB2312"/>
          <w:kern w:val="0"/>
          <w:sz w:val="30"/>
          <w:szCs w:val="30"/>
          <w:highlight w:val="none"/>
        </w:rPr>
      </w:pPr>
    </w:p>
    <w:p w14:paraId="2F326ADA">
      <w:pPr>
        <w:spacing w:line="540" w:lineRule="exact"/>
        <w:rPr>
          <w:rStyle w:val="23"/>
          <w:rFonts w:eastAsia="黑体"/>
          <w:b w:val="0"/>
          <w:spacing w:val="-4"/>
          <w:sz w:val="32"/>
          <w:szCs w:val="32"/>
          <w:highlight w:val="none"/>
        </w:rPr>
      </w:pPr>
    </w:p>
    <w:p w14:paraId="7547D4C5">
      <w:pPr>
        <w:spacing w:line="540" w:lineRule="exact"/>
        <w:ind w:firstLine="640"/>
        <w:rPr>
          <w:rStyle w:val="23"/>
          <w:rFonts w:eastAsia="黑体"/>
          <w:b w:val="0"/>
          <w:spacing w:val="-4"/>
          <w:sz w:val="32"/>
          <w:szCs w:val="32"/>
          <w:highlight w:val="none"/>
        </w:rPr>
      </w:pPr>
    </w:p>
    <w:p w14:paraId="594998F6">
      <w:pPr>
        <w:spacing w:line="540" w:lineRule="exact"/>
        <w:rPr>
          <w:rStyle w:val="23"/>
          <w:rFonts w:eastAsia="黑体"/>
          <w:b w:val="0"/>
          <w:spacing w:val="-4"/>
          <w:sz w:val="32"/>
          <w:szCs w:val="32"/>
          <w:highlight w:val="none"/>
        </w:rPr>
      </w:pPr>
    </w:p>
    <w:p w14:paraId="6CB168FB">
      <w:pPr>
        <w:spacing w:line="600" w:lineRule="exact"/>
        <w:jc w:val="center"/>
        <w:rPr>
          <w:rFonts w:eastAsia="黑体"/>
          <w:bCs/>
          <w:sz w:val="32"/>
          <w:szCs w:val="32"/>
          <w:highlight w:val="none"/>
        </w:rPr>
      </w:pPr>
    </w:p>
    <w:p w14:paraId="219ACA8D">
      <w:pPr>
        <w:spacing w:line="600" w:lineRule="exact"/>
        <w:rPr>
          <w:rFonts w:eastAsia="黑体"/>
          <w:bCs/>
          <w:sz w:val="32"/>
          <w:szCs w:val="32"/>
          <w:highlight w:val="none"/>
        </w:rPr>
      </w:pPr>
    </w:p>
    <w:p w14:paraId="1B63A732">
      <w:pPr>
        <w:spacing w:line="600" w:lineRule="exact"/>
        <w:rPr>
          <w:rFonts w:eastAsia="黑体"/>
          <w:bCs/>
          <w:sz w:val="32"/>
          <w:szCs w:val="32"/>
          <w:highlight w:val="none"/>
        </w:rPr>
      </w:pPr>
    </w:p>
    <w:p w14:paraId="6AB36CB9">
      <w:pPr>
        <w:spacing w:line="600" w:lineRule="exact"/>
        <w:rPr>
          <w:rFonts w:eastAsia="黑体"/>
          <w:bCs/>
          <w:sz w:val="32"/>
          <w:szCs w:val="32"/>
          <w:highlight w:val="none"/>
        </w:rPr>
      </w:pPr>
      <w:bookmarkStart w:id="6" w:name="_GoBack"/>
      <w:bookmarkEnd w:id="6"/>
      <w:r>
        <w:rPr>
          <w:rFonts w:eastAsia="黑体"/>
          <w:bCs/>
          <w:sz w:val="32"/>
          <w:szCs w:val="32"/>
          <w:highlight w:val="none"/>
        </w:rPr>
        <w:t>一、基本情况</w:t>
      </w:r>
    </w:p>
    <w:p w14:paraId="64AEC5C7">
      <w:pPr>
        <w:spacing w:line="600" w:lineRule="exact"/>
        <w:ind w:firstLine="641"/>
        <w:rPr>
          <w:rFonts w:eastAsia="楷体_GB2312"/>
          <w:b/>
          <w:bCs/>
          <w:sz w:val="32"/>
          <w:szCs w:val="32"/>
          <w:highlight w:val="none"/>
        </w:rPr>
      </w:pPr>
      <w:r>
        <w:rPr>
          <w:rFonts w:eastAsia="楷体_GB2312"/>
          <w:b/>
          <w:bCs/>
          <w:sz w:val="32"/>
          <w:szCs w:val="32"/>
          <w:highlight w:val="none"/>
        </w:rPr>
        <w:t>（一）项目概况</w:t>
      </w:r>
    </w:p>
    <w:p w14:paraId="77DEA573">
      <w:pPr>
        <w:spacing w:line="600" w:lineRule="exact"/>
        <w:ind w:firstLine="641"/>
        <w:rPr>
          <w:rFonts w:eastAsia="仿宋_GB2312"/>
          <w:b/>
          <w:bCs/>
          <w:sz w:val="32"/>
          <w:szCs w:val="32"/>
          <w:highlight w:val="none"/>
        </w:rPr>
      </w:pPr>
      <w:r>
        <w:rPr>
          <w:rFonts w:eastAsia="仿宋_GB2312"/>
          <w:b/>
          <w:bCs/>
          <w:sz w:val="32"/>
          <w:szCs w:val="32"/>
          <w:highlight w:val="none"/>
        </w:rPr>
        <w:t>1、项目背景</w:t>
      </w:r>
    </w:p>
    <w:p w14:paraId="5B62A169">
      <w:pPr>
        <w:spacing w:line="540" w:lineRule="exact"/>
        <w:ind w:firstLine="640" w:firstLineChars="200"/>
        <w:rPr>
          <w:rStyle w:val="23"/>
          <w:rFonts w:hint="eastAsia" w:eastAsia="仿宋_GB2312"/>
          <w:bCs w:val="0"/>
          <w:spacing w:val="-4"/>
          <w:sz w:val="32"/>
          <w:szCs w:val="32"/>
          <w:highlight w:val="none"/>
          <w:lang w:eastAsia="zh-CN"/>
        </w:rPr>
      </w:pPr>
      <w:r>
        <w:rPr>
          <w:rFonts w:hint="eastAsia" w:eastAsia="仿宋_GB2312"/>
          <w:sz w:val="32"/>
          <w:szCs w:val="32"/>
          <w:highlight w:val="none"/>
        </w:rPr>
        <w:t>根据《中华人民共和国政府采购法》</w:t>
      </w:r>
      <w:r>
        <w:rPr>
          <w:rFonts w:hint="eastAsia" w:eastAsia="仿宋_GB2312"/>
          <w:sz w:val="32"/>
          <w:szCs w:val="32"/>
          <w:highlight w:val="none"/>
          <w:lang w:eastAsia="zh-CN"/>
        </w:rPr>
        <w:t>，为了规范政府采购行为，提高政府采购资金的使用效益，维护国家利益和社会公共利益，保护政府采购当事人的合法权益，促进廉政建设，各级国家机关、事业单位和团体组织，使用纳入预算管理的资金采购依法制定的集中采购目录以内或者采购限额标准以上的货物、工程和服务均实行政府采购，政府采购应当严格按照批准的预算执行。</w:t>
      </w:r>
    </w:p>
    <w:p w14:paraId="3597A04F">
      <w:pPr>
        <w:pStyle w:val="2"/>
        <w:numPr>
          <w:ilvl w:val="0"/>
          <w:numId w:val="1"/>
        </w:numPr>
        <w:spacing w:before="0" w:after="0" w:line="60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02C261D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eastAsia="仿宋_GB2312"/>
          <w:sz w:val="32"/>
          <w:szCs w:val="32"/>
          <w:highlight w:val="none"/>
        </w:rPr>
      </w:pPr>
      <w:r>
        <w:rPr>
          <w:rFonts w:hint="eastAsia" w:ascii="Times New Roman" w:hAnsi="Times New Roman" w:eastAsia="仿宋_GB2312" w:cs="Times New Roman"/>
          <w:sz w:val="32"/>
          <w:szCs w:val="32"/>
          <w:highlight w:val="none"/>
          <w:lang w:val="en-US" w:eastAsia="zh-CN"/>
        </w:rPr>
        <w:t>项目主要内容：</w:t>
      </w:r>
      <w:r>
        <w:rPr>
          <w:rFonts w:hint="eastAsia" w:ascii="Times New Roman" w:hAnsi="Times New Roman" w:eastAsia="仿宋_GB2312" w:cs="Times New Roman"/>
          <w:sz w:val="32"/>
          <w:szCs w:val="32"/>
          <w:highlight w:val="none"/>
        </w:rPr>
        <w:t>更</w:t>
      </w:r>
      <w:r>
        <w:rPr>
          <w:rFonts w:hint="eastAsia" w:eastAsia="仿宋_GB2312"/>
          <w:sz w:val="32"/>
          <w:szCs w:val="32"/>
          <w:highlight w:val="none"/>
        </w:rPr>
        <w:t>新医疗设备，用于学科发展需要</w:t>
      </w:r>
      <w:r>
        <w:rPr>
          <w:rFonts w:hint="eastAsia" w:eastAsia="仿宋_GB2312"/>
          <w:sz w:val="32"/>
          <w:szCs w:val="32"/>
          <w:highlight w:val="none"/>
          <w:lang w:eastAsia="zh-CN"/>
        </w:rPr>
        <w:t>；</w:t>
      </w:r>
      <w:r>
        <w:rPr>
          <w:rFonts w:hint="eastAsia" w:eastAsia="仿宋_GB2312"/>
          <w:sz w:val="32"/>
          <w:szCs w:val="32"/>
          <w:highlight w:val="none"/>
        </w:rPr>
        <w:t>开展新技术新项目，不断提高医疗技术水平，满足人民群众健康需要</w:t>
      </w:r>
      <w:r>
        <w:rPr>
          <w:rFonts w:hint="eastAsia" w:eastAsia="仿宋_GB2312"/>
          <w:sz w:val="32"/>
          <w:szCs w:val="32"/>
          <w:highlight w:val="none"/>
          <w:lang w:eastAsia="zh-CN"/>
        </w:rPr>
        <w:t>；</w:t>
      </w:r>
      <w:r>
        <w:rPr>
          <w:rFonts w:hint="eastAsia" w:eastAsia="仿宋_GB2312"/>
          <w:sz w:val="32"/>
          <w:szCs w:val="32"/>
          <w:highlight w:val="none"/>
        </w:rPr>
        <w:t>加强信息化建设</w:t>
      </w:r>
      <w:r>
        <w:rPr>
          <w:rFonts w:hint="eastAsia" w:eastAsia="仿宋_GB2312"/>
          <w:sz w:val="32"/>
          <w:szCs w:val="32"/>
          <w:highlight w:val="none"/>
          <w:lang w:eastAsia="zh-CN"/>
        </w:rPr>
        <w:t>，</w:t>
      </w:r>
      <w:r>
        <w:rPr>
          <w:rFonts w:hint="eastAsia" w:eastAsia="仿宋_GB2312"/>
          <w:sz w:val="32"/>
          <w:szCs w:val="32"/>
          <w:highlight w:val="none"/>
        </w:rPr>
        <w:t>提升医院内涵建设及服务水平。</w:t>
      </w:r>
    </w:p>
    <w:p w14:paraId="4054B923">
      <w:pPr>
        <w:spacing w:line="600" w:lineRule="exact"/>
        <w:ind w:firstLine="640" w:firstLineChars="200"/>
        <w:rPr>
          <w:highlight w:val="none"/>
        </w:rPr>
      </w:pPr>
      <w:r>
        <w:rPr>
          <w:rFonts w:eastAsia="仿宋_GB2312"/>
          <w:sz w:val="32"/>
          <w:szCs w:val="32"/>
          <w:highlight w:val="none"/>
        </w:rPr>
        <w:t>项目实施情况：</w:t>
      </w:r>
      <w:r>
        <w:rPr>
          <w:rFonts w:hint="eastAsia" w:eastAsia="仿宋_GB2312"/>
          <w:sz w:val="32"/>
          <w:szCs w:val="32"/>
          <w:highlight w:val="none"/>
          <w:lang w:eastAsia="zh-CN"/>
        </w:rPr>
        <w:t>医院政府采购</w:t>
      </w:r>
      <w:r>
        <w:rPr>
          <w:rFonts w:eastAsia="仿宋_GB2312"/>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p>
    <w:p w14:paraId="581903DF">
      <w:pPr>
        <w:spacing w:line="60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6CD9015D">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1BF9D66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该项目年初预算数45003.08万元，全年预算数43933.41万元，实际总投入43933.41万元，该项目资金已全部落实到位，资金来源为财政资金。</w:t>
      </w:r>
    </w:p>
    <w:p w14:paraId="423B005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4030FC97">
      <w:pPr>
        <w:pStyle w:val="2"/>
        <w:spacing w:before="0" w:after="0" w:line="60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b w:val="0"/>
          <w:bCs w:val="0"/>
          <w:kern w:val="2"/>
          <w:highlight w:val="none"/>
          <w:lang w:val="en-US" w:eastAsia="zh-CN"/>
        </w:rPr>
        <w:t>该项目年初预算数45003.08万元，全年预算数43933.41万元，全年执行数43933.41万元，预算执行率为100%，主要用于：</w:t>
      </w:r>
      <w:r>
        <w:rPr>
          <w:rFonts w:ascii="Times New Roman" w:hAnsi="Times New Roman" w:eastAsia="仿宋_GB2312"/>
          <w:b w:val="0"/>
          <w:bCs w:val="0"/>
          <w:kern w:val="2"/>
          <w:highlight w:val="none"/>
        </w:rPr>
        <w:t>支付项目实施进程中的各项费用。</w:t>
      </w:r>
    </w:p>
    <w:p w14:paraId="672C83F2">
      <w:pPr>
        <w:spacing w:line="60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69893742">
      <w:pPr>
        <w:spacing w:line="600" w:lineRule="exact"/>
        <w:ind w:firstLine="640" w:firstLineChars="200"/>
        <w:rPr>
          <w:rFonts w:eastAsia="仿宋_GB2312"/>
          <w:sz w:val="32"/>
          <w:szCs w:val="32"/>
          <w:highlight w:val="none"/>
        </w:rPr>
      </w:pPr>
      <w:r>
        <w:rPr>
          <w:rFonts w:eastAsia="仿宋_GB2312"/>
          <w:sz w:val="32"/>
          <w:szCs w:val="32"/>
          <w:highlight w:val="none"/>
        </w:rPr>
        <w:t>1、总体目标</w:t>
      </w:r>
    </w:p>
    <w:p w14:paraId="53529208">
      <w:pPr>
        <w:spacing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687D61C3">
      <w:pPr>
        <w:spacing w:line="600" w:lineRule="exact"/>
        <w:ind w:firstLine="640" w:firstLineChars="200"/>
        <w:rPr>
          <w:highlight w:val="none"/>
        </w:rPr>
      </w:pPr>
      <w:r>
        <w:rPr>
          <w:rFonts w:eastAsia="仿宋_GB2312"/>
          <w:sz w:val="32"/>
          <w:szCs w:val="32"/>
          <w:highlight w:val="none"/>
        </w:rPr>
        <w:t>2、阶段性目标</w:t>
      </w:r>
    </w:p>
    <w:p w14:paraId="340E370C">
      <w:pPr>
        <w:spacing w:line="600" w:lineRule="exact"/>
        <w:ind w:firstLine="640" w:firstLineChars="200"/>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14:paraId="0F907BE6">
      <w:pPr>
        <w:spacing w:line="600" w:lineRule="exact"/>
        <w:ind w:firstLine="640" w:firstLineChars="200"/>
        <w:rPr>
          <w:rFonts w:eastAsia="仿宋_GB2312"/>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（2）组织实施：资金一到位，立即根据项目要求实施项目。项目责任人按照项目实施方案要求逐一进行项目部署安排，提高项目质量及</w:t>
      </w:r>
      <w:r>
        <w:rPr>
          <w:rFonts w:hint="eastAsia" w:eastAsia="仿宋_GB2312"/>
          <w:sz w:val="32"/>
          <w:szCs w:val="32"/>
          <w:highlight w:val="none"/>
          <w:lang w:eastAsia="zh-CN"/>
        </w:rPr>
        <w:t>效率</w:t>
      </w:r>
      <w:r>
        <w:rPr>
          <w:rFonts w:eastAsia="仿宋_GB2312"/>
          <w:sz w:val="32"/>
          <w:szCs w:val="32"/>
          <w:highlight w:val="none"/>
        </w:rPr>
        <w:t>。</w:t>
      </w:r>
    </w:p>
    <w:p w14:paraId="49F79E88">
      <w:pPr>
        <w:spacing w:line="600" w:lineRule="exact"/>
        <w:ind w:firstLine="640" w:firstLineChars="200"/>
        <w:rPr>
          <w:rFonts w:eastAsia="黑体"/>
          <w:sz w:val="32"/>
          <w:szCs w:val="32"/>
          <w:highlight w:val="none"/>
        </w:rPr>
      </w:pPr>
      <w:r>
        <w:rPr>
          <w:rFonts w:eastAsia="黑体"/>
          <w:sz w:val="32"/>
          <w:szCs w:val="32"/>
          <w:highlight w:val="none"/>
        </w:rPr>
        <w:t>二、绩效评价工作开展情况</w:t>
      </w:r>
    </w:p>
    <w:p w14:paraId="19BD1E9B">
      <w:pPr>
        <w:spacing w:line="60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3A39581F">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5F7D4C25">
      <w:pPr>
        <w:pStyle w:val="2"/>
        <w:widowControl w:val="0"/>
        <w:spacing w:before="0" w:after="0" w:line="600" w:lineRule="exact"/>
        <w:ind w:firstLine="640" w:firstLineChars="200"/>
        <w:jc w:val="both"/>
        <w:outlineLvl w:val="9"/>
        <w:rPr>
          <w:rFonts w:ascii="Times New Roman" w:hAnsi="Times New Roman" w:eastAsia="仿宋_GB2312" w:cs="Times New Roman"/>
          <w:b w:val="0"/>
          <w:bCs w:val="0"/>
          <w:kern w:val="2"/>
          <w:sz w:val="32"/>
          <w:szCs w:val="32"/>
          <w:highlight w:val="none"/>
          <w:lang w:val="en-US" w:eastAsia="zh-CN" w:bidi="ar-SA"/>
        </w:rPr>
      </w:pPr>
      <w:r>
        <w:rPr>
          <w:rFonts w:ascii="Times New Roman" w:hAnsi="Times New Roman" w:eastAsia="仿宋_GB2312" w:cs="Times New Roman"/>
          <w:b w:val="0"/>
          <w:bCs w:val="0"/>
          <w:kern w:val="2"/>
          <w:sz w:val="32"/>
          <w:szCs w:val="32"/>
          <w:highlight w:val="none"/>
          <w:lang w:val="en-US" w:eastAsia="zh-CN" w:bidi="ar-SA"/>
        </w:rPr>
        <w:t>通过开展有效的财政支出绩效评价管理，</w:t>
      </w:r>
      <w:r>
        <w:rPr>
          <w:rFonts w:hint="eastAsia" w:ascii="Times New Roman" w:hAnsi="Times New Roman" w:eastAsia="仿宋_GB2312" w:cs="Times New Roman"/>
          <w:b w:val="0"/>
          <w:bCs w:val="0"/>
          <w:kern w:val="2"/>
          <w:sz w:val="32"/>
          <w:szCs w:val="32"/>
          <w:highlight w:val="none"/>
          <w:lang w:val="en-US" w:eastAsia="zh-CN" w:bidi="ar-SA"/>
        </w:rPr>
        <w:t>全面了解该项目预算编制合理性、资金使用合规性、项目管理的规范性、项目目标的实现情况、服务对象的满意度等，通过本次</w:t>
      </w:r>
      <w:r>
        <w:rPr>
          <w:rFonts w:hint="eastAsia" w:ascii="Times New Roman" w:hAnsi="Times New Roman" w:eastAsia="仿宋_GB2312" w:cs="Times New Roman"/>
          <w:b w:val="0"/>
          <w:bCs w:val="0"/>
          <w:kern w:val="2"/>
          <w:sz w:val="32"/>
          <w:szCs w:val="32"/>
          <w:highlight w:val="none"/>
          <w:lang w:val="en-US" w:eastAsia="zh-Hans" w:bidi="ar-SA"/>
        </w:rPr>
        <w:t>项目</w:t>
      </w:r>
      <w:r>
        <w:rPr>
          <w:rFonts w:hint="eastAsia" w:ascii="Times New Roman" w:hAnsi="Times New Roman" w:eastAsia="仿宋_GB2312" w:cs="Times New Roman"/>
          <w:b w:val="0"/>
          <w:bCs w:val="0"/>
          <w:kern w:val="2"/>
          <w:sz w:val="32"/>
          <w:szCs w:val="32"/>
          <w:highlight w:val="none"/>
          <w:lang w:val="en-US" w:eastAsia="zh-CN" w:bidi="ar-SA"/>
        </w:rPr>
        <w:t>绩效评价来总结经验和教训，促进项目成果转化和应用，为今后类似项目的长效管理，提供可行性参考建议。也为下一年预算编制与评审提供充分有效的依据，以</w:t>
      </w:r>
      <w:r>
        <w:rPr>
          <w:rFonts w:hint="eastAsia" w:ascii="Times New Roman" w:hAnsi="Times New Roman" w:eastAsia="仿宋_GB2312" w:cs="Times New Roman"/>
          <w:b w:val="0"/>
          <w:bCs w:val="0"/>
          <w:kern w:val="2"/>
          <w:sz w:val="32"/>
          <w:szCs w:val="32"/>
          <w:highlight w:val="none"/>
          <w:lang w:val="en-US" w:eastAsia="zh-Hans" w:bidi="ar-SA"/>
        </w:rPr>
        <w:t>达到</w:t>
      </w:r>
      <w:r>
        <w:rPr>
          <w:rFonts w:ascii="Times New Roman" w:hAnsi="Times New Roman" w:eastAsia="仿宋_GB2312" w:cs="Times New Roman"/>
          <w:b w:val="0"/>
          <w:bCs w:val="0"/>
          <w:kern w:val="2"/>
          <w:sz w:val="32"/>
          <w:szCs w:val="32"/>
          <w:highlight w:val="none"/>
          <w:lang w:val="en-US" w:eastAsia="zh-CN" w:bidi="ar-SA"/>
        </w:rPr>
        <w:t>改进预算管理、控制节约成本，</w:t>
      </w:r>
      <w:r>
        <w:rPr>
          <w:rFonts w:hint="eastAsia" w:ascii="Times New Roman" w:hAnsi="Times New Roman" w:eastAsia="仿宋_GB2312" w:cs="Times New Roman"/>
          <w:b w:val="0"/>
          <w:bCs w:val="0"/>
          <w:kern w:val="2"/>
          <w:sz w:val="32"/>
          <w:szCs w:val="32"/>
          <w:highlight w:val="none"/>
          <w:lang w:val="en-US" w:eastAsia="zh-CN" w:bidi="ar-SA"/>
        </w:rPr>
        <w:t>优化资源配置</w:t>
      </w:r>
      <w:r>
        <w:rPr>
          <w:rFonts w:hint="eastAsia" w:ascii="Times New Roman" w:hAnsi="Times New Roman" w:eastAsia="仿宋_GB2312" w:cs="Times New Roman"/>
          <w:b w:val="0"/>
          <w:bCs w:val="0"/>
          <w:kern w:val="2"/>
          <w:sz w:val="32"/>
          <w:szCs w:val="32"/>
          <w:highlight w:val="none"/>
          <w:lang w:val="en-US" w:eastAsia="zh-Hans" w:bidi="ar-SA"/>
        </w:rPr>
        <w:t>、</w:t>
      </w:r>
      <w:r>
        <w:rPr>
          <w:rFonts w:ascii="Times New Roman" w:hAnsi="Times New Roman" w:eastAsia="仿宋_GB2312" w:cs="Times New Roman"/>
          <w:b w:val="0"/>
          <w:bCs w:val="0"/>
          <w:kern w:val="2"/>
          <w:sz w:val="32"/>
          <w:szCs w:val="32"/>
          <w:highlight w:val="none"/>
          <w:lang w:val="en-US" w:eastAsia="zh-CN" w:bidi="ar-SA"/>
        </w:rPr>
        <w:t>提高预算资金使用效益的目的。</w:t>
      </w:r>
    </w:p>
    <w:p w14:paraId="2DD91CC3">
      <w:pPr>
        <w:pStyle w:val="2"/>
        <w:widowControl w:val="0"/>
        <w:spacing w:before="0" w:after="0" w:line="600" w:lineRule="exact"/>
        <w:ind w:firstLine="640" w:firstLineChars="200"/>
        <w:jc w:val="both"/>
        <w:outlineLvl w:val="9"/>
        <w:rPr>
          <w:rFonts w:ascii="Times New Roman" w:hAnsi="Times New Roman" w:eastAsia="仿宋_GB2312" w:cs="Times New Roman"/>
          <w:b w:val="0"/>
          <w:bCs w:val="0"/>
          <w:kern w:val="2"/>
          <w:sz w:val="32"/>
          <w:szCs w:val="32"/>
          <w:highlight w:val="none"/>
          <w:lang w:val="en-US" w:eastAsia="zh-CN" w:bidi="ar-SA"/>
        </w:rPr>
      </w:pPr>
      <w:r>
        <w:rPr>
          <w:rFonts w:ascii="Times New Roman" w:hAnsi="Times New Roman" w:eastAsia="仿宋_GB2312" w:cs="Times New Roman"/>
          <w:b w:val="0"/>
          <w:bCs w:val="0"/>
          <w:kern w:val="2"/>
          <w:sz w:val="32"/>
          <w:szCs w:val="32"/>
          <w:highlight w:val="none"/>
          <w:lang w:val="en-US" w:eastAsia="zh-CN" w:bidi="ar-SA"/>
        </w:rPr>
        <w:t>2、绩效评价的对象</w:t>
      </w:r>
    </w:p>
    <w:p w14:paraId="3E255AAA">
      <w:pPr>
        <w:spacing w:line="576"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医院政府采购支出项目所包含的全部项目内容。</w:t>
      </w:r>
    </w:p>
    <w:p w14:paraId="79529DEA">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22ECF4E0">
      <w:pPr>
        <w:spacing w:line="576"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医院政府采购支出项目的决策、过程、产出、效益等。</w:t>
      </w:r>
    </w:p>
    <w:p w14:paraId="3C79FA0A">
      <w:pPr>
        <w:spacing w:line="600" w:lineRule="exact"/>
        <w:ind w:firstLine="643" w:firstLineChars="200"/>
        <w:rPr>
          <w:highlight w:val="none"/>
        </w:rPr>
      </w:pPr>
      <w:r>
        <w:rPr>
          <w:rFonts w:eastAsia="楷体_GB2312"/>
          <w:b/>
          <w:bCs/>
          <w:sz w:val="32"/>
          <w:szCs w:val="32"/>
          <w:highlight w:val="none"/>
        </w:rPr>
        <w:t>（二）绩效评价原则、评价指标体系（详情见表1）、评价方法、评价标准。</w:t>
      </w:r>
    </w:p>
    <w:p w14:paraId="17E4D43E">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38220228">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74044B6F">
      <w:pPr>
        <w:pStyle w:val="2"/>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w:t>
      </w:r>
      <w:r>
        <w:rPr>
          <w:rFonts w:hint="eastAsia" w:ascii="Times New Roman" w:hAnsi="Times New Roman" w:eastAsia="仿宋_GB2312"/>
          <w:b w:val="0"/>
          <w:bCs w:val="0"/>
          <w:highlight w:val="none"/>
          <w:lang w:eastAsia="zh-CN"/>
        </w:rPr>
        <w:t>的</w:t>
      </w:r>
      <w:r>
        <w:rPr>
          <w:rFonts w:ascii="Times New Roman" w:hAnsi="Times New Roman" w:eastAsia="仿宋_GB2312"/>
          <w:b w:val="0"/>
          <w:bCs w:val="0"/>
          <w:highlight w:val="none"/>
        </w:rPr>
        <w:t>反映。</w:t>
      </w:r>
    </w:p>
    <w:p w14:paraId="371BF630">
      <w:pPr>
        <w:pStyle w:val="2"/>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33051883">
      <w:pPr>
        <w:pStyle w:val="2"/>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67FB850F">
      <w:pPr>
        <w:pStyle w:val="2"/>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6668EDA0">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7C2A3321">
      <w:pPr>
        <w:spacing w:line="60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269DEADF">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7265651D">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21B1F335">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75C67666">
      <w:pPr>
        <w:pStyle w:val="12"/>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w:t>
      </w:r>
      <w:r>
        <w:rPr>
          <w:rFonts w:hint="default" w:eastAsia="仿宋_GB2312"/>
          <w:color w:val="000000"/>
          <w:spacing w:val="17"/>
          <w:sz w:val="32"/>
          <w:szCs w:val="32"/>
          <w:highlight w:val="none"/>
        </w:rPr>
        <w:t>20</w:t>
      </w:r>
      <w:r>
        <w:rPr>
          <w:rFonts w:eastAsia="仿宋_GB2312"/>
          <w:color w:val="000000"/>
          <w:spacing w:val="17"/>
          <w:sz w:val="32"/>
          <w:szCs w:val="32"/>
          <w:highlight w:val="none"/>
        </w:rPr>
        <w:t>分，项目过程权重为</w:t>
      </w:r>
      <w:r>
        <w:rPr>
          <w:rFonts w:hint="default" w:eastAsia="仿宋_GB2312"/>
          <w:color w:val="000000"/>
          <w:spacing w:val="17"/>
          <w:sz w:val="32"/>
          <w:szCs w:val="32"/>
          <w:highlight w:val="none"/>
        </w:rPr>
        <w:t>20</w:t>
      </w:r>
      <w:r>
        <w:rPr>
          <w:rFonts w:eastAsia="仿宋_GB2312"/>
          <w:color w:val="000000"/>
          <w:spacing w:val="17"/>
          <w:sz w:val="32"/>
          <w:szCs w:val="32"/>
          <w:highlight w:val="none"/>
        </w:rPr>
        <w:t>分，项目产出权重为</w:t>
      </w:r>
      <w:r>
        <w:rPr>
          <w:rFonts w:hint="default" w:eastAsia="仿宋_GB2312"/>
          <w:color w:val="000000"/>
          <w:spacing w:val="17"/>
          <w:sz w:val="32"/>
          <w:szCs w:val="32"/>
          <w:highlight w:val="none"/>
        </w:rPr>
        <w:t>40</w:t>
      </w:r>
      <w:r>
        <w:rPr>
          <w:rFonts w:eastAsia="仿宋_GB2312"/>
          <w:color w:val="000000"/>
          <w:spacing w:val="17"/>
          <w:sz w:val="32"/>
          <w:szCs w:val="32"/>
          <w:highlight w:val="none"/>
        </w:rPr>
        <w:t>分，项目效益权重为</w:t>
      </w:r>
      <w:r>
        <w:rPr>
          <w:rFonts w:hint="default" w:eastAsia="仿宋_GB2312"/>
          <w:color w:val="000000"/>
          <w:spacing w:val="17"/>
          <w:sz w:val="32"/>
          <w:szCs w:val="32"/>
          <w:highlight w:val="none"/>
        </w:rPr>
        <w:t>20</w:t>
      </w:r>
      <w:r>
        <w:rPr>
          <w:rFonts w:eastAsia="仿宋_GB2312"/>
          <w:color w:val="000000"/>
          <w:spacing w:val="17"/>
          <w:sz w:val="32"/>
          <w:szCs w:val="32"/>
          <w:highlight w:val="none"/>
        </w:rPr>
        <w:t>分。</w:t>
      </w:r>
    </w:p>
    <w:p w14:paraId="6ED43D2C">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1037783A">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6D6654CE">
      <w:pPr>
        <w:pStyle w:val="2"/>
        <w:spacing w:before="0" w:after="0" w:line="60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100分（含90分）对应的评分结果级别为优，80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90分（含80分）对应的评分结果级别为良，60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80分（含60分）对应的评分结果级别为中，60分以下对应的评分结果级别为差。</w:t>
      </w:r>
    </w:p>
    <w:p w14:paraId="78AB8954">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48048366">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1457F39B">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627DCAAB">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0C1E7F32">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61CBF9E6">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5CABD360">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313789D9">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1F6CBCD5">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727B59D0">
      <w:pPr>
        <w:spacing w:line="600" w:lineRule="exact"/>
        <w:ind w:firstLine="708" w:firstLineChars="200"/>
        <w:rPr>
          <w:rFonts w:eastAsia="仿宋_GB2312"/>
          <w:color w:val="000000"/>
          <w:spacing w:val="17"/>
          <w:sz w:val="32"/>
          <w:szCs w:val="32"/>
          <w:highlight w:val="none"/>
        </w:rPr>
      </w:pPr>
      <w:r>
        <w:rPr>
          <w:rFonts w:hint="eastAsia" w:eastAsia="仿宋_GB2312"/>
          <w:color w:val="000000"/>
          <w:spacing w:val="17"/>
          <w:sz w:val="32"/>
          <w:szCs w:val="32"/>
          <w:highlight w:val="none"/>
        </w:rPr>
        <w:t>绩效评价标准通常包括计划标准、行业标准、历史标准等，用于对绩效指标完成情况进行比较</w:t>
      </w:r>
      <w:r>
        <w:rPr>
          <w:rFonts w:hint="eastAsia" w:eastAsia="仿宋_GB2312"/>
          <w:color w:val="000000"/>
          <w:spacing w:val="17"/>
          <w:sz w:val="32"/>
          <w:szCs w:val="32"/>
          <w:highlight w:val="none"/>
          <w:lang w:eastAsia="zh-CN"/>
        </w:rPr>
        <w:t>、分析、评价</w:t>
      </w:r>
      <w:r>
        <w:rPr>
          <w:rFonts w:hint="eastAsia" w:eastAsia="仿宋_GB2312"/>
          <w:color w:val="000000"/>
          <w:spacing w:val="17"/>
          <w:sz w:val="32"/>
          <w:szCs w:val="32"/>
          <w:highlight w:val="none"/>
        </w:rPr>
        <w:t>。</w:t>
      </w:r>
      <w:r>
        <w:rPr>
          <w:rFonts w:eastAsia="仿宋_GB2312"/>
          <w:color w:val="000000"/>
          <w:spacing w:val="17"/>
          <w:sz w:val="32"/>
          <w:szCs w:val="32"/>
          <w:highlight w:val="none"/>
        </w:rPr>
        <w:t>本次评价主要采用了计划标准和行业标准。</w:t>
      </w:r>
      <w:bookmarkStart w:id="0" w:name="_Toc31464"/>
      <w:bookmarkStart w:id="1" w:name="_Toc17882"/>
    </w:p>
    <w:p w14:paraId="259159BD">
      <w:pPr>
        <w:spacing w:line="600" w:lineRule="exact"/>
        <w:ind w:firstLine="708" w:firstLineChars="200"/>
        <w:rPr>
          <w:rFonts w:hint="eastAsia" w:eastAsia="仿宋_GB2312"/>
          <w:color w:val="000000"/>
          <w:spacing w:val="17"/>
          <w:sz w:val="32"/>
          <w:szCs w:val="32"/>
          <w:highlight w:val="none"/>
          <w:lang w:val="en-US" w:eastAsia="zh-CN"/>
        </w:rPr>
      </w:pPr>
      <w:r>
        <w:rPr>
          <w:rFonts w:hint="eastAsia" w:eastAsia="仿宋_GB2312"/>
          <w:color w:val="000000"/>
          <w:spacing w:val="17"/>
          <w:sz w:val="32"/>
          <w:szCs w:val="32"/>
          <w:highlight w:val="none"/>
          <w:lang w:val="en-US" w:eastAsia="zh-CN"/>
        </w:rPr>
        <w:t>计划标准：指以预先制定的目标、计划、预算、定额等作为评价标准。</w:t>
      </w:r>
      <w:bookmarkEnd w:id="0"/>
      <w:bookmarkEnd w:id="1"/>
    </w:p>
    <w:p w14:paraId="63F16573">
      <w:pPr>
        <w:spacing w:line="600" w:lineRule="exact"/>
        <w:ind w:firstLine="708" w:firstLineChars="200"/>
        <w:rPr>
          <w:rFonts w:hint="eastAsia" w:eastAsia="仿宋_GB2312"/>
          <w:color w:val="000000"/>
          <w:spacing w:val="17"/>
          <w:sz w:val="32"/>
          <w:szCs w:val="32"/>
          <w:highlight w:val="none"/>
          <w:lang w:val="en-US" w:eastAsia="zh-CN"/>
        </w:rPr>
      </w:pPr>
      <w:bookmarkStart w:id="2" w:name="_Toc2318"/>
      <w:bookmarkStart w:id="3" w:name="_Toc5633"/>
      <w:r>
        <w:rPr>
          <w:rFonts w:hint="eastAsia" w:eastAsia="仿宋_GB2312"/>
          <w:color w:val="000000"/>
          <w:spacing w:val="17"/>
          <w:sz w:val="32"/>
          <w:szCs w:val="32"/>
          <w:highlight w:val="none"/>
          <w:lang w:val="en-US" w:eastAsia="zh-CN"/>
        </w:rPr>
        <w:t>行业标准：指参照国家公布的行业指标数据制定的评价标准。</w:t>
      </w:r>
      <w:bookmarkEnd w:id="2"/>
      <w:bookmarkEnd w:id="3"/>
    </w:p>
    <w:p w14:paraId="2E4862C7">
      <w:pPr>
        <w:pStyle w:val="2"/>
        <w:numPr>
          <w:ilvl w:val="0"/>
          <w:numId w:val="2"/>
        </w:numPr>
        <w:spacing w:before="0" w:after="0" w:line="60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227A685C">
      <w:pPr>
        <w:numPr>
          <w:ilvl w:val="0"/>
          <w:numId w:val="3"/>
        </w:numPr>
        <w:spacing w:line="60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3A00F0F2">
      <w:pPr>
        <w:numPr>
          <w:ilvl w:val="0"/>
          <w:numId w:val="3"/>
        </w:numPr>
        <w:spacing w:line="60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4F0668E7">
      <w:pPr>
        <w:numPr>
          <w:ilvl w:val="0"/>
          <w:numId w:val="3"/>
        </w:numPr>
        <w:spacing w:line="600" w:lineRule="exact"/>
        <w:ind w:firstLine="640" w:firstLineChars="200"/>
        <w:rPr>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3CD6B0F6">
      <w:pPr>
        <w:numPr>
          <w:ilvl w:val="0"/>
          <w:numId w:val="4"/>
        </w:numPr>
        <w:spacing w:line="60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01F4904A">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highlight w:val="none"/>
          <w:lang w:val="en-US" w:eastAsia="zh-CN"/>
        </w:rPr>
      </w:pP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一</w:t>
      </w: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评价情况</w:t>
      </w:r>
    </w:p>
    <w:p w14:paraId="41D4B6A5">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项目总体组织规范，在项目实施过</w:t>
      </w:r>
      <w:r>
        <w:rPr>
          <w:rFonts w:hint="eastAsia" w:eastAsia="仿宋_GB2312" w:cs="Times New Roman"/>
          <w:b w:val="0"/>
          <w:bCs w:val="0"/>
          <w:kern w:val="28"/>
          <w:sz w:val="32"/>
          <w:szCs w:val="32"/>
          <w:highlight w:val="none"/>
          <w:lang w:val="en-US" w:eastAsia="zh-CN" w:bidi="ar-SA"/>
        </w:rPr>
        <w:t>程中</w:t>
      </w:r>
      <w:r>
        <w:rPr>
          <w:rFonts w:hint="eastAsia" w:ascii="Times New Roman" w:hAnsi="Times New Roman" w:eastAsia="仿宋_GB2312" w:cs="Times New Roman"/>
          <w:b w:val="0"/>
          <w:bCs w:val="0"/>
          <w:kern w:val="28"/>
          <w:sz w:val="32"/>
          <w:szCs w:val="32"/>
          <w:highlight w:val="none"/>
          <w:lang w:val="en-US" w:eastAsia="zh-CN" w:bidi="ar-SA"/>
        </w:rPr>
        <w:t>做到认真履职，监督到位。按照相关制度的要求，项目负责人对项目绩效监控执行情况进行跟踪监督，有效完成了本项目的工作目标，确保资金使用安全和最大效益</w:t>
      </w:r>
      <w:r>
        <w:rPr>
          <w:rFonts w:hint="eastAsia" w:eastAsia="仿宋_GB2312" w:cs="Times New Roman"/>
          <w:b w:val="0"/>
          <w:bCs w:val="0"/>
          <w:kern w:val="28"/>
          <w:sz w:val="32"/>
          <w:szCs w:val="32"/>
          <w:highlight w:val="none"/>
          <w:lang w:val="en-US" w:eastAsia="zh-CN" w:bidi="ar-SA"/>
        </w:rPr>
        <w:t>地</w:t>
      </w:r>
      <w:r>
        <w:rPr>
          <w:rFonts w:hint="eastAsia" w:ascii="Times New Roman" w:hAnsi="Times New Roman" w:eastAsia="仿宋_GB2312" w:cs="Times New Roman"/>
          <w:b w:val="0"/>
          <w:bCs w:val="0"/>
          <w:kern w:val="28"/>
          <w:sz w:val="32"/>
          <w:szCs w:val="32"/>
          <w:highlight w:val="none"/>
          <w:lang w:val="en-US" w:eastAsia="zh-CN" w:bidi="ar-SA"/>
        </w:rPr>
        <w:t>发挥，保障项目如期按要求完成。规范了项目档案资料的整理。项目的实施达到项目预期效果。</w:t>
      </w:r>
    </w:p>
    <w:p w14:paraId="10C8FB17">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highlight w:val="none"/>
          <w:lang w:val="en-US" w:eastAsia="zh-CN"/>
        </w:rPr>
      </w:pP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二</w:t>
      </w: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评价结论</w:t>
      </w:r>
    </w:p>
    <w:p w14:paraId="7D5EF934">
      <w:pPr>
        <w:pStyle w:val="2"/>
        <w:widowControl w:val="0"/>
        <w:spacing w:before="0" w:after="0" w:line="560" w:lineRule="exact"/>
        <w:ind w:firstLine="640" w:firstLineChars="200"/>
        <w:jc w:val="both"/>
        <w:outlineLvl w:val="9"/>
        <w:rPr>
          <w:rFonts w:ascii="Times New Roman" w:hAnsi="Times New Roman" w:eastAsia="仿宋_GB2312"/>
          <w:sz w:val="30"/>
          <w:szCs w:val="30"/>
          <w:highlight w:val="none"/>
        </w:rPr>
      </w:pPr>
      <w:r>
        <w:rPr>
          <w:rFonts w:hint="eastAsia" w:ascii="Times New Roman" w:hAnsi="Times New Roman" w:eastAsia="仿宋_GB2312"/>
          <w:b w:val="0"/>
          <w:bCs w:val="0"/>
          <w:highlight w:val="none"/>
        </w:rPr>
        <w:t>运用绩效评价组制定的评价指标体系以及财政部《项目支出绩效评价管理办法》（财预〔2020〕10号）文件的评分标准，通过数据采集、问卷调查及访谈等方式，</w:t>
      </w:r>
      <w:r>
        <w:rPr>
          <w:rFonts w:ascii="Times New Roman" w:hAnsi="Times New Roman" w:eastAsia="仿宋_GB2312"/>
          <w:b w:val="0"/>
          <w:bCs w:val="0"/>
          <w:highlight w:val="none"/>
        </w:rPr>
        <w:t>对</w:t>
      </w:r>
      <w:r>
        <w:rPr>
          <w:rFonts w:hint="eastAsia" w:ascii="Times New Roman" w:hAnsi="Times New Roman" w:eastAsia="仿宋_GB2312"/>
          <w:b w:val="0"/>
          <w:bCs w:val="0"/>
          <w:highlight w:val="none"/>
        </w:rPr>
        <w:t>医院政府采购支出</w:t>
      </w:r>
      <w:r>
        <w:rPr>
          <w:rFonts w:ascii="Times New Roman" w:hAnsi="Times New Roman" w:eastAsia="仿宋_GB2312"/>
          <w:b w:val="0"/>
          <w:bCs w:val="0"/>
          <w:highlight w:val="none"/>
        </w:rPr>
        <w:t>项目进行客观评价，最终评分结果：总得分为</w:t>
      </w:r>
      <w:r>
        <w:rPr>
          <w:rFonts w:hint="eastAsia" w:ascii="Times New Roman" w:hAnsi="Times New Roman" w:eastAsia="仿宋_GB2312"/>
          <w:b w:val="0"/>
          <w:bCs w:val="0"/>
          <w:highlight w:val="none"/>
          <w:lang w:val="en-US" w:eastAsia="zh-CN"/>
        </w:rPr>
        <w:t>98</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19</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95</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19</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95</w:t>
      </w:r>
      <w:r>
        <w:rPr>
          <w:rFonts w:ascii="Times New Roman" w:hAnsi="Times New Roman" w:eastAsia="仿宋_GB2312"/>
          <w:b w:val="0"/>
          <w:bCs w:val="0"/>
          <w:highlight w:val="none"/>
        </w:rPr>
        <w:t>%。</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14:paraId="0B628CDD">
      <w:pPr>
        <w:pStyle w:val="2"/>
        <w:jc w:val="center"/>
        <w:rPr>
          <w:rFonts w:ascii="Times New Roman" w:hAnsi="Times New Roman" w:eastAsia="仿宋_GB2312"/>
          <w:sz w:val="30"/>
          <w:szCs w:val="30"/>
          <w:highlight w:val="none"/>
        </w:rPr>
      </w:pPr>
      <w:r>
        <w:rPr>
          <w:rFonts w:ascii="Times New Roman" w:hAnsi="Times New Roman" w:eastAsia="仿宋_GB2312"/>
          <w:sz w:val="30"/>
          <w:szCs w:val="30"/>
          <w:highlight w:val="none"/>
        </w:rPr>
        <w:t>表1综合评分表</w:t>
      </w:r>
    </w:p>
    <w:tbl>
      <w:tblPr>
        <w:tblStyle w:val="21"/>
        <w:tblpPr w:leftFromText="180" w:rightFromText="180" w:vertAnchor="text" w:horzAnchor="page" w:tblpX="1880" w:tblpY="347"/>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6"/>
        <w:gridCol w:w="602"/>
        <w:gridCol w:w="836"/>
        <w:gridCol w:w="2641"/>
        <w:gridCol w:w="570"/>
        <w:gridCol w:w="824"/>
        <w:gridCol w:w="1005"/>
        <w:gridCol w:w="859"/>
        <w:gridCol w:w="591"/>
      </w:tblGrid>
      <w:tr w14:paraId="6DC57E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blHeader/>
        </w:trPr>
        <w:tc>
          <w:tcPr>
            <w:tcW w:w="0" w:type="auto"/>
            <w:shd w:val="clear" w:color="auto" w:fill="BFBFBF"/>
            <w:vAlign w:val="center"/>
          </w:tcPr>
          <w:p w14:paraId="261FBB79">
            <w:pPr>
              <w:widowControl/>
              <w:spacing w:line="0" w:lineRule="atLeast"/>
              <w:rPr>
                <w:b/>
                <w:bCs/>
                <w:color w:val="000000"/>
                <w:kern w:val="0"/>
                <w:sz w:val="22"/>
                <w:szCs w:val="22"/>
                <w:highlight w:val="none"/>
              </w:rPr>
            </w:pPr>
            <w:r>
              <w:rPr>
                <w:b/>
                <w:bCs/>
                <w:color w:val="000000"/>
                <w:kern w:val="0"/>
                <w:sz w:val="22"/>
                <w:szCs w:val="22"/>
                <w:highlight w:val="none"/>
              </w:rPr>
              <w:t>一级指标</w:t>
            </w:r>
          </w:p>
        </w:tc>
        <w:tc>
          <w:tcPr>
            <w:tcW w:w="0" w:type="auto"/>
            <w:shd w:val="clear" w:color="auto" w:fill="BFBFBF"/>
            <w:vAlign w:val="center"/>
          </w:tcPr>
          <w:p w14:paraId="20BAB909">
            <w:pPr>
              <w:widowControl/>
              <w:spacing w:line="0" w:lineRule="atLeast"/>
              <w:jc w:val="center"/>
              <w:rPr>
                <w:b/>
                <w:bCs/>
                <w:color w:val="000000"/>
                <w:kern w:val="0"/>
                <w:sz w:val="22"/>
                <w:szCs w:val="22"/>
                <w:highlight w:val="none"/>
              </w:rPr>
            </w:pPr>
            <w:r>
              <w:rPr>
                <w:b/>
                <w:bCs/>
                <w:color w:val="000000"/>
                <w:kern w:val="0"/>
                <w:sz w:val="22"/>
                <w:szCs w:val="22"/>
                <w:highlight w:val="none"/>
              </w:rPr>
              <w:t>分值</w:t>
            </w:r>
          </w:p>
        </w:tc>
        <w:tc>
          <w:tcPr>
            <w:tcW w:w="0" w:type="auto"/>
            <w:shd w:val="clear" w:color="auto" w:fill="BFBFBF"/>
            <w:vAlign w:val="center"/>
          </w:tcPr>
          <w:p w14:paraId="7BF0A115">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0" w:type="auto"/>
            <w:shd w:val="clear" w:color="auto" w:fill="BFBFBF"/>
            <w:vAlign w:val="center"/>
          </w:tcPr>
          <w:p w14:paraId="3340D1DB">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0" w:type="auto"/>
            <w:shd w:val="clear" w:color="auto" w:fill="BFBFBF"/>
            <w:vAlign w:val="center"/>
          </w:tcPr>
          <w:p w14:paraId="72EF1D87">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0" w:type="auto"/>
            <w:shd w:val="clear" w:color="auto" w:fill="BFBFBF"/>
            <w:vAlign w:val="center"/>
          </w:tcPr>
          <w:p w14:paraId="4FC5DD52">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目标值</w:t>
            </w:r>
          </w:p>
        </w:tc>
        <w:tc>
          <w:tcPr>
            <w:tcW w:w="0" w:type="auto"/>
            <w:shd w:val="clear" w:color="auto" w:fill="BFBFBF"/>
            <w:vAlign w:val="center"/>
          </w:tcPr>
          <w:p w14:paraId="18D3E62B">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业绩值</w:t>
            </w:r>
          </w:p>
        </w:tc>
        <w:tc>
          <w:tcPr>
            <w:tcW w:w="0" w:type="auto"/>
            <w:shd w:val="clear" w:color="auto" w:fill="BFBFBF"/>
            <w:vAlign w:val="center"/>
          </w:tcPr>
          <w:p w14:paraId="2B5E3401">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得分率</w:t>
            </w:r>
          </w:p>
        </w:tc>
        <w:tc>
          <w:tcPr>
            <w:tcW w:w="0" w:type="auto"/>
            <w:shd w:val="clear" w:color="auto" w:fill="BFBFBF"/>
            <w:vAlign w:val="center"/>
          </w:tcPr>
          <w:p w14:paraId="0AD68C12">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w:t>
            </w:r>
          </w:p>
        </w:tc>
      </w:tr>
      <w:tr w14:paraId="697068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restart"/>
            <w:shd w:val="clear" w:color="auto" w:fill="FFFFFF"/>
            <w:vAlign w:val="center"/>
          </w:tcPr>
          <w:p w14:paraId="3E461A69">
            <w:pPr>
              <w:widowControl/>
              <w:spacing w:line="0" w:lineRule="atLeast"/>
              <w:jc w:val="center"/>
              <w:rPr>
                <w:color w:val="000000"/>
                <w:kern w:val="0"/>
                <w:sz w:val="22"/>
                <w:szCs w:val="22"/>
                <w:highlight w:val="none"/>
              </w:rPr>
            </w:pPr>
            <w:r>
              <w:rPr>
                <w:color w:val="000000"/>
                <w:kern w:val="0"/>
                <w:sz w:val="22"/>
                <w:szCs w:val="22"/>
                <w:highlight w:val="none"/>
              </w:rPr>
              <w:t>决策　</w:t>
            </w:r>
          </w:p>
          <w:p w14:paraId="0F23A42F">
            <w:pPr>
              <w:widowControl/>
              <w:spacing w:line="0" w:lineRule="atLeast"/>
              <w:jc w:val="center"/>
              <w:rPr>
                <w:color w:val="000000"/>
                <w:kern w:val="0"/>
                <w:sz w:val="22"/>
                <w:szCs w:val="22"/>
                <w:highlight w:val="none"/>
              </w:rPr>
            </w:pPr>
            <w:r>
              <w:rPr>
                <w:color w:val="000000"/>
                <w:kern w:val="0"/>
                <w:sz w:val="22"/>
                <w:szCs w:val="22"/>
                <w:highlight w:val="none"/>
              </w:rPr>
              <w:t>　</w:t>
            </w:r>
          </w:p>
          <w:p w14:paraId="3952F570">
            <w:pPr>
              <w:spacing w:line="0" w:lineRule="atLeast"/>
              <w:jc w:val="center"/>
              <w:rPr>
                <w:color w:val="000000"/>
                <w:kern w:val="0"/>
                <w:sz w:val="22"/>
                <w:szCs w:val="22"/>
                <w:highlight w:val="none"/>
              </w:rPr>
            </w:pPr>
            <w:r>
              <w:rPr>
                <w:color w:val="000000"/>
                <w:kern w:val="0"/>
                <w:sz w:val="22"/>
                <w:szCs w:val="22"/>
                <w:highlight w:val="none"/>
              </w:rPr>
              <w:t>　</w:t>
            </w:r>
          </w:p>
          <w:p w14:paraId="0D87892E">
            <w:pPr>
              <w:widowControl/>
              <w:spacing w:line="0" w:lineRule="atLeast"/>
              <w:jc w:val="center"/>
              <w:rPr>
                <w:color w:val="000000"/>
                <w:kern w:val="0"/>
                <w:sz w:val="22"/>
                <w:szCs w:val="22"/>
                <w:highlight w:val="none"/>
              </w:rPr>
            </w:pPr>
            <w:r>
              <w:rPr>
                <w:color w:val="000000"/>
                <w:kern w:val="0"/>
                <w:sz w:val="22"/>
                <w:szCs w:val="22"/>
                <w:highlight w:val="none"/>
              </w:rPr>
              <w:t>　</w:t>
            </w:r>
          </w:p>
        </w:tc>
        <w:tc>
          <w:tcPr>
            <w:tcW w:w="0" w:type="auto"/>
            <w:vMerge w:val="restart"/>
            <w:shd w:val="clear" w:color="auto" w:fill="FFFFFF"/>
            <w:vAlign w:val="center"/>
          </w:tcPr>
          <w:p w14:paraId="47F1C3C8">
            <w:pPr>
              <w:widowControl/>
              <w:spacing w:line="0" w:lineRule="atLeast"/>
              <w:jc w:val="center"/>
              <w:rPr>
                <w:color w:val="000000"/>
                <w:kern w:val="0"/>
                <w:sz w:val="22"/>
                <w:szCs w:val="22"/>
                <w:highlight w:val="none"/>
              </w:rPr>
            </w:pPr>
            <w:r>
              <w:rPr>
                <w:kern w:val="0"/>
                <w:sz w:val="22"/>
                <w:szCs w:val="22"/>
                <w:highlight w:val="none"/>
              </w:rPr>
              <w:t>20分</w:t>
            </w:r>
          </w:p>
        </w:tc>
        <w:tc>
          <w:tcPr>
            <w:tcW w:w="0" w:type="auto"/>
            <w:vMerge w:val="restart"/>
            <w:shd w:val="clear" w:color="auto" w:fill="FFFFFF"/>
            <w:vAlign w:val="center"/>
          </w:tcPr>
          <w:p w14:paraId="6C215F4E">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0" w:type="auto"/>
            <w:shd w:val="clear" w:color="auto" w:fill="FFFFFF"/>
            <w:vAlign w:val="center"/>
          </w:tcPr>
          <w:p w14:paraId="20586E2D">
            <w:pPr>
              <w:widowControl/>
              <w:spacing w:line="0" w:lineRule="atLeast"/>
              <w:jc w:val="center"/>
              <w:rPr>
                <w:color w:val="000000"/>
                <w:kern w:val="0"/>
                <w:sz w:val="22"/>
                <w:szCs w:val="22"/>
                <w:highlight w:val="none"/>
              </w:rPr>
            </w:pPr>
            <w:r>
              <w:rPr>
                <w:color w:val="000000"/>
                <w:kern w:val="0"/>
                <w:sz w:val="22"/>
                <w:szCs w:val="22"/>
                <w:highlight w:val="none"/>
              </w:rPr>
              <w:t>立项依据</w:t>
            </w:r>
          </w:p>
          <w:p w14:paraId="16ED7A37">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0" w:type="auto"/>
            <w:shd w:val="clear" w:color="auto" w:fill="FFFFFF"/>
            <w:vAlign w:val="center"/>
          </w:tcPr>
          <w:p w14:paraId="050444FA">
            <w:pPr>
              <w:widowControl/>
              <w:spacing w:line="0" w:lineRule="atLeast"/>
              <w:jc w:val="center"/>
              <w:rPr>
                <w:color w:val="000000"/>
                <w:kern w:val="0"/>
                <w:sz w:val="22"/>
                <w:szCs w:val="22"/>
                <w:highlight w:val="none"/>
              </w:rPr>
            </w:pPr>
            <w:r>
              <w:rPr>
                <w:color w:val="000000"/>
                <w:kern w:val="0"/>
                <w:sz w:val="22"/>
                <w:szCs w:val="22"/>
                <w:highlight w:val="none"/>
              </w:rPr>
              <w:t>3</w:t>
            </w:r>
          </w:p>
        </w:tc>
        <w:tc>
          <w:tcPr>
            <w:tcW w:w="0" w:type="auto"/>
            <w:shd w:val="clear" w:color="auto" w:fill="FFFFFF"/>
            <w:vAlign w:val="center"/>
          </w:tcPr>
          <w:p w14:paraId="3990D53D">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0" w:type="auto"/>
            <w:shd w:val="clear" w:color="auto" w:fill="FFFFFF"/>
            <w:vAlign w:val="center"/>
          </w:tcPr>
          <w:p w14:paraId="0203A112">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0" w:type="auto"/>
            <w:shd w:val="clear" w:color="auto" w:fill="FFFFFF"/>
            <w:vAlign w:val="center"/>
          </w:tcPr>
          <w:p w14:paraId="38D75570">
            <w:pPr>
              <w:widowControl/>
              <w:spacing w:line="0" w:lineRule="atLeast"/>
              <w:jc w:val="center"/>
              <w:rPr>
                <w:rFonts w:hint="default" w:eastAsia="宋体"/>
                <w:color w:val="000000"/>
                <w:kern w:val="0"/>
                <w:sz w:val="22"/>
                <w:szCs w:val="22"/>
                <w:highlight w:val="none"/>
                <w:lang w:val="en-US" w:eastAsia="zh-CN"/>
              </w:rPr>
            </w:pPr>
            <w:r>
              <w:rPr>
                <w:rFonts w:hint="eastAsia" w:ascii="Times New Roman" w:hAnsi="Times New Roman" w:eastAsia="宋体" w:cs="Times New Roman"/>
                <w:color w:val="000000"/>
                <w:kern w:val="0"/>
                <w:sz w:val="22"/>
                <w:szCs w:val="22"/>
                <w:highlight w:val="none"/>
                <w:lang w:val="en-US" w:eastAsia="zh-CN"/>
              </w:rPr>
              <w:t>100%</w:t>
            </w:r>
          </w:p>
        </w:tc>
        <w:tc>
          <w:tcPr>
            <w:tcW w:w="0" w:type="auto"/>
            <w:shd w:val="clear" w:color="auto" w:fill="FFFFFF"/>
            <w:vAlign w:val="center"/>
          </w:tcPr>
          <w:p w14:paraId="11B0FA55">
            <w:pPr>
              <w:widowControl/>
              <w:spacing w:line="0" w:lineRule="atLeast"/>
              <w:jc w:val="center"/>
              <w:rPr>
                <w:rFonts w:hint="eastAsia" w:eastAsia="宋体"/>
                <w:color w:val="000000"/>
                <w:kern w:val="0"/>
                <w:sz w:val="22"/>
                <w:szCs w:val="22"/>
                <w:highlight w:val="none"/>
                <w:lang w:eastAsia="zh-CN"/>
              </w:rPr>
            </w:pPr>
            <w:r>
              <w:rPr>
                <w:rFonts w:hint="eastAsia" w:ascii="Times New Roman" w:hAnsi="Times New Roman" w:eastAsia="宋体" w:cs="Times New Roman"/>
                <w:color w:val="000000"/>
                <w:kern w:val="0"/>
                <w:sz w:val="22"/>
                <w:szCs w:val="22"/>
                <w:highlight w:val="none"/>
                <w:lang w:val="en-US" w:eastAsia="zh-CN"/>
              </w:rPr>
              <w:t>3</w:t>
            </w:r>
          </w:p>
        </w:tc>
      </w:tr>
      <w:tr w14:paraId="1159D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continue"/>
            <w:shd w:val="clear" w:color="auto" w:fill="FFFFFF"/>
            <w:vAlign w:val="center"/>
          </w:tcPr>
          <w:p w14:paraId="5A5D82FC">
            <w:pPr>
              <w:spacing w:line="0" w:lineRule="atLeast"/>
              <w:jc w:val="center"/>
              <w:rPr>
                <w:color w:val="000000"/>
                <w:kern w:val="0"/>
                <w:sz w:val="22"/>
                <w:szCs w:val="22"/>
                <w:highlight w:val="none"/>
              </w:rPr>
            </w:pPr>
          </w:p>
        </w:tc>
        <w:tc>
          <w:tcPr>
            <w:tcW w:w="0" w:type="auto"/>
            <w:vMerge w:val="continue"/>
            <w:shd w:val="clear" w:color="auto" w:fill="FFFFFF"/>
            <w:vAlign w:val="center"/>
          </w:tcPr>
          <w:p w14:paraId="4CAD5F94">
            <w:pPr>
              <w:widowControl/>
              <w:spacing w:line="0" w:lineRule="atLeast"/>
              <w:jc w:val="center"/>
              <w:rPr>
                <w:color w:val="000000"/>
                <w:kern w:val="0"/>
                <w:sz w:val="22"/>
                <w:szCs w:val="22"/>
                <w:highlight w:val="none"/>
              </w:rPr>
            </w:pPr>
          </w:p>
        </w:tc>
        <w:tc>
          <w:tcPr>
            <w:tcW w:w="0" w:type="auto"/>
            <w:vMerge w:val="continue"/>
            <w:shd w:val="clear" w:color="auto" w:fill="FFFFFF"/>
            <w:vAlign w:val="center"/>
          </w:tcPr>
          <w:p w14:paraId="5485F00D">
            <w:pPr>
              <w:widowControl/>
              <w:spacing w:line="0" w:lineRule="atLeast"/>
              <w:jc w:val="center"/>
              <w:rPr>
                <w:color w:val="000000"/>
                <w:kern w:val="0"/>
                <w:sz w:val="22"/>
                <w:szCs w:val="22"/>
                <w:highlight w:val="none"/>
              </w:rPr>
            </w:pPr>
          </w:p>
        </w:tc>
        <w:tc>
          <w:tcPr>
            <w:tcW w:w="0" w:type="auto"/>
            <w:shd w:val="clear" w:color="auto" w:fill="FFFFFF"/>
            <w:vAlign w:val="center"/>
          </w:tcPr>
          <w:p w14:paraId="17C93D0D">
            <w:pPr>
              <w:widowControl/>
              <w:spacing w:line="0" w:lineRule="atLeast"/>
              <w:jc w:val="center"/>
              <w:rPr>
                <w:color w:val="000000"/>
                <w:kern w:val="0"/>
                <w:sz w:val="22"/>
                <w:szCs w:val="22"/>
                <w:highlight w:val="none"/>
              </w:rPr>
            </w:pPr>
            <w:r>
              <w:rPr>
                <w:color w:val="000000"/>
                <w:kern w:val="0"/>
                <w:sz w:val="22"/>
                <w:szCs w:val="22"/>
                <w:highlight w:val="none"/>
              </w:rPr>
              <w:t>立项程序</w:t>
            </w:r>
          </w:p>
          <w:p w14:paraId="25A5461E">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0" w:type="auto"/>
            <w:shd w:val="clear" w:color="auto" w:fill="FFFFFF"/>
            <w:vAlign w:val="center"/>
          </w:tcPr>
          <w:p w14:paraId="6AA17AC0">
            <w:pPr>
              <w:widowControl/>
              <w:spacing w:line="0" w:lineRule="atLeast"/>
              <w:jc w:val="center"/>
              <w:rPr>
                <w:color w:val="000000"/>
                <w:kern w:val="0"/>
                <w:sz w:val="22"/>
                <w:szCs w:val="22"/>
                <w:highlight w:val="none"/>
              </w:rPr>
            </w:pPr>
            <w:r>
              <w:rPr>
                <w:color w:val="000000"/>
                <w:kern w:val="0"/>
                <w:sz w:val="22"/>
                <w:szCs w:val="22"/>
                <w:highlight w:val="none"/>
              </w:rPr>
              <w:t>3</w:t>
            </w:r>
          </w:p>
        </w:tc>
        <w:tc>
          <w:tcPr>
            <w:tcW w:w="0" w:type="auto"/>
            <w:shd w:val="clear" w:color="auto" w:fill="FFFFFF"/>
            <w:vAlign w:val="center"/>
          </w:tcPr>
          <w:p w14:paraId="40E1B412">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0" w:type="auto"/>
            <w:shd w:val="clear" w:color="auto" w:fill="FFFFFF"/>
            <w:vAlign w:val="center"/>
          </w:tcPr>
          <w:p w14:paraId="75E06D7E">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0" w:type="auto"/>
            <w:shd w:val="clear" w:color="auto" w:fill="FFFFFF"/>
            <w:vAlign w:val="center"/>
          </w:tcPr>
          <w:p w14:paraId="16485E11">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0" w:type="auto"/>
            <w:shd w:val="clear" w:color="auto" w:fill="FFFFFF"/>
            <w:vAlign w:val="center"/>
          </w:tcPr>
          <w:p w14:paraId="7145F91A">
            <w:pPr>
              <w:widowControl/>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3</w:t>
            </w:r>
          </w:p>
        </w:tc>
      </w:tr>
      <w:tr w14:paraId="4773B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continue"/>
            <w:shd w:val="clear" w:color="auto" w:fill="FFFFFF"/>
            <w:vAlign w:val="center"/>
          </w:tcPr>
          <w:p w14:paraId="716D2107">
            <w:pPr>
              <w:spacing w:line="0" w:lineRule="atLeast"/>
              <w:jc w:val="center"/>
              <w:rPr>
                <w:color w:val="000000"/>
                <w:kern w:val="0"/>
                <w:sz w:val="22"/>
                <w:szCs w:val="22"/>
                <w:highlight w:val="none"/>
              </w:rPr>
            </w:pPr>
          </w:p>
        </w:tc>
        <w:tc>
          <w:tcPr>
            <w:tcW w:w="0" w:type="auto"/>
            <w:vMerge w:val="continue"/>
            <w:shd w:val="clear" w:color="auto" w:fill="FFFFFF"/>
            <w:vAlign w:val="center"/>
          </w:tcPr>
          <w:p w14:paraId="3C75DD1E">
            <w:pPr>
              <w:widowControl/>
              <w:spacing w:line="0" w:lineRule="atLeast"/>
              <w:jc w:val="center"/>
              <w:rPr>
                <w:color w:val="000000"/>
                <w:kern w:val="0"/>
                <w:sz w:val="22"/>
                <w:szCs w:val="22"/>
                <w:highlight w:val="none"/>
              </w:rPr>
            </w:pPr>
          </w:p>
        </w:tc>
        <w:tc>
          <w:tcPr>
            <w:tcW w:w="0" w:type="auto"/>
            <w:vMerge w:val="restart"/>
            <w:shd w:val="clear" w:color="auto" w:fill="FFFFFF"/>
            <w:vAlign w:val="center"/>
          </w:tcPr>
          <w:p w14:paraId="36531608">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0" w:type="auto"/>
            <w:shd w:val="clear" w:color="auto" w:fill="FFFFFF"/>
            <w:vAlign w:val="center"/>
          </w:tcPr>
          <w:p w14:paraId="41CE5500">
            <w:pPr>
              <w:widowControl/>
              <w:spacing w:line="0" w:lineRule="atLeast"/>
              <w:jc w:val="center"/>
              <w:rPr>
                <w:color w:val="000000"/>
                <w:kern w:val="0"/>
                <w:sz w:val="22"/>
                <w:szCs w:val="22"/>
                <w:highlight w:val="none"/>
              </w:rPr>
            </w:pPr>
            <w:r>
              <w:rPr>
                <w:color w:val="000000"/>
                <w:kern w:val="0"/>
                <w:sz w:val="22"/>
                <w:szCs w:val="22"/>
                <w:highlight w:val="none"/>
              </w:rPr>
              <w:t>绩效目标</w:t>
            </w:r>
          </w:p>
          <w:p w14:paraId="2EF8FBFE">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0" w:type="auto"/>
            <w:shd w:val="clear" w:color="000000" w:fill="FFFFFF"/>
            <w:vAlign w:val="center"/>
          </w:tcPr>
          <w:p w14:paraId="703ADAE1">
            <w:pPr>
              <w:widowControl/>
              <w:spacing w:line="0" w:lineRule="atLeast"/>
              <w:jc w:val="center"/>
              <w:rPr>
                <w:color w:val="000000"/>
                <w:kern w:val="0"/>
                <w:sz w:val="22"/>
                <w:szCs w:val="22"/>
                <w:highlight w:val="none"/>
              </w:rPr>
            </w:pPr>
            <w:r>
              <w:rPr>
                <w:color w:val="000000"/>
                <w:kern w:val="0"/>
                <w:sz w:val="22"/>
                <w:szCs w:val="22"/>
                <w:highlight w:val="none"/>
              </w:rPr>
              <w:t>3</w:t>
            </w:r>
          </w:p>
        </w:tc>
        <w:tc>
          <w:tcPr>
            <w:tcW w:w="0" w:type="auto"/>
            <w:shd w:val="clear" w:color="000000" w:fill="FFFFFF"/>
            <w:vAlign w:val="center"/>
          </w:tcPr>
          <w:p w14:paraId="40663B3E">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0" w:type="auto"/>
            <w:shd w:val="clear" w:color="000000" w:fill="FFFFFF"/>
            <w:vAlign w:val="center"/>
          </w:tcPr>
          <w:p w14:paraId="76A61304">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0" w:type="auto"/>
            <w:shd w:val="clear" w:color="000000" w:fill="FFFFFF"/>
            <w:vAlign w:val="center"/>
          </w:tcPr>
          <w:p w14:paraId="343EBEC1">
            <w:pPr>
              <w:widowControl/>
              <w:spacing w:line="0" w:lineRule="atLeast"/>
              <w:ind w:firstLine="220" w:firstLineChars="100"/>
              <w:jc w:val="both"/>
              <w:rPr>
                <w:color w:val="000000"/>
                <w:kern w:val="0"/>
                <w:sz w:val="22"/>
                <w:szCs w:val="22"/>
                <w:highlight w:val="none"/>
              </w:rPr>
            </w:pPr>
            <w:r>
              <w:rPr>
                <w:rFonts w:hint="eastAsia" w:cs="Times New Roman"/>
                <w:color w:val="000000"/>
                <w:kern w:val="0"/>
                <w:sz w:val="22"/>
                <w:szCs w:val="22"/>
                <w:highlight w:val="none"/>
                <w:lang w:val="en-US" w:eastAsia="zh-CN"/>
              </w:rPr>
              <w:t>83</w:t>
            </w:r>
            <w:r>
              <w:rPr>
                <w:rFonts w:hint="eastAsia" w:ascii="Times New Roman" w:hAnsi="Times New Roman" w:eastAsia="宋体" w:cs="Times New Roman"/>
                <w:color w:val="000000"/>
                <w:kern w:val="0"/>
                <w:sz w:val="22"/>
                <w:szCs w:val="22"/>
                <w:highlight w:val="none"/>
                <w:lang w:val="en-US" w:eastAsia="zh-CN"/>
              </w:rPr>
              <w:t>%</w:t>
            </w:r>
          </w:p>
        </w:tc>
        <w:tc>
          <w:tcPr>
            <w:tcW w:w="0" w:type="auto"/>
            <w:shd w:val="clear" w:color="000000" w:fill="FFFFFF"/>
            <w:vAlign w:val="center"/>
          </w:tcPr>
          <w:p w14:paraId="50E4E33C">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2.5</w:t>
            </w:r>
          </w:p>
        </w:tc>
      </w:tr>
      <w:tr w14:paraId="7C0ABA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continue"/>
            <w:shd w:val="clear" w:color="auto" w:fill="FFFFFF"/>
            <w:vAlign w:val="center"/>
          </w:tcPr>
          <w:p w14:paraId="0DBFDD0C">
            <w:pPr>
              <w:widowControl/>
              <w:spacing w:line="0" w:lineRule="atLeast"/>
              <w:jc w:val="center"/>
              <w:rPr>
                <w:color w:val="000000"/>
                <w:kern w:val="0"/>
                <w:sz w:val="22"/>
                <w:szCs w:val="22"/>
                <w:highlight w:val="none"/>
              </w:rPr>
            </w:pPr>
          </w:p>
        </w:tc>
        <w:tc>
          <w:tcPr>
            <w:tcW w:w="0" w:type="auto"/>
            <w:vMerge w:val="continue"/>
            <w:shd w:val="clear" w:color="auto" w:fill="FFFFFF"/>
            <w:vAlign w:val="center"/>
          </w:tcPr>
          <w:p w14:paraId="7EDDA4F5">
            <w:pPr>
              <w:widowControl/>
              <w:spacing w:line="0" w:lineRule="atLeast"/>
              <w:jc w:val="center"/>
              <w:rPr>
                <w:color w:val="000000"/>
                <w:kern w:val="0"/>
                <w:sz w:val="22"/>
                <w:szCs w:val="22"/>
                <w:highlight w:val="none"/>
              </w:rPr>
            </w:pPr>
          </w:p>
        </w:tc>
        <w:tc>
          <w:tcPr>
            <w:tcW w:w="0" w:type="auto"/>
            <w:vMerge w:val="continue"/>
            <w:shd w:val="clear" w:color="auto" w:fill="FFFFFF"/>
            <w:vAlign w:val="center"/>
          </w:tcPr>
          <w:p w14:paraId="46B9F925">
            <w:pPr>
              <w:widowControl/>
              <w:spacing w:line="0" w:lineRule="atLeast"/>
              <w:jc w:val="center"/>
              <w:rPr>
                <w:color w:val="000000"/>
                <w:kern w:val="0"/>
                <w:sz w:val="22"/>
                <w:szCs w:val="22"/>
                <w:highlight w:val="none"/>
              </w:rPr>
            </w:pPr>
          </w:p>
        </w:tc>
        <w:tc>
          <w:tcPr>
            <w:tcW w:w="0" w:type="auto"/>
            <w:shd w:val="clear" w:color="auto" w:fill="FFFFFF"/>
            <w:vAlign w:val="center"/>
          </w:tcPr>
          <w:p w14:paraId="32CB9915">
            <w:pPr>
              <w:widowControl/>
              <w:spacing w:line="0" w:lineRule="atLeast"/>
              <w:jc w:val="center"/>
              <w:rPr>
                <w:color w:val="000000"/>
                <w:kern w:val="0"/>
                <w:sz w:val="22"/>
                <w:szCs w:val="22"/>
                <w:highlight w:val="none"/>
              </w:rPr>
            </w:pPr>
            <w:r>
              <w:rPr>
                <w:color w:val="000000"/>
                <w:kern w:val="0"/>
                <w:sz w:val="22"/>
                <w:szCs w:val="22"/>
                <w:highlight w:val="none"/>
              </w:rPr>
              <w:t>绩效指标</w:t>
            </w:r>
          </w:p>
          <w:p w14:paraId="5EA56332">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0" w:type="auto"/>
            <w:shd w:val="clear" w:color="000000" w:fill="FFFFFF"/>
            <w:vAlign w:val="center"/>
          </w:tcPr>
          <w:p w14:paraId="40CBB148">
            <w:pPr>
              <w:widowControl/>
              <w:spacing w:line="0" w:lineRule="atLeast"/>
              <w:jc w:val="center"/>
              <w:rPr>
                <w:color w:val="000000"/>
                <w:kern w:val="0"/>
                <w:sz w:val="22"/>
                <w:szCs w:val="22"/>
                <w:highlight w:val="none"/>
              </w:rPr>
            </w:pPr>
            <w:r>
              <w:rPr>
                <w:color w:val="000000"/>
                <w:kern w:val="0"/>
                <w:sz w:val="22"/>
                <w:szCs w:val="22"/>
                <w:highlight w:val="none"/>
              </w:rPr>
              <w:t>3</w:t>
            </w:r>
          </w:p>
        </w:tc>
        <w:tc>
          <w:tcPr>
            <w:tcW w:w="0" w:type="auto"/>
            <w:shd w:val="clear" w:color="000000" w:fill="FFFFFF"/>
            <w:vAlign w:val="center"/>
          </w:tcPr>
          <w:p w14:paraId="63F7D534">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0" w:type="auto"/>
            <w:shd w:val="clear" w:color="000000" w:fill="FFFFFF"/>
            <w:vAlign w:val="center"/>
          </w:tcPr>
          <w:p w14:paraId="525CBA2D">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0" w:type="auto"/>
            <w:shd w:val="clear" w:color="000000" w:fill="FFFFFF"/>
            <w:vAlign w:val="center"/>
          </w:tcPr>
          <w:p w14:paraId="3380E716">
            <w:pPr>
              <w:widowControl/>
              <w:spacing w:line="0" w:lineRule="atLeast"/>
              <w:jc w:val="center"/>
              <w:rPr>
                <w:color w:val="000000"/>
                <w:kern w:val="0"/>
                <w:sz w:val="22"/>
                <w:szCs w:val="22"/>
                <w:highlight w:val="none"/>
              </w:rPr>
            </w:pPr>
            <w:r>
              <w:rPr>
                <w:rFonts w:hint="eastAsia" w:cs="Times New Roman"/>
                <w:color w:val="000000"/>
                <w:kern w:val="0"/>
                <w:sz w:val="22"/>
                <w:szCs w:val="22"/>
                <w:highlight w:val="none"/>
                <w:lang w:val="en-US" w:eastAsia="zh-CN"/>
              </w:rPr>
              <w:t>83</w:t>
            </w:r>
            <w:r>
              <w:rPr>
                <w:rFonts w:hint="eastAsia" w:ascii="Times New Roman" w:hAnsi="Times New Roman" w:eastAsia="宋体" w:cs="Times New Roman"/>
                <w:color w:val="000000"/>
                <w:kern w:val="0"/>
                <w:sz w:val="22"/>
                <w:szCs w:val="22"/>
                <w:highlight w:val="none"/>
                <w:lang w:val="en-US" w:eastAsia="zh-CN"/>
              </w:rPr>
              <w:t>%</w:t>
            </w:r>
          </w:p>
        </w:tc>
        <w:tc>
          <w:tcPr>
            <w:tcW w:w="0" w:type="auto"/>
            <w:shd w:val="clear" w:color="000000" w:fill="FFFFFF"/>
            <w:vAlign w:val="center"/>
          </w:tcPr>
          <w:p w14:paraId="0D9EE395">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2.5</w:t>
            </w:r>
          </w:p>
        </w:tc>
      </w:tr>
      <w:tr w14:paraId="2236B5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continue"/>
            <w:shd w:val="clear" w:color="auto" w:fill="FFFFFF"/>
            <w:vAlign w:val="center"/>
          </w:tcPr>
          <w:p w14:paraId="40FBF69D">
            <w:pPr>
              <w:spacing w:line="0" w:lineRule="atLeast"/>
              <w:jc w:val="center"/>
              <w:rPr>
                <w:color w:val="000000"/>
                <w:kern w:val="0"/>
                <w:sz w:val="22"/>
                <w:szCs w:val="22"/>
                <w:highlight w:val="none"/>
              </w:rPr>
            </w:pPr>
          </w:p>
        </w:tc>
        <w:tc>
          <w:tcPr>
            <w:tcW w:w="0" w:type="auto"/>
            <w:vMerge w:val="continue"/>
            <w:shd w:val="clear" w:color="auto" w:fill="FFFFFF"/>
            <w:vAlign w:val="center"/>
          </w:tcPr>
          <w:p w14:paraId="29EADAF7">
            <w:pPr>
              <w:spacing w:line="0" w:lineRule="atLeast"/>
              <w:jc w:val="center"/>
              <w:rPr>
                <w:color w:val="000000"/>
                <w:kern w:val="0"/>
                <w:sz w:val="22"/>
                <w:szCs w:val="22"/>
                <w:highlight w:val="none"/>
              </w:rPr>
            </w:pPr>
          </w:p>
        </w:tc>
        <w:tc>
          <w:tcPr>
            <w:tcW w:w="0" w:type="auto"/>
            <w:vMerge w:val="restart"/>
            <w:shd w:val="clear" w:color="auto" w:fill="FFFFFF"/>
            <w:vAlign w:val="center"/>
          </w:tcPr>
          <w:p w14:paraId="5C5CEE36">
            <w:pPr>
              <w:widowControl/>
              <w:spacing w:line="0" w:lineRule="atLeast"/>
              <w:jc w:val="center"/>
              <w:rPr>
                <w:color w:val="000000"/>
                <w:kern w:val="0"/>
                <w:sz w:val="22"/>
                <w:szCs w:val="22"/>
                <w:highlight w:val="none"/>
              </w:rPr>
            </w:pPr>
            <w:r>
              <w:rPr>
                <w:color w:val="000000"/>
                <w:kern w:val="0"/>
                <w:sz w:val="22"/>
                <w:szCs w:val="22"/>
                <w:highlight w:val="none"/>
              </w:rPr>
              <w:t>资金投入</w:t>
            </w:r>
          </w:p>
        </w:tc>
        <w:tc>
          <w:tcPr>
            <w:tcW w:w="0" w:type="auto"/>
            <w:shd w:val="clear" w:color="auto" w:fill="FFFFFF"/>
            <w:vAlign w:val="center"/>
          </w:tcPr>
          <w:p w14:paraId="7E8714E8">
            <w:pPr>
              <w:widowControl/>
              <w:spacing w:line="0" w:lineRule="atLeast"/>
              <w:jc w:val="center"/>
              <w:rPr>
                <w:color w:val="000000"/>
                <w:kern w:val="0"/>
                <w:sz w:val="22"/>
                <w:szCs w:val="22"/>
                <w:highlight w:val="none"/>
              </w:rPr>
            </w:pPr>
            <w:r>
              <w:rPr>
                <w:color w:val="000000"/>
                <w:kern w:val="0"/>
                <w:sz w:val="22"/>
                <w:szCs w:val="22"/>
                <w:highlight w:val="none"/>
              </w:rPr>
              <w:t>预算编制</w:t>
            </w:r>
          </w:p>
          <w:p w14:paraId="52316FFC">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0" w:type="auto"/>
            <w:shd w:val="clear" w:color="auto" w:fill="FFFFFF"/>
            <w:vAlign w:val="center"/>
          </w:tcPr>
          <w:p w14:paraId="7B77C87C">
            <w:pPr>
              <w:widowControl/>
              <w:spacing w:line="0" w:lineRule="atLeast"/>
              <w:jc w:val="center"/>
              <w:rPr>
                <w:color w:val="000000"/>
                <w:kern w:val="0"/>
                <w:sz w:val="22"/>
                <w:szCs w:val="22"/>
                <w:highlight w:val="none"/>
              </w:rPr>
            </w:pPr>
            <w:r>
              <w:rPr>
                <w:color w:val="000000"/>
                <w:kern w:val="0"/>
                <w:sz w:val="22"/>
                <w:szCs w:val="22"/>
                <w:highlight w:val="none"/>
              </w:rPr>
              <w:t>4</w:t>
            </w:r>
          </w:p>
        </w:tc>
        <w:tc>
          <w:tcPr>
            <w:tcW w:w="0" w:type="auto"/>
            <w:shd w:val="clear" w:color="auto" w:fill="FFFFFF"/>
            <w:vAlign w:val="center"/>
          </w:tcPr>
          <w:p w14:paraId="2A77CF58">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0" w:type="auto"/>
            <w:shd w:val="clear" w:color="auto" w:fill="FFFFFF"/>
            <w:vAlign w:val="center"/>
          </w:tcPr>
          <w:p w14:paraId="48C8A7E9">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0" w:type="auto"/>
            <w:shd w:val="clear" w:color="auto" w:fill="FFFFFF"/>
            <w:vAlign w:val="center"/>
          </w:tcPr>
          <w:p w14:paraId="22BCADED">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0" w:type="auto"/>
            <w:shd w:val="clear" w:color="auto" w:fill="FFFFFF"/>
            <w:vAlign w:val="center"/>
          </w:tcPr>
          <w:p w14:paraId="0A9703CF">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2FAA4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continue"/>
            <w:shd w:val="clear" w:color="auto" w:fill="FFFFFF"/>
            <w:vAlign w:val="center"/>
          </w:tcPr>
          <w:p w14:paraId="5894E0D1">
            <w:pPr>
              <w:widowControl/>
              <w:spacing w:line="0" w:lineRule="atLeast"/>
              <w:jc w:val="center"/>
              <w:rPr>
                <w:color w:val="000000"/>
                <w:kern w:val="0"/>
                <w:sz w:val="22"/>
                <w:szCs w:val="22"/>
                <w:highlight w:val="none"/>
              </w:rPr>
            </w:pPr>
          </w:p>
        </w:tc>
        <w:tc>
          <w:tcPr>
            <w:tcW w:w="0" w:type="auto"/>
            <w:vMerge w:val="continue"/>
            <w:shd w:val="clear" w:color="auto" w:fill="FFFFFF"/>
            <w:vAlign w:val="center"/>
          </w:tcPr>
          <w:p w14:paraId="4F25AA3E">
            <w:pPr>
              <w:widowControl/>
              <w:spacing w:line="0" w:lineRule="atLeast"/>
              <w:jc w:val="center"/>
              <w:rPr>
                <w:color w:val="000000"/>
                <w:kern w:val="0"/>
                <w:sz w:val="22"/>
                <w:szCs w:val="22"/>
                <w:highlight w:val="none"/>
              </w:rPr>
            </w:pPr>
          </w:p>
        </w:tc>
        <w:tc>
          <w:tcPr>
            <w:tcW w:w="0" w:type="auto"/>
            <w:vMerge w:val="continue"/>
            <w:shd w:val="clear" w:color="auto" w:fill="FFFFFF"/>
            <w:vAlign w:val="center"/>
          </w:tcPr>
          <w:p w14:paraId="0B14D0F9">
            <w:pPr>
              <w:widowControl/>
              <w:spacing w:line="0" w:lineRule="atLeast"/>
              <w:jc w:val="center"/>
              <w:rPr>
                <w:color w:val="000000"/>
                <w:kern w:val="0"/>
                <w:sz w:val="22"/>
                <w:szCs w:val="22"/>
                <w:highlight w:val="none"/>
              </w:rPr>
            </w:pPr>
          </w:p>
        </w:tc>
        <w:tc>
          <w:tcPr>
            <w:tcW w:w="0" w:type="auto"/>
            <w:shd w:val="clear" w:color="auto" w:fill="FFFFFF"/>
            <w:vAlign w:val="center"/>
          </w:tcPr>
          <w:p w14:paraId="048D687F">
            <w:pPr>
              <w:widowControl/>
              <w:spacing w:line="0" w:lineRule="atLeast"/>
              <w:jc w:val="center"/>
              <w:rPr>
                <w:color w:val="000000"/>
                <w:kern w:val="0"/>
                <w:sz w:val="22"/>
                <w:szCs w:val="22"/>
                <w:highlight w:val="none"/>
              </w:rPr>
            </w:pPr>
            <w:r>
              <w:rPr>
                <w:color w:val="000000"/>
                <w:kern w:val="0"/>
                <w:sz w:val="22"/>
                <w:szCs w:val="22"/>
                <w:highlight w:val="none"/>
              </w:rPr>
              <w:t>资金分配</w:t>
            </w:r>
          </w:p>
          <w:p w14:paraId="722DC412">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0" w:type="auto"/>
            <w:shd w:val="clear" w:color="auto" w:fill="FFFFFF"/>
            <w:vAlign w:val="center"/>
          </w:tcPr>
          <w:p w14:paraId="7C3F8B4F">
            <w:pPr>
              <w:widowControl/>
              <w:spacing w:line="0" w:lineRule="atLeast"/>
              <w:jc w:val="center"/>
              <w:rPr>
                <w:color w:val="000000"/>
                <w:kern w:val="0"/>
                <w:sz w:val="22"/>
                <w:szCs w:val="22"/>
                <w:highlight w:val="none"/>
              </w:rPr>
            </w:pPr>
            <w:r>
              <w:rPr>
                <w:color w:val="000000"/>
                <w:kern w:val="0"/>
                <w:sz w:val="22"/>
                <w:szCs w:val="22"/>
                <w:highlight w:val="none"/>
              </w:rPr>
              <w:t>4</w:t>
            </w:r>
          </w:p>
        </w:tc>
        <w:tc>
          <w:tcPr>
            <w:tcW w:w="0" w:type="auto"/>
            <w:shd w:val="clear" w:color="auto" w:fill="FFFFFF"/>
            <w:vAlign w:val="center"/>
          </w:tcPr>
          <w:p w14:paraId="700B31A7">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0" w:type="auto"/>
            <w:shd w:val="clear" w:color="auto" w:fill="FFFFFF"/>
            <w:vAlign w:val="center"/>
          </w:tcPr>
          <w:p w14:paraId="7801D573">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0" w:type="auto"/>
            <w:shd w:val="clear" w:color="auto" w:fill="FFFFFF"/>
            <w:vAlign w:val="center"/>
          </w:tcPr>
          <w:p w14:paraId="0FB09F46">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0" w:type="auto"/>
            <w:shd w:val="clear" w:color="auto" w:fill="FFFFFF"/>
            <w:vAlign w:val="center"/>
          </w:tcPr>
          <w:p w14:paraId="0E79B183">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716C6D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0" w:type="auto"/>
            <w:vMerge w:val="restart"/>
            <w:shd w:val="clear" w:color="auto" w:fill="FFFFFF"/>
            <w:vAlign w:val="center"/>
          </w:tcPr>
          <w:p w14:paraId="3DC6EC7A">
            <w:pPr>
              <w:spacing w:line="0" w:lineRule="atLeast"/>
              <w:jc w:val="center"/>
              <w:rPr>
                <w:color w:val="000000"/>
                <w:kern w:val="0"/>
                <w:sz w:val="22"/>
                <w:szCs w:val="22"/>
                <w:highlight w:val="none"/>
              </w:rPr>
            </w:pPr>
            <w:r>
              <w:rPr>
                <w:color w:val="000000"/>
                <w:kern w:val="0"/>
                <w:sz w:val="22"/>
                <w:szCs w:val="22"/>
                <w:highlight w:val="none"/>
              </w:rPr>
              <w:t>过程</w:t>
            </w:r>
          </w:p>
          <w:p w14:paraId="434B0F53">
            <w:pPr>
              <w:spacing w:line="0" w:lineRule="atLeast"/>
              <w:jc w:val="center"/>
              <w:rPr>
                <w:color w:val="000000"/>
                <w:kern w:val="0"/>
                <w:sz w:val="22"/>
                <w:szCs w:val="22"/>
                <w:highlight w:val="none"/>
              </w:rPr>
            </w:pPr>
            <w:r>
              <w:rPr>
                <w:color w:val="000000"/>
                <w:kern w:val="0"/>
                <w:sz w:val="22"/>
                <w:szCs w:val="22"/>
                <w:highlight w:val="none"/>
              </w:rPr>
              <w:t>　</w:t>
            </w:r>
          </w:p>
        </w:tc>
        <w:tc>
          <w:tcPr>
            <w:tcW w:w="0" w:type="auto"/>
            <w:vMerge w:val="restart"/>
            <w:shd w:val="clear" w:color="auto" w:fill="FFFFFF"/>
            <w:vAlign w:val="center"/>
          </w:tcPr>
          <w:p w14:paraId="127596D3">
            <w:pPr>
              <w:widowControl/>
              <w:spacing w:line="0" w:lineRule="atLeast"/>
              <w:jc w:val="center"/>
              <w:rPr>
                <w:color w:val="000000"/>
                <w:kern w:val="0"/>
                <w:sz w:val="22"/>
                <w:szCs w:val="22"/>
                <w:highlight w:val="none"/>
              </w:rPr>
            </w:pPr>
            <w:r>
              <w:rPr>
                <w:kern w:val="0"/>
                <w:sz w:val="22"/>
                <w:szCs w:val="22"/>
                <w:highlight w:val="none"/>
              </w:rPr>
              <w:t>20分</w:t>
            </w:r>
          </w:p>
        </w:tc>
        <w:tc>
          <w:tcPr>
            <w:tcW w:w="0" w:type="auto"/>
            <w:vMerge w:val="restart"/>
            <w:shd w:val="clear" w:color="auto" w:fill="FFFFFF"/>
            <w:vAlign w:val="center"/>
          </w:tcPr>
          <w:p w14:paraId="18F8CB81">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0" w:type="auto"/>
            <w:shd w:val="clear" w:color="auto" w:fill="FFFFFF"/>
            <w:vAlign w:val="center"/>
          </w:tcPr>
          <w:p w14:paraId="7DA912AA">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0" w:type="auto"/>
            <w:shd w:val="clear" w:color="000000" w:fill="FFFFFF"/>
            <w:vAlign w:val="center"/>
          </w:tcPr>
          <w:p w14:paraId="4E07FB91">
            <w:pPr>
              <w:widowControl/>
              <w:spacing w:line="0" w:lineRule="atLeast"/>
              <w:jc w:val="center"/>
              <w:rPr>
                <w:color w:val="000000"/>
                <w:kern w:val="0"/>
                <w:sz w:val="22"/>
                <w:szCs w:val="22"/>
                <w:highlight w:val="none"/>
              </w:rPr>
            </w:pPr>
            <w:r>
              <w:rPr>
                <w:color w:val="000000"/>
                <w:kern w:val="0"/>
                <w:sz w:val="22"/>
                <w:szCs w:val="22"/>
                <w:highlight w:val="none"/>
              </w:rPr>
              <w:t>4</w:t>
            </w:r>
          </w:p>
        </w:tc>
        <w:tc>
          <w:tcPr>
            <w:tcW w:w="0" w:type="auto"/>
            <w:shd w:val="clear" w:color="000000" w:fill="FFFFFF"/>
            <w:vAlign w:val="center"/>
          </w:tcPr>
          <w:p w14:paraId="5F1F796A">
            <w:pPr>
              <w:widowControl/>
              <w:spacing w:line="0" w:lineRule="atLeast"/>
              <w:jc w:val="center"/>
              <w:rPr>
                <w:color w:val="000000"/>
                <w:kern w:val="0"/>
                <w:sz w:val="22"/>
                <w:szCs w:val="22"/>
                <w:highlight w:val="none"/>
              </w:rPr>
            </w:pPr>
            <w:r>
              <w:rPr>
                <w:color w:val="000000"/>
                <w:kern w:val="0"/>
                <w:sz w:val="22"/>
                <w:szCs w:val="22"/>
                <w:highlight w:val="none"/>
              </w:rPr>
              <w:t>100%</w:t>
            </w:r>
          </w:p>
        </w:tc>
        <w:tc>
          <w:tcPr>
            <w:tcW w:w="0" w:type="auto"/>
            <w:shd w:val="clear" w:color="000000" w:fill="FFFFFF"/>
            <w:vAlign w:val="center"/>
          </w:tcPr>
          <w:p w14:paraId="6DFFC4A1">
            <w:pPr>
              <w:widowControl/>
              <w:spacing w:line="0" w:lineRule="atLeast"/>
              <w:jc w:val="center"/>
              <w:rPr>
                <w:color w:val="000000"/>
                <w:kern w:val="0"/>
                <w:sz w:val="22"/>
                <w:szCs w:val="22"/>
                <w:highlight w:val="none"/>
              </w:rPr>
            </w:pPr>
            <w:r>
              <w:rPr>
                <w:color w:val="000000"/>
                <w:kern w:val="0"/>
                <w:sz w:val="22"/>
                <w:szCs w:val="22"/>
                <w:highlight w:val="none"/>
              </w:rPr>
              <w:t>100%</w:t>
            </w:r>
          </w:p>
        </w:tc>
        <w:tc>
          <w:tcPr>
            <w:tcW w:w="0" w:type="auto"/>
            <w:shd w:val="clear" w:color="000000" w:fill="FFFFFF"/>
            <w:vAlign w:val="center"/>
          </w:tcPr>
          <w:p w14:paraId="21829AAE">
            <w:pPr>
              <w:widowControl/>
              <w:spacing w:line="0" w:lineRule="atLeast"/>
              <w:jc w:val="center"/>
              <w:rPr>
                <w:color w:val="000000"/>
                <w:kern w:val="0"/>
                <w:sz w:val="22"/>
                <w:szCs w:val="22"/>
                <w:highlight w:val="none"/>
              </w:rPr>
            </w:pPr>
            <w:r>
              <w:rPr>
                <w:color w:val="000000"/>
                <w:kern w:val="0"/>
                <w:sz w:val="22"/>
                <w:szCs w:val="22"/>
                <w:highlight w:val="none"/>
              </w:rPr>
              <w:t>100%</w:t>
            </w:r>
          </w:p>
        </w:tc>
        <w:tc>
          <w:tcPr>
            <w:tcW w:w="0" w:type="auto"/>
            <w:shd w:val="clear" w:color="000000" w:fill="FFFFFF"/>
            <w:vAlign w:val="center"/>
          </w:tcPr>
          <w:p w14:paraId="6FCDD8AA">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1DF91B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0" w:type="auto"/>
            <w:vMerge w:val="continue"/>
            <w:shd w:val="clear" w:color="auto" w:fill="FFFFFF"/>
            <w:vAlign w:val="center"/>
          </w:tcPr>
          <w:p w14:paraId="187D534C">
            <w:pPr>
              <w:spacing w:line="0" w:lineRule="atLeast"/>
              <w:jc w:val="center"/>
              <w:rPr>
                <w:color w:val="000000"/>
                <w:kern w:val="0"/>
                <w:sz w:val="22"/>
                <w:szCs w:val="22"/>
                <w:highlight w:val="none"/>
              </w:rPr>
            </w:pPr>
          </w:p>
        </w:tc>
        <w:tc>
          <w:tcPr>
            <w:tcW w:w="0" w:type="auto"/>
            <w:vMerge w:val="continue"/>
            <w:shd w:val="clear" w:color="auto" w:fill="FFFFFF"/>
            <w:vAlign w:val="center"/>
          </w:tcPr>
          <w:p w14:paraId="155D786F">
            <w:pPr>
              <w:spacing w:line="0" w:lineRule="atLeast"/>
              <w:jc w:val="center"/>
              <w:rPr>
                <w:color w:val="000000"/>
                <w:kern w:val="0"/>
                <w:sz w:val="22"/>
                <w:szCs w:val="22"/>
                <w:highlight w:val="none"/>
              </w:rPr>
            </w:pPr>
          </w:p>
        </w:tc>
        <w:tc>
          <w:tcPr>
            <w:tcW w:w="0" w:type="auto"/>
            <w:vMerge w:val="continue"/>
            <w:shd w:val="clear" w:color="auto" w:fill="FFFFFF"/>
            <w:vAlign w:val="center"/>
          </w:tcPr>
          <w:p w14:paraId="2566D3BE">
            <w:pPr>
              <w:spacing w:line="0" w:lineRule="atLeast"/>
              <w:jc w:val="center"/>
              <w:rPr>
                <w:color w:val="000000"/>
                <w:kern w:val="0"/>
                <w:sz w:val="22"/>
                <w:szCs w:val="22"/>
                <w:highlight w:val="none"/>
              </w:rPr>
            </w:pPr>
          </w:p>
        </w:tc>
        <w:tc>
          <w:tcPr>
            <w:tcW w:w="0" w:type="auto"/>
            <w:shd w:val="clear" w:color="auto" w:fill="FFFFFF"/>
            <w:vAlign w:val="center"/>
          </w:tcPr>
          <w:p w14:paraId="26651EC0">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0" w:type="auto"/>
            <w:shd w:val="clear" w:color="auto" w:fill="FFFFFF"/>
            <w:vAlign w:val="center"/>
          </w:tcPr>
          <w:p w14:paraId="0E8CD41D">
            <w:pPr>
              <w:widowControl/>
              <w:spacing w:line="0" w:lineRule="atLeast"/>
              <w:jc w:val="center"/>
              <w:rPr>
                <w:color w:val="000000"/>
                <w:kern w:val="0"/>
                <w:sz w:val="22"/>
                <w:szCs w:val="22"/>
                <w:highlight w:val="none"/>
              </w:rPr>
            </w:pPr>
            <w:r>
              <w:rPr>
                <w:color w:val="000000"/>
                <w:kern w:val="0"/>
                <w:sz w:val="22"/>
                <w:szCs w:val="22"/>
                <w:highlight w:val="none"/>
              </w:rPr>
              <w:t>4</w:t>
            </w:r>
          </w:p>
        </w:tc>
        <w:tc>
          <w:tcPr>
            <w:tcW w:w="0" w:type="auto"/>
            <w:shd w:val="clear" w:color="auto" w:fill="FFFFFF"/>
            <w:vAlign w:val="center"/>
          </w:tcPr>
          <w:p w14:paraId="37F86CCF">
            <w:pPr>
              <w:widowControl/>
              <w:spacing w:line="0" w:lineRule="atLeast"/>
              <w:jc w:val="center"/>
              <w:rPr>
                <w:color w:val="000000"/>
                <w:kern w:val="0"/>
                <w:sz w:val="22"/>
                <w:szCs w:val="22"/>
                <w:highlight w:val="none"/>
              </w:rPr>
            </w:pPr>
            <w:r>
              <w:rPr>
                <w:color w:val="000000"/>
                <w:kern w:val="0"/>
                <w:sz w:val="22"/>
                <w:szCs w:val="22"/>
                <w:highlight w:val="none"/>
              </w:rPr>
              <w:t>100%</w:t>
            </w:r>
          </w:p>
        </w:tc>
        <w:tc>
          <w:tcPr>
            <w:tcW w:w="0" w:type="auto"/>
            <w:shd w:val="clear" w:color="auto" w:fill="FFFFFF"/>
            <w:vAlign w:val="center"/>
          </w:tcPr>
          <w:p w14:paraId="5B93C8F4">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0" w:type="auto"/>
            <w:shd w:val="clear" w:color="auto" w:fill="FFFFFF"/>
            <w:vAlign w:val="center"/>
          </w:tcPr>
          <w:p w14:paraId="4373775C">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0" w:type="auto"/>
            <w:shd w:val="clear" w:color="auto" w:fill="FFFFFF"/>
            <w:vAlign w:val="center"/>
          </w:tcPr>
          <w:p w14:paraId="47AF8FE0">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0B2D8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continue"/>
            <w:shd w:val="clear" w:color="auto" w:fill="FFFFFF"/>
            <w:vAlign w:val="center"/>
          </w:tcPr>
          <w:p w14:paraId="00BBF79D">
            <w:pPr>
              <w:spacing w:line="0" w:lineRule="atLeast"/>
              <w:jc w:val="center"/>
              <w:rPr>
                <w:color w:val="000000"/>
                <w:kern w:val="0"/>
                <w:sz w:val="22"/>
                <w:szCs w:val="22"/>
                <w:highlight w:val="none"/>
              </w:rPr>
            </w:pPr>
          </w:p>
        </w:tc>
        <w:tc>
          <w:tcPr>
            <w:tcW w:w="0" w:type="auto"/>
            <w:vMerge w:val="continue"/>
            <w:shd w:val="clear" w:color="auto" w:fill="FFFFFF"/>
            <w:vAlign w:val="center"/>
          </w:tcPr>
          <w:p w14:paraId="0044371E">
            <w:pPr>
              <w:widowControl/>
              <w:spacing w:line="0" w:lineRule="atLeast"/>
              <w:jc w:val="center"/>
              <w:rPr>
                <w:color w:val="000000"/>
                <w:kern w:val="0"/>
                <w:sz w:val="22"/>
                <w:szCs w:val="22"/>
                <w:highlight w:val="none"/>
              </w:rPr>
            </w:pPr>
          </w:p>
        </w:tc>
        <w:tc>
          <w:tcPr>
            <w:tcW w:w="0" w:type="auto"/>
            <w:shd w:val="clear" w:color="auto" w:fill="FFFFFF"/>
            <w:vAlign w:val="center"/>
          </w:tcPr>
          <w:p w14:paraId="049BE879">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0" w:type="auto"/>
            <w:shd w:val="clear" w:color="auto" w:fill="FFFFFF"/>
            <w:vAlign w:val="center"/>
          </w:tcPr>
          <w:p w14:paraId="0EF1EEBB">
            <w:pPr>
              <w:widowControl/>
              <w:spacing w:line="0" w:lineRule="atLeast"/>
              <w:jc w:val="center"/>
              <w:rPr>
                <w:color w:val="000000"/>
                <w:kern w:val="0"/>
                <w:sz w:val="22"/>
                <w:szCs w:val="22"/>
                <w:highlight w:val="none"/>
              </w:rPr>
            </w:pPr>
            <w:r>
              <w:rPr>
                <w:color w:val="000000"/>
                <w:kern w:val="0"/>
                <w:sz w:val="22"/>
                <w:szCs w:val="22"/>
                <w:highlight w:val="none"/>
              </w:rPr>
              <w:t>资金使用</w:t>
            </w:r>
          </w:p>
          <w:p w14:paraId="58F71F7F">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0" w:type="auto"/>
            <w:shd w:val="clear" w:color="000000" w:fill="FFFFFF"/>
            <w:vAlign w:val="center"/>
          </w:tcPr>
          <w:p w14:paraId="290B70FB">
            <w:pPr>
              <w:widowControl/>
              <w:spacing w:line="0" w:lineRule="atLeast"/>
              <w:jc w:val="center"/>
              <w:rPr>
                <w:color w:val="000000"/>
                <w:kern w:val="0"/>
                <w:sz w:val="22"/>
                <w:szCs w:val="22"/>
                <w:highlight w:val="none"/>
              </w:rPr>
            </w:pPr>
            <w:r>
              <w:rPr>
                <w:color w:val="000000"/>
                <w:kern w:val="0"/>
                <w:sz w:val="22"/>
                <w:szCs w:val="22"/>
                <w:highlight w:val="none"/>
              </w:rPr>
              <w:t>4</w:t>
            </w:r>
          </w:p>
        </w:tc>
        <w:tc>
          <w:tcPr>
            <w:tcW w:w="0" w:type="auto"/>
            <w:shd w:val="clear" w:color="000000" w:fill="FFFFFF"/>
            <w:vAlign w:val="center"/>
          </w:tcPr>
          <w:p w14:paraId="4A7A4129">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0" w:type="auto"/>
            <w:shd w:val="clear" w:color="000000" w:fill="FFFFFF"/>
            <w:vAlign w:val="center"/>
          </w:tcPr>
          <w:p w14:paraId="15AE9419">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0" w:type="auto"/>
            <w:shd w:val="clear" w:color="000000" w:fill="FFFFFF"/>
            <w:vAlign w:val="center"/>
          </w:tcPr>
          <w:p w14:paraId="5B2B5A59">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0" w:type="auto"/>
            <w:shd w:val="clear" w:color="000000" w:fill="FFFFFF"/>
            <w:vAlign w:val="center"/>
          </w:tcPr>
          <w:p w14:paraId="115F22E1">
            <w:pPr>
              <w:widowControl/>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4</w:t>
            </w:r>
          </w:p>
        </w:tc>
      </w:tr>
      <w:tr w14:paraId="79691E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continue"/>
            <w:shd w:val="clear" w:color="auto" w:fill="FFFFFF"/>
            <w:vAlign w:val="center"/>
          </w:tcPr>
          <w:p w14:paraId="17509DCE">
            <w:pPr>
              <w:spacing w:line="0" w:lineRule="atLeast"/>
              <w:jc w:val="center"/>
              <w:rPr>
                <w:color w:val="000000"/>
                <w:kern w:val="0"/>
                <w:sz w:val="22"/>
                <w:szCs w:val="22"/>
                <w:highlight w:val="none"/>
              </w:rPr>
            </w:pPr>
          </w:p>
        </w:tc>
        <w:tc>
          <w:tcPr>
            <w:tcW w:w="0" w:type="auto"/>
            <w:vMerge w:val="continue"/>
            <w:shd w:val="clear" w:color="auto" w:fill="FFFFFF"/>
            <w:vAlign w:val="center"/>
          </w:tcPr>
          <w:p w14:paraId="032D8BD3">
            <w:pPr>
              <w:spacing w:line="0" w:lineRule="atLeast"/>
              <w:jc w:val="center"/>
              <w:rPr>
                <w:color w:val="000000"/>
                <w:kern w:val="0"/>
                <w:sz w:val="22"/>
                <w:szCs w:val="22"/>
                <w:highlight w:val="none"/>
              </w:rPr>
            </w:pPr>
          </w:p>
        </w:tc>
        <w:tc>
          <w:tcPr>
            <w:tcW w:w="0" w:type="auto"/>
            <w:vMerge w:val="restart"/>
            <w:shd w:val="clear" w:color="auto" w:fill="FFFFFF"/>
            <w:vAlign w:val="center"/>
          </w:tcPr>
          <w:p w14:paraId="66D238B2">
            <w:pPr>
              <w:widowControl/>
              <w:spacing w:line="0" w:lineRule="atLeast"/>
              <w:jc w:val="center"/>
              <w:rPr>
                <w:color w:val="000000"/>
                <w:kern w:val="0"/>
                <w:sz w:val="22"/>
                <w:szCs w:val="22"/>
                <w:highlight w:val="none"/>
              </w:rPr>
            </w:pPr>
            <w:r>
              <w:rPr>
                <w:color w:val="000000"/>
                <w:kern w:val="0"/>
                <w:sz w:val="22"/>
                <w:szCs w:val="22"/>
                <w:highlight w:val="none"/>
              </w:rPr>
              <w:t>组织实施</w:t>
            </w:r>
          </w:p>
        </w:tc>
        <w:tc>
          <w:tcPr>
            <w:tcW w:w="0" w:type="auto"/>
            <w:shd w:val="clear" w:color="auto" w:fill="FFFFFF"/>
            <w:vAlign w:val="center"/>
          </w:tcPr>
          <w:p w14:paraId="55A191A8">
            <w:pPr>
              <w:widowControl/>
              <w:spacing w:line="0" w:lineRule="atLeast"/>
              <w:jc w:val="center"/>
              <w:rPr>
                <w:color w:val="000000"/>
                <w:kern w:val="0"/>
                <w:sz w:val="22"/>
                <w:szCs w:val="22"/>
                <w:highlight w:val="none"/>
              </w:rPr>
            </w:pPr>
            <w:r>
              <w:rPr>
                <w:color w:val="000000"/>
                <w:kern w:val="0"/>
                <w:sz w:val="22"/>
                <w:szCs w:val="22"/>
                <w:highlight w:val="none"/>
              </w:rPr>
              <w:t>管理制度</w:t>
            </w:r>
          </w:p>
          <w:p w14:paraId="3BD89E35">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0" w:type="auto"/>
            <w:shd w:val="clear" w:color="000000" w:fill="FFFFFF"/>
            <w:vAlign w:val="center"/>
          </w:tcPr>
          <w:p w14:paraId="4EFD7F9A">
            <w:pPr>
              <w:widowControl/>
              <w:spacing w:line="0" w:lineRule="atLeast"/>
              <w:jc w:val="center"/>
              <w:rPr>
                <w:color w:val="000000"/>
                <w:kern w:val="0"/>
                <w:sz w:val="22"/>
                <w:szCs w:val="22"/>
                <w:highlight w:val="none"/>
              </w:rPr>
            </w:pPr>
            <w:r>
              <w:rPr>
                <w:color w:val="000000"/>
                <w:kern w:val="0"/>
                <w:sz w:val="22"/>
                <w:szCs w:val="22"/>
                <w:highlight w:val="none"/>
              </w:rPr>
              <w:t>4</w:t>
            </w:r>
          </w:p>
        </w:tc>
        <w:tc>
          <w:tcPr>
            <w:tcW w:w="0" w:type="auto"/>
            <w:shd w:val="clear" w:color="000000" w:fill="FFFFFF"/>
            <w:vAlign w:val="center"/>
          </w:tcPr>
          <w:p w14:paraId="1BC496C3">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0" w:type="auto"/>
            <w:shd w:val="clear" w:color="000000" w:fill="FFFFFF"/>
            <w:vAlign w:val="center"/>
          </w:tcPr>
          <w:p w14:paraId="469B4BBC">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0" w:type="auto"/>
            <w:shd w:val="clear" w:color="000000" w:fill="FFFFFF"/>
            <w:vAlign w:val="center"/>
          </w:tcPr>
          <w:p w14:paraId="1DB8E904">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0" w:type="auto"/>
            <w:shd w:val="clear" w:color="000000" w:fill="FFFFFF"/>
            <w:vAlign w:val="center"/>
          </w:tcPr>
          <w:p w14:paraId="0FDA4F95">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2A95AC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continue"/>
            <w:shd w:val="clear" w:color="auto" w:fill="FFFFFF"/>
            <w:vAlign w:val="center"/>
          </w:tcPr>
          <w:p w14:paraId="17E62A04">
            <w:pPr>
              <w:widowControl/>
              <w:spacing w:line="0" w:lineRule="atLeast"/>
              <w:jc w:val="center"/>
              <w:rPr>
                <w:color w:val="000000"/>
                <w:kern w:val="0"/>
                <w:sz w:val="22"/>
                <w:szCs w:val="22"/>
                <w:highlight w:val="none"/>
              </w:rPr>
            </w:pPr>
          </w:p>
        </w:tc>
        <w:tc>
          <w:tcPr>
            <w:tcW w:w="0" w:type="auto"/>
            <w:vMerge w:val="continue"/>
            <w:shd w:val="clear" w:color="auto" w:fill="FFFFFF"/>
            <w:vAlign w:val="center"/>
          </w:tcPr>
          <w:p w14:paraId="15319175">
            <w:pPr>
              <w:widowControl/>
              <w:spacing w:line="0" w:lineRule="atLeast"/>
              <w:jc w:val="center"/>
              <w:rPr>
                <w:color w:val="000000"/>
                <w:kern w:val="0"/>
                <w:sz w:val="22"/>
                <w:szCs w:val="22"/>
                <w:highlight w:val="none"/>
              </w:rPr>
            </w:pPr>
          </w:p>
        </w:tc>
        <w:tc>
          <w:tcPr>
            <w:tcW w:w="0" w:type="auto"/>
            <w:vMerge w:val="continue"/>
            <w:shd w:val="clear" w:color="auto" w:fill="FFFFFF"/>
            <w:vAlign w:val="center"/>
          </w:tcPr>
          <w:p w14:paraId="540F2ACA">
            <w:pPr>
              <w:widowControl/>
              <w:spacing w:line="0" w:lineRule="atLeast"/>
              <w:jc w:val="center"/>
              <w:rPr>
                <w:color w:val="000000"/>
                <w:kern w:val="0"/>
                <w:sz w:val="22"/>
                <w:szCs w:val="22"/>
                <w:highlight w:val="none"/>
              </w:rPr>
            </w:pPr>
          </w:p>
        </w:tc>
        <w:tc>
          <w:tcPr>
            <w:tcW w:w="0" w:type="auto"/>
            <w:shd w:val="clear" w:color="auto" w:fill="FFFFFF"/>
            <w:vAlign w:val="center"/>
          </w:tcPr>
          <w:p w14:paraId="72EFD049">
            <w:pPr>
              <w:widowControl/>
              <w:spacing w:line="0" w:lineRule="atLeast"/>
              <w:jc w:val="center"/>
              <w:rPr>
                <w:color w:val="000000"/>
                <w:kern w:val="0"/>
                <w:sz w:val="22"/>
                <w:szCs w:val="22"/>
                <w:highlight w:val="none"/>
              </w:rPr>
            </w:pPr>
            <w:r>
              <w:rPr>
                <w:color w:val="000000"/>
                <w:kern w:val="0"/>
                <w:sz w:val="22"/>
                <w:szCs w:val="22"/>
                <w:highlight w:val="none"/>
              </w:rPr>
              <w:t>制度执行</w:t>
            </w:r>
          </w:p>
          <w:p w14:paraId="4669ED0B">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0" w:type="auto"/>
            <w:shd w:val="clear" w:color="000000" w:fill="FFFFFF"/>
            <w:vAlign w:val="center"/>
          </w:tcPr>
          <w:p w14:paraId="6604488E">
            <w:pPr>
              <w:widowControl/>
              <w:spacing w:line="0" w:lineRule="atLeast"/>
              <w:jc w:val="center"/>
              <w:rPr>
                <w:color w:val="000000"/>
                <w:kern w:val="0"/>
                <w:sz w:val="22"/>
                <w:szCs w:val="22"/>
                <w:highlight w:val="none"/>
              </w:rPr>
            </w:pPr>
            <w:r>
              <w:rPr>
                <w:color w:val="000000"/>
                <w:kern w:val="0"/>
                <w:sz w:val="22"/>
                <w:szCs w:val="22"/>
                <w:highlight w:val="none"/>
              </w:rPr>
              <w:t>4</w:t>
            </w:r>
          </w:p>
        </w:tc>
        <w:tc>
          <w:tcPr>
            <w:tcW w:w="0" w:type="auto"/>
            <w:shd w:val="clear" w:color="000000" w:fill="FFFFFF"/>
            <w:vAlign w:val="center"/>
          </w:tcPr>
          <w:p w14:paraId="196FB8CC">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0" w:type="auto"/>
            <w:shd w:val="clear" w:color="000000" w:fill="FFFFFF"/>
            <w:vAlign w:val="center"/>
          </w:tcPr>
          <w:p w14:paraId="3A445756">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0" w:type="auto"/>
            <w:shd w:val="clear" w:color="000000" w:fill="FFFFFF"/>
            <w:vAlign w:val="center"/>
          </w:tcPr>
          <w:p w14:paraId="184A0F9C">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0" w:type="auto"/>
            <w:shd w:val="clear" w:color="000000" w:fill="FFFFFF"/>
            <w:vAlign w:val="center"/>
          </w:tcPr>
          <w:p w14:paraId="53E88463">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640221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restart"/>
            <w:shd w:val="clear" w:color="auto" w:fill="FFFFFF"/>
            <w:vAlign w:val="center"/>
          </w:tcPr>
          <w:p w14:paraId="5E0598CF">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0" w:type="auto"/>
            <w:vMerge w:val="restart"/>
            <w:shd w:val="clear" w:color="auto" w:fill="FFFFFF"/>
            <w:vAlign w:val="center"/>
          </w:tcPr>
          <w:p w14:paraId="1C36AC29">
            <w:pPr>
              <w:widowControl/>
              <w:spacing w:line="0" w:lineRule="atLeast"/>
              <w:jc w:val="center"/>
              <w:rPr>
                <w:color w:val="000000"/>
                <w:kern w:val="0"/>
                <w:sz w:val="22"/>
                <w:szCs w:val="22"/>
                <w:highlight w:val="none"/>
              </w:rPr>
            </w:pPr>
            <w:r>
              <w:rPr>
                <w:kern w:val="0"/>
                <w:sz w:val="22"/>
                <w:szCs w:val="22"/>
                <w:highlight w:val="none"/>
              </w:rPr>
              <w:t>40分</w:t>
            </w:r>
          </w:p>
        </w:tc>
        <w:tc>
          <w:tcPr>
            <w:tcW w:w="0" w:type="auto"/>
            <w:shd w:val="clear" w:color="auto" w:fill="FFFFFF"/>
            <w:vAlign w:val="center"/>
          </w:tcPr>
          <w:p w14:paraId="703BF96C">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0" w:type="auto"/>
            <w:shd w:val="clear" w:color="auto" w:fill="FFFFFF"/>
            <w:vAlign w:val="center"/>
          </w:tcPr>
          <w:p w14:paraId="15D6915D">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0" w:type="auto"/>
            <w:shd w:val="clear" w:color="000000" w:fill="FFFFFF"/>
            <w:vAlign w:val="center"/>
          </w:tcPr>
          <w:p w14:paraId="38255C96">
            <w:pPr>
              <w:widowControl/>
              <w:spacing w:line="0" w:lineRule="atLeast"/>
              <w:jc w:val="center"/>
              <w:rPr>
                <w:color w:val="000000"/>
                <w:kern w:val="0"/>
                <w:sz w:val="22"/>
                <w:szCs w:val="22"/>
                <w:highlight w:val="none"/>
              </w:rPr>
            </w:pPr>
            <w:r>
              <w:rPr>
                <w:color w:val="000000"/>
                <w:kern w:val="0"/>
                <w:sz w:val="22"/>
                <w:szCs w:val="22"/>
                <w:highlight w:val="none"/>
              </w:rPr>
              <w:t>10</w:t>
            </w:r>
          </w:p>
        </w:tc>
        <w:tc>
          <w:tcPr>
            <w:tcW w:w="0" w:type="auto"/>
            <w:shd w:val="clear" w:color="000000" w:fill="FFFFFF"/>
            <w:vAlign w:val="center"/>
          </w:tcPr>
          <w:p w14:paraId="051F4B82">
            <w:pPr>
              <w:widowControl/>
              <w:spacing w:line="0" w:lineRule="atLeast"/>
              <w:jc w:val="center"/>
              <w:rPr>
                <w:color w:val="000000"/>
                <w:kern w:val="0"/>
                <w:sz w:val="22"/>
                <w:szCs w:val="22"/>
                <w:highlight w:val="none"/>
              </w:rPr>
            </w:pPr>
            <w:r>
              <w:rPr>
                <w:color w:val="000000"/>
                <w:kern w:val="0"/>
                <w:sz w:val="22"/>
                <w:szCs w:val="22"/>
                <w:highlight w:val="none"/>
              </w:rPr>
              <w:t>100%</w:t>
            </w:r>
          </w:p>
        </w:tc>
        <w:tc>
          <w:tcPr>
            <w:tcW w:w="0" w:type="auto"/>
            <w:shd w:val="clear" w:color="000000" w:fill="FFFFFF"/>
            <w:vAlign w:val="center"/>
          </w:tcPr>
          <w:p w14:paraId="23C1EE13">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122.18</w:t>
            </w:r>
            <w:r>
              <w:rPr>
                <w:color w:val="000000"/>
                <w:kern w:val="0"/>
                <w:sz w:val="22"/>
                <w:szCs w:val="22"/>
                <w:highlight w:val="none"/>
              </w:rPr>
              <w:t>%</w:t>
            </w:r>
          </w:p>
        </w:tc>
        <w:tc>
          <w:tcPr>
            <w:tcW w:w="0" w:type="auto"/>
            <w:shd w:val="clear" w:color="000000" w:fill="FFFFFF"/>
            <w:vAlign w:val="center"/>
          </w:tcPr>
          <w:p w14:paraId="3D9EAD3F">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0" w:type="auto"/>
            <w:shd w:val="clear" w:color="000000" w:fill="FFFFFF"/>
            <w:vAlign w:val="center"/>
          </w:tcPr>
          <w:p w14:paraId="0D777A18">
            <w:pPr>
              <w:widowControl/>
              <w:spacing w:line="0" w:lineRule="atLeast"/>
              <w:jc w:val="center"/>
              <w:rPr>
                <w:rFonts w:hint="default"/>
                <w:color w:val="000000"/>
                <w:kern w:val="0"/>
                <w:sz w:val="22"/>
                <w:szCs w:val="22"/>
                <w:highlight w:val="none"/>
                <w:lang w:val="en-US"/>
              </w:rPr>
            </w:pPr>
            <w:r>
              <w:rPr>
                <w:rFonts w:hint="eastAsia"/>
                <w:color w:val="000000"/>
                <w:kern w:val="0"/>
                <w:sz w:val="22"/>
                <w:szCs w:val="22"/>
                <w:highlight w:val="none"/>
                <w:lang w:val="en-US" w:eastAsia="zh-CN"/>
              </w:rPr>
              <w:t>10</w:t>
            </w:r>
          </w:p>
        </w:tc>
      </w:tr>
      <w:tr w14:paraId="0D249A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continue"/>
            <w:shd w:val="clear" w:color="auto" w:fill="FFFFFF"/>
            <w:vAlign w:val="center"/>
          </w:tcPr>
          <w:p w14:paraId="29818B65">
            <w:pPr>
              <w:widowControl/>
              <w:spacing w:line="0" w:lineRule="atLeast"/>
              <w:jc w:val="center"/>
              <w:rPr>
                <w:color w:val="000000"/>
                <w:kern w:val="0"/>
                <w:sz w:val="22"/>
                <w:szCs w:val="22"/>
                <w:highlight w:val="none"/>
              </w:rPr>
            </w:pPr>
          </w:p>
        </w:tc>
        <w:tc>
          <w:tcPr>
            <w:tcW w:w="0" w:type="auto"/>
            <w:vMerge w:val="continue"/>
            <w:shd w:val="clear" w:color="auto" w:fill="FFFFFF"/>
            <w:vAlign w:val="center"/>
          </w:tcPr>
          <w:p w14:paraId="3EE8EE39">
            <w:pPr>
              <w:widowControl/>
              <w:spacing w:line="0" w:lineRule="atLeast"/>
              <w:jc w:val="center"/>
              <w:rPr>
                <w:color w:val="000000"/>
                <w:kern w:val="0"/>
                <w:sz w:val="22"/>
                <w:szCs w:val="22"/>
                <w:highlight w:val="none"/>
              </w:rPr>
            </w:pPr>
          </w:p>
        </w:tc>
        <w:tc>
          <w:tcPr>
            <w:tcW w:w="0" w:type="auto"/>
            <w:shd w:val="clear" w:color="auto" w:fill="FFFFFF"/>
            <w:vAlign w:val="center"/>
          </w:tcPr>
          <w:p w14:paraId="6B2F7B97">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0" w:type="auto"/>
            <w:shd w:val="clear" w:color="auto" w:fill="FFFFFF"/>
            <w:vAlign w:val="center"/>
          </w:tcPr>
          <w:p w14:paraId="7CC4C3EA">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0" w:type="auto"/>
            <w:shd w:val="clear" w:color="000000" w:fill="FFFFFF"/>
            <w:vAlign w:val="center"/>
          </w:tcPr>
          <w:p w14:paraId="0A38BB28">
            <w:pPr>
              <w:widowControl/>
              <w:spacing w:line="0" w:lineRule="atLeast"/>
              <w:jc w:val="center"/>
              <w:rPr>
                <w:color w:val="000000"/>
                <w:kern w:val="0"/>
                <w:sz w:val="22"/>
                <w:szCs w:val="22"/>
                <w:highlight w:val="none"/>
              </w:rPr>
            </w:pPr>
            <w:r>
              <w:rPr>
                <w:color w:val="000000"/>
                <w:kern w:val="0"/>
                <w:sz w:val="22"/>
                <w:szCs w:val="22"/>
                <w:highlight w:val="none"/>
              </w:rPr>
              <w:t>10</w:t>
            </w:r>
          </w:p>
        </w:tc>
        <w:tc>
          <w:tcPr>
            <w:tcW w:w="0" w:type="auto"/>
            <w:shd w:val="clear" w:color="000000" w:fill="FFFFFF"/>
            <w:vAlign w:val="center"/>
          </w:tcPr>
          <w:p w14:paraId="4EF61BAD">
            <w:pPr>
              <w:widowControl/>
              <w:spacing w:line="0" w:lineRule="atLeast"/>
              <w:jc w:val="center"/>
              <w:rPr>
                <w:color w:val="000000"/>
                <w:kern w:val="0"/>
                <w:sz w:val="22"/>
                <w:szCs w:val="22"/>
                <w:highlight w:val="none"/>
              </w:rPr>
            </w:pPr>
            <w:r>
              <w:rPr>
                <w:color w:val="000000"/>
                <w:kern w:val="0"/>
                <w:sz w:val="22"/>
                <w:szCs w:val="22"/>
                <w:highlight w:val="none"/>
              </w:rPr>
              <w:t>100%</w:t>
            </w:r>
          </w:p>
        </w:tc>
        <w:tc>
          <w:tcPr>
            <w:tcW w:w="0" w:type="auto"/>
            <w:shd w:val="clear" w:color="000000" w:fill="FFFFFF"/>
            <w:vAlign w:val="center"/>
          </w:tcPr>
          <w:p w14:paraId="1001E98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121.86</w:t>
            </w:r>
            <w:r>
              <w:rPr>
                <w:color w:val="000000"/>
                <w:kern w:val="0"/>
                <w:sz w:val="22"/>
                <w:szCs w:val="22"/>
                <w:highlight w:val="none"/>
              </w:rPr>
              <w:t>%</w:t>
            </w:r>
          </w:p>
        </w:tc>
        <w:tc>
          <w:tcPr>
            <w:tcW w:w="0" w:type="auto"/>
            <w:shd w:val="clear" w:color="000000" w:fill="FFFFFF"/>
            <w:vAlign w:val="center"/>
          </w:tcPr>
          <w:p w14:paraId="38EB4D19">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0" w:type="auto"/>
            <w:shd w:val="clear" w:color="000000" w:fill="FFFFFF"/>
            <w:vAlign w:val="center"/>
          </w:tcPr>
          <w:p w14:paraId="39A92C4B">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5997DB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continue"/>
            <w:shd w:val="clear" w:color="auto" w:fill="FFFFFF"/>
            <w:vAlign w:val="center"/>
          </w:tcPr>
          <w:p w14:paraId="7CC40FF0">
            <w:pPr>
              <w:spacing w:line="0" w:lineRule="atLeast"/>
              <w:jc w:val="center"/>
              <w:rPr>
                <w:color w:val="000000"/>
                <w:kern w:val="0"/>
                <w:sz w:val="22"/>
                <w:szCs w:val="22"/>
                <w:highlight w:val="none"/>
              </w:rPr>
            </w:pPr>
          </w:p>
        </w:tc>
        <w:tc>
          <w:tcPr>
            <w:tcW w:w="0" w:type="auto"/>
            <w:vMerge w:val="continue"/>
            <w:shd w:val="clear" w:color="auto" w:fill="FFFFFF"/>
            <w:vAlign w:val="center"/>
          </w:tcPr>
          <w:p w14:paraId="6BBC83EE">
            <w:pPr>
              <w:spacing w:line="0" w:lineRule="atLeast"/>
              <w:jc w:val="center"/>
              <w:rPr>
                <w:color w:val="000000"/>
                <w:kern w:val="0"/>
                <w:sz w:val="22"/>
                <w:szCs w:val="22"/>
                <w:highlight w:val="none"/>
              </w:rPr>
            </w:pPr>
          </w:p>
        </w:tc>
        <w:tc>
          <w:tcPr>
            <w:tcW w:w="0" w:type="auto"/>
            <w:shd w:val="clear" w:color="auto" w:fill="FFFFFF"/>
            <w:vAlign w:val="center"/>
          </w:tcPr>
          <w:p w14:paraId="709CF1E2">
            <w:pPr>
              <w:spacing w:line="0" w:lineRule="atLeast"/>
              <w:jc w:val="center"/>
              <w:rPr>
                <w:color w:val="000000"/>
                <w:kern w:val="0"/>
                <w:sz w:val="22"/>
                <w:szCs w:val="22"/>
                <w:highlight w:val="none"/>
              </w:rPr>
            </w:pPr>
            <w:r>
              <w:rPr>
                <w:color w:val="000000"/>
                <w:kern w:val="0"/>
                <w:sz w:val="22"/>
                <w:szCs w:val="22"/>
                <w:highlight w:val="none"/>
              </w:rPr>
              <w:t>产出时效</w:t>
            </w:r>
          </w:p>
        </w:tc>
        <w:tc>
          <w:tcPr>
            <w:tcW w:w="0" w:type="auto"/>
            <w:shd w:val="clear" w:color="auto" w:fill="FFFFFF"/>
            <w:vAlign w:val="center"/>
          </w:tcPr>
          <w:p w14:paraId="5C9529AE">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0" w:type="auto"/>
            <w:shd w:val="clear" w:color="000000" w:fill="FFFFFF"/>
            <w:vAlign w:val="center"/>
          </w:tcPr>
          <w:p w14:paraId="4B1CE84A">
            <w:pPr>
              <w:widowControl/>
              <w:spacing w:line="0" w:lineRule="atLeast"/>
              <w:jc w:val="center"/>
              <w:rPr>
                <w:color w:val="000000"/>
                <w:kern w:val="0"/>
                <w:sz w:val="22"/>
                <w:szCs w:val="22"/>
                <w:highlight w:val="none"/>
              </w:rPr>
            </w:pPr>
            <w:r>
              <w:rPr>
                <w:color w:val="000000"/>
                <w:kern w:val="0"/>
                <w:sz w:val="22"/>
                <w:szCs w:val="22"/>
                <w:highlight w:val="none"/>
              </w:rPr>
              <w:t>10</w:t>
            </w:r>
          </w:p>
        </w:tc>
        <w:tc>
          <w:tcPr>
            <w:tcW w:w="0" w:type="auto"/>
            <w:shd w:val="clear" w:color="000000" w:fill="FFFFFF"/>
            <w:vAlign w:val="center"/>
          </w:tcPr>
          <w:p w14:paraId="28485265">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0" w:type="auto"/>
            <w:shd w:val="clear" w:color="000000" w:fill="FFFFFF"/>
            <w:vAlign w:val="center"/>
          </w:tcPr>
          <w:p w14:paraId="57D516D7">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0" w:type="auto"/>
            <w:shd w:val="clear" w:color="000000" w:fill="FFFFFF"/>
            <w:vAlign w:val="center"/>
          </w:tcPr>
          <w:p w14:paraId="2F0A5895">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0" w:type="auto"/>
            <w:shd w:val="clear" w:color="000000" w:fill="FFFFFF"/>
            <w:vAlign w:val="center"/>
          </w:tcPr>
          <w:p w14:paraId="48E2486B">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696871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8" w:hRule="atLeast"/>
        </w:trPr>
        <w:tc>
          <w:tcPr>
            <w:tcW w:w="0" w:type="auto"/>
            <w:vMerge w:val="continue"/>
            <w:shd w:val="clear" w:color="auto" w:fill="FFFFFF"/>
            <w:vAlign w:val="center"/>
          </w:tcPr>
          <w:p w14:paraId="48FCE4B4">
            <w:pPr>
              <w:widowControl/>
              <w:spacing w:line="0" w:lineRule="atLeast"/>
              <w:jc w:val="center"/>
              <w:rPr>
                <w:color w:val="000000"/>
                <w:kern w:val="0"/>
                <w:sz w:val="22"/>
                <w:szCs w:val="22"/>
                <w:highlight w:val="none"/>
              </w:rPr>
            </w:pPr>
          </w:p>
        </w:tc>
        <w:tc>
          <w:tcPr>
            <w:tcW w:w="0" w:type="auto"/>
            <w:vMerge w:val="continue"/>
            <w:shd w:val="clear" w:color="auto" w:fill="FFFFFF"/>
            <w:vAlign w:val="center"/>
          </w:tcPr>
          <w:p w14:paraId="329F6D54">
            <w:pPr>
              <w:widowControl/>
              <w:spacing w:line="0" w:lineRule="atLeast"/>
              <w:jc w:val="center"/>
              <w:rPr>
                <w:color w:val="000000"/>
                <w:kern w:val="0"/>
                <w:sz w:val="22"/>
                <w:szCs w:val="22"/>
                <w:highlight w:val="none"/>
              </w:rPr>
            </w:pPr>
          </w:p>
        </w:tc>
        <w:tc>
          <w:tcPr>
            <w:tcW w:w="0" w:type="auto"/>
            <w:shd w:val="clear" w:color="auto" w:fill="FFFFFF"/>
            <w:vAlign w:val="center"/>
          </w:tcPr>
          <w:p w14:paraId="6D0D9885">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0" w:type="auto"/>
            <w:shd w:val="clear" w:color="auto" w:fill="FFFFFF"/>
            <w:vAlign w:val="center"/>
          </w:tcPr>
          <w:p w14:paraId="1B3C76C6">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0" w:type="auto"/>
            <w:shd w:val="clear" w:color="000000" w:fill="FFFFFF"/>
            <w:vAlign w:val="center"/>
          </w:tcPr>
          <w:p w14:paraId="3690B0BB">
            <w:pPr>
              <w:widowControl/>
              <w:spacing w:line="0" w:lineRule="atLeast"/>
              <w:jc w:val="center"/>
              <w:rPr>
                <w:color w:val="000000"/>
                <w:kern w:val="0"/>
                <w:sz w:val="22"/>
                <w:szCs w:val="22"/>
                <w:highlight w:val="none"/>
              </w:rPr>
            </w:pPr>
            <w:r>
              <w:rPr>
                <w:color w:val="000000"/>
                <w:kern w:val="0"/>
                <w:sz w:val="22"/>
                <w:szCs w:val="22"/>
                <w:highlight w:val="none"/>
              </w:rPr>
              <w:t>10</w:t>
            </w:r>
          </w:p>
        </w:tc>
        <w:tc>
          <w:tcPr>
            <w:tcW w:w="0" w:type="auto"/>
            <w:shd w:val="clear" w:color="000000" w:fill="FFFFFF"/>
            <w:vAlign w:val="center"/>
          </w:tcPr>
          <w:p w14:paraId="613BDC4B">
            <w:pPr>
              <w:widowControl/>
              <w:spacing w:line="0" w:lineRule="atLeast"/>
              <w:jc w:val="center"/>
              <w:rPr>
                <w:color w:val="000000"/>
                <w:kern w:val="0"/>
                <w:sz w:val="22"/>
                <w:szCs w:val="22"/>
                <w:highlight w:val="none"/>
              </w:rPr>
            </w:pPr>
            <w:r>
              <w:rPr>
                <w:color w:val="000000"/>
                <w:kern w:val="0"/>
                <w:sz w:val="22"/>
                <w:szCs w:val="22"/>
                <w:highlight w:val="none"/>
              </w:rPr>
              <w:t>100%</w:t>
            </w:r>
          </w:p>
        </w:tc>
        <w:tc>
          <w:tcPr>
            <w:tcW w:w="0" w:type="auto"/>
            <w:shd w:val="clear" w:color="000000" w:fill="FFFFFF"/>
            <w:vAlign w:val="center"/>
          </w:tcPr>
          <w:p w14:paraId="1C9B89FD">
            <w:pPr>
              <w:widowControl/>
              <w:spacing w:line="0" w:lineRule="atLeast"/>
              <w:jc w:val="center"/>
              <w:rPr>
                <w:color w:val="000000"/>
                <w:kern w:val="0"/>
                <w:sz w:val="22"/>
                <w:szCs w:val="22"/>
                <w:highlight w:val="none"/>
              </w:rPr>
            </w:pPr>
            <w:r>
              <w:rPr>
                <w:rFonts w:hint="eastAsia"/>
                <w:color w:val="000000"/>
                <w:kern w:val="0"/>
                <w:sz w:val="22"/>
                <w:szCs w:val="22"/>
                <w:highlight w:val="none"/>
              </w:rPr>
              <w:t>100</w:t>
            </w:r>
            <w:r>
              <w:rPr>
                <w:color w:val="000000"/>
                <w:kern w:val="0"/>
                <w:sz w:val="22"/>
                <w:szCs w:val="22"/>
                <w:highlight w:val="none"/>
              </w:rPr>
              <w:t>%</w:t>
            </w:r>
          </w:p>
        </w:tc>
        <w:tc>
          <w:tcPr>
            <w:tcW w:w="0" w:type="auto"/>
            <w:shd w:val="clear" w:color="000000" w:fill="FFFFFF"/>
            <w:vAlign w:val="center"/>
          </w:tcPr>
          <w:p w14:paraId="361BDBAF">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0" w:type="auto"/>
            <w:shd w:val="clear" w:color="000000" w:fill="FFFFFF"/>
            <w:vAlign w:val="center"/>
          </w:tcPr>
          <w:p w14:paraId="6DF2C513">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36CDA8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2" w:hRule="atLeast"/>
        </w:trPr>
        <w:tc>
          <w:tcPr>
            <w:tcW w:w="0" w:type="auto"/>
            <w:vMerge w:val="restart"/>
            <w:shd w:val="clear" w:color="auto" w:fill="FFFFFF"/>
            <w:vAlign w:val="center"/>
          </w:tcPr>
          <w:p w14:paraId="6EA104E2">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0" w:type="auto"/>
            <w:vMerge w:val="restart"/>
            <w:shd w:val="clear" w:color="auto" w:fill="FFFFFF"/>
            <w:vAlign w:val="center"/>
          </w:tcPr>
          <w:p w14:paraId="283AF042">
            <w:pPr>
              <w:widowControl/>
              <w:spacing w:line="0" w:lineRule="atLeast"/>
              <w:jc w:val="center"/>
              <w:rPr>
                <w:color w:val="000000"/>
                <w:kern w:val="0"/>
                <w:sz w:val="22"/>
                <w:szCs w:val="22"/>
                <w:highlight w:val="none"/>
              </w:rPr>
            </w:pPr>
            <w:r>
              <w:rPr>
                <w:color w:val="000000"/>
                <w:kern w:val="0"/>
                <w:sz w:val="22"/>
                <w:szCs w:val="22"/>
                <w:highlight w:val="none"/>
              </w:rPr>
              <w:t>20分</w:t>
            </w:r>
          </w:p>
        </w:tc>
        <w:tc>
          <w:tcPr>
            <w:tcW w:w="0" w:type="auto"/>
            <w:vMerge w:val="restart"/>
            <w:shd w:val="clear" w:color="auto" w:fill="FFFFFF"/>
            <w:vAlign w:val="center"/>
          </w:tcPr>
          <w:p w14:paraId="401CACA0">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0" w:type="auto"/>
            <w:shd w:val="clear" w:color="auto" w:fill="FFFFFF"/>
            <w:vAlign w:val="center"/>
          </w:tcPr>
          <w:p w14:paraId="2E796D41">
            <w:pPr>
              <w:widowControl/>
              <w:spacing w:line="0" w:lineRule="atLeast"/>
              <w:jc w:val="center"/>
              <w:rPr>
                <w:color w:val="000000"/>
                <w:kern w:val="0"/>
                <w:sz w:val="22"/>
                <w:szCs w:val="22"/>
                <w:highlight w:val="none"/>
              </w:rPr>
            </w:pPr>
            <w:r>
              <w:rPr>
                <w:color w:val="000000"/>
                <w:kern w:val="0"/>
                <w:sz w:val="22"/>
                <w:szCs w:val="22"/>
                <w:highlight w:val="none"/>
              </w:rPr>
              <w:t>实施效益</w:t>
            </w:r>
          </w:p>
          <w:p w14:paraId="5D54322A">
            <w:pPr>
              <w:widowControl/>
              <w:spacing w:line="0" w:lineRule="atLeast"/>
              <w:jc w:val="center"/>
              <w:rPr>
                <w:color w:val="000000"/>
                <w:kern w:val="0"/>
                <w:sz w:val="22"/>
                <w:szCs w:val="22"/>
                <w:highlight w:val="none"/>
              </w:rPr>
            </w:pPr>
            <w:r>
              <w:rPr>
                <w:color w:val="000000"/>
                <w:kern w:val="0"/>
                <w:sz w:val="22"/>
                <w:szCs w:val="22"/>
                <w:highlight w:val="none"/>
              </w:rPr>
              <w:t>（社会效益、经济效益、可持续效益）</w:t>
            </w:r>
          </w:p>
        </w:tc>
        <w:tc>
          <w:tcPr>
            <w:tcW w:w="0" w:type="auto"/>
            <w:shd w:val="clear" w:color="auto" w:fill="FFFFFF"/>
            <w:vAlign w:val="center"/>
          </w:tcPr>
          <w:p w14:paraId="4794ED61">
            <w:pPr>
              <w:widowControl/>
              <w:spacing w:line="0" w:lineRule="atLeast"/>
              <w:jc w:val="center"/>
              <w:rPr>
                <w:color w:val="000000"/>
                <w:kern w:val="0"/>
                <w:sz w:val="22"/>
                <w:szCs w:val="22"/>
                <w:highlight w:val="none"/>
              </w:rPr>
            </w:pPr>
            <w:r>
              <w:rPr>
                <w:color w:val="000000"/>
                <w:kern w:val="0"/>
                <w:sz w:val="22"/>
                <w:szCs w:val="22"/>
                <w:highlight w:val="none"/>
              </w:rPr>
              <w:t>10</w:t>
            </w:r>
          </w:p>
        </w:tc>
        <w:tc>
          <w:tcPr>
            <w:tcW w:w="0" w:type="auto"/>
            <w:shd w:val="clear" w:color="auto" w:fill="FFFFFF"/>
            <w:vAlign w:val="center"/>
          </w:tcPr>
          <w:p w14:paraId="276200AE">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0" w:type="auto"/>
            <w:shd w:val="clear" w:color="auto" w:fill="FFFFFF"/>
            <w:vAlign w:val="center"/>
          </w:tcPr>
          <w:p w14:paraId="2A553FED">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0" w:type="auto"/>
            <w:shd w:val="clear" w:color="auto" w:fill="FFFFFF"/>
            <w:vAlign w:val="center"/>
          </w:tcPr>
          <w:p w14:paraId="499C218E">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90%</w:t>
            </w:r>
          </w:p>
        </w:tc>
        <w:tc>
          <w:tcPr>
            <w:tcW w:w="0" w:type="auto"/>
            <w:shd w:val="clear" w:color="auto" w:fill="FFFFFF"/>
            <w:vAlign w:val="center"/>
          </w:tcPr>
          <w:p w14:paraId="5C0B79E2">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9</w:t>
            </w:r>
          </w:p>
        </w:tc>
      </w:tr>
      <w:tr w14:paraId="2229E6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4" w:hRule="atLeast"/>
        </w:trPr>
        <w:tc>
          <w:tcPr>
            <w:tcW w:w="0" w:type="auto"/>
            <w:vMerge w:val="continue"/>
            <w:shd w:val="clear" w:color="auto" w:fill="FFFFFF"/>
            <w:vAlign w:val="center"/>
          </w:tcPr>
          <w:p w14:paraId="21132B7D">
            <w:pPr>
              <w:widowControl/>
              <w:spacing w:line="0" w:lineRule="atLeast"/>
              <w:jc w:val="center"/>
              <w:rPr>
                <w:color w:val="000000"/>
                <w:kern w:val="0"/>
                <w:sz w:val="22"/>
                <w:szCs w:val="22"/>
                <w:highlight w:val="none"/>
              </w:rPr>
            </w:pPr>
          </w:p>
        </w:tc>
        <w:tc>
          <w:tcPr>
            <w:tcW w:w="0" w:type="auto"/>
            <w:vMerge w:val="continue"/>
            <w:shd w:val="clear" w:color="auto" w:fill="FFFFFF"/>
            <w:vAlign w:val="center"/>
          </w:tcPr>
          <w:p w14:paraId="53DEB4E1">
            <w:pPr>
              <w:widowControl/>
              <w:spacing w:line="0" w:lineRule="atLeast"/>
              <w:jc w:val="center"/>
              <w:rPr>
                <w:color w:val="000000"/>
                <w:kern w:val="0"/>
                <w:sz w:val="22"/>
                <w:szCs w:val="22"/>
                <w:highlight w:val="none"/>
              </w:rPr>
            </w:pPr>
          </w:p>
        </w:tc>
        <w:tc>
          <w:tcPr>
            <w:tcW w:w="0" w:type="auto"/>
            <w:vMerge w:val="continue"/>
            <w:shd w:val="clear" w:color="auto" w:fill="FFFFFF"/>
            <w:vAlign w:val="center"/>
          </w:tcPr>
          <w:p w14:paraId="4AD0E049">
            <w:pPr>
              <w:widowControl/>
              <w:spacing w:line="0" w:lineRule="atLeast"/>
              <w:jc w:val="center"/>
              <w:rPr>
                <w:color w:val="000000"/>
                <w:kern w:val="0"/>
                <w:sz w:val="22"/>
                <w:szCs w:val="22"/>
                <w:highlight w:val="none"/>
              </w:rPr>
            </w:pPr>
          </w:p>
        </w:tc>
        <w:tc>
          <w:tcPr>
            <w:tcW w:w="0" w:type="auto"/>
            <w:shd w:val="clear" w:color="auto" w:fill="FFFFFF"/>
            <w:vAlign w:val="center"/>
          </w:tcPr>
          <w:p w14:paraId="5A895921">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0" w:type="auto"/>
            <w:shd w:val="clear" w:color="000000" w:fill="FFFFFF"/>
            <w:vAlign w:val="center"/>
          </w:tcPr>
          <w:p w14:paraId="7CF3901A">
            <w:pPr>
              <w:widowControl/>
              <w:spacing w:line="0" w:lineRule="atLeast"/>
              <w:jc w:val="center"/>
              <w:rPr>
                <w:color w:val="000000"/>
                <w:kern w:val="0"/>
                <w:sz w:val="22"/>
                <w:szCs w:val="22"/>
                <w:highlight w:val="none"/>
              </w:rPr>
            </w:pPr>
            <w:r>
              <w:rPr>
                <w:color w:val="000000"/>
                <w:kern w:val="0"/>
                <w:sz w:val="22"/>
                <w:szCs w:val="22"/>
                <w:highlight w:val="none"/>
              </w:rPr>
              <w:t>10</w:t>
            </w:r>
          </w:p>
        </w:tc>
        <w:tc>
          <w:tcPr>
            <w:tcW w:w="0" w:type="auto"/>
            <w:shd w:val="clear" w:color="000000" w:fill="FFFFFF"/>
            <w:vAlign w:val="center"/>
          </w:tcPr>
          <w:p w14:paraId="030099AB">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90</w:t>
            </w:r>
            <w:r>
              <w:rPr>
                <w:color w:val="000000"/>
                <w:kern w:val="0"/>
                <w:sz w:val="22"/>
                <w:szCs w:val="22"/>
                <w:highlight w:val="none"/>
              </w:rPr>
              <w:t>%</w:t>
            </w:r>
          </w:p>
        </w:tc>
        <w:tc>
          <w:tcPr>
            <w:tcW w:w="0" w:type="auto"/>
            <w:shd w:val="clear" w:color="000000" w:fill="FFFFFF"/>
            <w:vAlign w:val="center"/>
          </w:tcPr>
          <w:p w14:paraId="0E67519D">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99</w:t>
            </w:r>
            <w:r>
              <w:rPr>
                <w:color w:val="000000"/>
                <w:kern w:val="0"/>
                <w:sz w:val="22"/>
                <w:szCs w:val="22"/>
                <w:highlight w:val="none"/>
              </w:rPr>
              <w:t>%</w:t>
            </w:r>
          </w:p>
        </w:tc>
        <w:tc>
          <w:tcPr>
            <w:tcW w:w="0" w:type="auto"/>
            <w:shd w:val="clear" w:color="000000" w:fill="FFFFFF"/>
            <w:vAlign w:val="center"/>
          </w:tcPr>
          <w:p w14:paraId="1DE9C5F8">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0" w:type="auto"/>
            <w:shd w:val="clear" w:color="000000" w:fill="FFFFFF"/>
            <w:vAlign w:val="center"/>
          </w:tcPr>
          <w:p w14:paraId="22AC21E2">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bl>
    <w:p w14:paraId="563F8F9F">
      <w:pPr>
        <w:spacing w:line="560" w:lineRule="exact"/>
        <w:rPr>
          <w:rFonts w:eastAsia="黑体"/>
          <w:sz w:val="32"/>
          <w:szCs w:val="32"/>
          <w:highlight w:val="none"/>
        </w:rPr>
      </w:pPr>
      <w:r>
        <w:rPr>
          <w:rFonts w:eastAsia="黑体"/>
          <w:sz w:val="32"/>
          <w:szCs w:val="32"/>
          <w:highlight w:val="none"/>
        </w:rPr>
        <w:t>四、绩效评价指标分析</w:t>
      </w:r>
    </w:p>
    <w:p w14:paraId="28565082">
      <w:pPr>
        <w:pStyle w:val="2"/>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14:paraId="7CAF2BAC">
      <w:pPr>
        <w:spacing w:line="360" w:lineRule="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1、立项依据充分性</w:t>
      </w:r>
    </w:p>
    <w:p w14:paraId="5EEA8F9E">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医院各项</w:t>
      </w:r>
      <w:r>
        <w:rPr>
          <w:rFonts w:hint="default" w:ascii="Times New Roman" w:hAnsi="Times New Roman" w:eastAsia="仿宋_GB2312" w:cs="Times New Roman"/>
          <w:sz w:val="32"/>
          <w:szCs w:val="32"/>
          <w:highlight w:val="none"/>
          <w:lang w:eastAsia="zh-CN"/>
        </w:rPr>
        <w:t>政府采购</w:t>
      </w:r>
      <w:r>
        <w:rPr>
          <w:rFonts w:hint="default" w:ascii="Times New Roman" w:hAnsi="Times New Roman" w:eastAsia="仿宋_GB2312" w:cs="Times New Roman"/>
          <w:sz w:val="32"/>
          <w:szCs w:val="32"/>
          <w:highlight w:val="none"/>
        </w:rPr>
        <w:t>项目严格按照《新疆医科大学第五附属医院预算管理办法</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新疆医科大学第五附属医院预算内经费审批权限》等文件进行管理。结合医院整体资金状况，统筹考虑资金分配，财务科上报《新疆医科大学第五附属医院资金测算表》为领导整体统筹资金做好基础工作。</w:t>
      </w:r>
    </w:p>
    <w:p w14:paraId="3B071049">
      <w:pPr>
        <w:spacing w:line="360" w:lineRule="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2、立项程序规范性</w:t>
      </w:r>
    </w:p>
    <w:p w14:paraId="38707CE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项目申请、设立过程符合相关要求，</w:t>
      </w:r>
      <w:r>
        <w:rPr>
          <w:rFonts w:hint="eastAsia" w:ascii="仿宋_GB2312" w:hAnsi="仿宋_GB2312" w:eastAsia="仿宋_GB2312" w:cs="仿宋_GB2312"/>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绩效评估、集体决策，保障了程序的规范性。</w:t>
      </w:r>
    </w:p>
    <w:p w14:paraId="11138B39">
      <w:pPr>
        <w:spacing w:line="360" w:lineRule="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3、绩效目标合理性</w:t>
      </w:r>
    </w:p>
    <w:p w14:paraId="7ADB19F3">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医院政府采购</w:t>
      </w:r>
      <w:r>
        <w:rPr>
          <w:rFonts w:hint="default" w:ascii="Times New Roman" w:hAnsi="Times New Roman" w:eastAsia="仿宋_GB2312" w:cs="Times New Roman"/>
          <w:color w:val="auto"/>
          <w:sz w:val="32"/>
          <w:szCs w:val="32"/>
          <w:highlight w:val="none"/>
        </w:rPr>
        <w:t>项目设立了项目绩效目标，与</w:t>
      </w:r>
      <w:r>
        <w:rPr>
          <w:rFonts w:hint="default" w:ascii="Times New Roman" w:hAnsi="Times New Roman" w:eastAsia="仿宋_GB2312" w:cs="Times New Roman"/>
          <w:color w:val="auto"/>
          <w:sz w:val="32"/>
          <w:szCs w:val="32"/>
          <w:highlight w:val="none"/>
          <w:lang w:eastAsia="zh-CN"/>
        </w:rPr>
        <w:t>医院政府采购</w:t>
      </w:r>
      <w:r>
        <w:rPr>
          <w:rFonts w:hint="default" w:ascii="Times New Roman" w:hAnsi="Times New Roman" w:eastAsia="仿宋_GB2312" w:cs="Times New Roman"/>
          <w:color w:val="auto"/>
          <w:sz w:val="32"/>
          <w:szCs w:val="32"/>
          <w:highlight w:val="none"/>
        </w:rPr>
        <w:t>具有相关性，项目的预期产出效益和效果也均能符合正常的业绩水平，并且与预算确定的项目投资额或资金量相匹配。</w:t>
      </w:r>
    </w:p>
    <w:p w14:paraId="0D01B99B">
      <w:pPr>
        <w:spacing w:line="360" w:lineRule="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4、绩效指标明确性</w:t>
      </w:r>
    </w:p>
    <w:p w14:paraId="00571770">
      <w:pPr>
        <w:spacing w:line="360" w:lineRule="auto"/>
        <w:ind w:firstLine="640" w:firstLineChars="200"/>
        <w:rPr>
          <w:rFonts w:hint="default" w:ascii="Times New Roman" w:hAnsi="Times New Roman" w:eastAsia="仿宋_GB2312" w:cs="Times New Roman"/>
          <w:color w:val="auto"/>
          <w:sz w:val="32"/>
          <w:szCs w:val="32"/>
          <w:highlight w:val="none"/>
        </w:rPr>
      </w:pPr>
      <w:bookmarkStart w:id="4" w:name="_Hlk68699917"/>
      <w:r>
        <w:rPr>
          <w:rFonts w:hint="default" w:ascii="Times New Roman" w:hAnsi="Times New Roman" w:eastAsia="仿宋_GB2312" w:cs="Times New Roman"/>
          <w:color w:val="auto"/>
          <w:sz w:val="32"/>
          <w:szCs w:val="32"/>
          <w:highlight w:val="none"/>
          <w:lang w:eastAsia="zh-CN"/>
        </w:rPr>
        <w:t>医院政府采购</w:t>
      </w:r>
      <w:r>
        <w:rPr>
          <w:rFonts w:hint="default" w:ascii="Times New Roman" w:hAnsi="Times New Roman" w:eastAsia="仿宋_GB2312" w:cs="Times New Roman"/>
          <w:color w:val="auto"/>
          <w:sz w:val="32"/>
          <w:szCs w:val="32"/>
          <w:highlight w:val="none"/>
        </w:rPr>
        <w:t>项目将项目绩效目标细化分解为具体的绩效指标，一级指标共</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条，二级指标共</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条，三级指标共</w:t>
      </w: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条，其中量化指标条数共</w:t>
      </w:r>
      <w:r>
        <w:rPr>
          <w:rFonts w:hint="default"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条，所有绩效指标均通过清晰、可衡量的指标值予以体现，并且做到了与项目目标任务数或计划数相对应。</w:t>
      </w:r>
      <w:bookmarkEnd w:id="4"/>
    </w:p>
    <w:p w14:paraId="34B42987">
      <w:pPr>
        <w:spacing w:line="360" w:lineRule="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5、预算编制科学性</w:t>
      </w:r>
    </w:p>
    <w:p w14:paraId="3E60C7B4">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①预算编制经过科学论证；</w:t>
      </w:r>
    </w:p>
    <w:p w14:paraId="36CF75F4">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②预算内容与项目内容匹配；</w:t>
      </w:r>
    </w:p>
    <w:p w14:paraId="1C7F1CE3">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③预算额度测算依据充分，按照标准编制；</w:t>
      </w:r>
    </w:p>
    <w:p w14:paraId="26505F0A">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④预算确定的项目投资额或资金量与工作任务相匹配。</w:t>
      </w:r>
    </w:p>
    <w:p w14:paraId="415A6921">
      <w:pPr>
        <w:spacing w:line="360" w:lineRule="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6、资金分配合理性</w:t>
      </w:r>
    </w:p>
    <w:p w14:paraId="00BF3548">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①预算资金分配依据充分；</w:t>
      </w:r>
    </w:p>
    <w:p w14:paraId="4A8F2FE8">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val="0"/>
          <w:bCs w:val="0"/>
          <w:color w:val="auto"/>
          <w:kern w:val="2"/>
          <w:sz w:val="32"/>
          <w:szCs w:val="32"/>
          <w:highlight w:val="none"/>
          <w:lang w:val="en-US" w:eastAsia="zh-CN" w:bidi="ar-SA"/>
        </w:rPr>
        <w:t>②资金分配额度合理，与项目实际相适应。</w:t>
      </w:r>
    </w:p>
    <w:p w14:paraId="579CCBDE">
      <w:pPr>
        <w:pStyle w:val="2"/>
        <w:numPr>
          <w:ilvl w:val="0"/>
          <w:numId w:val="5"/>
        </w:numPr>
        <w:spacing w:before="0" w:after="0" w:line="560" w:lineRule="exact"/>
        <w:ind w:firstLine="643" w:firstLineChars="200"/>
        <w:jc w:val="both"/>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项目过程情况</w:t>
      </w:r>
    </w:p>
    <w:p w14:paraId="67D0B9C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4ADCE0D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default" w:ascii="Times New Roman" w:hAnsi="Times New Roman" w:eastAsia="仿宋_GB2312" w:cs="Times New Roman"/>
          <w:color w:val="auto"/>
          <w:sz w:val="32"/>
          <w:szCs w:val="32"/>
          <w:highlight w:val="none"/>
          <w:lang w:val="en-US" w:eastAsia="zh-CN"/>
        </w:rPr>
        <w:t>43933.41</w:t>
      </w:r>
      <w:r>
        <w:rPr>
          <w:rFonts w:hint="default" w:ascii="Times New Roman" w:hAnsi="Times New Roman" w:eastAsia="仿宋_GB2312" w:cs="Times New Roman"/>
          <w:sz w:val="32"/>
          <w:szCs w:val="32"/>
          <w:highlight w:val="none"/>
          <w:lang w:val="en-US" w:eastAsia="zh-CN"/>
        </w:rPr>
        <w:t>万元，财政资金及时足额到位，到位率100%，预算资金按计划进度执行。</w:t>
      </w:r>
    </w:p>
    <w:p w14:paraId="38ECCE6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3410FDA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default" w:ascii="Times New Roman" w:hAnsi="Times New Roman" w:eastAsia="仿宋_GB2312" w:cs="Times New Roman"/>
          <w:color w:val="auto"/>
          <w:sz w:val="32"/>
          <w:szCs w:val="32"/>
          <w:highlight w:val="none"/>
          <w:lang w:val="en-US" w:eastAsia="zh-CN"/>
        </w:rPr>
        <w:t>43933.41</w:t>
      </w:r>
      <w:r>
        <w:rPr>
          <w:rFonts w:hint="default" w:ascii="Times New Roman" w:hAnsi="Times New Roman" w:eastAsia="仿宋_GB2312" w:cs="Times New Roman"/>
          <w:sz w:val="32"/>
          <w:szCs w:val="32"/>
          <w:highlight w:val="none"/>
          <w:lang w:val="en-US" w:eastAsia="zh-CN"/>
        </w:rPr>
        <w:t>万元，预算执行率为100%。</w:t>
      </w:r>
    </w:p>
    <w:p w14:paraId="277E227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5F6B0DF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项目严格按照预期绩效目标执行预算资金。制定了相关的制度和管理规定，对项目经费使用进行规范管理，财务制度健</w:t>
      </w:r>
      <w:r>
        <w:rPr>
          <w:rFonts w:hint="eastAsia" w:ascii="仿宋_GB2312" w:hAnsi="仿宋_GB2312" w:eastAsia="仿宋_GB2312" w:cs="仿宋_GB2312"/>
          <w:sz w:val="32"/>
          <w:szCs w:val="32"/>
          <w:highlight w:val="none"/>
          <w:lang w:val="en-US" w:eastAsia="zh-CN"/>
        </w:rPr>
        <w:t>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553A097D">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2.组织实施</w:t>
      </w:r>
    </w:p>
    <w:p w14:paraId="45C8511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（1）管理制度健全性</w:t>
      </w:r>
    </w:p>
    <w:p w14:paraId="5C4E803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16A3946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（2）制度执行有效性</w:t>
      </w:r>
    </w:p>
    <w:p w14:paraId="3460070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14:paraId="29B19335">
      <w:pPr>
        <w:pStyle w:val="2"/>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（三）</w:t>
      </w:r>
      <w:r>
        <w:rPr>
          <w:rFonts w:ascii="Times New Roman" w:hAnsi="Times New Roman" w:eastAsia="楷体_GB2312"/>
          <w:highlight w:val="none"/>
        </w:rPr>
        <w:t>项目产出</w:t>
      </w:r>
    </w:p>
    <w:p w14:paraId="548B7923">
      <w:pPr>
        <w:spacing w:line="600" w:lineRule="exact"/>
        <w:ind w:firstLine="627" w:firstLineChars="200"/>
        <w:rPr>
          <w:rStyle w:val="23"/>
          <w:rFonts w:eastAsia="仿宋"/>
          <w:b/>
          <w:bCs w:val="0"/>
          <w:spacing w:val="-4"/>
          <w:sz w:val="32"/>
          <w:szCs w:val="32"/>
          <w:highlight w:val="none"/>
        </w:rPr>
      </w:pPr>
      <w:r>
        <w:rPr>
          <w:rStyle w:val="23"/>
          <w:rFonts w:eastAsia="仿宋"/>
          <w:b/>
          <w:bCs w:val="0"/>
          <w:spacing w:val="-4"/>
          <w:sz w:val="32"/>
          <w:szCs w:val="32"/>
          <w:highlight w:val="none"/>
        </w:rPr>
        <w:t>数量指标方面：</w:t>
      </w:r>
    </w:p>
    <w:p w14:paraId="5B3C4D51">
      <w:pPr>
        <w:pStyle w:val="2"/>
        <w:keepNext w:val="0"/>
        <w:keepLines w:val="0"/>
        <w:pageBreakBefore w:val="0"/>
        <w:widowControl/>
        <w:numPr>
          <w:ilvl w:val="0"/>
          <w:numId w:val="0"/>
        </w:numPr>
        <w:kinsoku/>
        <w:wordWrap/>
        <w:overflowPunct/>
        <w:topLinePunct w:val="0"/>
        <w:autoSpaceDE/>
        <w:autoSpaceDN/>
        <w:bidi w:val="0"/>
        <w:adjustRightInd/>
        <w:snapToGrid/>
        <w:spacing w:before="0" w:after="0"/>
        <w:ind w:firstLine="624"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Style w:val="23"/>
          <w:rFonts w:hint="eastAsia" w:eastAsia="仿宋_GB2312"/>
          <w:b w:val="0"/>
          <w:bCs/>
          <w:spacing w:val="-4"/>
          <w:sz w:val="32"/>
          <w:szCs w:val="32"/>
          <w:highlight w:val="none"/>
        </w:rPr>
        <w:t>指标</w:t>
      </w:r>
      <w:r>
        <w:rPr>
          <w:rStyle w:val="23"/>
          <w:rFonts w:hint="eastAsia" w:eastAsia="仿宋_GB2312"/>
          <w:b w:val="0"/>
          <w:bCs/>
          <w:spacing w:val="-4"/>
          <w:sz w:val="32"/>
          <w:szCs w:val="32"/>
          <w:highlight w:val="none"/>
          <w:lang w:val="en-US" w:eastAsia="zh-CN"/>
        </w:rPr>
        <w:t>1</w:t>
      </w:r>
      <w:r>
        <w:rPr>
          <w:rStyle w:val="23"/>
          <w:rFonts w:hint="eastAsia" w:eastAsia="仿宋_GB2312"/>
          <w:b w:val="0"/>
          <w:bCs/>
          <w:spacing w:val="-4"/>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 xml:space="preserve">医疗设备购置数指标，指标值为〉=100台，实际完成115台，完成率115%，偏差率15%，偏差原因是成本降低，购置数增加。  </w:t>
      </w:r>
    </w:p>
    <w:p w14:paraId="3E2A361E">
      <w:pPr>
        <w:pStyle w:val="2"/>
        <w:keepNext w:val="0"/>
        <w:keepLines w:val="0"/>
        <w:pageBreakBefore w:val="0"/>
        <w:widowControl/>
        <w:numPr>
          <w:ilvl w:val="0"/>
          <w:numId w:val="0"/>
        </w:numPr>
        <w:kinsoku/>
        <w:wordWrap/>
        <w:overflowPunct/>
        <w:topLinePunct w:val="0"/>
        <w:autoSpaceDE/>
        <w:autoSpaceDN/>
        <w:bidi w:val="0"/>
        <w:adjustRightInd/>
        <w:snapToGrid/>
        <w:spacing w:before="0" w:after="0"/>
        <w:ind w:firstLine="624" w:firstLineChars="200"/>
        <w:jc w:val="left"/>
        <w:textAlignment w:val="auto"/>
        <w:rPr>
          <w:rFonts w:hint="eastAsia"/>
          <w:highlight w:val="none"/>
          <w:lang w:val="en-US" w:eastAsia="zh-CN"/>
        </w:rPr>
      </w:pPr>
      <w:r>
        <w:rPr>
          <w:rStyle w:val="23"/>
          <w:rFonts w:hint="eastAsia" w:eastAsia="仿宋_GB2312"/>
          <w:b w:val="0"/>
          <w:bCs/>
          <w:spacing w:val="-4"/>
          <w:sz w:val="32"/>
          <w:szCs w:val="32"/>
          <w:highlight w:val="none"/>
        </w:rPr>
        <w:t>指标</w:t>
      </w:r>
      <w:r>
        <w:rPr>
          <w:rStyle w:val="23"/>
          <w:rFonts w:hint="eastAsia" w:eastAsia="仿宋_GB2312"/>
          <w:b w:val="0"/>
          <w:bCs/>
          <w:spacing w:val="-4"/>
          <w:sz w:val="32"/>
          <w:szCs w:val="32"/>
          <w:highlight w:val="none"/>
          <w:lang w:val="en-US" w:eastAsia="zh-CN"/>
        </w:rPr>
        <w:t>2：</w:t>
      </w:r>
      <w:r>
        <w:rPr>
          <w:rFonts w:hint="eastAsia" w:ascii="仿宋_GB2312" w:hAnsi="仿宋_GB2312" w:eastAsia="仿宋_GB2312" w:cs="仿宋_GB2312"/>
          <w:b w:val="0"/>
          <w:bCs w:val="0"/>
          <w:kern w:val="2"/>
          <w:sz w:val="32"/>
          <w:szCs w:val="32"/>
          <w:highlight w:val="none"/>
          <w:lang w:val="en-US" w:eastAsia="zh-CN" w:bidi="ar-SA"/>
        </w:rPr>
        <w:t>办公设备购置数指标，指标值为〉=10套，实际完成11套，完成率100%，偏差率0%，偏差原因是无偏差。</w:t>
      </w:r>
    </w:p>
    <w:p w14:paraId="58670654">
      <w:pPr>
        <w:numPr>
          <w:ilvl w:val="0"/>
          <w:numId w:val="0"/>
        </w:numPr>
        <w:ind w:firstLine="624" w:firstLineChars="200"/>
        <w:rPr>
          <w:rFonts w:hint="eastAsia"/>
          <w:highlight w:val="none"/>
          <w:lang w:val="en-US" w:eastAsia="zh-CN"/>
        </w:rPr>
      </w:pPr>
      <w:r>
        <w:rPr>
          <w:rStyle w:val="23"/>
          <w:rFonts w:hint="eastAsia" w:eastAsia="仿宋_GB2312"/>
          <w:b w:val="0"/>
          <w:bCs/>
          <w:spacing w:val="-4"/>
          <w:sz w:val="32"/>
          <w:szCs w:val="32"/>
          <w:highlight w:val="none"/>
        </w:rPr>
        <w:t>指标</w:t>
      </w:r>
      <w:r>
        <w:rPr>
          <w:rStyle w:val="23"/>
          <w:rFonts w:hint="eastAsia" w:eastAsia="仿宋_GB2312"/>
          <w:b w:val="0"/>
          <w:bCs/>
          <w:spacing w:val="-4"/>
          <w:sz w:val="32"/>
          <w:szCs w:val="32"/>
          <w:highlight w:val="none"/>
          <w:lang w:val="en-US" w:eastAsia="zh-CN"/>
        </w:rPr>
        <w:t>3：</w:t>
      </w:r>
      <w:r>
        <w:rPr>
          <w:rFonts w:hint="eastAsia" w:ascii="仿宋_GB2312" w:hAnsi="仿宋_GB2312" w:eastAsia="仿宋_GB2312" w:cs="仿宋_GB2312"/>
          <w:b w:val="0"/>
          <w:bCs w:val="0"/>
          <w:kern w:val="2"/>
          <w:sz w:val="32"/>
          <w:szCs w:val="32"/>
          <w:highlight w:val="none"/>
          <w:lang w:val="en-US" w:eastAsia="zh-CN" w:bidi="ar-SA"/>
        </w:rPr>
        <w:t>药品网采率，指标值为〉=99%，实际完成99.93%，完成率100%，偏差率0%，偏差原因是无偏差。</w:t>
      </w:r>
    </w:p>
    <w:p w14:paraId="04F44201">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Style w:val="52"/>
          <w:rFonts w:hint="eastAsia" w:eastAsia="仿宋_GB2312" w:cs="Times New Roman"/>
          <w:b/>
          <w:bCs/>
          <w:color w:val="auto"/>
          <w:highlight w:val="none"/>
          <w:lang w:eastAsia="zh-CN"/>
        </w:rPr>
      </w:pPr>
      <w:r>
        <w:rPr>
          <w:rStyle w:val="52"/>
          <w:rFonts w:ascii="Times New Roman" w:hAnsi="Times New Roman" w:cs="Times New Roman"/>
          <w:b/>
          <w:bCs/>
          <w:color w:val="auto"/>
          <w:highlight w:val="none"/>
        </w:rPr>
        <w:t>质量指标方面：</w:t>
      </w:r>
    </w:p>
    <w:p w14:paraId="62179956">
      <w:pPr>
        <w:pStyle w:val="2"/>
        <w:keepNext w:val="0"/>
        <w:keepLines w:val="0"/>
        <w:pageBreakBefore w:val="0"/>
        <w:numPr>
          <w:ilvl w:val="0"/>
          <w:numId w:val="0"/>
        </w:numPr>
        <w:kinsoku/>
        <w:wordWrap/>
        <w:overflowPunct/>
        <w:topLinePunct w:val="0"/>
        <w:autoSpaceDE/>
        <w:autoSpaceDN/>
        <w:bidi w:val="0"/>
        <w:adjustRightInd/>
        <w:snapToGrid/>
        <w:spacing w:before="0" w:after="0"/>
        <w:ind w:firstLine="624"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Style w:val="23"/>
          <w:rFonts w:hint="eastAsia" w:eastAsia="仿宋_GB2312"/>
          <w:b w:val="0"/>
          <w:bCs/>
          <w:spacing w:val="-4"/>
          <w:sz w:val="32"/>
          <w:szCs w:val="32"/>
          <w:highlight w:val="none"/>
        </w:rPr>
        <w:t>指标</w:t>
      </w:r>
      <w:r>
        <w:rPr>
          <w:rStyle w:val="23"/>
          <w:rFonts w:hint="eastAsia" w:eastAsia="仿宋_GB2312"/>
          <w:b w:val="0"/>
          <w:bCs/>
          <w:spacing w:val="-4"/>
          <w:sz w:val="32"/>
          <w:szCs w:val="32"/>
          <w:highlight w:val="none"/>
          <w:lang w:val="en-US" w:eastAsia="zh-CN"/>
        </w:rPr>
        <w:t>1</w:t>
      </w:r>
      <w:r>
        <w:rPr>
          <w:rStyle w:val="23"/>
          <w:rFonts w:hint="eastAsia" w:eastAsia="仿宋_GB2312"/>
          <w:b w:val="0"/>
          <w:bCs/>
          <w:spacing w:val="-4"/>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信息办公设备采购质量合格率指标，指标值为〉=90%，实际完成100%，完成率100%，偏差率0%，偏差原因是无偏差。</w:t>
      </w:r>
    </w:p>
    <w:p w14:paraId="6D7C973E">
      <w:pPr>
        <w:pStyle w:val="2"/>
        <w:keepNext w:val="0"/>
        <w:keepLines w:val="0"/>
        <w:pageBreakBefore w:val="0"/>
        <w:numPr>
          <w:ilvl w:val="0"/>
          <w:numId w:val="0"/>
        </w:numPr>
        <w:kinsoku/>
        <w:wordWrap/>
        <w:overflowPunct/>
        <w:topLinePunct w:val="0"/>
        <w:autoSpaceDE/>
        <w:autoSpaceDN/>
        <w:bidi w:val="0"/>
        <w:adjustRightInd/>
        <w:snapToGrid/>
        <w:spacing w:before="0" w:after="0"/>
        <w:ind w:firstLine="624" w:firstLineChars="200"/>
        <w:jc w:val="left"/>
        <w:textAlignment w:val="auto"/>
        <w:rPr>
          <w:rStyle w:val="52"/>
          <w:rFonts w:ascii="Times New Roman" w:hAnsi="Times New Roman" w:cs="Times New Roman"/>
          <w:b w:val="0"/>
          <w:bCs w:val="0"/>
          <w:color w:val="auto"/>
          <w:highlight w:val="none"/>
        </w:rPr>
      </w:pPr>
      <w:r>
        <w:rPr>
          <w:rStyle w:val="23"/>
          <w:rFonts w:hint="eastAsia" w:eastAsia="仿宋_GB2312"/>
          <w:b w:val="0"/>
          <w:bCs/>
          <w:spacing w:val="-4"/>
          <w:sz w:val="32"/>
          <w:szCs w:val="32"/>
          <w:highlight w:val="none"/>
        </w:rPr>
        <w:t>指标</w:t>
      </w:r>
      <w:r>
        <w:rPr>
          <w:rStyle w:val="23"/>
          <w:rFonts w:hint="eastAsia" w:eastAsia="仿宋_GB2312"/>
          <w:b w:val="0"/>
          <w:bCs/>
          <w:spacing w:val="-4"/>
          <w:sz w:val="32"/>
          <w:szCs w:val="32"/>
          <w:highlight w:val="none"/>
          <w:lang w:val="en-US" w:eastAsia="zh-CN"/>
        </w:rPr>
        <w:t>2</w:t>
      </w:r>
      <w:r>
        <w:rPr>
          <w:rStyle w:val="23"/>
          <w:rFonts w:hint="eastAsia" w:eastAsia="仿宋_GB2312"/>
          <w:b w:val="0"/>
          <w:bCs/>
          <w:spacing w:val="-4"/>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医疗设备采购质量合格率指标，指标值为〉=90%，实际完成100%，完成率100%，偏差率0%，偏差原因是无偏差。</w:t>
      </w:r>
    </w:p>
    <w:p w14:paraId="32AA99B6">
      <w:pPr>
        <w:pStyle w:val="2"/>
        <w:keepNext w:val="0"/>
        <w:keepLines w:val="0"/>
        <w:pageBreakBefore w:val="0"/>
        <w:kinsoku/>
        <w:wordWrap/>
        <w:overflowPunct/>
        <w:topLinePunct w:val="0"/>
        <w:autoSpaceDE/>
        <w:autoSpaceDN/>
        <w:bidi w:val="0"/>
        <w:adjustRightInd/>
        <w:snapToGrid/>
        <w:spacing w:before="0" w:after="0" w:line="600" w:lineRule="exact"/>
        <w:ind w:firstLine="643" w:firstLineChars="200"/>
        <w:jc w:val="both"/>
        <w:textAlignment w:val="auto"/>
        <w:rPr>
          <w:rStyle w:val="52"/>
          <w:rFonts w:ascii="Times New Roman" w:hAnsi="Times New Roman" w:cs="Times New Roman"/>
          <w:b/>
          <w:bCs/>
          <w:color w:val="auto"/>
          <w:highlight w:val="none"/>
        </w:rPr>
      </w:pPr>
      <w:r>
        <w:rPr>
          <w:rStyle w:val="52"/>
          <w:rFonts w:ascii="Times New Roman" w:hAnsi="Times New Roman" w:cs="Times New Roman"/>
          <w:b/>
          <w:bCs/>
          <w:color w:val="auto"/>
          <w:highlight w:val="none"/>
        </w:rPr>
        <w:t>成本指标方面：</w:t>
      </w:r>
    </w:p>
    <w:p w14:paraId="6E03DCA5">
      <w:pPr>
        <w:pStyle w:val="2"/>
        <w:keepNext w:val="0"/>
        <w:keepLines w:val="0"/>
        <w:pageBreakBefore w:val="0"/>
        <w:numPr>
          <w:ilvl w:val="0"/>
          <w:numId w:val="0"/>
        </w:numPr>
        <w:kinsoku/>
        <w:wordWrap/>
        <w:overflowPunct/>
        <w:topLinePunct w:val="0"/>
        <w:autoSpaceDE/>
        <w:autoSpaceDN/>
        <w:bidi w:val="0"/>
        <w:adjustRightInd/>
        <w:snapToGrid/>
        <w:spacing w:before="0" w:after="0"/>
        <w:ind w:firstLine="624" w:firstLineChars="200"/>
        <w:jc w:val="left"/>
        <w:textAlignment w:val="auto"/>
        <w:rPr>
          <w:highlight w:val="none"/>
        </w:rPr>
      </w:pPr>
      <w:r>
        <w:rPr>
          <w:rStyle w:val="23"/>
          <w:rFonts w:hint="eastAsia" w:eastAsia="仿宋_GB2312"/>
          <w:b w:val="0"/>
          <w:bCs/>
          <w:spacing w:val="-4"/>
          <w:sz w:val="32"/>
          <w:szCs w:val="32"/>
          <w:highlight w:val="none"/>
        </w:rPr>
        <w:t>指标</w:t>
      </w:r>
      <w:r>
        <w:rPr>
          <w:rStyle w:val="23"/>
          <w:rFonts w:hint="eastAsia" w:eastAsia="仿宋_GB2312"/>
          <w:b w:val="0"/>
          <w:bCs/>
          <w:spacing w:val="-4"/>
          <w:sz w:val="32"/>
          <w:szCs w:val="32"/>
          <w:highlight w:val="none"/>
          <w:lang w:val="en-US" w:eastAsia="zh-CN"/>
        </w:rPr>
        <w:t>1</w:t>
      </w:r>
      <w:r>
        <w:rPr>
          <w:rStyle w:val="23"/>
          <w:rFonts w:hint="eastAsia" w:eastAsia="仿宋_GB2312"/>
          <w:b w:val="0"/>
          <w:bCs/>
          <w:spacing w:val="-4"/>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预算成本控制率指标，指标值为〈=100%，实际完成100%，完成率100%，偏差率0%，偏差原因是无偏差。</w:t>
      </w:r>
    </w:p>
    <w:p w14:paraId="21D7E13B">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Style w:val="52"/>
          <w:rFonts w:ascii="Times New Roman" w:hAnsi="Times New Roman" w:cs="Times New Roman"/>
          <w:b/>
          <w:bCs/>
          <w:color w:val="auto"/>
          <w:highlight w:val="none"/>
        </w:rPr>
      </w:pPr>
      <w:r>
        <w:rPr>
          <w:rStyle w:val="52"/>
          <w:rFonts w:ascii="Times New Roman" w:hAnsi="Times New Roman" w:cs="Times New Roman"/>
          <w:b/>
          <w:bCs/>
          <w:color w:val="auto"/>
          <w:highlight w:val="none"/>
        </w:rPr>
        <w:t>时效指标方面：</w:t>
      </w:r>
    </w:p>
    <w:p w14:paraId="27626CCC">
      <w:pPr>
        <w:pStyle w:val="2"/>
        <w:keepNext w:val="0"/>
        <w:keepLines w:val="0"/>
        <w:pageBreakBefore w:val="0"/>
        <w:numPr>
          <w:ilvl w:val="0"/>
          <w:numId w:val="0"/>
        </w:numPr>
        <w:kinsoku/>
        <w:wordWrap/>
        <w:overflowPunct/>
        <w:topLinePunct w:val="0"/>
        <w:autoSpaceDE/>
        <w:autoSpaceDN/>
        <w:bidi w:val="0"/>
        <w:adjustRightInd/>
        <w:snapToGrid/>
        <w:spacing w:before="0" w:after="0"/>
        <w:ind w:firstLine="624" w:firstLineChars="200"/>
        <w:jc w:val="left"/>
        <w:textAlignment w:val="auto"/>
        <w:rPr>
          <w:highlight w:val="none"/>
        </w:rPr>
      </w:pPr>
      <w:r>
        <w:rPr>
          <w:rStyle w:val="23"/>
          <w:rFonts w:hint="eastAsia" w:eastAsia="仿宋_GB2312"/>
          <w:b w:val="0"/>
          <w:bCs/>
          <w:spacing w:val="-4"/>
          <w:sz w:val="32"/>
          <w:szCs w:val="32"/>
          <w:highlight w:val="none"/>
        </w:rPr>
        <w:t>指标</w:t>
      </w:r>
      <w:r>
        <w:rPr>
          <w:rStyle w:val="23"/>
          <w:rFonts w:hint="eastAsia" w:eastAsia="仿宋_GB2312"/>
          <w:b w:val="0"/>
          <w:bCs/>
          <w:spacing w:val="-4"/>
          <w:sz w:val="32"/>
          <w:szCs w:val="32"/>
          <w:highlight w:val="none"/>
          <w:lang w:val="en-US" w:eastAsia="zh-CN"/>
        </w:rPr>
        <w:t>1</w:t>
      </w:r>
      <w:r>
        <w:rPr>
          <w:rStyle w:val="23"/>
          <w:rFonts w:hint="eastAsia" w:eastAsia="仿宋_GB2312"/>
          <w:b w:val="0"/>
          <w:bCs/>
          <w:spacing w:val="-4"/>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资金支付及时率指标，指标值为〉=80%，实际完成95%，完成率100%，偏差率0%，偏差原因是无偏差。</w:t>
      </w:r>
    </w:p>
    <w:p w14:paraId="46DAF5CC">
      <w:pPr>
        <w:pStyle w:val="2"/>
        <w:keepNext w:val="0"/>
        <w:keepLines w:val="0"/>
        <w:pageBreakBefore w:val="0"/>
        <w:kinsoku/>
        <w:wordWrap/>
        <w:overflowPunct/>
        <w:topLinePunct w:val="0"/>
        <w:autoSpaceDE/>
        <w:autoSpaceDN/>
        <w:bidi w:val="0"/>
        <w:adjustRightInd/>
        <w:snapToGrid/>
        <w:spacing w:before="0" w:after="0"/>
        <w:ind w:firstLine="321" w:firstLineChars="100"/>
        <w:jc w:val="both"/>
        <w:textAlignment w:val="auto"/>
        <w:rPr>
          <w:rFonts w:ascii="Times New Roman" w:hAnsi="Times New Roman"/>
          <w:highlight w:val="none"/>
        </w:rPr>
      </w:pPr>
      <w:r>
        <w:rPr>
          <w:rFonts w:hint="eastAsia" w:ascii="Times New Roman" w:hAnsi="Times New Roman" w:eastAsia="楷体_GB2312"/>
          <w:highlight w:val="none"/>
        </w:rPr>
        <w:t>（四）</w:t>
      </w:r>
      <w:r>
        <w:rPr>
          <w:rFonts w:ascii="Times New Roman" w:hAnsi="Times New Roman" w:eastAsia="楷体_GB2312"/>
          <w:highlight w:val="none"/>
        </w:rPr>
        <w:t>效益情况</w:t>
      </w:r>
    </w:p>
    <w:p w14:paraId="37D78BA3">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Style w:val="52"/>
          <w:rFonts w:ascii="Times New Roman" w:hAnsi="Times New Roman" w:cs="Times New Roman"/>
          <w:b/>
          <w:bCs/>
          <w:color w:val="auto"/>
          <w:highlight w:val="none"/>
        </w:rPr>
      </w:pPr>
      <w:r>
        <w:rPr>
          <w:rStyle w:val="52"/>
          <w:rFonts w:ascii="Times New Roman" w:hAnsi="Times New Roman" w:cs="Times New Roman"/>
          <w:b/>
          <w:bCs/>
          <w:color w:val="auto"/>
          <w:highlight w:val="none"/>
        </w:rPr>
        <w:t>社会效益指标方面：</w:t>
      </w:r>
    </w:p>
    <w:p w14:paraId="6F8AB24A">
      <w:pPr>
        <w:pStyle w:val="2"/>
        <w:keepNext w:val="0"/>
        <w:keepLines w:val="0"/>
        <w:pageBreakBefore w:val="0"/>
        <w:numPr>
          <w:ilvl w:val="0"/>
          <w:numId w:val="0"/>
        </w:numPr>
        <w:kinsoku/>
        <w:wordWrap/>
        <w:overflowPunct/>
        <w:topLinePunct w:val="0"/>
        <w:autoSpaceDE/>
        <w:autoSpaceDN/>
        <w:bidi w:val="0"/>
        <w:adjustRightInd/>
        <w:snapToGrid/>
        <w:spacing w:before="0" w:after="0"/>
        <w:ind w:firstLine="624" w:firstLineChars="200"/>
        <w:jc w:val="left"/>
        <w:textAlignment w:val="auto"/>
        <w:rPr>
          <w:highlight w:val="none"/>
        </w:rPr>
      </w:pPr>
      <w:r>
        <w:rPr>
          <w:rStyle w:val="23"/>
          <w:rFonts w:hint="eastAsia" w:eastAsia="仿宋_GB2312"/>
          <w:b w:val="0"/>
          <w:bCs/>
          <w:spacing w:val="-4"/>
          <w:sz w:val="32"/>
          <w:szCs w:val="32"/>
          <w:highlight w:val="none"/>
        </w:rPr>
        <w:t>指标</w:t>
      </w:r>
      <w:r>
        <w:rPr>
          <w:rStyle w:val="23"/>
          <w:rFonts w:hint="eastAsia" w:eastAsia="仿宋_GB2312"/>
          <w:b w:val="0"/>
          <w:bCs/>
          <w:spacing w:val="-4"/>
          <w:sz w:val="32"/>
          <w:szCs w:val="32"/>
          <w:highlight w:val="none"/>
          <w:lang w:val="en-US" w:eastAsia="zh-CN"/>
        </w:rPr>
        <w:t>1</w:t>
      </w:r>
      <w:r>
        <w:rPr>
          <w:rStyle w:val="23"/>
          <w:rFonts w:hint="eastAsia" w:eastAsia="仿宋_GB2312"/>
          <w:b w:val="0"/>
          <w:bCs/>
          <w:spacing w:val="-4"/>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提高医疗卫生人员的整体水平指标，指标值为：有效提高，实际完成：有效提高，完成率100%，偏差率0%，偏差原因是无偏差。</w:t>
      </w:r>
    </w:p>
    <w:p w14:paraId="0C7E30D1">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Style w:val="52"/>
          <w:rFonts w:hint="eastAsia" w:eastAsia="仿宋_GB2312" w:cs="Times New Roman"/>
          <w:b/>
          <w:bCs/>
          <w:color w:val="auto"/>
          <w:highlight w:val="none"/>
          <w:lang w:eastAsia="zh-CN"/>
        </w:rPr>
      </w:pPr>
      <w:r>
        <w:rPr>
          <w:rStyle w:val="52"/>
          <w:rFonts w:ascii="Times New Roman" w:hAnsi="Times New Roman" w:cs="Times New Roman"/>
          <w:b/>
          <w:bCs/>
          <w:color w:val="auto"/>
          <w:highlight w:val="none"/>
        </w:rPr>
        <w:t>满意度指标方面：</w:t>
      </w:r>
    </w:p>
    <w:p w14:paraId="17F38F7B">
      <w:pPr>
        <w:pStyle w:val="2"/>
        <w:keepNext w:val="0"/>
        <w:keepLines w:val="0"/>
        <w:pageBreakBefore w:val="0"/>
        <w:numPr>
          <w:ilvl w:val="0"/>
          <w:numId w:val="0"/>
        </w:numPr>
        <w:kinsoku/>
        <w:wordWrap/>
        <w:overflowPunct/>
        <w:topLinePunct w:val="0"/>
        <w:autoSpaceDE/>
        <w:autoSpaceDN/>
        <w:bidi w:val="0"/>
        <w:adjustRightInd/>
        <w:snapToGrid/>
        <w:spacing w:before="0" w:after="0"/>
        <w:ind w:firstLine="624"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Style w:val="23"/>
          <w:rFonts w:hint="eastAsia" w:eastAsia="仿宋_GB2312"/>
          <w:b w:val="0"/>
          <w:bCs/>
          <w:spacing w:val="-4"/>
          <w:sz w:val="32"/>
          <w:szCs w:val="32"/>
          <w:highlight w:val="none"/>
        </w:rPr>
        <w:t>指标</w:t>
      </w:r>
      <w:r>
        <w:rPr>
          <w:rStyle w:val="23"/>
          <w:rFonts w:hint="eastAsia" w:eastAsia="仿宋_GB2312"/>
          <w:b w:val="0"/>
          <w:bCs/>
          <w:spacing w:val="-4"/>
          <w:sz w:val="32"/>
          <w:szCs w:val="32"/>
          <w:highlight w:val="none"/>
          <w:lang w:val="en-US" w:eastAsia="zh-CN"/>
        </w:rPr>
        <w:t>1</w:t>
      </w:r>
      <w:r>
        <w:rPr>
          <w:rStyle w:val="23"/>
          <w:rFonts w:hint="eastAsia" w:eastAsia="仿宋_GB2312"/>
          <w:b w:val="0"/>
          <w:bCs/>
          <w:spacing w:val="-4"/>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使用人员满意度指标，指标值为〉=90%，实际完成97.33%，完成率100%，偏差率0%，偏差原因是无偏差。</w:t>
      </w:r>
    </w:p>
    <w:p w14:paraId="24D8AFD2">
      <w:pPr>
        <w:spacing w:line="560" w:lineRule="exact"/>
        <w:ind w:firstLine="640" w:firstLineChars="200"/>
        <w:rPr>
          <w:rFonts w:eastAsia="黑体"/>
          <w:sz w:val="32"/>
          <w:szCs w:val="32"/>
          <w:highlight w:val="none"/>
          <w:lang w:eastAsia="zh-Hans"/>
        </w:rPr>
      </w:pPr>
      <w:r>
        <w:rPr>
          <w:rFonts w:eastAsia="黑体"/>
          <w:sz w:val="32"/>
          <w:szCs w:val="32"/>
          <w:highlight w:val="none"/>
        </w:rPr>
        <w:t>五、</w:t>
      </w:r>
      <w:r>
        <w:rPr>
          <w:rFonts w:hint="eastAsia" w:eastAsia="黑体"/>
          <w:sz w:val="32"/>
          <w:szCs w:val="32"/>
          <w:highlight w:val="none"/>
          <w:lang w:eastAsia="zh-Hans"/>
        </w:rPr>
        <w:t>预算执行进度与绩效指标总体完成率偏差</w:t>
      </w:r>
    </w:p>
    <w:p w14:paraId="733BD07E">
      <w:pPr>
        <w:pStyle w:val="54"/>
        <w:spacing w:line="560" w:lineRule="exact"/>
        <w:ind w:firstLine="640"/>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医院政府采购项目年初预算45003.08万元，全年预算43933.41万元，实际支出43933.41万元，预算执行率为100%，项目绩效指标总体完成率为10</w:t>
      </w:r>
      <w:r>
        <w:rPr>
          <w:rFonts w:hint="eastAsia" w:eastAsia="仿宋_GB2312" w:cs="Times New Roman"/>
          <w:kern w:val="2"/>
          <w:sz w:val="32"/>
          <w:szCs w:val="32"/>
          <w:highlight w:val="none"/>
          <w:lang w:val="en-US" w:eastAsia="zh-CN" w:bidi="ar-SA"/>
        </w:rPr>
        <w:t>1.67</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总体</w:t>
      </w:r>
      <w:r>
        <w:rPr>
          <w:rFonts w:hint="eastAsia" w:ascii="Times New Roman" w:hAnsi="Times New Roman" w:eastAsia="仿宋_GB2312" w:cs="Times New Roman"/>
          <w:kern w:val="2"/>
          <w:sz w:val="32"/>
          <w:szCs w:val="32"/>
          <w:highlight w:val="none"/>
          <w:lang w:val="en-US" w:eastAsia="zh-CN" w:bidi="ar-SA"/>
        </w:rPr>
        <w:t>偏差率为</w:t>
      </w:r>
      <w:r>
        <w:rPr>
          <w:rFonts w:hint="eastAsia" w:eastAsia="仿宋_GB2312" w:cs="Times New Roman"/>
          <w:kern w:val="2"/>
          <w:sz w:val="32"/>
          <w:szCs w:val="32"/>
          <w:highlight w:val="none"/>
          <w:lang w:val="en-US" w:eastAsia="zh-CN" w:bidi="ar-SA"/>
        </w:rPr>
        <w:t>1.67</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，偏差原因基本无变差，改进措施</w:t>
      </w:r>
      <w:r>
        <w:rPr>
          <w:rStyle w:val="52"/>
          <w:rFonts w:hint="eastAsia" w:ascii="Times New Roman" w:hAnsi="Times New Roman" w:cs="Times New Roman"/>
          <w:b w:val="0"/>
          <w:bCs w:val="0"/>
          <w:color w:val="auto"/>
          <w:kern w:val="2"/>
          <w:highlight w:val="none"/>
          <w:lang w:val="en-US" w:eastAsia="zh-CN" w:bidi="ar-SA"/>
        </w:rPr>
        <w:t>预算安排相对保守，后期会根据项目执行逐步提高预算安排精准度</w:t>
      </w:r>
      <w:r>
        <w:rPr>
          <w:rFonts w:hint="eastAsia" w:ascii="Times New Roman" w:hAnsi="Times New Roman" w:eastAsia="仿宋_GB2312" w:cs="Times New Roman"/>
          <w:kern w:val="2"/>
          <w:sz w:val="32"/>
          <w:szCs w:val="32"/>
          <w:highlight w:val="none"/>
          <w:lang w:val="en-US" w:eastAsia="zh-CN" w:bidi="ar-SA"/>
        </w:rPr>
        <w:t>。</w:t>
      </w:r>
    </w:p>
    <w:p w14:paraId="38AE3A78">
      <w:pPr>
        <w:pStyle w:val="54"/>
        <w:spacing w:line="560" w:lineRule="exact"/>
        <w:ind w:firstLine="640"/>
        <w:rPr>
          <w:rStyle w:val="52"/>
          <w:rFonts w:ascii="Times New Roman" w:hAnsi="Times New Roman" w:cs="Times New Roman"/>
          <w:color w:val="auto"/>
          <w:highlight w:val="none"/>
        </w:rPr>
      </w:pPr>
      <w:r>
        <w:rPr>
          <w:rFonts w:hint="eastAsia" w:eastAsia="方正仿宋_GBK" w:cs="方正仿宋_GBK"/>
          <w:sz w:val="32"/>
          <w:szCs w:val="32"/>
          <w:highlight w:val="none"/>
          <w:lang w:eastAsia="zh-CN"/>
        </w:rPr>
        <w:t>六</w:t>
      </w:r>
      <w:r>
        <w:rPr>
          <w:rFonts w:eastAsia="黑体"/>
          <w:sz w:val="32"/>
          <w:szCs w:val="32"/>
          <w:highlight w:val="none"/>
        </w:rPr>
        <w:t>、主要经验及做法、存在的问题及原因分析</w:t>
      </w:r>
    </w:p>
    <w:p w14:paraId="7C552511">
      <w:pPr>
        <w:spacing w:line="60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14:paraId="5B5E1EFE">
      <w:pPr>
        <w:spacing w:line="60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85E44E7">
      <w:pPr>
        <w:pStyle w:val="2"/>
        <w:spacing w:before="0" w:after="0" w:line="600" w:lineRule="exact"/>
        <w:ind w:firstLine="640" w:firstLineChars="200"/>
        <w:jc w:val="both"/>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DCB8904">
      <w:pPr>
        <w:keepNext/>
        <w:keepLines/>
        <w:numPr>
          <w:ilvl w:val="0"/>
          <w:numId w:val="6"/>
        </w:numPr>
        <w:spacing w:line="60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14:paraId="7D273BF8">
      <w:pPr>
        <w:pStyle w:val="2"/>
        <w:spacing w:before="0" w:after="0" w:line="600" w:lineRule="exact"/>
        <w:ind w:firstLine="640" w:firstLineChars="200"/>
        <w:jc w:val="both"/>
        <w:rPr>
          <w:rFonts w:hint="eastAsia" w:ascii="Times New Roman" w:hAnsi="Times New Roman" w:eastAsia="仿宋_GB2312"/>
          <w:b w:val="0"/>
          <w:bCs w:val="0"/>
          <w:kern w:val="2"/>
          <w:highlight w:val="none"/>
          <w:lang w:eastAsia="zh-CN"/>
        </w:rPr>
      </w:pPr>
      <w:r>
        <w:rPr>
          <w:rFonts w:ascii="Times New Roman" w:hAnsi="Times New Roman" w:eastAsia="仿宋_GB2312"/>
          <w:b w:val="0"/>
          <w:bCs w:val="0"/>
          <w:kern w:val="2"/>
          <w:highlight w:val="none"/>
        </w:rPr>
        <w:t>存在的问题</w:t>
      </w:r>
      <w:r>
        <w:rPr>
          <w:rFonts w:hint="eastAsia" w:ascii="Times New Roman" w:hAnsi="Times New Roman" w:eastAsia="仿宋_GB2312"/>
          <w:b w:val="0"/>
          <w:bCs w:val="0"/>
          <w:kern w:val="2"/>
          <w:highlight w:val="none"/>
        </w:rPr>
        <w:t>：预算绩效观念不深入</w:t>
      </w:r>
      <w:r>
        <w:rPr>
          <w:rFonts w:hint="eastAsia" w:ascii="Times New Roman" w:hAnsi="Times New Roman" w:eastAsia="仿宋_GB2312"/>
          <w:b w:val="0"/>
          <w:bCs w:val="0"/>
          <w:kern w:val="2"/>
          <w:highlight w:val="none"/>
          <w:lang w:eastAsia="zh-CN"/>
        </w:rPr>
        <w:t>，预算绩效目标制定缺乏预见性。项目支出绩效目标是在年初制定项目支出预算时根据当时制定的支出计划进行的细化设置，一旦制定年度内不予更改。因医疗行业发展速度快、专业性强、复杂程度高，在项目实际执行过程中，往往会有各种因素的变化使得当初制定的部分绩效目标不符合当下实际情况，难以继续完成，从而导致该项目绩效指标总体完成率下降。</w:t>
      </w:r>
    </w:p>
    <w:p w14:paraId="511282BF">
      <w:pPr>
        <w:pStyle w:val="2"/>
        <w:spacing w:before="0" w:after="0" w:line="600" w:lineRule="exact"/>
        <w:ind w:firstLine="640" w:firstLineChars="200"/>
        <w:jc w:val="both"/>
        <w:rPr>
          <w:highlight w:val="none"/>
        </w:rPr>
      </w:pPr>
      <w:r>
        <w:rPr>
          <w:rFonts w:ascii="Times New Roman" w:hAnsi="Times New Roman" w:eastAsia="仿宋_GB2312"/>
          <w:b w:val="0"/>
          <w:bCs w:val="0"/>
          <w:kern w:val="2"/>
          <w:highlight w:val="none"/>
        </w:rPr>
        <w:t>原因分析</w:t>
      </w:r>
      <w:r>
        <w:rPr>
          <w:rFonts w:hint="eastAsia" w:ascii="Times New Roman" w:hAnsi="Times New Roman" w:eastAsia="仿宋_GB2312"/>
          <w:b w:val="0"/>
          <w:bCs w:val="0"/>
          <w:kern w:val="2"/>
          <w:highlight w:val="none"/>
          <w:lang w:eastAsia="zh-CN"/>
        </w:rPr>
        <w:t>：应加强绩效管理工作的专业性培训学习，提高绩效管理人员素质和实战经验，同时在制定绩效目标时，站在全局、战略的角度，以项目整体目标为出发点，积极探索指标体系，逐步建立涵盖各类各项支出、符合目标内容、突出绩效特色、细化量化、便于考核的统一规范的绩效评价指标体系，以及覆盖全部预算支出结果绩效评价的规范标准。</w:t>
      </w:r>
    </w:p>
    <w:p w14:paraId="3460C0B7">
      <w:pPr>
        <w:numPr>
          <w:ilvl w:val="0"/>
          <w:numId w:val="0"/>
        </w:numPr>
        <w:spacing w:line="600" w:lineRule="exact"/>
        <w:ind w:firstLine="320" w:firstLineChars="100"/>
        <w:rPr>
          <w:rFonts w:eastAsia="黑体"/>
          <w:sz w:val="32"/>
          <w:szCs w:val="32"/>
          <w:highlight w:val="none"/>
        </w:rPr>
      </w:pPr>
      <w:r>
        <w:rPr>
          <w:rFonts w:hint="eastAsia" w:eastAsia="黑体"/>
          <w:sz w:val="32"/>
          <w:szCs w:val="32"/>
          <w:highlight w:val="none"/>
          <w:lang w:eastAsia="zh-CN"/>
        </w:rPr>
        <w:t>七、</w:t>
      </w:r>
      <w:r>
        <w:rPr>
          <w:rFonts w:eastAsia="黑体"/>
          <w:sz w:val="32"/>
          <w:szCs w:val="32"/>
          <w:highlight w:val="none"/>
        </w:rPr>
        <w:t>有关建议</w:t>
      </w:r>
    </w:p>
    <w:p w14:paraId="66ED0FB8">
      <w:pPr>
        <w:spacing w:line="600" w:lineRule="exact"/>
        <w:ind w:firstLine="640" w:firstLineChars="200"/>
        <w:rPr>
          <w:highlight w:val="none"/>
        </w:rPr>
      </w:pPr>
      <w:r>
        <w:rPr>
          <w:rFonts w:hint="eastAsia" w:ascii="仿宋_GB2312" w:hAnsi="仿宋_GB2312" w:eastAsia="仿宋_GB2312" w:cs="仿宋_GB2312"/>
          <w:sz w:val="32"/>
          <w:szCs w:val="28"/>
          <w:highlight w:val="none"/>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61CAB779">
      <w:pPr>
        <w:numPr>
          <w:ilvl w:val="0"/>
          <w:numId w:val="0"/>
        </w:numPr>
        <w:spacing w:line="600" w:lineRule="exact"/>
        <w:ind w:firstLine="320" w:firstLineChars="100"/>
        <w:rPr>
          <w:rFonts w:eastAsia="黑体"/>
          <w:sz w:val="32"/>
          <w:szCs w:val="32"/>
          <w:highlight w:val="none"/>
        </w:rPr>
      </w:pPr>
      <w:r>
        <w:rPr>
          <w:rFonts w:hint="eastAsia" w:eastAsia="黑体"/>
          <w:sz w:val="32"/>
          <w:szCs w:val="32"/>
          <w:highlight w:val="none"/>
          <w:lang w:eastAsia="zh-CN"/>
        </w:rPr>
        <w:t>八、</w:t>
      </w:r>
      <w:r>
        <w:rPr>
          <w:rFonts w:eastAsia="黑体"/>
          <w:sz w:val="32"/>
          <w:szCs w:val="32"/>
          <w:highlight w:val="none"/>
        </w:rPr>
        <w:t>其他需要说</w:t>
      </w:r>
      <w:bookmarkStart w:id="5" w:name="page8"/>
      <w:bookmarkEnd w:id="5"/>
      <w:r>
        <w:rPr>
          <w:rFonts w:eastAsia="黑体"/>
          <w:sz w:val="32"/>
          <w:szCs w:val="32"/>
          <w:highlight w:val="none"/>
        </w:rPr>
        <w:t>明的问题</w:t>
      </w:r>
    </w:p>
    <w:p w14:paraId="5486739C">
      <w:pPr>
        <w:pStyle w:val="20"/>
        <w:ind w:firstLine="320" w:firstLineChars="1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04FC096A">
      <w:pPr>
        <w:pStyle w:val="20"/>
        <w:ind w:firstLine="320" w:firstLineChars="100"/>
        <w:rPr>
          <w:rFonts w:hint="eastAsia" w:ascii="仿宋_GB2312" w:hAnsi="仿宋_GB2312" w:eastAsia="仿宋_GB2312" w:cs="仿宋_GB2312"/>
          <w:sz w:val="32"/>
          <w:szCs w:val="32"/>
          <w:highlight w:val="none"/>
        </w:rPr>
      </w:pPr>
    </w:p>
    <w:p w14:paraId="3908B271">
      <w:pPr>
        <w:pStyle w:val="20"/>
        <w:ind w:firstLine="320" w:firstLineChars="100"/>
        <w:rPr>
          <w:rFonts w:hint="eastAsia" w:ascii="仿宋_GB2312" w:hAnsi="仿宋_GB2312" w:eastAsia="仿宋_GB2312" w:cs="仿宋_GB2312"/>
          <w:sz w:val="32"/>
          <w:szCs w:val="32"/>
          <w:highlight w:val="none"/>
        </w:rPr>
      </w:pPr>
    </w:p>
    <w:p w14:paraId="0524D6F8">
      <w:pPr>
        <w:pStyle w:val="20"/>
        <w:ind w:firstLine="320" w:firstLineChars="100"/>
        <w:rPr>
          <w:rFonts w:hint="eastAsia" w:ascii="仿宋_GB2312" w:hAnsi="仿宋_GB2312" w:eastAsia="仿宋_GB2312" w:cs="仿宋_GB2312"/>
          <w:sz w:val="32"/>
          <w:szCs w:val="32"/>
          <w:highlight w:val="none"/>
        </w:rPr>
      </w:pPr>
    </w:p>
    <w:p w14:paraId="64DB5937">
      <w:pPr>
        <w:pStyle w:val="20"/>
        <w:ind w:firstLine="320" w:firstLineChars="100"/>
        <w:rPr>
          <w:rFonts w:hint="eastAsia" w:ascii="仿宋_GB2312" w:hAnsi="仿宋_GB2312" w:eastAsia="仿宋_GB2312" w:cs="仿宋_GB2312"/>
          <w:sz w:val="32"/>
          <w:szCs w:val="32"/>
          <w:highlight w:val="none"/>
        </w:rPr>
      </w:pPr>
    </w:p>
    <w:p w14:paraId="13E64BAD">
      <w:pPr>
        <w:pStyle w:val="20"/>
        <w:ind w:firstLine="320" w:firstLineChars="100"/>
        <w:rPr>
          <w:rFonts w:hint="eastAsia" w:ascii="仿宋_GB2312" w:hAnsi="仿宋_GB2312" w:eastAsia="仿宋_GB2312" w:cs="仿宋_GB2312"/>
          <w:sz w:val="32"/>
          <w:szCs w:val="32"/>
          <w:highlight w:val="none"/>
        </w:rPr>
      </w:pPr>
    </w:p>
    <w:p w14:paraId="3D3AEA5B">
      <w:pPr>
        <w:pStyle w:val="20"/>
        <w:ind w:firstLine="320" w:firstLineChars="100"/>
        <w:rPr>
          <w:rFonts w:hint="eastAsia" w:ascii="仿宋_GB2312" w:hAnsi="仿宋_GB2312" w:eastAsia="仿宋_GB2312" w:cs="仿宋_GB2312"/>
          <w:sz w:val="32"/>
          <w:szCs w:val="32"/>
          <w:highlight w:val="none"/>
        </w:rPr>
      </w:pPr>
    </w:p>
    <w:p w14:paraId="68B71ABA">
      <w:pPr>
        <w:pStyle w:val="20"/>
        <w:ind w:firstLine="320" w:firstLineChars="100"/>
        <w:rPr>
          <w:rFonts w:hint="eastAsia" w:ascii="仿宋_GB2312" w:hAnsi="仿宋_GB2312" w:eastAsia="仿宋_GB2312" w:cs="仿宋_GB2312"/>
          <w:sz w:val="32"/>
          <w:szCs w:val="32"/>
          <w:highlight w:val="none"/>
        </w:rPr>
      </w:pPr>
    </w:p>
    <w:p w14:paraId="68297A9D">
      <w:pPr>
        <w:pStyle w:val="20"/>
        <w:ind w:firstLine="320" w:firstLineChars="100"/>
        <w:rPr>
          <w:rFonts w:hint="eastAsia" w:ascii="仿宋_GB2312" w:hAnsi="仿宋_GB2312" w:eastAsia="仿宋_GB2312" w:cs="仿宋_GB2312"/>
          <w:sz w:val="32"/>
          <w:szCs w:val="32"/>
          <w:highlight w:val="none"/>
        </w:rPr>
      </w:pPr>
    </w:p>
    <w:p w14:paraId="3368D3BD">
      <w:pPr>
        <w:pStyle w:val="20"/>
        <w:ind w:firstLine="320" w:firstLineChars="100"/>
        <w:rPr>
          <w:rFonts w:hint="eastAsia" w:ascii="仿宋_GB2312" w:hAnsi="仿宋_GB2312" w:eastAsia="仿宋_GB2312" w:cs="仿宋_GB2312"/>
          <w:sz w:val="32"/>
          <w:szCs w:val="32"/>
          <w:highlight w:val="none"/>
        </w:rPr>
      </w:pPr>
    </w:p>
    <w:p w14:paraId="503DD2CB">
      <w:pPr>
        <w:pStyle w:val="20"/>
        <w:ind w:firstLine="320" w:firstLineChars="100"/>
        <w:rPr>
          <w:rFonts w:hint="eastAsia" w:ascii="仿宋_GB2312" w:hAnsi="仿宋_GB2312" w:eastAsia="仿宋_GB2312" w:cs="仿宋_GB2312"/>
          <w:sz w:val="32"/>
          <w:szCs w:val="32"/>
          <w:highlight w:val="none"/>
        </w:rPr>
      </w:pPr>
    </w:p>
    <w:p w14:paraId="1AB7D8A6">
      <w:pPr>
        <w:pStyle w:val="20"/>
        <w:ind w:firstLine="320" w:firstLineChars="100"/>
        <w:rPr>
          <w:rFonts w:hint="eastAsia" w:ascii="仿宋_GB2312" w:hAnsi="仿宋_GB2312" w:eastAsia="仿宋_GB2312" w:cs="仿宋_GB2312"/>
          <w:sz w:val="32"/>
          <w:szCs w:val="32"/>
          <w:highlight w:val="none"/>
        </w:rPr>
      </w:pPr>
    </w:p>
    <w:p w14:paraId="4D715FAB">
      <w:pPr>
        <w:pStyle w:val="20"/>
        <w:ind w:firstLine="320" w:firstLineChars="100"/>
        <w:rPr>
          <w:rFonts w:hint="eastAsia" w:ascii="仿宋_GB2312" w:hAnsi="仿宋_GB2312" w:eastAsia="仿宋_GB2312" w:cs="仿宋_GB2312"/>
          <w:sz w:val="32"/>
          <w:szCs w:val="32"/>
          <w:highlight w:val="none"/>
        </w:rPr>
      </w:pPr>
    </w:p>
    <w:p w14:paraId="0BA6359B">
      <w:pPr>
        <w:pStyle w:val="20"/>
        <w:ind w:firstLine="320" w:firstLineChars="100"/>
        <w:rPr>
          <w:rFonts w:hint="eastAsia" w:ascii="仿宋_GB2312" w:hAnsi="仿宋_GB2312" w:eastAsia="仿宋_GB2312" w:cs="仿宋_GB2312"/>
          <w:sz w:val="32"/>
          <w:szCs w:val="32"/>
          <w:highlight w:val="none"/>
        </w:rPr>
      </w:pPr>
    </w:p>
    <w:p w14:paraId="2097E4A4">
      <w:pPr>
        <w:pStyle w:val="20"/>
        <w:ind w:firstLine="320" w:firstLineChars="100"/>
        <w:rPr>
          <w:rFonts w:hint="eastAsia" w:ascii="仿宋_GB2312" w:hAnsi="仿宋_GB2312" w:eastAsia="仿宋_GB2312" w:cs="仿宋_GB2312"/>
          <w:sz w:val="32"/>
          <w:szCs w:val="32"/>
          <w:highlight w:val="none"/>
        </w:rPr>
      </w:pPr>
    </w:p>
    <w:p w14:paraId="570CC3BE">
      <w:pPr>
        <w:pStyle w:val="20"/>
        <w:ind w:firstLine="320" w:firstLineChars="100"/>
        <w:rPr>
          <w:rFonts w:hint="eastAsia" w:ascii="仿宋_GB2312" w:hAnsi="仿宋_GB2312" w:eastAsia="仿宋_GB2312" w:cs="仿宋_GB2312"/>
          <w:sz w:val="32"/>
          <w:szCs w:val="32"/>
          <w:highlight w:val="none"/>
        </w:rPr>
      </w:pPr>
    </w:p>
    <w:p w14:paraId="04E20117">
      <w:pPr>
        <w:pStyle w:val="20"/>
        <w:ind w:firstLine="320" w:firstLineChars="100"/>
        <w:rPr>
          <w:rFonts w:hint="eastAsia" w:ascii="仿宋_GB2312" w:hAnsi="仿宋_GB2312" w:eastAsia="仿宋_GB2312" w:cs="仿宋_GB2312"/>
          <w:sz w:val="32"/>
          <w:szCs w:val="32"/>
          <w:highlight w:val="none"/>
        </w:rPr>
      </w:pPr>
    </w:p>
    <w:p w14:paraId="40778108">
      <w:pPr>
        <w:pStyle w:val="20"/>
        <w:ind w:firstLine="320" w:firstLineChars="100"/>
        <w:rPr>
          <w:rFonts w:hint="eastAsia" w:ascii="仿宋_GB2312" w:hAnsi="仿宋_GB2312" w:eastAsia="仿宋_GB2312" w:cs="仿宋_GB2312"/>
          <w:sz w:val="32"/>
          <w:szCs w:val="32"/>
          <w:highlight w:val="none"/>
        </w:rPr>
        <w:sectPr>
          <w:footerReference r:id="rId3" w:type="default"/>
          <w:pgSz w:w="11906" w:h="16838"/>
          <w:pgMar w:top="1440" w:right="1558" w:bottom="1440" w:left="1800" w:header="851" w:footer="992" w:gutter="0"/>
          <w:cols w:space="425" w:num="1"/>
          <w:docGrid w:type="lines" w:linePitch="312" w:charSpace="0"/>
        </w:sectPr>
      </w:pPr>
    </w:p>
    <w:p w14:paraId="355A9563">
      <w:pPr>
        <w:pStyle w:val="20"/>
        <w:ind w:firstLine="320" w:firstLineChars="100"/>
        <w:rPr>
          <w:rFonts w:hint="eastAsia" w:ascii="仿宋_GB2312" w:hAnsi="仿宋_GB2312" w:eastAsia="仿宋_GB2312" w:cs="仿宋_GB2312"/>
          <w:sz w:val="32"/>
          <w:szCs w:val="32"/>
          <w:highlight w:val="none"/>
        </w:rPr>
      </w:pPr>
    </w:p>
    <w:tbl>
      <w:tblPr>
        <w:tblStyle w:val="2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4"/>
        <w:gridCol w:w="1006"/>
        <w:gridCol w:w="2347"/>
      </w:tblGrid>
      <w:tr w14:paraId="72DDC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5000" w:type="pct"/>
            <w:gridSpan w:val="14"/>
            <w:tcBorders>
              <w:top w:val="nil"/>
              <w:left w:val="nil"/>
              <w:bottom w:val="nil"/>
              <w:right w:val="nil"/>
            </w:tcBorders>
            <w:shd w:val="clear" w:color="auto" w:fill="auto"/>
            <w:vAlign w:val="center"/>
          </w:tcPr>
          <w:p w14:paraId="64497C96">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24F3E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0FFAB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051EA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5DA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51EB1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医院政府采购项目</w:t>
            </w:r>
          </w:p>
        </w:tc>
      </w:tr>
      <w:tr w14:paraId="7B21D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A56A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C633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E1A4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3B8C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新疆医科大学第五附属医院</w:t>
            </w:r>
          </w:p>
        </w:tc>
      </w:tr>
      <w:tr w14:paraId="6524D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6DD0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674263">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377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1D53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B24E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E713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B595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DB3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16AC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91ECB">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6990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B7D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45003.08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A0EA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45003.08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62F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45003.08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BC4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827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1A3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14:paraId="6FB92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24C4A">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6B4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57D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FA4C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0707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FD31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3594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3AF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BEBB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8928D">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3CAA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222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45003.08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ACB7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45003.08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05B3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45003.08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801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9BC2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118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B62B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718F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42E70E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A52CC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202F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67529">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580B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医院政府采购项目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F0312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tc>
      </w:tr>
      <w:tr w14:paraId="70E98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F2546E">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6FC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BEC7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4055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73D7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117B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5667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C03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9C6A6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1E4F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7A78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4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1D8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F1E0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439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C120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DA379">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57AF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47F55">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AB6C1">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0ADB9">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919C9">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4BC0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6A4DD">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5042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7D799">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0D2D6">
            <w:pPr>
              <w:jc w:val="center"/>
              <w:rPr>
                <w:rFonts w:hint="eastAsia" w:ascii="宋体" w:hAnsi="宋体" w:eastAsia="宋体" w:cs="宋体"/>
                <w:b/>
                <w:bCs/>
                <w:i w:val="0"/>
                <w:iCs w:val="0"/>
                <w:color w:val="000000"/>
                <w:sz w:val="18"/>
                <w:szCs w:val="18"/>
                <w:u w:val="none"/>
              </w:rPr>
            </w:pPr>
          </w:p>
        </w:tc>
        <w:tc>
          <w:tcPr>
            <w:tcW w:w="4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665CA">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D8336">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ECBA5">
            <w:pPr>
              <w:jc w:val="center"/>
              <w:rPr>
                <w:rFonts w:hint="eastAsia" w:ascii="宋体" w:hAnsi="宋体" w:eastAsia="宋体" w:cs="宋体"/>
                <w:b/>
                <w:bCs/>
                <w:i w:val="0"/>
                <w:iCs w:val="0"/>
                <w:color w:val="000000"/>
                <w:sz w:val="18"/>
                <w:szCs w:val="18"/>
                <w:u w:val="none"/>
              </w:rPr>
            </w:pPr>
          </w:p>
        </w:tc>
      </w:tr>
      <w:tr w14:paraId="01B25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8E0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058C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7F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24E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医疗设备购置数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EA2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DB1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93F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5E6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0BF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A86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15F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150台</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11E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66C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14F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医疗设备购置数较计划多购置15台</w:t>
            </w:r>
          </w:p>
        </w:tc>
      </w:tr>
      <w:tr w14:paraId="50038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DBBA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D790A">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01F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AA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办公设备购置数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A3B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A3B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D11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4D4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36B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587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958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3套</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489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0F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2AD1B">
            <w:pPr>
              <w:jc w:val="center"/>
              <w:rPr>
                <w:rFonts w:hint="eastAsia" w:ascii="宋体" w:hAnsi="宋体" w:eastAsia="宋体" w:cs="宋体"/>
                <w:i w:val="0"/>
                <w:iCs w:val="0"/>
                <w:color w:val="000000"/>
                <w:sz w:val="18"/>
                <w:szCs w:val="18"/>
                <w:u w:val="none"/>
              </w:rPr>
            </w:pPr>
          </w:p>
        </w:tc>
      </w:tr>
      <w:tr w14:paraId="48ABE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D177A">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448E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C5F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634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药品网采率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E6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4A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25F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E6E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66E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53E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F71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B26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5AD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E9C9F">
            <w:pPr>
              <w:jc w:val="center"/>
              <w:rPr>
                <w:rFonts w:hint="eastAsia" w:ascii="宋体" w:hAnsi="宋体" w:eastAsia="宋体" w:cs="宋体"/>
                <w:i w:val="0"/>
                <w:iCs w:val="0"/>
                <w:color w:val="000000"/>
                <w:sz w:val="18"/>
                <w:szCs w:val="18"/>
                <w:u w:val="none"/>
              </w:rPr>
            </w:pPr>
          </w:p>
        </w:tc>
      </w:tr>
      <w:tr w14:paraId="63A77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2613E">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EC937">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756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993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信息办公设备采购质量合格率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184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568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CDF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8F8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EEB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888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C8F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6CC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890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376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信息办公设备采购质量合格率达100%较年初计划提高</w:t>
            </w:r>
          </w:p>
        </w:tc>
      </w:tr>
      <w:tr w14:paraId="67109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3E7F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2631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9B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900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医疗设备采购质量合格率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CEC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95A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181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31B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372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3C9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F35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CC8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F2F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F78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医疗设备采购质量合格率达100%较年初计划提高</w:t>
            </w:r>
          </w:p>
        </w:tc>
      </w:tr>
      <w:tr w14:paraId="511EF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377FC">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F84F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F5E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E6E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7CA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74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C8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DD2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C4D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B59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522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ECD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B25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8F7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资金支付及时率达95%较年初计划提高</w:t>
            </w:r>
          </w:p>
        </w:tc>
      </w:tr>
      <w:tr w14:paraId="6D0F4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AC0BF">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4DB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784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225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预算成本控制率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FFF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9B9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CBE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EB2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6FC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1BD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6AA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2C0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4CE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AE3DC">
            <w:pPr>
              <w:jc w:val="center"/>
              <w:rPr>
                <w:rFonts w:hint="eastAsia" w:ascii="宋体" w:hAnsi="宋体" w:eastAsia="宋体" w:cs="宋体"/>
                <w:i w:val="0"/>
                <w:iCs w:val="0"/>
                <w:color w:val="000000"/>
                <w:sz w:val="18"/>
                <w:szCs w:val="18"/>
                <w:u w:val="none"/>
              </w:rPr>
            </w:pPr>
          </w:p>
        </w:tc>
      </w:tr>
      <w:tr w14:paraId="24C45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1E6CD">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982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464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2DE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提高医疗卫生人员的整体水平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47D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C03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390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67F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386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F47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E1C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1E1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4A2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AFD67">
            <w:pPr>
              <w:jc w:val="center"/>
              <w:rPr>
                <w:rFonts w:hint="eastAsia" w:ascii="宋体" w:hAnsi="宋体" w:eastAsia="宋体" w:cs="宋体"/>
                <w:i w:val="0"/>
                <w:iCs w:val="0"/>
                <w:color w:val="000000"/>
                <w:sz w:val="18"/>
                <w:szCs w:val="18"/>
                <w:u w:val="none"/>
              </w:rPr>
            </w:pPr>
          </w:p>
        </w:tc>
      </w:tr>
      <w:tr w14:paraId="0EF6E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0DC36">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807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A6C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24D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使用科室满意度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5DB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AFB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1A2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=97.33%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2F2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3FD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8EF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929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037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C79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7D7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使用科室满意度较年初计划提高</w:t>
            </w:r>
          </w:p>
        </w:tc>
      </w:tr>
      <w:tr w14:paraId="45C32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0E02B5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B0D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7ACB1634">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2208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65B8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64D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98.95分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89971">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0C977">
            <w:pP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FCD16">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6A5E7">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E6839">
            <w:pPr>
              <w:rPr>
                <w:rFonts w:hint="eastAsia" w:ascii="宋体" w:hAnsi="宋体" w:eastAsia="宋体" w:cs="宋体"/>
                <w:i w:val="0"/>
                <w:iCs w:val="0"/>
                <w:color w:val="000000"/>
                <w:sz w:val="18"/>
                <w:szCs w:val="18"/>
                <w:u w:val="none"/>
              </w:rPr>
            </w:pPr>
          </w:p>
        </w:tc>
      </w:tr>
    </w:tbl>
    <w:p w14:paraId="403F38BD">
      <w:pPr>
        <w:pStyle w:val="20"/>
        <w:ind w:firstLine="320" w:firstLineChars="100"/>
        <w:rPr>
          <w:rFonts w:hint="eastAsia" w:ascii="仿宋_GB2312" w:hAnsi="仿宋_GB2312" w:eastAsia="仿宋_GB2312" w:cs="仿宋_GB2312"/>
          <w:sz w:val="32"/>
          <w:szCs w:val="32"/>
          <w:highlight w:val="none"/>
        </w:rPr>
      </w:pPr>
    </w:p>
    <w:p w14:paraId="4AC9B409">
      <w:pPr>
        <w:pStyle w:val="20"/>
        <w:ind w:firstLine="320" w:firstLineChars="100"/>
        <w:rPr>
          <w:rFonts w:hint="eastAsia" w:ascii="仿宋_GB2312" w:hAnsi="仿宋_GB2312" w:eastAsia="仿宋_GB2312" w:cs="仿宋_GB2312"/>
          <w:sz w:val="32"/>
          <w:szCs w:val="32"/>
          <w:highlight w:val="none"/>
        </w:rPr>
      </w:pPr>
    </w:p>
    <w:p w14:paraId="5BAC357C">
      <w:pPr>
        <w:pStyle w:val="20"/>
        <w:ind w:firstLine="320" w:firstLineChars="100"/>
        <w:rPr>
          <w:rFonts w:hint="eastAsia" w:ascii="仿宋_GB2312" w:hAnsi="仿宋_GB2312" w:eastAsia="仿宋_GB2312" w:cs="仿宋_GB2312"/>
          <w:sz w:val="32"/>
          <w:szCs w:val="32"/>
          <w:highlight w:val="none"/>
        </w:rPr>
      </w:pPr>
    </w:p>
    <w:p w14:paraId="34ACB022">
      <w:pPr>
        <w:pStyle w:val="20"/>
        <w:ind w:left="0" w:leftChars="0" w:firstLine="0" w:firstLineChars="0"/>
        <w:rPr>
          <w:rFonts w:hint="eastAsia" w:ascii="仿宋_GB2312" w:hAnsi="仿宋_GB2312" w:eastAsia="仿宋_GB2312" w:cs="仿宋_GB2312"/>
          <w:sz w:val="32"/>
          <w:szCs w:val="32"/>
          <w:highlight w:val="none"/>
        </w:rPr>
      </w:pPr>
    </w:p>
    <w:p w14:paraId="44294870">
      <w:pPr>
        <w:rPr>
          <w:highlight w:val="none"/>
        </w:rPr>
        <w:sectPr>
          <w:pgSz w:w="16838" w:h="11906" w:orient="landscape"/>
          <w:pgMar w:top="1800" w:right="1440" w:bottom="1558" w:left="1440" w:header="851" w:footer="992" w:gutter="0"/>
          <w:cols w:space="425" w:num="1"/>
          <w:docGrid w:type="lines" w:linePitch="312" w:charSpace="0"/>
        </w:sectPr>
      </w:pPr>
    </w:p>
    <w:tbl>
      <w:tblPr>
        <w:tblStyle w:val="21"/>
        <w:tblpPr w:leftFromText="180" w:rightFromText="180" w:vertAnchor="text" w:horzAnchor="page" w:tblpX="2157" w:tblpY="593"/>
        <w:tblOverlap w:val="never"/>
        <w:tblW w:w="1268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7"/>
        <w:gridCol w:w="766"/>
        <w:gridCol w:w="873"/>
        <w:gridCol w:w="2353"/>
        <w:gridCol w:w="5191"/>
        <w:gridCol w:w="1300"/>
        <w:gridCol w:w="1363"/>
      </w:tblGrid>
      <w:tr w14:paraId="4A820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trPr>
        <w:tc>
          <w:tcPr>
            <w:tcW w:w="837" w:type="dxa"/>
            <w:shd w:val="clear" w:color="auto" w:fill="FFFFFF"/>
            <w:vAlign w:val="center"/>
          </w:tcPr>
          <w:p w14:paraId="54606A3E">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6" w:type="dxa"/>
            <w:shd w:val="clear" w:color="auto" w:fill="FFFFFF"/>
            <w:vAlign w:val="center"/>
          </w:tcPr>
          <w:p w14:paraId="2C0F037D">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3" w:type="dxa"/>
            <w:shd w:val="clear" w:color="auto" w:fill="FFFFFF"/>
            <w:vAlign w:val="center"/>
          </w:tcPr>
          <w:p w14:paraId="5B509D96">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53" w:type="dxa"/>
            <w:shd w:val="clear" w:color="auto" w:fill="FFFFFF"/>
            <w:vAlign w:val="center"/>
          </w:tcPr>
          <w:p w14:paraId="478B88B1">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91" w:type="dxa"/>
            <w:shd w:val="clear" w:color="auto" w:fill="FFFFFF"/>
            <w:vAlign w:val="center"/>
          </w:tcPr>
          <w:p w14:paraId="7CA6859C">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300" w:type="dxa"/>
            <w:shd w:val="clear" w:color="auto" w:fill="FFFFFF"/>
            <w:vAlign w:val="center"/>
          </w:tcPr>
          <w:p w14:paraId="6F293869">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3" w:type="dxa"/>
            <w:shd w:val="clear" w:color="auto" w:fill="FFFFFF"/>
            <w:vAlign w:val="center"/>
          </w:tcPr>
          <w:p w14:paraId="4B2662D7">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2B41AE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trPr>
        <w:tc>
          <w:tcPr>
            <w:tcW w:w="837" w:type="dxa"/>
            <w:vMerge w:val="restart"/>
            <w:shd w:val="clear" w:color="auto" w:fill="FFFFFF"/>
            <w:vAlign w:val="center"/>
          </w:tcPr>
          <w:p w14:paraId="44FA8283">
            <w:pPr>
              <w:widowControl/>
              <w:spacing w:line="0" w:lineRule="atLeast"/>
              <w:jc w:val="center"/>
              <w:rPr>
                <w:color w:val="000000"/>
                <w:kern w:val="0"/>
                <w:sz w:val="22"/>
                <w:szCs w:val="22"/>
                <w:highlight w:val="none"/>
              </w:rPr>
            </w:pPr>
            <w:r>
              <w:rPr>
                <w:color w:val="000000"/>
                <w:kern w:val="0"/>
                <w:sz w:val="22"/>
                <w:szCs w:val="22"/>
                <w:highlight w:val="none"/>
              </w:rPr>
              <w:t>决策　</w:t>
            </w:r>
          </w:p>
          <w:p w14:paraId="05EB5DD9">
            <w:pPr>
              <w:widowControl/>
              <w:spacing w:line="0" w:lineRule="atLeast"/>
              <w:jc w:val="center"/>
              <w:rPr>
                <w:color w:val="000000"/>
                <w:kern w:val="0"/>
                <w:sz w:val="22"/>
                <w:szCs w:val="22"/>
                <w:highlight w:val="none"/>
              </w:rPr>
            </w:pPr>
            <w:r>
              <w:rPr>
                <w:color w:val="000000"/>
                <w:kern w:val="0"/>
                <w:sz w:val="22"/>
                <w:szCs w:val="22"/>
                <w:highlight w:val="none"/>
              </w:rPr>
              <w:t>　</w:t>
            </w:r>
          </w:p>
          <w:p w14:paraId="613CE0C0">
            <w:pPr>
              <w:spacing w:line="0" w:lineRule="atLeast"/>
              <w:jc w:val="center"/>
              <w:rPr>
                <w:color w:val="000000"/>
                <w:kern w:val="0"/>
                <w:sz w:val="22"/>
                <w:szCs w:val="22"/>
                <w:highlight w:val="none"/>
              </w:rPr>
            </w:pPr>
            <w:r>
              <w:rPr>
                <w:color w:val="000000"/>
                <w:kern w:val="0"/>
                <w:sz w:val="22"/>
                <w:szCs w:val="22"/>
                <w:highlight w:val="none"/>
              </w:rPr>
              <w:t>　</w:t>
            </w:r>
          </w:p>
        </w:tc>
        <w:tc>
          <w:tcPr>
            <w:tcW w:w="766" w:type="dxa"/>
            <w:vMerge w:val="restart"/>
            <w:shd w:val="clear" w:color="auto" w:fill="FFFFFF"/>
            <w:vAlign w:val="center"/>
          </w:tcPr>
          <w:p w14:paraId="002C7A8F">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14:paraId="7711BBC3">
            <w:pPr>
              <w:widowControl/>
              <w:spacing w:line="0" w:lineRule="atLeast"/>
              <w:jc w:val="center"/>
              <w:rPr>
                <w:color w:val="000000"/>
                <w:kern w:val="0"/>
                <w:sz w:val="22"/>
                <w:szCs w:val="22"/>
                <w:highlight w:val="none"/>
              </w:rPr>
            </w:pPr>
            <w:r>
              <w:rPr>
                <w:color w:val="000000"/>
                <w:kern w:val="0"/>
                <w:sz w:val="22"/>
                <w:szCs w:val="22"/>
                <w:highlight w:val="none"/>
              </w:rPr>
              <w:t>立项依据</w:t>
            </w:r>
          </w:p>
          <w:p w14:paraId="40BD2A96">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14:paraId="3572083C">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1" w:type="dxa"/>
            <w:shd w:val="clear" w:color="auto" w:fill="FFFFFF"/>
            <w:vAlign w:val="center"/>
          </w:tcPr>
          <w:p w14:paraId="6DBB7A5A">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14:paraId="6E47BCE6">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14:paraId="52BF041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4BF36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trPr>
        <w:tc>
          <w:tcPr>
            <w:tcW w:w="837" w:type="dxa"/>
            <w:vMerge w:val="continue"/>
            <w:shd w:val="clear" w:color="auto" w:fill="FFFFFF"/>
            <w:vAlign w:val="center"/>
          </w:tcPr>
          <w:p w14:paraId="216DCB07">
            <w:pPr>
              <w:spacing w:line="0" w:lineRule="atLeast"/>
              <w:jc w:val="center"/>
              <w:rPr>
                <w:color w:val="000000"/>
                <w:kern w:val="0"/>
                <w:sz w:val="22"/>
                <w:szCs w:val="22"/>
                <w:highlight w:val="none"/>
              </w:rPr>
            </w:pPr>
          </w:p>
        </w:tc>
        <w:tc>
          <w:tcPr>
            <w:tcW w:w="766" w:type="dxa"/>
            <w:vMerge w:val="continue"/>
            <w:shd w:val="clear" w:color="auto" w:fill="FFFFFF"/>
            <w:vAlign w:val="center"/>
          </w:tcPr>
          <w:p w14:paraId="0CF3E3DB">
            <w:pPr>
              <w:widowControl/>
              <w:spacing w:line="0" w:lineRule="atLeast"/>
              <w:jc w:val="center"/>
              <w:rPr>
                <w:color w:val="000000"/>
                <w:kern w:val="0"/>
                <w:sz w:val="22"/>
                <w:szCs w:val="22"/>
                <w:highlight w:val="none"/>
              </w:rPr>
            </w:pPr>
          </w:p>
        </w:tc>
        <w:tc>
          <w:tcPr>
            <w:tcW w:w="873" w:type="dxa"/>
            <w:shd w:val="clear" w:color="auto" w:fill="FFFFFF"/>
            <w:vAlign w:val="center"/>
          </w:tcPr>
          <w:p w14:paraId="5E95B4F8">
            <w:pPr>
              <w:widowControl/>
              <w:spacing w:line="0" w:lineRule="atLeast"/>
              <w:jc w:val="center"/>
              <w:rPr>
                <w:color w:val="000000"/>
                <w:kern w:val="0"/>
                <w:sz w:val="22"/>
                <w:szCs w:val="22"/>
                <w:highlight w:val="none"/>
              </w:rPr>
            </w:pPr>
            <w:r>
              <w:rPr>
                <w:color w:val="000000"/>
                <w:kern w:val="0"/>
                <w:sz w:val="22"/>
                <w:szCs w:val="22"/>
                <w:highlight w:val="none"/>
              </w:rPr>
              <w:t>立项程序</w:t>
            </w:r>
          </w:p>
          <w:p w14:paraId="6266C3DD">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14:paraId="41A11603">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1" w:type="dxa"/>
            <w:shd w:val="clear" w:color="auto" w:fill="FFFFFF"/>
            <w:vAlign w:val="center"/>
          </w:tcPr>
          <w:p w14:paraId="4DC26359">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14:paraId="27A61FC2">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14:paraId="4B2CBB86">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2D29E3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trPr>
        <w:tc>
          <w:tcPr>
            <w:tcW w:w="837" w:type="dxa"/>
            <w:vMerge w:val="continue"/>
            <w:shd w:val="clear" w:color="auto" w:fill="FFFFFF"/>
            <w:vAlign w:val="center"/>
          </w:tcPr>
          <w:p w14:paraId="188B2171">
            <w:pPr>
              <w:spacing w:line="0" w:lineRule="atLeast"/>
              <w:jc w:val="center"/>
              <w:rPr>
                <w:color w:val="000000"/>
                <w:kern w:val="0"/>
                <w:sz w:val="22"/>
                <w:szCs w:val="22"/>
                <w:highlight w:val="none"/>
              </w:rPr>
            </w:pPr>
          </w:p>
        </w:tc>
        <w:tc>
          <w:tcPr>
            <w:tcW w:w="766" w:type="dxa"/>
            <w:shd w:val="clear" w:color="auto" w:fill="FFFFFF"/>
            <w:vAlign w:val="center"/>
          </w:tcPr>
          <w:p w14:paraId="48ED8C8A">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14:paraId="3B65CC74">
            <w:pPr>
              <w:widowControl/>
              <w:spacing w:line="0" w:lineRule="atLeast"/>
              <w:jc w:val="center"/>
              <w:rPr>
                <w:color w:val="000000"/>
                <w:kern w:val="0"/>
                <w:sz w:val="22"/>
                <w:szCs w:val="22"/>
                <w:highlight w:val="none"/>
              </w:rPr>
            </w:pPr>
            <w:r>
              <w:rPr>
                <w:color w:val="000000"/>
                <w:kern w:val="0"/>
                <w:sz w:val="22"/>
                <w:szCs w:val="22"/>
                <w:highlight w:val="none"/>
              </w:rPr>
              <w:t>绩效目标</w:t>
            </w:r>
          </w:p>
          <w:p w14:paraId="36609717">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14:paraId="2E728E6A">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1" w:type="dxa"/>
            <w:shd w:val="clear" w:color="000000" w:fill="FFFFFF"/>
            <w:vAlign w:val="center"/>
          </w:tcPr>
          <w:p w14:paraId="739649EC">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5C8BC70D">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14:paraId="228406F5">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14:paraId="781137CF">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2.5</w:t>
            </w:r>
          </w:p>
        </w:tc>
      </w:tr>
      <w:tr w14:paraId="448C04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trPr>
        <w:tc>
          <w:tcPr>
            <w:tcW w:w="837" w:type="dxa"/>
            <w:vMerge w:val="restart"/>
            <w:shd w:val="clear" w:color="auto" w:fill="FFFFFF"/>
            <w:vAlign w:val="center"/>
          </w:tcPr>
          <w:p w14:paraId="61A38079">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6" w:type="dxa"/>
            <w:shd w:val="clear" w:color="auto" w:fill="FFFFFF"/>
            <w:vAlign w:val="center"/>
          </w:tcPr>
          <w:p w14:paraId="2951CC73">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873" w:type="dxa"/>
            <w:shd w:val="clear" w:color="auto" w:fill="FFFFFF"/>
            <w:vAlign w:val="center"/>
          </w:tcPr>
          <w:p w14:paraId="3CC565A3">
            <w:pPr>
              <w:widowControl/>
              <w:spacing w:line="0" w:lineRule="atLeast"/>
              <w:jc w:val="center"/>
              <w:rPr>
                <w:color w:val="000000"/>
                <w:kern w:val="0"/>
                <w:sz w:val="22"/>
                <w:szCs w:val="22"/>
                <w:highlight w:val="none"/>
              </w:rPr>
            </w:pPr>
            <w:r>
              <w:rPr>
                <w:color w:val="000000"/>
                <w:kern w:val="0"/>
                <w:sz w:val="22"/>
                <w:szCs w:val="22"/>
                <w:highlight w:val="none"/>
              </w:rPr>
              <w:t>绩效指标</w:t>
            </w:r>
          </w:p>
          <w:p w14:paraId="292445E0">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14:paraId="6C2394FD">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1" w:type="dxa"/>
            <w:shd w:val="clear" w:color="000000" w:fill="FFFFFF"/>
            <w:vAlign w:val="center"/>
          </w:tcPr>
          <w:p w14:paraId="7ED85FAF">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14:paraId="17E96B50">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14:paraId="61A3BEC5">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2.5</w:t>
            </w:r>
          </w:p>
        </w:tc>
      </w:tr>
      <w:tr w14:paraId="05762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trPr>
        <w:tc>
          <w:tcPr>
            <w:tcW w:w="837" w:type="dxa"/>
            <w:vMerge w:val="continue"/>
            <w:shd w:val="clear" w:color="auto" w:fill="FFFFFF"/>
            <w:vAlign w:val="center"/>
          </w:tcPr>
          <w:p w14:paraId="76C6E469">
            <w:pPr>
              <w:spacing w:line="0" w:lineRule="atLeast"/>
              <w:jc w:val="center"/>
              <w:rPr>
                <w:color w:val="000000"/>
                <w:kern w:val="0"/>
                <w:sz w:val="22"/>
                <w:szCs w:val="22"/>
                <w:highlight w:val="none"/>
              </w:rPr>
            </w:pPr>
          </w:p>
        </w:tc>
        <w:tc>
          <w:tcPr>
            <w:tcW w:w="766" w:type="dxa"/>
            <w:vMerge w:val="restart"/>
            <w:shd w:val="clear" w:color="auto" w:fill="FFFFFF"/>
            <w:vAlign w:val="center"/>
          </w:tcPr>
          <w:p w14:paraId="7B3966CE">
            <w:pPr>
              <w:widowControl/>
              <w:spacing w:line="0" w:lineRule="atLeast"/>
              <w:jc w:val="center"/>
              <w:rPr>
                <w:color w:val="000000"/>
                <w:kern w:val="0"/>
                <w:sz w:val="22"/>
                <w:szCs w:val="22"/>
                <w:highlight w:val="none"/>
              </w:rPr>
            </w:pPr>
            <w:r>
              <w:rPr>
                <w:color w:val="000000"/>
                <w:kern w:val="0"/>
                <w:sz w:val="22"/>
                <w:szCs w:val="22"/>
                <w:highlight w:val="none"/>
              </w:rPr>
              <w:t>资金投入</w:t>
            </w:r>
          </w:p>
          <w:p w14:paraId="4A54EFA7">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14:paraId="53906278">
            <w:pPr>
              <w:widowControl/>
              <w:spacing w:line="0" w:lineRule="atLeast"/>
              <w:jc w:val="center"/>
              <w:rPr>
                <w:color w:val="000000"/>
                <w:kern w:val="0"/>
                <w:sz w:val="22"/>
                <w:szCs w:val="22"/>
                <w:highlight w:val="none"/>
              </w:rPr>
            </w:pPr>
            <w:r>
              <w:rPr>
                <w:color w:val="000000"/>
                <w:kern w:val="0"/>
                <w:sz w:val="22"/>
                <w:szCs w:val="22"/>
                <w:highlight w:val="none"/>
              </w:rPr>
              <w:t>预算编制</w:t>
            </w:r>
          </w:p>
          <w:p w14:paraId="5BFD8A67">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14:paraId="08E1CDE8">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1" w:type="dxa"/>
            <w:shd w:val="clear" w:color="auto" w:fill="FFFFFF"/>
            <w:vAlign w:val="center"/>
          </w:tcPr>
          <w:p w14:paraId="7F892391">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14:paraId="4982AE76">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4D1F103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049504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trPr>
        <w:tc>
          <w:tcPr>
            <w:tcW w:w="837" w:type="dxa"/>
            <w:vMerge w:val="continue"/>
            <w:shd w:val="clear" w:color="auto" w:fill="FFFFFF"/>
            <w:vAlign w:val="center"/>
          </w:tcPr>
          <w:p w14:paraId="4FA15274">
            <w:pPr>
              <w:widowControl/>
              <w:spacing w:line="0" w:lineRule="atLeast"/>
              <w:jc w:val="center"/>
              <w:rPr>
                <w:color w:val="000000"/>
                <w:kern w:val="0"/>
                <w:sz w:val="22"/>
                <w:szCs w:val="22"/>
                <w:highlight w:val="none"/>
              </w:rPr>
            </w:pPr>
          </w:p>
        </w:tc>
        <w:tc>
          <w:tcPr>
            <w:tcW w:w="766" w:type="dxa"/>
            <w:vMerge w:val="continue"/>
            <w:shd w:val="clear" w:color="auto" w:fill="FFFFFF"/>
            <w:vAlign w:val="center"/>
          </w:tcPr>
          <w:p w14:paraId="0FBE2081">
            <w:pPr>
              <w:widowControl/>
              <w:spacing w:line="0" w:lineRule="atLeast"/>
              <w:jc w:val="center"/>
              <w:rPr>
                <w:color w:val="000000"/>
                <w:kern w:val="0"/>
                <w:sz w:val="22"/>
                <w:szCs w:val="22"/>
                <w:highlight w:val="none"/>
              </w:rPr>
            </w:pPr>
          </w:p>
        </w:tc>
        <w:tc>
          <w:tcPr>
            <w:tcW w:w="873" w:type="dxa"/>
            <w:shd w:val="clear" w:color="auto" w:fill="FFFFFF"/>
            <w:vAlign w:val="center"/>
          </w:tcPr>
          <w:p w14:paraId="49474315">
            <w:pPr>
              <w:widowControl/>
              <w:spacing w:line="0" w:lineRule="atLeast"/>
              <w:jc w:val="center"/>
              <w:rPr>
                <w:color w:val="000000"/>
                <w:kern w:val="0"/>
                <w:sz w:val="22"/>
                <w:szCs w:val="22"/>
                <w:highlight w:val="none"/>
              </w:rPr>
            </w:pPr>
            <w:r>
              <w:rPr>
                <w:color w:val="000000"/>
                <w:kern w:val="0"/>
                <w:sz w:val="22"/>
                <w:szCs w:val="22"/>
                <w:highlight w:val="none"/>
              </w:rPr>
              <w:t>资金分配</w:t>
            </w:r>
          </w:p>
          <w:p w14:paraId="7B7AB0D2">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14:paraId="26DB4810">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1" w:type="dxa"/>
            <w:shd w:val="clear" w:color="auto" w:fill="FFFFFF"/>
            <w:vAlign w:val="center"/>
          </w:tcPr>
          <w:p w14:paraId="0CD60ED4">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14:paraId="3CFA3C4D">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23DB30E3">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038C7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trPr>
        <w:tc>
          <w:tcPr>
            <w:tcW w:w="837" w:type="dxa"/>
            <w:vMerge w:val="restart"/>
            <w:shd w:val="clear" w:color="auto" w:fill="FFFFFF"/>
            <w:vAlign w:val="center"/>
          </w:tcPr>
          <w:p w14:paraId="7DE96201">
            <w:pPr>
              <w:spacing w:line="0" w:lineRule="atLeast"/>
              <w:jc w:val="center"/>
              <w:rPr>
                <w:color w:val="000000"/>
                <w:kern w:val="0"/>
                <w:sz w:val="22"/>
                <w:szCs w:val="22"/>
                <w:highlight w:val="none"/>
              </w:rPr>
            </w:pPr>
            <w:r>
              <w:rPr>
                <w:color w:val="000000"/>
                <w:kern w:val="0"/>
                <w:sz w:val="22"/>
                <w:szCs w:val="22"/>
                <w:highlight w:val="none"/>
              </w:rPr>
              <w:t>过程</w:t>
            </w:r>
          </w:p>
        </w:tc>
        <w:tc>
          <w:tcPr>
            <w:tcW w:w="766" w:type="dxa"/>
            <w:vMerge w:val="restart"/>
            <w:shd w:val="clear" w:color="auto" w:fill="FFFFFF"/>
            <w:vAlign w:val="center"/>
          </w:tcPr>
          <w:p w14:paraId="1D742F12">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14:paraId="69B05761">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14:paraId="23B76127">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1" w:type="dxa"/>
            <w:shd w:val="clear" w:color="000000" w:fill="FFFFFF"/>
            <w:vAlign w:val="center"/>
          </w:tcPr>
          <w:p w14:paraId="59001E27">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4FAEAC91">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127FF355">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14:paraId="430A0801">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3F22A18B">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DB09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trPr>
        <w:tc>
          <w:tcPr>
            <w:tcW w:w="837" w:type="dxa"/>
            <w:vMerge w:val="continue"/>
            <w:shd w:val="clear" w:color="auto" w:fill="FFFFFF"/>
            <w:vAlign w:val="center"/>
          </w:tcPr>
          <w:p w14:paraId="7582463F">
            <w:pPr>
              <w:spacing w:line="0" w:lineRule="atLeast"/>
              <w:jc w:val="center"/>
              <w:rPr>
                <w:color w:val="000000"/>
                <w:kern w:val="0"/>
                <w:sz w:val="22"/>
                <w:szCs w:val="22"/>
                <w:highlight w:val="none"/>
              </w:rPr>
            </w:pPr>
          </w:p>
        </w:tc>
        <w:tc>
          <w:tcPr>
            <w:tcW w:w="766" w:type="dxa"/>
            <w:vMerge w:val="continue"/>
            <w:shd w:val="clear" w:color="auto" w:fill="FFFFFF"/>
            <w:vAlign w:val="center"/>
          </w:tcPr>
          <w:p w14:paraId="0BCFF65B">
            <w:pPr>
              <w:spacing w:line="0" w:lineRule="atLeast"/>
              <w:jc w:val="center"/>
              <w:rPr>
                <w:color w:val="000000"/>
                <w:kern w:val="0"/>
                <w:sz w:val="22"/>
                <w:szCs w:val="22"/>
                <w:highlight w:val="none"/>
              </w:rPr>
            </w:pPr>
          </w:p>
        </w:tc>
        <w:tc>
          <w:tcPr>
            <w:tcW w:w="873" w:type="dxa"/>
            <w:shd w:val="clear" w:color="auto" w:fill="FFFFFF"/>
            <w:vAlign w:val="center"/>
          </w:tcPr>
          <w:p w14:paraId="55AE9542">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14:paraId="2E42DE14">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1" w:type="dxa"/>
            <w:shd w:val="clear" w:color="auto" w:fill="FFFFFF"/>
            <w:vAlign w:val="center"/>
          </w:tcPr>
          <w:p w14:paraId="031A773D">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14:paraId="52BD3CEC">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35A7E53F">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14:paraId="4E085C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trPr>
        <w:tc>
          <w:tcPr>
            <w:tcW w:w="837" w:type="dxa"/>
            <w:vMerge w:val="restart"/>
            <w:shd w:val="clear" w:color="auto" w:fill="FFFFFF"/>
            <w:vAlign w:val="center"/>
          </w:tcPr>
          <w:p w14:paraId="1A8D726C">
            <w:pPr>
              <w:widowControl/>
              <w:spacing w:line="0" w:lineRule="atLeast"/>
              <w:jc w:val="center"/>
              <w:rPr>
                <w:color w:val="000000"/>
                <w:kern w:val="0"/>
                <w:sz w:val="22"/>
                <w:szCs w:val="22"/>
                <w:highlight w:val="none"/>
              </w:rPr>
            </w:pPr>
            <w:r>
              <w:rPr>
                <w:color w:val="000000"/>
                <w:kern w:val="0"/>
                <w:sz w:val="22"/>
                <w:szCs w:val="22"/>
                <w:highlight w:val="none"/>
              </w:rPr>
              <w:t>　</w:t>
            </w:r>
          </w:p>
          <w:p w14:paraId="7C483182">
            <w:pPr>
              <w:spacing w:line="0" w:lineRule="atLeast"/>
              <w:jc w:val="center"/>
              <w:rPr>
                <w:color w:val="000000"/>
                <w:kern w:val="0"/>
                <w:sz w:val="22"/>
                <w:szCs w:val="22"/>
                <w:highlight w:val="none"/>
              </w:rPr>
            </w:pPr>
            <w:r>
              <w:rPr>
                <w:color w:val="000000"/>
                <w:kern w:val="0"/>
                <w:sz w:val="22"/>
                <w:szCs w:val="22"/>
                <w:highlight w:val="none"/>
              </w:rPr>
              <w:t>过程　</w:t>
            </w:r>
          </w:p>
        </w:tc>
        <w:tc>
          <w:tcPr>
            <w:tcW w:w="766" w:type="dxa"/>
            <w:shd w:val="clear" w:color="auto" w:fill="FFFFFF"/>
            <w:vAlign w:val="center"/>
          </w:tcPr>
          <w:p w14:paraId="50E9D300">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14:paraId="07F86AA6">
            <w:pPr>
              <w:widowControl/>
              <w:spacing w:line="0" w:lineRule="atLeast"/>
              <w:jc w:val="center"/>
              <w:rPr>
                <w:color w:val="000000"/>
                <w:kern w:val="0"/>
                <w:sz w:val="22"/>
                <w:szCs w:val="22"/>
                <w:highlight w:val="none"/>
              </w:rPr>
            </w:pPr>
            <w:r>
              <w:rPr>
                <w:color w:val="000000"/>
                <w:kern w:val="0"/>
                <w:sz w:val="22"/>
                <w:szCs w:val="22"/>
                <w:highlight w:val="none"/>
              </w:rPr>
              <w:t>资金使用</w:t>
            </w:r>
          </w:p>
          <w:p w14:paraId="3B4AD257">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14:paraId="639DAB5A">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1" w:type="dxa"/>
            <w:shd w:val="clear" w:color="000000" w:fill="FFFFFF"/>
            <w:vAlign w:val="center"/>
          </w:tcPr>
          <w:p w14:paraId="7CC45F6C">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14:paraId="3E95FDA9">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54CB1EF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4DCE98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trPr>
        <w:tc>
          <w:tcPr>
            <w:tcW w:w="837" w:type="dxa"/>
            <w:vMerge w:val="continue"/>
            <w:shd w:val="clear" w:color="auto" w:fill="FFFFFF"/>
            <w:vAlign w:val="center"/>
          </w:tcPr>
          <w:p w14:paraId="2D39D409">
            <w:pPr>
              <w:spacing w:line="0" w:lineRule="atLeast"/>
              <w:jc w:val="center"/>
              <w:rPr>
                <w:color w:val="000000"/>
                <w:kern w:val="0"/>
                <w:sz w:val="22"/>
                <w:szCs w:val="22"/>
                <w:highlight w:val="none"/>
              </w:rPr>
            </w:pPr>
          </w:p>
        </w:tc>
        <w:tc>
          <w:tcPr>
            <w:tcW w:w="766" w:type="dxa"/>
            <w:vMerge w:val="restart"/>
            <w:shd w:val="clear" w:color="auto" w:fill="FFFFFF"/>
            <w:vAlign w:val="center"/>
          </w:tcPr>
          <w:p w14:paraId="5AA5FC00">
            <w:pPr>
              <w:widowControl/>
              <w:spacing w:line="0" w:lineRule="atLeast"/>
              <w:jc w:val="center"/>
              <w:rPr>
                <w:color w:val="000000"/>
                <w:kern w:val="0"/>
                <w:sz w:val="22"/>
                <w:szCs w:val="22"/>
                <w:highlight w:val="none"/>
              </w:rPr>
            </w:pPr>
            <w:r>
              <w:rPr>
                <w:color w:val="000000"/>
                <w:kern w:val="0"/>
                <w:sz w:val="22"/>
                <w:szCs w:val="22"/>
                <w:highlight w:val="none"/>
              </w:rPr>
              <w:t>组织实施</w:t>
            </w:r>
          </w:p>
          <w:p w14:paraId="062995ED">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14:paraId="67D8BD52">
            <w:pPr>
              <w:widowControl/>
              <w:spacing w:line="0" w:lineRule="atLeast"/>
              <w:jc w:val="center"/>
              <w:rPr>
                <w:color w:val="000000"/>
                <w:kern w:val="0"/>
                <w:sz w:val="22"/>
                <w:szCs w:val="22"/>
                <w:highlight w:val="none"/>
              </w:rPr>
            </w:pPr>
            <w:r>
              <w:rPr>
                <w:color w:val="000000"/>
                <w:kern w:val="0"/>
                <w:sz w:val="22"/>
                <w:szCs w:val="22"/>
                <w:highlight w:val="none"/>
              </w:rPr>
              <w:t>管理制度</w:t>
            </w:r>
          </w:p>
          <w:p w14:paraId="16082182">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14:paraId="0F179616">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1" w:type="dxa"/>
            <w:shd w:val="clear" w:color="000000" w:fill="FFFFFF"/>
            <w:vAlign w:val="center"/>
          </w:tcPr>
          <w:p w14:paraId="1F552781">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14:paraId="5D542D47">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6AE6C74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B5CA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trPr>
        <w:tc>
          <w:tcPr>
            <w:tcW w:w="837" w:type="dxa"/>
            <w:vMerge w:val="continue"/>
            <w:shd w:val="clear" w:color="auto" w:fill="FFFFFF"/>
            <w:vAlign w:val="center"/>
          </w:tcPr>
          <w:p w14:paraId="01E023B6">
            <w:pPr>
              <w:widowControl/>
              <w:spacing w:line="0" w:lineRule="atLeast"/>
              <w:jc w:val="center"/>
              <w:rPr>
                <w:color w:val="000000"/>
                <w:kern w:val="0"/>
                <w:sz w:val="22"/>
                <w:szCs w:val="22"/>
                <w:highlight w:val="none"/>
              </w:rPr>
            </w:pPr>
          </w:p>
        </w:tc>
        <w:tc>
          <w:tcPr>
            <w:tcW w:w="766" w:type="dxa"/>
            <w:vMerge w:val="continue"/>
            <w:shd w:val="clear" w:color="auto" w:fill="FFFFFF"/>
            <w:vAlign w:val="center"/>
          </w:tcPr>
          <w:p w14:paraId="0B4610E3">
            <w:pPr>
              <w:widowControl/>
              <w:spacing w:line="0" w:lineRule="atLeast"/>
              <w:jc w:val="center"/>
              <w:rPr>
                <w:color w:val="000000"/>
                <w:kern w:val="0"/>
                <w:sz w:val="22"/>
                <w:szCs w:val="22"/>
                <w:highlight w:val="none"/>
              </w:rPr>
            </w:pPr>
          </w:p>
        </w:tc>
        <w:tc>
          <w:tcPr>
            <w:tcW w:w="873" w:type="dxa"/>
            <w:shd w:val="clear" w:color="auto" w:fill="FFFFFF"/>
            <w:vAlign w:val="center"/>
          </w:tcPr>
          <w:p w14:paraId="76433210">
            <w:pPr>
              <w:widowControl/>
              <w:spacing w:line="0" w:lineRule="atLeast"/>
              <w:jc w:val="center"/>
              <w:rPr>
                <w:color w:val="000000"/>
                <w:kern w:val="0"/>
                <w:sz w:val="22"/>
                <w:szCs w:val="22"/>
                <w:highlight w:val="none"/>
              </w:rPr>
            </w:pPr>
            <w:r>
              <w:rPr>
                <w:color w:val="000000"/>
                <w:kern w:val="0"/>
                <w:sz w:val="22"/>
                <w:szCs w:val="22"/>
                <w:highlight w:val="none"/>
              </w:rPr>
              <w:t>制度执行</w:t>
            </w:r>
          </w:p>
          <w:p w14:paraId="00A8ECBA">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14:paraId="7062A2C5">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1" w:type="dxa"/>
            <w:shd w:val="clear" w:color="000000" w:fill="FFFFFF"/>
            <w:vAlign w:val="center"/>
          </w:tcPr>
          <w:p w14:paraId="47BBA309">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14:paraId="7F1E66DF">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2594989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7924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trPr>
        <w:tc>
          <w:tcPr>
            <w:tcW w:w="837" w:type="dxa"/>
            <w:shd w:val="clear" w:color="auto" w:fill="FFFFFF"/>
            <w:vAlign w:val="center"/>
          </w:tcPr>
          <w:p w14:paraId="6B2DC865">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6" w:type="dxa"/>
            <w:shd w:val="clear" w:color="auto" w:fill="FFFFFF"/>
            <w:vAlign w:val="center"/>
          </w:tcPr>
          <w:p w14:paraId="52B97DF4">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14:paraId="7F38B6DF">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14:paraId="4DBF1473">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1" w:type="dxa"/>
            <w:shd w:val="clear" w:color="000000" w:fill="FFFFFF"/>
            <w:vAlign w:val="center"/>
          </w:tcPr>
          <w:p w14:paraId="5983441A">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14:paraId="398382EB">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1AABAF22">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5BFBE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trPr>
        <w:tc>
          <w:tcPr>
            <w:tcW w:w="837" w:type="dxa"/>
            <w:vMerge w:val="restart"/>
            <w:shd w:val="clear" w:color="auto" w:fill="FFFFFF"/>
            <w:vAlign w:val="center"/>
          </w:tcPr>
          <w:p w14:paraId="60ED4E23">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6" w:type="dxa"/>
            <w:shd w:val="clear" w:color="auto" w:fill="FFFFFF"/>
            <w:vAlign w:val="center"/>
          </w:tcPr>
          <w:p w14:paraId="6153E3F9">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14:paraId="70725924">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14:paraId="5E33BE68">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1" w:type="dxa"/>
            <w:shd w:val="clear" w:color="000000" w:fill="FFFFFF"/>
            <w:vAlign w:val="center"/>
          </w:tcPr>
          <w:p w14:paraId="4D435569">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5E4019AE">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25FB3495">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2883E9E1">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07077D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trPr>
        <w:tc>
          <w:tcPr>
            <w:tcW w:w="837" w:type="dxa"/>
            <w:vMerge w:val="continue"/>
            <w:shd w:val="clear" w:color="auto" w:fill="FFFFFF"/>
            <w:vAlign w:val="center"/>
          </w:tcPr>
          <w:p w14:paraId="4AC7DB0E">
            <w:pPr>
              <w:spacing w:line="0" w:lineRule="atLeast"/>
              <w:jc w:val="center"/>
              <w:rPr>
                <w:color w:val="000000"/>
                <w:kern w:val="0"/>
                <w:sz w:val="22"/>
                <w:szCs w:val="22"/>
                <w:highlight w:val="none"/>
              </w:rPr>
            </w:pPr>
          </w:p>
        </w:tc>
        <w:tc>
          <w:tcPr>
            <w:tcW w:w="766" w:type="dxa"/>
            <w:shd w:val="clear" w:color="auto" w:fill="FFFFFF"/>
            <w:vAlign w:val="center"/>
          </w:tcPr>
          <w:p w14:paraId="2AD30367">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14:paraId="76709969">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14:paraId="0819D738">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1" w:type="dxa"/>
            <w:shd w:val="clear" w:color="000000" w:fill="FFFFFF"/>
            <w:vAlign w:val="center"/>
          </w:tcPr>
          <w:p w14:paraId="4DCF8C26">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14:paraId="0D4830E6">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54F48916">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2870A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trPr>
        <w:tc>
          <w:tcPr>
            <w:tcW w:w="837" w:type="dxa"/>
            <w:vMerge w:val="continue"/>
            <w:shd w:val="clear" w:color="auto" w:fill="FFFFFF"/>
            <w:vAlign w:val="center"/>
          </w:tcPr>
          <w:p w14:paraId="58A9B479">
            <w:pPr>
              <w:widowControl/>
              <w:spacing w:line="0" w:lineRule="atLeast"/>
              <w:jc w:val="center"/>
              <w:rPr>
                <w:color w:val="000000"/>
                <w:kern w:val="0"/>
                <w:sz w:val="22"/>
                <w:szCs w:val="22"/>
                <w:highlight w:val="none"/>
              </w:rPr>
            </w:pPr>
          </w:p>
        </w:tc>
        <w:tc>
          <w:tcPr>
            <w:tcW w:w="766" w:type="dxa"/>
            <w:shd w:val="clear" w:color="auto" w:fill="FFFFFF"/>
            <w:vAlign w:val="center"/>
          </w:tcPr>
          <w:p w14:paraId="3AC409A1">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14:paraId="786F71D0">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14:paraId="1C4F710E">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1" w:type="dxa"/>
            <w:shd w:val="clear" w:color="000000" w:fill="FFFFFF"/>
            <w:vAlign w:val="center"/>
          </w:tcPr>
          <w:p w14:paraId="11D64A8F">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14:paraId="0C2C7774">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4C7EA892">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483E9A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trPr>
        <w:tc>
          <w:tcPr>
            <w:tcW w:w="837" w:type="dxa"/>
            <w:vMerge w:val="restart"/>
            <w:shd w:val="clear" w:color="auto" w:fill="FFFFFF"/>
            <w:vAlign w:val="center"/>
          </w:tcPr>
          <w:p w14:paraId="1F797CF9">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6" w:type="dxa"/>
            <w:vMerge w:val="restart"/>
            <w:shd w:val="clear" w:color="auto" w:fill="FFFFFF"/>
            <w:vAlign w:val="center"/>
          </w:tcPr>
          <w:p w14:paraId="481286C8">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14:paraId="3CBAF0A5">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14:paraId="601137CD">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1" w:type="dxa"/>
            <w:shd w:val="clear" w:color="auto" w:fill="FFFFFF"/>
            <w:vAlign w:val="center"/>
          </w:tcPr>
          <w:p w14:paraId="361AFC59">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14:paraId="5CE1FD17">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14:paraId="6C759856">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9</w:t>
            </w:r>
          </w:p>
        </w:tc>
      </w:tr>
      <w:tr w14:paraId="73DB5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trPr>
        <w:tc>
          <w:tcPr>
            <w:tcW w:w="837" w:type="dxa"/>
            <w:vMerge w:val="continue"/>
            <w:shd w:val="clear" w:color="auto" w:fill="FFFFFF"/>
            <w:vAlign w:val="center"/>
          </w:tcPr>
          <w:p w14:paraId="319E7551">
            <w:pPr>
              <w:widowControl/>
              <w:spacing w:line="0" w:lineRule="atLeast"/>
              <w:jc w:val="center"/>
              <w:rPr>
                <w:color w:val="000000"/>
                <w:kern w:val="0"/>
                <w:sz w:val="22"/>
                <w:szCs w:val="22"/>
                <w:highlight w:val="none"/>
              </w:rPr>
            </w:pPr>
          </w:p>
        </w:tc>
        <w:tc>
          <w:tcPr>
            <w:tcW w:w="766" w:type="dxa"/>
            <w:vMerge w:val="continue"/>
            <w:shd w:val="clear" w:color="auto" w:fill="FFFFFF"/>
            <w:vAlign w:val="center"/>
          </w:tcPr>
          <w:p w14:paraId="04441C06">
            <w:pPr>
              <w:widowControl/>
              <w:spacing w:line="0" w:lineRule="atLeast"/>
              <w:jc w:val="center"/>
              <w:rPr>
                <w:color w:val="000000"/>
                <w:kern w:val="0"/>
                <w:sz w:val="22"/>
                <w:szCs w:val="22"/>
                <w:highlight w:val="none"/>
              </w:rPr>
            </w:pPr>
          </w:p>
        </w:tc>
        <w:tc>
          <w:tcPr>
            <w:tcW w:w="873" w:type="dxa"/>
            <w:shd w:val="clear" w:color="auto" w:fill="FFFFFF"/>
            <w:vAlign w:val="center"/>
          </w:tcPr>
          <w:p w14:paraId="14FBC7A5">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14:paraId="4B621BCF">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1" w:type="dxa"/>
            <w:shd w:val="clear" w:color="000000" w:fill="FFFFFF"/>
            <w:vAlign w:val="center"/>
          </w:tcPr>
          <w:p w14:paraId="20672A39">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14:paraId="61541B3B">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177D4FC4">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14:paraId="6D8C6F26">
      <w:pPr>
        <w:pStyle w:val="2"/>
        <w:rPr>
          <w:rFonts w:ascii="Times New Roman" w:hAnsi="Times New Roman"/>
          <w:highlight w:val="none"/>
        </w:rPr>
      </w:pPr>
    </w:p>
    <w:p w14:paraId="33F98D29">
      <w:pPr>
        <w:rPr>
          <w:highlight w:val="none"/>
        </w:rPr>
      </w:pPr>
    </w:p>
    <w:p w14:paraId="70C7D92F">
      <w:pPr>
        <w:spacing w:line="540" w:lineRule="exact"/>
        <w:ind w:firstLine="640"/>
        <w:rPr>
          <w:rStyle w:val="23"/>
          <w:rFonts w:eastAsia="黑体"/>
          <w:bCs w:val="0"/>
          <w:spacing w:val="-4"/>
          <w:sz w:val="32"/>
          <w:szCs w:val="32"/>
          <w:highlight w:val="none"/>
        </w:rPr>
      </w:pPr>
    </w:p>
    <w:p w14:paraId="4358F19C">
      <w:pPr>
        <w:spacing w:line="540" w:lineRule="exact"/>
        <w:ind w:firstLine="640"/>
        <w:rPr>
          <w:rStyle w:val="23"/>
          <w:rFonts w:eastAsia="黑体"/>
          <w:bCs w:val="0"/>
          <w:spacing w:val="-4"/>
          <w:sz w:val="32"/>
          <w:szCs w:val="32"/>
          <w:highlight w:val="none"/>
        </w:rPr>
      </w:pPr>
    </w:p>
    <w:p w14:paraId="033C133B">
      <w:pPr>
        <w:spacing w:line="540" w:lineRule="exact"/>
        <w:ind w:firstLine="640"/>
        <w:rPr>
          <w:rStyle w:val="23"/>
          <w:rFonts w:eastAsia="黑体"/>
          <w:bCs w:val="0"/>
          <w:spacing w:val="-4"/>
          <w:sz w:val="32"/>
          <w:szCs w:val="32"/>
          <w:highlight w:val="none"/>
        </w:rPr>
      </w:pPr>
    </w:p>
    <w:p w14:paraId="13BE9436">
      <w:pPr>
        <w:spacing w:line="540" w:lineRule="exact"/>
        <w:ind w:firstLine="640"/>
        <w:rPr>
          <w:rStyle w:val="23"/>
          <w:rFonts w:eastAsia="黑体"/>
          <w:bCs w:val="0"/>
          <w:spacing w:val="-4"/>
          <w:sz w:val="32"/>
          <w:szCs w:val="32"/>
          <w:highlight w:val="none"/>
        </w:rPr>
      </w:pPr>
    </w:p>
    <w:p w14:paraId="7509CDA5">
      <w:pPr>
        <w:spacing w:line="540" w:lineRule="exact"/>
        <w:ind w:firstLine="640"/>
        <w:rPr>
          <w:rStyle w:val="23"/>
          <w:rFonts w:eastAsia="黑体"/>
          <w:bCs w:val="0"/>
          <w:spacing w:val="-4"/>
          <w:sz w:val="32"/>
          <w:szCs w:val="32"/>
          <w:highlight w:val="none"/>
        </w:rPr>
      </w:pPr>
    </w:p>
    <w:p w14:paraId="5EBB7671">
      <w:pPr>
        <w:spacing w:line="540" w:lineRule="exact"/>
        <w:ind w:firstLine="640"/>
        <w:rPr>
          <w:rStyle w:val="23"/>
          <w:rFonts w:eastAsia="黑体"/>
          <w:bCs w:val="0"/>
          <w:spacing w:val="-4"/>
          <w:sz w:val="32"/>
          <w:szCs w:val="32"/>
          <w:highlight w:val="none"/>
        </w:rPr>
      </w:pPr>
    </w:p>
    <w:p w14:paraId="4C17B1F8">
      <w:pPr>
        <w:spacing w:line="540" w:lineRule="exact"/>
        <w:rPr>
          <w:rStyle w:val="23"/>
          <w:rFonts w:eastAsia="仿宋"/>
          <w:b w:val="0"/>
          <w:spacing w:val="-4"/>
          <w:sz w:val="32"/>
          <w:szCs w:val="32"/>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7CDB365">
        <w:pPr>
          <w:pStyle w:val="16"/>
          <w:jc w:val="center"/>
        </w:pPr>
        <w:r>
          <w:fldChar w:fldCharType="begin"/>
        </w:r>
        <w:r>
          <w:instrText xml:space="preserve">PAGE   \* MERGEFORMAT</w:instrText>
        </w:r>
        <w:r>
          <w:fldChar w:fldCharType="separate"/>
        </w:r>
        <w:r>
          <w:rPr>
            <w:lang w:val="zh-CN"/>
          </w:rPr>
          <w:t>17</w:t>
        </w:r>
        <w:r>
          <w:fldChar w:fldCharType="end"/>
        </w:r>
      </w:p>
    </w:sdtContent>
  </w:sdt>
  <w:p w14:paraId="114E75D5">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lZWJjNzQ5MjQ1M2I2Y2NhZTMwMzZkMGY1MGUwODc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15A3576"/>
    <w:rsid w:val="04043713"/>
    <w:rsid w:val="051A56F5"/>
    <w:rsid w:val="063768D1"/>
    <w:rsid w:val="066D6EAA"/>
    <w:rsid w:val="06DC1681"/>
    <w:rsid w:val="08C662D4"/>
    <w:rsid w:val="09BD4D95"/>
    <w:rsid w:val="0B0F58D6"/>
    <w:rsid w:val="0BFC1173"/>
    <w:rsid w:val="0E4137D1"/>
    <w:rsid w:val="0F8D41CB"/>
    <w:rsid w:val="0FEE2F21"/>
    <w:rsid w:val="10DC433A"/>
    <w:rsid w:val="11C75270"/>
    <w:rsid w:val="12637CC3"/>
    <w:rsid w:val="12E657C5"/>
    <w:rsid w:val="133C6E2A"/>
    <w:rsid w:val="14357918"/>
    <w:rsid w:val="146462F6"/>
    <w:rsid w:val="15BD5E17"/>
    <w:rsid w:val="167C7687"/>
    <w:rsid w:val="168B3546"/>
    <w:rsid w:val="19591D73"/>
    <w:rsid w:val="1A2374E0"/>
    <w:rsid w:val="1B4A2AF5"/>
    <w:rsid w:val="1C317CE2"/>
    <w:rsid w:val="1D61177E"/>
    <w:rsid w:val="1DA17DCD"/>
    <w:rsid w:val="1DD45808"/>
    <w:rsid w:val="1DED42AC"/>
    <w:rsid w:val="1E8B51D2"/>
    <w:rsid w:val="1F242A63"/>
    <w:rsid w:val="20005763"/>
    <w:rsid w:val="20FB313D"/>
    <w:rsid w:val="2184173A"/>
    <w:rsid w:val="220B4804"/>
    <w:rsid w:val="22A07A63"/>
    <w:rsid w:val="23076924"/>
    <w:rsid w:val="23F97052"/>
    <w:rsid w:val="259D4B9A"/>
    <w:rsid w:val="27111030"/>
    <w:rsid w:val="278B653F"/>
    <w:rsid w:val="282475E3"/>
    <w:rsid w:val="29E421D9"/>
    <w:rsid w:val="2C6100C1"/>
    <w:rsid w:val="2D161057"/>
    <w:rsid w:val="2DB430B9"/>
    <w:rsid w:val="2FBB6B9D"/>
    <w:rsid w:val="309711BE"/>
    <w:rsid w:val="32317519"/>
    <w:rsid w:val="3235157C"/>
    <w:rsid w:val="3264220D"/>
    <w:rsid w:val="32A83563"/>
    <w:rsid w:val="32DB346E"/>
    <w:rsid w:val="32EC51EE"/>
    <w:rsid w:val="3390413B"/>
    <w:rsid w:val="34930708"/>
    <w:rsid w:val="357A6974"/>
    <w:rsid w:val="35AB5633"/>
    <w:rsid w:val="36863F80"/>
    <w:rsid w:val="37074CED"/>
    <w:rsid w:val="386C3059"/>
    <w:rsid w:val="38872456"/>
    <w:rsid w:val="395F2BBE"/>
    <w:rsid w:val="3963178C"/>
    <w:rsid w:val="3A9A73BA"/>
    <w:rsid w:val="3BA5236D"/>
    <w:rsid w:val="3CED0699"/>
    <w:rsid w:val="3EB02FD6"/>
    <w:rsid w:val="3EE53B65"/>
    <w:rsid w:val="3FEA96B8"/>
    <w:rsid w:val="40062C65"/>
    <w:rsid w:val="41CC2676"/>
    <w:rsid w:val="42817BED"/>
    <w:rsid w:val="46607816"/>
    <w:rsid w:val="46B21672"/>
    <w:rsid w:val="4A61763A"/>
    <w:rsid w:val="4B58400F"/>
    <w:rsid w:val="4C3541E1"/>
    <w:rsid w:val="4DA34338"/>
    <w:rsid w:val="4E143B1F"/>
    <w:rsid w:val="4EAB1344"/>
    <w:rsid w:val="4F0A49EC"/>
    <w:rsid w:val="4F552460"/>
    <w:rsid w:val="4FCC6863"/>
    <w:rsid w:val="500A214A"/>
    <w:rsid w:val="51B77DB2"/>
    <w:rsid w:val="522D604D"/>
    <w:rsid w:val="5297585E"/>
    <w:rsid w:val="52AD7D6F"/>
    <w:rsid w:val="53FB45B8"/>
    <w:rsid w:val="5549519D"/>
    <w:rsid w:val="5557596B"/>
    <w:rsid w:val="57E816F4"/>
    <w:rsid w:val="5A1C0E8E"/>
    <w:rsid w:val="5B596DFC"/>
    <w:rsid w:val="5CEC062B"/>
    <w:rsid w:val="5D4F612E"/>
    <w:rsid w:val="5D885990"/>
    <w:rsid w:val="5DAE6D00"/>
    <w:rsid w:val="5DF03945"/>
    <w:rsid w:val="5F03526B"/>
    <w:rsid w:val="5F7408C2"/>
    <w:rsid w:val="61193B41"/>
    <w:rsid w:val="61FE6552"/>
    <w:rsid w:val="62E515AF"/>
    <w:rsid w:val="637C2815"/>
    <w:rsid w:val="63D66461"/>
    <w:rsid w:val="652E1C0D"/>
    <w:rsid w:val="666B4FDC"/>
    <w:rsid w:val="67FF13C8"/>
    <w:rsid w:val="682144B7"/>
    <w:rsid w:val="690F6F65"/>
    <w:rsid w:val="6A097E59"/>
    <w:rsid w:val="6B503F77"/>
    <w:rsid w:val="6D6F4477"/>
    <w:rsid w:val="6D885538"/>
    <w:rsid w:val="6D950CE7"/>
    <w:rsid w:val="6E311968"/>
    <w:rsid w:val="6EFFDB23"/>
    <w:rsid w:val="6FE078AE"/>
    <w:rsid w:val="722F0678"/>
    <w:rsid w:val="74393A30"/>
    <w:rsid w:val="75D34EDE"/>
    <w:rsid w:val="764E2655"/>
    <w:rsid w:val="76A41635"/>
    <w:rsid w:val="77BE6C0B"/>
    <w:rsid w:val="789F751B"/>
    <w:rsid w:val="7A20498D"/>
    <w:rsid w:val="7A353D0B"/>
    <w:rsid w:val="7A900BB1"/>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0"/>
    <w:semiHidden/>
    <w:unhideWhenUsed/>
    <w:qFormat/>
    <w:uiPriority w:val="99"/>
    <w:rPr>
      <w:sz w:val="18"/>
      <w:szCs w:val="18"/>
    </w:rPr>
  </w:style>
  <w:style w:type="paragraph" w:styleId="16">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w:basedOn w:val="13"/>
    <w:qFormat/>
    <w:uiPriority w:val="0"/>
    <w:pPr>
      <w:spacing w:after="0"/>
      <w:ind w:firstLine="200" w:firstLineChars="200"/>
    </w:pPr>
  </w:style>
  <w:style w:type="paragraph" w:styleId="20">
    <w:name w:val="Body Text First Indent 2"/>
    <w:basedOn w:val="14"/>
    <w:qFormat/>
    <w:uiPriority w:val="0"/>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5"/>
    <w:semiHidden/>
    <w:qFormat/>
    <w:uiPriority w:val="9"/>
    <w:rPr>
      <w:rFonts w:asciiTheme="majorHAnsi" w:hAnsiTheme="majorHAnsi" w:eastAsiaTheme="majorEastAsia"/>
      <w:b/>
      <w:bCs/>
      <w:sz w:val="26"/>
      <w:szCs w:val="26"/>
    </w:rPr>
  </w:style>
  <w:style w:type="character" w:customStyle="1" w:styleId="28">
    <w:name w:val="标题 4 字符"/>
    <w:basedOn w:val="22"/>
    <w:link w:val="6"/>
    <w:semiHidden/>
    <w:qFormat/>
    <w:uiPriority w:val="9"/>
    <w:rPr>
      <w:b/>
      <w:bCs/>
      <w:sz w:val="28"/>
      <w:szCs w:val="28"/>
    </w:rPr>
  </w:style>
  <w:style w:type="character" w:customStyle="1" w:styleId="29">
    <w:name w:val="标题 5 字符"/>
    <w:basedOn w:val="22"/>
    <w:link w:val="7"/>
    <w:semiHidden/>
    <w:qFormat/>
    <w:uiPriority w:val="9"/>
    <w:rPr>
      <w:b/>
      <w:bCs/>
      <w:i/>
      <w:iCs/>
      <w:sz w:val="26"/>
      <w:szCs w:val="26"/>
    </w:rPr>
  </w:style>
  <w:style w:type="character" w:customStyle="1" w:styleId="30">
    <w:name w:val="标题 6 字符"/>
    <w:basedOn w:val="22"/>
    <w:link w:val="8"/>
    <w:semiHidden/>
    <w:qFormat/>
    <w:uiPriority w:val="9"/>
    <w:rPr>
      <w:b/>
      <w:bCs/>
    </w:rPr>
  </w:style>
  <w:style w:type="character" w:customStyle="1" w:styleId="31">
    <w:name w:val="标题 7 字符"/>
    <w:basedOn w:val="22"/>
    <w:link w:val="9"/>
    <w:semiHidden/>
    <w:qFormat/>
    <w:uiPriority w:val="9"/>
    <w:rPr>
      <w:sz w:val="24"/>
      <w:szCs w:val="24"/>
    </w:rPr>
  </w:style>
  <w:style w:type="character" w:customStyle="1" w:styleId="32">
    <w:name w:val="标题 8 字符"/>
    <w:basedOn w:val="22"/>
    <w:link w:val="10"/>
    <w:semiHidden/>
    <w:qFormat/>
    <w:uiPriority w:val="9"/>
    <w:rPr>
      <w:i/>
      <w:iCs/>
      <w:sz w:val="24"/>
      <w:szCs w:val="24"/>
    </w:rPr>
  </w:style>
  <w:style w:type="character" w:customStyle="1" w:styleId="33">
    <w:name w:val="标题 9 字符"/>
    <w:basedOn w:val="22"/>
    <w:link w:val="11"/>
    <w:semiHidden/>
    <w:qFormat/>
    <w:uiPriority w:val="9"/>
    <w:rPr>
      <w:rFonts w:asciiTheme="majorHAnsi" w:hAnsiTheme="majorHAnsi" w:eastAsiaTheme="majorEastAsia"/>
    </w:rPr>
  </w:style>
  <w:style w:type="character" w:customStyle="1" w:styleId="34">
    <w:name w:val="标题 字符"/>
    <w:basedOn w:val="22"/>
    <w:link w:val="2"/>
    <w:qFormat/>
    <w:uiPriority w:val="10"/>
    <w:rPr>
      <w:rFonts w:asciiTheme="majorHAnsi" w:hAnsiTheme="majorHAnsi" w:eastAsiaTheme="majorEastAsia"/>
      <w:b/>
      <w:bCs/>
      <w:kern w:val="28"/>
      <w:sz w:val="32"/>
      <w:szCs w:val="32"/>
    </w:rPr>
  </w:style>
  <w:style w:type="character" w:customStyle="1" w:styleId="35">
    <w:name w:val="副标题 字符"/>
    <w:basedOn w:val="22"/>
    <w:link w:val="18"/>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2"/>
    <w:link w:val="17"/>
    <w:qFormat/>
    <w:uiPriority w:val="99"/>
    <w:rPr>
      <w:rFonts w:ascii="Calibri" w:hAnsi="Calibri" w:eastAsia="宋体"/>
      <w:kern w:val="2"/>
      <w:sz w:val="18"/>
      <w:szCs w:val="18"/>
    </w:rPr>
  </w:style>
  <w:style w:type="character" w:customStyle="1" w:styleId="49">
    <w:name w:val="页脚 字符"/>
    <w:basedOn w:val="22"/>
    <w:link w:val="16"/>
    <w:qFormat/>
    <w:uiPriority w:val="99"/>
    <w:rPr>
      <w:rFonts w:ascii="Calibri" w:hAnsi="Calibri" w:eastAsia="宋体"/>
      <w:kern w:val="2"/>
      <w:sz w:val="18"/>
      <w:szCs w:val="18"/>
    </w:rPr>
  </w:style>
  <w:style w:type="character" w:customStyle="1" w:styleId="50">
    <w:name w:val="批注框文本 字符"/>
    <w:basedOn w:val="22"/>
    <w:link w:val="15"/>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 w:type="character" w:customStyle="1" w:styleId="53">
    <w:name w:val="font31"/>
    <w:basedOn w:val="22"/>
    <w:qFormat/>
    <w:uiPriority w:val="0"/>
    <w:rPr>
      <w:rFonts w:hint="eastAsia" w:ascii="宋体" w:hAnsi="宋体" w:eastAsia="宋体" w:cs="宋体"/>
      <w:color w:val="000000"/>
      <w:sz w:val="18"/>
      <w:szCs w:val="18"/>
      <w:u w:val="none"/>
    </w:rPr>
  </w:style>
  <w:style w:type="paragraph" w:customStyle="1" w:styleId="54">
    <w:name w:val="闻政-正文段落文字"/>
    <w:basedOn w:val="1"/>
    <w:qFormat/>
    <w:uiPriority w:val="3"/>
    <w:pPr>
      <w:spacing w:line="500" w:lineRule="exact"/>
      <w:ind w:firstLine="200"/>
    </w:pPr>
    <w:rPr>
      <w:kern w:val="0"/>
      <w:szCs w:val="28"/>
    </w:rPr>
  </w:style>
  <w:style w:type="character" w:customStyle="1" w:styleId="55">
    <w:name w:val="font21"/>
    <w:basedOn w:val="22"/>
    <w:qFormat/>
    <w:uiPriority w:val="0"/>
    <w:rPr>
      <w:rFonts w:hint="eastAsia" w:ascii="宋体" w:hAnsi="宋体" w:eastAsia="宋体" w:cs="宋体"/>
      <w:color w:val="000000"/>
      <w:sz w:val="18"/>
      <w:szCs w:val="18"/>
      <w:u w:val="none"/>
    </w:rPr>
  </w:style>
  <w:style w:type="character" w:customStyle="1" w:styleId="56">
    <w:name w:val="font91"/>
    <w:basedOn w:val="22"/>
    <w:qFormat/>
    <w:uiPriority w:val="0"/>
    <w:rPr>
      <w:rFonts w:hint="eastAsia" w:ascii="宋体" w:hAnsi="宋体" w:eastAsia="宋体" w:cs="宋体"/>
      <w:color w:val="000000"/>
      <w:sz w:val="16"/>
      <w:szCs w:val="16"/>
      <w:u w:val="none"/>
    </w:rPr>
  </w:style>
  <w:style w:type="character" w:customStyle="1" w:styleId="57">
    <w:name w:val="font71"/>
    <w:basedOn w:val="22"/>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9240</Words>
  <Characters>9807</Characters>
  <Lines>50</Lines>
  <Paragraphs>14</Paragraphs>
  <TotalTime>0</TotalTime>
  <ScaleCrop>false</ScaleCrop>
  <LinksUpToDate>false</LinksUpToDate>
  <CharactersWithSpaces>9836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2020-07-05T00:35:00Z</dcterms:created>
  <dc:creator>赵 恺（预算处）</dc:creator>
  <cp:lastModifiedBy>尘如故</cp:lastModifiedBy>
  <cp:lastPrinted>2020-01-01T00:02:00Z</cp:lastPrinted>
  <dcterms:modified xsi:type="dcterms:W3CDTF">2024-08-28T03:59:02Z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00D63BAB1AAC43759311D6ADE36DC66D</vt:lpwstr>
  </property>
  <property fmtid="{D5CDD505-2E9C-101B-9397-08002B2CF9AE}" pid="4" name="KSOSaveFontToCloudKey">
    <vt:lpwstr>0_btnclosed</vt:lpwstr>
  </property>
</Properties>
</file>