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E6ABB">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14:paraId="2294F885">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32"/>
          <w:szCs w:val="32"/>
          <w:highlight w:val="none"/>
        </w:rPr>
      </w:pPr>
    </w:p>
    <w:p w14:paraId="0B606CB3">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lang w:val="en-US" w:eastAsia="zh-CN"/>
        </w:rPr>
      </w:pPr>
      <w:r>
        <w:rPr>
          <w:rFonts w:hint="default" w:ascii="Times New Roman" w:hAnsi="Times New Roman" w:eastAsia="方正小标宋_GBK" w:cs="Times New Roman"/>
          <w:color w:val="auto"/>
          <w:sz w:val="44"/>
          <w:szCs w:val="44"/>
          <w:highlight w:val="none"/>
          <w:lang w:val="en-US" w:eastAsia="zh-CN"/>
        </w:rPr>
        <w:t>新疆医科大学第五附属医院</w:t>
      </w:r>
    </w:p>
    <w:p w14:paraId="2977C59A">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val="en-US" w:eastAsia="zh-CN"/>
        </w:rPr>
        <w:t xml:space="preserve"> 2023</w:t>
      </w:r>
      <w:r>
        <w:rPr>
          <w:rFonts w:hint="default" w:ascii="Times New Roman" w:hAnsi="Times New Roman" w:eastAsia="方正小标宋_GBK" w:cs="Times New Roman"/>
          <w:color w:val="auto"/>
          <w:sz w:val="44"/>
          <w:szCs w:val="44"/>
          <w:highlight w:val="none"/>
          <w:lang w:eastAsia="zh-CN"/>
        </w:rPr>
        <w:t>年度</w:t>
      </w:r>
      <w:r>
        <w:rPr>
          <w:rFonts w:hint="default" w:ascii="Times New Roman" w:hAnsi="Times New Roman" w:eastAsia="方正小标宋_GBK" w:cs="Times New Roman"/>
          <w:color w:val="auto"/>
          <w:sz w:val="44"/>
          <w:szCs w:val="44"/>
          <w:highlight w:val="none"/>
        </w:rPr>
        <w:t>部门决算</w:t>
      </w:r>
    </w:p>
    <w:p w14:paraId="681207FD">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b/>
          <w:bCs/>
          <w:color w:val="auto"/>
          <w:sz w:val="44"/>
          <w:szCs w:val="44"/>
          <w:highlight w:val="none"/>
        </w:rPr>
      </w:pPr>
      <w:r>
        <w:rPr>
          <w:rFonts w:hint="default" w:ascii="Times New Roman" w:hAnsi="Times New Roman" w:eastAsia="方正小标宋_GBK" w:cs="Times New Roman"/>
          <w:color w:val="auto"/>
          <w:sz w:val="44"/>
          <w:szCs w:val="44"/>
          <w:highlight w:val="none"/>
        </w:rPr>
        <w:t>公开说明</w:t>
      </w:r>
    </w:p>
    <w:p w14:paraId="247C4214">
      <w:pPr>
        <w:rPr>
          <w:rFonts w:hint="default" w:ascii="Times New Roman" w:hAnsi="Times New Roman" w:eastAsia="方正小标宋_GBK" w:cs="Times New Roman"/>
          <w:color w:val="auto"/>
          <w:sz w:val="32"/>
          <w:szCs w:val="32"/>
          <w:highlight w:val="none"/>
        </w:rPr>
      </w:pPr>
      <w:r>
        <w:rPr>
          <w:rFonts w:hint="default" w:ascii="Times New Roman" w:hAnsi="Times New Roman" w:eastAsia="方正小标宋_GBK" w:cs="Times New Roman"/>
          <w:color w:val="auto"/>
          <w:sz w:val="32"/>
          <w:szCs w:val="32"/>
          <w:highlight w:val="none"/>
        </w:rPr>
        <w:br w:type="page"/>
      </w:r>
    </w:p>
    <w:p w14:paraId="2D7DA91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14:paraId="657AC4F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14:paraId="2E73AE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14:paraId="0E2903B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14:paraId="473FDF8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14:paraId="5C81DE7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14:paraId="678E46F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14:paraId="63E1263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14:paraId="5500BE1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14:paraId="5BC5635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14:paraId="0D6F7C8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14:paraId="0348189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39EBD10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14:paraId="6F320813">
      <w:pPr>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14:paraId="02706E0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4627CF4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14:paraId="5F72C36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14:paraId="0BBBF33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14:paraId="5430D56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14:paraId="75FAC57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14:paraId="6910C01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14:paraId="4294AEC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14:paraId="2574C62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14:paraId="6064297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14:paraId="7445D7F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14:paraId="3A33042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14:paraId="10DE4EF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14:paraId="7A148DB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14:paraId="7FDC3E5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14:paraId="332411B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14:paraId="139514E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14:paraId="5B9A7791">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end"/>
      </w:r>
    </w:p>
    <w:p w14:paraId="20803E2A">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14:paraId="1A6493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14:paraId="3ECD57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567"/>
      <w:bookmarkStart w:id="3" w:name="_Toc30738"/>
      <w:r>
        <w:rPr>
          <w:rFonts w:hint="default" w:ascii="Times New Roman" w:hAnsi="Times New Roman" w:eastAsia="黑体" w:cs="Times New Roman"/>
          <w:bCs/>
          <w:color w:val="auto"/>
          <w:kern w:val="0"/>
          <w:sz w:val="32"/>
          <w:szCs w:val="32"/>
          <w:highlight w:val="none"/>
        </w:rPr>
        <w:t>一、主要职能</w:t>
      </w:r>
      <w:bookmarkEnd w:id="2"/>
      <w:bookmarkEnd w:id="3"/>
    </w:p>
    <w:p w14:paraId="68884893">
      <w:pPr>
        <w:rPr>
          <w:rFonts w:hint="default" w:ascii="Times New Roman" w:hAnsi="Times New Roman" w:eastAsia="仿宋_GB2312" w:cs="Times New Roman"/>
          <w:bCs/>
          <w:color w:val="auto"/>
          <w:kern w:val="0"/>
          <w:sz w:val="32"/>
          <w:szCs w:val="32"/>
        </w:rPr>
      </w:pPr>
      <w:bookmarkStart w:id="4" w:name="_Toc31238"/>
      <w:bookmarkStart w:id="5" w:name="_Toc2151"/>
      <w:r>
        <w:rPr>
          <w:rFonts w:hint="default" w:ascii="Times New Roman" w:hAnsi="Times New Roman" w:eastAsia="仿宋_GB2312" w:cs="Times New Roman"/>
          <w:sz w:val="32"/>
          <w:szCs w:val="32"/>
        </w:rPr>
        <w:t>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Cs/>
          <w:color w:val="auto"/>
          <w:kern w:val="0"/>
          <w:sz w:val="32"/>
          <w:szCs w:val="32"/>
          <w:lang w:val="en-US" w:eastAsia="zh-CN"/>
        </w:rPr>
        <w:t xml:space="preserve"> </w:t>
      </w:r>
      <w:r>
        <w:rPr>
          <w:rFonts w:hint="default" w:ascii="Times New Roman" w:hAnsi="Times New Roman" w:eastAsia="仿宋_GB2312" w:cs="Times New Roman"/>
          <w:bCs/>
          <w:color w:val="auto"/>
          <w:kern w:val="0"/>
          <w:sz w:val="32"/>
          <w:szCs w:val="32"/>
        </w:rPr>
        <w:t>新疆医科大学第五附属医院</w:t>
      </w:r>
      <w:r>
        <w:rPr>
          <w:rFonts w:hint="default" w:ascii="Times New Roman" w:hAnsi="Times New Roman" w:eastAsia="仿宋_GB2312" w:cs="Times New Roman"/>
          <w:bCs/>
          <w:color w:val="auto"/>
          <w:kern w:val="0"/>
          <w:sz w:val="32"/>
          <w:szCs w:val="32"/>
          <w:lang w:eastAsia="zh-CN"/>
        </w:rPr>
        <w:t>（</w:t>
      </w:r>
      <w:r>
        <w:rPr>
          <w:rFonts w:hint="default" w:ascii="Times New Roman" w:hAnsi="Times New Roman" w:eastAsia="仿宋_GB2312" w:cs="Times New Roman"/>
          <w:bCs/>
          <w:color w:val="auto"/>
          <w:kern w:val="0"/>
          <w:sz w:val="32"/>
          <w:szCs w:val="32"/>
        </w:rPr>
        <w:t>第五临床医学院</w:t>
      </w:r>
      <w:r>
        <w:rPr>
          <w:rFonts w:hint="default" w:ascii="Times New Roman" w:hAnsi="Times New Roman" w:eastAsia="仿宋_GB2312" w:cs="Times New Roman"/>
          <w:bCs/>
          <w:color w:val="auto"/>
          <w:kern w:val="0"/>
          <w:sz w:val="32"/>
          <w:szCs w:val="32"/>
          <w:lang w:eastAsia="zh-CN"/>
        </w:rPr>
        <w:t>）</w:t>
      </w:r>
      <w:r>
        <w:rPr>
          <w:rFonts w:hint="default" w:ascii="Times New Roman" w:hAnsi="Times New Roman" w:eastAsia="仿宋_GB2312" w:cs="Times New Roman"/>
          <w:bCs/>
          <w:color w:val="auto"/>
          <w:kern w:val="0"/>
          <w:sz w:val="32"/>
          <w:szCs w:val="32"/>
        </w:rPr>
        <w:t>是一所集医疗、教学、科研、预防为一体的综合性三级甲等医院，医院始建于1937年，是自治区首家命名的三级甲等综合医院。医院占地面积5万平方米，建筑面积12万平方米，截止202</w:t>
      </w:r>
      <w:r>
        <w:rPr>
          <w:rFonts w:hint="default" w:ascii="Times New Roman" w:hAnsi="Times New Roman" w:eastAsia="仿宋_GB2312" w:cs="Times New Roman"/>
          <w:bCs/>
          <w:color w:val="auto"/>
          <w:kern w:val="0"/>
          <w:sz w:val="32"/>
          <w:szCs w:val="32"/>
          <w:lang w:val="en-US" w:eastAsia="zh-CN"/>
        </w:rPr>
        <w:t>3</w:t>
      </w:r>
      <w:r>
        <w:rPr>
          <w:rFonts w:hint="default" w:ascii="Times New Roman" w:hAnsi="Times New Roman" w:eastAsia="仿宋_GB2312" w:cs="Times New Roman"/>
          <w:bCs/>
          <w:color w:val="auto"/>
          <w:kern w:val="0"/>
          <w:sz w:val="32"/>
          <w:szCs w:val="32"/>
        </w:rPr>
        <w:t>年12月31日医院固定资产原值</w:t>
      </w:r>
      <w:r>
        <w:rPr>
          <w:rFonts w:hint="default" w:ascii="Times New Roman" w:hAnsi="Times New Roman" w:eastAsia="仿宋_GB2312" w:cs="Times New Roman"/>
          <w:bCs/>
          <w:color w:val="auto"/>
          <w:kern w:val="0"/>
          <w:sz w:val="32"/>
          <w:szCs w:val="32"/>
          <w:lang w:val="en-US" w:eastAsia="zh-CN"/>
        </w:rPr>
        <w:t>10.24</w:t>
      </w:r>
      <w:r>
        <w:rPr>
          <w:rFonts w:hint="default" w:ascii="Times New Roman" w:hAnsi="Times New Roman" w:eastAsia="仿宋_GB2312" w:cs="Times New Roman"/>
          <w:bCs/>
          <w:color w:val="auto"/>
          <w:kern w:val="0"/>
          <w:sz w:val="32"/>
          <w:szCs w:val="32"/>
        </w:rPr>
        <w:t>亿元。</w:t>
      </w:r>
    </w:p>
    <w:p w14:paraId="16174D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14:paraId="18CB1F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新疆医科大学第五附属医院</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1148</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460</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4</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684</w:t>
      </w:r>
      <w:r>
        <w:rPr>
          <w:rFonts w:hint="default" w:ascii="Times New Roman" w:hAnsi="Times New Roman" w:eastAsia="仿宋_GB2312" w:cs="Times New Roman"/>
          <w:color w:val="auto"/>
          <w:sz w:val="32"/>
          <w:szCs w:val="32"/>
          <w:highlight w:val="none"/>
        </w:rPr>
        <w:t>人。</w:t>
      </w:r>
    </w:p>
    <w:p w14:paraId="08ADE7FA">
      <w:pPr>
        <w:ind w:firstLine="640" w:firstLineChars="200"/>
        <w:rPr>
          <w:rFonts w:hint="default" w:ascii="Times New Roman" w:hAnsi="Times New Roman" w:eastAsia="仿宋_GB2312" w:cs="Times New Roman"/>
          <w:color w:val="auto"/>
          <w:kern w:val="0"/>
          <w:sz w:val="32"/>
          <w:szCs w:val="32"/>
        </w:rPr>
      </w:pPr>
      <w:bookmarkStart w:id="6" w:name="_Toc3092"/>
      <w:bookmarkStart w:id="7" w:name="_Toc29374"/>
      <w:r>
        <w:rPr>
          <w:rFonts w:hint="default" w:ascii="Times New Roman" w:hAnsi="Times New Roman" w:eastAsia="仿宋_GB2312" w:cs="Times New Roman"/>
          <w:bCs/>
          <w:kern w:val="0"/>
          <w:sz w:val="32"/>
          <w:szCs w:val="32"/>
        </w:rPr>
        <w:t>单位无下属预算单位，下设</w:t>
      </w:r>
      <w:r>
        <w:rPr>
          <w:rFonts w:hint="default" w:ascii="Times New Roman" w:hAnsi="Times New Roman" w:eastAsia="仿宋_GB2312" w:cs="Times New Roman"/>
          <w:sz w:val="32"/>
          <w:szCs w:val="32"/>
        </w:rPr>
        <w:t>67</w:t>
      </w:r>
      <w:r>
        <w:rPr>
          <w:rFonts w:hint="default" w:ascii="Times New Roman" w:hAnsi="Times New Roman" w:eastAsia="仿宋_GB2312" w:cs="Times New Roman"/>
          <w:bCs/>
          <w:kern w:val="0"/>
          <w:sz w:val="32"/>
          <w:szCs w:val="32"/>
        </w:rPr>
        <w:t>个</w:t>
      </w:r>
      <w:r>
        <w:rPr>
          <w:rFonts w:hint="default" w:ascii="Times New Roman" w:hAnsi="Times New Roman" w:eastAsia="仿宋_GB2312" w:cs="Times New Roman"/>
          <w:bCs/>
          <w:kern w:val="0"/>
          <w:sz w:val="32"/>
          <w:szCs w:val="32"/>
          <w:lang w:val="en-US" w:eastAsia="zh-CN"/>
        </w:rPr>
        <w:t>科</w:t>
      </w:r>
      <w:r>
        <w:rPr>
          <w:rFonts w:hint="default" w:ascii="Times New Roman" w:hAnsi="Times New Roman" w:eastAsia="仿宋_GB2312" w:cs="Times New Roman"/>
          <w:bCs/>
          <w:kern w:val="0"/>
          <w:sz w:val="32"/>
          <w:szCs w:val="32"/>
        </w:rPr>
        <w:t>室，分别是：</w:t>
      </w:r>
      <w:r>
        <w:rPr>
          <w:rFonts w:hint="default" w:ascii="Times New Roman" w:hAnsi="Times New Roman" w:eastAsia="仿宋_GB2312" w:cs="Times New Roman"/>
          <w:bCs/>
          <w:color w:val="auto"/>
          <w:kern w:val="0"/>
          <w:sz w:val="32"/>
          <w:szCs w:val="32"/>
        </w:rPr>
        <w:t>心血管内科、高血压科、神经内科、消化内科、呼吸与危重症医学科、内分泌科、老年病科、全科医学科、儿科、新生儿科、中医科、感染疾病科、康复医学科、肾病科、耳鼻喉科、整形美容科、皮肤科、胃肠外科、肝胆胰腺外科、心胸外科、神经外科、脑病科、甲乳外科、妇科、产科、眼科、口腔科、重症医学科、急诊科、泌尿外科、骨科中心、消化肝病科、公共卫生科、门诊部、风湿免疫血液科、肿瘤科、检验科、超声诊断科、功能科、输血科、病理科、临床营养科、药学部、麻醉科、手术室、影像中心、消毒供应室、住院部、护理部、医务部、党委（医院）办公室、纪检监察室、组织人事科、审计科、财务科、医疗保险办公室、信息与设备管理科、保卫科、后勤管理科、离退休管理办公室、工会、团委、教学科研管理办公室、学生工作办公室、感染管理科、杭州路社区卫生服务中心、八家户社区卫生服务中心</w:t>
      </w:r>
      <w:r>
        <w:rPr>
          <w:rFonts w:hint="default" w:ascii="Times New Roman" w:hAnsi="Times New Roman" w:eastAsia="仿宋_GB2312" w:cs="Times New Roman"/>
          <w:color w:val="auto"/>
          <w:kern w:val="0"/>
          <w:sz w:val="32"/>
          <w:szCs w:val="32"/>
        </w:rPr>
        <w:t>。</w:t>
      </w:r>
    </w:p>
    <w:p w14:paraId="628E4476">
      <w:pPr>
        <w:ind w:firstLine="640" w:firstLineChars="200"/>
        <w:rPr>
          <w:rFonts w:hint="default" w:ascii="Times New Roman" w:hAnsi="Times New Roman" w:eastAsia="仿宋_GB2312" w:cs="Times New Roman"/>
          <w:color w:val="C00000"/>
          <w:kern w:val="0"/>
          <w:sz w:val="32"/>
          <w:szCs w:val="32"/>
        </w:rPr>
      </w:pPr>
    </w:p>
    <w:p w14:paraId="7D89602A">
      <w:pPr>
        <w:ind w:firstLine="640" w:firstLineChars="200"/>
        <w:rPr>
          <w:rFonts w:hint="default" w:ascii="Times New Roman" w:hAnsi="Times New Roman" w:eastAsia="仿宋_GB2312" w:cs="Times New Roman"/>
          <w:color w:val="C00000"/>
          <w:kern w:val="0"/>
          <w:sz w:val="32"/>
          <w:szCs w:val="32"/>
        </w:rPr>
      </w:pPr>
    </w:p>
    <w:p w14:paraId="02F1C85F">
      <w:pPr>
        <w:ind w:firstLine="640" w:firstLineChars="200"/>
        <w:rPr>
          <w:rFonts w:hint="default" w:ascii="Times New Roman" w:hAnsi="Times New Roman" w:eastAsia="仿宋_GB2312" w:cs="Times New Roman"/>
          <w:color w:val="C00000"/>
          <w:kern w:val="0"/>
          <w:sz w:val="32"/>
          <w:szCs w:val="32"/>
        </w:rPr>
      </w:pPr>
    </w:p>
    <w:p w14:paraId="2F90CBB5">
      <w:pPr>
        <w:ind w:firstLine="640" w:firstLineChars="200"/>
        <w:rPr>
          <w:rFonts w:hint="default" w:ascii="Times New Roman" w:hAnsi="Times New Roman" w:eastAsia="仿宋_GB2312" w:cs="Times New Roman"/>
          <w:color w:val="C00000"/>
          <w:kern w:val="0"/>
          <w:sz w:val="32"/>
          <w:szCs w:val="32"/>
        </w:rPr>
      </w:pPr>
    </w:p>
    <w:p w14:paraId="01C2B7A9">
      <w:pPr>
        <w:ind w:firstLine="640" w:firstLineChars="200"/>
        <w:rPr>
          <w:rFonts w:hint="default" w:ascii="Times New Roman" w:hAnsi="Times New Roman" w:eastAsia="仿宋_GB2312" w:cs="Times New Roman"/>
          <w:color w:val="C00000"/>
          <w:kern w:val="0"/>
          <w:sz w:val="32"/>
          <w:szCs w:val="32"/>
        </w:rPr>
      </w:pPr>
    </w:p>
    <w:p w14:paraId="108447F3">
      <w:pPr>
        <w:ind w:firstLine="640" w:firstLineChars="200"/>
        <w:rPr>
          <w:rFonts w:hint="default" w:ascii="Times New Roman" w:hAnsi="Times New Roman" w:eastAsia="仿宋_GB2312" w:cs="Times New Roman"/>
          <w:color w:val="C00000"/>
          <w:kern w:val="0"/>
          <w:sz w:val="32"/>
          <w:szCs w:val="32"/>
        </w:rPr>
      </w:pPr>
    </w:p>
    <w:p w14:paraId="3BDB1902">
      <w:pPr>
        <w:ind w:firstLine="640" w:firstLineChars="200"/>
        <w:rPr>
          <w:rFonts w:hint="default" w:ascii="Times New Roman" w:hAnsi="Times New Roman" w:eastAsia="仿宋_GB2312" w:cs="Times New Roman"/>
          <w:color w:val="C00000"/>
          <w:kern w:val="0"/>
          <w:sz w:val="32"/>
          <w:szCs w:val="32"/>
        </w:rPr>
      </w:pPr>
    </w:p>
    <w:p w14:paraId="3D524A61">
      <w:pPr>
        <w:ind w:firstLine="640" w:firstLineChars="200"/>
        <w:rPr>
          <w:rFonts w:hint="default" w:ascii="Times New Roman" w:hAnsi="Times New Roman" w:eastAsia="仿宋_GB2312" w:cs="Times New Roman"/>
          <w:color w:val="C00000"/>
          <w:kern w:val="0"/>
          <w:sz w:val="32"/>
          <w:szCs w:val="32"/>
        </w:rPr>
      </w:pPr>
    </w:p>
    <w:p w14:paraId="3D6376BA">
      <w:pPr>
        <w:ind w:firstLine="640" w:firstLineChars="200"/>
        <w:rPr>
          <w:rFonts w:hint="default" w:ascii="Times New Roman" w:hAnsi="Times New Roman" w:eastAsia="仿宋_GB2312" w:cs="Times New Roman"/>
          <w:color w:val="C00000"/>
          <w:kern w:val="0"/>
          <w:sz w:val="32"/>
          <w:szCs w:val="32"/>
        </w:rPr>
      </w:pPr>
    </w:p>
    <w:p w14:paraId="0C8A7652">
      <w:pPr>
        <w:ind w:firstLine="640" w:firstLineChars="200"/>
        <w:rPr>
          <w:rFonts w:hint="default" w:ascii="Times New Roman" w:hAnsi="Times New Roman" w:eastAsia="仿宋_GB2312" w:cs="Times New Roman"/>
          <w:color w:val="C00000"/>
          <w:kern w:val="0"/>
          <w:sz w:val="32"/>
          <w:szCs w:val="32"/>
        </w:rPr>
      </w:pPr>
    </w:p>
    <w:p w14:paraId="5D40FD20">
      <w:pPr>
        <w:ind w:firstLine="640" w:firstLineChars="200"/>
        <w:rPr>
          <w:rFonts w:hint="default" w:ascii="Times New Roman" w:hAnsi="Times New Roman" w:eastAsia="仿宋_GB2312" w:cs="Times New Roman"/>
          <w:color w:val="C00000"/>
          <w:kern w:val="0"/>
          <w:sz w:val="32"/>
          <w:szCs w:val="32"/>
        </w:rPr>
      </w:pPr>
    </w:p>
    <w:p w14:paraId="0701906B">
      <w:pPr>
        <w:ind w:firstLine="640" w:firstLineChars="200"/>
        <w:rPr>
          <w:rFonts w:hint="default" w:ascii="Times New Roman" w:hAnsi="Times New Roman" w:eastAsia="仿宋_GB2312" w:cs="Times New Roman"/>
          <w:color w:val="C00000"/>
          <w:kern w:val="0"/>
          <w:sz w:val="32"/>
          <w:szCs w:val="32"/>
        </w:rPr>
      </w:pPr>
    </w:p>
    <w:p w14:paraId="7FF9BAFC">
      <w:pPr>
        <w:ind w:firstLine="640" w:firstLineChars="200"/>
        <w:rPr>
          <w:rFonts w:hint="default" w:ascii="Times New Roman" w:hAnsi="Times New Roman" w:eastAsia="仿宋_GB2312" w:cs="Times New Roman"/>
          <w:color w:val="C00000"/>
          <w:kern w:val="0"/>
          <w:sz w:val="32"/>
          <w:szCs w:val="32"/>
        </w:rPr>
      </w:pPr>
    </w:p>
    <w:p w14:paraId="7C96121F">
      <w:pPr>
        <w:ind w:firstLine="640" w:firstLineChars="200"/>
        <w:rPr>
          <w:rFonts w:hint="default" w:ascii="Times New Roman" w:hAnsi="Times New Roman" w:eastAsia="仿宋_GB2312" w:cs="Times New Roman"/>
          <w:color w:val="C00000"/>
          <w:kern w:val="0"/>
          <w:sz w:val="32"/>
          <w:szCs w:val="32"/>
        </w:rPr>
      </w:pPr>
    </w:p>
    <w:p w14:paraId="20AEB1A7">
      <w:pPr>
        <w:ind w:firstLine="640" w:firstLineChars="200"/>
        <w:rPr>
          <w:rFonts w:hint="default" w:ascii="Times New Roman" w:hAnsi="Times New Roman" w:eastAsia="仿宋_GB2312" w:cs="Times New Roman"/>
          <w:color w:val="C00000"/>
          <w:kern w:val="0"/>
          <w:sz w:val="32"/>
          <w:szCs w:val="32"/>
        </w:rPr>
      </w:pPr>
    </w:p>
    <w:p w14:paraId="1F55445C">
      <w:pPr>
        <w:ind w:firstLine="640" w:firstLineChars="200"/>
        <w:rPr>
          <w:rFonts w:hint="default" w:ascii="Times New Roman" w:hAnsi="Times New Roman" w:eastAsia="仿宋_GB2312" w:cs="Times New Roman"/>
          <w:color w:val="C00000"/>
          <w:kern w:val="0"/>
          <w:sz w:val="32"/>
          <w:szCs w:val="32"/>
        </w:rPr>
      </w:pPr>
    </w:p>
    <w:p w14:paraId="0643B5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p>
    <w:p w14:paraId="5457C1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p>
    <w:p w14:paraId="145F80D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14:paraId="312F80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25314"/>
      <w:bookmarkStart w:id="9" w:name="_Toc12566"/>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14:paraId="55F95A5D">
      <w:pPr>
        <w:ind w:firstLine="640" w:firstLineChars="200"/>
        <w:rPr>
          <w:rFonts w:hint="default" w:ascii="Times New Roman" w:hAnsi="Times New Roman" w:eastAsia="仿宋_GB2312" w:cs="Times New Roman"/>
          <w:bCs/>
          <w:color w:val="auto"/>
          <w:kern w:val="0"/>
          <w:sz w:val="32"/>
          <w:szCs w:val="32"/>
          <w:lang w:eastAsia="zh-CN"/>
        </w:rPr>
      </w:pPr>
      <w:r>
        <w:rPr>
          <w:rFonts w:hint="default" w:ascii="Times New Roman" w:hAnsi="Times New Roman" w:eastAsia="仿宋_GB2312" w:cs="Times New Roman"/>
          <w:bCs/>
          <w:color w:val="auto"/>
          <w:kern w:val="0"/>
          <w:sz w:val="32"/>
          <w:szCs w:val="32"/>
          <w:lang w:eastAsia="zh-CN"/>
        </w:rPr>
        <w:t>2023年度</w:t>
      </w:r>
      <w:r>
        <w:rPr>
          <w:rFonts w:hint="default" w:ascii="Times New Roman" w:hAnsi="Times New Roman" w:eastAsia="仿宋_GB2312" w:cs="Times New Roman"/>
          <w:bCs/>
          <w:color w:val="auto"/>
          <w:kern w:val="0"/>
          <w:sz w:val="32"/>
          <w:szCs w:val="32"/>
          <w:lang w:val="en-US" w:eastAsia="zh-CN"/>
        </w:rPr>
        <w:t>收入总计</w:t>
      </w:r>
      <w:r>
        <w:rPr>
          <w:rFonts w:hint="default" w:ascii="Times New Roman" w:hAnsi="Times New Roman" w:eastAsia="仿宋_GB2312" w:cs="Times New Roman"/>
          <w:bCs/>
          <w:color w:val="auto"/>
          <w:kern w:val="0"/>
          <w:sz w:val="32"/>
          <w:szCs w:val="32"/>
          <w:lang w:eastAsia="zh-CN"/>
        </w:rPr>
        <w:t>110,034.16万元，</w:t>
      </w:r>
      <w:r>
        <w:rPr>
          <w:rFonts w:hint="default" w:ascii="Times New Roman" w:hAnsi="Times New Roman" w:eastAsia="仿宋_GB2312" w:cs="Times New Roman"/>
          <w:bCs/>
          <w:color w:val="auto"/>
          <w:kern w:val="0"/>
          <w:sz w:val="32"/>
          <w:szCs w:val="32"/>
          <w:lang w:val="en-US" w:eastAsia="zh-CN"/>
        </w:rPr>
        <w:t>其中：本年收入合计</w:t>
      </w:r>
      <w:r>
        <w:rPr>
          <w:rFonts w:hint="default" w:ascii="Times New Roman" w:hAnsi="Times New Roman" w:eastAsia="仿宋_GB2312" w:cs="Times New Roman"/>
          <w:bCs/>
          <w:color w:val="auto"/>
          <w:kern w:val="0"/>
          <w:sz w:val="32"/>
          <w:szCs w:val="32"/>
          <w:lang w:eastAsia="zh-CN"/>
        </w:rPr>
        <w:t>109,775.77万元，使用非财政拨款结余0.00万元，年初结转和结余258.39万元。</w:t>
      </w:r>
    </w:p>
    <w:p w14:paraId="56371B7F">
      <w:pPr>
        <w:ind w:firstLine="640" w:firstLineChars="200"/>
        <w:rPr>
          <w:rFonts w:hint="default" w:ascii="Times New Roman" w:hAnsi="Times New Roman" w:eastAsia="仿宋_GB2312" w:cs="Times New Roman"/>
          <w:bCs/>
          <w:color w:val="auto"/>
          <w:kern w:val="0"/>
          <w:sz w:val="32"/>
          <w:szCs w:val="32"/>
          <w:lang w:eastAsia="zh-CN"/>
        </w:rPr>
      </w:pPr>
      <w:r>
        <w:rPr>
          <w:rFonts w:hint="default" w:ascii="Times New Roman" w:hAnsi="Times New Roman" w:eastAsia="仿宋_GB2312" w:cs="Times New Roman"/>
          <w:bCs/>
          <w:color w:val="auto"/>
          <w:kern w:val="0"/>
          <w:sz w:val="32"/>
          <w:szCs w:val="32"/>
          <w:lang w:val="en-US" w:eastAsia="zh-CN"/>
        </w:rPr>
        <w:t>2023</w:t>
      </w:r>
      <w:r>
        <w:rPr>
          <w:rFonts w:hint="default" w:ascii="Times New Roman" w:hAnsi="Times New Roman" w:eastAsia="仿宋_GB2312" w:cs="Times New Roman"/>
          <w:bCs/>
          <w:color w:val="auto"/>
          <w:kern w:val="0"/>
          <w:sz w:val="32"/>
          <w:szCs w:val="32"/>
          <w:lang w:eastAsia="zh-CN"/>
        </w:rPr>
        <w:t>年</w:t>
      </w:r>
      <w:r>
        <w:rPr>
          <w:rFonts w:hint="default" w:ascii="Times New Roman" w:hAnsi="Times New Roman" w:eastAsia="仿宋_GB2312" w:cs="Times New Roman"/>
          <w:bCs/>
          <w:color w:val="auto"/>
          <w:kern w:val="0"/>
          <w:sz w:val="32"/>
          <w:szCs w:val="32"/>
          <w:lang w:val="en-US" w:eastAsia="zh-CN"/>
        </w:rPr>
        <w:t>度</w:t>
      </w:r>
      <w:r>
        <w:rPr>
          <w:rFonts w:hint="default" w:ascii="Times New Roman" w:hAnsi="Times New Roman" w:eastAsia="仿宋_GB2312" w:cs="Times New Roman"/>
          <w:bCs/>
          <w:color w:val="auto"/>
          <w:kern w:val="0"/>
          <w:sz w:val="32"/>
          <w:szCs w:val="32"/>
          <w:lang w:eastAsia="zh-CN"/>
        </w:rPr>
        <w:t>支出</w:t>
      </w:r>
      <w:r>
        <w:rPr>
          <w:rFonts w:hint="default" w:ascii="Times New Roman" w:hAnsi="Times New Roman" w:eastAsia="仿宋_GB2312" w:cs="Times New Roman"/>
          <w:bCs/>
          <w:color w:val="auto"/>
          <w:kern w:val="0"/>
          <w:sz w:val="32"/>
          <w:szCs w:val="32"/>
          <w:lang w:val="en-US" w:eastAsia="zh-CN"/>
        </w:rPr>
        <w:t>总计</w:t>
      </w:r>
      <w:r>
        <w:rPr>
          <w:rFonts w:hint="default" w:ascii="Times New Roman" w:hAnsi="Times New Roman" w:eastAsia="仿宋_GB2312" w:cs="Times New Roman"/>
          <w:bCs/>
          <w:color w:val="auto"/>
          <w:kern w:val="0"/>
          <w:sz w:val="32"/>
          <w:szCs w:val="32"/>
          <w:lang w:eastAsia="zh-CN"/>
        </w:rPr>
        <w:t>110,034.16万元，</w:t>
      </w:r>
      <w:r>
        <w:rPr>
          <w:rFonts w:hint="default" w:ascii="Times New Roman" w:hAnsi="Times New Roman" w:eastAsia="仿宋_GB2312" w:cs="Times New Roman"/>
          <w:bCs/>
          <w:color w:val="auto"/>
          <w:kern w:val="0"/>
          <w:sz w:val="32"/>
          <w:szCs w:val="32"/>
          <w:lang w:val="en-US" w:eastAsia="zh-CN"/>
        </w:rPr>
        <w:t>其中：本年支出合计</w:t>
      </w:r>
      <w:r>
        <w:rPr>
          <w:rFonts w:hint="default" w:ascii="Times New Roman" w:hAnsi="Times New Roman" w:eastAsia="仿宋_GB2312" w:cs="Times New Roman"/>
          <w:bCs/>
          <w:color w:val="auto"/>
          <w:kern w:val="0"/>
          <w:sz w:val="32"/>
          <w:szCs w:val="32"/>
          <w:lang w:eastAsia="zh-CN"/>
        </w:rPr>
        <w:t>99,072.62万元，</w:t>
      </w:r>
      <w:r>
        <w:rPr>
          <w:rFonts w:hint="default" w:ascii="Times New Roman" w:hAnsi="Times New Roman" w:eastAsia="仿宋_GB2312" w:cs="Times New Roman"/>
          <w:bCs/>
          <w:color w:val="auto"/>
          <w:kern w:val="0"/>
          <w:sz w:val="32"/>
          <w:szCs w:val="32"/>
          <w:lang w:val="en-US" w:eastAsia="zh-CN"/>
        </w:rPr>
        <w:t>结余分配</w:t>
      </w:r>
      <w:r>
        <w:rPr>
          <w:rFonts w:hint="default" w:ascii="Times New Roman" w:hAnsi="Times New Roman" w:eastAsia="仿宋_GB2312" w:cs="Times New Roman"/>
          <w:bCs/>
          <w:color w:val="auto"/>
          <w:kern w:val="0"/>
          <w:sz w:val="32"/>
          <w:szCs w:val="32"/>
          <w:lang w:eastAsia="zh-CN"/>
        </w:rPr>
        <w:t>10,905.73万元，年末结转和结余55.82万元。</w:t>
      </w:r>
    </w:p>
    <w:p w14:paraId="7C05F7E9">
      <w:pPr>
        <w:ind w:firstLine="640" w:firstLineChars="200"/>
        <w:rPr>
          <w:rFonts w:hint="default" w:ascii="Times New Roman" w:hAnsi="Times New Roman" w:eastAsia="仿宋_GB2312" w:cs="Times New Roman"/>
          <w:bCs/>
          <w:color w:val="auto"/>
          <w:kern w:val="0"/>
          <w:sz w:val="32"/>
          <w:szCs w:val="32"/>
          <w:lang w:val="en-US" w:eastAsia="zh-CN"/>
        </w:rPr>
      </w:pPr>
      <w:r>
        <w:rPr>
          <w:rFonts w:hint="default" w:ascii="Times New Roman" w:hAnsi="Times New Roman" w:eastAsia="仿宋_GB2312" w:cs="Times New Roman"/>
          <w:bCs/>
          <w:color w:val="auto"/>
          <w:kern w:val="0"/>
          <w:sz w:val="32"/>
          <w:szCs w:val="32"/>
          <w:lang w:val="en-US" w:eastAsia="zh-CN"/>
        </w:rPr>
        <w:t>收入支出总体与上年相比</w:t>
      </w:r>
      <w:r>
        <w:rPr>
          <w:rFonts w:hint="default" w:ascii="Times New Roman" w:hAnsi="Times New Roman" w:eastAsia="仿宋_GB2312" w:cs="Times New Roman"/>
          <w:bCs/>
          <w:color w:val="auto"/>
          <w:kern w:val="0"/>
          <w:sz w:val="32"/>
          <w:szCs w:val="32"/>
          <w:lang w:eastAsia="zh-CN"/>
        </w:rPr>
        <w:t>，</w:t>
      </w:r>
      <w:r>
        <w:rPr>
          <w:rFonts w:hint="default" w:ascii="Times New Roman" w:hAnsi="Times New Roman" w:eastAsia="仿宋_GB2312" w:cs="Times New Roman"/>
          <w:bCs/>
          <w:color w:val="auto"/>
          <w:kern w:val="0"/>
          <w:sz w:val="32"/>
          <w:szCs w:val="32"/>
          <w:lang w:val="zh-CN" w:eastAsia="zh-CN"/>
        </w:rPr>
        <w:t>增加29,283.51万元</w:t>
      </w:r>
      <w:r>
        <w:rPr>
          <w:rFonts w:hint="default" w:ascii="Times New Roman" w:hAnsi="Times New Roman" w:eastAsia="仿宋_GB2312" w:cs="Times New Roman"/>
          <w:bCs/>
          <w:color w:val="auto"/>
          <w:kern w:val="0"/>
          <w:sz w:val="32"/>
          <w:szCs w:val="32"/>
          <w:lang w:eastAsia="zh-CN"/>
        </w:rPr>
        <w:t>，</w:t>
      </w:r>
      <w:r>
        <w:rPr>
          <w:rFonts w:hint="default" w:ascii="Times New Roman" w:hAnsi="Times New Roman" w:eastAsia="仿宋_GB2312" w:cs="Times New Roman"/>
          <w:bCs/>
          <w:color w:val="auto"/>
          <w:kern w:val="0"/>
          <w:sz w:val="32"/>
          <w:szCs w:val="32"/>
          <w:lang w:val="zh-CN" w:eastAsia="zh-CN"/>
        </w:rPr>
        <w:t>增长36.26%</w:t>
      </w:r>
      <w:r>
        <w:rPr>
          <w:rFonts w:hint="default" w:ascii="Times New Roman" w:hAnsi="Times New Roman" w:eastAsia="仿宋_GB2312" w:cs="Times New Roman"/>
          <w:bCs/>
          <w:color w:val="auto"/>
          <w:kern w:val="0"/>
          <w:sz w:val="32"/>
          <w:szCs w:val="32"/>
          <w:lang w:eastAsia="zh-CN"/>
        </w:rPr>
        <w:t>，主要原因是</w:t>
      </w:r>
      <w:r>
        <w:rPr>
          <w:rFonts w:hint="default" w:ascii="Times New Roman" w:hAnsi="Times New Roman" w:eastAsia="仿宋_GB2312" w:cs="Times New Roman"/>
          <w:bCs/>
          <w:color w:val="auto"/>
          <w:kern w:val="0"/>
          <w:sz w:val="32"/>
          <w:szCs w:val="32"/>
          <w:lang w:val="en-US" w:eastAsia="zh-CN"/>
        </w:rPr>
        <w:t>：</w:t>
      </w:r>
      <w:r>
        <w:rPr>
          <w:rFonts w:hint="default" w:ascii="Times New Roman" w:hAnsi="Times New Roman" w:eastAsia="仿宋_GB2312" w:cs="Times New Roman"/>
          <w:bCs/>
          <w:color w:val="auto"/>
          <w:kern w:val="0"/>
          <w:sz w:val="32"/>
          <w:szCs w:val="32"/>
        </w:rPr>
        <w:t>收入总计与上年相比，</w:t>
      </w:r>
      <w:r>
        <w:rPr>
          <w:rFonts w:hint="default" w:ascii="Times New Roman" w:hAnsi="Times New Roman" w:eastAsia="仿宋_GB2312" w:cs="Times New Roman"/>
          <w:bCs/>
          <w:color w:val="auto"/>
          <w:kern w:val="0"/>
          <w:sz w:val="32"/>
          <w:szCs w:val="32"/>
          <w:lang w:val="en-US" w:eastAsia="zh-CN"/>
        </w:rPr>
        <w:t>增长39.19</w:t>
      </w:r>
      <w:r>
        <w:rPr>
          <w:rFonts w:hint="default" w:ascii="Times New Roman" w:hAnsi="Times New Roman" w:eastAsia="仿宋_GB2312" w:cs="Times New Roman"/>
          <w:bCs/>
          <w:color w:val="auto"/>
          <w:kern w:val="0"/>
          <w:sz w:val="32"/>
          <w:szCs w:val="32"/>
        </w:rPr>
        <w:t>%，主要</w:t>
      </w:r>
      <w:r>
        <w:rPr>
          <w:rFonts w:hint="default" w:ascii="Times New Roman" w:hAnsi="Times New Roman" w:eastAsia="仿宋_GB2312" w:cs="Times New Roman"/>
          <w:bCs/>
          <w:color w:val="auto"/>
          <w:kern w:val="0"/>
          <w:sz w:val="32"/>
          <w:szCs w:val="32"/>
          <w:lang w:val="en-US" w:eastAsia="zh-CN"/>
        </w:rPr>
        <w:t>是2023年医院门诊及住院就诊人次增加，医疗收入比上年增长28,259.86万元；</w:t>
      </w:r>
      <w:r>
        <w:rPr>
          <w:rFonts w:hint="default" w:ascii="Times New Roman" w:hAnsi="Times New Roman" w:eastAsia="仿宋_GB2312" w:cs="Times New Roman"/>
          <w:bCs/>
          <w:color w:val="auto"/>
          <w:kern w:val="0"/>
          <w:sz w:val="32"/>
          <w:szCs w:val="32"/>
        </w:rPr>
        <w:t>支出总计与上年相比，</w:t>
      </w:r>
      <w:r>
        <w:rPr>
          <w:rFonts w:hint="default" w:ascii="Times New Roman" w:hAnsi="Times New Roman" w:eastAsia="仿宋_GB2312" w:cs="Times New Roman"/>
          <w:bCs/>
          <w:color w:val="auto"/>
          <w:kern w:val="0"/>
          <w:sz w:val="32"/>
          <w:szCs w:val="32"/>
          <w:lang w:val="en-US" w:eastAsia="zh-CN"/>
        </w:rPr>
        <w:t>增长23.27</w:t>
      </w:r>
      <w:r>
        <w:rPr>
          <w:rFonts w:hint="default" w:ascii="Times New Roman" w:hAnsi="Times New Roman" w:eastAsia="仿宋_GB2312" w:cs="Times New Roman"/>
          <w:bCs/>
          <w:color w:val="auto"/>
          <w:kern w:val="0"/>
          <w:sz w:val="32"/>
          <w:szCs w:val="32"/>
        </w:rPr>
        <w:t>%，</w:t>
      </w:r>
      <w:r>
        <w:rPr>
          <w:rFonts w:hint="default" w:ascii="Times New Roman" w:hAnsi="Times New Roman" w:eastAsia="仿宋_GB2312" w:cs="Times New Roman"/>
          <w:bCs/>
          <w:color w:val="auto"/>
          <w:kern w:val="0"/>
          <w:sz w:val="32"/>
          <w:szCs w:val="32"/>
          <w:lang w:val="en-US" w:eastAsia="zh-CN"/>
        </w:rPr>
        <w:t xml:space="preserve">主要是医院随着医疗收入增长，药品、卫生材料费支出增加及新增固定资产购置，医院整体支出增长。   </w:t>
      </w:r>
    </w:p>
    <w:p w14:paraId="6834D6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14:paraId="35E7C2CF">
      <w:pPr>
        <w:ind w:firstLine="640" w:firstLineChars="200"/>
        <w:rPr>
          <w:rFonts w:hint="default" w:ascii="Times New Roman" w:hAnsi="Times New Roman" w:eastAsia="仿宋_GB2312" w:cs="Times New Roman"/>
          <w:bCs/>
          <w:color w:val="auto"/>
          <w:kern w:val="0"/>
          <w:sz w:val="32"/>
          <w:szCs w:val="32"/>
          <w:lang w:val="en-US" w:eastAsia="zh-CN"/>
        </w:rPr>
      </w:pPr>
      <w:r>
        <w:rPr>
          <w:rFonts w:hint="default" w:ascii="Times New Roman" w:hAnsi="Times New Roman" w:eastAsia="仿宋_GB2312" w:cs="Times New Roman"/>
          <w:bCs/>
          <w:color w:val="auto"/>
          <w:kern w:val="0"/>
          <w:sz w:val="32"/>
          <w:szCs w:val="32"/>
          <w:lang w:val="en-US" w:eastAsia="zh-CN"/>
        </w:rPr>
        <w:t>本年收入109,775.77万元，其中：财政拨款收入</w:t>
      </w:r>
      <w:r>
        <w:rPr>
          <w:rFonts w:hint="default" w:ascii="Times New Roman" w:hAnsi="Times New Roman" w:eastAsia="仿宋_GB2312" w:cs="Times New Roman"/>
          <w:bCs/>
          <w:color w:val="auto"/>
          <w:kern w:val="0"/>
          <w:sz w:val="32"/>
          <w:szCs w:val="32"/>
          <w:lang w:val="zh-CN" w:eastAsia="zh-CN"/>
        </w:rPr>
        <w:t>8,541.73</w:t>
      </w:r>
      <w:r>
        <w:rPr>
          <w:rFonts w:hint="default" w:ascii="Times New Roman" w:hAnsi="Times New Roman" w:eastAsia="仿宋_GB2312" w:cs="Times New Roman"/>
          <w:bCs/>
          <w:color w:val="auto"/>
          <w:kern w:val="0"/>
          <w:sz w:val="32"/>
          <w:szCs w:val="32"/>
          <w:lang w:val="en-US" w:eastAsia="zh-CN"/>
        </w:rPr>
        <w:t>万元，占</w:t>
      </w:r>
      <w:r>
        <w:rPr>
          <w:rFonts w:hint="default" w:ascii="Times New Roman" w:hAnsi="Times New Roman" w:eastAsia="仿宋_GB2312" w:cs="Times New Roman"/>
          <w:bCs/>
          <w:color w:val="auto"/>
          <w:kern w:val="0"/>
          <w:sz w:val="32"/>
          <w:szCs w:val="32"/>
          <w:lang w:val="zh-CN" w:eastAsia="zh-CN"/>
        </w:rPr>
        <w:t>7.78</w:t>
      </w:r>
      <w:r>
        <w:rPr>
          <w:rFonts w:hint="default" w:ascii="Times New Roman" w:hAnsi="Times New Roman" w:eastAsia="仿宋_GB2312" w:cs="Times New Roman"/>
          <w:bCs/>
          <w:color w:val="auto"/>
          <w:kern w:val="0"/>
          <w:sz w:val="32"/>
          <w:szCs w:val="32"/>
          <w:lang w:val="en-US" w:eastAsia="zh-CN"/>
        </w:rPr>
        <w:t>%；上级补助收入</w:t>
      </w:r>
      <w:r>
        <w:rPr>
          <w:rFonts w:hint="default" w:ascii="Times New Roman" w:hAnsi="Times New Roman" w:eastAsia="仿宋_GB2312" w:cs="Times New Roman"/>
          <w:bCs/>
          <w:color w:val="auto"/>
          <w:kern w:val="0"/>
          <w:sz w:val="32"/>
          <w:szCs w:val="32"/>
          <w:lang w:val="zh-CN" w:eastAsia="zh-CN"/>
        </w:rPr>
        <w:t>0.00</w:t>
      </w:r>
      <w:r>
        <w:rPr>
          <w:rFonts w:hint="default" w:ascii="Times New Roman" w:hAnsi="Times New Roman" w:eastAsia="仿宋_GB2312" w:cs="Times New Roman"/>
          <w:bCs/>
          <w:color w:val="auto"/>
          <w:kern w:val="0"/>
          <w:sz w:val="32"/>
          <w:szCs w:val="32"/>
          <w:lang w:val="en-US" w:eastAsia="zh-CN"/>
        </w:rPr>
        <w:t>万元，占</w:t>
      </w:r>
      <w:r>
        <w:rPr>
          <w:rFonts w:hint="default" w:ascii="Times New Roman" w:hAnsi="Times New Roman" w:eastAsia="仿宋_GB2312" w:cs="Times New Roman"/>
          <w:bCs/>
          <w:color w:val="auto"/>
          <w:kern w:val="0"/>
          <w:sz w:val="32"/>
          <w:szCs w:val="32"/>
          <w:lang w:val="zh-CN" w:eastAsia="zh-CN"/>
        </w:rPr>
        <w:t>0.00</w:t>
      </w:r>
      <w:r>
        <w:rPr>
          <w:rFonts w:hint="default" w:ascii="Times New Roman" w:hAnsi="Times New Roman" w:eastAsia="仿宋_GB2312" w:cs="Times New Roman"/>
          <w:bCs/>
          <w:color w:val="auto"/>
          <w:kern w:val="0"/>
          <w:sz w:val="32"/>
          <w:szCs w:val="32"/>
          <w:lang w:val="en-US" w:eastAsia="zh-CN"/>
        </w:rPr>
        <w:t>%；事业收入</w:t>
      </w:r>
      <w:r>
        <w:rPr>
          <w:rFonts w:hint="default" w:ascii="Times New Roman" w:hAnsi="Times New Roman" w:eastAsia="仿宋_GB2312" w:cs="Times New Roman"/>
          <w:bCs/>
          <w:color w:val="auto"/>
          <w:kern w:val="0"/>
          <w:sz w:val="32"/>
          <w:szCs w:val="32"/>
          <w:lang w:val="zh-CN" w:eastAsia="zh-CN"/>
        </w:rPr>
        <w:t>98,813.80</w:t>
      </w:r>
      <w:r>
        <w:rPr>
          <w:rFonts w:hint="default" w:ascii="Times New Roman" w:hAnsi="Times New Roman" w:eastAsia="仿宋_GB2312" w:cs="Times New Roman"/>
          <w:bCs/>
          <w:color w:val="auto"/>
          <w:kern w:val="0"/>
          <w:sz w:val="32"/>
          <w:szCs w:val="32"/>
          <w:lang w:val="en-US" w:eastAsia="zh-CN"/>
        </w:rPr>
        <w:t>万元，占</w:t>
      </w:r>
      <w:r>
        <w:rPr>
          <w:rFonts w:hint="default" w:ascii="Times New Roman" w:hAnsi="Times New Roman" w:eastAsia="仿宋_GB2312" w:cs="Times New Roman"/>
          <w:bCs/>
          <w:color w:val="auto"/>
          <w:kern w:val="0"/>
          <w:sz w:val="32"/>
          <w:szCs w:val="32"/>
          <w:lang w:val="zh-CN" w:eastAsia="zh-CN"/>
        </w:rPr>
        <w:t>90.01</w:t>
      </w:r>
      <w:r>
        <w:rPr>
          <w:rFonts w:hint="default" w:ascii="Times New Roman" w:hAnsi="Times New Roman" w:eastAsia="仿宋_GB2312" w:cs="Times New Roman"/>
          <w:bCs/>
          <w:color w:val="auto"/>
          <w:kern w:val="0"/>
          <w:sz w:val="32"/>
          <w:szCs w:val="32"/>
          <w:lang w:val="en-US" w:eastAsia="zh-CN"/>
        </w:rPr>
        <w:t>%；经营收入</w:t>
      </w:r>
      <w:r>
        <w:rPr>
          <w:rFonts w:hint="default" w:ascii="Times New Roman" w:hAnsi="Times New Roman" w:eastAsia="仿宋_GB2312" w:cs="Times New Roman"/>
          <w:bCs/>
          <w:color w:val="auto"/>
          <w:kern w:val="0"/>
          <w:sz w:val="32"/>
          <w:szCs w:val="32"/>
          <w:lang w:val="zh-CN" w:eastAsia="zh-CN"/>
        </w:rPr>
        <w:t>0.00</w:t>
      </w:r>
      <w:r>
        <w:rPr>
          <w:rFonts w:hint="default" w:ascii="Times New Roman" w:hAnsi="Times New Roman" w:eastAsia="仿宋_GB2312" w:cs="Times New Roman"/>
          <w:bCs/>
          <w:color w:val="auto"/>
          <w:kern w:val="0"/>
          <w:sz w:val="32"/>
          <w:szCs w:val="32"/>
          <w:lang w:val="en-US" w:eastAsia="zh-CN"/>
        </w:rPr>
        <w:t>万元，占</w:t>
      </w:r>
      <w:r>
        <w:rPr>
          <w:rFonts w:hint="default" w:ascii="Times New Roman" w:hAnsi="Times New Roman" w:eastAsia="仿宋_GB2312" w:cs="Times New Roman"/>
          <w:bCs/>
          <w:color w:val="auto"/>
          <w:kern w:val="0"/>
          <w:sz w:val="32"/>
          <w:szCs w:val="32"/>
          <w:lang w:val="zh-CN" w:eastAsia="zh-CN"/>
        </w:rPr>
        <w:t>0.00</w:t>
      </w:r>
      <w:r>
        <w:rPr>
          <w:rFonts w:hint="default" w:ascii="Times New Roman" w:hAnsi="Times New Roman" w:eastAsia="仿宋_GB2312" w:cs="Times New Roman"/>
          <w:bCs/>
          <w:color w:val="auto"/>
          <w:kern w:val="0"/>
          <w:sz w:val="32"/>
          <w:szCs w:val="32"/>
          <w:lang w:val="en-US" w:eastAsia="zh-CN"/>
        </w:rPr>
        <w:t>%；附属单位上缴收入</w:t>
      </w:r>
      <w:r>
        <w:rPr>
          <w:rFonts w:hint="default" w:ascii="Times New Roman" w:hAnsi="Times New Roman" w:eastAsia="仿宋_GB2312" w:cs="Times New Roman"/>
          <w:bCs/>
          <w:color w:val="auto"/>
          <w:kern w:val="0"/>
          <w:sz w:val="32"/>
          <w:szCs w:val="32"/>
          <w:lang w:val="zh-CN" w:eastAsia="zh-CN"/>
        </w:rPr>
        <w:t>0.00</w:t>
      </w:r>
      <w:r>
        <w:rPr>
          <w:rFonts w:hint="default" w:ascii="Times New Roman" w:hAnsi="Times New Roman" w:eastAsia="仿宋_GB2312" w:cs="Times New Roman"/>
          <w:bCs/>
          <w:color w:val="auto"/>
          <w:kern w:val="0"/>
          <w:sz w:val="32"/>
          <w:szCs w:val="32"/>
          <w:lang w:val="en-US" w:eastAsia="zh-CN"/>
        </w:rPr>
        <w:t>万元，占</w:t>
      </w:r>
      <w:r>
        <w:rPr>
          <w:rFonts w:hint="default" w:ascii="Times New Roman" w:hAnsi="Times New Roman" w:eastAsia="仿宋_GB2312" w:cs="Times New Roman"/>
          <w:bCs/>
          <w:color w:val="auto"/>
          <w:kern w:val="0"/>
          <w:sz w:val="32"/>
          <w:szCs w:val="32"/>
          <w:lang w:val="zh-CN" w:eastAsia="zh-CN"/>
        </w:rPr>
        <w:t>0.00</w:t>
      </w:r>
      <w:r>
        <w:rPr>
          <w:rFonts w:hint="default" w:ascii="Times New Roman" w:hAnsi="Times New Roman" w:eastAsia="仿宋_GB2312" w:cs="Times New Roman"/>
          <w:bCs/>
          <w:color w:val="auto"/>
          <w:kern w:val="0"/>
          <w:sz w:val="32"/>
          <w:szCs w:val="32"/>
          <w:lang w:val="en-US" w:eastAsia="zh-CN"/>
        </w:rPr>
        <w:t>%；其他收入</w:t>
      </w:r>
      <w:r>
        <w:rPr>
          <w:rFonts w:hint="default" w:ascii="Times New Roman" w:hAnsi="Times New Roman" w:eastAsia="仿宋_GB2312" w:cs="Times New Roman"/>
          <w:bCs/>
          <w:color w:val="auto"/>
          <w:kern w:val="0"/>
          <w:sz w:val="32"/>
          <w:szCs w:val="32"/>
          <w:lang w:val="zh-CN" w:eastAsia="zh-CN"/>
        </w:rPr>
        <w:t>2,420.24</w:t>
      </w:r>
      <w:r>
        <w:rPr>
          <w:rFonts w:hint="default" w:ascii="Times New Roman" w:hAnsi="Times New Roman" w:eastAsia="仿宋_GB2312" w:cs="Times New Roman"/>
          <w:bCs/>
          <w:color w:val="auto"/>
          <w:kern w:val="0"/>
          <w:sz w:val="32"/>
          <w:szCs w:val="32"/>
          <w:lang w:val="en-US" w:eastAsia="zh-CN"/>
        </w:rPr>
        <w:t>万元，占</w:t>
      </w:r>
      <w:r>
        <w:rPr>
          <w:rFonts w:hint="default" w:ascii="Times New Roman" w:hAnsi="Times New Roman" w:eastAsia="仿宋_GB2312" w:cs="Times New Roman"/>
          <w:bCs/>
          <w:color w:val="auto"/>
          <w:kern w:val="0"/>
          <w:sz w:val="32"/>
          <w:szCs w:val="32"/>
          <w:lang w:val="zh-CN" w:eastAsia="zh-CN"/>
        </w:rPr>
        <w:t>2.20</w:t>
      </w:r>
      <w:r>
        <w:rPr>
          <w:rFonts w:hint="default" w:ascii="Times New Roman" w:hAnsi="Times New Roman" w:eastAsia="仿宋_GB2312" w:cs="Times New Roman"/>
          <w:bCs/>
          <w:color w:val="auto"/>
          <w:kern w:val="0"/>
          <w:sz w:val="32"/>
          <w:szCs w:val="32"/>
          <w:lang w:val="en-US" w:eastAsia="zh-CN"/>
        </w:rPr>
        <w:t>%。</w:t>
      </w:r>
    </w:p>
    <w:p w14:paraId="277B06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27961"/>
      <w:bookmarkStart w:id="13" w:name="_Toc1320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14:paraId="653E1FC3">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zh-CN" w:eastAsia="zh-CN"/>
        </w:rPr>
        <w:t>本年支出99,072.62万元，其中：基本支出91,151.16万元，占92.00%；项目支出7,921.46万元，占8.00%；上缴上级支出0.00万元，占0.00%；经营支出0.00万元，占0.00%；对附属单位补助支出0.00万元，占0.00%。</w:t>
      </w:r>
    </w:p>
    <w:p w14:paraId="623ED2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26564"/>
      <w:bookmarkStart w:id="15" w:name="_Toc4393"/>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14:paraId="47E199C8">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zh-CN" w:eastAsia="zh-CN"/>
        </w:rPr>
        <w:t>2023年度财政拨款收入</w:t>
      </w:r>
      <w:r>
        <w:rPr>
          <w:rFonts w:hint="default" w:ascii="Times New Roman" w:hAnsi="Times New Roman" w:eastAsia="仿宋_GB2312" w:cs="Times New Roman"/>
          <w:bCs/>
          <w:color w:val="auto"/>
          <w:kern w:val="0"/>
          <w:sz w:val="32"/>
          <w:szCs w:val="32"/>
          <w:lang w:val="en-US" w:eastAsia="zh-CN"/>
        </w:rPr>
        <w:t>总计</w:t>
      </w:r>
      <w:r>
        <w:rPr>
          <w:rFonts w:hint="default" w:ascii="Times New Roman" w:hAnsi="Times New Roman" w:eastAsia="仿宋_GB2312" w:cs="Times New Roman"/>
          <w:bCs/>
          <w:color w:val="auto"/>
          <w:kern w:val="0"/>
          <w:sz w:val="32"/>
          <w:szCs w:val="32"/>
          <w:lang w:val="zh-CN" w:eastAsia="zh-CN"/>
        </w:rPr>
        <w:t>8,541.73万元，</w:t>
      </w:r>
      <w:r>
        <w:rPr>
          <w:rFonts w:hint="default" w:ascii="Times New Roman" w:hAnsi="Times New Roman" w:eastAsia="仿宋_GB2312" w:cs="Times New Roman"/>
          <w:bCs/>
          <w:color w:val="auto"/>
          <w:kern w:val="0"/>
          <w:sz w:val="32"/>
          <w:szCs w:val="32"/>
          <w:lang w:val="en-US" w:eastAsia="zh-CN"/>
        </w:rPr>
        <w:t>其中：年初财政拨款结转和结余</w:t>
      </w:r>
      <w:r>
        <w:rPr>
          <w:rFonts w:hint="default" w:ascii="Times New Roman" w:hAnsi="Times New Roman" w:eastAsia="仿宋_GB2312" w:cs="Times New Roman"/>
          <w:bCs/>
          <w:color w:val="auto"/>
          <w:kern w:val="0"/>
          <w:sz w:val="32"/>
          <w:szCs w:val="32"/>
          <w:lang w:val="zh-CN" w:eastAsia="zh-CN"/>
        </w:rPr>
        <w:t>0.00万元，</w:t>
      </w:r>
      <w:r>
        <w:rPr>
          <w:rFonts w:hint="default" w:ascii="Times New Roman" w:hAnsi="Times New Roman" w:eastAsia="仿宋_GB2312" w:cs="Times New Roman"/>
          <w:bCs/>
          <w:color w:val="auto"/>
          <w:kern w:val="0"/>
          <w:sz w:val="32"/>
          <w:szCs w:val="32"/>
          <w:lang w:val="en-US" w:eastAsia="zh-CN"/>
        </w:rPr>
        <w:t>本年财政拨款收入</w:t>
      </w:r>
      <w:r>
        <w:rPr>
          <w:rFonts w:hint="default" w:ascii="Times New Roman" w:hAnsi="Times New Roman" w:eastAsia="仿宋_GB2312" w:cs="Times New Roman"/>
          <w:bCs/>
          <w:color w:val="auto"/>
          <w:kern w:val="0"/>
          <w:sz w:val="32"/>
          <w:szCs w:val="32"/>
          <w:lang w:val="zh-CN" w:eastAsia="zh-CN"/>
        </w:rPr>
        <w:t>8,541.73万元。财政拨款支出</w:t>
      </w:r>
      <w:r>
        <w:rPr>
          <w:rFonts w:hint="default" w:ascii="Times New Roman" w:hAnsi="Times New Roman" w:eastAsia="仿宋_GB2312" w:cs="Times New Roman"/>
          <w:bCs/>
          <w:color w:val="auto"/>
          <w:kern w:val="0"/>
          <w:sz w:val="32"/>
          <w:szCs w:val="32"/>
          <w:lang w:val="en-US" w:eastAsia="zh-CN"/>
        </w:rPr>
        <w:t>总计</w:t>
      </w:r>
      <w:r>
        <w:rPr>
          <w:rFonts w:hint="default" w:ascii="Times New Roman" w:hAnsi="Times New Roman" w:eastAsia="仿宋_GB2312" w:cs="Times New Roman"/>
          <w:bCs/>
          <w:color w:val="auto"/>
          <w:kern w:val="0"/>
          <w:sz w:val="32"/>
          <w:szCs w:val="32"/>
          <w:lang w:val="zh-CN" w:eastAsia="zh-CN"/>
        </w:rPr>
        <w:t>8,541.73万元，</w:t>
      </w:r>
      <w:r>
        <w:rPr>
          <w:rFonts w:hint="default" w:ascii="Times New Roman" w:hAnsi="Times New Roman" w:eastAsia="仿宋_GB2312" w:cs="Times New Roman"/>
          <w:bCs/>
          <w:color w:val="auto"/>
          <w:kern w:val="0"/>
          <w:sz w:val="32"/>
          <w:szCs w:val="32"/>
          <w:lang w:val="en-US" w:eastAsia="zh-CN"/>
        </w:rPr>
        <w:t>其中：年末财政拨款结转和结余</w:t>
      </w:r>
      <w:r>
        <w:rPr>
          <w:rFonts w:hint="default" w:ascii="Times New Roman" w:hAnsi="Times New Roman" w:eastAsia="仿宋_GB2312" w:cs="Times New Roman"/>
          <w:bCs/>
          <w:color w:val="auto"/>
          <w:kern w:val="0"/>
          <w:sz w:val="32"/>
          <w:szCs w:val="32"/>
          <w:lang w:val="zh-CN" w:eastAsia="zh-CN"/>
        </w:rPr>
        <w:t>0.00万元，</w:t>
      </w:r>
      <w:r>
        <w:rPr>
          <w:rFonts w:hint="default" w:ascii="Times New Roman" w:hAnsi="Times New Roman" w:eastAsia="仿宋_GB2312" w:cs="Times New Roman"/>
          <w:bCs/>
          <w:color w:val="auto"/>
          <w:kern w:val="0"/>
          <w:sz w:val="32"/>
          <w:szCs w:val="32"/>
          <w:lang w:val="en-US" w:eastAsia="zh-CN"/>
        </w:rPr>
        <w:t>本年财政拨款支出</w:t>
      </w:r>
      <w:r>
        <w:rPr>
          <w:rFonts w:hint="default" w:ascii="Times New Roman" w:hAnsi="Times New Roman" w:eastAsia="仿宋_GB2312" w:cs="Times New Roman"/>
          <w:bCs/>
          <w:color w:val="auto"/>
          <w:kern w:val="0"/>
          <w:sz w:val="32"/>
          <w:szCs w:val="32"/>
          <w:lang w:val="zh-CN" w:eastAsia="zh-CN"/>
        </w:rPr>
        <w:t>8,541.73万元。</w:t>
      </w:r>
    </w:p>
    <w:p w14:paraId="27E477FF">
      <w:pPr>
        <w:ind w:firstLine="640" w:firstLineChars="200"/>
        <w:rPr>
          <w:rFonts w:hint="default" w:ascii="Times New Roman" w:hAnsi="Times New Roman" w:eastAsia="仿宋_GB2312" w:cs="Times New Roman"/>
          <w:bCs/>
          <w:color w:val="auto"/>
          <w:kern w:val="0"/>
          <w:sz w:val="32"/>
          <w:szCs w:val="32"/>
          <w:lang w:val="en-US" w:eastAsia="zh-CN"/>
        </w:rPr>
      </w:pPr>
      <w:r>
        <w:rPr>
          <w:rFonts w:hint="default" w:ascii="Times New Roman" w:hAnsi="Times New Roman" w:eastAsia="仿宋_GB2312" w:cs="Times New Roman"/>
          <w:bCs/>
          <w:color w:val="auto"/>
          <w:kern w:val="0"/>
          <w:sz w:val="32"/>
          <w:szCs w:val="32"/>
          <w:lang w:val="zh-CN" w:eastAsia="zh-CN"/>
        </w:rPr>
        <w:t>财政拨款收入支出总体与上年相比</w:t>
      </w:r>
      <w:r>
        <w:rPr>
          <w:rFonts w:hint="default" w:ascii="Times New Roman" w:hAnsi="Times New Roman" w:eastAsia="仿宋_GB2312" w:cs="Times New Roman"/>
          <w:bCs/>
          <w:color w:val="auto"/>
          <w:kern w:val="0"/>
          <w:sz w:val="32"/>
          <w:szCs w:val="32"/>
          <w:lang w:val="en-US" w:eastAsia="zh-CN"/>
        </w:rPr>
        <w:t>,</w:t>
      </w:r>
      <w:r>
        <w:rPr>
          <w:rFonts w:hint="default" w:ascii="Times New Roman" w:hAnsi="Times New Roman" w:eastAsia="仿宋_GB2312" w:cs="Times New Roman"/>
          <w:bCs/>
          <w:color w:val="auto"/>
          <w:kern w:val="0"/>
          <w:sz w:val="32"/>
          <w:szCs w:val="32"/>
          <w:lang w:val="zh-CN" w:eastAsia="zh-CN"/>
        </w:rPr>
        <w:t>增加2,234.78万元，增长35.43%，主要原因是：自治区财政专项资金疫情防控补助资金拨款增加1</w:t>
      </w:r>
      <w:r>
        <w:rPr>
          <w:rFonts w:hint="default" w:ascii="Times New Roman" w:hAnsi="Times New Roman" w:eastAsia="仿宋_GB2312" w:cs="Times New Roman"/>
          <w:bCs/>
          <w:color w:val="auto"/>
          <w:kern w:val="0"/>
          <w:sz w:val="32"/>
          <w:szCs w:val="32"/>
          <w:lang w:val="en-US" w:eastAsia="zh-CN"/>
        </w:rPr>
        <w:t>,</w:t>
      </w:r>
      <w:r>
        <w:rPr>
          <w:rFonts w:hint="default" w:ascii="Times New Roman" w:hAnsi="Times New Roman" w:eastAsia="仿宋_GB2312" w:cs="Times New Roman"/>
          <w:bCs/>
          <w:color w:val="auto"/>
          <w:kern w:val="0"/>
          <w:sz w:val="32"/>
          <w:szCs w:val="32"/>
          <w:lang w:val="zh-CN" w:eastAsia="zh-CN"/>
        </w:rPr>
        <w:t>955.29万元。与年初预算相比，年初预算数6,326.42万元，决算数8,541.73万元，预决算差异率35.02%，主要原因是：基本拨款预决算一致，</w:t>
      </w:r>
      <w:r>
        <w:rPr>
          <w:rFonts w:hint="default" w:ascii="Times New Roman" w:hAnsi="Times New Roman" w:eastAsia="仿宋_GB2312" w:cs="Times New Roman"/>
          <w:bCs/>
          <w:color w:val="auto"/>
          <w:kern w:val="0"/>
          <w:sz w:val="32"/>
          <w:szCs w:val="32"/>
          <w:lang w:val="en-US" w:eastAsia="zh-CN"/>
        </w:rPr>
        <w:t>均为4,766.00万元</w:t>
      </w:r>
      <w:r>
        <w:rPr>
          <w:rFonts w:hint="default" w:ascii="Times New Roman" w:hAnsi="Times New Roman" w:eastAsia="仿宋_GB2312" w:cs="Times New Roman"/>
          <w:bCs/>
          <w:color w:val="auto"/>
          <w:kern w:val="0"/>
          <w:sz w:val="32"/>
          <w:szCs w:val="32"/>
          <w:lang w:val="zh-CN" w:eastAsia="zh-CN"/>
        </w:rPr>
        <w:t>；项目拨款比年初预算增加2</w:t>
      </w:r>
      <w:r>
        <w:rPr>
          <w:rFonts w:hint="default" w:ascii="Times New Roman" w:hAnsi="Times New Roman" w:eastAsia="仿宋_GB2312" w:cs="Times New Roman"/>
          <w:bCs/>
          <w:color w:val="auto"/>
          <w:kern w:val="0"/>
          <w:sz w:val="32"/>
          <w:szCs w:val="32"/>
          <w:lang w:val="en-US" w:eastAsia="zh-CN"/>
        </w:rPr>
        <w:t>,</w:t>
      </w:r>
      <w:r>
        <w:rPr>
          <w:rFonts w:hint="default" w:ascii="Times New Roman" w:hAnsi="Times New Roman" w:eastAsia="仿宋_GB2312" w:cs="Times New Roman"/>
          <w:bCs/>
          <w:color w:val="auto"/>
          <w:kern w:val="0"/>
          <w:sz w:val="32"/>
          <w:szCs w:val="32"/>
          <w:lang w:val="zh-CN" w:eastAsia="zh-CN"/>
        </w:rPr>
        <w:t>255.23万元，</w:t>
      </w:r>
      <w:r>
        <w:rPr>
          <w:rFonts w:hint="default" w:ascii="Times New Roman" w:hAnsi="Times New Roman" w:eastAsia="仿宋_GB2312" w:cs="Times New Roman"/>
          <w:bCs/>
          <w:color w:val="auto"/>
          <w:kern w:val="0"/>
          <w:sz w:val="32"/>
          <w:szCs w:val="32"/>
          <w:lang w:val="en-US" w:eastAsia="zh-CN"/>
        </w:rPr>
        <w:t>决算中增加项目有：中央财政及自治区重大传染病防控补助资金1,577.50万元，医务人员临时性工作补助资金395.29万元，2023年新疆人才发展基金第一批重大人才计划项目第一轮支持资金140万元，访惠聚工作经费及结对认亲交通费85.43万元。</w:t>
      </w:r>
    </w:p>
    <w:p w14:paraId="289D6B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13833"/>
      <w:bookmarkStart w:id="17" w:name="_Toc20360"/>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14:paraId="170A46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14:paraId="3100BD82">
      <w:pPr>
        <w:ind w:firstLine="640" w:firstLineChars="200"/>
        <w:rPr>
          <w:rFonts w:hint="default" w:ascii="Times New Roman" w:hAnsi="Times New Roman" w:eastAsia="仿宋_GB2312" w:cs="Times New Roman"/>
          <w:bCs/>
          <w:color w:val="auto"/>
          <w:kern w:val="0"/>
          <w:sz w:val="32"/>
          <w:szCs w:val="32"/>
          <w:lang w:val="en-US" w:eastAsia="zh-CN"/>
        </w:rPr>
      </w:pPr>
      <w:r>
        <w:rPr>
          <w:rFonts w:hint="default" w:ascii="Times New Roman" w:hAnsi="Times New Roman" w:eastAsia="仿宋_GB2312" w:cs="Times New Roman"/>
          <w:bCs/>
          <w:color w:val="auto"/>
          <w:kern w:val="0"/>
          <w:sz w:val="32"/>
          <w:szCs w:val="32"/>
          <w:lang w:val="zh-CN" w:eastAsia="zh-CN"/>
        </w:rPr>
        <w:t>2023年度一般公共预算财政拨款支出8,541.73万元，占本年支出合计的8.62%。与上年相比，增加2,234.78万元，增长35.43%，主要原因是：自治区财政专项资金疫情防控补助资金拨款增加1</w:t>
      </w:r>
      <w:r>
        <w:rPr>
          <w:rFonts w:hint="default" w:ascii="Times New Roman" w:hAnsi="Times New Roman" w:eastAsia="仿宋_GB2312" w:cs="Times New Roman"/>
          <w:bCs/>
          <w:color w:val="auto"/>
          <w:kern w:val="0"/>
          <w:sz w:val="32"/>
          <w:szCs w:val="32"/>
          <w:lang w:val="en-US" w:eastAsia="zh-CN"/>
        </w:rPr>
        <w:t>,</w:t>
      </w:r>
      <w:r>
        <w:rPr>
          <w:rFonts w:hint="default" w:ascii="Times New Roman" w:hAnsi="Times New Roman" w:eastAsia="仿宋_GB2312" w:cs="Times New Roman"/>
          <w:bCs/>
          <w:color w:val="auto"/>
          <w:kern w:val="0"/>
          <w:sz w:val="32"/>
          <w:szCs w:val="32"/>
          <w:lang w:val="zh-CN" w:eastAsia="zh-CN"/>
        </w:rPr>
        <w:t>955.29万元，相应的财政专项拨款支出</w:t>
      </w:r>
      <w:r>
        <w:rPr>
          <w:rFonts w:hint="default" w:ascii="Times New Roman" w:hAnsi="Times New Roman" w:eastAsia="仿宋_GB2312" w:cs="Times New Roman"/>
          <w:bCs/>
          <w:color w:val="auto"/>
          <w:kern w:val="0"/>
          <w:sz w:val="32"/>
          <w:szCs w:val="32"/>
          <w:lang w:val="en-US" w:eastAsia="zh-CN"/>
        </w:rPr>
        <w:t>增加</w:t>
      </w:r>
      <w:r>
        <w:rPr>
          <w:rFonts w:hint="default" w:ascii="Times New Roman" w:hAnsi="Times New Roman" w:eastAsia="仿宋_GB2312" w:cs="Times New Roman"/>
          <w:bCs/>
          <w:color w:val="auto"/>
          <w:kern w:val="0"/>
          <w:sz w:val="32"/>
          <w:szCs w:val="32"/>
          <w:lang w:val="zh-CN" w:eastAsia="zh-CN"/>
        </w:rPr>
        <w:t>。与年初预算相比，年初预算数6,326.42万元，决算数8,541.73万元，预决算差异率35.02%，主要原因是：基本拨款预决算一致，</w:t>
      </w:r>
      <w:r>
        <w:rPr>
          <w:rFonts w:hint="default" w:ascii="Times New Roman" w:hAnsi="Times New Roman" w:eastAsia="仿宋_GB2312" w:cs="Times New Roman"/>
          <w:bCs/>
          <w:color w:val="auto"/>
          <w:kern w:val="0"/>
          <w:sz w:val="32"/>
          <w:szCs w:val="32"/>
          <w:lang w:val="en-US" w:eastAsia="zh-CN"/>
        </w:rPr>
        <w:t>均为4,766.00万元</w:t>
      </w:r>
      <w:r>
        <w:rPr>
          <w:rFonts w:hint="default" w:ascii="Times New Roman" w:hAnsi="Times New Roman" w:eastAsia="仿宋_GB2312" w:cs="Times New Roman"/>
          <w:bCs/>
          <w:color w:val="auto"/>
          <w:kern w:val="0"/>
          <w:sz w:val="32"/>
          <w:szCs w:val="32"/>
          <w:lang w:val="zh-CN" w:eastAsia="zh-CN"/>
        </w:rPr>
        <w:t>；项目拨款比年初预算增加2</w:t>
      </w:r>
      <w:r>
        <w:rPr>
          <w:rFonts w:hint="default" w:ascii="Times New Roman" w:hAnsi="Times New Roman" w:eastAsia="仿宋_GB2312" w:cs="Times New Roman"/>
          <w:bCs/>
          <w:color w:val="auto"/>
          <w:kern w:val="0"/>
          <w:sz w:val="32"/>
          <w:szCs w:val="32"/>
          <w:lang w:val="en-US" w:eastAsia="zh-CN"/>
        </w:rPr>
        <w:t>,</w:t>
      </w:r>
      <w:r>
        <w:rPr>
          <w:rFonts w:hint="default" w:ascii="Times New Roman" w:hAnsi="Times New Roman" w:eastAsia="仿宋_GB2312" w:cs="Times New Roman"/>
          <w:bCs/>
          <w:color w:val="auto"/>
          <w:kern w:val="0"/>
          <w:sz w:val="32"/>
          <w:szCs w:val="32"/>
          <w:lang w:val="zh-CN" w:eastAsia="zh-CN"/>
        </w:rPr>
        <w:t>255.23万元，</w:t>
      </w:r>
      <w:r>
        <w:rPr>
          <w:rFonts w:hint="default" w:ascii="Times New Roman" w:hAnsi="Times New Roman" w:eastAsia="仿宋_GB2312" w:cs="Times New Roman"/>
          <w:bCs/>
          <w:color w:val="auto"/>
          <w:kern w:val="0"/>
          <w:sz w:val="32"/>
          <w:szCs w:val="32"/>
          <w:lang w:val="en-US" w:eastAsia="zh-CN"/>
        </w:rPr>
        <w:t>决算中增加项目有：中央财政及自治区重大传染病防控补助资金1,577.50万元，医务人员临时性工作补助资金395.29万元，2023年新疆人才发展基金第一批重大人才计划项目第一轮支持资金140万元，访惠聚工作经费及结对认亲交通费85.43万元。</w:t>
      </w:r>
    </w:p>
    <w:p w14:paraId="0ED5583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14:paraId="15F008A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1</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w:t>
      </w:r>
      <w:r>
        <w:rPr>
          <w:rFonts w:hint="default" w:ascii="Times New Roman" w:hAnsi="Times New Roman" w:eastAsia="仿宋_GB2312" w:cs="Times New Roman"/>
          <w:bCs/>
          <w:color w:val="auto"/>
          <w:kern w:val="0"/>
          <w:sz w:val="32"/>
          <w:szCs w:val="32"/>
          <w:lang w:val="zh-CN" w:eastAsia="zh-CN" w:bidi="ar-SA"/>
        </w:rPr>
        <w:t>53.00</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bCs/>
          <w:color w:val="auto"/>
          <w:kern w:val="0"/>
          <w:sz w:val="32"/>
          <w:szCs w:val="32"/>
          <w:lang w:val="zh-CN" w:eastAsia="zh-CN" w:bidi="ar-SA"/>
        </w:rPr>
        <w:t>0.62%</w:t>
      </w:r>
      <w:r>
        <w:rPr>
          <w:rFonts w:hint="default" w:ascii="Times New Roman" w:hAnsi="Times New Roman" w:eastAsia="仿宋_GB2312" w:cs="Times New Roman"/>
          <w:color w:val="auto"/>
          <w:spacing w:val="0"/>
          <w:kern w:val="2"/>
          <w:sz w:val="32"/>
          <w:szCs w:val="32"/>
          <w:highlight w:val="none"/>
          <w:lang w:val="zh-CN" w:eastAsia="zh-CN" w:bidi="ar-SA"/>
        </w:rPr>
        <w:t>。</w:t>
      </w:r>
    </w:p>
    <w:p w14:paraId="7DAE8FE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w:t>
      </w:r>
      <w:r>
        <w:rPr>
          <w:rFonts w:hint="default" w:ascii="Times New Roman" w:hAnsi="Times New Roman" w:eastAsia="仿宋_GB2312" w:cs="Times New Roman"/>
          <w:bCs/>
          <w:color w:val="auto"/>
          <w:kern w:val="0"/>
          <w:sz w:val="32"/>
          <w:szCs w:val="32"/>
          <w:lang w:val="zh-CN" w:eastAsia="zh-CN" w:bidi="ar-SA"/>
        </w:rPr>
        <w:t>8,488.73</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bCs/>
          <w:color w:val="auto"/>
          <w:kern w:val="0"/>
          <w:sz w:val="32"/>
          <w:szCs w:val="32"/>
          <w:lang w:val="zh-CN" w:eastAsia="zh-CN" w:bidi="ar-SA"/>
        </w:rPr>
        <w:t>99.38%</w:t>
      </w:r>
      <w:r>
        <w:rPr>
          <w:rFonts w:hint="default" w:ascii="Times New Roman" w:hAnsi="Times New Roman" w:eastAsia="仿宋_GB2312" w:cs="Times New Roman"/>
          <w:color w:val="auto"/>
          <w:spacing w:val="0"/>
          <w:kern w:val="2"/>
          <w:sz w:val="32"/>
          <w:szCs w:val="32"/>
          <w:highlight w:val="none"/>
          <w:lang w:val="zh-CN" w:eastAsia="zh-CN" w:bidi="ar-SA"/>
        </w:rPr>
        <w:t>。</w:t>
      </w:r>
    </w:p>
    <w:p w14:paraId="6F7CED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14:paraId="4E475891">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en-US" w:eastAsia="zh-CN"/>
        </w:rPr>
        <w:t>1.卫生健康支出（类）卫生健康管理事务（款）其他卫生健康管理事务支出（项）:支出决算数为</w:t>
      </w:r>
      <w:r>
        <w:rPr>
          <w:rFonts w:hint="default" w:ascii="Times New Roman" w:hAnsi="Times New Roman" w:eastAsia="仿宋_GB2312" w:cs="Times New Roman"/>
          <w:bCs/>
          <w:color w:val="auto"/>
          <w:kern w:val="0"/>
          <w:sz w:val="32"/>
          <w:szCs w:val="32"/>
          <w:lang w:val="en-US" w:eastAsia="zh-CN" w:bidi="ar-SA"/>
        </w:rPr>
        <w:t>42.16</w:t>
      </w:r>
      <w:r>
        <w:rPr>
          <w:rFonts w:hint="default" w:ascii="Times New Roman" w:hAnsi="Times New Roman" w:eastAsia="仿宋_GB2312" w:cs="Times New Roman"/>
          <w:bCs/>
          <w:color w:val="auto"/>
          <w:kern w:val="0"/>
          <w:sz w:val="32"/>
          <w:szCs w:val="32"/>
          <w:lang w:val="en-US" w:eastAsia="zh-CN"/>
        </w:rPr>
        <w:t>万元，比上年决算增加</w:t>
      </w:r>
      <w:r>
        <w:rPr>
          <w:rFonts w:hint="default" w:ascii="Times New Roman" w:hAnsi="Times New Roman" w:eastAsia="仿宋_GB2312" w:cs="Times New Roman"/>
          <w:bCs/>
          <w:color w:val="auto"/>
          <w:kern w:val="0"/>
          <w:sz w:val="32"/>
          <w:szCs w:val="32"/>
          <w:lang w:val="en-US" w:eastAsia="zh-CN" w:bidi="ar-SA"/>
        </w:rPr>
        <w:t>42.16</w:t>
      </w:r>
      <w:r>
        <w:rPr>
          <w:rFonts w:hint="default" w:ascii="Times New Roman" w:hAnsi="Times New Roman" w:eastAsia="仿宋_GB2312" w:cs="Times New Roman"/>
          <w:bCs/>
          <w:color w:val="auto"/>
          <w:kern w:val="0"/>
          <w:sz w:val="32"/>
          <w:szCs w:val="32"/>
          <w:lang w:val="en-US" w:eastAsia="zh-CN"/>
        </w:rPr>
        <w:t>万元，增长</w:t>
      </w:r>
      <w:r>
        <w:rPr>
          <w:rFonts w:hint="default" w:ascii="Times New Roman" w:hAnsi="Times New Roman" w:eastAsia="仿宋_GB2312" w:cs="Times New Roman"/>
          <w:bCs/>
          <w:color w:val="auto"/>
          <w:kern w:val="0"/>
          <w:sz w:val="32"/>
          <w:szCs w:val="32"/>
          <w:lang w:val="en-US" w:eastAsia="zh-CN" w:bidi="ar-SA"/>
        </w:rPr>
        <w:t>100%</w:t>
      </w:r>
      <w:r>
        <w:rPr>
          <w:rFonts w:hint="default" w:ascii="Times New Roman" w:hAnsi="Times New Roman" w:eastAsia="仿宋_GB2312" w:cs="Times New Roman"/>
          <w:bCs/>
          <w:color w:val="auto"/>
          <w:kern w:val="0"/>
          <w:sz w:val="32"/>
          <w:szCs w:val="32"/>
          <w:lang w:val="en-US" w:eastAsia="zh-CN"/>
        </w:rPr>
        <w:t>，主要原因是：</w:t>
      </w:r>
      <w:r>
        <w:rPr>
          <w:rFonts w:hint="default" w:ascii="Times New Roman" w:hAnsi="Times New Roman" w:eastAsia="仿宋_GB2312" w:cs="Times New Roman"/>
          <w:bCs/>
          <w:color w:val="auto"/>
          <w:kern w:val="0"/>
          <w:sz w:val="32"/>
          <w:szCs w:val="32"/>
          <w:lang w:val="zh-CN" w:eastAsia="zh-CN"/>
        </w:rPr>
        <w:t>上年决算无此拨款经费项目。</w:t>
      </w:r>
    </w:p>
    <w:p w14:paraId="0A5301B8">
      <w:pPr>
        <w:ind w:firstLine="640" w:firstLineChars="200"/>
        <w:rPr>
          <w:rFonts w:hint="default" w:ascii="Times New Roman" w:hAnsi="Times New Roman" w:eastAsia="仿宋_GB2312" w:cs="Times New Roman"/>
          <w:bCs/>
          <w:color w:val="auto"/>
          <w:kern w:val="0"/>
          <w:sz w:val="32"/>
          <w:szCs w:val="32"/>
          <w:lang w:val="en-US" w:eastAsia="zh-CN"/>
        </w:rPr>
      </w:pPr>
      <w:r>
        <w:rPr>
          <w:rFonts w:hint="default" w:ascii="Times New Roman" w:hAnsi="Times New Roman" w:eastAsia="仿宋_GB2312" w:cs="Times New Roman"/>
          <w:bCs/>
          <w:color w:val="auto"/>
          <w:kern w:val="0"/>
          <w:sz w:val="32"/>
          <w:szCs w:val="32"/>
          <w:lang w:val="en-US" w:eastAsia="zh-CN"/>
        </w:rPr>
        <w:t>2.卫生健康支出（类）公立医院（款）综合医院（项）:支出决算数为</w:t>
      </w:r>
      <w:r>
        <w:rPr>
          <w:rFonts w:hint="default" w:ascii="Times New Roman" w:hAnsi="Times New Roman" w:eastAsia="仿宋_GB2312" w:cs="Times New Roman"/>
          <w:bCs/>
          <w:color w:val="auto"/>
          <w:kern w:val="0"/>
          <w:sz w:val="32"/>
          <w:szCs w:val="32"/>
          <w:lang w:val="en-US" w:eastAsia="zh-CN" w:bidi="ar-SA"/>
        </w:rPr>
        <w:t>6,293.94</w:t>
      </w:r>
      <w:r>
        <w:rPr>
          <w:rFonts w:hint="default" w:ascii="Times New Roman" w:hAnsi="Times New Roman" w:eastAsia="仿宋_GB2312" w:cs="Times New Roman"/>
          <w:bCs/>
          <w:color w:val="auto"/>
          <w:kern w:val="0"/>
          <w:sz w:val="32"/>
          <w:szCs w:val="32"/>
          <w:lang w:val="en-US" w:eastAsia="zh-CN"/>
        </w:rPr>
        <w:t>万元，比上年决算增加904.21万元，增长16.78%，主要原因是：其中财政拨款基本支出比上年增加503万元</w:t>
      </w:r>
      <w:r>
        <w:rPr>
          <w:rFonts w:hint="default" w:ascii="Times New Roman" w:hAnsi="Times New Roman" w:eastAsia="仿宋_GB2312" w:cs="Times New Roman"/>
          <w:bCs/>
          <w:color w:val="auto"/>
          <w:kern w:val="0"/>
          <w:sz w:val="32"/>
          <w:szCs w:val="32"/>
          <w:lang w:val="zh-CN" w:eastAsia="zh-CN"/>
        </w:rPr>
        <w:t>；</w:t>
      </w:r>
      <w:r>
        <w:rPr>
          <w:rFonts w:hint="default" w:ascii="Times New Roman" w:hAnsi="Times New Roman" w:eastAsia="仿宋_GB2312" w:cs="Times New Roman"/>
          <w:bCs/>
          <w:color w:val="auto"/>
          <w:kern w:val="0"/>
          <w:sz w:val="32"/>
          <w:szCs w:val="32"/>
          <w:lang w:val="en-US" w:eastAsia="zh-CN"/>
        </w:rPr>
        <w:t>财政拨款项目支出：2023年新增自治区2023年医疗服务与保障能力提升（医疗卫生机构能力建设）补助资金支出200万元；2023年新增新疆人才发展基金第一批重大人才计划项目支持资金支出140万元；中央2023年医疗服务与保障能力提升（卫生健康人才培养）补助资金支出比上年增加83万元。</w:t>
      </w:r>
    </w:p>
    <w:p w14:paraId="615A8CF6">
      <w:pPr>
        <w:ind w:firstLine="640" w:firstLineChars="200"/>
        <w:rPr>
          <w:rFonts w:hint="default" w:ascii="Times New Roman" w:hAnsi="Times New Roman" w:eastAsia="仿宋_GB2312" w:cs="Times New Roman"/>
          <w:bCs/>
          <w:color w:val="auto"/>
          <w:kern w:val="0"/>
          <w:sz w:val="32"/>
          <w:szCs w:val="32"/>
          <w:lang w:val="en-US" w:eastAsia="zh-CN"/>
        </w:rPr>
      </w:pPr>
      <w:r>
        <w:rPr>
          <w:rFonts w:hint="default" w:ascii="Times New Roman" w:hAnsi="Times New Roman" w:eastAsia="仿宋_GB2312" w:cs="Times New Roman"/>
          <w:bCs/>
          <w:color w:val="auto"/>
          <w:kern w:val="0"/>
          <w:sz w:val="32"/>
          <w:szCs w:val="32"/>
          <w:lang w:val="en-US" w:eastAsia="zh-CN"/>
        </w:rPr>
        <w:t>3.卫生健康支出（类）公共卫生（款）突发公共卫生事件应急处理（项）:支出决算数为1,955.75万元，比上年决算增加1,955.75万元，增长100%，主要原因是：上年决算无此拨款经费项目。</w:t>
      </w:r>
    </w:p>
    <w:p w14:paraId="0234689E">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en-US" w:eastAsia="zh-CN"/>
        </w:rPr>
        <w:t>4.卫生健康支出（类）公共卫生（款）其他公共卫生支出（项）:支出决算数为70.00万元，比上年决算增加70.00万元，增长100%，主要原因是：上年决算无此拨款经费项目。</w:t>
      </w:r>
    </w:p>
    <w:p w14:paraId="64467B9E">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en-US" w:eastAsia="zh-CN"/>
        </w:rPr>
        <w:t>5.社会保障和就业支出（类）行政事业单位养老支出（款）事业单位离退休（项）:支出决算数为53.00万元，比上年决算减少23.79万元，下降30.98%，主要原因是：</w:t>
      </w:r>
      <w:r>
        <w:rPr>
          <w:rFonts w:hint="default" w:ascii="Times New Roman" w:hAnsi="Times New Roman" w:eastAsia="仿宋_GB2312" w:cs="Times New Roman"/>
          <w:bCs/>
          <w:color w:val="auto"/>
          <w:kern w:val="0"/>
          <w:sz w:val="32"/>
          <w:szCs w:val="32"/>
          <w:lang w:val="zh-CN" w:eastAsia="zh-CN"/>
        </w:rPr>
        <w:t>离休人员自然减员1人，离休人员经费拨款减少。</w:t>
      </w:r>
    </w:p>
    <w:p w14:paraId="53A85E3D">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en-US" w:eastAsia="zh-CN"/>
        </w:rPr>
        <w:t>6.卫生健康支出（类）公共卫生（款）基本公共卫生服务（项）:支出决算数为8.65万元，比上年决算增加6.61万元，增长323.71%，主要原因是：</w:t>
      </w:r>
      <w:r>
        <w:rPr>
          <w:rFonts w:hint="default" w:ascii="Times New Roman" w:hAnsi="Times New Roman" w:eastAsia="仿宋_GB2312" w:cs="Times New Roman"/>
          <w:bCs/>
          <w:color w:val="auto"/>
          <w:kern w:val="0"/>
          <w:sz w:val="32"/>
          <w:szCs w:val="32"/>
          <w:lang w:val="zh-CN" w:eastAsia="zh-CN"/>
        </w:rPr>
        <w:t>2022年中央基本公共卫生服务补助资金——职业病防治项目</w:t>
      </w:r>
      <w:r>
        <w:rPr>
          <w:rFonts w:hint="default" w:ascii="Times New Roman" w:hAnsi="Times New Roman" w:eastAsia="仿宋_GB2312" w:cs="Times New Roman"/>
          <w:bCs/>
          <w:color w:val="auto"/>
          <w:kern w:val="0"/>
          <w:sz w:val="32"/>
          <w:szCs w:val="32"/>
          <w:lang w:val="en-US" w:eastAsia="zh-CN"/>
        </w:rPr>
        <w:t>支出比上年决算增加6.61万元</w:t>
      </w:r>
      <w:r>
        <w:rPr>
          <w:rFonts w:hint="default" w:ascii="Times New Roman" w:hAnsi="Times New Roman" w:eastAsia="仿宋_GB2312" w:cs="Times New Roman"/>
          <w:bCs/>
          <w:color w:val="auto"/>
          <w:kern w:val="0"/>
          <w:sz w:val="32"/>
          <w:szCs w:val="32"/>
          <w:lang w:val="zh-CN" w:eastAsia="zh-CN"/>
        </w:rPr>
        <w:t>。</w:t>
      </w:r>
    </w:p>
    <w:p w14:paraId="5E3D389F">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en-US" w:eastAsia="zh-CN"/>
        </w:rPr>
        <w:t>7.卫生健康支出（类）公共卫生（款）重大公共卫生服务（项）:支出决算数为118.22万元，比上年决算增加89.44万元，增长310.7</w:t>
      </w:r>
      <w:r>
        <w:rPr>
          <w:rFonts w:hint="eastAsia" w:eastAsia="仿宋_GB2312" w:cs="Times New Roman"/>
          <w:bCs/>
          <w:color w:val="auto"/>
          <w:kern w:val="0"/>
          <w:sz w:val="32"/>
          <w:szCs w:val="32"/>
          <w:lang w:val="en-US" w:eastAsia="zh-CN"/>
        </w:rPr>
        <w:t>7</w:t>
      </w:r>
      <w:bookmarkStart w:id="48" w:name="_GoBack"/>
      <w:bookmarkEnd w:id="48"/>
      <w:r>
        <w:rPr>
          <w:rFonts w:hint="default" w:ascii="Times New Roman" w:hAnsi="Times New Roman" w:eastAsia="仿宋_GB2312" w:cs="Times New Roman"/>
          <w:bCs/>
          <w:color w:val="auto"/>
          <w:kern w:val="0"/>
          <w:sz w:val="32"/>
          <w:szCs w:val="32"/>
          <w:lang w:val="en-US" w:eastAsia="zh-CN"/>
        </w:rPr>
        <w:t>%，主要原因是：2023年新增</w:t>
      </w:r>
      <w:r>
        <w:rPr>
          <w:rFonts w:hint="default" w:ascii="Times New Roman" w:hAnsi="Times New Roman" w:eastAsia="仿宋_GB2312" w:cs="Times New Roman"/>
          <w:bCs/>
          <w:color w:val="auto"/>
          <w:kern w:val="0"/>
          <w:sz w:val="32"/>
          <w:szCs w:val="32"/>
          <w:lang w:val="zh-CN" w:eastAsia="zh-CN"/>
        </w:rPr>
        <w:t>中央财政202</w:t>
      </w:r>
      <w:r>
        <w:rPr>
          <w:rFonts w:hint="default" w:ascii="Times New Roman" w:hAnsi="Times New Roman" w:eastAsia="仿宋_GB2312" w:cs="Times New Roman"/>
          <w:bCs/>
          <w:color w:val="auto"/>
          <w:kern w:val="0"/>
          <w:sz w:val="32"/>
          <w:szCs w:val="32"/>
          <w:lang w:val="en-US" w:eastAsia="zh-CN"/>
        </w:rPr>
        <w:t>3</w:t>
      </w:r>
      <w:r>
        <w:rPr>
          <w:rFonts w:hint="default" w:ascii="Times New Roman" w:hAnsi="Times New Roman" w:eastAsia="仿宋_GB2312" w:cs="Times New Roman"/>
          <w:bCs/>
          <w:color w:val="auto"/>
          <w:kern w:val="0"/>
          <w:sz w:val="32"/>
          <w:szCs w:val="32"/>
          <w:lang w:val="zh-CN" w:eastAsia="zh-CN"/>
        </w:rPr>
        <w:t>年重大传染病防控补助资金</w:t>
      </w:r>
      <w:r>
        <w:rPr>
          <w:rFonts w:hint="default" w:ascii="Times New Roman" w:hAnsi="Times New Roman" w:eastAsia="仿宋_GB2312" w:cs="Times New Roman"/>
          <w:bCs/>
          <w:color w:val="auto"/>
          <w:kern w:val="0"/>
          <w:sz w:val="32"/>
          <w:szCs w:val="32"/>
          <w:lang w:val="en-US" w:eastAsia="zh-CN"/>
        </w:rPr>
        <w:t>支出93万元</w:t>
      </w:r>
      <w:r>
        <w:rPr>
          <w:rFonts w:hint="default" w:ascii="Times New Roman" w:hAnsi="Times New Roman" w:eastAsia="仿宋_GB2312" w:cs="Times New Roman"/>
          <w:bCs/>
          <w:color w:val="auto"/>
          <w:kern w:val="0"/>
          <w:sz w:val="32"/>
          <w:szCs w:val="32"/>
          <w:lang w:val="zh-CN" w:eastAsia="zh-CN"/>
        </w:rPr>
        <w:t>。</w:t>
      </w:r>
    </w:p>
    <w:p w14:paraId="3C6AFB00">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en-US" w:eastAsia="zh-CN"/>
        </w:rPr>
        <w:t>8.社会保障和就业支出（类）行政事业单位养老支出（款）机关事业单位基本养老保险缴费支出（项）:支出决算数为0.00万元，比上年决算减少300.00万元，下降100%，主要原因是：2023年无此拨款经费项目。</w:t>
      </w:r>
    </w:p>
    <w:p w14:paraId="1C120C78">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en-US" w:eastAsia="zh-CN"/>
        </w:rPr>
        <w:t>9.社会保障和就业支出（类）行政事业单位养老支出（款）机关事业单位职业年金缴费支出（项）:支出决算数为0.00万元，比上年决算减少100.00万元，下降100%，主要原因是：2023年无此拨款经费项目。</w:t>
      </w:r>
    </w:p>
    <w:p w14:paraId="28FF0BD6">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en-US" w:eastAsia="zh-CN"/>
        </w:rPr>
        <w:t>10.住房保障支出（类）住房改革支出（款）住房公积金（项）:支出决算数为0.00万元，比上年决算减少300.00万元，下降100%，主要原因是：2023年无此拨款经费项目。</w:t>
      </w:r>
    </w:p>
    <w:p w14:paraId="6294FDE6">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en-US" w:eastAsia="zh-CN"/>
        </w:rPr>
        <w:t>11.卫生健康支出（类）公立医院（款）其他公立医院支出（项）:支出决算数为0.00万元，比上年决算减少109.60万元，下降100%，主要原因是：2023年无此拨款经费项目。</w:t>
      </w:r>
    </w:p>
    <w:p w14:paraId="002B85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14:paraId="792C12B9">
      <w:pPr>
        <w:ind w:firstLine="640" w:firstLineChars="200"/>
        <w:rPr>
          <w:rFonts w:hint="default" w:ascii="Times New Roman" w:hAnsi="Times New Roman" w:eastAsia="仿宋_GB2312" w:cs="Times New Roman"/>
          <w:bCs/>
          <w:color w:val="auto"/>
          <w:kern w:val="0"/>
          <w:sz w:val="32"/>
          <w:szCs w:val="32"/>
          <w:lang w:val="en-US" w:eastAsia="zh-CN"/>
        </w:rPr>
      </w:pPr>
      <w:r>
        <w:rPr>
          <w:rFonts w:hint="default" w:ascii="Times New Roman" w:hAnsi="Times New Roman" w:eastAsia="仿宋_GB2312" w:cs="Times New Roman"/>
          <w:bCs/>
          <w:color w:val="auto"/>
          <w:kern w:val="0"/>
          <w:sz w:val="32"/>
          <w:szCs w:val="32"/>
          <w:lang w:val="zh-CN" w:eastAsia="zh-CN"/>
        </w:rPr>
        <w:t>2023年度一般公共预算财政拨款基本支出4,766.00万元，其中：人员经费4,766.00万元，包括：基本工资、津贴补贴、奖金、绩效工资、离休费。</w:t>
      </w:r>
    </w:p>
    <w:p w14:paraId="4ACA39F8">
      <w:pPr>
        <w:ind w:firstLine="640" w:firstLineChars="200"/>
        <w:rPr>
          <w:rFonts w:hint="default" w:ascii="Times New Roman" w:hAnsi="Times New Roman" w:eastAsia="仿宋_GB2312" w:cs="Times New Roman"/>
          <w:bCs/>
          <w:color w:val="auto"/>
          <w:kern w:val="0"/>
          <w:sz w:val="32"/>
          <w:szCs w:val="32"/>
          <w:lang w:val="en-US" w:eastAsia="zh-CN"/>
        </w:rPr>
      </w:pPr>
      <w:r>
        <w:rPr>
          <w:rFonts w:hint="default" w:ascii="Times New Roman" w:hAnsi="Times New Roman" w:eastAsia="仿宋_GB2312" w:cs="Times New Roman"/>
          <w:bCs/>
          <w:color w:val="auto"/>
          <w:kern w:val="0"/>
          <w:sz w:val="32"/>
          <w:szCs w:val="32"/>
          <w:lang w:val="en-US" w:eastAsia="zh-CN"/>
        </w:rPr>
        <w:t>公用经费0.00万元，本单位无公用经费拨款。</w:t>
      </w:r>
    </w:p>
    <w:p w14:paraId="479449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14:paraId="2A781A87">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zh-CN" w:eastAsia="zh-CN"/>
        </w:rPr>
        <w:t>2023年度财政拨款“三公”经费支出决算0.00万元，比上年增加0.00万元，增长0.00%，主要原因是：我单位没有财政拨款“三公”经费支出。其中：因公出国（境）费支出0.00万元，占0.00%，比上年增加0.00万元，增长0.00%，主要原因是：我单位没有财政拨因公出国（境）费；公务用车购置及运行维护费支出0.00万元，占0.00%，比上年增加0.00万元，增长0.00%，主要原因是：我单位没有财政拨公务用车购置及运行维护费；公务接待费支出0.00万元，占0.00%，比上年增加0.00万元，增长0.00%，主要原因是：我单位无公务接待费拨款。</w:t>
      </w:r>
    </w:p>
    <w:p w14:paraId="0E93DC21">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zh-CN" w:eastAsia="zh-CN"/>
        </w:rPr>
        <w:t>具体情况如下：</w:t>
      </w:r>
    </w:p>
    <w:p w14:paraId="1F16DECC">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zh-CN" w:eastAsia="zh-CN"/>
        </w:rPr>
        <w:t>因公出国（境）费支出0.00万元，开支内容包括我单位无财政拨因公出国（境）费。单位全年安排的因公出国（境）团组0个，因公出国（境）0人次。</w:t>
      </w:r>
    </w:p>
    <w:p w14:paraId="74C90507">
      <w:pPr>
        <w:ind w:firstLine="640" w:firstLineChars="200"/>
        <w:rPr>
          <w:rFonts w:hint="default" w:ascii="Times New Roman" w:hAnsi="Times New Roman" w:eastAsia="仿宋_GB2312" w:cs="Times New Roman"/>
          <w:bCs/>
          <w:color w:val="auto"/>
          <w:kern w:val="0"/>
          <w:sz w:val="32"/>
          <w:szCs w:val="32"/>
          <w:lang w:val="en-US" w:eastAsia="zh-CN"/>
        </w:rPr>
      </w:pPr>
      <w:r>
        <w:rPr>
          <w:rFonts w:hint="default" w:ascii="Times New Roman" w:hAnsi="Times New Roman" w:eastAsia="仿宋_GB2312" w:cs="Times New Roman"/>
          <w:bCs/>
          <w:color w:val="auto"/>
          <w:kern w:val="0"/>
          <w:sz w:val="32"/>
          <w:szCs w:val="32"/>
          <w:lang w:val="zh-CN" w:eastAsia="zh-CN"/>
        </w:rPr>
        <w:t>公务用车购置及运行维护费0.00万元，其中：公务用车购置费0.00万元，公务用车运行维护费0.00万元。公务用车运行维护费开支内容包括我单位无财政拨公务用车运行维护费。公务用车购置数0辆，公务用车保有量0辆。国有资产占用情况</w:t>
      </w:r>
      <w:r>
        <w:rPr>
          <w:rFonts w:hint="default" w:ascii="Times New Roman" w:hAnsi="Times New Roman" w:eastAsia="仿宋_GB2312" w:cs="Times New Roman"/>
          <w:bCs/>
          <w:color w:val="auto"/>
          <w:kern w:val="0"/>
          <w:sz w:val="32"/>
          <w:szCs w:val="32"/>
          <w:lang w:val="en-US" w:eastAsia="zh-CN"/>
        </w:rPr>
        <w:t>中固定资产车辆</w:t>
      </w:r>
      <w:r>
        <w:rPr>
          <w:rFonts w:hint="default" w:ascii="Times New Roman" w:hAnsi="Times New Roman" w:eastAsia="仿宋_GB2312" w:cs="Times New Roman"/>
          <w:bCs/>
          <w:color w:val="auto"/>
          <w:kern w:val="0"/>
          <w:sz w:val="32"/>
          <w:szCs w:val="32"/>
          <w:lang w:val="zh-CN" w:eastAsia="zh-CN"/>
        </w:rPr>
        <w:t>12辆，</w:t>
      </w:r>
      <w:r>
        <w:rPr>
          <w:rFonts w:hint="default" w:ascii="Times New Roman" w:hAnsi="Times New Roman" w:eastAsia="仿宋_GB2312" w:cs="Times New Roman"/>
          <w:bCs/>
          <w:color w:val="auto"/>
          <w:kern w:val="0"/>
          <w:sz w:val="32"/>
          <w:szCs w:val="32"/>
          <w:lang w:val="en-US" w:eastAsia="zh-CN"/>
        </w:rPr>
        <w:t>与</w:t>
      </w:r>
      <w:r>
        <w:rPr>
          <w:rFonts w:hint="default" w:ascii="Times New Roman" w:hAnsi="Times New Roman" w:eastAsia="仿宋_GB2312" w:cs="Times New Roman"/>
          <w:bCs/>
          <w:color w:val="auto"/>
          <w:kern w:val="0"/>
          <w:sz w:val="32"/>
          <w:szCs w:val="32"/>
          <w:lang w:val="zh-CN" w:eastAsia="zh-CN"/>
        </w:rPr>
        <w:t>公务用车</w:t>
      </w:r>
      <w:r>
        <w:rPr>
          <w:rFonts w:hint="default" w:ascii="Times New Roman" w:hAnsi="Times New Roman" w:eastAsia="仿宋_GB2312" w:cs="Times New Roman"/>
          <w:bCs/>
          <w:color w:val="auto"/>
          <w:kern w:val="0"/>
          <w:sz w:val="32"/>
          <w:szCs w:val="32"/>
          <w:lang w:val="en-US" w:eastAsia="zh-CN"/>
        </w:rPr>
        <w:t>保有量差异</w:t>
      </w:r>
      <w:r>
        <w:rPr>
          <w:rFonts w:hint="default" w:ascii="Times New Roman" w:hAnsi="Times New Roman" w:eastAsia="仿宋_GB2312" w:cs="Times New Roman"/>
          <w:bCs/>
          <w:color w:val="auto"/>
          <w:kern w:val="0"/>
          <w:sz w:val="32"/>
          <w:szCs w:val="32"/>
          <w:lang w:val="zh-CN" w:eastAsia="zh-CN"/>
        </w:rPr>
        <w:t>原因是：</w:t>
      </w:r>
      <w:r>
        <w:rPr>
          <w:rFonts w:hint="default" w:ascii="Times New Roman" w:hAnsi="Times New Roman" w:eastAsia="仿宋_GB2312" w:cs="Times New Roman"/>
          <w:bCs/>
          <w:color w:val="auto"/>
          <w:kern w:val="0"/>
          <w:sz w:val="32"/>
          <w:szCs w:val="32"/>
          <w:lang w:val="en-US" w:eastAsia="zh-CN"/>
        </w:rPr>
        <w:t>我单位固定资产车辆</w:t>
      </w:r>
      <w:r>
        <w:rPr>
          <w:rFonts w:hint="default" w:ascii="Times New Roman" w:hAnsi="Times New Roman" w:eastAsia="仿宋_GB2312" w:cs="Times New Roman"/>
          <w:bCs/>
          <w:color w:val="auto"/>
          <w:kern w:val="0"/>
          <w:sz w:val="32"/>
          <w:szCs w:val="32"/>
          <w:lang w:val="zh-CN" w:eastAsia="zh-CN"/>
        </w:rPr>
        <w:t>12辆</w:t>
      </w:r>
      <w:r>
        <w:rPr>
          <w:rFonts w:hint="default" w:ascii="Times New Roman" w:hAnsi="Times New Roman" w:eastAsia="仿宋_GB2312" w:cs="Times New Roman"/>
          <w:bCs/>
          <w:color w:val="auto"/>
          <w:kern w:val="0"/>
          <w:sz w:val="32"/>
          <w:szCs w:val="32"/>
          <w:lang w:val="en-US" w:eastAsia="zh-CN"/>
        </w:rPr>
        <w:t>均为医院自筹购置</w:t>
      </w:r>
      <w:r>
        <w:rPr>
          <w:rFonts w:hint="default" w:ascii="Times New Roman" w:hAnsi="Times New Roman" w:eastAsia="仿宋_GB2312" w:cs="Times New Roman"/>
          <w:bCs/>
          <w:color w:val="auto"/>
          <w:kern w:val="0"/>
          <w:sz w:val="32"/>
          <w:szCs w:val="32"/>
          <w:lang w:val="zh-CN" w:eastAsia="zh-CN"/>
        </w:rPr>
        <w:t>。</w:t>
      </w:r>
    </w:p>
    <w:p w14:paraId="01918BC6">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zh-CN" w:eastAsia="zh-CN"/>
        </w:rPr>
        <w:t>公务接待费0.00万元，开支内容包括我单位无</w:t>
      </w:r>
      <w:r>
        <w:rPr>
          <w:rFonts w:hint="default" w:ascii="Times New Roman" w:hAnsi="Times New Roman" w:eastAsia="仿宋_GB2312" w:cs="Times New Roman"/>
          <w:bCs/>
          <w:color w:val="auto"/>
          <w:kern w:val="0"/>
          <w:sz w:val="32"/>
          <w:szCs w:val="32"/>
          <w:lang w:val="en-US" w:eastAsia="zh-CN"/>
        </w:rPr>
        <w:t>财政拨</w:t>
      </w:r>
      <w:r>
        <w:rPr>
          <w:rFonts w:hint="default" w:ascii="Times New Roman" w:hAnsi="Times New Roman" w:eastAsia="仿宋_GB2312" w:cs="Times New Roman"/>
          <w:bCs/>
          <w:color w:val="auto"/>
          <w:kern w:val="0"/>
          <w:sz w:val="32"/>
          <w:szCs w:val="32"/>
          <w:lang w:val="zh-CN" w:eastAsia="zh-CN"/>
        </w:rPr>
        <w:t>公务接待费。单位全年安排的国内公务接待0批次，0人次。</w:t>
      </w:r>
    </w:p>
    <w:p w14:paraId="38A92802">
      <w:pPr>
        <w:ind w:firstLine="640" w:firstLineChars="200"/>
        <w:rPr>
          <w:rFonts w:hint="default" w:ascii="Times New Roman" w:hAnsi="Times New Roman" w:eastAsia="仿宋_GB2312" w:cs="Times New Roman"/>
          <w:bCs/>
          <w:color w:val="auto"/>
          <w:kern w:val="0"/>
          <w:sz w:val="32"/>
          <w:szCs w:val="32"/>
          <w:lang w:val="zh-CN" w:eastAsia="zh-CN"/>
        </w:rPr>
      </w:pPr>
      <w:bookmarkStart w:id="18" w:name="_Toc5810"/>
      <w:bookmarkStart w:id="19" w:name="_Toc7927"/>
      <w:r>
        <w:rPr>
          <w:rFonts w:hint="default" w:ascii="Times New Roman" w:hAnsi="Times New Roman" w:eastAsia="仿宋_GB2312" w:cs="Times New Roman"/>
          <w:bCs/>
          <w:color w:val="auto"/>
          <w:kern w:val="0"/>
          <w:sz w:val="32"/>
          <w:szCs w:val="32"/>
          <w:lang w:val="zh-CN" w:eastAsia="zh-CN"/>
        </w:rPr>
        <w:t>与全年预算数相比情况：“三公”经费支出全年预算数0.00万元，决算数0.00万元，预决算差异率0.00%，主要原因是：我单位无财政拨款“三公”经费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费全年预算数0.00万元，决算数0.00万元，预决算差异率0.00%，主要原因是：我单位无公务用车运行维护费；公务接待费全年预算数0.00万元，决算数0.00万元，预决算差异率0.00%，主要原因是：我单位无公务接待费。</w:t>
      </w:r>
    </w:p>
    <w:p w14:paraId="0598EA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14:paraId="53080E83">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zh-CN" w:eastAsia="zh-CN"/>
        </w:rPr>
        <w:t>我</w:t>
      </w:r>
      <w:r>
        <w:rPr>
          <w:rFonts w:hint="default" w:ascii="Times New Roman" w:hAnsi="Times New Roman" w:eastAsia="仿宋_GB2312" w:cs="Times New Roman"/>
          <w:bCs/>
          <w:color w:val="auto"/>
          <w:kern w:val="0"/>
          <w:sz w:val="32"/>
          <w:szCs w:val="32"/>
          <w:lang w:val="en-US" w:eastAsia="zh-CN"/>
        </w:rPr>
        <w:t>单位</w:t>
      </w:r>
      <w:r>
        <w:rPr>
          <w:rFonts w:hint="default" w:ascii="Times New Roman" w:hAnsi="Times New Roman" w:eastAsia="仿宋_GB2312" w:cs="Times New Roman"/>
          <w:bCs/>
          <w:color w:val="auto"/>
          <w:kern w:val="0"/>
          <w:sz w:val="32"/>
          <w:szCs w:val="32"/>
          <w:lang w:val="zh-CN" w:eastAsia="zh-CN"/>
        </w:rPr>
        <w:t>本年度无政府性基金预算财政拨款收入、支出</w:t>
      </w:r>
      <w:r>
        <w:rPr>
          <w:rFonts w:hint="default" w:ascii="Times New Roman" w:hAnsi="Times New Roman" w:eastAsia="仿宋_GB2312" w:cs="Times New Roman"/>
          <w:bCs/>
          <w:color w:val="auto"/>
          <w:kern w:val="0"/>
          <w:sz w:val="32"/>
          <w:szCs w:val="32"/>
          <w:lang w:val="en-US" w:eastAsia="zh-CN"/>
        </w:rPr>
        <w:t>及结转和结余</w:t>
      </w:r>
      <w:r>
        <w:rPr>
          <w:rFonts w:hint="default" w:ascii="Times New Roman" w:hAnsi="Times New Roman" w:eastAsia="仿宋_GB2312" w:cs="Times New Roman"/>
          <w:bCs/>
          <w:color w:val="auto"/>
          <w:kern w:val="0"/>
          <w:sz w:val="32"/>
          <w:szCs w:val="32"/>
          <w:lang w:val="zh-CN" w:eastAsia="zh-CN"/>
        </w:rPr>
        <w:t>，政府性基金预算财政拨款收入支出决算表为空表。</w:t>
      </w:r>
    </w:p>
    <w:p w14:paraId="6EB808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14:paraId="7D006C76">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zh-CN" w:eastAsia="zh-CN"/>
        </w:rPr>
        <w:t>我</w:t>
      </w:r>
      <w:r>
        <w:rPr>
          <w:rFonts w:hint="default" w:ascii="Times New Roman" w:hAnsi="Times New Roman" w:eastAsia="仿宋_GB2312" w:cs="Times New Roman"/>
          <w:bCs/>
          <w:color w:val="auto"/>
          <w:kern w:val="0"/>
          <w:sz w:val="32"/>
          <w:szCs w:val="32"/>
          <w:lang w:val="en-US" w:eastAsia="zh-CN"/>
        </w:rPr>
        <w:t>单位</w:t>
      </w:r>
      <w:r>
        <w:rPr>
          <w:rFonts w:hint="default" w:ascii="Times New Roman" w:hAnsi="Times New Roman" w:eastAsia="仿宋_GB2312" w:cs="Times New Roman"/>
          <w:bCs/>
          <w:color w:val="auto"/>
          <w:kern w:val="0"/>
          <w:sz w:val="32"/>
          <w:szCs w:val="32"/>
          <w:lang w:val="zh-CN" w:eastAsia="zh-CN"/>
        </w:rPr>
        <w:t>本年度无国有资本经营预算财政拨款收入、支出</w:t>
      </w:r>
      <w:r>
        <w:rPr>
          <w:rFonts w:hint="default" w:ascii="Times New Roman" w:hAnsi="Times New Roman" w:eastAsia="仿宋_GB2312" w:cs="Times New Roman"/>
          <w:bCs/>
          <w:color w:val="auto"/>
          <w:kern w:val="0"/>
          <w:sz w:val="32"/>
          <w:szCs w:val="32"/>
          <w:lang w:val="en-US" w:eastAsia="zh-CN"/>
        </w:rPr>
        <w:t>及结转和结余</w:t>
      </w:r>
      <w:r>
        <w:rPr>
          <w:rFonts w:hint="default" w:ascii="Times New Roman" w:hAnsi="Times New Roman" w:eastAsia="仿宋_GB2312" w:cs="Times New Roman"/>
          <w:bCs/>
          <w:color w:val="auto"/>
          <w:kern w:val="0"/>
          <w:sz w:val="32"/>
          <w:szCs w:val="32"/>
          <w:lang w:val="zh-CN" w:eastAsia="zh-CN"/>
        </w:rPr>
        <w:t>，国有资本经营预算财政拨款收入支出决算表为空表。</w:t>
      </w:r>
    </w:p>
    <w:p w14:paraId="42126F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7314"/>
      <w:bookmarkStart w:id="21" w:name="_Toc12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14:paraId="6FB0A0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3105"/>
      <w:bookmarkStart w:id="23" w:name="_Toc14519"/>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14:paraId="035B296E">
      <w:pPr>
        <w:ind w:firstLine="640" w:firstLineChars="200"/>
        <w:rPr>
          <w:rFonts w:hint="default" w:ascii="Times New Roman" w:hAnsi="Times New Roman" w:eastAsia="仿宋_GB2312" w:cs="Times New Roman"/>
          <w:bCs/>
          <w:color w:val="auto"/>
          <w:kern w:val="0"/>
          <w:sz w:val="32"/>
          <w:szCs w:val="32"/>
          <w:lang w:val="zh-CN" w:eastAsia="zh-CN"/>
        </w:rPr>
      </w:pPr>
      <w:bookmarkStart w:id="24" w:name="_Toc26704"/>
      <w:bookmarkStart w:id="25" w:name="_Toc227"/>
      <w:r>
        <w:rPr>
          <w:rFonts w:hint="default" w:ascii="Times New Roman" w:hAnsi="Times New Roman" w:eastAsia="仿宋_GB2312" w:cs="Times New Roman"/>
          <w:bCs/>
          <w:color w:val="auto"/>
          <w:kern w:val="0"/>
          <w:sz w:val="32"/>
          <w:szCs w:val="32"/>
          <w:lang w:val="zh-CN" w:eastAsia="zh-CN"/>
        </w:rPr>
        <w:t>2023年度</w:t>
      </w:r>
      <w:r>
        <w:rPr>
          <w:rFonts w:hint="default" w:ascii="Times New Roman" w:hAnsi="Times New Roman" w:eastAsia="仿宋_GB2312" w:cs="Times New Roman"/>
          <w:bCs/>
          <w:color w:val="auto"/>
          <w:kern w:val="0"/>
          <w:sz w:val="32"/>
          <w:szCs w:val="32"/>
          <w:lang w:val="en-US" w:eastAsia="zh-CN"/>
        </w:rPr>
        <w:t>新疆医科大学第五附属医院</w:t>
      </w:r>
      <w:r>
        <w:rPr>
          <w:rFonts w:hint="default" w:ascii="Times New Roman" w:hAnsi="Times New Roman" w:eastAsia="仿宋_GB2312" w:cs="Times New Roman"/>
          <w:bCs/>
          <w:color w:val="auto"/>
          <w:kern w:val="0"/>
          <w:sz w:val="32"/>
          <w:szCs w:val="32"/>
          <w:lang w:val="zh-CN" w:eastAsia="zh-CN"/>
        </w:rPr>
        <w:t>（事业单位）公用经费支出0.00万元，比上年增加0.00万元，增长0.00%，主要原因是：我单位是差额拨款事业单位，财政只拨付基本人员经费，无公用经费拨款。</w:t>
      </w:r>
    </w:p>
    <w:p w14:paraId="78321F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2"/>
          <w:highlight w:val="none"/>
          <w:lang w:val="zh-CN" w:eastAsia="zh-CN"/>
        </w:rPr>
      </w:pPr>
      <w:r>
        <w:rPr>
          <w:rFonts w:hint="default" w:ascii="Times New Roman" w:hAnsi="Times New Roman" w:eastAsia="黑体" w:cs="Times New Roman"/>
          <w:color w:val="auto"/>
          <w:sz w:val="32"/>
          <w:szCs w:val="32"/>
          <w:highlight w:val="none"/>
          <w:lang w:val="zh-CN" w:eastAsia="zh-CN"/>
        </w:rPr>
        <w:t>（二）政府采购情况</w:t>
      </w:r>
      <w:bookmarkEnd w:id="24"/>
      <w:bookmarkEnd w:id="25"/>
    </w:p>
    <w:p w14:paraId="61DEB092">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zh-CN" w:eastAsia="zh-CN"/>
        </w:rPr>
        <w:t>2023年度政府采购支出总额6,837.12万元，其中：政府采购货物支出5,186.53万元、政府采购工程支出38.17万元、政府采购服务支出1,612.42万元。</w:t>
      </w:r>
    </w:p>
    <w:p w14:paraId="4CA52444">
      <w:pPr>
        <w:ind w:firstLine="640" w:firstLineChars="200"/>
        <w:rPr>
          <w:rFonts w:hint="default" w:ascii="Times New Roman" w:hAnsi="Times New Roman" w:eastAsia="仿宋_GB2312" w:cs="Times New Roman"/>
          <w:bCs/>
          <w:color w:val="auto"/>
          <w:kern w:val="0"/>
          <w:sz w:val="32"/>
          <w:szCs w:val="32"/>
          <w:lang w:val="en-US" w:eastAsia="zh-CN"/>
        </w:rPr>
      </w:pPr>
      <w:r>
        <w:rPr>
          <w:rFonts w:hint="default" w:ascii="Times New Roman" w:hAnsi="Times New Roman" w:eastAsia="仿宋_GB2312" w:cs="Times New Roman"/>
          <w:bCs/>
          <w:color w:val="auto"/>
          <w:kern w:val="0"/>
          <w:sz w:val="32"/>
          <w:szCs w:val="32"/>
          <w:lang w:val="zh-CN" w:eastAsia="zh-CN"/>
        </w:rPr>
        <w:t>授予中小企业合同金额3,272.69万元，占政府采购支出总额的47.87%，其中：授予小微企业合同金额2,633.36万元，占政府采购支出总额的38.52%</w:t>
      </w:r>
      <w:r>
        <w:rPr>
          <w:rFonts w:hint="default" w:ascii="Times New Roman" w:hAnsi="Times New Roman" w:eastAsia="仿宋_GB2312" w:cs="Times New Roman"/>
          <w:bCs/>
          <w:color w:val="auto"/>
          <w:kern w:val="0"/>
          <w:sz w:val="32"/>
          <w:szCs w:val="32"/>
          <w:lang w:val="en-US" w:eastAsia="zh-CN"/>
        </w:rPr>
        <w:t>。</w:t>
      </w:r>
    </w:p>
    <w:p w14:paraId="161350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2"/>
          <w:highlight w:val="none"/>
          <w:lang w:val="zh-CN" w:eastAsia="zh-CN"/>
        </w:rPr>
      </w:pPr>
      <w:bookmarkStart w:id="26" w:name="_Toc4591"/>
      <w:bookmarkStart w:id="27" w:name="_Toc8391"/>
      <w:r>
        <w:rPr>
          <w:rFonts w:hint="default" w:ascii="Times New Roman" w:hAnsi="Times New Roman" w:eastAsia="黑体" w:cs="Times New Roman"/>
          <w:color w:val="auto"/>
          <w:sz w:val="32"/>
          <w:szCs w:val="32"/>
          <w:highlight w:val="none"/>
          <w:lang w:val="zh-CN" w:eastAsia="zh-CN"/>
        </w:rPr>
        <w:t>（三）国有资产占用情况说明</w:t>
      </w:r>
      <w:bookmarkEnd w:id="26"/>
      <w:bookmarkEnd w:id="27"/>
    </w:p>
    <w:p w14:paraId="070A1939">
      <w:pPr>
        <w:ind w:firstLine="640" w:firstLineChars="200"/>
        <w:rPr>
          <w:rFonts w:hint="default" w:ascii="Times New Roman" w:hAnsi="Times New Roman" w:eastAsia="仿宋_GB2312" w:cs="Times New Roman"/>
          <w:bCs/>
          <w:color w:val="auto"/>
          <w:kern w:val="0"/>
          <w:sz w:val="32"/>
          <w:szCs w:val="32"/>
          <w:lang w:val="zh-CN" w:eastAsia="zh-CN"/>
        </w:rPr>
      </w:pPr>
      <w:r>
        <w:rPr>
          <w:rFonts w:hint="default" w:ascii="Times New Roman" w:hAnsi="Times New Roman" w:eastAsia="仿宋_GB2312" w:cs="Times New Roman"/>
          <w:bCs/>
          <w:color w:val="auto"/>
          <w:kern w:val="0"/>
          <w:sz w:val="32"/>
          <w:szCs w:val="32"/>
          <w:lang w:val="en-US" w:eastAsia="zh-CN"/>
        </w:rPr>
        <w:t>截至2023</w:t>
      </w:r>
      <w:r>
        <w:rPr>
          <w:rFonts w:hint="default" w:ascii="Times New Roman" w:hAnsi="Times New Roman" w:eastAsia="仿宋_GB2312" w:cs="Times New Roman"/>
          <w:bCs/>
          <w:color w:val="auto"/>
          <w:kern w:val="0"/>
          <w:sz w:val="32"/>
          <w:szCs w:val="32"/>
          <w:lang w:val="zh-CN" w:eastAsia="zh-CN"/>
        </w:rPr>
        <w:t>年</w:t>
      </w:r>
      <w:r>
        <w:rPr>
          <w:rFonts w:hint="default" w:ascii="Times New Roman" w:hAnsi="Times New Roman" w:eastAsia="仿宋_GB2312" w:cs="Times New Roman"/>
          <w:bCs/>
          <w:color w:val="auto"/>
          <w:kern w:val="0"/>
          <w:sz w:val="32"/>
          <w:szCs w:val="32"/>
          <w:lang w:val="en-US" w:eastAsia="zh-CN"/>
        </w:rPr>
        <w:t>12月31日</w:t>
      </w:r>
      <w:r>
        <w:rPr>
          <w:rFonts w:hint="default" w:ascii="Times New Roman" w:hAnsi="Times New Roman" w:eastAsia="仿宋_GB2312" w:cs="Times New Roman"/>
          <w:bCs/>
          <w:color w:val="auto"/>
          <w:kern w:val="0"/>
          <w:sz w:val="32"/>
          <w:szCs w:val="32"/>
          <w:lang w:val="zh-CN" w:eastAsia="zh-CN"/>
        </w:rPr>
        <w:t>，</w:t>
      </w:r>
      <w:r>
        <w:rPr>
          <w:rFonts w:hint="default" w:ascii="Times New Roman" w:hAnsi="Times New Roman" w:eastAsia="仿宋_GB2312" w:cs="Times New Roman"/>
          <w:bCs/>
          <w:color w:val="auto"/>
          <w:kern w:val="0"/>
          <w:sz w:val="32"/>
          <w:szCs w:val="32"/>
          <w:lang w:val="en-US" w:eastAsia="zh-CN"/>
        </w:rPr>
        <w:t>固定资产原值</w:t>
      </w:r>
      <w:r>
        <w:rPr>
          <w:rFonts w:hint="default" w:ascii="Times New Roman" w:hAnsi="Times New Roman" w:eastAsia="仿宋_GB2312" w:cs="Times New Roman"/>
          <w:bCs/>
          <w:color w:val="auto"/>
          <w:kern w:val="0"/>
          <w:sz w:val="32"/>
          <w:szCs w:val="32"/>
          <w:lang w:val="zh-CN" w:eastAsia="zh-CN"/>
        </w:rPr>
        <w:t>102,378.81</w:t>
      </w:r>
      <w:r>
        <w:rPr>
          <w:rFonts w:hint="default" w:ascii="Times New Roman" w:hAnsi="Times New Roman" w:eastAsia="仿宋_GB2312" w:cs="Times New Roman"/>
          <w:bCs/>
          <w:color w:val="auto"/>
          <w:kern w:val="0"/>
          <w:sz w:val="32"/>
          <w:szCs w:val="32"/>
          <w:lang w:val="en-US" w:eastAsia="zh-CN"/>
        </w:rPr>
        <w:t>万元，房</w:t>
      </w:r>
      <w:r>
        <w:rPr>
          <w:rFonts w:hint="default" w:ascii="Times New Roman" w:hAnsi="Times New Roman" w:eastAsia="仿宋_GB2312" w:cs="Times New Roman"/>
          <w:bCs/>
          <w:color w:val="auto"/>
          <w:kern w:val="0"/>
          <w:sz w:val="32"/>
          <w:szCs w:val="32"/>
          <w:lang w:val="zh-CN" w:eastAsia="zh-CN"/>
        </w:rPr>
        <w:t>屋120</w:t>
      </w:r>
      <w:r>
        <w:rPr>
          <w:rFonts w:hint="default" w:ascii="Times New Roman" w:hAnsi="Times New Roman" w:eastAsia="仿宋_GB2312" w:cs="Times New Roman"/>
          <w:bCs/>
          <w:color w:val="auto"/>
          <w:kern w:val="0"/>
          <w:sz w:val="32"/>
          <w:szCs w:val="32"/>
          <w:lang w:val="en-US" w:eastAsia="zh-CN"/>
        </w:rPr>
        <w:t>,</w:t>
      </w:r>
      <w:r>
        <w:rPr>
          <w:rFonts w:hint="default" w:ascii="Times New Roman" w:hAnsi="Times New Roman" w:eastAsia="仿宋_GB2312" w:cs="Times New Roman"/>
          <w:bCs/>
          <w:color w:val="auto"/>
          <w:kern w:val="0"/>
          <w:sz w:val="32"/>
          <w:szCs w:val="32"/>
          <w:lang w:val="zh-CN" w:eastAsia="zh-CN"/>
        </w:rPr>
        <w:t>680.75平方米，价值48,671.70万元。车辆12辆，价值367.83万元，其中：副部（省）级及以上领导用车0辆、主要</w:t>
      </w:r>
      <w:r>
        <w:rPr>
          <w:rFonts w:hint="default" w:ascii="Times New Roman" w:hAnsi="Times New Roman" w:eastAsia="仿宋_GB2312" w:cs="Times New Roman"/>
          <w:bCs/>
          <w:color w:val="auto"/>
          <w:kern w:val="0"/>
          <w:sz w:val="32"/>
          <w:szCs w:val="32"/>
          <w:lang w:val="en-US" w:eastAsia="zh-CN"/>
        </w:rPr>
        <w:t>负责人</w:t>
      </w:r>
      <w:r>
        <w:rPr>
          <w:rFonts w:hint="default" w:ascii="Times New Roman" w:hAnsi="Times New Roman" w:eastAsia="仿宋_GB2312" w:cs="Times New Roman"/>
          <w:bCs/>
          <w:color w:val="auto"/>
          <w:kern w:val="0"/>
          <w:sz w:val="32"/>
          <w:szCs w:val="32"/>
          <w:lang w:val="zh-CN" w:eastAsia="zh-CN"/>
        </w:rPr>
        <w:t>用车0辆、机要通信用车0辆、应急保障用车0辆、执法执勤用车0辆、特种专业技术用车4辆、离退休干部</w:t>
      </w:r>
      <w:r>
        <w:rPr>
          <w:rFonts w:hint="default" w:ascii="Times New Roman" w:hAnsi="Times New Roman" w:eastAsia="仿宋_GB2312" w:cs="Times New Roman"/>
          <w:bCs/>
          <w:color w:val="auto"/>
          <w:kern w:val="0"/>
          <w:sz w:val="32"/>
          <w:szCs w:val="32"/>
          <w:lang w:val="en-US" w:eastAsia="zh-CN"/>
        </w:rPr>
        <w:t>服务</w:t>
      </w:r>
      <w:r>
        <w:rPr>
          <w:rFonts w:hint="default" w:ascii="Times New Roman" w:hAnsi="Times New Roman" w:eastAsia="仿宋_GB2312" w:cs="Times New Roman"/>
          <w:bCs/>
          <w:color w:val="auto"/>
          <w:kern w:val="0"/>
          <w:sz w:val="32"/>
          <w:szCs w:val="32"/>
          <w:lang w:val="zh-CN" w:eastAsia="zh-CN"/>
        </w:rPr>
        <w:t>用车0辆、其他用车8辆，其他用车主要是：一般事务运行用车；单价100万元（含）以上设备（不含车辆）98</w:t>
      </w:r>
      <w:r>
        <w:rPr>
          <w:rFonts w:hint="default" w:ascii="Times New Roman" w:hAnsi="Times New Roman" w:eastAsia="仿宋_GB2312" w:cs="Times New Roman"/>
          <w:bCs/>
          <w:color w:val="auto"/>
          <w:kern w:val="0"/>
          <w:sz w:val="32"/>
          <w:szCs w:val="32"/>
          <w:lang w:val="en-US" w:eastAsia="zh-CN"/>
        </w:rPr>
        <w:t>台（</w:t>
      </w:r>
      <w:r>
        <w:rPr>
          <w:rFonts w:hint="default" w:ascii="Times New Roman" w:hAnsi="Times New Roman" w:eastAsia="仿宋_GB2312" w:cs="Times New Roman"/>
          <w:bCs/>
          <w:color w:val="auto"/>
          <w:kern w:val="0"/>
          <w:sz w:val="32"/>
          <w:szCs w:val="32"/>
          <w:lang w:val="zh-CN" w:eastAsia="zh-CN"/>
        </w:rPr>
        <w:t>套）。</w:t>
      </w:r>
    </w:p>
    <w:p w14:paraId="17B5BE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11283"/>
      <w:bookmarkStart w:id="29" w:name="_Toc4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14:paraId="27C414A3">
      <w:pPr>
        <w:ind w:firstLine="640" w:firstLineChars="200"/>
        <w:rPr>
          <w:rFonts w:hint="default" w:ascii="Times New Roman" w:hAnsi="Times New Roman" w:eastAsia="仿宋_GB2312" w:cs="Times New Roman"/>
          <w:bCs/>
          <w:color w:val="auto"/>
          <w:kern w:val="0"/>
          <w:sz w:val="32"/>
          <w:szCs w:val="32"/>
          <w:lang w:val="en-US" w:eastAsia="zh-CN"/>
        </w:rPr>
      </w:pPr>
      <w:r>
        <w:rPr>
          <w:rFonts w:hint="default" w:ascii="Times New Roman" w:hAnsi="Times New Roman" w:eastAsia="仿宋_GB2312" w:cs="Times New Roman"/>
          <w:sz w:val="32"/>
          <w:szCs w:val="32"/>
        </w:rPr>
        <w:t>根据预算绩效管理要求，我单位2023年整体绩效自评表0个，全年预算总额0</w:t>
      </w:r>
      <w:r>
        <w:rPr>
          <w:rFonts w:hint="eastAsia" w:eastAsia="仿宋_GB2312" w:cs="Times New Roman"/>
          <w:sz w:val="32"/>
          <w:szCs w:val="32"/>
          <w:lang w:val="en-US" w:eastAsia="zh-CN"/>
        </w:rPr>
        <w:t>.00</w:t>
      </w:r>
      <w:r>
        <w:rPr>
          <w:rFonts w:hint="default" w:ascii="Times New Roman" w:hAnsi="Times New Roman" w:eastAsia="仿宋_GB2312" w:cs="Times New Roman"/>
          <w:sz w:val="32"/>
          <w:szCs w:val="32"/>
        </w:rPr>
        <w:t>万元，实际执行0</w:t>
      </w:r>
      <w:r>
        <w:rPr>
          <w:rFonts w:hint="eastAsia" w:eastAsia="仿宋_GB2312" w:cs="Times New Roman"/>
          <w:sz w:val="32"/>
          <w:szCs w:val="32"/>
          <w:lang w:val="en-US" w:eastAsia="zh-CN"/>
        </w:rPr>
        <w:t>.00</w:t>
      </w:r>
      <w:r>
        <w:rPr>
          <w:rFonts w:hint="default" w:ascii="Times New Roman" w:hAnsi="Times New Roman" w:eastAsia="仿宋_GB2312" w:cs="Times New Roman"/>
          <w:sz w:val="32"/>
          <w:szCs w:val="32"/>
        </w:rPr>
        <w:t>万元</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我单位整体支出绩效自评表由主管部门编报并公开。</w:t>
      </w:r>
      <w:r>
        <w:rPr>
          <w:rFonts w:hint="default" w:ascii="Times New Roman" w:hAnsi="Times New Roman" w:eastAsia="仿宋_GB2312" w:cs="Times New Roman"/>
          <w:bCs/>
          <w:color w:val="auto"/>
          <w:kern w:val="0"/>
          <w:sz w:val="32"/>
          <w:szCs w:val="32"/>
          <w:lang w:val="en-US" w:eastAsia="zh-CN"/>
        </w:rPr>
        <w:t>预算绩效评价项目３个，全年预算数89,943.20万元，全年执行数89,943.20万元。预算绩效管理取得的成效：我单位执行财政专项均为全区性项目，无单独绩效管理项目，对医院政府采购项目进行支出绩效评价。一是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二是加强专项资金事前、事中和事后全过程的监管，实行关口前移，从事后监督管理转向事前审核，事中监督和事后检查稽核相结合的监督制度上来，形成多环节全过程的监督管理格局，尽量早发现问题，早解决问题。发现的问题及原因：一是绩效管理理念有待提升。传统的投入型预算管理的思想仍占主导地位，对预算绩效管理中的效益性和效率性重视程度不够；二是预算绩效管理基础工作尚处于初步阶段，预算绩效目标的设定、过程的监督控制、结果的评价运用等都还需持续提升。下一步改进措施：一是加大预算绩效管理培训力度，转变管理理念，让“花钱必问效，无效必问责”的理念深入工作每个环节；二是不断规范预算绩效管理基础工作，建立健全相关制度、梳理规范工作流程，以及在目标设定、过程监督和结果应用上提升质量。具体项目自评情况附项目支出绩效自评表及自评报告。</w:t>
      </w:r>
    </w:p>
    <w:p w14:paraId="5D9854A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14:paraId="44360D5B">
      <w:pPr>
        <w:ind w:firstLine="640" w:firstLineChars="200"/>
        <w:rPr>
          <w:rFonts w:hint="default" w:ascii="Times New Roman" w:hAnsi="Times New Roman" w:eastAsia="仿宋_GB2312" w:cs="Times New Roman"/>
          <w:bCs/>
          <w:color w:val="auto"/>
          <w:kern w:val="0"/>
          <w:sz w:val="32"/>
          <w:szCs w:val="32"/>
          <w:lang w:val="en-US" w:eastAsia="zh-CN"/>
        </w:rPr>
      </w:pPr>
      <w:r>
        <w:rPr>
          <w:rFonts w:hint="default" w:ascii="Times New Roman" w:hAnsi="Times New Roman" w:eastAsia="仿宋_GB2312" w:cs="Times New Roman"/>
          <w:bCs/>
          <w:color w:val="auto"/>
          <w:kern w:val="0"/>
          <w:sz w:val="32"/>
          <w:szCs w:val="32"/>
          <w:lang w:val="en-US" w:eastAsia="zh-CN"/>
        </w:rPr>
        <w:t>本单位无其他需说明事项。</w:t>
      </w:r>
    </w:p>
    <w:p w14:paraId="1F976F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30" w:name="_Toc3250"/>
      <w:bookmarkStart w:id="31" w:name="_Toc24143"/>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14:paraId="2BC2B42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14:paraId="32F9774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14:paraId="0D93F0E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14:paraId="09D0F5B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14:paraId="18267CA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14:paraId="498978A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14:paraId="057C2E0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DAC75F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A185B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14:paraId="0F3283E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14:paraId="270E242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14:paraId="64E74AB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14:paraId="68BDF40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14:paraId="73665D4D">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14:paraId="746224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14:paraId="3A4203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6062"/>
      <w:bookmarkStart w:id="33" w:name="_Toc2183"/>
      <w:r>
        <w:rPr>
          <w:rFonts w:hint="default" w:ascii="Times New Roman" w:hAnsi="Times New Roman" w:eastAsia="仿宋_GB2312" w:cs="Times New Roman"/>
          <w:bCs/>
          <w:color w:val="auto"/>
          <w:kern w:val="0"/>
          <w:sz w:val="32"/>
          <w:szCs w:val="32"/>
          <w:highlight w:val="none"/>
        </w:rPr>
        <w:t>一、《收入支出决算总表》</w:t>
      </w:r>
      <w:bookmarkEnd w:id="32"/>
      <w:bookmarkEnd w:id="33"/>
    </w:p>
    <w:p w14:paraId="17B084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24532"/>
      <w:bookmarkStart w:id="35" w:name="_Toc30364"/>
      <w:r>
        <w:rPr>
          <w:rFonts w:hint="default" w:ascii="Times New Roman" w:hAnsi="Times New Roman" w:eastAsia="仿宋_GB2312" w:cs="Times New Roman"/>
          <w:bCs/>
          <w:color w:val="auto"/>
          <w:kern w:val="0"/>
          <w:sz w:val="32"/>
          <w:szCs w:val="32"/>
          <w:highlight w:val="none"/>
        </w:rPr>
        <w:t>二、《收入决算表》</w:t>
      </w:r>
      <w:bookmarkEnd w:id="34"/>
      <w:bookmarkEnd w:id="35"/>
    </w:p>
    <w:p w14:paraId="7D1FDF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32434"/>
      <w:bookmarkStart w:id="37" w:name="_Toc21304"/>
      <w:r>
        <w:rPr>
          <w:rFonts w:hint="default" w:ascii="Times New Roman" w:hAnsi="Times New Roman" w:eastAsia="仿宋_GB2312" w:cs="Times New Roman"/>
          <w:bCs/>
          <w:color w:val="auto"/>
          <w:kern w:val="0"/>
          <w:sz w:val="32"/>
          <w:szCs w:val="32"/>
          <w:highlight w:val="none"/>
        </w:rPr>
        <w:t>三、《支出决算表》</w:t>
      </w:r>
      <w:bookmarkEnd w:id="36"/>
      <w:bookmarkEnd w:id="37"/>
    </w:p>
    <w:p w14:paraId="31EF29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14238"/>
      <w:bookmarkStart w:id="39" w:name="_Toc28786"/>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14:paraId="67F2FF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4869"/>
      <w:bookmarkStart w:id="41" w:name="_Toc10347"/>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14:paraId="2C3DE8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8884"/>
      <w:bookmarkStart w:id="43" w:name="_Toc5626"/>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14:paraId="7B39AB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32663"/>
      <w:bookmarkStart w:id="45" w:name="_Toc29106"/>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14:paraId="4C106C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5453"/>
      <w:bookmarkStart w:id="47" w:name="_Toc764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14:paraId="08F984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14:paraId="1C92C55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14:paraId="78E409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2284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23D45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423D45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ZWJjNzQ5MjQ1M2I2Y2NhZTMwMzZkMGY1MGUwODc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9E40BE"/>
    <w:rsid w:val="05EF4B48"/>
    <w:rsid w:val="05F328E8"/>
    <w:rsid w:val="05F76ECA"/>
    <w:rsid w:val="06792773"/>
    <w:rsid w:val="069A0A43"/>
    <w:rsid w:val="07093795"/>
    <w:rsid w:val="07804730"/>
    <w:rsid w:val="079052BE"/>
    <w:rsid w:val="07EC6998"/>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7603C5"/>
    <w:rsid w:val="0B8C3ECC"/>
    <w:rsid w:val="0B9C639D"/>
    <w:rsid w:val="0BB052B2"/>
    <w:rsid w:val="0BD33FFC"/>
    <w:rsid w:val="0BE97AC1"/>
    <w:rsid w:val="0C1C4780"/>
    <w:rsid w:val="0C3613A3"/>
    <w:rsid w:val="0C5E519C"/>
    <w:rsid w:val="0C7227A7"/>
    <w:rsid w:val="0CA52EE8"/>
    <w:rsid w:val="0CBD6988"/>
    <w:rsid w:val="0CD208AC"/>
    <w:rsid w:val="0D4903E8"/>
    <w:rsid w:val="0D7A4A46"/>
    <w:rsid w:val="0DDE5050"/>
    <w:rsid w:val="0E511C4A"/>
    <w:rsid w:val="0E640559"/>
    <w:rsid w:val="0F1113DA"/>
    <w:rsid w:val="0F3261BB"/>
    <w:rsid w:val="0F78534A"/>
    <w:rsid w:val="0F89358A"/>
    <w:rsid w:val="0F8C6D51"/>
    <w:rsid w:val="105B0B5E"/>
    <w:rsid w:val="112E58D0"/>
    <w:rsid w:val="11542778"/>
    <w:rsid w:val="11731CAC"/>
    <w:rsid w:val="119500A0"/>
    <w:rsid w:val="11C0733B"/>
    <w:rsid w:val="11D50D17"/>
    <w:rsid w:val="11D648D0"/>
    <w:rsid w:val="120E0809"/>
    <w:rsid w:val="127F665A"/>
    <w:rsid w:val="12F7068C"/>
    <w:rsid w:val="14207DC0"/>
    <w:rsid w:val="14B932DA"/>
    <w:rsid w:val="14BE790E"/>
    <w:rsid w:val="150A66AF"/>
    <w:rsid w:val="153A6F3F"/>
    <w:rsid w:val="154C1139"/>
    <w:rsid w:val="158C5B77"/>
    <w:rsid w:val="160D1149"/>
    <w:rsid w:val="163563C0"/>
    <w:rsid w:val="164315EF"/>
    <w:rsid w:val="16557DFE"/>
    <w:rsid w:val="167268FB"/>
    <w:rsid w:val="16D50C50"/>
    <w:rsid w:val="16E120E1"/>
    <w:rsid w:val="17385A05"/>
    <w:rsid w:val="173B3901"/>
    <w:rsid w:val="176747F9"/>
    <w:rsid w:val="176B37A0"/>
    <w:rsid w:val="17954A6E"/>
    <w:rsid w:val="180059E9"/>
    <w:rsid w:val="18133A66"/>
    <w:rsid w:val="184510FD"/>
    <w:rsid w:val="190648B0"/>
    <w:rsid w:val="19071D6C"/>
    <w:rsid w:val="190A1374"/>
    <w:rsid w:val="19445C00"/>
    <w:rsid w:val="19D26CD4"/>
    <w:rsid w:val="19E60D19"/>
    <w:rsid w:val="1A1F518D"/>
    <w:rsid w:val="1A3E3450"/>
    <w:rsid w:val="1AD807E5"/>
    <w:rsid w:val="1B03607B"/>
    <w:rsid w:val="1B39345B"/>
    <w:rsid w:val="1BFB2A1F"/>
    <w:rsid w:val="1C015D4A"/>
    <w:rsid w:val="1C290ED5"/>
    <w:rsid w:val="1C317E4F"/>
    <w:rsid w:val="1C472464"/>
    <w:rsid w:val="1D22799A"/>
    <w:rsid w:val="1D5C1A72"/>
    <w:rsid w:val="1DAF458D"/>
    <w:rsid w:val="1E086ACE"/>
    <w:rsid w:val="1E62130A"/>
    <w:rsid w:val="1E97358B"/>
    <w:rsid w:val="1EAA4A5F"/>
    <w:rsid w:val="1EE869A7"/>
    <w:rsid w:val="1F147E5B"/>
    <w:rsid w:val="1F614C87"/>
    <w:rsid w:val="1F6410B2"/>
    <w:rsid w:val="1FA15E62"/>
    <w:rsid w:val="1FED69B6"/>
    <w:rsid w:val="203561B5"/>
    <w:rsid w:val="2064678E"/>
    <w:rsid w:val="20DC1AB9"/>
    <w:rsid w:val="20DD6197"/>
    <w:rsid w:val="210E7527"/>
    <w:rsid w:val="212631E0"/>
    <w:rsid w:val="21A53757"/>
    <w:rsid w:val="221236C6"/>
    <w:rsid w:val="22D7662C"/>
    <w:rsid w:val="23326B7F"/>
    <w:rsid w:val="2380045B"/>
    <w:rsid w:val="2394569D"/>
    <w:rsid w:val="23BC04D2"/>
    <w:rsid w:val="23EF1892"/>
    <w:rsid w:val="2483647E"/>
    <w:rsid w:val="24A32D55"/>
    <w:rsid w:val="25292727"/>
    <w:rsid w:val="252E5CA9"/>
    <w:rsid w:val="256F7692"/>
    <w:rsid w:val="25BA2154"/>
    <w:rsid w:val="25C8773F"/>
    <w:rsid w:val="264A7253"/>
    <w:rsid w:val="26DB1CCC"/>
    <w:rsid w:val="26F0170C"/>
    <w:rsid w:val="27201D62"/>
    <w:rsid w:val="27286E73"/>
    <w:rsid w:val="27CF2642"/>
    <w:rsid w:val="27E777F5"/>
    <w:rsid w:val="27EA1D4C"/>
    <w:rsid w:val="27EA2E41"/>
    <w:rsid w:val="282459E2"/>
    <w:rsid w:val="283A7FE5"/>
    <w:rsid w:val="284B069C"/>
    <w:rsid w:val="285F51FF"/>
    <w:rsid w:val="28DF2665"/>
    <w:rsid w:val="29072599"/>
    <w:rsid w:val="291029F3"/>
    <w:rsid w:val="29CB58F0"/>
    <w:rsid w:val="2A053397"/>
    <w:rsid w:val="2A145E96"/>
    <w:rsid w:val="2AF5378F"/>
    <w:rsid w:val="2BB94DBF"/>
    <w:rsid w:val="2C6F314E"/>
    <w:rsid w:val="2CC206BE"/>
    <w:rsid w:val="2D1136DF"/>
    <w:rsid w:val="2D20606D"/>
    <w:rsid w:val="2D352ED3"/>
    <w:rsid w:val="2DB87198"/>
    <w:rsid w:val="2DB93C54"/>
    <w:rsid w:val="2E3D144C"/>
    <w:rsid w:val="2E717A12"/>
    <w:rsid w:val="2E891204"/>
    <w:rsid w:val="2F3F0A28"/>
    <w:rsid w:val="2F84576F"/>
    <w:rsid w:val="2FBF7029"/>
    <w:rsid w:val="2FD0187F"/>
    <w:rsid w:val="2FD27414"/>
    <w:rsid w:val="2FFE4BB0"/>
    <w:rsid w:val="300E7B60"/>
    <w:rsid w:val="300F6E18"/>
    <w:rsid w:val="30862F5F"/>
    <w:rsid w:val="314029C9"/>
    <w:rsid w:val="315C40A9"/>
    <w:rsid w:val="31C63837"/>
    <w:rsid w:val="31C82E39"/>
    <w:rsid w:val="32601BAD"/>
    <w:rsid w:val="329F6389"/>
    <w:rsid w:val="32FE62F6"/>
    <w:rsid w:val="3389023A"/>
    <w:rsid w:val="33CB74FA"/>
    <w:rsid w:val="34021FDC"/>
    <w:rsid w:val="343642F2"/>
    <w:rsid w:val="343F3010"/>
    <w:rsid w:val="345D0A00"/>
    <w:rsid w:val="34713BFD"/>
    <w:rsid w:val="34C13589"/>
    <w:rsid w:val="34F86D6A"/>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77031E"/>
    <w:rsid w:val="3D934113"/>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966E21"/>
    <w:rsid w:val="439B0C97"/>
    <w:rsid w:val="43BA0E31"/>
    <w:rsid w:val="43C15147"/>
    <w:rsid w:val="43E14DD2"/>
    <w:rsid w:val="43F800E9"/>
    <w:rsid w:val="443A7E4B"/>
    <w:rsid w:val="452F5B3A"/>
    <w:rsid w:val="454E7FD2"/>
    <w:rsid w:val="45FF198F"/>
    <w:rsid w:val="46061BDC"/>
    <w:rsid w:val="461404F8"/>
    <w:rsid w:val="46413018"/>
    <w:rsid w:val="464B7E04"/>
    <w:rsid w:val="468041AA"/>
    <w:rsid w:val="468123C6"/>
    <w:rsid w:val="46901EEE"/>
    <w:rsid w:val="469C74D2"/>
    <w:rsid w:val="47330313"/>
    <w:rsid w:val="47445515"/>
    <w:rsid w:val="474B4782"/>
    <w:rsid w:val="47D90D14"/>
    <w:rsid w:val="48387FB0"/>
    <w:rsid w:val="483A6114"/>
    <w:rsid w:val="487C1FF8"/>
    <w:rsid w:val="488727DB"/>
    <w:rsid w:val="48B82268"/>
    <w:rsid w:val="48C354B3"/>
    <w:rsid w:val="48E25A36"/>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7814A6"/>
    <w:rsid w:val="4DF94F37"/>
    <w:rsid w:val="4E0A1DD5"/>
    <w:rsid w:val="4E0B6496"/>
    <w:rsid w:val="4E3160E5"/>
    <w:rsid w:val="4E4D37AF"/>
    <w:rsid w:val="4E8C6496"/>
    <w:rsid w:val="4EAC78F9"/>
    <w:rsid w:val="4EFD18DE"/>
    <w:rsid w:val="4F144236"/>
    <w:rsid w:val="4F362701"/>
    <w:rsid w:val="4F663C87"/>
    <w:rsid w:val="4F7E29A8"/>
    <w:rsid w:val="4F9E1FFC"/>
    <w:rsid w:val="50447CC2"/>
    <w:rsid w:val="50874A7C"/>
    <w:rsid w:val="50895EE7"/>
    <w:rsid w:val="50921B9D"/>
    <w:rsid w:val="50D16158"/>
    <w:rsid w:val="50DB5F45"/>
    <w:rsid w:val="51025EB1"/>
    <w:rsid w:val="51141503"/>
    <w:rsid w:val="518D0ED5"/>
    <w:rsid w:val="522E0CD1"/>
    <w:rsid w:val="525C687F"/>
    <w:rsid w:val="52F647F7"/>
    <w:rsid w:val="52F92565"/>
    <w:rsid w:val="53D03877"/>
    <w:rsid w:val="542F73CA"/>
    <w:rsid w:val="5430786D"/>
    <w:rsid w:val="548431C4"/>
    <w:rsid w:val="54C811C0"/>
    <w:rsid w:val="555230F3"/>
    <w:rsid w:val="556A442D"/>
    <w:rsid w:val="55954D7C"/>
    <w:rsid w:val="55DA564E"/>
    <w:rsid w:val="5604127D"/>
    <w:rsid w:val="56166703"/>
    <w:rsid w:val="56510474"/>
    <w:rsid w:val="565B667A"/>
    <w:rsid w:val="56861525"/>
    <w:rsid w:val="56A93273"/>
    <w:rsid w:val="56BD550C"/>
    <w:rsid w:val="56E07045"/>
    <w:rsid w:val="56FF28AF"/>
    <w:rsid w:val="57540E7D"/>
    <w:rsid w:val="577B4878"/>
    <w:rsid w:val="57926973"/>
    <w:rsid w:val="57F3032F"/>
    <w:rsid w:val="58175352"/>
    <w:rsid w:val="581F2200"/>
    <w:rsid w:val="583059FA"/>
    <w:rsid w:val="584A0929"/>
    <w:rsid w:val="58CD2491"/>
    <w:rsid w:val="58DA37D1"/>
    <w:rsid w:val="591B41B2"/>
    <w:rsid w:val="59254A26"/>
    <w:rsid w:val="59326325"/>
    <w:rsid w:val="595C505B"/>
    <w:rsid w:val="595E55C3"/>
    <w:rsid w:val="596E7E20"/>
    <w:rsid w:val="599762A2"/>
    <w:rsid w:val="5A60780B"/>
    <w:rsid w:val="5AB34579"/>
    <w:rsid w:val="5AFC6609"/>
    <w:rsid w:val="5B113480"/>
    <w:rsid w:val="5BD456CE"/>
    <w:rsid w:val="5BE11B71"/>
    <w:rsid w:val="5C0D1F49"/>
    <w:rsid w:val="5CBB0CE2"/>
    <w:rsid w:val="5CC17177"/>
    <w:rsid w:val="5CF306BC"/>
    <w:rsid w:val="5D3F3D64"/>
    <w:rsid w:val="5D833043"/>
    <w:rsid w:val="5DD92690"/>
    <w:rsid w:val="5DDB1CFD"/>
    <w:rsid w:val="5DEC4171"/>
    <w:rsid w:val="5E7E6D93"/>
    <w:rsid w:val="5ED44800"/>
    <w:rsid w:val="5EFE00F9"/>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255D19"/>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BC515B"/>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410AB3"/>
    <w:rsid w:val="7A6242BF"/>
    <w:rsid w:val="7A794513"/>
    <w:rsid w:val="7AE952D2"/>
    <w:rsid w:val="7C976D69"/>
    <w:rsid w:val="7CD752DA"/>
    <w:rsid w:val="7CDE40AB"/>
    <w:rsid w:val="7CF057E2"/>
    <w:rsid w:val="7D092E74"/>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6289</Words>
  <Characters>7218</Characters>
  <Lines>0</Lines>
  <Paragraphs>0</Paragraphs>
  <TotalTime>19</TotalTime>
  <ScaleCrop>false</ScaleCrop>
  <LinksUpToDate>false</LinksUpToDate>
  <CharactersWithSpaces>7235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尘如故</cp:lastModifiedBy>
  <dcterms:modified xsi:type="dcterms:W3CDTF">2024-09-02T07:52:29Z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